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w w:val="90"/>
          <w:sz w:val="44"/>
          <w:szCs w:val="44"/>
          <w:highlight w:val="none"/>
        </w:rPr>
      </w:pPr>
      <w:r>
        <w:rPr>
          <w:rFonts w:hint="eastAsia" w:ascii="宋体" w:hAnsi="宋体" w:cs="宋体"/>
          <w:kern w:val="0"/>
          <w:sz w:val="20"/>
          <w:szCs w:val="20"/>
          <w:highlight w:val="none"/>
        </w:rPr>
        <w:drawing>
          <wp:anchor distT="0" distB="0" distL="114300" distR="114300" simplePos="0" relativeHeight="251660288" behindDoc="1" locked="0" layoutInCell="1" allowOverlap="1">
            <wp:simplePos x="0" y="0"/>
            <wp:positionH relativeFrom="column">
              <wp:posOffset>3949065</wp:posOffset>
            </wp:positionH>
            <wp:positionV relativeFrom="paragraph">
              <wp:posOffset>-789940</wp:posOffset>
            </wp:positionV>
            <wp:extent cx="1346200" cy="1330960"/>
            <wp:effectExtent l="0" t="0" r="6502" b="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5" cstate="print"/>
                    <a:stretch>
                      <a:fillRect/>
                    </a:stretch>
                  </pic:blipFill>
                  <pic:spPr>
                    <a:xfrm>
                      <a:off x="0" y="0"/>
                      <a:ext cx="1346048" cy="1331130"/>
                    </a:xfrm>
                    <a:prstGeom prst="rect">
                      <a:avLst/>
                    </a:prstGeom>
                    <a:noFill/>
                    <a:ln>
                      <a:noFill/>
                    </a:ln>
                  </pic:spPr>
                </pic:pic>
              </a:graphicData>
            </a:graphic>
          </wp:anchor>
        </w:drawing>
      </w:r>
    </w:p>
    <w:p>
      <w:pPr>
        <w:spacing w:line="360" w:lineRule="auto"/>
        <w:jc w:val="center"/>
        <w:rPr>
          <w:rFonts w:ascii="宋体" w:hAnsi="宋体" w:cs="宋体"/>
          <w:b/>
          <w:bCs/>
          <w:kern w:val="0"/>
          <w:sz w:val="48"/>
          <w:szCs w:val="48"/>
          <w:highlight w:val="none"/>
        </w:rPr>
      </w:pPr>
      <w:r>
        <w:rPr>
          <w:rFonts w:hint="eastAsia" w:ascii="??" w:hAnsi="??" w:cs="宋体"/>
          <w:b/>
          <w:bCs/>
          <w:kern w:val="0"/>
          <w:sz w:val="48"/>
          <w:szCs w:val="48"/>
          <w:highlight w:val="none"/>
        </w:rPr>
        <w:t>商洛市妇幼保健院网络安全等级保护建设项目</w:t>
      </w:r>
    </w:p>
    <w:p>
      <w:pPr>
        <w:pStyle w:val="29"/>
        <w:rPr>
          <w:highlight w:val="none"/>
        </w:rPr>
      </w:pPr>
    </w:p>
    <w:p>
      <w:pPr>
        <w:spacing w:line="360" w:lineRule="auto"/>
        <w:jc w:val="center"/>
        <w:rPr>
          <w:rFonts w:hint="eastAsia" w:ascii="??" w:hAnsi="??" w:eastAsia="宋体" w:cs="宋体"/>
          <w:b/>
          <w:bCs/>
          <w:kern w:val="0"/>
          <w:sz w:val="48"/>
          <w:szCs w:val="48"/>
          <w:highlight w:val="none"/>
          <w:lang w:eastAsia="zh-CN"/>
        </w:rPr>
      </w:pPr>
      <w:r>
        <w:rPr>
          <w:rFonts w:hint="eastAsia" w:ascii="??" w:hAnsi="??" w:cs="宋体"/>
          <w:b/>
          <w:bCs/>
          <w:kern w:val="0"/>
          <w:sz w:val="48"/>
          <w:szCs w:val="48"/>
          <w:highlight w:val="none"/>
        </w:rPr>
        <w:t>项目编号：</w:t>
      </w:r>
      <w:r>
        <w:rPr>
          <w:rFonts w:hint="eastAsia" w:ascii="??" w:hAnsi="??" w:cs="宋体"/>
          <w:b/>
          <w:bCs/>
          <w:kern w:val="0"/>
          <w:sz w:val="48"/>
          <w:szCs w:val="48"/>
          <w:highlight w:val="none"/>
          <w:lang w:eastAsia="zh-CN"/>
        </w:rPr>
        <w:t>DXZB-2022-0636</w:t>
      </w:r>
    </w:p>
    <w:p>
      <w:pPr>
        <w:rPr>
          <w:rFonts w:ascii="??" w:hAnsi="??" w:cs="宋体"/>
          <w:b/>
          <w:bCs/>
          <w:kern w:val="0"/>
          <w:sz w:val="48"/>
          <w:szCs w:val="48"/>
          <w:highlight w:val="none"/>
          <w:u w:val="single"/>
        </w:rPr>
      </w:pPr>
    </w:p>
    <w:p>
      <w:pPr>
        <w:pStyle w:val="29"/>
        <w:rPr>
          <w:rFonts w:ascii="??" w:hAnsi="??" w:cs="宋体"/>
          <w:b/>
          <w:bCs/>
          <w:kern w:val="0"/>
          <w:sz w:val="48"/>
          <w:szCs w:val="48"/>
          <w:highlight w:val="none"/>
          <w:u w:val="single"/>
        </w:rPr>
      </w:pPr>
    </w:p>
    <w:p>
      <w:pPr>
        <w:pStyle w:val="29"/>
        <w:rPr>
          <w:highlight w:val="none"/>
        </w:rPr>
      </w:pPr>
    </w:p>
    <w:p>
      <w:pPr>
        <w:pStyle w:val="29"/>
        <w:rPr>
          <w:highlight w:val="none"/>
        </w:rPr>
      </w:pPr>
    </w:p>
    <w:p>
      <w:pPr>
        <w:jc w:val="center"/>
        <w:rPr>
          <w:rFonts w:ascii="宋体" w:hAnsi="宋体" w:cs="宋体"/>
          <w:b/>
          <w:sz w:val="72"/>
          <w:szCs w:val="72"/>
          <w:highlight w:val="none"/>
        </w:rPr>
      </w:pPr>
      <w:r>
        <w:rPr>
          <w:rFonts w:hint="eastAsia" w:ascii="宋体" w:hAnsi="宋体" w:cs="宋体"/>
          <w:b/>
          <w:sz w:val="72"/>
          <w:szCs w:val="72"/>
          <w:highlight w:val="none"/>
        </w:rPr>
        <w:t>公 开 招 标 文 件</w:t>
      </w:r>
    </w:p>
    <w:p>
      <w:pPr>
        <w:rPr>
          <w:rFonts w:ascii="宋体" w:hAnsi="宋体" w:cs="宋体"/>
          <w:b/>
          <w:sz w:val="30"/>
          <w:szCs w:val="30"/>
          <w:highlight w:val="none"/>
        </w:rPr>
      </w:pPr>
    </w:p>
    <w:p>
      <w:pPr>
        <w:rPr>
          <w:rFonts w:ascii="宋体" w:hAnsi="宋体" w:cs="宋体"/>
          <w:b/>
          <w:sz w:val="30"/>
          <w:szCs w:val="30"/>
          <w:highlight w:val="none"/>
        </w:rPr>
      </w:pPr>
    </w:p>
    <w:p>
      <w:pPr>
        <w:pStyle w:val="15"/>
        <w:rPr>
          <w:highlight w:val="none"/>
        </w:rPr>
      </w:pPr>
    </w:p>
    <w:p>
      <w:pPr>
        <w:rPr>
          <w:highlight w:val="none"/>
        </w:rPr>
      </w:pPr>
    </w:p>
    <w:p>
      <w:pPr>
        <w:pStyle w:val="15"/>
        <w:rPr>
          <w:highlight w:val="none"/>
        </w:rPr>
      </w:pPr>
    </w:p>
    <w:p>
      <w:pPr>
        <w:rPr>
          <w:rFonts w:ascii="宋体" w:hAnsi="宋体" w:cs="宋体"/>
          <w:b/>
          <w:sz w:val="36"/>
          <w:szCs w:val="36"/>
          <w:highlight w:val="none"/>
        </w:rPr>
      </w:pPr>
    </w:p>
    <w:p>
      <w:pPr>
        <w:spacing w:line="360" w:lineRule="auto"/>
        <w:ind w:firstLine="720"/>
        <w:rPr>
          <w:rFonts w:hint="eastAsia" w:ascii="宋体" w:hAnsi="宋体" w:eastAsia="宋体" w:cs="宋体"/>
          <w:b/>
          <w:sz w:val="36"/>
          <w:szCs w:val="36"/>
          <w:highlight w:val="none"/>
          <w:u w:val="single"/>
          <w:lang w:eastAsia="zh-CN"/>
        </w:rPr>
      </w:pPr>
      <w:r>
        <w:rPr>
          <w:rFonts w:hint="eastAsia" w:ascii="宋体" w:hAnsi="宋体" w:cs="宋体"/>
          <w:b/>
          <w:sz w:val="36"/>
          <w:szCs w:val="36"/>
          <w:highlight w:val="none"/>
        </w:rPr>
        <w:t>采购单位：</w:t>
      </w:r>
      <w:r>
        <w:rPr>
          <w:rFonts w:hint="eastAsia" w:cs="宋体"/>
          <w:b/>
          <w:sz w:val="36"/>
          <w:szCs w:val="36"/>
          <w:highlight w:val="none"/>
          <w:lang w:eastAsia="zh-CN"/>
        </w:rPr>
        <w:t>商洛市妇幼保健院</w:t>
      </w:r>
    </w:p>
    <w:p>
      <w:pPr>
        <w:spacing w:line="360" w:lineRule="auto"/>
        <w:ind w:firstLine="720"/>
        <w:rPr>
          <w:rFonts w:ascii="宋体" w:hAnsi="宋体" w:eastAsia="Times New Roman" w:cs="宋体"/>
          <w:b/>
          <w:sz w:val="36"/>
          <w:szCs w:val="36"/>
          <w:highlight w:val="none"/>
        </w:rPr>
      </w:pPr>
      <w:r>
        <w:rPr>
          <w:rFonts w:hint="eastAsia" w:ascii="宋体" w:hAnsi="宋体" w:cs="宋体"/>
          <w:b/>
          <w:sz w:val="36"/>
          <w:szCs w:val="36"/>
          <w:highlight w:val="none"/>
        </w:rPr>
        <w:t>代理机构：陕西德信招标有限公司</w:t>
      </w:r>
    </w:p>
    <w:p>
      <w:pPr>
        <w:jc w:val="center"/>
        <w:rPr>
          <w:rFonts w:ascii="宋体" w:hAnsi="宋体" w:cs="宋体"/>
          <w:b/>
          <w:sz w:val="36"/>
          <w:szCs w:val="36"/>
          <w:highlight w:val="none"/>
        </w:rPr>
      </w:pPr>
    </w:p>
    <w:p>
      <w:pPr>
        <w:jc w:val="center"/>
        <w:rPr>
          <w:rFonts w:ascii="宋体" w:hAnsi="宋体" w:cs="宋体"/>
          <w:b/>
          <w:sz w:val="36"/>
          <w:szCs w:val="36"/>
          <w:highlight w:val="none"/>
        </w:rPr>
      </w:pPr>
      <w:r>
        <w:rPr>
          <w:rFonts w:hint="eastAsia" w:ascii="宋体" w:hAnsi="宋体" w:cs="宋体"/>
          <w:b/>
          <w:sz w:val="36"/>
          <w:szCs w:val="36"/>
          <w:highlight w:val="none"/>
        </w:rPr>
        <w:t>2022年</w:t>
      </w:r>
      <w:r>
        <w:rPr>
          <w:rFonts w:hint="eastAsia" w:cs="宋体"/>
          <w:b/>
          <w:sz w:val="36"/>
          <w:szCs w:val="36"/>
          <w:highlight w:val="none"/>
          <w:lang w:val="en-US" w:eastAsia="zh-CN"/>
        </w:rPr>
        <w:t>11</w:t>
      </w:r>
      <w:r>
        <w:rPr>
          <w:rFonts w:hint="eastAsia" w:ascii="宋体" w:hAnsi="宋体" w:cs="宋体"/>
          <w:b/>
          <w:sz w:val="36"/>
          <w:szCs w:val="36"/>
          <w:highlight w:val="none"/>
        </w:rPr>
        <w:t>月</w:t>
      </w:r>
    </w:p>
    <w:p>
      <w:pPr>
        <w:spacing w:line="360" w:lineRule="auto"/>
        <w:rPr>
          <w:rFonts w:ascii="宋体" w:hAnsi="宋体" w:cs="宋体"/>
          <w:b/>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720" w:num="1"/>
          <w:titlePg/>
          <w:docGrid w:linePitch="286" w:charSpace="0"/>
        </w:sectPr>
      </w:pPr>
    </w:p>
    <w:p>
      <w:pPr>
        <w:spacing w:line="360" w:lineRule="auto"/>
        <w:rPr>
          <w:rFonts w:ascii="宋体" w:hAnsi="宋体" w:cs="宋体"/>
          <w:b/>
          <w:sz w:val="36"/>
          <w:szCs w:val="36"/>
          <w:highlight w:val="none"/>
        </w:rPr>
      </w:pPr>
    </w:p>
    <w:p>
      <w:pPr>
        <w:spacing w:line="360" w:lineRule="auto"/>
        <w:jc w:val="center"/>
        <w:rPr>
          <w:rFonts w:ascii="宋体" w:hAnsi="宋体" w:cs="宋体"/>
          <w:b/>
          <w:bCs/>
          <w:sz w:val="52"/>
          <w:highlight w:val="none"/>
        </w:rPr>
      </w:pPr>
    </w:p>
    <w:p>
      <w:pPr>
        <w:spacing w:line="360" w:lineRule="auto"/>
        <w:jc w:val="center"/>
        <w:rPr>
          <w:rFonts w:ascii="宋体" w:hAnsi="宋体" w:cs="宋体"/>
          <w:b/>
          <w:bCs/>
          <w:sz w:val="52"/>
          <w:highlight w:val="none"/>
        </w:rPr>
      </w:pPr>
      <w:r>
        <w:rPr>
          <w:rFonts w:hint="eastAsia" w:ascii="宋体" w:hAnsi="宋体" w:cs="宋体"/>
          <w:b/>
          <w:bCs/>
          <w:sz w:val="52"/>
          <w:highlight w:val="none"/>
        </w:rPr>
        <w:t>目  录</w:t>
      </w:r>
    </w:p>
    <w:p>
      <w:pPr>
        <w:pStyle w:val="56"/>
        <w:rPr>
          <w:rFonts w:ascii="宋体" w:hAnsi="宋体" w:cs="宋体"/>
          <w:b/>
          <w:bCs/>
          <w:sz w:val="52"/>
          <w:highlight w:val="none"/>
        </w:rPr>
      </w:pPr>
    </w:p>
    <w:p>
      <w:pPr>
        <w:pStyle w:val="24"/>
        <w:tabs>
          <w:tab w:val="right" w:leader="dot" w:pos="8256"/>
        </w:tabs>
        <w:spacing w:line="480" w:lineRule="auto"/>
        <w:rPr>
          <w:rFonts w:ascii="宋体" w:hAnsi="宋体" w:cs="宋体"/>
          <w:sz w:val="30"/>
          <w:szCs w:val="30"/>
          <w:highlight w:val="none"/>
        </w:rPr>
      </w:pPr>
      <w:r>
        <w:rPr>
          <w:rFonts w:hint="eastAsia" w:ascii="宋体" w:hAnsi="宋体" w:cs="宋体"/>
          <w:b/>
          <w:bCs/>
          <w:sz w:val="52"/>
          <w:highlight w:val="none"/>
        </w:rPr>
        <w:fldChar w:fldCharType="begin"/>
      </w:r>
      <w:r>
        <w:rPr>
          <w:rFonts w:hint="eastAsia" w:ascii="宋体" w:hAnsi="宋体" w:cs="宋体"/>
          <w:b/>
          <w:bCs/>
          <w:sz w:val="52"/>
          <w:highlight w:val="none"/>
        </w:rPr>
        <w:instrText xml:space="preserve">TOC \o "1-1" \h \u </w:instrText>
      </w:r>
      <w:r>
        <w:rPr>
          <w:rFonts w:hint="eastAsia" w:ascii="宋体" w:hAnsi="宋体" w:cs="宋体"/>
          <w:b/>
          <w:bCs/>
          <w:sz w:val="52"/>
          <w:highlight w:val="none"/>
        </w:rPr>
        <w:fldChar w:fldCharType="separate"/>
      </w:r>
      <w:r>
        <w:rPr>
          <w:highlight w:val="none"/>
        </w:rPr>
        <w:fldChar w:fldCharType="begin"/>
      </w:r>
      <w:r>
        <w:rPr>
          <w:highlight w:val="none"/>
        </w:rPr>
        <w:instrText xml:space="preserve"> HYPERLINK \l "_Toc6915" </w:instrText>
      </w:r>
      <w:r>
        <w:rPr>
          <w:highlight w:val="none"/>
        </w:rPr>
        <w:fldChar w:fldCharType="separate"/>
      </w:r>
      <w:r>
        <w:rPr>
          <w:rFonts w:hint="eastAsia" w:ascii="宋体" w:hAnsi="宋体" w:cs="宋体"/>
          <w:sz w:val="30"/>
          <w:szCs w:val="30"/>
          <w:highlight w:val="none"/>
        </w:rPr>
        <w:t>第一部分   招标公告</w:t>
      </w:r>
      <w:r>
        <w:rPr>
          <w:rFonts w:hint="eastAsia" w:ascii="宋体" w:hAnsi="宋体" w:cs="宋体"/>
          <w:sz w:val="30"/>
          <w:szCs w:val="30"/>
          <w:highlight w:val="none"/>
        </w:rPr>
        <w:tab/>
      </w:r>
      <w:r>
        <w:rPr>
          <w:rFonts w:hint="eastAsia" w:ascii="宋体" w:hAnsi="宋体" w:cs="宋体"/>
          <w:sz w:val="30"/>
          <w:szCs w:val="30"/>
          <w:highlight w:val="none"/>
        </w:rPr>
        <w:fldChar w:fldCharType="begin"/>
      </w:r>
      <w:r>
        <w:rPr>
          <w:rFonts w:hint="eastAsia" w:ascii="宋体" w:hAnsi="宋体" w:cs="宋体"/>
          <w:sz w:val="30"/>
          <w:szCs w:val="30"/>
          <w:highlight w:val="none"/>
        </w:rPr>
        <w:instrText xml:space="preserve"> PAGEREF _Toc6915 </w:instrText>
      </w:r>
      <w:r>
        <w:rPr>
          <w:rFonts w:hint="eastAsia" w:ascii="宋体" w:hAnsi="宋体" w:cs="宋体"/>
          <w:sz w:val="30"/>
          <w:szCs w:val="30"/>
          <w:highlight w:val="none"/>
        </w:rPr>
        <w:fldChar w:fldCharType="separate"/>
      </w:r>
      <w:r>
        <w:rPr>
          <w:rFonts w:hint="eastAsia" w:ascii="宋体" w:hAnsi="宋体" w:cs="宋体"/>
          <w:sz w:val="30"/>
          <w:szCs w:val="30"/>
          <w:highlight w:val="none"/>
        </w:rPr>
        <w:t>1</w:t>
      </w:r>
      <w:r>
        <w:rPr>
          <w:rFonts w:hint="eastAsia" w:ascii="宋体" w:hAnsi="宋体" w:cs="宋体"/>
          <w:sz w:val="30"/>
          <w:szCs w:val="30"/>
          <w:highlight w:val="none"/>
        </w:rPr>
        <w:fldChar w:fldCharType="end"/>
      </w:r>
      <w:r>
        <w:rPr>
          <w:rFonts w:hint="eastAsia" w:ascii="宋体" w:hAnsi="宋体" w:cs="宋体"/>
          <w:sz w:val="30"/>
          <w:szCs w:val="30"/>
          <w:highlight w:val="none"/>
        </w:rPr>
        <w:fldChar w:fldCharType="end"/>
      </w:r>
    </w:p>
    <w:p>
      <w:pPr>
        <w:pStyle w:val="24"/>
        <w:tabs>
          <w:tab w:val="right" w:leader="dot" w:pos="8256"/>
        </w:tabs>
        <w:spacing w:line="480" w:lineRule="auto"/>
        <w:rPr>
          <w:rFonts w:ascii="宋体" w:hAnsi="宋体" w:cs="宋体"/>
          <w:sz w:val="30"/>
          <w:szCs w:val="30"/>
          <w:highlight w:val="none"/>
        </w:rPr>
      </w:pPr>
      <w:r>
        <w:rPr>
          <w:highlight w:val="none"/>
        </w:rPr>
        <w:fldChar w:fldCharType="begin"/>
      </w:r>
      <w:r>
        <w:rPr>
          <w:highlight w:val="none"/>
        </w:rPr>
        <w:instrText xml:space="preserve"> HYPERLINK \l "_Toc32336" </w:instrText>
      </w:r>
      <w:r>
        <w:rPr>
          <w:highlight w:val="none"/>
        </w:rPr>
        <w:fldChar w:fldCharType="separate"/>
      </w:r>
      <w:r>
        <w:rPr>
          <w:rFonts w:hint="eastAsia" w:ascii="宋体" w:hAnsi="宋体" w:cs="宋体"/>
          <w:sz w:val="30"/>
          <w:szCs w:val="30"/>
          <w:highlight w:val="none"/>
        </w:rPr>
        <w:t>第二部分   投标人须知及前附表</w:t>
      </w:r>
      <w:r>
        <w:rPr>
          <w:rFonts w:hint="eastAsia" w:ascii="宋体" w:hAnsi="宋体" w:cs="宋体"/>
          <w:sz w:val="30"/>
          <w:szCs w:val="30"/>
          <w:highlight w:val="none"/>
        </w:rPr>
        <w:tab/>
      </w:r>
      <w:r>
        <w:rPr>
          <w:rFonts w:hint="eastAsia" w:ascii="宋体" w:hAnsi="宋体" w:cs="宋体"/>
          <w:sz w:val="30"/>
          <w:szCs w:val="30"/>
          <w:highlight w:val="none"/>
        </w:rPr>
        <w:fldChar w:fldCharType="begin"/>
      </w:r>
      <w:r>
        <w:rPr>
          <w:rFonts w:hint="eastAsia" w:ascii="宋体" w:hAnsi="宋体" w:cs="宋体"/>
          <w:sz w:val="30"/>
          <w:szCs w:val="30"/>
          <w:highlight w:val="none"/>
        </w:rPr>
        <w:instrText xml:space="preserve"> PAGEREF _Toc32336 </w:instrText>
      </w:r>
      <w:r>
        <w:rPr>
          <w:rFonts w:hint="eastAsia" w:ascii="宋体" w:hAnsi="宋体" w:cs="宋体"/>
          <w:sz w:val="30"/>
          <w:szCs w:val="30"/>
          <w:highlight w:val="none"/>
        </w:rPr>
        <w:fldChar w:fldCharType="separate"/>
      </w:r>
      <w:r>
        <w:rPr>
          <w:rFonts w:hint="eastAsia" w:ascii="宋体" w:hAnsi="宋体" w:cs="宋体"/>
          <w:sz w:val="30"/>
          <w:szCs w:val="30"/>
          <w:highlight w:val="none"/>
        </w:rPr>
        <w:t>6</w:t>
      </w:r>
      <w:r>
        <w:rPr>
          <w:rFonts w:hint="eastAsia" w:ascii="宋体" w:hAnsi="宋体" w:cs="宋体"/>
          <w:sz w:val="30"/>
          <w:szCs w:val="30"/>
          <w:highlight w:val="none"/>
        </w:rPr>
        <w:fldChar w:fldCharType="end"/>
      </w:r>
      <w:r>
        <w:rPr>
          <w:rFonts w:hint="eastAsia" w:ascii="宋体" w:hAnsi="宋体" w:cs="宋体"/>
          <w:sz w:val="30"/>
          <w:szCs w:val="30"/>
          <w:highlight w:val="none"/>
        </w:rPr>
        <w:fldChar w:fldCharType="end"/>
      </w:r>
    </w:p>
    <w:p>
      <w:pPr>
        <w:pStyle w:val="24"/>
        <w:tabs>
          <w:tab w:val="right" w:leader="dot" w:pos="8256"/>
        </w:tabs>
        <w:spacing w:line="480" w:lineRule="auto"/>
        <w:rPr>
          <w:rFonts w:ascii="宋体" w:hAnsi="宋体" w:cs="宋体"/>
          <w:sz w:val="30"/>
          <w:szCs w:val="30"/>
          <w:highlight w:val="none"/>
        </w:rPr>
      </w:pPr>
      <w:r>
        <w:rPr>
          <w:highlight w:val="none"/>
        </w:rPr>
        <w:fldChar w:fldCharType="begin"/>
      </w:r>
      <w:r>
        <w:rPr>
          <w:highlight w:val="none"/>
        </w:rPr>
        <w:instrText xml:space="preserve"> HYPERLINK \l "_Toc6882" </w:instrText>
      </w:r>
      <w:r>
        <w:rPr>
          <w:highlight w:val="none"/>
        </w:rPr>
        <w:fldChar w:fldCharType="separate"/>
      </w:r>
      <w:r>
        <w:rPr>
          <w:rFonts w:hint="eastAsia" w:ascii="宋体" w:hAnsi="宋体" w:cs="宋体"/>
          <w:sz w:val="30"/>
          <w:szCs w:val="30"/>
          <w:highlight w:val="none"/>
        </w:rPr>
        <w:t>第三部分   商务部分（合同条款及合同格式）</w:t>
      </w:r>
      <w:r>
        <w:rPr>
          <w:rFonts w:hint="eastAsia" w:ascii="宋体" w:hAnsi="宋体" w:cs="宋体"/>
          <w:sz w:val="30"/>
          <w:szCs w:val="30"/>
          <w:highlight w:val="none"/>
        </w:rPr>
        <w:tab/>
      </w:r>
      <w:r>
        <w:rPr>
          <w:rFonts w:hint="eastAsia" w:ascii="宋体" w:hAnsi="宋体" w:cs="宋体"/>
          <w:sz w:val="30"/>
          <w:szCs w:val="30"/>
          <w:highlight w:val="none"/>
        </w:rPr>
        <w:t>23</w:t>
      </w:r>
      <w:r>
        <w:rPr>
          <w:rFonts w:hint="eastAsia" w:ascii="宋体" w:hAnsi="宋体" w:cs="宋体"/>
          <w:sz w:val="30"/>
          <w:szCs w:val="30"/>
          <w:highlight w:val="none"/>
        </w:rPr>
        <w:fldChar w:fldCharType="end"/>
      </w:r>
    </w:p>
    <w:p>
      <w:pPr>
        <w:pStyle w:val="24"/>
        <w:tabs>
          <w:tab w:val="right" w:leader="dot" w:pos="8256"/>
        </w:tabs>
        <w:spacing w:line="480" w:lineRule="auto"/>
        <w:rPr>
          <w:rFonts w:ascii="宋体" w:hAnsi="宋体" w:cs="宋体"/>
          <w:sz w:val="30"/>
          <w:szCs w:val="30"/>
          <w:highlight w:val="none"/>
        </w:rPr>
      </w:pPr>
      <w:r>
        <w:rPr>
          <w:highlight w:val="none"/>
        </w:rPr>
        <w:fldChar w:fldCharType="begin"/>
      </w:r>
      <w:r>
        <w:rPr>
          <w:highlight w:val="none"/>
        </w:rPr>
        <w:instrText xml:space="preserve"> HYPERLINK \l "_Toc2224" </w:instrText>
      </w:r>
      <w:r>
        <w:rPr>
          <w:highlight w:val="none"/>
        </w:rPr>
        <w:fldChar w:fldCharType="separate"/>
      </w:r>
      <w:r>
        <w:rPr>
          <w:rFonts w:hint="eastAsia" w:ascii="宋体" w:hAnsi="宋体" w:cs="宋体"/>
          <w:sz w:val="30"/>
          <w:szCs w:val="30"/>
          <w:highlight w:val="none"/>
        </w:rPr>
        <w:t>第四部分   用户需求书（采购内容及要求）</w:t>
      </w:r>
      <w:r>
        <w:rPr>
          <w:rFonts w:hint="eastAsia" w:ascii="宋体" w:hAnsi="宋体" w:cs="宋体"/>
          <w:sz w:val="30"/>
          <w:szCs w:val="30"/>
          <w:highlight w:val="none"/>
        </w:rPr>
        <w:tab/>
      </w:r>
      <w:r>
        <w:rPr>
          <w:rFonts w:hint="eastAsia" w:ascii="宋体" w:hAnsi="宋体" w:cs="宋体"/>
          <w:sz w:val="30"/>
          <w:szCs w:val="30"/>
          <w:highlight w:val="none"/>
        </w:rPr>
        <w:t>3</w:t>
      </w:r>
      <w:r>
        <w:rPr>
          <w:rFonts w:hint="eastAsia" w:ascii="宋体" w:hAnsi="宋体" w:cs="宋体"/>
          <w:sz w:val="30"/>
          <w:szCs w:val="30"/>
          <w:highlight w:val="none"/>
        </w:rPr>
        <w:fldChar w:fldCharType="end"/>
      </w:r>
      <w:r>
        <w:rPr>
          <w:rFonts w:hint="eastAsia" w:ascii="宋体" w:hAnsi="宋体" w:cs="宋体"/>
          <w:sz w:val="30"/>
          <w:szCs w:val="30"/>
          <w:highlight w:val="none"/>
        </w:rPr>
        <w:t>0</w:t>
      </w:r>
    </w:p>
    <w:p>
      <w:pPr>
        <w:pStyle w:val="24"/>
        <w:tabs>
          <w:tab w:val="right" w:leader="dot" w:pos="8256"/>
        </w:tabs>
        <w:spacing w:line="480" w:lineRule="auto"/>
        <w:rPr>
          <w:rFonts w:ascii="宋体" w:hAnsi="宋体" w:cs="宋体"/>
          <w:sz w:val="36"/>
          <w:szCs w:val="44"/>
          <w:highlight w:val="none"/>
        </w:rPr>
      </w:pPr>
      <w:r>
        <w:rPr>
          <w:highlight w:val="none"/>
        </w:rPr>
        <w:fldChar w:fldCharType="begin"/>
      </w:r>
      <w:r>
        <w:rPr>
          <w:highlight w:val="none"/>
        </w:rPr>
        <w:instrText xml:space="preserve"> HYPERLINK \l "_Toc28645" </w:instrText>
      </w:r>
      <w:r>
        <w:rPr>
          <w:highlight w:val="none"/>
        </w:rPr>
        <w:fldChar w:fldCharType="separate"/>
      </w:r>
      <w:r>
        <w:rPr>
          <w:rFonts w:hint="eastAsia" w:ascii="宋体" w:hAnsi="宋体" w:cs="宋体"/>
          <w:sz w:val="30"/>
          <w:szCs w:val="30"/>
          <w:highlight w:val="none"/>
        </w:rPr>
        <w:t>第五部分   评标办法</w:t>
      </w:r>
      <w:r>
        <w:rPr>
          <w:rFonts w:hint="eastAsia" w:ascii="宋体" w:hAnsi="宋体" w:cs="宋体"/>
          <w:sz w:val="30"/>
          <w:szCs w:val="30"/>
          <w:highlight w:val="none"/>
        </w:rPr>
        <w:tab/>
      </w:r>
      <w:r>
        <w:rPr>
          <w:rFonts w:hint="eastAsia" w:ascii="宋体" w:hAnsi="宋体" w:cs="宋体"/>
          <w:sz w:val="30"/>
          <w:szCs w:val="30"/>
          <w:highlight w:val="none"/>
        </w:rPr>
        <w:fldChar w:fldCharType="end"/>
      </w:r>
      <w:r>
        <w:rPr>
          <w:rFonts w:hint="eastAsia" w:ascii="宋体" w:hAnsi="宋体" w:cs="宋体"/>
          <w:sz w:val="30"/>
          <w:szCs w:val="30"/>
          <w:highlight w:val="none"/>
        </w:rPr>
        <w:t>88</w:t>
      </w:r>
    </w:p>
    <w:p>
      <w:pPr>
        <w:pStyle w:val="24"/>
        <w:tabs>
          <w:tab w:val="right" w:leader="dot" w:pos="8256"/>
        </w:tabs>
        <w:spacing w:line="480" w:lineRule="auto"/>
        <w:rPr>
          <w:rFonts w:ascii="宋体" w:hAnsi="宋体" w:cs="宋体"/>
          <w:sz w:val="30"/>
          <w:szCs w:val="30"/>
          <w:highlight w:val="none"/>
        </w:rPr>
      </w:pPr>
      <w:r>
        <w:rPr>
          <w:highlight w:val="none"/>
        </w:rPr>
        <w:fldChar w:fldCharType="begin"/>
      </w:r>
      <w:r>
        <w:rPr>
          <w:highlight w:val="none"/>
        </w:rPr>
        <w:instrText xml:space="preserve"> HYPERLINK \l "_Toc30420" </w:instrText>
      </w:r>
      <w:r>
        <w:rPr>
          <w:highlight w:val="none"/>
        </w:rPr>
        <w:fldChar w:fldCharType="separate"/>
      </w:r>
      <w:r>
        <w:rPr>
          <w:rFonts w:hint="eastAsia" w:ascii="宋体" w:hAnsi="宋体" w:cs="宋体"/>
          <w:sz w:val="30"/>
          <w:szCs w:val="30"/>
          <w:highlight w:val="none"/>
        </w:rPr>
        <w:t>第六部分   投标文件（格式）</w:t>
      </w:r>
      <w:r>
        <w:rPr>
          <w:rFonts w:hint="eastAsia" w:ascii="宋体" w:hAnsi="宋体" w:cs="宋体"/>
          <w:sz w:val="30"/>
          <w:szCs w:val="30"/>
          <w:highlight w:val="none"/>
        </w:rPr>
        <w:tab/>
      </w:r>
      <w:r>
        <w:rPr>
          <w:rFonts w:hint="eastAsia" w:ascii="宋体" w:hAnsi="宋体" w:cs="宋体"/>
          <w:sz w:val="30"/>
          <w:szCs w:val="30"/>
          <w:highlight w:val="none"/>
        </w:rPr>
        <w:t>1</w:t>
      </w:r>
      <w:r>
        <w:rPr>
          <w:rFonts w:hint="eastAsia" w:ascii="宋体" w:hAnsi="宋体" w:cs="宋体"/>
          <w:sz w:val="30"/>
          <w:szCs w:val="30"/>
          <w:highlight w:val="none"/>
        </w:rPr>
        <w:fldChar w:fldCharType="end"/>
      </w:r>
      <w:r>
        <w:rPr>
          <w:rFonts w:hint="eastAsia" w:ascii="宋体" w:hAnsi="宋体" w:cs="宋体"/>
          <w:sz w:val="30"/>
          <w:szCs w:val="30"/>
          <w:highlight w:val="none"/>
        </w:rPr>
        <w:t>00</w:t>
      </w:r>
    </w:p>
    <w:p>
      <w:pPr>
        <w:spacing w:line="360" w:lineRule="auto"/>
        <w:jc w:val="center"/>
        <w:rPr>
          <w:rFonts w:ascii="宋体" w:hAnsi="宋体" w:cs="宋体"/>
          <w:b/>
          <w:bCs/>
          <w:sz w:val="52"/>
          <w:highlight w:val="none"/>
        </w:rPr>
      </w:pPr>
      <w:r>
        <w:rPr>
          <w:rFonts w:hint="eastAsia" w:ascii="宋体" w:hAnsi="宋体" w:cs="宋体"/>
          <w:bCs/>
          <w:highlight w:val="none"/>
        </w:rPr>
        <w:fldChar w:fldCharType="end"/>
      </w:r>
    </w:p>
    <w:p>
      <w:pPr>
        <w:spacing w:line="480" w:lineRule="auto"/>
        <w:rPr>
          <w:rFonts w:ascii="宋体" w:hAnsi="宋体" w:cs="宋体"/>
          <w:bCs/>
          <w:sz w:val="32"/>
          <w:szCs w:val="32"/>
          <w:highlight w:val="none"/>
        </w:rPr>
      </w:pPr>
    </w:p>
    <w:p>
      <w:pPr>
        <w:spacing w:line="360" w:lineRule="auto"/>
        <w:rPr>
          <w:rFonts w:ascii="宋体" w:hAnsi="宋体" w:cs="宋体"/>
          <w:b/>
          <w:bCs/>
          <w:sz w:val="44"/>
          <w:highlight w:val="none"/>
        </w:rPr>
      </w:pPr>
    </w:p>
    <w:p>
      <w:pPr>
        <w:spacing w:line="360" w:lineRule="auto"/>
        <w:rPr>
          <w:rFonts w:ascii="宋体" w:hAnsi="宋体" w:cs="宋体"/>
          <w:b/>
          <w:bCs/>
          <w:sz w:val="44"/>
          <w:highlight w:val="none"/>
        </w:rPr>
        <w:sectPr>
          <w:pgSz w:w="11850" w:h="16783"/>
          <w:pgMar w:top="1440" w:right="1797" w:bottom="1440" w:left="1797" w:header="851" w:footer="992" w:gutter="0"/>
          <w:cols w:space="720" w:num="1"/>
          <w:docGrid w:linePitch="286" w:charSpace="0"/>
        </w:sectPr>
      </w:pPr>
    </w:p>
    <w:p>
      <w:pPr>
        <w:pStyle w:val="56"/>
        <w:rPr>
          <w:highlight w:val="none"/>
        </w:rPr>
      </w:pPr>
    </w:p>
    <w:p>
      <w:pPr>
        <w:spacing w:line="360" w:lineRule="auto"/>
        <w:rPr>
          <w:rFonts w:ascii="宋体" w:hAnsi="宋体" w:cs="宋体"/>
          <w:b/>
          <w:bCs/>
          <w:sz w:val="44"/>
          <w:highlight w:val="none"/>
        </w:rPr>
      </w:pPr>
    </w:p>
    <w:p>
      <w:pPr>
        <w:spacing w:line="360" w:lineRule="auto"/>
        <w:rPr>
          <w:rFonts w:ascii="宋体" w:hAnsi="宋体" w:cs="宋体"/>
          <w:b/>
          <w:bCs/>
          <w:sz w:val="44"/>
          <w:highlight w:val="none"/>
        </w:rPr>
      </w:pPr>
    </w:p>
    <w:p>
      <w:pPr>
        <w:pStyle w:val="15"/>
        <w:rPr>
          <w:highlight w:val="none"/>
        </w:rPr>
      </w:pPr>
    </w:p>
    <w:p>
      <w:pPr>
        <w:spacing w:line="360" w:lineRule="auto"/>
        <w:rPr>
          <w:rFonts w:ascii="宋体" w:hAnsi="宋体" w:cs="宋体"/>
          <w:b/>
          <w:bCs/>
          <w:sz w:val="44"/>
          <w:highlight w:val="none"/>
        </w:rPr>
      </w:pPr>
    </w:p>
    <w:p>
      <w:pPr>
        <w:pStyle w:val="16"/>
        <w:ind w:firstLine="420"/>
        <w:rPr>
          <w:highlight w:val="none"/>
        </w:rPr>
      </w:pPr>
    </w:p>
    <w:p>
      <w:pPr>
        <w:rPr>
          <w:highlight w:val="none"/>
        </w:rPr>
      </w:pPr>
    </w:p>
    <w:p>
      <w:pPr>
        <w:pStyle w:val="56"/>
        <w:rPr>
          <w:highlight w:val="none"/>
        </w:rPr>
      </w:pPr>
    </w:p>
    <w:p>
      <w:pPr>
        <w:rPr>
          <w:highlight w:val="none"/>
        </w:rPr>
      </w:pPr>
    </w:p>
    <w:p>
      <w:pPr>
        <w:pStyle w:val="16"/>
        <w:ind w:firstLine="420"/>
        <w:rPr>
          <w:highlight w:val="none"/>
        </w:rPr>
      </w:pPr>
    </w:p>
    <w:p>
      <w:pPr>
        <w:pStyle w:val="5"/>
        <w:jc w:val="center"/>
        <w:rPr>
          <w:highlight w:val="none"/>
        </w:rPr>
      </w:pPr>
      <w:bookmarkStart w:id="0" w:name="_Toc19140"/>
      <w:bookmarkStart w:id="1" w:name="_Toc6915"/>
      <w:bookmarkStart w:id="2" w:name="_Toc424826961"/>
      <w:r>
        <w:rPr>
          <w:rFonts w:hint="eastAsia"/>
          <w:highlight w:val="none"/>
        </w:rPr>
        <w:t>第一部分 招标公告</w:t>
      </w:r>
      <w:bookmarkEnd w:id="0"/>
      <w:bookmarkEnd w:id="1"/>
      <w:bookmarkEnd w:id="2"/>
    </w:p>
    <w:p>
      <w:pPr>
        <w:spacing w:line="360" w:lineRule="auto"/>
        <w:ind w:left="360"/>
        <w:rPr>
          <w:rFonts w:ascii="宋体" w:hAnsi="宋体" w:cs="宋体"/>
          <w:b/>
          <w:sz w:val="24"/>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b/>
          <w:sz w:val="32"/>
          <w:highlight w:val="none"/>
        </w:rPr>
      </w:pPr>
    </w:p>
    <w:p>
      <w:pPr>
        <w:jc w:val="center"/>
        <w:rPr>
          <w:b/>
          <w:sz w:val="32"/>
          <w:highlight w:val="none"/>
        </w:rPr>
      </w:pPr>
    </w:p>
    <w:p>
      <w:pPr>
        <w:pStyle w:val="15"/>
        <w:rPr>
          <w:b/>
          <w:sz w:val="32"/>
          <w:highlight w:val="none"/>
        </w:rPr>
      </w:pPr>
    </w:p>
    <w:p>
      <w:pPr>
        <w:rPr>
          <w:b/>
          <w:sz w:val="32"/>
          <w:highlight w:val="none"/>
        </w:rPr>
      </w:pPr>
    </w:p>
    <w:p>
      <w:pPr>
        <w:pStyle w:val="15"/>
        <w:rPr>
          <w:b/>
          <w:sz w:val="32"/>
          <w:highlight w:val="none"/>
        </w:rPr>
      </w:pPr>
    </w:p>
    <w:p>
      <w:pPr>
        <w:spacing w:line="360" w:lineRule="auto"/>
        <w:rPr>
          <w:rFonts w:ascii="宋体" w:hAnsi="宋体" w:cs="宋体"/>
          <w:b/>
          <w:bCs/>
          <w:kern w:val="0"/>
          <w:sz w:val="44"/>
          <w:szCs w:val="44"/>
          <w:highlight w:val="none"/>
        </w:rPr>
      </w:pPr>
    </w:p>
    <w:p>
      <w:pPr>
        <w:rPr>
          <w:rFonts w:hint="eastAsia" w:ascii="??" w:hAnsi="??" w:cs="宋体"/>
          <w:b/>
          <w:bCs/>
          <w:i w:val="0"/>
          <w:iCs w:val="0"/>
          <w:sz w:val="32"/>
          <w:szCs w:val="32"/>
          <w:highlight w:val="none"/>
          <w:lang w:eastAsia="zh-CN"/>
        </w:rPr>
      </w:pPr>
      <w:bookmarkStart w:id="3" w:name="_Toc424826962"/>
      <w:bookmarkStart w:id="4" w:name="_Toc7052"/>
      <w:r>
        <w:rPr>
          <w:rFonts w:hint="eastAsia" w:ascii="??" w:hAnsi="??" w:cs="宋体"/>
          <w:b/>
          <w:bCs/>
          <w:i w:val="0"/>
          <w:iCs w:val="0"/>
          <w:sz w:val="32"/>
          <w:szCs w:val="32"/>
          <w:highlight w:val="none"/>
          <w:lang w:eastAsia="zh-CN"/>
        </w:rPr>
        <w:br w:type="page"/>
      </w:r>
    </w:p>
    <w:p>
      <w:pPr>
        <w:pStyle w:val="16"/>
        <w:ind w:firstLine="643"/>
        <w:jc w:val="center"/>
        <w:rPr>
          <w:rFonts w:hint="eastAsia" w:ascii="??" w:hAnsi="??" w:eastAsia="宋体" w:cs="宋体"/>
          <w:b/>
          <w:bCs/>
          <w:i w:val="0"/>
          <w:iCs w:val="0"/>
          <w:sz w:val="32"/>
          <w:szCs w:val="32"/>
          <w:highlight w:val="none"/>
          <w:lang w:eastAsia="zh-CN"/>
        </w:rPr>
      </w:pPr>
      <w:r>
        <w:rPr>
          <w:rFonts w:hint="eastAsia" w:ascii="??" w:hAnsi="??" w:cs="宋体"/>
          <w:b/>
          <w:bCs/>
          <w:i w:val="0"/>
          <w:iCs w:val="0"/>
          <w:sz w:val="32"/>
          <w:szCs w:val="32"/>
          <w:highlight w:val="none"/>
          <w:lang w:eastAsia="zh-CN"/>
        </w:rPr>
        <w:t>商洛市妇幼保健院网络安全等级保护建设项目</w:t>
      </w:r>
    </w:p>
    <w:p>
      <w:pPr>
        <w:pStyle w:val="16"/>
        <w:ind w:firstLine="562"/>
        <w:jc w:val="center"/>
        <w:rPr>
          <w:rFonts w:ascii="??" w:hAnsi="??" w:cs="宋体"/>
          <w:b/>
          <w:bCs/>
          <w:i w:val="0"/>
          <w:iCs w:val="0"/>
          <w:color w:val="auto"/>
          <w:sz w:val="28"/>
          <w:szCs w:val="32"/>
          <w:highlight w:val="none"/>
        </w:rPr>
      </w:pPr>
      <w:r>
        <w:rPr>
          <w:rFonts w:hint="eastAsia" w:ascii="??" w:hAnsi="??" w:cs="宋体"/>
          <w:b/>
          <w:bCs/>
          <w:i w:val="0"/>
          <w:iCs w:val="0"/>
          <w:color w:val="auto"/>
          <w:sz w:val="28"/>
          <w:szCs w:val="32"/>
          <w:highlight w:val="none"/>
        </w:rPr>
        <w:t>招标公告</w:t>
      </w:r>
    </w:p>
    <w:p>
      <w:pPr>
        <w:spacing w:line="360" w:lineRule="auto"/>
        <w:ind w:firstLine="480" w:firstLineChars="200"/>
        <w:rPr>
          <w:rFonts w:ascii="宋体" w:cs="宋体"/>
          <w:kern w:val="0"/>
          <w:sz w:val="24"/>
          <w:szCs w:val="22"/>
          <w:highlight w:val="none"/>
        </w:rPr>
      </w:pPr>
      <w:r>
        <w:rPr>
          <w:rFonts w:hint="eastAsia" w:ascii="宋体" w:hAnsi="宋体" w:cs="宋体"/>
          <w:kern w:val="0"/>
          <w:sz w:val="24"/>
          <w:highlight w:val="none"/>
        </w:rPr>
        <w:t>陕西德信招标有限公司</w:t>
      </w:r>
      <w:r>
        <w:rPr>
          <w:rFonts w:ascii="宋体" w:hAnsi="宋体" w:cs="宋体"/>
          <w:kern w:val="0"/>
          <w:sz w:val="24"/>
          <w:highlight w:val="none"/>
        </w:rPr>
        <w:t>受</w:t>
      </w:r>
      <w:r>
        <w:rPr>
          <w:rFonts w:hint="eastAsia" w:cs="宋体"/>
          <w:kern w:val="0"/>
          <w:sz w:val="24"/>
          <w:highlight w:val="none"/>
          <w:lang w:eastAsia="zh-CN"/>
        </w:rPr>
        <w:t>商洛市妇幼保健院</w:t>
      </w:r>
      <w:r>
        <w:rPr>
          <w:rFonts w:ascii="宋体" w:hAnsi="宋体" w:cs="宋体"/>
          <w:kern w:val="0"/>
          <w:sz w:val="24"/>
          <w:highlight w:val="none"/>
        </w:rPr>
        <w:t>的委托，</w:t>
      </w:r>
      <w:r>
        <w:rPr>
          <w:rFonts w:hint="eastAsia" w:ascii="宋体" w:hAnsi="宋体" w:cs="宋体"/>
          <w:kern w:val="0"/>
          <w:sz w:val="24"/>
          <w:highlight w:val="none"/>
        </w:rPr>
        <w:t>经政府采购管理部门批准，</w:t>
      </w:r>
      <w:r>
        <w:rPr>
          <w:rFonts w:ascii="宋体" w:hAnsi="宋体" w:cs="宋体"/>
          <w:kern w:val="0"/>
          <w:sz w:val="24"/>
          <w:highlight w:val="none"/>
        </w:rPr>
        <w:t>按照政府采购程序，对</w:t>
      </w:r>
      <w:r>
        <w:rPr>
          <w:rFonts w:hint="eastAsia" w:cs="宋体"/>
          <w:kern w:val="0"/>
          <w:sz w:val="24"/>
          <w:highlight w:val="none"/>
          <w:lang w:eastAsia="zh-CN"/>
        </w:rPr>
        <w:t>商洛市妇幼保健院网络安全等级保护建设项目</w:t>
      </w:r>
      <w:r>
        <w:rPr>
          <w:rFonts w:ascii="宋体" w:hAnsi="宋体" w:cs="宋体"/>
          <w:kern w:val="0"/>
          <w:sz w:val="24"/>
          <w:highlight w:val="none"/>
        </w:rPr>
        <w:t>进行公开招标</w:t>
      </w:r>
      <w:r>
        <w:rPr>
          <w:rFonts w:hint="eastAsia" w:ascii="宋体" w:hAnsi="宋体" w:cs="宋体"/>
          <w:kern w:val="0"/>
          <w:sz w:val="24"/>
          <w:highlight w:val="none"/>
        </w:rPr>
        <w:t>采购</w:t>
      </w:r>
      <w:r>
        <w:rPr>
          <w:rFonts w:ascii="宋体" w:hAnsi="宋体" w:cs="宋体"/>
          <w:kern w:val="0"/>
          <w:sz w:val="24"/>
          <w:highlight w:val="none"/>
        </w:rPr>
        <w:t>，欢迎符合资格条件的、有能力提供本项目所需</w:t>
      </w:r>
      <w:r>
        <w:rPr>
          <w:rFonts w:hint="eastAsia"/>
          <w:sz w:val="24"/>
          <w:highlight w:val="none"/>
        </w:rPr>
        <w:t>货物和</w:t>
      </w:r>
      <w:r>
        <w:rPr>
          <w:rFonts w:ascii="宋体" w:hAnsi="宋体" w:cs="宋体"/>
          <w:kern w:val="0"/>
          <w:sz w:val="24"/>
          <w:highlight w:val="none"/>
        </w:rPr>
        <w:t xml:space="preserve">服务的供应商参加投标。 </w:t>
      </w:r>
    </w:p>
    <w:p>
      <w:pPr>
        <w:widowControl/>
        <w:numPr>
          <w:ilvl w:val="0"/>
          <w:numId w:val="2"/>
        </w:numPr>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采购项目名称：</w:t>
      </w:r>
      <w:r>
        <w:rPr>
          <w:rFonts w:hint="eastAsia" w:cs="宋体"/>
          <w:kern w:val="0"/>
          <w:sz w:val="24"/>
          <w:highlight w:val="none"/>
          <w:lang w:eastAsia="zh-CN"/>
        </w:rPr>
        <w:t>商洛市妇幼保健院网络安全等级保护建设项目</w:t>
      </w:r>
    </w:p>
    <w:p>
      <w:pPr>
        <w:widowControl/>
        <w:numPr>
          <w:ilvl w:val="0"/>
          <w:numId w:val="2"/>
        </w:numPr>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采</w:t>
      </w:r>
      <w:r>
        <w:rPr>
          <w:rFonts w:hint="eastAsia" w:ascii="宋体" w:hAnsi="宋体" w:cs="宋体"/>
          <w:kern w:val="0"/>
          <w:sz w:val="24"/>
          <w:highlight w:val="none"/>
        </w:rPr>
        <w:t>购项目编号：</w:t>
      </w:r>
      <w:r>
        <w:rPr>
          <w:rFonts w:hint="eastAsia" w:cs="宋体"/>
          <w:kern w:val="0"/>
          <w:sz w:val="24"/>
          <w:highlight w:val="none"/>
          <w:lang w:eastAsia="zh-CN"/>
        </w:rPr>
        <w:t>DXZB-2022-0636</w:t>
      </w:r>
    </w:p>
    <w:p>
      <w:pPr>
        <w:widowControl/>
        <w:numPr>
          <w:ilvl w:val="0"/>
          <w:numId w:val="2"/>
        </w:num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采购人名称：</w:t>
      </w:r>
      <w:r>
        <w:rPr>
          <w:rFonts w:hint="eastAsia" w:cs="宋体"/>
          <w:kern w:val="0"/>
          <w:sz w:val="24"/>
          <w:highlight w:val="none"/>
          <w:lang w:eastAsia="zh-CN"/>
        </w:rPr>
        <w:t>商洛市妇幼保健院</w:t>
      </w:r>
    </w:p>
    <w:p>
      <w:pPr>
        <w:widowControl/>
        <w:spacing w:line="360" w:lineRule="auto"/>
        <w:ind w:left="420" w:leftChars="200"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000000" w:themeColor="text1"/>
          <w:kern w:val="0"/>
          <w:sz w:val="24"/>
          <w:highlight w:val="none"/>
          <w14:textFill>
            <w14:solidFill>
              <w14:schemeClr w14:val="tx1"/>
            </w14:solidFill>
          </w14:textFill>
        </w:rPr>
        <w:t>地</w:t>
      </w:r>
      <w:r>
        <w:rPr>
          <w:rFonts w:hint="eastAsia" w:ascii="宋体" w:hAnsi="宋体" w:cs="宋体"/>
          <w:color w:val="auto"/>
          <w:kern w:val="0"/>
          <w:sz w:val="24"/>
          <w:highlight w:val="none"/>
        </w:rPr>
        <w:t>址：</w:t>
      </w:r>
      <w:r>
        <w:rPr>
          <w:rFonts w:hint="eastAsia" w:cs="宋体"/>
          <w:color w:val="auto"/>
          <w:kern w:val="0"/>
          <w:sz w:val="24"/>
          <w:highlight w:val="none"/>
          <w:lang w:eastAsia="zh-CN"/>
        </w:rPr>
        <w:t>陕西省商洛市商州区北新街西段60号</w:t>
      </w:r>
    </w:p>
    <w:p>
      <w:pPr>
        <w:widowControl/>
        <w:spacing w:line="360" w:lineRule="auto"/>
        <w:ind w:left="420" w:leftChars="2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联系人：余老师</w:t>
      </w:r>
    </w:p>
    <w:p>
      <w:pPr>
        <w:widowControl/>
        <w:spacing w:line="360" w:lineRule="auto"/>
        <w:ind w:left="420" w:leftChars="200"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联系方式</w:t>
      </w:r>
      <w:r>
        <w:rPr>
          <w:rFonts w:hint="eastAsia" w:ascii="宋体" w:hAnsi="宋体"/>
          <w:bCs/>
          <w:color w:val="auto"/>
          <w:sz w:val="24"/>
          <w:highlight w:val="none"/>
        </w:rPr>
        <w:t>：</w:t>
      </w:r>
      <w:r>
        <w:rPr>
          <w:rFonts w:hint="eastAsia"/>
          <w:bCs/>
          <w:color w:val="auto"/>
          <w:sz w:val="24"/>
          <w:highlight w:val="none"/>
          <w:lang w:eastAsia="zh-CN"/>
        </w:rPr>
        <w:t>0914-2093801</w:t>
      </w:r>
    </w:p>
    <w:p>
      <w:pPr>
        <w:widowControl/>
        <w:numPr>
          <w:ilvl w:val="0"/>
          <w:numId w:val="2"/>
        </w:num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采购代理机构名称：</w:t>
      </w:r>
      <w:r>
        <w:rPr>
          <w:rFonts w:hint="eastAsia" w:ascii="宋体" w:hAnsi="宋体" w:cs="宋体"/>
          <w:color w:val="000000" w:themeColor="text1"/>
          <w:kern w:val="0"/>
          <w:sz w:val="24"/>
          <w:highlight w:val="none"/>
          <w14:textFill>
            <w14:solidFill>
              <w14:schemeClr w14:val="tx1"/>
            </w14:solidFill>
          </w14:textFill>
        </w:rPr>
        <w:t>陕西德信招标有限公司</w:t>
      </w:r>
    </w:p>
    <w:p>
      <w:pPr>
        <w:spacing w:line="360" w:lineRule="auto"/>
        <w:ind w:firstLine="960" w:firstLineChars="400"/>
        <w:rPr>
          <w:rFonts w:ascii="宋体" w:cs="宋体"/>
          <w:kern w:val="0"/>
          <w:sz w:val="24"/>
          <w:highlight w:val="none"/>
        </w:rPr>
      </w:pPr>
      <w:r>
        <w:rPr>
          <w:rFonts w:ascii="宋体" w:hAnsi="宋体" w:cs="宋体"/>
          <w:kern w:val="0"/>
          <w:sz w:val="24"/>
          <w:highlight w:val="none"/>
        </w:rPr>
        <w:t>地址：</w:t>
      </w:r>
      <w:r>
        <w:rPr>
          <w:rFonts w:hint="eastAsia" w:ascii="宋体" w:hAnsi="宋体"/>
          <w:bCs/>
          <w:sz w:val="24"/>
          <w:highlight w:val="none"/>
        </w:rPr>
        <w:t>陕西省西安市雁塔区南二环东段凯森盛世一号A座5层</w:t>
      </w:r>
    </w:p>
    <w:p>
      <w:pPr>
        <w:widowControl/>
        <w:spacing w:line="360" w:lineRule="auto"/>
        <w:ind w:firstLine="960" w:firstLineChars="400"/>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联系人：</w:t>
      </w:r>
      <w:r>
        <w:rPr>
          <w:rFonts w:hint="eastAsia" w:cs="宋体"/>
          <w:kern w:val="0"/>
          <w:sz w:val="24"/>
          <w:highlight w:val="none"/>
          <w:lang w:eastAsia="zh-CN"/>
        </w:rPr>
        <w:t>赵恬钰</w:t>
      </w:r>
    </w:p>
    <w:p>
      <w:pPr>
        <w:widowControl/>
        <w:spacing w:line="360" w:lineRule="auto"/>
        <w:ind w:firstLine="960" w:firstLineChars="400"/>
        <w:jc w:val="left"/>
        <w:rPr>
          <w:rFonts w:hint="default" w:ascii="宋体" w:hAnsi="宋体" w:eastAsia="宋体" w:cs="宋体"/>
          <w:kern w:val="0"/>
          <w:sz w:val="24"/>
          <w:highlight w:val="none"/>
          <w:lang w:val="en-US" w:eastAsia="zh-CN"/>
        </w:rPr>
      </w:pPr>
      <w:r>
        <w:rPr>
          <w:rFonts w:ascii="宋体" w:hAnsi="宋体" w:cs="宋体"/>
          <w:kern w:val="0"/>
          <w:sz w:val="24"/>
          <w:highlight w:val="none"/>
        </w:rPr>
        <w:t>联系方式：029-</w:t>
      </w:r>
      <w:r>
        <w:rPr>
          <w:rFonts w:hint="eastAsia" w:ascii="宋体" w:hAnsi="宋体" w:cs="宋体"/>
          <w:kern w:val="0"/>
          <w:sz w:val="24"/>
          <w:highlight w:val="none"/>
        </w:rPr>
        <w:t>82694900</w:t>
      </w:r>
      <w:r>
        <w:rPr>
          <w:rFonts w:hint="eastAsia" w:cs="宋体"/>
          <w:kern w:val="0"/>
          <w:sz w:val="24"/>
          <w:highlight w:val="none"/>
          <w:lang w:val="en-US" w:eastAsia="zh-CN"/>
        </w:rPr>
        <w:t>转9025</w:t>
      </w:r>
    </w:p>
    <w:p>
      <w:pPr>
        <w:widowControl/>
        <w:numPr>
          <w:ilvl w:val="0"/>
          <w:numId w:val="3"/>
        </w:numPr>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采购内容和要求：（共</w:t>
      </w:r>
      <w:r>
        <w:rPr>
          <w:rFonts w:hint="eastAsia" w:ascii="宋体" w:hAnsi="宋体" w:cs="宋体"/>
          <w:kern w:val="0"/>
          <w:sz w:val="24"/>
          <w:highlight w:val="none"/>
        </w:rPr>
        <w:t>1</w:t>
      </w:r>
      <w:r>
        <w:rPr>
          <w:rFonts w:ascii="宋体" w:hAnsi="宋体" w:cs="宋体"/>
          <w:kern w:val="0"/>
          <w:sz w:val="24"/>
          <w:highlight w:val="none"/>
        </w:rPr>
        <w:t xml:space="preserve">包、具体技术参数详见招标文件） </w:t>
      </w:r>
    </w:p>
    <w:p>
      <w:pPr>
        <w:widowControl/>
        <w:spacing w:line="360" w:lineRule="auto"/>
        <w:ind w:firstLine="960" w:firstLineChars="400"/>
        <w:jc w:val="left"/>
        <w:rPr>
          <w:rFonts w:hint="eastAsia" w:ascii="宋体" w:hAnsi="宋体" w:eastAsia="宋体" w:cs="宋体"/>
          <w:kern w:val="0"/>
          <w:sz w:val="24"/>
          <w:highlight w:val="none"/>
        </w:rPr>
      </w:pPr>
      <w:r>
        <w:rPr>
          <w:rFonts w:hint="eastAsia" w:ascii="宋体" w:hAnsi="宋体" w:cs="宋体"/>
          <w:kern w:val="0"/>
          <w:sz w:val="24"/>
          <w:highlight w:val="none"/>
        </w:rPr>
        <w:t>采购内容</w:t>
      </w:r>
      <w:r>
        <w:rPr>
          <w:rFonts w:hint="eastAsia" w:ascii="宋体" w:hAnsi="宋体" w:eastAsia="宋体" w:cs="宋体"/>
          <w:kern w:val="0"/>
          <w:sz w:val="24"/>
          <w:highlight w:val="none"/>
        </w:rPr>
        <w:t>：</w:t>
      </w:r>
      <w:r>
        <w:rPr>
          <w:rFonts w:hint="eastAsia" w:ascii="宋体" w:hAnsi="宋体" w:eastAsia="宋体" w:cs="宋体"/>
          <w:kern w:val="0"/>
          <w:sz w:val="24"/>
          <w:highlight w:val="none"/>
          <w:lang w:eastAsia="zh-CN"/>
        </w:rPr>
        <w:t>网络安全等级保护建设</w:t>
      </w:r>
    </w:p>
    <w:p>
      <w:pPr>
        <w:widowControl/>
        <w:spacing w:line="360" w:lineRule="auto"/>
        <w:ind w:firstLine="960" w:firstLineChars="4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项目预算：人民币</w:t>
      </w:r>
      <w:r>
        <w:rPr>
          <w:rFonts w:hint="eastAsia" w:cs="宋体"/>
          <w:kern w:val="0"/>
          <w:sz w:val="24"/>
          <w:highlight w:val="none"/>
          <w:lang w:eastAsia="zh-CN"/>
        </w:rPr>
        <w:t>189.84万元</w:t>
      </w:r>
    </w:p>
    <w:p>
      <w:pPr>
        <w:widowControl/>
        <w:spacing w:line="360" w:lineRule="auto"/>
        <w:ind w:firstLine="960" w:firstLineChars="400"/>
        <w:jc w:val="left"/>
        <w:rPr>
          <w:rFonts w:ascii="宋体" w:hAnsi="宋体" w:cs="宋体"/>
          <w:kern w:val="0"/>
          <w:sz w:val="24"/>
          <w:highlight w:val="none"/>
        </w:rPr>
      </w:pPr>
      <w:r>
        <w:rPr>
          <w:rFonts w:ascii="宋体" w:hAnsi="宋体" w:cs="宋体"/>
          <w:kern w:val="0"/>
          <w:sz w:val="24"/>
          <w:highlight w:val="none"/>
        </w:rPr>
        <w:t>项目用途：</w:t>
      </w:r>
      <w:r>
        <w:rPr>
          <w:rFonts w:hint="eastAsia" w:ascii="宋体" w:hAnsi="宋体" w:cs="宋体"/>
          <w:kern w:val="0"/>
          <w:sz w:val="24"/>
          <w:highlight w:val="none"/>
        </w:rPr>
        <w:t>自用</w:t>
      </w:r>
    </w:p>
    <w:p>
      <w:pPr>
        <w:widowControl/>
        <w:numPr>
          <w:ilvl w:val="0"/>
          <w:numId w:val="3"/>
        </w:numPr>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投标人资格要求：</w:t>
      </w:r>
    </w:p>
    <w:p>
      <w:pPr>
        <w:widowControl/>
        <w:spacing w:line="360" w:lineRule="auto"/>
        <w:ind w:left="420" w:leftChars="200" w:firstLine="240" w:firstLineChars="100"/>
        <w:jc w:val="left"/>
        <w:rPr>
          <w:sz w:val="24"/>
          <w:highlight w:val="none"/>
        </w:rPr>
      </w:pPr>
      <w:r>
        <w:rPr>
          <w:rFonts w:hint="eastAsia"/>
          <w:sz w:val="24"/>
          <w:highlight w:val="none"/>
        </w:rPr>
        <w:t>符合《中华人民共和国政府采购法》第二十二条之规定，有能力提供本</w:t>
      </w:r>
    </w:p>
    <w:p>
      <w:pPr>
        <w:widowControl/>
        <w:spacing w:line="360" w:lineRule="auto"/>
        <w:jc w:val="left"/>
        <w:rPr>
          <w:rFonts w:ascii="新宋体" w:hAnsi="新宋体" w:eastAsia="新宋体" w:cs="宋体"/>
          <w:kern w:val="0"/>
          <w:sz w:val="24"/>
          <w:highlight w:val="none"/>
        </w:rPr>
      </w:pPr>
      <w:r>
        <w:rPr>
          <w:rFonts w:hint="eastAsia"/>
          <w:sz w:val="24"/>
          <w:highlight w:val="none"/>
        </w:rPr>
        <w:t>次采购货物和服务，同时符合下列条件的供应商：</w:t>
      </w:r>
    </w:p>
    <w:p>
      <w:pPr>
        <w:widowControl/>
        <w:spacing w:line="360" w:lineRule="auto"/>
        <w:ind w:firstLine="441" w:firstLineChars="184"/>
        <w:jc w:val="left"/>
        <w:rPr>
          <w:rFonts w:ascii="宋体" w:hAnsi="宋体" w:cs="宋体"/>
          <w:kern w:val="0"/>
          <w:sz w:val="24"/>
          <w:highlight w:val="none"/>
        </w:rPr>
      </w:pPr>
      <w:r>
        <w:rPr>
          <w:rFonts w:hint="eastAsia" w:ascii="宋体" w:hAnsi="宋体" w:cs="宋体"/>
          <w:kern w:val="0"/>
          <w:sz w:val="24"/>
          <w:highlight w:val="none"/>
        </w:rPr>
        <w:t>（1）、具有独立承担民事责任能力的法人或非法人组织或自然人，提供合法有效的统一社会信用代码的营业执照等证明文件；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kern w:val="0"/>
          <w:sz w:val="24"/>
          <w:highlight w:val="none"/>
        </w:rPr>
      </w:pPr>
      <w:r>
        <w:rPr>
          <w:rFonts w:hint="eastAsia" w:ascii="宋体" w:hAnsi="宋体" w:cs="宋体"/>
          <w:kern w:val="0"/>
          <w:sz w:val="24"/>
          <w:highlight w:val="none"/>
        </w:rPr>
        <w:t>（2）、提供法定代表人授权委托书及被授权人身份证（投标人为法定代表人时，须提交法定代表人证明书）；</w:t>
      </w:r>
    </w:p>
    <w:p>
      <w:pPr>
        <w:widowControl/>
        <w:spacing w:line="360" w:lineRule="auto"/>
        <w:ind w:firstLine="441" w:firstLineChars="184"/>
        <w:jc w:val="left"/>
        <w:rPr>
          <w:rFonts w:ascii="宋体" w:hAnsi="宋体" w:cs="宋体"/>
          <w:kern w:val="0"/>
          <w:sz w:val="24"/>
          <w:szCs w:val="22"/>
          <w:highlight w:val="none"/>
        </w:rPr>
      </w:pPr>
      <w:r>
        <w:rPr>
          <w:rFonts w:hint="eastAsia" w:ascii="宋体" w:hAnsi="宋体" w:cs="宋体"/>
          <w:kern w:val="0"/>
          <w:sz w:val="24"/>
          <w:szCs w:val="22"/>
          <w:highlight w:val="none"/>
        </w:rPr>
        <w:t>（3）、提供2021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ascii="宋体" w:hAnsi="宋体" w:cs="宋体"/>
          <w:kern w:val="0"/>
          <w:sz w:val="24"/>
          <w:szCs w:val="22"/>
          <w:highlight w:val="none"/>
        </w:rPr>
      </w:pPr>
      <w:r>
        <w:rPr>
          <w:rFonts w:hint="eastAsia" w:ascii="宋体" w:hAnsi="宋体" w:cs="宋体"/>
          <w:kern w:val="0"/>
          <w:sz w:val="24"/>
          <w:szCs w:val="22"/>
          <w:highlight w:val="none"/>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ascii="宋体" w:hAnsi="宋体" w:cs="宋体"/>
          <w:kern w:val="0"/>
          <w:sz w:val="24"/>
          <w:szCs w:val="22"/>
          <w:highlight w:val="none"/>
        </w:rPr>
      </w:pPr>
      <w:r>
        <w:rPr>
          <w:rFonts w:hint="eastAsia" w:ascii="宋体" w:hAnsi="宋体" w:cs="宋体"/>
          <w:kern w:val="0"/>
          <w:sz w:val="24"/>
          <w:szCs w:val="22"/>
          <w:highlight w:val="none"/>
        </w:rPr>
        <w:t>（5）、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ascii="宋体" w:hAnsi="宋体" w:cs="宋体"/>
          <w:kern w:val="0"/>
          <w:sz w:val="24"/>
          <w:szCs w:val="22"/>
          <w:highlight w:val="none"/>
        </w:rPr>
      </w:pPr>
      <w:r>
        <w:rPr>
          <w:rFonts w:hint="eastAsia" w:ascii="宋体" w:hAnsi="宋体" w:cs="宋体"/>
          <w:kern w:val="0"/>
          <w:sz w:val="24"/>
          <w:szCs w:val="22"/>
          <w:highlight w:val="none"/>
        </w:rPr>
        <w:t>（6）、具有履行合同所必需的设备和专业技术能力的书面声明；</w:t>
      </w:r>
    </w:p>
    <w:p>
      <w:pPr>
        <w:widowControl/>
        <w:spacing w:line="360" w:lineRule="auto"/>
        <w:ind w:firstLine="441" w:firstLineChars="184"/>
        <w:jc w:val="left"/>
        <w:rPr>
          <w:rFonts w:ascii="宋体" w:hAnsi="宋体" w:cs="宋体"/>
          <w:kern w:val="0"/>
          <w:sz w:val="24"/>
          <w:highlight w:val="none"/>
        </w:rPr>
      </w:pPr>
      <w:r>
        <w:rPr>
          <w:rFonts w:hint="eastAsia" w:ascii="宋体" w:hAnsi="宋体" w:cs="宋体"/>
          <w:kern w:val="0"/>
          <w:sz w:val="24"/>
          <w:highlight w:val="none"/>
        </w:rPr>
        <w:t xml:space="preserve">（7）、提供参加政府采购活动前三年内，在经营活动中没有重大违法记录书面声明； </w:t>
      </w:r>
    </w:p>
    <w:p>
      <w:pPr>
        <w:widowControl/>
        <w:spacing w:line="360" w:lineRule="auto"/>
        <w:ind w:firstLine="441" w:firstLineChars="184"/>
        <w:jc w:val="left"/>
        <w:rPr>
          <w:rFonts w:ascii="宋体" w:hAnsi="宋体" w:cs="宋体"/>
          <w:kern w:val="0"/>
          <w:sz w:val="24"/>
          <w:highlight w:val="none"/>
        </w:rPr>
      </w:pPr>
      <w:r>
        <w:rPr>
          <w:rFonts w:hint="eastAsia" w:ascii="宋体" w:hAnsi="宋体" w:cs="宋体"/>
          <w:kern w:val="0"/>
          <w:sz w:val="24"/>
          <w:highlight w:val="none"/>
        </w:rPr>
        <w:t>（8）、</w:t>
      </w:r>
      <w:r>
        <w:rPr>
          <w:rFonts w:hint="eastAsia" w:ascii="宋体" w:hAnsi="宋体" w:cs="宋体"/>
          <w:sz w:val="24"/>
          <w:highlight w:val="none"/>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default" w:ascii="宋体" w:hAnsi="宋体" w:cs="宋体"/>
          <w:color w:val="auto"/>
          <w:kern w:val="0"/>
          <w:sz w:val="24"/>
          <w:highlight w:val="none"/>
          <w:lang w:val="en-US" w:eastAsia="zh-CN"/>
        </w:rPr>
      </w:pPr>
      <w:r>
        <w:rPr>
          <w:rFonts w:hint="eastAsia" w:ascii="宋体" w:hAnsi="宋体" w:cs="宋体"/>
          <w:kern w:val="0"/>
          <w:sz w:val="24"/>
          <w:highlight w:val="none"/>
        </w:rPr>
        <w:t>（9）、</w:t>
      </w:r>
      <w:r>
        <w:rPr>
          <w:rFonts w:hint="eastAsia" w:ascii="宋体" w:hAnsi="宋体" w:cs="宋体"/>
          <w:color w:val="auto"/>
          <w:kern w:val="0"/>
          <w:sz w:val="24"/>
          <w:highlight w:val="none"/>
          <w:lang w:val="en-US" w:eastAsia="zh-CN"/>
        </w:rPr>
        <w:t>本项目专门面向中小企业采购；须符合《政府采购促进中小企业发展管理办法》（财库〔2020〕46号）规定的中小企业参加，并提供《中小企业声明函》；</w:t>
      </w:r>
    </w:p>
    <w:p>
      <w:pPr>
        <w:widowControl/>
        <w:spacing w:line="360" w:lineRule="auto"/>
        <w:ind w:firstLine="441" w:firstLineChars="184"/>
        <w:jc w:val="left"/>
        <w:rPr>
          <w:rFonts w:ascii="宋体" w:hAnsi="宋体" w:cs="宋体"/>
          <w:b/>
          <w:sz w:val="24"/>
          <w:highlight w:val="none"/>
        </w:rPr>
      </w:pPr>
      <w:r>
        <w:rPr>
          <w:rFonts w:hint="eastAsia" w:ascii="宋体" w:hAnsi="宋体" w:cs="宋体"/>
          <w:color w:val="auto"/>
          <w:kern w:val="0"/>
          <w:sz w:val="24"/>
          <w:highlight w:val="none"/>
          <w:lang w:val="en-US" w:eastAsia="zh-CN"/>
        </w:rPr>
        <w:t>（10）、</w:t>
      </w:r>
      <w:r>
        <w:rPr>
          <w:rFonts w:hint="eastAsia" w:ascii="宋体" w:hAnsi="宋体" w:cs="宋体"/>
          <w:kern w:val="0"/>
          <w:sz w:val="24"/>
          <w:highlight w:val="none"/>
        </w:rPr>
        <w:t>本项目不接受联合体投标。</w:t>
      </w:r>
    </w:p>
    <w:p>
      <w:pPr>
        <w:widowControl/>
        <w:spacing w:line="360" w:lineRule="auto"/>
        <w:ind w:firstLine="441" w:firstLineChars="184"/>
        <w:jc w:val="left"/>
        <w:rPr>
          <w:rFonts w:ascii="宋体" w:hAnsi="宋体" w:cs="宋体"/>
          <w:kern w:val="0"/>
          <w:sz w:val="24"/>
          <w:highlight w:val="none"/>
        </w:rPr>
      </w:pPr>
      <w:r>
        <w:rPr>
          <w:rFonts w:hint="eastAsia" w:ascii="宋体" w:hAnsi="宋体" w:cs="宋体"/>
          <w:kern w:val="0"/>
          <w:sz w:val="24"/>
          <w:highlight w:val="none"/>
        </w:rPr>
        <w:t>七、招标文件发售</w:t>
      </w:r>
    </w:p>
    <w:p>
      <w:pPr>
        <w:widowControl/>
        <w:spacing w:line="360" w:lineRule="auto"/>
        <w:ind w:firstLine="681" w:firstLineChars="284"/>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（1）、文件售价：每套售价500元人民币，售后概不退还。</w:t>
      </w:r>
    </w:p>
    <w:p>
      <w:pPr>
        <w:widowControl/>
        <w:spacing w:line="360" w:lineRule="auto"/>
        <w:ind w:firstLine="681" w:firstLineChars="284"/>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（2）、缴纳地点：陕西省西安市雁塔区南二环东段凯森盛世一号A座五楼</w:t>
      </w:r>
    </w:p>
    <w:p>
      <w:pPr>
        <w:widowControl/>
        <w:spacing w:line="360" w:lineRule="auto"/>
        <w:ind w:firstLine="681" w:firstLineChars="284"/>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kern w:val="0"/>
          <w:sz w:val="24"/>
          <w:highlight w:val="none"/>
        </w:rPr>
        <w:t>（3）、缴纳时间</w:t>
      </w:r>
      <w:r>
        <w:rPr>
          <w:rFonts w:hint="eastAsia" w:ascii="宋体" w:hAnsi="宋体" w:cs="宋体"/>
          <w:kern w:val="0"/>
          <w:sz w:val="24"/>
          <w:highlight w:val="none"/>
          <w:u w:val="none"/>
        </w:rPr>
        <w:t>：</w:t>
      </w:r>
      <w:r>
        <w:rPr>
          <w:rFonts w:hint="eastAsia" w:ascii="宋体" w:hAnsi="宋体" w:cs="宋体"/>
          <w:color w:val="auto"/>
          <w:kern w:val="0"/>
          <w:sz w:val="24"/>
          <w:highlight w:val="none"/>
          <w:u w:val="none"/>
          <w:lang w:val="en-US" w:eastAsia="zh-CN"/>
        </w:rPr>
        <w:t>2022</w:t>
      </w:r>
      <w:r>
        <w:rPr>
          <w:rFonts w:hint="eastAsia" w:ascii="宋体" w:hAnsi="宋体" w:cs="宋体"/>
          <w:color w:val="auto"/>
          <w:kern w:val="0"/>
          <w:sz w:val="24"/>
          <w:highlight w:val="none"/>
          <w:u w:val="none"/>
        </w:rPr>
        <w:t>年</w:t>
      </w:r>
      <w:r>
        <w:rPr>
          <w:rFonts w:hint="eastAsia" w:cs="宋体"/>
          <w:color w:val="auto"/>
          <w:kern w:val="0"/>
          <w:sz w:val="24"/>
          <w:highlight w:val="none"/>
          <w:u w:val="none"/>
          <w:lang w:val="en-US" w:eastAsia="zh-CN"/>
        </w:rPr>
        <w:t>11</w:t>
      </w:r>
      <w:r>
        <w:rPr>
          <w:rFonts w:hint="eastAsia" w:ascii="宋体" w:hAnsi="宋体" w:cs="宋体"/>
          <w:color w:val="auto"/>
          <w:kern w:val="0"/>
          <w:sz w:val="24"/>
          <w:highlight w:val="none"/>
          <w:u w:val="none"/>
        </w:rPr>
        <w:t>月</w:t>
      </w:r>
      <w:r>
        <w:rPr>
          <w:rFonts w:hint="eastAsia" w:cs="宋体"/>
          <w:color w:val="auto"/>
          <w:kern w:val="0"/>
          <w:sz w:val="24"/>
          <w:highlight w:val="none"/>
          <w:u w:val="none"/>
          <w:lang w:val="en-US" w:eastAsia="zh-CN"/>
        </w:rPr>
        <w:t>11</w:t>
      </w:r>
      <w:r>
        <w:rPr>
          <w:rFonts w:hint="eastAsia" w:ascii="宋体" w:hAnsi="宋体" w:cs="宋体"/>
          <w:color w:val="auto"/>
          <w:kern w:val="0"/>
          <w:sz w:val="24"/>
          <w:highlight w:val="none"/>
          <w:u w:val="none"/>
        </w:rPr>
        <w:t>日至</w:t>
      </w:r>
      <w:r>
        <w:rPr>
          <w:rFonts w:hint="eastAsia" w:ascii="宋体" w:hAnsi="宋体" w:cs="宋体"/>
          <w:color w:val="auto"/>
          <w:kern w:val="0"/>
          <w:sz w:val="24"/>
          <w:highlight w:val="none"/>
          <w:u w:val="none"/>
          <w:lang w:val="en-US" w:eastAsia="zh-CN"/>
        </w:rPr>
        <w:t>2022</w:t>
      </w:r>
      <w:r>
        <w:rPr>
          <w:rFonts w:hint="eastAsia" w:ascii="宋体" w:hAnsi="宋体" w:cs="宋体"/>
          <w:color w:val="auto"/>
          <w:kern w:val="0"/>
          <w:sz w:val="24"/>
          <w:highlight w:val="none"/>
          <w:u w:val="none"/>
        </w:rPr>
        <w:t xml:space="preserve"> 年</w:t>
      </w:r>
      <w:r>
        <w:rPr>
          <w:rFonts w:hint="eastAsia" w:cs="宋体"/>
          <w:color w:val="auto"/>
          <w:kern w:val="0"/>
          <w:sz w:val="24"/>
          <w:highlight w:val="none"/>
          <w:u w:val="none"/>
          <w:lang w:val="en-US" w:eastAsia="zh-CN"/>
        </w:rPr>
        <w:t>11</w:t>
      </w:r>
      <w:r>
        <w:rPr>
          <w:rFonts w:hint="eastAsia" w:ascii="宋体" w:hAnsi="宋体" w:cs="宋体"/>
          <w:color w:val="auto"/>
          <w:kern w:val="0"/>
          <w:sz w:val="24"/>
          <w:highlight w:val="none"/>
          <w:u w:val="none"/>
        </w:rPr>
        <w:t>月</w:t>
      </w:r>
      <w:r>
        <w:rPr>
          <w:rFonts w:hint="eastAsia" w:cs="宋体"/>
          <w:color w:val="auto"/>
          <w:kern w:val="0"/>
          <w:sz w:val="24"/>
          <w:highlight w:val="none"/>
          <w:u w:val="none"/>
          <w:lang w:val="en-US" w:eastAsia="zh-CN"/>
        </w:rPr>
        <w:t>17</w:t>
      </w:r>
      <w:r>
        <w:rPr>
          <w:rFonts w:hint="eastAsia" w:ascii="宋体" w:hAnsi="宋体" w:cs="宋体"/>
          <w:color w:val="auto"/>
          <w:kern w:val="0"/>
          <w:sz w:val="24"/>
          <w:highlight w:val="none"/>
          <w:u w:val="none"/>
        </w:rPr>
        <w:t>日</w:t>
      </w:r>
      <w:r>
        <w:rPr>
          <w:rFonts w:hint="eastAsia" w:ascii="宋体" w:hAnsi="宋体" w:cs="宋体"/>
          <w:color w:val="000000" w:themeColor="text1"/>
          <w:kern w:val="0"/>
          <w:sz w:val="24"/>
          <w:highlight w:val="none"/>
          <w:u w:val="none"/>
          <w14:textFill>
            <w14:solidFill>
              <w14:schemeClr w14:val="tx1"/>
            </w14:solidFill>
          </w14:textFill>
        </w:rPr>
        <w:t>每天</w:t>
      </w:r>
      <w:r>
        <w:rPr>
          <w:rFonts w:hint="eastAsia" w:ascii="宋体" w:hAnsi="宋体" w:cs="宋体"/>
          <w:color w:val="000000" w:themeColor="text1"/>
          <w:kern w:val="0"/>
          <w:sz w:val="24"/>
          <w:highlight w:val="none"/>
          <w14:textFill>
            <w14:solidFill>
              <w14:schemeClr w14:val="tx1"/>
            </w14:solidFill>
          </w14:textFill>
        </w:rPr>
        <w:t>上午9：00-12：00，下午14：00-17：00（双休日及法定节假日除外）</w:t>
      </w:r>
    </w:p>
    <w:p>
      <w:pPr>
        <w:widowControl/>
        <w:spacing w:line="360" w:lineRule="auto"/>
        <w:ind w:firstLine="684" w:firstLineChars="284"/>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4、报名须知：</w:t>
      </w:r>
    </w:p>
    <w:p>
      <w:pPr>
        <w:widowControl/>
        <w:spacing w:line="360" w:lineRule="auto"/>
        <w:ind w:firstLine="681" w:firstLineChars="284"/>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供应商须在招标文件发售时间内携带介绍信和经办人身份证复印件（加盖公章）一套在陕西德信招标有限公司（陕西省西安市雁塔区南二环东段凯森盛世一号A座五楼）政府采购部进行缴费确认。</w:t>
      </w:r>
    </w:p>
    <w:p>
      <w:pPr>
        <w:widowControl/>
        <w:spacing w:line="360" w:lineRule="auto"/>
        <w:ind w:firstLine="681" w:firstLineChars="284"/>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八、投标文件递交截止时间及开标时间和地点：</w:t>
      </w:r>
    </w:p>
    <w:p>
      <w:pPr>
        <w:widowControl/>
        <w:spacing w:line="360" w:lineRule="auto"/>
        <w:ind w:firstLine="480" w:firstLineChars="200"/>
        <w:jc w:val="left"/>
        <w:rPr>
          <w:rFonts w:hint="eastAsia" w:ascii="宋体" w:hAnsi="宋体" w:eastAsia="宋体" w:cs="宋体"/>
          <w:sz w:val="24"/>
          <w:highlight w:val="none"/>
          <w:u w:val="none"/>
          <w:lang w:eastAsia="zh-CN"/>
        </w:rPr>
      </w:pPr>
      <w:r>
        <w:rPr>
          <w:rFonts w:hint="eastAsia" w:ascii="宋体" w:hAnsi="宋体" w:cs="宋体"/>
          <w:sz w:val="24"/>
          <w:highlight w:val="none"/>
        </w:rPr>
        <w:t>投标文件递交截止时间：</w:t>
      </w:r>
      <w:r>
        <w:rPr>
          <w:rFonts w:hint="eastAsia" w:ascii="宋体" w:hAnsi="宋体" w:cs="宋体"/>
          <w:color w:val="auto"/>
          <w:kern w:val="0"/>
          <w:sz w:val="24"/>
          <w:highlight w:val="none"/>
          <w:u w:val="none"/>
          <w:lang w:val="en-US" w:eastAsia="zh-CN"/>
        </w:rPr>
        <w:t>2022</w:t>
      </w:r>
      <w:r>
        <w:rPr>
          <w:rFonts w:hint="eastAsia" w:ascii="宋体" w:hAnsi="宋体" w:cs="宋体"/>
          <w:color w:val="auto"/>
          <w:kern w:val="0"/>
          <w:sz w:val="24"/>
          <w:highlight w:val="none"/>
          <w:u w:val="none"/>
        </w:rPr>
        <w:t>年</w:t>
      </w:r>
      <w:r>
        <w:rPr>
          <w:rFonts w:hint="eastAsia" w:cs="宋体"/>
          <w:color w:val="auto"/>
          <w:kern w:val="0"/>
          <w:sz w:val="24"/>
          <w:highlight w:val="none"/>
          <w:u w:val="none"/>
          <w:lang w:val="en-US" w:eastAsia="zh-CN"/>
        </w:rPr>
        <w:t>12</w:t>
      </w:r>
      <w:r>
        <w:rPr>
          <w:rFonts w:hint="eastAsia" w:ascii="宋体" w:hAnsi="宋体" w:cs="宋体"/>
          <w:color w:val="auto"/>
          <w:kern w:val="0"/>
          <w:sz w:val="24"/>
          <w:highlight w:val="none"/>
          <w:u w:val="none"/>
        </w:rPr>
        <w:t>月</w:t>
      </w:r>
      <w:r>
        <w:rPr>
          <w:rFonts w:hint="eastAsia" w:cs="宋体"/>
          <w:color w:val="auto"/>
          <w:kern w:val="0"/>
          <w:sz w:val="24"/>
          <w:highlight w:val="none"/>
          <w:u w:val="none"/>
          <w:lang w:val="en-US" w:eastAsia="zh-CN"/>
        </w:rPr>
        <w:t>1</w:t>
      </w:r>
      <w:r>
        <w:rPr>
          <w:rFonts w:hint="eastAsia" w:ascii="宋体" w:hAnsi="宋体" w:cs="宋体"/>
          <w:color w:val="auto"/>
          <w:kern w:val="0"/>
          <w:sz w:val="24"/>
          <w:highlight w:val="none"/>
          <w:u w:val="none"/>
        </w:rPr>
        <w:t>日</w:t>
      </w:r>
      <w:r>
        <w:rPr>
          <w:rFonts w:hint="eastAsia" w:cs="宋体"/>
          <w:color w:val="auto"/>
          <w:kern w:val="0"/>
          <w:sz w:val="24"/>
          <w:highlight w:val="none"/>
          <w:u w:val="none"/>
          <w:lang w:val="en-US" w:eastAsia="zh-CN"/>
        </w:rPr>
        <w:t>14时</w:t>
      </w:r>
    </w:p>
    <w:p>
      <w:pPr>
        <w:widowControl/>
        <w:spacing w:line="360" w:lineRule="auto"/>
        <w:ind w:firstLine="480" w:firstLineChars="200"/>
        <w:jc w:val="left"/>
        <w:rPr>
          <w:rFonts w:hint="eastAsia" w:ascii="宋体" w:hAnsi="宋体" w:eastAsia="宋体" w:cs="宋体"/>
          <w:sz w:val="24"/>
          <w:highlight w:val="none"/>
          <w:u w:val="none"/>
          <w:lang w:eastAsia="zh-CN"/>
        </w:rPr>
      </w:pPr>
      <w:r>
        <w:rPr>
          <w:rFonts w:hint="eastAsia" w:ascii="宋体" w:hAnsi="宋体" w:cs="宋体"/>
          <w:sz w:val="24"/>
          <w:highlight w:val="none"/>
          <w:u w:val="none"/>
        </w:rPr>
        <w:t>开标时间：</w:t>
      </w:r>
      <w:r>
        <w:rPr>
          <w:rFonts w:hint="eastAsia" w:ascii="宋体" w:hAnsi="宋体" w:cs="宋体"/>
          <w:color w:val="auto"/>
          <w:kern w:val="0"/>
          <w:sz w:val="24"/>
          <w:highlight w:val="none"/>
          <w:u w:val="none"/>
          <w:lang w:val="en-US" w:eastAsia="zh-CN"/>
        </w:rPr>
        <w:t>2022</w:t>
      </w:r>
      <w:r>
        <w:rPr>
          <w:rFonts w:hint="eastAsia" w:ascii="宋体" w:hAnsi="宋体" w:cs="宋体"/>
          <w:color w:val="auto"/>
          <w:kern w:val="0"/>
          <w:sz w:val="24"/>
          <w:highlight w:val="none"/>
          <w:u w:val="none"/>
        </w:rPr>
        <w:t>年</w:t>
      </w:r>
      <w:r>
        <w:rPr>
          <w:rFonts w:hint="eastAsia" w:cs="宋体"/>
          <w:color w:val="auto"/>
          <w:kern w:val="0"/>
          <w:sz w:val="24"/>
          <w:highlight w:val="none"/>
          <w:u w:val="none"/>
          <w:lang w:val="en-US" w:eastAsia="zh-CN"/>
        </w:rPr>
        <w:t>12</w:t>
      </w:r>
      <w:r>
        <w:rPr>
          <w:rFonts w:hint="eastAsia" w:ascii="宋体" w:hAnsi="宋体" w:cs="宋体"/>
          <w:color w:val="auto"/>
          <w:kern w:val="0"/>
          <w:sz w:val="24"/>
          <w:highlight w:val="none"/>
          <w:u w:val="none"/>
        </w:rPr>
        <w:t>月</w:t>
      </w:r>
      <w:r>
        <w:rPr>
          <w:rFonts w:hint="eastAsia" w:cs="宋体"/>
          <w:color w:val="auto"/>
          <w:kern w:val="0"/>
          <w:sz w:val="24"/>
          <w:highlight w:val="none"/>
          <w:u w:val="none"/>
          <w:lang w:val="en-US" w:eastAsia="zh-CN"/>
        </w:rPr>
        <w:t>1</w:t>
      </w:r>
      <w:r>
        <w:rPr>
          <w:rFonts w:hint="eastAsia" w:ascii="宋体" w:hAnsi="宋体" w:cs="宋体"/>
          <w:color w:val="auto"/>
          <w:kern w:val="0"/>
          <w:sz w:val="24"/>
          <w:highlight w:val="none"/>
          <w:u w:val="none"/>
        </w:rPr>
        <w:t>日</w:t>
      </w:r>
      <w:r>
        <w:rPr>
          <w:rFonts w:hint="eastAsia" w:cs="宋体"/>
          <w:color w:val="auto"/>
          <w:kern w:val="0"/>
          <w:sz w:val="24"/>
          <w:highlight w:val="none"/>
          <w:u w:val="none"/>
          <w:lang w:val="en-US" w:eastAsia="zh-CN"/>
        </w:rPr>
        <w:t>14时</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投标地点：陕西德信招标有限公司开标室。</w:t>
      </w:r>
    </w:p>
    <w:p>
      <w:pPr>
        <w:spacing w:line="360" w:lineRule="auto"/>
        <w:ind w:firstLine="480" w:firstLineChars="200"/>
        <w:rPr>
          <w:rFonts w:ascii="宋体" w:hAnsi="宋体" w:cs="宋体"/>
          <w:bCs/>
          <w:color w:val="000000"/>
          <w:sz w:val="24"/>
          <w:highlight w:val="none"/>
        </w:rPr>
      </w:pPr>
      <w:r>
        <w:rPr>
          <w:rFonts w:hint="eastAsia" w:ascii="宋体" w:hAnsi="宋体" w:cs="宋体"/>
          <w:color w:val="000000"/>
          <w:kern w:val="0"/>
          <w:sz w:val="24"/>
          <w:highlight w:val="none"/>
        </w:rPr>
        <w:t>九、</w:t>
      </w:r>
      <w:r>
        <w:rPr>
          <w:rFonts w:hint="eastAsia" w:ascii="宋体" w:hAnsi="宋体" w:cs="宋体"/>
          <w:bCs/>
          <w:color w:val="000000"/>
          <w:sz w:val="24"/>
          <w:highlight w:val="none"/>
        </w:rPr>
        <w:t>采购项目需要落实的政府采购政策：</w:t>
      </w:r>
    </w:p>
    <w:p>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 xml:space="preserve">（1）、《政府采购促进中小企业发展管理办法》（财库〔2020〕46号）、财政部关于进一步加大政府采购支持中小企业力度的通知（财库〔2022〕19号）； </w:t>
      </w:r>
    </w:p>
    <w:p>
      <w:pPr>
        <w:widowControl/>
        <w:spacing w:line="36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 xml:space="preserve">（2）、《财政部 司法部关于政府采购支持监狱企业发展有关问题的通知》（财库〔2014〕68号）； </w:t>
      </w:r>
    </w:p>
    <w:p>
      <w:pPr>
        <w:widowControl/>
        <w:spacing w:line="36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 xml:space="preserve">（3）、《财政部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（4）、</w:t>
      </w:r>
      <w:r>
        <w:rPr>
          <w:rFonts w:hint="eastAsia" w:ascii="宋体" w:hAnsi="宋体" w:cs="宋体"/>
          <w:sz w:val="24"/>
          <w:highlight w:val="none"/>
        </w:rPr>
        <w:t>《财政部 国家发展改革委关于印发〈节能产品政府采购实施意见〉的通知》（财库〔2004〕185号）</w:t>
      </w:r>
      <w:r>
        <w:rPr>
          <w:rFonts w:hint="eastAsia" w:ascii="宋体" w:hAnsi="宋体" w:cs="宋体"/>
          <w:color w:val="000000"/>
          <w:kern w:val="0"/>
          <w:sz w:val="24"/>
          <w:highlight w:val="none"/>
        </w:rPr>
        <w:t xml:space="preserve">； </w:t>
      </w:r>
    </w:p>
    <w:p>
      <w:pPr>
        <w:widowControl/>
        <w:spacing w:line="36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 xml:space="preserve">（5）、《环境标志产品政府采购实施的意见》（财库〔2006〕90号）； </w:t>
      </w:r>
    </w:p>
    <w:p>
      <w:pPr>
        <w:spacing w:line="360" w:lineRule="auto"/>
        <w:ind w:firstLine="480" w:firstLineChars="200"/>
        <w:rPr>
          <w:rFonts w:ascii="宋体" w:hAnsi="宋体" w:cs="宋体"/>
          <w:bCs/>
          <w:color w:val="000000"/>
          <w:sz w:val="24"/>
          <w:highlight w:val="none"/>
        </w:rPr>
      </w:pPr>
      <w:r>
        <w:rPr>
          <w:rFonts w:hint="eastAsia" w:ascii="宋体" w:hAnsi="宋体" w:cs="宋体"/>
          <w:color w:val="000000"/>
          <w:kern w:val="0"/>
          <w:sz w:val="24"/>
          <w:highlight w:val="none"/>
        </w:rPr>
        <w:t>（6）、《三部门联合发布关于促进残疾人就业政府采购政策的通知》（财库〔2</w:t>
      </w:r>
      <w:r>
        <w:rPr>
          <w:rFonts w:hint="eastAsia" w:ascii="宋体" w:hAnsi="宋体" w:cs="宋体"/>
          <w:bCs/>
          <w:color w:val="000000"/>
          <w:sz w:val="24"/>
          <w:highlight w:val="none"/>
        </w:rPr>
        <w:t>017〕141号）；</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（7）、</w:t>
      </w:r>
      <w:r>
        <w:rPr>
          <w:rFonts w:hint="eastAsia" w:ascii="宋体" w:hAnsi="宋体" w:cs="宋体"/>
          <w:sz w:val="24"/>
          <w:highlight w:val="none"/>
        </w:rPr>
        <w:t>《关于运用政府采购政策支持乡村产业振兴的通知》（财库〔2021〕19号）</w:t>
      </w:r>
      <w:r>
        <w:rPr>
          <w:rFonts w:hint="eastAsia" w:ascii="宋体" w:hAnsi="宋体" w:cs="宋体"/>
          <w:bCs/>
          <w:color w:val="000000"/>
          <w:sz w:val="24"/>
          <w:highlight w:val="none"/>
        </w:rPr>
        <w:t>；</w:t>
      </w:r>
    </w:p>
    <w:p>
      <w:pPr>
        <w:pStyle w:val="16"/>
        <w:rPr>
          <w:rFonts w:cs="宋体"/>
          <w:bCs/>
          <w:i w:val="0"/>
          <w:iCs w:val="0"/>
          <w:kern w:val="2"/>
          <w:sz w:val="24"/>
          <w:highlight w:val="none"/>
        </w:rPr>
      </w:pPr>
      <w:r>
        <w:rPr>
          <w:rFonts w:hint="eastAsia" w:cs="宋体"/>
          <w:bCs/>
          <w:i w:val="0"/>
          <w:iCs w:val="0"/>
          <w:kern w:val="2"/>
          <w:sz w:val="24"/>
          <w:highlight w:val="none"/>
        </w:rPr>
        <w:t>（8）、《国务院办公厅关于建立政府强制采购节能产品制度的通知》（国办发〔2007〕51号）；</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（9）、陕西省财政厅关于印发《陕西省中小企业政府采购信用融资办法》（陕财办采〔2018〕23号）；</w:t>
      </w:r>
    </w:p>
    <w:p>
      <w:pPr>
        <w:pStyle w:val="55"/>
        <w:spacing w:line="360" w:lineRule="auto"/>
        <w:rPr>
          <w:highlight w:val="none"/>
        </w:rPr>
      </w:pPr>
      <w:r>
        <w:rPr>
          <w:rFonts w:hint="eastAsia" w:ascii="宋体" w:hAnsi="宋体" w:cs="宋体"/>
          <w:bCs/>
          <w:color w:val="000000"/>
          <w:sz w:val="24"/>
          <w:szCs w:val="24"/>
          <w:highlight w:val="none"/>
        </w:rPr>
        <w:t xml:space="preserve">   </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（10）、陕西省财政厅《关于进一步加强政府绿色采购有关问题的通知》陕财办采〔2021〕29号。</w:t>
      </w:r>
    </w:p>
    <w:p>
      <w:pPr>
        <w:widowControl/>
        <w:spacing w:line="360" w:lineRule="auto"/>
        <w:ind w:firstLine="480" w:firstLineChars="200"/>
        <w:jc w:val="left"/>
        <w:rPr>
          <w:rFonts w:ascii="宋体" w:hAnsi="宋体" w:cs="宋体"/>
          <w:color w:val="000000"/>
          <w:kern w:val="0"/>
          <w:sz w:val="24"/>
          <w:highlight w:val="none"/>
        </w:rPr>
      </w:pPr>
      <w:r>
        <w:rPr>
          <w:rFonts w:hint="eastAsia" w:ascii="宋体" w:hAnsi="宋体" w:cs="宋体"/>
          <w:bCs/>
          <w:color w:val="000000"/>
          <w:sz w:val="24"/>
          <w:highlight w:val="none"/>
        </w:rPr>
        <w:t>十、其他应说明的事项</w:t>
      </w:r>
      <w:r>
        <w:rPr>
          <w:rFonts w:hint="eastAsia" w:ascii="宋体" w:hAnsi="宋体" w:cs="宋体"/>
          <w:color w:val="000000"/>
          <w:kern w:val="0"/>
          <w:sz w:val="24"/>
          <w:highlight w:val="none"/>
        </w:rPr>
        <w:t xml:space="preserve">： </w:t>
      </w:r>
    </w:p>
    <w:p>
      <w:pPr>
        <w:widowControl/>
        <w:spacing w:line="36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采购代理机构：陕西德信招标有限公司</w:t>
      </w:r>
    </w:p>
    <w:p>
      <w:pPr>
        <w:widowControl/>
        <w:spacing w:line="360" w:lineRule="auto"/>
        <w:ind w:firstLine="480" w:firstLineChars="20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联系人：</w:t>
      </w:r>
      <w:r>
        <w:rPr>
          <w:rFonts w:hint="eastAsia" w:cs="宋体"/>
          <w:color w:val="000000"/>
          <w:kern w:val="0"/>
          <w:sz w:val="24"/>
          <w:highlight w:val="none"/>
          <w:lang w:eastAsia="zh-CN"/>
        </w:rPr>
        <w:t>赵恬钰</w:t>
      </w:r>
    </w:p>
    <w:p>
      <w:pPr>
        <w:widowControl/>
        <w:spacing w:line="360" w:lineRule="auto"/>
        <w:ind w:firstLine="480" w:firstLineChars="20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联系方式（电话/传真）：029-82694900</w:t>
      </w:r>
      <w:r>
        <w:rPr>
          <w:rFonts w:hint="eastAsia" w:cs="宋体"/>
          <w:color w:val="000000"/>
          <w:kern w:val="0"/>
          <w:sz w:val="24"/>
          <w:highlight w:val="none"/>
          <w:lang w:eastAsia="zh-CN"/>
        </w:rPr>
        <w:t>转9025</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保证金账户：</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开户名称：陕西德信招标有限公司</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开户银行：西安银行东二环南段支行</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账 号：209011580000073440</w:t>
      </w:r>
    </w:p>
    <w:p>
      <w:pPr>
        <w:widowControl/>
        <w:spacing w:line="360" w:lineRule="auto"/>
        <w:ind w:firstLine="240" w:firstLineChars="100"/>
        <w:jc w:val="left"/>
        <w:rPr>
          <w:rFonts w:ascii="宋体" w:hAnsi="宋体" w:cs="宋体"/>
          <w:sz w:val="24"/>
          <w:highlight w:val="none"/>
        </w:rPr>
      </w:pPr>
      <w:r>
        <w:rPr>
          <w:rFonts w:hint="eastAsia" w:ascii="宋体" w:hAnsi="宋体" w:cs="宋体"/>
          <w:sz w:val="24"/>
          <w:highlight w:val="none"/>
        </w:rPr>
        <w:t>（保证金须从对公账户转入，在缴费时务必备注采购项目名称）</w:t>
      </w:r>
    </w:p>
    <w:p>
      <w:pPr>
        <w:pStyle w:val="56"/>
        <w:ind w:firstLine="240" w:firstLineChars="100"/>
        <w:jc w:val="right"/>
        <w:rPr>
          <w:rFonts w:ascii="宋体" w:hAnsi="宋体" w:cs="宋体"/>
          <w:kern w:val="0"/>
          <w:sz w:val="24"/>
          <w:szCs w:val="24"/>
          <w:highlight w:val="none"/>
        </w:rPr>
      </w:pPr>
    </w:p>
    <w:p>
      <w:pPr>
        <w:pStyle w:val="56"/>
        <w:ind w:firstLine="240" w:firstLineChars="100"/>
        <w:jc w:val="right"/>
        <w:rPr>
          <w:rFonts w:ascii="宋体" w:hAnsi="宋体" w:cs="宋体"/>
          <w:kern w:val="0"/>
          <w:sz w:val="24"/>
          <w:szCs w:val="24"/>
          <w:highlight w:val="none"/>
        </w:rPr>
      </w:pPr>
    </w:p>
    <w:p>
      <w:pPr>
        <w:pStyle w:val="56"/>
        <w:ind w:firstLine="240" w:firstLineChars="100"/>
        <w:jc w:val="right"/>
        <w:rPr>
          <w:rFonts w:ascii="宋体" w:hAnsi="宋体" w:cs="宋体"/>
          <w:kern w:val="0"/>
          <w:sz w:val="24"/>
          <w:szCs w:val="24"/>
          <w:highlight w:val="none"/>
        </w:rPr>
      </w:pPr>
    </w:p>
    <w:p>
      <w:pPr>
        <w:pStyle w:val="56"/>
        <w:ind w:firstLine="240" w:firstLineChars="100"/>
        <w:jc w:val="right"/>
        <w:rPr>
          <w:rFonts w:ascii="宋体" w:hAnsi="宋体" w:cs="宋体"/>
          <w:kern w:val="0"/>
          <w:sz w:val="24"/>
          <w:szCs w:val="24"/>
          <w:highlight w:val="none"/>
        </w:rPr>
      </w:pPr>
    </w:p>
    <w:p>
      <w:pPr>
        <w:pStyle w:val="56"/>
        <w:ind w:firstLine="240" w:firstLineChars="100"/>
        <w:jc w:val="right"/>
        <w:rPr>
          <w:rFonts w:ascii="宋体" w:hAnsi="宋体" w:cs="宋体"/>
          <w:kern w:val="0"/>
          <w:sz w:val="24"/>
          <w:szCs w:val="24"/>
          <w:highlight w:val="none"/>
        </w:rPr>
      </w:pPr>
    </w:p>
    <w:p>
      <w:pPr>
        <w:pStyle w:val="56"/>
        <w:ind w:firstLine="240" w:firstLineChars="100"/>
        <w:jc w:val="right"/>
        <w:rPr>
          <w:rFonts w:ascii="宋体" w:hAnsi="宋体" w:cs="宋体"/>
          <w:kern w:val="0"/>
          <w:sz w:val="24"/>
          <w:szCs w:val="24"/>
          <w:highlight w:val="none"/>
        </w:rPr>
      </w:pPr>
    </w:p>
    <w:p>
      <w:pPr>
        <w:pStyle w:val="56"/>
        <w:spacing w:line="360" w:lineRule="auto"/>
        <w:ind w:firstLine="240" w:firstLineChars="100"/>
        <w:jc w:val="right"/>
        <w:rPr>
          <w:rFonts w:ascii="宋体" w:hAnsi="宋体" w:cs="宋体"/>
          <w:kern w:val="0"/>
          <w:sz w:val="24"/>
          <w:szCs w:val="24"/>
          <w:highlight w:val="none"/>
        </w:rPr>
      </w:pPr>
      <w:r>
        <w:rPr>
          <w:rFonts w:hint="eastAsia" w:ascii="宋体" w:hAnsi="宋体" w:cs="宋体"/>
          <w:kern w:val="0"/>
          <w:sz w:val="24"/>
          <w:szCs w:val="24"/>
          <w:highlight w:val="none"/>
        </w:rPr>
        <w:t>陕西德信招标有限公司</w:t>
      </w:r>
    </w:p>
    <w:p>
      <w:pPr>
        <w:spacing w:line="360" w:lineRule="auto"/>
        <w:jc w:val="right"/>
        <w:rPr>
          <w:rFonts w:hint="default" w:ascii="宋体" w:hAnsi="宋体" w:eastAsia="宋体" w:cs="宋体"/>
          <w:sz w:val="24"/>
          <w:highlight w:val="none"/>
          <w:lang w:val="en-US" w:eastAsia="zh-CN"/>
        </w:rPr>
      </w:pPr>
      <w:r>
        <w:rPr>
          <w:rFonts w:hint="eastAsia" w:cs="宋体"/>
          <w:sz w:val="24"/>
          <w:highlight w:val="none"/>
          <w:lang w:val="en-US" w:eastAsia="zh-CN"/>
        </w:rPr>
        <w:t>2022年11月10日</w:t>
      </w:r>
    </w:p>
    <w:p>
      <w:pPr>
        <w:rPr>
          <w:highlight w:val="none"/>
        </w:rPr>
      </w:pPr>
      <w:r>
        <w:rPr>
          <w:highlight w:val="none"/>
        </w:rPr>
        <w:br w:type="page"/>
      </w:r>
    </w:p>
    <w:p>
      <w:pPr>
        <w:rPr>
          <w:rFonts w:ascii="宋体" w:hAnsi="宋体" w:cs="宋体"/>
          <w:sz w:val="24"/>
          <w:highlight w:val="none"/>
        </w:rPr>
      </w:pPr>
    </w:p>
    <w:p>
      <w:pPr>
        <w:pStyle w:val="29"/>
        <w:rPr>
          <w:rFonts w:ascii="宋体" w:hAnsi="宋体" w:cs="宋体"/>
          <w:sz w:val="24"/>
          <w:highlight w:val="none"/>
        </w:rPr>
      </w:pPr>
    </w:p>
    <w:p>
      <w:pPr>
        <w:rPr>
          <w:rFonts w:ascii="宋体" w:hAnsi="宋体" w:cs="宋体"/>
          <w:sz w:val="24"/>
          <w:highlight w:val="none"/>
        </w:rPr>
      </w:pPr>
    </w:p>
    <w:p>
      <w:pPr>
        <w:pStyle w:val="29"/>
        <w:rPr>
          <w:rFonts w:ascii="宋体" w:hAnsi="宋体" w:cs="宋体"/>
          <w:sz w:val="24"/>
          <w:highlight w:val="none"/>
        </w:rPr>
      </w:pPr>
    </w:p>
    <w:p>
      <w:pPr>
        <w:rPr>
          <w:rFonts w:ascii="宋体" w:hAnsi="宋体" w:cs="宋体"/>
          <w:sz w:val="24"/>
          <w:highlight w:val="none"/>
        </w:rPr>
      </w:pPr>
    </w:p>
    <w:p>
      <w:pPr>
        <w:pStyle w:val="29"/>
        <w:rPr>
          <w:rFonts w:ascii="宋体" w:hAnsi="宋体" w:cs="宋体"/>
          <w:sz w:val="24"/>
          <w:highlight w:val="none"/>
        </w:rPr>
      </w:pPr>
    </w:p>
    <w:p>
      <w:pPr>
        <w:rPr>
          <w:rFonts w:ascii="宋体" w:hAnsi="宋体" w:cs="宋体"/>
          <w:sz w:val="24"/>
          <w:highlight w:val="none"/>
        </w:rPr>
      </w:pPr>
    </w:p>
    <w:p>
      <w:pPr>
        <w:pStyle w:val="29"/>
        <w:rPr>
          <w:rFonts w:ascii="宋体" w:hAnsi="宋体" w:cs="宋体"/>
          <w:sz w:val="24"/>
          <w:highlight w:val="none"/>
        </w:rPr>
      </w:pPr>
    </w:p>
    <w:p>
      <w:pPr>
        <w:rPr>
          <w:rFonts w:ascii="宋体" w:hAnsi="宋体" w:cs="宋体"/>
          <w:sz w:val="24"/>
          <w:highlight w:val="none"/>
        </w:rPr>
      </w:pPr>
    </w:p>
    <w:p>
      <w:pPr>
        <w:pStyle w:val="29"/>
        <w:rPr>
          <w:rFonts w:ascii="宋体" w:hAnsi="宋体" w:cs="宋体"/>
          <w:sz w:val="24"/>
          <w:highlight w:val="none"/>
        </w:rPr>
      </w:pPr>
    </w:p>
    <w:p>
      <w:pPr>
        <w:rPr>
          <w:rFonts w:ascii="宋体" w:hAnsi="宋体" w:cs="宋体"/>
          <w:sz w:val="24"/>
          <w:highlight w:val="none"/>
        </w:rPr>
      </w:pPr>
    </w:p>
    <w:p>
      <w:pPr>
        <w:pStyle w:val="29"/>
        <w:rPr>
          <w:rFonts w:ascii="宋体" w:hAnsi="宋体" w:cs="宋体"/>
          <w:sz w:val="24"/>
          <w:highlight w:val="none"/>
        </w:rPr>
      </w:pPr>
    </w:p>
    <w:p>
      <w:pPr>
        <w:rPr>
          <w:rFonts w:ascii="宋体" w:hAnsi="宋体" w:cs="宋体"/>
          <w:sz w:val="24"/>
          <w:highlight w:val="none"/>
        </w:rPr>
      </w:pPr>
    </w:p>
    <w:p>
      <w:pPr>
        <w:pStyle w:val="29"/>
        <w:rPr>
          <w:rFonts w:ascii="宋体" w:hAnsi="宋体" w:cs="宋体"/>
          <w:sz w:val="24"/>
          <w:highlight w:val="none"/>
        </w:rPr>
      </w:pPr>
    </w:p>
    <w:p>
      <w:pPr>
        <w:rPr>
          <w:rFonts w:ascii="宋体" w:hAnsi="宋体" w:cs="宋体"/>
          <w:sz w:val="24"/>
          <w:highlight w:val="none"/>
        </w:rPr>
      </w:pPr>
    </w:p>
    <w:p>
      <w:pPr>
        <w:pStyle w:val="29"/>
        <w:rPr>
          <w:highlight w:val="none"/>
        </w:rPr>
      </w:pPr>
    </w:p>
    <w:p>
      <w:pPr>
        <w:pStyle w:val="5"/>
        <w:jc w:val="center"/>
        <w:rPr>
          <w:highlight w:val="none"/>
        </w:rPr>
      </w:pPr>
      <w:bookmarkStart w:id="5" w:name="_Toc32336"/>
      <w:r>
        <w:rPr>
          <w:rFonts w:hint="eastAsia"/>
          <w:highlight w:val="none"/>
        </w:rPr>
        <w:t>第二部分 投标人须知及前附表</w:t>
      </w:r>
    </w:p>
    <w:p>
      <w:pPr>
        <w:spacing w:line="360" w:lineRule="auto"/>
        <w:ind w:firstLine="3092" w:firstLineChars="700"/>
        <w:rPr>
          <w:rFonts w:ascii="宋体" w:hAnsi="宋体" w:cs="宋体"/>
          <w:b/>
          <w:bCs/>
          <w:sz w:val="44"/>
          <w:highlight w:val="none"/>
        </w:rPr>
      </w:pPr>
    </w:p>
    <w:p>
      <w:pPr>
        <w:spacing w:line="360" w:lineRule="auto"/>
        <w:ind w:firstLine="3092" w:firstLineChars="700"/>
        <w:rPr>
          <w:rFonts w:ascii="宋体" w:hAnsi="宋体" w:cs="宋体"/>
          <w:b/>
          <w:bCs/>
          <w:sz w:val="44"/>
          <w:highlight w:val="none"/>
        </w:rPr>
      </w:pPr>
    </w:p>
    <w:p>
      <w:pPr>
        <w:spacing w:line="360" w:lineRule="auto"/>
        <w:ind w:firstLine="3092" w:firstLineChars="700"/>
        <w:rPr>
          <w:rFonts w:ascii="宋体" w:hAnsi="宋体" w:cs="宋体"/>
          <w:b/>
          <w:bCs/>
          <w:sz w:val="44"/>
          <w:highlight w:val="none"/>
        </w:rPr>
      </w:pPr>
    </w:p>
    <w:p>
      <w:pPr>
        <w:spacing w:line="360" w:lineRule="auto"/>
        <w:ind w:firstLine="3092" w:firstLineChars="700"/>
        <w:rPr>
          <w:rFonts w:ascii="宋体" w:hAnsi="宋体" w:cs="宋体"/>
          <w:b/>
          <w:bCs/>
          <w:sz w:val="44"/>
          <w:highlight w:val="none"/>
        </w:rPr>
      </w:pPr>
    </w:p>
    <w:p>
      <w:pPr>
        <w:pStyle w:val="15"/>
        <w:rPr>
          <w:highlight w:val="none"/>
        </w:rPr>
      </w:pPr>
    </w:p>
    <w:p>
      <w:pPr>
        <w:rPr>
          <w:highlight w:val="none"/>
        </w:rPr>
      </w:pPr>
    </w:p>
    <w:p>
      <w:pPr>
        <w:pStyle w:val="15"/>
        <w:rPr>
          <w:highlight w:val="none"/>
        </w:rPr>
      </w:pPr>
    </w:p>
    <w:p>
      <w:pPr>
        <w:rPr>
          <w:highlight w:val="none"/>
        </w:rPr>
      </w:pPr>
      <w:r>
        <w:rPr>
          <w:rFonts w:ascii="宋体" w:hAnsi="宋体" w:cs="宋体"/>
          <w:b/>
          <w:bCs/>
          <w:sz w:val="44"/>
          <w:highlight w:val="none"/>
        </w:rPr>
        <w:br w:type="page"/>
      </w:r>
    </w:p>
    <w:p>
      <w:pPr>
        <w:spacing w:line="360" w:lineRule="auto"/>
        <w:jc w:val="left"/>
        <w:rPr>
          <w:rFonts w:ascii="新宋体" w:hAnsi="新宋体" w:eastAsia="新宋体"/>
          <w:b/>
          <w:bCs/>
          <w:sz w:val="24"/>
          <w:highlight w:val="none"/>
        </w:rPr>
      </w:pPr>
      <w:r>
        <w:rPr>
          <w:rFonts w:hint="eastAsia" w:ascii="宋体" w:hAnsi="宋体"/>
          <w:b/>
          <w:sz w:val="24"/>
          <w:highlight w:val="none"/>
        </w:rPr>
        <w:t>一、投标人须知前附表</w:t>
      </w:r>
    </w:p>
    <w:p>
      <w:pPr>
        <w:spacing w:afterLines="50" w:line="360" w:lineRule="auto"/>
        <w:ind w:firstLine="480" w:firstLineChars="200"/>
        <w:rPr>
          <w:rFonts w:ascii="宋体" w:hAnsi="宋体"/>
          <w:sz w:val="24"/>
          <w:highlight w:val="none"/>
        </w:rPr>
      </w:pPr>
      <w:r>
        <w:rPr>
          <w:rFonts w:hint="eastAsia" w:ascii="宋体" w:hAnsi="宋体"/>
          <w:sz w:val="24"/>
          <w:highlight w:val="none"/>
        </w:rPr>
        <w:t>本表关于招标服务的具体要求是对投标人须知的具体补充和修改，如有矛盾，应以本表为准。</w:t>
      </w:r>
    </w:p>
    <w:tbl>
      <w:tblPr>
        <w:tblStyle w:val="30"/>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ign w:val="center"/>
          </w:tcPr>
          <w:p>
            <w:pPr>
              <w:jc w:val="center"/>
              <w:rPr>
                <w:rFonts w:ascii="宋体" w:hAnsi="宋体"/>
                <w:b/>
                <w:szCs w:val="21"/>
                <w:highlight w:val="none"/>
              </w:rPr>
            </w:pPr>
            <w:r>
              <w:rPr>
                <w:rFonts w:hint="eastAsia" w:ascii="宋体" w:hAnsi="宋体"/>
                <w:b/>
                <w:szCs w:val="21"/>
                <w:highlight w:val="none"/>
              </w:rPr>
              <w:t>序号</w:t>
            </w:r>
          </w:p>
        </w:tc>
        <w:tc>
          <w:tcPr>
            <w:tcW w:w="7440" w:type="dxa"/>
            <w:noWrap/>
            <w:vAlign w:val="center"/>
          </w:tcPr>
          <w:p>
            <w:pPr>
              <w:jc w:val="center"/>
              <w:rPr>
                <w:rFonts w:ascii="宋体" w:hAnsi="宋体"/>
                <w:b/>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716" w:hRule="atLeast"/>
        </w:trPr>
        <w:tc>
          <w:tcPr>
            <w:tcW w:w="1093" w:type="dxa"/>
            <w:noWrap/>
            <w:vAlign w:val="center"/>
          </w:tcPr>
          <w:p>
            <w:pPr>
              <w:jc w:val="center"/>
              <w:rPr>
                <w:rFonts w:ascii="宋体" w:hAnsi="宋体" w:cs="宋体"/>
                <w:b/>
                <w:szCs w:val="21"/>
                <w:highlight w:val="none"/>
              </w:rPr>
            </w:pPr>
            <w:r>
              <w:rPr>
                <w:rFonts w:hint="eastAsia" w:ascii="宋体" w:hAnsi="宋体" w:cs="宋体"/>
                <w:b/>
                <w:szCs w:val="21"/>
                <w:highlight w:val="none"/>
              </w:rPr>
              <w:t>1</w:t>
            </w:r>
          </w:p>
        </w:tc>
        <w:tc>
          <w:tcPr>
            <w:tcW w:w="7440" w:type="dxa"/>
            <w:noWrap/>
            <w:vAlign w:val="center"/>
          </w:tcPr>
          <w:p>
            <w:pPr>
              <w:widowControl/>
              <w:tabs>
                <w:tab w:val="left" w:pos="1620"/>
              </w:tabs>
              <w:wordWrap w:val="0"/>
              <w:spacing w:line="360" w:lineRule="auto"/>
              <w:ind w:right="-197" w:rightChars="-94"/>
              <w:jc w:val="left"/>
              <w:rPr>
                <w:rFonts w:hint="eastAsia" w:ascii="宋体" w:hAnsi="宋体" w:cs="宋体"/>
                <w:bCs/>
                <w:szCs w:val="21"/>
                <w:highlight w:val="none"/>
              </w:rPr>
            </w:pPr>
            <w:r>
              <w:rPr>
                <w:rFonts w:hint="eastAsia" w:ascii="宋体" w:hAnsi="宋体" w:cs="宋体"/>
                <w:bCs/>
                <w:szCs w:val="21"/>
                <w:highlight w:val="none"/>
              </w:rPr>
              <w:t>买方名称：</w:t>
            </w:r>
            <w:r>
              <w:rPr>
                <w:rFonts w:hint="eastAsia" w:ascii="宋体" w:hAnsi="宋体" w:cs="宋体"/>
                <w:bCs/>
                <w:szCs w:val="21"/>
                <w:highlight w:val="none"/>
                <w:lang w:eastAsia="zh-CN"/>
              </w:rPr>
              <w:t>商洛市妇幼保健院</w:t>
            </w:r>
          </w:p>
          <w:p>
            <w:pPr>
              <w:widowControl/>
              <w:tabs>
                <w:tab w:val="left" w:pos="1620"/>
              </w:tabs>
              <w:wordWrap w:val="0"/>
              <w:spacing w:line="360" w:lineRule="auto"/>
              <w:ind w:right="-197" w:rightChars="-94"/>
              <w:jc w:val="left"/>
              <w:rPr>
                <w:rFonts w:hint="eastAsia" w:ascii="宋体" w:hAnsi="宋体" w:cs="宋体"/>
                <w:bCs/>
                <w:szCs w:val="21"/>
                <w:highlight w:val="none"/>
                <w:lang w:eastAsia="zh-CN"/>
              </w:rPr>
            </w:pPr>
            <w:r>
              <w:rPr>
                <w:rFonts w:hint="eastAsia" w:ascii="宋体" w:hAnsi="宋体" w:cs="宋体"/>
                <w:bCs/>
                <w:szCs w:val="21"/>
                <w:highlight w:val="none"/>
              </w:rPr>
              <w:t>地址：</w:t>
            </w:r>
            <w:r>
              <w:rPr>
                <w:rFonts w:hint="eastAsia" w:ascii="宋体" w:hAnsi="宋体" w:cs="宋体"/>
                <w:bCs/>
                <w:szCs w:val="21"/>
                <w:highlight w:val="none"/>
                <w:lang w:eastAsia="zh-CN"/>
              </w:rPr>
              <w:t>陕西省商洛市商州区北新街西段60号</w:t>
            </w:r>
          </w:p>
          <w:p>
            <w:pPr>
              <w:widowControl/>
              <w:tabs>
                <w:tab w:val="left" w:pos="1620"/>
              </w:tabs>
              <w:wordWrap w:val="0"/>
              <w:spacing w:line="360" w:lineRule="auto"/>
              <w:ind w:right="-197" w:rightChars="-94"/>
              <w:jc w:val="left"/>
              <w:rPr>
                <w:rFonts w:hint="eastAsia" w:ascii="宋体" w:hAnsi="宋体" w:cs="宋体"/>
                <w:bCs/>
                <w:szCs w:val="21"/>
                <w:highlight w:val="none"/>
              </w:rPr>
            </w:pPr>
            <w:r>
              <w:rPr>
                <w:rFonts w:hint="eastAsia" w:ascii="宋体" w:hAnsi="宋体" w:cs="宋体"/>
                <w:bCs/>
                <w:szCs w:val="21"/>
                <w:highlight w:val="none"/>
              </w:rPr>
              <w:t>联系人：余老师</w:t>
            </w:r>
          </w:p>
          <w:p>
            <w:pPr>
              <w:widowControl/>
              <w:tabs>
                <w:tab w:val="left" w:pos="1620"/>
              </w:tabs>
              <w:wordWrap w:val="0"/>
              <w:spacing w:line="360" w:lineRule="auto"/>
              <w:ind w:right="-197" w:rightChars="-94"/>
              <w:jc w:val="left"/>
              <w:rPr>
                <w:rFonts w:hint="default" w:eastAsia="宋体"/>
                <w:highlight w:val="none"/>
                <w:lang w:val="en-US" w:eastAsia="zh-CN"/>
              </w:rPr>
            </w:pPr>
            <w:r>
              <w:rPr>
                <w:rFonts w:hint="eastAsia" w:ascii="宋体" w:hAnsi="宋体" w:cs="宋体"/>
                <w:bCs/>
                <w:szCs w:val="21"/>
                <w:highlight w:val="none"/>
              </w:rPr>
              <w:t>联系</w:t>
            </w:r>
            <w:r>
              <w:rPr>
                <w:rFonts w:hint="eastAsia" w:cs="宋体"/>
                <w:bCs/>
                <w:szCs w:val="21"/>
                <w:highlight w:val="none"/>
                <w:lang w:val="en-US" w:eastAsia="zh-CN"/>
              </w:rPr>
              <w:t>电话</w:t>
            </w:r>
            <w:r>
              <w:rPr>
                <w:rFonts w:hint="eastAsia" w:ascii="宋体" w:hAnsi="宋体" w:cs="宋体"/>
                <w:bCs/>
                <w:szCs w:val="21"/>
                <w:highlight w:val="none"/>
              </w:rPr>
              <w:t>：</w:t>
            </w:r>
            <w:r>
              <w:rPr>
                <w:rFonts w:hint="eastAsia" w:cs="宋体"/>
                <w:bCs/>
                <w:szCs w:val="21"/>
                <w:highlight w:val="none"/>
                <w:lang w:val="en-US" w:eastAsia="zh-CN"/>
              </w:rPr>
              <w:t>0914-2093801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ign w:val="center"/>
          </w:tcPr>
          <w:p>
            <w:pPr>
              <w:jc w:val="center"/>
              <w:rPr>
                <w:rFonts w:ascii="宋体" w:hAnsi="宋体" w:cs="宋体"/>
                <w:b/>
                <w:szCs w:val="21"/>
                <w:highlight w:val="none"/>
              </w:rPr>
            </w:pPr>
            <w:r>
              <w:rPr>
                <w:rFonts w:hint="eastAsia" w:ascii="宋体" w:hAnsi="宋体" w:cs="宋体"/>
                <w:b/>
                <w:szCs w:val="21"/>
                <w:highlight w:val="none"/>
              </w:rPr>
              <w:t>2</w:t>
            </w:r>
          </w:p>
        </w:tc>
        <w:tc>
          <w:tcPr>
            <w:tcW w:w="7440" w:type="dxa"/>
            <w:noWrap/>
            <w:vAlign w:val="center"/>
          </w:tcPr>
          <w:p>
            <w:pPr>
              <w:widowControl/>
              <w:tabs>
                <w:tab w:val="left" w:pos="1620"/>
              </w:tabs>
              <w:wordWrap w:val="0"/>
              <w:spacing w:line="360" w:lineRule="auto"/>
              <w:ind w:right="-197" w:rightChars="-94"/>
              <w:jc w:val="left"/>
              <w:rPr>
                <w:rFonts w:ascii="宋体" w:hAnsi="宋体" w:cs="宋体"/>
                <w:bCs/>
                <w:szCs w:val="21"/>
                <w:highlight w:val="none"/>
              </w:rPr>
            </w:pPr>
            <w:r>
              <w:rPr>
                <w:rFonts w:hint="eastAsia" w:ascii="宋体" w:hAnsi="宋体" w:cs="宋体"/>
                <w:bCs/>
                <w:szCs w:val="21"/>
                <w:highlight w:val="none"/>
              </w:rPr>
              <w:t>招标代理机构：陕西德信招标有限公司</w:t>
            </w:r>
          </w:p>
          <w:p>
            <w:pPr>
              <w:widowControl/>
              <w:tabs>
                <w:tab w:val="left" w:pos="1620"/>
              </w:tabs>
              <w:wordWrap w:val="0"/>
              <w:spacing w:line="360" w:lineRule="auto"/>
              <w:ind w:right="-197" w:rightChars="-94"/>
              <w:jc w:val="left"/>
              <w:rPr>
                <w:rFonts w:ascii="宋体" w:hAnsi="宋体" w:cs="宋体"/>
                <w:bCs/>
                <w:szCs w:val="21"/>
                <w:highlight w:val="none"/>
              </w:rPr>
            </w:pPr>
            <w:r>
              <w:rPr>
                <w:rFonts w:hint="eastAsia" w:ascii="宋体" w:hAnsi="宋体" w:cs="宋体"/>
                <w:bCs/>
                <w:szCs w:val="21"/>
                <w:highlight w:val="none"/>
              </w:rPr>
              <w:t>地  址：</w:t>
            </w:r>
            <w:r>
              <w:rPr>
                <w:rFonts w:hint="eastAsia" w:ascii="宋体" w:hAnsi="宋体" w:cs="宋体"/>
                <w:szCs w:val="21"/>
                <w:highlight w:val="none"/>
              </w:rPr>
              <w:t xml:space="preserve">陕西省西安市雁塔区二环南路东段凯森盛世一号A座5层 </w:t>
            </w:r>
          </w:p>
          <w:p>
            <w:pPr>
              <w:widowControl/>
              <w:spacing w:line="360" w:lineRule="auto"/>
              <w:jc w:val="left"/>
              <w:rPr>
                <w:rFonts w:hint="eastAsia" w:eastAsia="宋体"/>
                <w:highlight w:val="none"/>
                <w:lang w:eastAsia="zh-CN"/>
              </w:rPr>
            </w:pPr>
            <w:r>
              <w:rPr>
                <w:rFonts w:hint="eastAsia"/>
                <w:highlight w:val="none"/>
              </w:rPr>
              <w:t>联系人：</w:t>
            </w:r>
            <w:r>
              <w:rPr>
                <w:rFonts w:hint="eastAsia"/>
                <w:highlight w:val="none"/>
                <w:lang w:eastAsia="zh-CN"/>
              </w:rPr>
              <w:t>赵恬钰</w:t>
            </w:r>
          </w:p>
          <w:p>
            <w:pPr>
              <w:widowControl/>
              <w:tabs>
                <w:tab w:val="left" w:pos="1620"/>
              </w:tabs>
              <w:wordWrap w:val="0"/>
              <w:spacing w:line="360" w:lineRule="auto"/>
              <w:ind w:right="-197" w:rightChars="-94"/>
              <w:jc w:val="left"/>
              <w:rPr>
                <w:rFonts w:hint="eastAsia" w:ascii="宋体" w:hAnsi="宋体" w:eastAsia="宋体" w:cs="宋体"/>
                <w:b/>
                <w:szCs w:val="21"/>
                <w:highlight w:val="none"/>
                <w:u w:val="single"/>
                <w:lang w:eastAsia="zh-CN"/>
              </w:rPr>
            </w:pPr>
            <w:r>
              <w:rPr>
                <w:rFonts w:hint="eastAsia" w:ascii="宋体" w:hAnsi="宋体" w:cs="宋体"/>
                <w:bCs/>
                <w:szCs w:val="21"/>
                <w:highlight w:val="none"/>
              </w:rPr>
              <w:t>联系电话</w:t>
            </w:r>
            <w:r>
              <w:rPr>
                <w:rFonts w:hint="eastAsia" w:ascii="宋体" w:hAnsi="宋体" w:cs="宋体"/>
                <w:szCs w:val="21"/>
                <w:highlight w:val="none"/>
              </w:rPr>
              <w:t>：029-82694900</w:t>
            </w:r>
            <w:r>
              <w:rPr>
                <w:rFonts w:hint="eastAsia" w:cs="宋体"/>
                <w:szCs w:val="21"/>
                <w:highlight w:val="none"/>
                <w:lang w:eastAsia="zh-CN"/>
              </w:rPr>
              <w:t>转9025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9" w:hRule="exact"/>
        </w:trPr>
        <w:tc>
          <w:tcPr>
            <w:tcW w:w="1093" w:type="dxa"/>
            <w:noWrap/>
            <w:vAlign w:val="center"/>
          </w:tcPr>
          <w:p>
            <w:pPr>
              <w:jc w:val="center"/>
              <w:rPr>
                <w:rFonts w:ascii="宋体" w:hAnsi="宋体" w:cs="宋体"/>
                <w:b/>
                <w:szCs w:val="21"/>
                <w:highlight w:val="none"/>
              </w:rPr>
            </w:pPr>
            <w:r>
              <w:rPr>
                <w:rFonts w:hint="eastAsia" w:ascii="宋体" w:hAnsi="宋体" w:cs="宋体"/>
                <w:b/>
                <w:szCs w:val="21"/>
                <w:highlight w:val="none"/>
              </w:rPr>
              <w:t>3</w:t>
            </w:r>
          </w:p>
        </w:tc>
        <w:tc>
          <w:tcPr>
            <w:tcW w:w="7440" w:type="dxa"/>
            <w:noWrap/>
            <w:vAlign w:val="center"/>
          </w:tcPr>
          <w:p>
            <w:pPr>
              <w:widowControl/>
              <w:tabs>
                <w:tab w:val="left" w:pos="1620"/>
              </w:tabs>
              <w:wordWrap w:val="0"/>
              <w:spacing w:line="360" w:lineRule="auto"/>
              <w:ind w:right="-197" w:rightChars="-94"/>
              <w:jc w:val="left"/>
              <w:rPr>
                <w:rFonts w:hint="eastAsia" w:ascii="宋体" w:hAnsi="宋体" w:cs="宋体"/>
                <w:b/>
                <w:szCs w:val="21"/>
                <w:highlight w:val="none"/>
              </w:rPr>
            </w:pPr>
            <w:r>
              <w:rPr>
                <w:rFonts w:hint="eastAsia" w:ascii="宋体" w:hAnsi="宋体" w:cs="宋体"/>
                <w:b/>
                <w:szCs w:val="21"/>
                <w:highlight w:val="none"/>
              </w:rPr>
              <w:t>采购内容：</w:t>
            </w:r>
            <w:r>
              <w:rPr>
                <w:rFonts w:hint="eastAsia" w:ascii="宋体" w:hAnsi="宋体" w:cs="宋体"/>
                <w:b/>
                <w:szCs w:val="21"/>
                <w:highlight w:val="none"/>
                <w:lang w:eastAsia="zh-CN"/>
              </w:rPr>
              <w:t>网络安全等级保护建设</w:t>
            </w:r>
          </w:p>
          <w:p>
            <w:pPr>
              <w:widowControl/>
              <w:tabs>
                <w:tab w:val="left" w:pos="1620"/>
              </w:tabs>
              <w:wordWrap w:val="0"/>
              <w:spacing w:line="360" w:lineRule="auto"/>
              <w:ind w:right="-197" w:rightChars="-94"/>
              <w:jc w:val="left"/>
              <w:rPr>
                <w:rFonts w:hint="eastAsia" w:ascii="宋体" w:hAnsi="宋体" w:cs="宋体"/>
                <w:b/>
                <w:szCs w:val="21"/>
                <w:highlight w:val="none"/>
              </w:rPr>
            </w:pPr>
            <w:r>
              <w:rPr>
                <w:rFonts w:hint="eastAsia" w:ascii="宋体" w:hAnsi="宋体" w:cs="宋体"/>
                <w:b/>
                <w:szCs w:val="21"/>
                <w:highlight w:val="none"/>
              </w:rPr>
              <w:t>项目预算：人民币</w:t>
            </w:r>
            <w:r>
              <w:rPr>
                <w:rFonts w:hint="eastAsia" w:ascii="宋体" w:hAnsi="宋体" w:cs="宋体"/>
                <w:b/>
                <w:szCs w:val="21"/>
                <w:highlight w:val="none"/>
                <w:lang w:eastAsia="zh-CN"/>
              </w:rPr>
              <w:t>189.84万元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ign w:val="center"/>
          </w:tcPr>
          <w:p>
            <w:pPr>
              <w:jc w:val="center"/>
              <w:rPr>
                <w:rFonts w:ascii="宋体" w:hAnsi="宋体" w:cs="宋体"/>
                <w:b/>
                <w:szCs w:val="21"/>
                <w:highlight w:val="none"/>
              </w:rPr>
            </w:pPr>
            <w:r>
              <w:rPr>
                <w:rFonts w:hint="eastAsia" w:ascii="宋体" w:hAnsi="宋体" w:cs="宋体"/>
                <w:b/>
                <w:szCs w:val="21"/>
                <w:highlight w:val="none"/>
              </w:rPr>
              <w:t>4</w:t>
            </w:r>
          </w:p>
        </w:tc>
        <w:tc>
          <w:tcPr>
            <w:tcW w:w="7440" w:type="dxa"/>
            <w:noWrap/>
            <w:vAlign w:val="center"/>
          </w:tcPr>
          <w:p>
            <w:pPr>
              <w:widowControl/>
              <w:tabs>
                <w:tab w:val="left" w:pos="1620"/>
              </w:tabs>
              <w:wordWrap w:val="0"/>
              <w:ind w:right="-197" w:rightChars="-94"/>
              <w:jc w:val="left"/>
              <w:rPr>
                <w:rFonts w:hint="eastAsia" w:ascii="宋体" w:hAnsi="宋体" w:cs="宋体"/>
                <w:b/>
                <w:szCs w:val="21"/>
                <w:highlight w:val="none"/>
              </w:rPr>
            </w:pPr>
            <w:r>
              <w:rPr>
                <w:rFonts w:hint="eastAsia" w:ascii="宋体" w:hAnsi="宋体" w:cs="宋体"/>
                <w:b/>
                <w:szCs w:val="21"/>
                <w:highlight w:val="none"/>
              </w:rPr>
              <w:t>项目所属行业：软件和信息技术服务业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ign w:val="center"/>
          </w:tcPr>
          <w:p>
            <w:pPr>
              <w:jc w:val="center"/>
              <w:rPr>
                <w:rFonts w:ascii="宋体" w:hAnsi="宋体" w:cs="宋体"/>
                <w:b/>
                <w:szCs w:val="21"/>
                <w:highlight w:val="none"/>
              </w:rPr>
            </w:pPr>
            <w:r>
              <w:rPr>
                <w:rFonts w:hint="eastAsia" w:ascii="宋体" w:hAnsi="宋体" w:cs="宋体"/>
                <w:b/>
                <w:szCs w:val="21"/>
                <w:highlight w:val="none"/>
              </w:rPr>
              <w:t>5</w:t>
            </w:r>
          </w:p>
        </w:tc>
        <w:tc>
          <w:tcPr>
            <w:tcW w:w="7440" w:type="dxa"/>
            <w:noWrap/>
            <w:vAlign w:val="center"/>
          </w:tcPr>
          <w:p>
            <w:pPr>
              <w:widowControl/>
              <w:tabs>
                <w:tab w:val="left" w:pos="1620"/>
              </w:tabs>
              <w:wordWrap w:val="0"/>
              <w:ind w:right="-197" w:rightChars="-94"/>
              <w:jc w:val="left"/>
              <w:rPr>
                <w:rFonts w:ascii="宋体" w:hAnsi="宋体" w:cs="宋体"/>
                <w:b/>
                <w:szCs w:val="21"/>
                <w:highlight w:val="none"/>
              </w:rPr>
            </w:pPr>
            <w:r>
              <w:rPr>
                <w:rFonts w:hint="eastAsia" w:ascii="宋体" w:hAnsi="宋体" w:cs="宋体"/>
                <w:b/>
                <w:szCs w:val="21"/>
                <w:highlight w:val="none"/>
              </w:rPr>
              <w:t>该项目专门面向中小企业采购。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ign w:val="center"/>
          </w:tcPr>
          <w:p>
            <w:pPr>
              <w:jc w:val="center"/>
              <w:rPr>
                <w:rFonts w:ascii="宋体" w:hAnsi="宋体" w:cs="宋体"/>
                <w:b/>
                <w:szCs w:val="21"/>
                <w:highlight w:val="none"/>
              </w:rPr>
            </w:pPr>
            <w:r>
              <w:rPr>
                <w:rFonts w:hint="eastAsia" w:ascii="宋体" w:hAnsi="宋体" w:cs="宋体"/>
                <w:b/>
                <w:szCs w:val="21"/>
                <w:highlight w:val="none"/>
              </w:rPr>
              <w:t>6</w:t>
            </w:r>
          </w:p>
        </w:tc>
        <w:tc>
          <w:tcPr>
            <w:tcW w:w="7440" w:type="dxa"/>
            <w:noWrap/>
            <w:vAlign w:val="center"/>
          </w:tcPr>
          <w:p>
            <w:pPr>
              <w:jc w:val="left"/>
              <w:rPr>
                <w:rFonts w:ascii="宋体" w:hAnsi="宋体" w:cs="宋体"/>
                <w:szCs w:val="21"/>
                <w:highlight w:val="none"/>
              </w:rPr>
            </w:pPr>
            <w:r>
              <w:rPr>
                <w:rFonts w:hint="eastAsia" w:ascii="宋体" w:hAnsi="宋体" w:cs="宋体"/>
                <w:szCs w:val="21"/>
                <w:highlight w:val="none"/>
              </w:rPr>
              <w:t>投标有效期：90天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093" w:type="dxa"/>
            <w:tcBorders>
              <w:top w:val="single" w:color="auto" w:sz="6" w:space="0"/>
              <w:bottom w:val="single" w:color="auto" w:sz="4" w:space="0"/>
            </w:tcBorders>
            <w:noWrap/>
            <w:vAlign w:val="center"/>
          </w:tcPr>
          <w:p>
            <w:pPr>
              <w:jc w:val="center"/>
              <w:rPr>
                <w:rFonts w:ascii="宋体" w:hAnsi="宋体" w:cs="宋体"/>
                <w:b/>
                <w:szCs w:val="21"/>
                <w:highlight w:val="none"/>
              </w:rPr>
            </w:pPr>
            <w:r>
              <w:rPr>
                <w:rFonts w:hint="eastAsia" w:ascii="宋体" w:hAnsi="宋体" w:cs="宋体"/>
                <w:b/>
                <w:szCs w:val="21"/>
                <w:highlight w:val="none"/>
              </w:rPr>
              <w:t>7</w:t>
            </w:r>
          </w:p>
        </w:tc>
        <w:tc>
          <w:tcPr>
            <w:tcW w:w="7440" w:type="dxa"/>
            <w:tcBorders>
              <w:top w:val="single" w:color="auto" w:sz="6" w:space="0"/>
              <w:bottom w:val="single" w:color="auto" w:sz="4" w:space="0"/>
            </w:tcBorders>
            <w:noWrap/>
            <w:vAlign w:val="center"/>
          </w:tcPr>
          <w:p>
            <w:pPr>
              <w:jc w:val="left"/>
              <w:rPr>
                <w:rFonts w:ascii="宋体" w:hAnsi="宋体" w:cs="宋体"/>
                <w:szCs w:val="21"/>
                <w:highlight w:val="none"/>
              </w:rPr>
            </w:pPr>
            <w:r>
              <w:rPr>
                <w:rFonts w:hint="eastAsia" w:ascii="宋体" w:hAnsi="宋体" w:cs="宋体"/>
                <w:szCs w:val="21"/>
                <w:highlight w:val="none"/>
              </w:rPr>
              <w:t xml:space="preserve">投标语言： </w:t>
            </w:r>
            <w:r>
              <w:rPr>
                <w:rFonts w:hint="eastAsia" w:ascii="宋体" w:hAnsi="宋体" w:cs="宋体"/>
                <w:szCs w:val="21"/>
                <w:highlight w:val="none"/>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093" w:type="dxa"/>
            <w:tcBorders>
              <w:top w:val="single" w:color="auto" w:sz="6" w:space="0"/>
              <w:bottom w:val="single" w:color="auto" w:sz="4" w:space="0"/>
            </w:tcBorders>
            <w:noWrap/>
            <w:vAlign w:val="center"/>
          </w:tcPr>
          <w:p>
            <w:pPr>
              <w:jc w:val="center"/>
              <w:rPr>
                <w:rFonts w:ascii="宋体" w:hAnsi="宋体" w:cs="宋体"/>
                <w:b/>
                <w:szCs w:val="21"/>
                <w:highlight w:val="none"/>
              </w:rPr>
            </w:pPr>
            <w:r>
              <w:rPr>
                <w:rFonts w:hint="eastAsia" w:ascii="宋体" w:hAnsi="宋体" w:cs="宋体"/>
                <w:b/>
                <w:szCs w:val="21"/>
                <w:highlight w:val="none"/>
              </w:rPr>
              <w:t>8</w:t>
            </w:r>
          </w:p>
        </w:tc>
        <w:tc>
          <w:tcPr>
            <w:tcW w:w="7440" w:type="dxa"/>
            <w:tcBorders>
              <w:top w:val="single" w:color="auto" w:sz="6" w:space="0"/>
              <w:bottom w:val="single" w:color="auto" w:sz="4" w:space="0"/>
            </w:tcBorders>
            <w:noWrap/>
            <w:vAlign w:val="center"/>
          </w:tcPr>
          <w:p>
            <w:pPr>
              <w:jc w:val="left"/>
              <w:rPr>
                <w:rFonts w:ascii="宋体" w:hAnsi="宋体" w:cs="宋体"/>
                <w:szCs w:val="21"/>
                <w:highlight w:val="none"/>
              </w:rPr>
            </w:pPr>
            <w:r>
              <w:rPr>
                <w:rFonts w:hint="eastAsia" w:ascii="宋体" w:hAnsi="宋体" w:cs="宋体"/>
                <w:szCs w:val="21"/>
                <w:highlight w:val="none"/>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093" w:type="dxa"/>
            <w:tcBorders>
              <w:top w:val="single" w:color="auto" w:sz="6" w:space="0"/>
              <w:bottom w:val="single" w:color="auto" w:sz="4" w:space="0"/>
            </w:tcBorders>
            <w:noWrap/>
            <w:vAlign w:val="center"/>
          </w:tcPr>
          <w:p>
            <w:pPr>
              <w:jc w:val="center"/>
              <w:rPr>
                <w:rFonts w:ascii="宋体" w:hAnsi="宋体" w:cs="宋体"/>
                <w:b/>
                <w:szCs w:val="21"/>
                <w:highlight w:val="none"/>
              </w:rPr>
            </w:pPr>
            <w:r>
              <w:rPr>
                <w:rFonts w:hint="eastAsia" w:ascii="宋体" w:hAnsi="宋体" w:cs="宋体"/>
                <w:b/>
                <w:szCs w:val="21"/>
                <w:highlight w:val="none"/>
              </w:rPr>
              <w:t>9</w:t>
            </w:r>
          </w:p>
        </w:tc>
        <w:tc>
          <w:tcPr>
            <w:tcW w:w="7440" w:type="dxa"/>
            <w:tcBorders>
              <w:top w:val="single" w:color="auto" w:sz="6" w:space="0"/>
              <w:bottom w:val="single" w:color="auto" w:sz="4" w:space="0"/>
            </w:tcBorders>
            <w:noWrap/>
            <w:vAlign w:val="center"/>
          </w:tcPr>
          <w:p>
            <w:pPr>
              <w:jc w:val="left"/>
              <w:rPr>
                <w:rFonts w:ascii="宋体" w:hAnsi="宋体" w:cs="宋体"/>
                <w:szCs w:val="21"/>
                <w:highlight w:val="none"/>
              </w:rPr>
            </w:pPr>
            <w:r>
              <w:rPr>
                <w:rFonts w:hint="eastAsia" w:ascii="宋体" w:hAnsi="宋体" w:cs="宋体"/>
                <w:szCs w:val="21"/>
                <w:highlight w:val="none"/>
              </w:rPr>
              <w:t>评标方法：综合评分法，不保证最低价中标。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ign w:val="center"/>
          </w:tcPr>
          <w:p>
            <w:pPr>
              <w:jc w:val="center"/>
              <w:rPr>
                <w:rFonts w:ascii="宋体" w:hAnsi="宋体" w:cs="宋体"/>
                <w:b/>
                <w:szCs w:val="21"/>
                <w:highlight w:val="none"/>
              </w:rPr>
            </w:pPr>
            <w:r>
              <w:rPr>
                <w:rFonts w:hint="eastAsia" w:ascii="宋体" w:hAnsi="宋体" w:cs="宋体"/>
                <w:b/>
                <w:szCs w:val="21"/>
                <w:highlight w:val="none"/>
              </w:rPr>
              <w:t>10</w:t>
            </w:r>
          </w:p>
        </w:tc>
        <w:tc>
          <w:tcPr>
            <w:tcW w:w="7440" w:type="dxa"/>
            <w:tcBorders>
              <w:top w:val="single" w:color="auto" w:sz="6" w:space="0"/>
              <w:bottom w:val="single" w:color="auto" w:sz="4" w:space="0"/>
            </w:tcBorders>
            <w:noWrap/>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投标保证金金额：人民币</w:t>
            </w:r>
            <w:r>
              <w:rPr>
                <w:rFonts w:hint="eastAsia" w:ascii="宋体" w:hAnsi="宋体" w:cs="宋体"/>
                <w:szCs w:val="21"/>
                <w:highlight w:val="none"/>
                <w:lang w:eastAsia="zh-CN"/>
              </w:rPr>
              <w:t>叁万元整</w:t>
            </w:r>
            <w:r>
              <w:rPr>
                <w:rFonts w:hint="eastAsia" w:ascii="宋体" w:hAnsi="宋体" w:cs="宋体"/>
                <w:szCs w:val="21"/>
                <w:highlight w:val="none"/>
              </w:rPr>
              <w:t>（￥</w:t>
            </w:r>
            <w:r>
              <w:rPr>
                <w:rFonts w:hint="eastAsia" w:ascii="宋体" w:hAnsi="宋体" w:cs="宋体"/>
                <w:szCs w:val="21"/>
                <w:highlight w:val="none"/>
                <w:lang w:eastAsia="zh-CN"/>
              </w:rPr>
              <w:t>30000.00</w:t>
            </w:r>
            <w:r>
              <w:rPr>
                <w:rFonts w:hint="eastAsia" w:ascii="宋体" w:hAnsi="宋体" w:cs="宋体"/>
                <w:szCs w:val="21"/>
                <w:highlight w:val="none"/>
              </w:rPr>
              <w:t>元）</w:t>
            </w:r>
          </w:p>
          <w:p>
            <w:pPr>
              <w:spacing w:line="360" w:lineRule="auto"/>
              <w:jc w:val="left"/>
              <w:rPr>
                <w:rFonts w:hint="eastAsia" w:ascii="宋体" w:hAnsi="宋体" w:cs="宋体"/>
                <w:szCs w:val="21"/>
                <w:highlight w:val="none"/>
                <w:lang w:eastAsia="zh-CN"/>
              </w:rPr>
            </w:pPr>
            <w:r>
              <w:rPr>
                <w:rFonts w:hint="eastAsia" w:ascii="宋体" w:hAnsi="宋体" w:cs="宋体"/>
                <w:szCs w:val="21"/>
                <w:highlight w:val="none"/>
              </w:rPr>
              <w:t>投标保证金截止时间：</w:t>
            </w:r>
            <w:r>
              <w:rPr>
                <w:rFonts w:hint="eastAsia" w:ascii="宋体" w:hAnsi="宋体" w:cs="宋体"/>
                <w:szCs w:val="21"/>
                <w:highlight w:val="none"/>
                <w:lang w:val="en-US" w:eastAsia="zh-CN"/>
              </w:rPr>
              <w:t>2022</w:t>
            </w:r>
            <w:r>
              <w:rPr>
                <w:rFonts w:hint="eastAsia" w:ascii="宋体" w:hAnsi="宋体" w:cs="宋体"/>
                <w:szCs w:val="21"/>
                <w:highlight w:val="none"/>
                <w:lang w:eastAsia="zh-CN"/>
              </w:rPr>
              <w:t>年</w:t>
            </w:r>
            <w:r>
              <w:rPr>
                <w:rFonts w:hint="eastAsia" w:ascii="宋体" w:hAnsi="宋体" w:cs="宋体"/>
                <w:szCs w:val="21"/>
                <w:highlight w:val="none"/>
                <w:lang w:val="en-US" w:eastAsia="zh-CN"/>
              </w:rPr>
              <w:t>12</w:t>
            </w:r>
            <w:r>
              <w:rPr>
                <w:rFonts w:hint="eastAsia" w:ascii="宋体" w:hAnsi="宋体" w:cs="宋体"/>
                <w:szCs w:val="21"/>
                <w:highlight w:val="none"/>
                <w:lang w:eastAsia="zh-CN"/>
              </w:rPr>
              <w:t>月</w:t>
            </w:r>
            <w:r>
              <w:rPr>
                <w:rFonts w:hint="eastAsia" w:ascii="宋体" w:hAnsi="宋体" w:cs="宋体"/>
                <w:szCs w:val="21"/>
                <w:highlight w:val="none"/>
                <w:lang w:val="en-US" w:eastAsia="zh-CN"/>
              </w:rPr>
              <w:t>1</w:t>
            </w:r>
            <w:r>
              <w:rPr>
                <w:rFonts w:hint="eastAsia" w:ascii="宋体" w:hAnsi="宋体" w:cs="宋体"/>
                <w:szCs w:val="21"/>
                <w:highlight w:val="none"/>
                <w:lang w:eastAsia="zh-CN"/>
              </w:rPr>
              <w:t>日开标前</w:t>
            </w:r>
          </w:p>
          <w:p>
            <w:pPr>
              <w:spacing w:line="360" w:lineRule="auto"/>
              <w:jc w:val="left"/>
              <w:rPr>
                <w:rFonts w:ascii="宋体" w:hAnsi="宋体" w:cs="宋体"/>
                <w:b/>
                <w:szCs w:val="21"/>
                <w:highlight w:val="none"/>
              </w:rPr>
            </w:pPr>
            <w:r>
              <w:rPr>
                <w:rFonts w:hint="eastAsia" w:ascii="宋体" w:hAnsi="宋体" w:cs="宋体"/>
                <w:b/>
                <w:color w:val="000000" w:themeColor="text1"/>
                <w:szCs w:val="21"/>
                <w:highlight w:val="none"/>
                <w14:textFill>
                  <w14:solidFill>
                    <w14:schemeClr w14:val="tx1"/>
                  </w14:solidFill>
                </w14:textFill>
              </w:rPr>
              <w:t>投标保证金的提交形式：</w:t>
            </w:r>
            <w:r>
              <w:rPr>
                <w:rFonts w:hint="eastAsia" w:ascii="宋体" w:hAnsi="宋体" w:cs="宋体"/>
                <w:b/>
                <w:szCs w:val="21"/>
                <w:highlight w:val="none"/>
              </w:rPr>
              <w:t>投标人必须以银行转账；电汇非现金形式从对公账户转入（</w:t>
            </w:r>
            <w:r>
              <w:rPr>
                <w:rFonts w:hint="eastAsia" w:ascii="宋体" w:hAnsi="宋体" w:cs="宋体"/>
                <w:b/>
                <w:szCs w:val="21"/>
                <w:highlight w:val="none"/>
                <w:u w:val="single"/>
              </w:rPr>
              <w:t>缴纳保证金时请务必注明项目名称以便查询</w:t>
            </w:r>
            <w:r>
              <w:rPr>
                <w:rFonts w:hint="eastAsia" w:ascii="宋体" w:hAnsi="宋体" w:cs="宋体"/>
                <w:b/>
                <w:szCs w:val="21"/>
                <w:highlight w:val="none"/>
              </w:rPr>
              <w:t>）</w:t>
            </w:r>
            <w:r>
              <w:rPr>
                <w:rFonts w:hint="eastAsia" w:ascii="宋体" w:hAnsi="宋体" w:cs="宋体"/>
                <w:b/>
                <w:color w:val="000000" w:themeColor="text1"/>
                <w:szCs w:val="21"/>
                <w:highlight w:val="none"/>
                <w14:textFill>
                  <w14:solidFill>
                    <w14:schemeClr w14:val="tx1"/>
                  </w14:solidFill>
                </w14:textFill>
              </w:rPr>
              <w:t>。</w:t>
            </w:r>
          </w:p>
          <w:p>
            <w:pPr>
              <w:jc w:val="left"/>
              <w:rPr>
                <w:rFonts w:ascii="宋体" w:hAnsi="宋体" w:cs="宋体"/>
                <w:szCs w:val="21"/>
                <w:highlight w:val="none"/>
              </w:rPr>
            </w:pPr>
            <w:r>
              <w:rPr>
                <w:rFonts w:hint="eastAsia" w:ascii="宋体" w:hAnsi="宋体" w:cs="宋体"/>
                <w:b/>
                <w:color w:val="000000" w:themeColor="text1"/>
                <w:szCs w:val="21"/>
                <w:highlight w:val="none"/>
                <w14:textFill>
                  <w14:solidFill>
                    <w14:schemeClr w14:val="tx1"/>
                  </w14:solidFill>
                </w14:textFill>
              </w:rPr>
              <w:t>投标保证金应在投标有效期截止日后30天内有效</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93" w:type="dxa"/>
            <w:tcBorders>
              <w:top w:val="single" w:color="auto" w:sz="6" w:space="0"/>
              <w:bottom w:val="single" w:color="auto" w:sz="4" w:space="0"/>
            </w:tcBorders>
            <w:noWrap/>
            <w:vAlign w:val="center"/>
          </w:tcPr>
          <w:p>
            <w:pPr>
              <w:jc w:val="center"/>
              <w:rPr>
                <w:rFonts w:ascii="宋体" w:hAnsi="宋体" w:cs="宋体"/>
                <w:b/>
                <w:szCs w:val="21"/>
                <w:highlight w:val="none"/>
              </w:rPr>
            </w:pPr>
            <w:r>
              <w:rPr>
                <w:rFonts w:hint="eastAsia" w:ascii="宋体" w:hAnsi="宋体" w:cs="宋体"/>
                <w:b/>
                <w:szCs w:val="21"/>
                <w:highlight w:val="none"/>
              </w:rPr>
              <w:t>11</w:t>
            </w:r>
          </w:p>
        </w:tc>
        <w:tc>
          <w:tcPr>
            <w:tcW w:w="7440" w:type="dxa"/>
            <w:tcBorders>
              <w:top w:val="single" w:color="auto" w:sz="6" w:space="0"/>
              <w:bottom w:val="single" w:color="auto" w:sz="4" w:space="0"/>
            </w:tcBorders>
            <w:noWrap/>
            <w:vAlign w:val="center"/>
          </w:tcPr>
          <w:p>
            <w:pPr>
              <w:spacing w:line="360" w:lineRule="auto"/>
              <w:jc w:val="left"/>
              <w:rPr>
                <w:rFonts w:ascii="宋体" w:hAnsi="宋体" w:cs="宋体"/>
                <w:szCs w:val="21"/>
                <w:highlight w:val="none"/>
              </w:rPr>
            </w:pPr>
            <w:r>
              <w:rPr>
                <w:rFonts w:hint="eastAsia" w:ascii="宋体" w:hAnsi="宋体" w:cs="宋体"/>
                <w:szCs w:val="21"/>
                <w:highlight w:val="none"/>
              </w:rPr>
              <w:t>保证金/中标服务费账户：</w:t>
            </w:r>
          </w:p>
          <w:p>
            <w:pPr>
              <w:spacing w:line="360" w:lineRule="auto"/>
              <w:jc w:val="left"/>
              <w:rPr>
                <w:rFonts w:ascii="宋体" w:hAnsi="宋体" w:cs="宋体"/>
                <w:szCs w:val="21"/>
                <w:highlight w:val="none"/>
              </w:rPr>
            </w:pPr>
            <w:r>
              <w:rPr>
                <w:rFonts w:hint="eastAsia" w:ascii="宋体" w:hAnsi="宋体" w:cs="宋体"/>
                <w:szCs w:val="21"/>
                <w:highlight w:val="none"/>
              </w:rPr>
              <w:t>开户名称：陕西德信招标有限公司</w:t>
            </w:r>
          </w:p>
          <w:p>
            <w:pPr>
              <w:spacing w:line="360" w:lineRule="auto"/>
              <w:jc w:val="left"/>
              <w:rPr>
                <w:rFonts w:ascii="宋体" w:hAnsi="宋体" w:cs="宋体"/>
                <w:szCs w:val="21"/>
                <w:highlight w:val="none"/>
              </w:rPr>
            </w:pPr>
            <w:r>
              <w:rPr>
                <w:rFonts w:hint="eastAsia" w:ascii="宋体" w:hAnsi="宋体" w:cs="宋体"/>
                <w:szCs w:val="21"/>
                <w:highlight w:val="none"/>
              </w:rPr>
              <w:t>开户银行：西安银行东二环南段支行</w:t>
            </w:r>
          </w:p>
          <w:p>
            <w:pPr>
              <w:spacing w:line="360" w:lineRule="auto"/>
              <w:jc w:val="left"/>
              <w:rPr>
                <w:rFonts w:ascii="宋体" w:hAnsi="宋体" w:cs="宋体"/>
                <w:szCs w:val="21"/>
                <w:highlight w:val="none"/>
              </w:rPr>
            </w:pPr>
            <w:r>
              <w:rPr>
                <w:rFonts w:hint="eastAsia" w:ascii="宋体" w:hAnsi="宋体" w:cs="宋体"/>
                <w:szCs w:val="21"/>
                <w:highlight w:val="none"/>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ign w:val="center"/>
          </w:tcPr>
          <w:p>
            <w:pPr>
              <w:jc w:val="center"/>
              <w:rPr>
                <w:rFonts w:ascii="宋体" w:hAnsi="宋体" w:cs="宋体"/>
                <w:b/>
                <w:szCs w:val="21"/>
                <w:highlight w:val="none"/>
              </w:rPr>
            </w:pPr>
            <w:r>
              <w:rPr>
                <w:rFonts w:hint="eastAsia" w:ascii="宋体" w:hAnsi="宋体" w:cs="宋体"/>
                <w:b/>
                <w:szCs w:val="21"/>
                <w:highlight w:val="none"/>
              </w:rPr>
              <w:t>12</w:t>
            </w:r>
          </w:p>
        </w:tc>
        <w:tc>
          <w:tcPr>
            <w:tcW w:w="7440" w:type="dxa"/>
            <w:tcBorders>
              <w:top w:val="single" w:color="auto" w:sz="4" w:space="0"/>
            </w:tcBorders>
            <w:noWrap/>
            <w:vAlign w:val="center"/>
          </w:tcPr>
          <w:p>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投标截止时间：</w:t>
            </w:r>
            <w:r>
              <w:rPr>
                <w:rFonts w:hint="eastAsia" w:ascii="宋体" w:hAnsi="宋体" w:cs="宋体"/>
                <w:color w:val="000000" w:themeColor="text1"/>
                <w:szCs w:val="21"/>
                <w:highlight w:val="none"/>
                <w:lang w:val="en-US" w:eastAsia="zh-CN"/>
                <w14:textFill>
                  <w14:solidFill>
                    <w14:schemeClr w14:val="tx1"/>
                  </w14:solidFill>
                </w14:textFill>
              </w:rPr>
              <w:t>2022</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14时</w:t>
            </w:r>
            <w:r>
              <w:rPr>
                <w:rFonts w:hint="eastAsia" w:ascii="宋体" w:hAnsi="宋体" w:cs="宋体"/>
                <w:color w:val="000000" w:themeColor="text1"/>
                <w:szCs w:val="21"/>
                <w:highlight w:val="none"/>
                <w14:textFill>
                  <w14:solidFill>
                    <w14:schemeClr w14:val="tx1"/>
                  </w14:solidFill>
                </w14:textFill>
              </w:rPr>
              <w:t>(北京时间)。</w:t>
            </w:r>
          </w:p>
          <w:p>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投标文件递交地点：陕西德信招标有限公司开标室。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ign w:val="center"/>
          </w:tcPr>
          <w:p>
            <w:pPr>
              <w:jc w:val="center"/>
              <w:rPr>
                <w:rFonts w:ascii="宋体" w:hAnsi="宋体" w:cs="宋体"/>
                <w:b/>
                <w:szCs w:val="21"/>
                <w:highlight w:val="none"/>
              </w:rPr>
            </w:pPr>
            <w:r>
              <w:rPr>
                <w:rFonts w:hint="eastAsia" w:ascii="宋体" w:hAnsi="宋体" w:cs="宋体"/>
                <w:b/>
                <w:szCs w:val="21"/>
                <w:highlight w:val="none"/>
              </w:rPr>
              <w:t>13</w:t>
            </w:r>
          </w:p>
        </w:tc>
        <w:tc>
          <w:tcPr>
            <w:tcW w:w="7440" w:type="dxa"/>
            <w:tcBorders>
              <w:top w:val="single" w:color="auto" w:sz="4" w:space="0"/>
            </w:tcBorders>
            <w:noWrap/>
            <w:vAlign w:val="center"/>
          </w:tcPr>
          <w:p>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w:t>
            </w:r>
            <w:r>
              <w:rPr>
                <w:rFonts w:hint="eastAsia" w:ascii="宋体" w:hAnsi="宋体" w:cs="宋体"/>
                <w:color w:val="000000" w:themeColor="text1"/>
                <w:szCs w:val="21"/>
                <w:highlight w:val="none"/>
                <w:lang w:val="en-US" w:eastAsia="zh-CN"/>
                <w14:textFill>
                  <w14:solidFill>
                    <w14:schemeClr w14:val="tx1"/>
                  </w14:solidFill>
                </w14:textFill>
              </w:rPr>
              <w:t>2022</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14时</w:t>
            </w:r>
            <w:r>
              <w:rPr>
                <w:rFonts w:hint="eastAsia" w:ascii="宋体" w:hAnsi="宋体" w:cs="宋体"/>
                <w:color w:val="000000" w:themeColor="text1"/>
                <w:szCs w:val="21"/>
                <w:highlight w:val="none"/>
                <w14:textFill>
                  <w14:solidFill>
                    <w14:schemeClr w14:val="tx1"/>
                  </w14:solidFill>
                </w14:textFill>
              </w:rPr>
              <w:t>(北京时间)。</w:t>
            </w:r>
          </w:p>
          <w:p>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开标地点：陕西德信招标有限公司开标室。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6" w:hRule="atLeast"/>
        </w:trPr>
        <w:tc>
          <w:tcPr>
            <w:tcW w:w="1093" w:type="dxa"/>
            <w:noWrap/>
            <w:vAlign w:val="center"/>
          </w:tcPr>
          <w:p>
            <w:pPr>
              <w:jc w:val="center"/>
              <w:rPr>
                <w:rFonts w:ascii="宋体" w:hAnsi="宋体" w:cs="宋体"/>
                <w:b/>
                <w:szCs w:val="21"/>
                <w:highlight w:val="none"/>
              </w:rPr>
            </w:pPr>
            <w:r>
              <w:rPr>
                <w:rFonts w:hint="eastAsia" w:ascii="宋体" w:hAnsi="宋体" w:cs="宋体"/>
                <w:b/>
                <w:szCs w:val="21"/>
                <w:highlight w:val="none"/>
              </w:rPr>
              <w:t>14</w:t>
            </w:r>
          </w:p>
        </w:tc>
        <w:tc>
          <w:tcPr>
            <w:tcW w:w="7440" w:type="dxa"/>
            <w:noWrap/>
            <w:vAlign w:val="center"/>
          </w:tcPr>
          <w:p>
            <w:pPr>
              <w:spacing w:line="360" w:lineRule="auto"/>
              <w:jc w:val="left"/>
              <w:rPr>
                <w:rFonts w:ascii="宋体" w:hAnsi="宋体" w:cs="宋体"/>
                <w:b/>
                <w:bCs/>
                <w:szCs w:val="21"/>
                <w:highlight w:val="none"/>
              </w:rPr>
            </w:pPr>
            <w:r>
              <w:rPr>
                <w:rFonts w:hint="eastAsia" w:ascii="宋体" w:hAnsi="宋体" w:cs="宋体"/>
                <w:b/>
                <w:bCs/>
                <w:szCs w:val="21"/>
                <w:highlight w:val="none"/>
              </w:rPr>
              <w:t>投标文件的提交：</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投标文件份数：正本壹份，副本肆份，开标信封壹份（内含投标文件正本的Word版本及加盖公章PDF版本的U盘一个、投标报价表、投标保证金转账回执复印件）。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3" w:hRule="atLeast"/>
        </w:trPr>
        <w:tc>
          <w:tcPr>
            <w:tcW w:w="1093" w:type="dxa"/>
            <w:noWrap/>
            <w:vAlign w:val="center"/>
          </w:tcPr>
          <w:p>
            <w:pPr>
              <w:jc w:val="center"/>
              <w:rPr>
                <w:rFonts w:ascii="宋体" w:hAnsi="宋体" w:cs="宋体"/>
                <w:b/>
                <w:szCs w:val="21"/>
                <w:highlight w:val="none"/>
              </w:rPr>
            </w:pPr>
            <w:r>
              <w:rPr>
                <w:rFonts w:hint="eastAsia" w:ascii="宋体" w:hAnsi="宋体" w:cs="宋体"/>
                <w:b/>
                <w:szCs w:val="21"/>
                <w:highlight w:val="none"/>
              </w:rPr>
              <w:t>15</w:t>
            </w:r>
          </w:p>
        </w:tc>
        <w:tc>
          <w:tcPr>
            <w:tcW w:w="7440" w:type="dxa"/>
            <w:noWrap/>
            <w:vAlign w:val="center"/>
          </w:tcPr>
          <w:p>
            <w:pPr>
              <w:widowControl/>
              <w:tabs>
                <w:tab w:val="left" w:pos="1620"/>
              </w:tabs>
              <w:wordWrap w:val="0"/>
              <w:spacing w:line="360" w:lineRule="auto"/>
              <w:ind w:right="-197" w:rightChars="-94"/>
              <w:jc w:val="left"/>
              <w:rPr>
                <w:rFonts w:ascii="宋体" w:hAnsi="宋体" w:cs="宋体"/>
                <w:b/>
                <w:bCs/>
                <w:szCs w:val="21"/>
                <w:highlight w:val="none"/>
              </w:rPr>
            </w:pPr>
            <w:r>
              <w:rPr>
                <w:rFonts w:hint="eastAsia" w:ascii="宋体" w:hAnsi="宋体" w:cs="宋体"/>
                <w:b/>
                <w:szCs w:val="21"/>
                <w:highlight w:val="none"/>
              </w:rPr>
              <w:t>技术偏离表不得完全复制粘贴招标文件技术参数要求，否则视为无效投标。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66" w:hRule="atLeast"/>
        </w:trPr>
        <w:tc>
          <w:tcPr>
            <w:tcW w:w="1093" w:type="dxa"/>
            <w:noWrap/>
            <w:vAlign w:val="center"/>
          </w:tcPr>
          <w:p>
            <w:pPr>
              <w:jc w:val="center"/>
              <w:rPr>
                <w:rFonts w:ascii="宋体" w:hAnsi="宋体" w:cs="宋体"/>
                <w:b/>
                <w:szCs w:val="21"/>
                <w:highlight w:val="none"/>
              </w:rPr>
            </w:pPr>
            <w:r>
              <w:rPr>
                <w:rFonts w:hint="eastAsia" w:ascii="宋体" w:hAnsi="宋体" w:cs="宋体"/>
                <w:b/>
                <w:szCs w:val="21"/>
                <w:highlight w:val="none"/>
              </w:rPr>
              <w:t>16</w:t>
            </w:r>
          </w:p>
        </w:tc>
        <w:tc>
          <w:tcPr>
            <w:tcW w:w="7440" w:type="dxa"/>
            <w:tcBorders>
              <w:bottom w:val="single" w:color="auto" w:sz="4" w:space="0"/>
            </w:tcBorders>
            <w:noWrap/>
            <w:vAlign w:val="center"/>
          </w:tcPr>
          <w:p>
            <w:pPr>
              <w:spacing w:line="360" w:lineRule="auto"/>
              <w:ind w:firstLine="221" w:firstLineChars="100"/>
              <w:rPr>
                <w:rFonts w:ascii="宋体" w:hAnsi="宋体" w:cs="宋体"/>
                <w:b/>
                <w:sz w:val="22"/>
                <w:szCs w:val="22"/>
                <w:highlight w:val="none"/>
              </w:rPr>
            </w:pPr>
            <w:r>
              <w:rPr>
                <w:rFonts w:hint="eastAsia" w:ascii="宋体" w:hAnsi="宋体" w:cs="宋体"/>
                <w:b/>
                <w:sz w:val="22"/>
                <w:szCs w:val="22"/>
                <w:highlight w:val="none"/>
              </w:rPr>
              <w:t>落实的政府采购政策：</w:t>
            </w:r>
          </w:p>
          <w:p>
            <w:pPr>
              <w:spacing w:line="360" w:lineRule="auto"/>
              <w:ind w:firstLine="211" w:firstLineChars="100"/>
              <w:rPr>
                <w:rFonts w:ascii="宋体" w:hAnsi="宋体" w:cs="宋体"/>
                <w:b/>
                <w:szCs w:val="21"/>
                <w:highlight w:val="none"/>
              </w:rPr>
            </w:pPr>
            <w:r>
              <w:rPr>
                <w:rFonts w:hint="eastAsia" w:ascii="宋体" w:hAnsi="宋体" w:cs="宋体"/>
                <w:b/>
                <w:szCs w:val="21"/>
                <w:highlight w:val="none"/>
              </w:rPr>
              <w:t>1、对小型或微型企业参加政府采购投标的扶持：</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根据《政府采购促进中小企业发展管理办法》（财库[2020]46号）的规定，对于非专门面向中小企业的项目，对小型和微型企业产品的价格给予10%的扣除，用扣除后的价格参与评审；供应商可在投标文件中提供小型和微型企业声明；</w:t>
            </w:r>
          </w:p>
          <w:p>
            <w:pPr>
              <w:spacing w:line="360" w:lineRule="auto"/>
              <w:ind w:firstLine="211" w:firstLineChars="100"/>
              <w:rPr>
                <w:rFonts w:ascii="宋体" w:hAnsi="宋体" w:cs="宋体"/>
                <w:b/>
                <w:szCs w:val="21"/>
                <w:highlight w:val="none"/>
              </w:rPr>
            </w:pPr>
            <w:r>
              <w:rPr>
                <w:rFonts w:hint="eastAsia" w:ascii="宋体" w:hAnsi="宋体" w:cs="宋体"/>
                <w:b/>
                <w:szCs w:val="21"/>
                <w:highlight w:val="none"/>
              </w:rPr>
              <w:t>2、对监狱企业、残疾人福利企业的扶持：</w:t>
            </w:r>
          </w:p>
          <w:p>
            <w:pPr>
              <w:pStyle w:val="18"/>
              <w:spacing w:line="360" w:lineRule="auto"/>
              <w:ind w:firstLine="420" w:firstLineChars="200"/>
              <w:rPr>
                <w:rFonts w:hAnsi="宋体" w:cs="宋体"/>
                <w:b/>
                <w:bCs/>
                <w:sz w:val="24"/>
                <w:szCs w:val="24"/>
                <w:highlight w:val="none"/>
              </w:rPr>
            </w:pPr>
            <w:r>
              <w:rPr>
                <w:rFonts w:hint="eastAsia" w:hAnsi="宋体" w:cs="宋体"/>
                <w:bCs/>
                <w:szCs w:val="21"/>
                <w:highlight w:val="none"/>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w:t>
            </w:r>
          </w:p>
          <w:p>
            <w:pPr>
              <w:pStyle w:val="18"/>
              <w:spacing w:line="360" w:lineRule="auto"/>
              <w:ind w:firstLine="211" w:firstLineChars="100"/>
              <w:rPr>
                <w:rFonts w:hAnsi="宋体" w:cs="宋体"/>
                <w:b/>
                <w:szCs w:val="21"/>
                <w:highlight w:val="none"/>
              </w:rPr>
            </w:pPr>
            <w:r>
              <w:rPr>
                <w:rFonts w:hint="eastAsia" w:hAnsi="宋体" w:cs="宋体"/>
                <w:b/>
                <w:szCs w:val="21"/>
                <w:highlight w:val="none"/>
              </w:rPr>
              <w:t>对同时属于小微企业、监狱企业或残疾人福利性单位的， 不重复享受政策。</w:t>
            </w:r>
          </w:p>
          <w:p>
            <w:pPr>
              <w:spacing w:line="360" w:lineRule="auto"/>
              <w:ind w:firstLine="211" w:firstLineChars="100"/>
              <w:rPr>
                <w:highlight w:val="none"/>
              </w:rPr>
            </w:pPr>
            <w:r>
              <w:rPr>
                <w:rFonts w:hint="eastAsia" w:ascii="宋体" w:hAnsi="宋体" w:cs="宋体"/>
                <w:b/>
                <w:szCs w:val="21"/>
                <w:highlight w:val="none"/>
              </w:rPr>
              <w:t>3、对节能、环保政策的支持</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8"/>
              <w:spacing w:line="360" w:lineRule="auto"/>
              <w:ind w:firstLine="420" w:firstLineChars="200"/>
              <w:rPr>
                <w:rFonts w:hAnsi="宋体" w:cs="宋体"/>
                <w:bCs/>
                <w:szCs w:val="21"/>
                <w:highlight w:val="none"/>
              </w:rPr>
            </w:pPr>
            <w:r>
              <w:rPr>
                <w:rFonts w:hint="eastAsia" w:hAnsi="宋体" w:cs="宋体"/>
                <w:bCs/>
                <w:szCs w:val="21"/>
                <w:highlight w:val="none"/>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1093" w:type="dxa"/>
            <w:noWrap/>
            <w:vAlign w:val="center"/>
          </w:tcPr>
          <w:p>
            <w:pPr>
              <w:jc w:val="center"/>
              <w:rPr>
                <w:rFonts w:ascii="宋体" w:hAnsi="宋体" w:cs="宋体"/>
                <w:b/>
                <w:szCs w:val="21"/>
                <w:highlight w:val="none"/>
              </w:rPr>
            </w:pPr>
            <w:r>
              <w:rPr>
                <w:rFonts w:hint="eastAsia" w:ascii="宋体" w:hAnsi="宋体" w:cs="宋体"/>
                <w:b/>
                <w:szCs w:val="21"/>
                <w:highlight w:val="none"/>
              </w:rPr>
              <w:t>17</w:t>
            </w:r>
          </w:p>
        </w:tc>
        <w:tc>
          <w:tcPr>
            <w:tcW w:w="7440" w:type="dxa"/>
            <w:tcBorders>
              <w:bottom w:val="single" w:color="auto" w:sz="4" w:space="0"/>
            </w:tcBorders>
            <w:noWrap/>
            <w:vAlign w:val="center"/>
          </w:tcPr>
          <w:p>
            <w:pPr>
              <w:pStyle w:val="18"/>
              <w:overflowPunct w:val="0"/>
              <w:adjustRightInd w:val="0"/>
              <w:snapToGrid w:val="0"/>
              <w:spacing w:line="360" w:lineRule="auto"/>
              <w:ind w:right="105" w:rightChars="50"/>
              <w:rPr>
                <w:rFonts w:hAnsi="宋体" w:cs="宋体"/>
                <w:b/>
                <w:bCs/>
                <w:szCs w:val="21"/>
                <w:highlight w:val="none"/>
              </w:rPr>
            </w:pPr>
            <w:r>
              <w:rPr>
                <w:rFonts w:hint="eastAsia" w:hAnsi="宋体" w:cs="宋体"/>
                <w:b/>
                <w:bCs/>
                <w:szCs w:val="21"/>
                <w:highlight w:val="none"/>
              </w:rPr>
              <w:t>强制认证产品说明</w:t>
            </w:r>
            <w:r>
              <w:rPr>
                <w:rFonts w:hint="eastAsia" w:hAnsi="宋体" w:cs="宋体"/>
                <w:b/>
                <w:szCs w:val="21"/>
                <w:highlight w:val="none"/>
              </w:rPr>
              <w:t>：</w:t>
            </w:r>
          </w:p>
          <w:p>
            <w:pPr>
              <w:pStyle w:val="106"/>
              <w:spacing w:line="360" w:lineRule="auto"/>
              <w:ind w:right="163" w:firstLine="420" w:firstLineChars="200"/>
              <w:rPr>
                <w:rFonts w:ascii="宋体" w:hAnsi="宋体" w:eastAsia="宋体" w:cs="宋体"/>
                <w:bCs/>
                <w:szCs w:val="21"/>
                <w:highlight w:val="none"/>
                <w:lang w:val="en-US" w:bidi="ar-SA"/>
              </w:rPr>
            </w:pPr>
            <w:r>
              <w:rPr>
                <w:rFonts w:hint="eastAsia" w:hAnsi="宋体" w:eastAsia="宋体" w:cs="宋体"/>
                <w:szCs w:val="21"/>
                <w:highlight w:val="none"/>
              </w:rPr>
              <w:t>所投产品（</w:t>
            </w:r>
            <w:r>
              <w:rPr>
                <w:rFonts w:hint="eastAsia" w:hAnsi="宋体" w:eastAsia="宋体" w:cs="宋体"/>
                <w:szCs w:val="21"/>
                <w:highlight w:val="none"/>
                <w:lang w:val="en-US"/>
              </w:rPr>
              <w:t>服务器</w:t>
            </w:r>
            <w:r>
              <w:rPr>
                <w:rFonts w:hint="eastAsia" w:hAnsi="宋体" w:eastAsia="宋体" w:cs="宋体"/>
                <w:szCs w:val="21"/>
                <w:highlight w:val="none"/>
              </w:rPr>
              <w:t>）应获得强制认证且证书在有效期内，否则不得投标。不论查验与否，提供本应获得而未获得CCC认证产品的投标和中标</w:t>
            </w:r>
            <w:r>
              <w:rPr>
                <w:rFonts w:hint="eastAsia" w:eastAsia="宋体" w:cs="宋体"/>
                <w:szCs w:val="21"/>
                <w:highlight w:val="none"/>
              </w:rPr>
              <w:t>（</w:t>
            </w:r>
            <w:r>
              <w:rPr>
                <w:rFonts w:hint="eastAsia" w:eastAsia="宋体" w:cs="宋体"/>
                <w:szCs w:val="21"/>
                <w:highlight w:val="none"/>
                <w:lang w:val="en-US"/>
              </w:rPr>
              <w:t>成交</w:t>
            </w:r>
            <w:r>
              <w:rPr>
                <w:rFonts w:hint="eastAsia" w:eastAsia="宋体" w:cs="宋体"/>
                <w:szCs w:val="21"/>
                <w:highlight w:val="none"/>
              </w:rPr>
              <w:t>）</w:t>
            </w:r>
            <w:r>
              <w:rPr>
                <w:rFonts w:hint="eastAsia" w:hAnsi="宋体" w:eastAsia="宋体" w:cs="宋体"/>
                <w:szCs w:val="21"/>
                <w:highlight w:val="none"/>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ign w:val="center"/>
          </w:tcPr>
          <w:p>
            <w:pPr>
              <w:tabs>
                <w:tab w:val="left" w:pos="360"/>
              </w:tabs>
              <w:jc w:val="center"/>
              <w:rPr>
                <w:rFonts w:ascii="宋体" w:hAnsi="宋体" w:cs="宋体"/>
                <w:b/>
                <w:szCs w:val="21"/>
                <w:highlight w:val="none"/>
              </w:rPr>
            </w:pPr>
            <w:r>
              <w:rPr>
                <w:rFonts w:hint="eastAsia" w:ascii="宋体" w:hAnsi="宋体" w:cs="宋体"/>
                <w:b/>
                <w:szCs w:val="21"/>
                <w:highlight w:val="none"/>
              </w:rPr>
              <w:t>18</w:t>
            </w:r>
          </w:p>
        </w:tc>
        <w:tc>
          <w:tcPr>
            <w:tcW w:w="7440" w:type="dxa"/>
            <w:tcBorders>
              <w:top w:val="single" w:color="auto" w:sz="4" w:space="0"/>
            </w:tcBorders>
            <w:noWrap/>
            <w:vAlign w:val="center"/>
          </w:tcPr>
          <w:p>
            <w:pPr>
              <w:pStyle w:val="106"/>
              <w:spacing w:line="360" w:lineRule="auto"/>
              <w:ind w:right="163" w:firstLine="420" w:firstLineChars="200"/>
              <w:rPr>
                <w:rFonts w:ascii="宋体" w:hAnsi="宋体" w:eastAsia="宋体" w:cs="宋体"/>
                <w:bCs/>
                <w:szCs w:val="21"/>
                <w:highlight w:val="none"/>
                <w:lang w:val="en-US" w:bidi="ar-SA"/>
              </w:rPr>
            </w:pPr>
            <w:r>
              <w:rPr>
                <w:rFonts w:hint="eastAsia" w:ascii="宋体" w:hAnsi="宋体" w:eastAsia="宋体" w:cs="宋体"/>
                <w:bCs/>
                <w:szCs w:val="21"/>
                <w:highlight w:val="none"/>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ign w:val="center"/>
          </w:tcPr>
          <w:p>
            <w:pPr>
              <w:tabs>
                <w:tab w:val="left" w:pos="360"/>
              </w:tabs>
              <w:jc w:val="center"/>
              <w:rPr>
                <w:rFonts w:ascii="宋体" w:hAnsi="宋体" w:cs="宋体"/>
                <w:b/>
                <w:szCs w:val="21"/>
                <w:highlight w:val="none"/>
              </w:rPr>
            </w:pPr>
            <w:r>
              <w:rPr>
                <w:rFonts w:hint="eastAsia" w:ascii="宋体" w:hAnsi="宋体" w:cs="宋体"/>
                <w:b/>
                <w:szCs w:val="21"/>
                <w:highlight w:val="none"/>
              </w:rPr>
              <w:t>19</w:t>
            </w:r>
          </w:p>
        </w:tc>
        <w:tc>
          <w:tcPr>
            <w:tcW w:w="7440" w:type="dxa"/>
            <w:tcBorders>
              <w:left w:val="single" w:color="auto" w:sz="4" w:space="0"/>
            </w:tcBorders>
            <w:noWrap/>
            <w:vAlign w:val="center"/>
          </w:tcPr>
          <w:p>
            <w:pPr>
              <w:pStyle w:val="106"/>
              <w:spacing w:line="360" w:lineRule="auto"/>
              <w:ind w:right="91"/>
              <w:rPr>
                <w:rFonts w:ascii="宋体" w:hAnsi="宋体" w:eastAsia="宋体" w:cs="宋体"/>
                <w:bCs/>
                <w:szCs w:val="21"/>
                <w:highlight w:val="none"/>
                <w:lang w:val="en-US" w:bidi="ar-SA"/>
              </w:rPr>
            </w:pPr>
            <w:r>
              <w:rPr>
                <w:rFonts w:hint="eastAsia" w:ascii="宋体" w:hAnsi="宋体" w:eastAsia="宋体" w:cs="宋体"/>
                <w:b/>
                <w:szCs w:val="21"/>
                <w:highlight w:val="none"/>
                <w:lang w:val="en-US" w:bidi="ar-SA"/>
              </w:rPr>
              <w:t>供应商注册登记提醒</w:t>
            </w:r>
            <w:r>
              <w:rPr>
                <w:rFonts w:hint="eastAsia" w:ascii="宋体" w:hAnsi="宋体" w:eastAsia="宋体" w:cs="宋体"/>
                <w:bCs/>
                <w:szCs w:val="21"/>
                <w:highlight w:val="none"/>
                <w:lang w:val="en-US" w:bidi="ar-SA"/>
              </w:rPr>
              <w:t>：</w:t>
            </w:r>
          </w:p>
          <w:p>
            <w:pPr>
              <w:tabs>
                <w:tab w:val="left" w:pos="360"/>
              </w:tabs>
              <w:spacing w:line="360" w:lineRule="auto"/>
              <w:ind w:firstLine="420" w:firstLineChars="200"/>
              <w:rPr>
                <w:rFonts w:ascii="宋体" w:hAnsi="宋体" w:cs="宋体"/>
                <w:szCs w:val="21"/>
                <w:highlight w:val="none"/>
              </w:rPr>
            </w:pPr>
            <w:r>
              <w:rPr>
                <w:rFonts w:hint="eastAsia" w:ascii="宋体" w:hAnsi="宋体" w:cs="宋体"/>
                <w:bCs/>
                <w:szCs w:val="21"/>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 \h </w:instrText>
            </w:r>
            <w:r>
              <w:rPr>
                <w:highlight w:val="none"/>
              </w:rPr>
              <w:fldChar w:fldCharType="separate"/>
            </w:r>
            <w:r>
              <w:rPr>
                <w:rFonts w:hint="eastAsia" w:ascii="宋体" w:hAnsi="宋体" w:cs="宋体"/>
                <w:bCs/>
                <w:szCs w:val="21"/>
                <w:highlight w:val="none"/>
              </w:rPr>
              <w:t>http：//www.ccgp-shaanxi.gov.cn/</w:t>
            </w:r>
            <w:r>
              <w:rPr>
                <w:rFonts w:hint="eastAsia" w:ascii="宋体" w:hAnsi="宋体" w:cs="宋体"/>
                <w:bCs/>
                <w:szCs w:val="21"/>
                <w:highlight w:val="none"/>
              </w:rPr>
              <w:fldChar w:fldCharType="end"/>
            </w:r>
            <w:r>
              <w:rPr>
                <w:rFonts w:hint="eastAsia" w:ascii="宋体" w:hAnsi="宋体" w:cs="宋体"/>
                <w:bCs/>
                <w:szCs w:val="21"/>
                <w:highlight w:val="none"/>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ign w:val="center"/>
          </w:tcPr>
          <w:p>
            <w:pPr>
              <w:tabs>
                <w:tab w:val="left" w:pos="360"/>
              </w:tabs>
              <w:jc w:val="center"/>
              <w:rPr>
                <w:rFonts w:ascii="宋体" w:hAnsi="宋体" w:cs="宋体"/>
                <w:b/>
                <w:szCs w:val="21"/>
                <w:highlight w:val="none"/>
              </w:rPr>
            </w:pPr>
            <w:r>
              <w:rPr>
                <w:rFonts w:hint="eastAsia" w:ascii="宋体" w:hAnsi="宋体" w:cs="宋体"/>
                <w:b/>
                <w:szCs w:val="21"/>
                <w:highlight w:val="none"/>
              </w:rPr>
              <w:t>20</w:t>
            </w:r>
          </w:p>
        </w:tc>
        <w:tc>
          <w:tcPr>
            <w:tcW w:w="7440" w:type="dxa"/>
            <w:tcBorders>
              <w:left w:val="single" w:color="auto" w:sz="4" w:space="0"/>
            </w:tcBorders>
            <w:noWrap/>
            <w:vAlign w:val="center"/>
          </w:tcPr>
          <w:p>
            <w:pPr>
              <w:tabs>
                <w:tab w:val="left" w:pos="360"/>
              </w:tabs>
              <w:spacing w:line="360" w:lineRule="auto"/>
              <w:rPr>
                <w:rFonts w:ascii="宋体" w:hAnsi="宋体" w:cs="宋体"/>
                <w:b/>
                <w:szCs w:val="21"/>
                <w:highlight w:val="none"/>
              </w:rPr>
            </w:pPr>
            <w:r>
              <w:rPr>
                <w:rFonts w:hint="eastAsia" w:ascii="宋体" w:hAnsi="宋体" w:cs="宋体"/>
                <w:b/>
                <w:szCs w:val="21"/>
                <w:highlight w:val="none"/>
              </w:rPr>
              <w:t>供应商信用信息查询说明：</w:t>
            </w:r>
          </w:p>
          <w:p>
            <w:pPr>
              <w:tabs>
                <w:tab w:val="left" w:pos="360"/>
              </w:tabs>
              <w:spacing w:line="360" w:lineRule="auto"/>
              <w:ind w:firstLine="420" w:firstLineChars="200"/>
              <w:rPr>
                <w:rFonts w:ascii="宋体" w:hAnsi="宋体" w:cs="宋体"/>
                <w:bCs/>
                <w:szCs w:val="21"/>
                <w:highlight w:val="none"/>
              </w:rPr>
            </w:pPr>
            <w:r>
              <w:rPr>
                <w:rFonts w:hint="eastAsia" w:ascii="宋体" w:hAnsi="宋体" w:cs="宋体"/>
                <w:bCs/>
                <w:szCs w:val="21"/>
                <w:highlight w:val="none"/>
              </w:rPr>
              <w:t>采购人、采购代理机构在供应商递交投标文件或响应文件时，在“信用中国”网站(www.creditchina.gov.cn)或中国政府采购网(www.ccgp.gov.cn)， 查询供应商信用是否合格并记录，将查询网页、内容截图或拍照，留档保存。此查询信息仅作为本项目使用。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ign w:val="center"/>
          </w:tcPr>
          <w:p>
            <w:pPr>
              <w:tabs>
                <w:tab w:val="left" w:pos="360"/>
              </w:tabs>
              <w:jc w:val="center"/>
              <w:rPr>
                <w:rFonts w:ascii="宋体" w:hAnsi="宋体" w:cs="宋体"/>
                <w:b/>
                <w:szCs w:val="21"/>
                <w:highlight w:val="none"/>
              </w:rPr>
            </w:pPr>
            <w:r>
              <w:rPr>
                <w:rFonts w:hint="eastAsia" w:ascii="宋体" w:hAnsi="宋体" w:cs="宋体"/>
                <w:b/>
                <w:szCs w:val="21"/>
                <w:highlight w:val="none"/>
              </w:rPr>
              <w:t>21</w:t>
            </w:r>
          </w:p>
        </w:tc>
        <w:tc>
          <w:tcPr>
            <w:tcW w:w="7440" w:type="dxa"/>
            <w:tcBorders>
              <w:left w:val="single" w:color="auto" w:sz="4" w:space="0"/>
            </w:tcBorders>
            <w:noWrap/>
            <w:vAlign w:val="center"/>
          </w:tcPr>
          <w:p>
            <w:pPr>
              <w:tabs>
                <w:tab w:val="left" w:pos="360"/>
              </w:tabs>
              <w:spacing w:line="360" w:lineRule="auto"/>
              <w:ind w:firstLine="420" w:firstLineChars="200"/>
              <w:rPr>
                <w:rFonts w:ascii="宋体" w:hAnsi="宋体" w:cs="宋体"/>
                <w:bCs/>
                <w:szCs w:val="21"/>
                <w:highlight w:val="none"/>
              </w:rPr>
            </w:pPr>
            <w:r>
              <w:rPr>
                <w:rFonts w:hint="eastAsia" w:ascii="宋体" w:hAnsi="宋体" w:cs="宋体"/>
                <w:szCs w:val="21"/>
                <w:highlight w:val="none"/>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ascii="宋体" w:hAnsi="宋体" w:cs="宋体"/>
          <w:b/>
          <w:bCs/>
          <w:sz w:val="36"/>
          <w:szCs w:val="36"/>
          <w:highlight w:val="none"/>
        </w:rPr>
      </w:pPr>
      <w:r>
        <w:rPr>
          <w:rFonts w:hint="eastAsia" w:ascii="宋体" w:hAnsi="宋体" w:cs="宋体"/>
          <w:b/>
          <w:bCs/>
          <w:sz w:val="36"/>
          <w:szCs w:val="36"/>
          <w:highlight w:val="none"/>
        </w:rPr>
        <w:br w:type="page"/>
      </w:r>
    </w:p>
    <w:p>
      <w:pPr>
        <w:spacing w:line="360" w:lineRule="auto"/>
        <w:jc w:val="center"/>
        <w:rPr>
          <w:rFonts w:ascii="宋体" w:hAnsi="宋体" w:cs="宋体"/>
          <w:b/>
          <w:bCs/>
          <w:sz w:val="36"/>
          <w:szCs w:val="36"/>
          <w:highlight w:val="none"/>
        </w:rPr>
      </w:pPr>
      <w:r>
        <w:rPr>
          <w:rFonts w:hint="eastAsia" w:ascii="宋体" w:hAnsi="宋体" w:cs="宋体"/>
          <w:b/>
          <w:bCs/>
          <w:sz w:val="36"/>
          <w:szCs w:val="36"/>
          <w:highlight w:val="none"/>
        </w:rPr>
        <w:t>二、投 标 人 须 知</w:t>
      </w:r>
    </w:p>
    <w:p>
      <w:pPr>
        <w:spacing w:line="360" w:lineRule="auto"/>
        <w:rPr>
          <w:rFonts w:ascii="宋体" w:hAnsi="宋体" w:cs="宋体"/>
          <w:b/>
          <w:bCs/>
          <w:sz w:val="24"/>
          <w:highlight w:val="none"/>
        </w:rPr>
      </w:pPr>
      <w:r>
        <w:rPr>
          <w:rFonts w:hint="eastAsia" w:ascii="宋体" w:hAnsi="宋体" w:cs="宋体"/>
          <w:b/>
          <w:bCs/>
          <w:sz w:val="24"/>
          <w:highlight w:val="none"/>
        </w:rPr>
        <w:t>1、 适用范围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本招标文件仅适用于本次公开招标采购项目。</w:t>
      </w:r>
    </w:p>
    <w:p>
      <w:pPr>
        <w:spacing w:line="360" w:lineRule="auto"/>
        <w:rPr>
          <w:rFonts w:ascii="宋体" w:hAnsi="宋体" w:cs="宋体"/>
          <w:b/>
          <w:bCs/>
          <w:sz w:val="24"/>
          <w:highlight w:val="none"/>
        </w:rPr>
      </w:pPr>
      <w:r>
        <w:rPr>
          <w:rFonts w:hint="eastAsia" w:ascii="宋体" w:hAnsi="宋体" w:cs="宋体"/>
          <w:b/>
          <w:bCs/>
          <w:sz w:val="24"/>
          <w:highlight w:val="none"/>
        </w:rPr>
        <w:t>2、名词解释</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2.1、采购人：</w:t>
      </w:r>
      <w:r>
        <w:rPr>
          <w:rFonts w:hint="eastAsia" w:cs="宋体"/>
          <w:sz w:val="24"/>
          <w:highlight w:val="none"/>
          <w:lang w:eastAsia="zh-CN"/>
        </w:rPr>
        <w:t>商洛市妇幼保健院</w:t>
      </w:r>
      <w:r>
        <w:rPr>
          <w:rFonts w:hint="eastAsia" w:ascii="宋体" w:hAnsi="宋体" w:cs="宋体"/>
          <w:sz w:val="24"/>
          <w:highlight w:val="none"/>
        </w:rPr>
        <w:t>。</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2.2、采购代理机构：陕西德信招标有限公司。</w:t>
      </w:r>
    </w:p>
    <w:p>
      <w:pPr>
        <w:spacing w:line="360" w:lineRule="auto"/>
        <w:ind w:firstLine="240" w:firstLineChars="100"/>
        <w:rPr>
          <w:rFonts w:ascii="宋体" w:hAnsi="宋体" w:cs="宋体"/>
          <w:sz w:val="24"/>
          <w:highlight w:val="none"/>
          <w:u w:val="single"/>
        </w:rPr>
      </w:pPr>
      <w:r>
        <w:rPr>
          <w:rFonts w:hint="eastAsia" w:ascii="宋体" w:hAnsi="宋体" w:cs="宋体"/>
          <w:sz w:val="24"/>
          <w:highlight w:val="none"/>
        </w:rPr>
        <w:t>2.3、监督管理机构：</w:t>
      </w:r>
      <w:r>
        <w:rPr>
          <w:rFonts w:hint="eastAsia" w:cs="宋体"/>
          <w:sz w:val="24"/>
          <w:highlight w:val="none"/>
          <w:lang w:eastAsia="zh-CN"/>
        </w:rPr>
        <w:t>商洛市</w:t>
      </w:r>
      <w:r>
        <w:rPr>
          <w:rFonts w:hint="eastAsia" w:ascii="宋体" w:hAnsi="宋体" w:cs="宋体"/>
          <w:sz w:val="24"/>
          <w:highlight w:val="none"/>
        </w:rPr>
        <w:t>财政局。</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2.4、投标人：是指响应招标、参加投标竞争的法人、非法人组织或者自然人。</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2.5、投标人代表：是指参加投标竞争中代表投标人的法定代表人或者是其被授权人，投标人代表是唯一的。</w:t>
      </w:r>
    </w:p>
    <w:p>
      <w:pPr>
        <w:spacing w:line="360" w:lineRule="auto"/>
        <w:rPr>
          <w:rFonts w:ascii="宋体" w:hAnsi="宋体" w:cs="宋体"/>
          <w:b/>
          <w:bCs/>
          <w:sz w:val="24"/>
          <w:highlight w:val="none"/>
        </w:rPr>
      </w:pPr>
      <w:r>
        <w:rPr>
          <w:rFonts w:hint="eastAsia" w:ascii="宋体" w:hAnsi="宋体" w:cs="宋体"/>
          <w:b/>
          <w:bCs/>
          <w:sz w:val="24"/>
          <w:highlight w:val="none"/>
        </w:rPr>
        <w:t>3、特殊情形</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3.1、特殊情形：指具有独立承担民事责任能力的非法人组织或自然人。</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3.2、特殊情形规定</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3.2.1、非法人组织：</w:t>
      </w:r>
    </w:p>
    <w:p>
      <w:pPr>
        <w:spacing w:line="360" w:lineRule="auto"/>
        <w:rPr>
          <w:rFonts w:ascii="宋体" w:hAnsi="宋体" w:cs="宋体"/>
          <w:sz w:val="24"/>
          <w:highlight w:val="none"/>
        </w:rPr>
      </w:pPr>
      <w:r>
        <w:rPr>
          <w:rFonts w:hint="eastAsia" w:ascii="宋体" w:hAnsi="宋体" w:cs="宋体"/>
          <w:sz w:val="24"/>
          <w:highlight w:val="none"/>
        </w:rPr>
        <w:t>①、事业单位参加投标的，应参照本招标文件给出的投标文件格式制作， 其中投标文件要求法人签字处可以是事业单位的法人签章；</w:t>
      </w:r>
    </w:p>
    <w:p>
      <w:pPr>
        <w:spacing w:line="360" w:lineRule="auto"/>
        <w:rPr>
          <w:rFonts w:ascii="宋体" w:hAnsi="宋体" w:cs="宋体"/>
          <w:sz w:val="24"/>
          <w:highlight w:val="none"/>
        </w:rPr>
      </w:pPr>
      <w:r>
        <w:rPr>
          <w:rFonts w:hint="eastAsia" w:ascii="宋体" w:hAnsi="宋体" w:cs="宋体"/>
          <w:sz w:val="24"/>
          <w:highlight w:val="none"/>
        </w:rPr>
        <w:t>②、分公司参加投标的（须提供总公司出具的法人授权），应参照本招标文件给出的投标文件格式制作，其中投标文件要求法人签字处可以是分公司的负责人签字；</w:t>
      </w:r>
    </w:p>
    <w:p>
      <w:pPr>
        <w:spacing w:line="360" w:lineRule="auto"/>
        <w:rPr>
          <w:rFonts w:ascii="宋体" w:hAnsi="宋体" w:cs="宋体"/>
          <w:sz w:val="24"/>
          <w:highlight w:val="none"/>
        </w:rPr>
      </w:pPr>
      <w:r>
        <w:rPr>
          <w:rFonts w:hint="eastAsia" w:ascii="宋体" w:hAnsi="宋体" w:cs="宋体"/>
          <w:sz w:val="24"/>
          <w:highlight w:val="none"/>
        </w:rPr>
        <w:t>③、个体户参加投标的，应参照本招标文件给出的投标文件格式制作，其中投标文件要求法人签字处可以是其经营者本人签字；</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3.2.2、自然人：自然人投标的，应参照本招标文件给出的投标文件格式制作，其中投标文件要求盖公章处可以是自然人本人的手印；不接受自然人授权他人参加投标。</w:t>
      </w:r>
    </w:p>
    <w:p>
      <w:pPr>
        <w:spacing w:line="360" w:lineRule="auto"/>
        <w:rPr>
          <w:rFonts w:ascii="宋体" w:hAnsi="宋体" w:cs="宋体"/>
          <w:b/>
          <w:bCs/>
          <w:sz w:val="24"/>
          <w:highlight w:val="none"/>
        </w:rPr>
      </w:pPr>
      <w:r>
        <w:rPr>
          <w:rFonts w:hint="eastAsia" w:ascii="宋体" w:hAnsi="宋体" w:cs="宋体"/>
          <w:b/>
          <w:bCs/>
          <w:sz w:val="24"/>
          <w:highlight w:val="none"/>
        </w:rPr>
        <w:t>4、招标文件</w:t>
      </w:r>
    </w:p>
    <w:p>
      <w:pPr>
        <w:spacing w:line="360" w:lineRule="auto"/>
        <w:rPr>
          <w:rFonts w:ascii="宋体" w:hAnsi="宋体" w:cs="宋体"/>
          <w:sz w:val="24"/>
          <w:highlight w:val="none"/>
        </w:rPr>
      </w:pPr>
      <w:r>
        <w:rPr>
          <w:rFonts w:hint="eastAsia" w:ascii="宋体" w:hAnsi="宋体" w:cs="宋体"/>
          <w:sz w:val="24"/>
          <w:highlight w:val="none"/>
        </w:rPr>
        <w:t>4.1 招标文件的组成</w:t>
      </w:r>
    </w:p>
    <w:p>
      <w:pPr>
        <w:tabs>
          <w:tab w:val="left" w:pos="3165"/>
        </w:tabs>
        <w:spacing w:line="360" w:lineRule="auto"/>
        <w:rPr>
          <w:rFonts w:ascii="宋体" w:hAnsi="宋体" w:cs="宋体"/>
          <w:sz w:val="24"/>
          <w:highlight w:val="none"/>
        </w:rPr>
      </w:pPr>
      <w:r>
        <w:rPr>
          <w:rFonts w:hint="eastAsia" w:ascii="宋体" w:hAnsi="宋体" w:cs="宋体"/>
          <w:sz w:val="24"/>
          <w:highlight w:val="none"/>
        </w:rPr>
        <w:t xml:space="preserve">  （1）招标公告</w:t>
      </w:r>
    </w:p>
    <w:p>
      <w:pPr>
        <w:spacing w:line="360" w:lineRule="auto"/>
        <w:rPr>
          <w:rFonts w:ascii="宋体" w:hAnsi="宋体" w:cs="宋体"/>
          <w:sz w:val="24"/>
          <w:highlight w:val="none"/>
        </w:rPr>
      </w:pPr>
      <w:r>
        <w:rPr>
          <w:rFonts w:hint="eastAsia" w:ascii="宋体" w:hAnsi="宋体" w:cs="宋体"/>
          <w:sz w:val="24"/>
          <w:highlight w:val="none"/>
        </w:rPr>
        <w:t xml:space="preserve">  （2）投标人须知及前附表</w:t>
      </w:r>
    </w:p>
    <w:p>
      <w:pPr>
        <w:spacing w:line="360" w:lineRule="auto"/>
        <w:rPr>
          <w:rFonts w:ascii="宋体" w:hAnsi="宋体" w:cs="宋体"/>
          <w:sz w:val="24"/>
          <w:highlight w:val="none"/>
        </w:rPr>
      </w:pPr>
      <w:r>
        <w:rPr>
          <w:rFonts w:hint="eastAsia" w:ascii="宋体" w:hAnsi="宋体" w:cs="宋体"/>
          <w:sz w:val="24"/>
          <w:highlight w:val="none"/>
        </w:rPr>
        <w:t xml:space="preserve">  （3）商务部分（合同条款及合同格式）</w:t>
      </w:r>
    </w:p>
    <w:p>
      <w:pPr>
        <w:spacing w:line="360" w:lineRule="auto"/>
        <w:rPr>
          <w:rFonts w:ascii="宋体" w:hAnsi="宋体" w:cs="宋体"/>
          <w:sz w:val="24"/>
          <w:highlight w:val="none"/>
        </w:rPr>
      </w:pPr>
      <w:r>
        <w:rPr>
          <w:rFonts w:hint="eastAsia" w:ascii="宋体" w:hAnsi="宋体" w:cs="宋体"/>
          <w:sz w:val="24"/>
          <w:highlight w:val="none"/>
        </w:rPr>
        <w:t xml:space="preserve">  （4）用户需求书（采购内容及要求）</w:t>
      </w:r>
    </w:p>
    <w:p>
      <w:pPr>
        <w:spacing w:line="360" w:lineRule="auto"/>
        <w:rPr>
          <w:rFonts w:ascii="宋体" w:hAnsi="宋体" w:cs="宋体"/>
          <w:sz w:val="24"/>
          <w:highlight w:val="none"/>
        </w:rPr>
      </w:pPr>
      <w:r>
        <w:rPr>
          <w:rFonts w:hint="eastAsia" w:ascii="宋体" w:hAnsi="宋体" w:cs="宋体"/>
          <w:sz w:val="24"/>
          <w:highlight w:val="none"/>
        </w:rPr>
        <w:t xml:space="preserve">  （5）评标办法</w:t>
      </w:r>
    </w:p>
    <w:p>
      <w:pPr>
        <w:spacing w:line="360" w:lineRule="auto"/>
        <w:rPr>
          <w:rFonts w:ascii="宋体" w:hAnsi="宋体" w:cs="宋体"/>
          <w:sz w:val="24"/>
          <w:highlight w:val="none"/>
        </w:rPr>
      </w:pPr>
      <w:r>
        <w:rPr>
          <w:rFonts w:hint="eastAsia" w:ascii="宋体" w:hAnsi="宋体" w:cs="宋体"/>
          <w:sz w:val="24"/>
          <w:highlight w:val="none"/>
        </w:rPr>
        <w:t xml:space="preserve">  （6）投标文件格式</w:t>
      </w:r>
    </w:p>
    <w:p>
      <w:pPr>
        <w:spacing w:line="360" w:lineRule="auto"/>
        <w:rPr>
          <w:rFonts w:ascii="宋体" w:hAnsi="宋体" w:cs="宋体"/>
          <w:sz w:val="24"/>
          <w:highlight w:val="none"/>
        </w:rPr>
      </w:pPr>
      <w:r>
        <w:rPr>
          <w:rFonts w:hint="eastAsia" w:ascii="宋体" w:hAnsi="宋体" w:cs="宋体"/>
          <w:sz w:val="24"/>
          <w:highlight w:val="none"/>
        </w:rPr>
        <w:t>4.2 招标文件质疑与投诉</w:t>
      </w:r>
    </w:p>
    <w:p>
      <w:pPr>
        <w:spacing w:line="360" w:lineRule="auto"/>
        <w:rPr>
          <w:rFonts w:ascii="宋体" w:hAnsi="宋体" w:cs="宋体"/>
          <w:sz w:val="24"/>
          <w:highlight w:val="none"/>
        </w:rPr>
      </w:pPr>
      <w:r>
        <w:rPr>
          <w:rFonts w:hint="eastAsia" w:ascii="宋体" w:hAnsi="宋体" w:cs="宋体"/>
          <w:sz w:val="24"/>
          <w:highlight w:val="none"/>
        </w:rPr>
        <w:t>4.2.1 投标人对本次招标采购活动有疑问的，按照国家《中华人民共和国政府采购法》及中华人民共和国财政部令第94号《政府采购质疑和投诉办法》的规定办理。</w:t>
      </w:r>
    </w:p>
    <w:p>
      <w:pPr>
        <w:spacing w:line="360" w:lineRule="auto"/>
        <w:rPr>
          <w:rFonts w:ascii="宋体" w:hAnsi="宋体" w:cs="宋体"/>
          <w:sz w:val="24"/>
          <w:highlight w:val="none"/>
        </w:rPr>
      </w:pPr>
      <w:r>
        <w:rPr>
          <w:rFonts w:hint="eastAsia" w:ascii="宋体" w:hAnsi="宋体" w:cs="宋体"/>
          <w:sz w:val="24"/>
          <w:highlight w:val="none"/>
        </w:rPr>
        <w:t>4.2.2供应商在法定质疑期内一次性提出针对同一采购程序环节的质疑。</w:t>
      </w:r>
    </w:p>
    <w:p>
      <w:pPr>
        <w:spacing w:line="360" w:lineRule="auto"/>
        <w:rPr>
          <w:rFonts w:ascii="宋体" w:hAnsi="宋体" w:cs="宋体"/>
          <w:sz w:val="24"/>
          <w:highlight w:val="none"/>
        </w:rPr>
      </w:pPr>
      <w:r>
        <w:rPr>
          <w:rFonts w:hint="eastAsia" w:ascii="宋体" w:hAnsi="宋体" w:cs="宋体"/>
          <w:sz w:val="24"/>
          <w:highlight w:val="none"/>
        </w:rPr>
        <w:t>4.2.3 递交质疑函有关说明</w:t>
      </w:r>
    </w:p>
    <w:p>
      <w:pPr>
        <w:spacing w:line="360" w:lineRule="auto"/>
        <w:rPr>
          <w:rFonts w:ascii="宋体" w:hAnsi="宋体" w:cs="宋体"/>
          <w:sz w:val="24"/>
          <w:highlight w:val="none"/>
        </w:rPr>
      </w:pPr>
      <w:r>
        <w:rPr>
          <w:rFonts w:hint="eastAsia" w:ascii="宋体" w:hAnsi="宋体" w:cs="宋体"/>
          <w:sz w:val="24"/>
          <w:highlight w:val="none"/>
        </w:rPr>
        <w:t>4.2.3.1接收方式：书面形式</w:t>
      </w:r>
    </w:p>
    <w:p>
      <w:pPr>
        <w:spacing w:line="360" w:lineRule="auto"/>
        <w:rPr>
          <w:rFonts w:ascii="宋体" w:hAnsi="宋体" w:cs="宋体"/>
          <w:sz w:val="24"/>
          <w:highlight w:val="none"/>
        </w:rPr>
      </w:pPr>
      <w:r>
        <w:rPr>
          <w:rFonts w:hint="eastAsia" w:ascii="宋体" w:hAnsi="宋体" w:cs="宋体"/>
          <w:sz w:val="24"/>
          <w:highlight w:val="none"/>
        </w:rPr>
        <w:t>4.2.3.2联系部门：政府采购部</w:t>
      </w:r>
    </w:p>
    <w:p>
      <w:pPr>
        <w:spacing w:line="360" w:lineRule="auto"/>
        <w:rPr>
          <w:rFonts w:ascii="宋体" w:hAnsi="宋体" w:cs="宋体"/>
          <w:sz w:val="24"/>
          <w:highlight w:val="none"/>
        </w:rPr>
      </w:pPr>
      <w:r>
        <w:rPr>
          <w:rFonts w:hint="eastAsia" w:ascii="宋体" w:hAnsi="宋体" w:cs="宋体"/>
          <w:sz w:val="24"/>
          <w:highlight w:val="none"/>
        </w:rPr>
        <w:t>4.2.3.3联系电话：029-82694900</w:t>
      </w:r>
    </w:p>
    <w:p>
      <w:pPr>
        <w:spacing w:line="360" w:lineRule="auto"/>
        <w:rPr>
          <w:rFonts w:ascii="宋体" w:hAnsi="宋体" w:cs="宋体"/>
          <w:sz w:val="24"/>
          <w:highlight w:val="none"/>
        </w:rPr>
      </w:pPr>
      <w:r>
        <w:rPr>
          <w:rFonts w:hint="eastAsia" w:ascii="宋体" w:hAnsi="宋体" w:cs="宋体"/>
          <w:sz w:val="24"/>
          <w:highlight w:val="none"/>
        </w:rPr>
        <w:t>4.2.3.4通讯地址：</w:t>
      </w:r>
      <w:r>
        <w:rPr>
          <w:rFonts w:hint="eastAsia" w:ascii="宋体" w:hAnsi="宋体"/>
          <w:bCs/>
          <w:sz w:val="24"/>
          <w:highlight w:val="none"/>
        </w:rPr>
        <w:t>陕西省西安市雁塔区南二环东段凯森盛世一号A座5层</w:t>
      </w:r>
    </w:p>
    <w:p>
      <w:pPr>
        <w:spacing w:line="360" w:lineRule="auto"/>
        <w:rPr>
          <w:rFonts w:ascii="宋体" w:hAnsi="宋体" w:cs="宋体"/>
          <w:sz w:val="24"/>
          <w:highlight w:val="none"/>
        </w:rPr>
      </w:pPr>
      <w:r>
        <w:rPr>
          <w:rFonts w:hint="eastAsia" w:ascii="宋体" w:hAnsi="宋体" w:cs="宋体"/>
          <w:sz w:val="24"/>
          <w:highlight w:val="none"/>
        </w:rPr>
        <w:t>4.3 招标文件的澄清</w:t>
      </w:r>
    </w:p>
    <w:p>
      <w:pPr>
        <w:spacing w:line="360" w:lineRule="auto"/>
        <w:rPr>
          <w:rFonts w:ascii="宋体" w:hAnsi="宋体" w:cs="宋体"/>
          <w:sz w:val="24"/>
          <w:highlight w:val="none"/>
        </w:rPr>
      </w:pPr>
      <w:r>
        <w:rPr>
          <w:rFonts w:hint="eastAsia" w:ascii="宋体" w:hAnsi="宋体" w:cs="宋体"/>
          <w:sz w:val="24"/>
          <w:highlight w:val="none"/>
        </w:rPr>
        <w:t xml:space="preserve">   投标人若对招标文件有疑问，应将要求澄清的问题以书面形式通知招标机构。</w:t>
      </w:r>
    </w:p>
    <w:p>
      <w:pPr>
        <w:spacing w:line="360" w:lineRule="auto"/>
        <w:rPr>
          <w:rFonts w:ascii="宋体" w:hAnsi="宋体" w:cs="宋体"/>
          <w:sz w:val="24"/>
          <w:highlight w:val="none"/>
        </w:rPr>
      </w:pPr>
      <w:r>
        <w:rPr>
          <w:rFonts w:hint="eastAsia" w:ascii="宋体" w:hAnsi="宋体" w:cs="宋体"/>
          <w:sz w:val="24"/>
          <w:highlight w:val="none"/>
        </w:rPr>
        <w:t>4.4 招标文件的补充和修改</w:t>
      </w:r>
    </w:p>
    <w:p>
      <w:pPr>
        <w:spacing w:line="360" w:lineRule="auto"/>
        <w:rPr>
          <w:rFonts w:ascii="宋体" w:hAnsi="宋体" w:cs="宋体"/>
          <w:sz w:val="24"/>
          <w:highlight w:val="none"/>
        </w:rPr>
      </w:pPr>
      <w:r>
        <w:rPr>
          <w:rFonts w:hint="eastAsia" w:ascii="宋体" w:hAnsi="宋体" w:cs="宋体"/>
          <w:sz w:val="24"/>
          <w:highlight w:val="none"/>
        </w:rPr>
        <w:t>4.4.1招标机构可以用书面补充通知的方式对招标文件进行补充和修改。</w:t>
      </w:r>
    </w:p>
    <w:p>
      <w:pPr>
        <w:spacing w:line="360" w:lineRule="auto"/>
        <w:rPr>
          <w:rFonts w:ascii="宋体" w:hAnsi="宋体" w:cs="宋体"/>
          <w:sz w:val="24"/>
          <w:highlight w:val="none"/>
        </w:rPr>
      </w:pPr>
      <w:r>
        <w:rPr>
          <w:rFonts w:hint="eastAsia" w:ascii="宋体" w:hAnsi="宋体" w:cs="宋体"/>
          <w:sz w:val="24"/>
          <w:highlight w:val="none"/>
        </w:rPr>
        <w:t>4.4.2所颁发的补充通知将于投标截止时间前发往所有购买招标文件的投标人。该补充通知作为招标文件的一部分。投标人在收到该通知后须予以签收确认。</w:t>
      </w:r>
    </w:p>
    <w:p>
      <w:pPr>
        <w:spacing w:line="360" w:lineRule="auto"/>
        <w:rPr>
          <w:rFonts w:ascii="宋体" w:hAnsi="宋体" w:cs="宋体"/>
          <w:sz w:val="24"/>
          <w:highlight w:val="none"/>
        </w:rPr>
      </w:pPr>
      <w:r>
        <w:rPr>
          <w:rFonts w:hint="eastAsia" w:ascii="宋体" w:hAnsi="宋体" w:cs="宋体"/>
          <w:sz w:val="24"/>
          <w:highlight w:val="none"/>
        </w:rPr>
        <w:t>4.4.3 考虑到补充通知的影响，委托人和招标机构可决定推迟投标截止时间。</w:t>
      </w:r>
    </w:p>
    <w:p>
      <w:pPr>
        <w:spacing w:line="360" w:lineRule="auto"/>
        <w:rPr>
          <w:rFonts w:ascii="宋体" w:hAnsi="宋体" w:cs="宋体"/>
          <w:b/>
          <w:bCs/>
          <w:sz w:val="24"/>
          <w:highlight w:val="none"/>
        </w:rPr>
      </w:pPr>
      <w:r>
        <w:rPr>
          <w:rFonts w:hint="eastAsia" w:ascii="宋体" w:hAnsi="宋体" w:cs="宋体"/>
          <w:b/>
          <w:bCs/>
          <w:sz w:val="24"/>
          <w:highlight w:val="none"/>
        </w:rPr>
        <w:t>5、投标和招标总则</w:t>
      </w:r>
    </w:p>
    <w:p>
      <w:pPr>
        <w:spacing w:line="360" w:lineRule="auto"/>
        <w:rPr>
          <w:rFonts w:ascii="宋体" w:hAnsi="宋体" w:cs="宋体"/>
          <w:sz w:val="24"/>
          <w:highlight w:val="none"/>
        </w:rPr>
      </w:pPr>
      <w:r>
        <w:rPr>
          <w:rFonts w:hint="eastAsia" w:ascii="宋体" w:hAnsi="宋体" w:cs="宋体"/>
          <w:sz w:val="24"/>
          <w:highlight w:val="none"/>
        </w:rPr>
        <w:t>5.1 投标文件的编写</w:t>
      </w:r>
    </w:p>
    <w:p>
      <w:pPr>
        <w:spacing w:line="360" w:lineRule="auto"/>
        <w:rPr>
          <w:rFonts w:ascii="宋体" w:hAnsi="宋体" w:cs="宋体"/>
          <w:sz w:val="24"/>
          <w:highlight w:val="none"/>
        </w:rPr>
      </w:pPr>
      <w:r>
        <w:rPr>
          <w:rFonts w:hint="eastAsia" w:ascii="宋体" w:hAnsi="宋体" w:cs="宋体"/>
          <w:sz w:val="24"/>
          <w:highlight w:val="none"/>
        </w:rPr>
        <w:t>5.1.1投标人应仔细阅读招标文件的所有内容，并按照招标文件的“投标文件格式”规定及要求的内容和格式，提交完整的投标文件。</w:t>
      </w:r>
    </w:p>
    <w:p>
      <w:pPr>
        <w:spacing w:line="360" w:lineRule="auto"/>
        <w:rPr>
          <w:rFonts w:ascii="宋体" w:hAnsi="宋体" w:cs="宋体"/>
          <w:sz w:val="24"/>
          <w:highlight w:val="none"/>
        </w:rPr>
      </w:pPr>
      <w:r>
        <w:rPr>
          <w:rFonts w:hint="eastAsia" w:ascii="宋体" w:hAnsi="宋体" w:cs="宋体"/>
          <w:sz w:val="24"/>
          <w:highlight w:val="none"/>
        </w:rPr>
        <w:t>5.1.2投标语言和计量单位</w:t>
      </w:r>
    </w:p>
    <w:p>
      <w:pPr>
        <w:spacing w:line="360" w:lineRule="auto"/>
        <w:ind w:firstLine="480"/>
        <w:rPr>
          <w:rFonts w:ascii="宋体" w:hAnsi="宋体" w:cs="宋体"/>
          <w:sz w:val="24"/>
          <w:highlight w:val="none"/>
        </w:rPr>
      </w:pPr>
      <w:r>
        <w:rPr>
          <w:rFonts w:hint="eastAsia" w:ascii="宋体" w:hAnsi="宋体" w:cs="宋体"/>
          <w:sz w:val="24"/>
          <w:highlight w:val="none"/>
        </w:rPr>
        <w:t>投标文件和来往函件用中文书写（外文函件必须翻译为中文），计量单位应使用中华人民共和国法定计量单位。（除非招标文件中另有规定）。</w:t>
      </w:r>
    </w:p>
    <w:p>
      <w:pPr>
        <w:spacing w:line="360" w:lineRule="auto"/>
        <w:rPr>
          <w:rFonts w:ascii="宋体" w:hAnsi="宋体" w:cs="宋体"/>
          <w:sz w:val="24"/>
          <w:highlight w:val="none"/>
        </w:rPr>
      </w:pPr>
      <w:r>
        <w:rPr>
          <w:rFonts w:hint="eastAsia" w:ascii="宋体" w:hAnsi="宋体" w:cs="宋体"/>
          <w:sz w:val="24"/>
          <w:highlight w:val="none"/>
        </w:rPr>
        <w:t>5.1.3投标人应按招标文件规定的投标范围进行投标。</w:t>
      </w:r>
    </w:p>
    <w:p>
      <w:pPr>
        <w:spacing w:line="360" w:lineRule="auto"/>
        <w:rPr>
          <w:rFonts w:ascii="宋体" w:hAnsi="宋体" w:cs="宋体"/>
          <w:sz w:val="24"/>
          <w:highlight w:val="none"/>
        </w:rPr>
      </w:pPr>
      <w:r>
        <w:rPr>
          <w:rFonts w:hint="eastAsia" w:ascii="宋体" w:hAnsi="宋体" w:cs="宋体"/>
          <w:sz w:val="24"/>
          <w:highlight w:val="none"/>
        </w:rPr>
        <w:t>5.1.4投标人应用</w:t>
      </w:r>
      <w:r>
        <w:rPr>
          <w:rFonts w:hint="eastAsia" w:ascii="宋体" w:hAnsi="宋体" w:cs="宋体"/>
          <w:b/>
          <w:sz w:val="24"/>
          <w:highlight w:val="none"/>
        </w:rPr>
        <w:t>人民币投标</w:t>
      </w:r>
      <w:r>
        <w:rPr>
          <w:rFonts w:hint="eastAsia" w:ascii="宋体" w:hAnsi="宋体" w:cs="宋体"/>
          <w:sz w:val="24"/>
          <w:highlight w:val="none"/>
        </w:rPr>
        <w:t>。若由单价计算出的总价与投标总价不一致，以单价计算出的总价作为投标总价。若中文文字形式表示的数值与数字形式表示的数值不一致，以中文文字形式表示的数值为准。</w:t>
      </w:r>
    </w:p>
    <w:p>
      <w:pPr>
        <w:spacing w:line="360" w:lineRule="auto"/>
        <w:rPr>
          <w:rFonts w:ascii="宋体" w:hAnsi="宋体" w:cs="宋体"/>
          <w:b/>
          <w:sz w:val="24"/>
          <w:highlight w:val="none"/>
        </w:rPr>
      </w:pPr>
      <w:r>
        <w:rPr>
          <w:rFonts w:hint="eastAsia" w:ascii="宋体" w:hAnsi="宋体" w:cs="宋体"/>
          <w:b/>
          <w:sz w:val="24"/>
          <w:highlight w:val="none"/>
        </w:rPr>
        <w:t>5.2  投标文件的组成</w:t>
      </w:r>
    </w:p>
    <w:p>
      <w:pPr>
        <w:spacing w:line="360" w:lineRule="auto"/>
        <w:rPr>
          <w:rFonts w:ascii="宋体" w:hAnsi="宋体" w:cs="宋体"/>
          <w:sz w:val="24"/>
          <w:highlight w:val="none"/>
        </w:rPr>
      </w:pPr>
      <w:r>
        <w:rPr>
          <w:rFonts w:hint="eastAsia" w:ascii="宋体" w:hAnsi="宋体" w:cs="宋体"/>
          <w:sz w:val="24"/>
          <w:highlight w:val="none"/>
        </w:rPr>
        <w:t>5.2.1投标人提交的投标文件至少应包括以下部分：</w:t>
      </w:r>
    </w:p>
    <w:p>
      <w:pPr>
        <w:pStyle w:val="66"/>
        <w:numPr>
          <w:ilvl w:val="0"/>
          <w:numId w:val="4"/>
        </w:numPr>
        <w:spacing w:line="360" w:lineRule="auto"/>
        <w:ind w:hanging="5" w:firstLineChars="0"/>
        <w:rPr>
          <w:rFonts w:ascii="宋体" w:hAnsi="宋体" w:cs="宋体"/>
          <w:bCs/>
          <w:sz w:val="24"/>
          <w:szCs w:val="24"/>
          <w:highlight w:val="none"/>
        </w:rPr>
      </w:pPr>
      <w:r>
        <w:rPr>
          <w:rFonts w:hint="eastAsia" w:ascii="宋体" w:hAnsi="宋体" w:cs="宋体"/>
          <w:bCs/>
          <w:sz w:val="24"/>
          <w:szCs w:val="24"/>
          <w:highlight w:val="none"/>
        </w:rPr>
        <w:t>投标函；</w:t>
      </w:r>
    </w:p>
    <w:p>
      <w:pPr>
        <w:pStyle w:val="66"/>
        <w:numPr>
          <w:ilvl w:val="0"/>
          <w:numId w:val="4"/>
        </w:numPr>
        <w:spacing w:line="360" w:lineRule="auto"/>
        <w:ind w:hanging="5" w:firstLineChars="0"/>
        <w:rPr>
          <w:rFonts w:ascii="宋体" w:hAnsi="宋体" w:cs="宋体"/>
          <w:bCs/>
          <w:sz w:val="24"/>
          <w:szCs w:val="24"/>
          <w:highlight w:val="none"/>
        </w:rPr>
      </w:pPr>
      <w:r>
        <w:rPr>
          <w:rFonts w:hint="eastAsia" w:ascii="宋体" w:hAnsi="宋体" w:cs="宋体"/>
          <w:bCs/>
          <w:sz w:val="24"/>
          <w:szCs w:val="24"/>
          <w:highlight w:val="none"/>
        </w:rPr>
        <w:t>投标报价表；</w:t>
      </w:r>
    </w:p>
    <w:p>
      <w:pPr>
        <w:pStyle w:val="56"/>
        <w:numPr>
          <w:ilvl w:val="0"/>
          <w:numId w:val="4"/>
        </w:numPr>
        <w:spacing w:line="360" w:lineRule="auto"/>
        <w:ind w:hanging="5"/>
        <w:rPr>
          <w:rFonts w:ascii="宋体" w:hAnsi="宋体" w:cs="宋体"/>
          <w:bCs/>
          <w:sz w:val="24"/>
          <w:szCs w:val="24"/>
          <w:highlight w:val="none"/>
        </w:rPr>
      </w:pPr>
      <w:r>
        <w:rPr>
          <w:rFonts w:hint="eastAsia" w:ascii="宋体" w:hAnsi="宋体" w:cs="宋体"/>
          <w:bCs/>
          <w:sz w:val="24"/>
          <w:szCs w:val="24"/>
          <w:highlight w:val="none"/>
        </w:rPr>
        <w:t>投标报价明细表；</w:t>
      </w:r>
    </w:p>
    <w:p>
      <w:pPr>
        <w:pStyle w:val="66"/>
        <w:numPr>
          <w:ilvl w:val="0"/>
          <w:numId w:val="4"/>
        </w:numPr>
        <w:spacing w:line="360" w:lineRule="auto"/>
        <w:ind w:hanging="5" w:firstLineChars="0"/>
        <w:rPr>
          <w:rFonts w:ascii="宋体" w:hAnsi="宋体" w:cs="宋体"/>
          <w:bCs/>
          <w:sz w:val="24"/>
          <w:szCs w:val="24"/>
          <w:highlight w:val="none"/>
        </w:rPr>
      </w:pPr>
      <w:r>
        <w:rPr>
          <w:rFonts w:hint="eastAsia" w:ascii="宋体" w:hAnsi="宋体" w:cs="宋体"/>
          <w:bCs/>
          <w:sz w:val="24"/>
          <w:szCs w:val="24"/>
          <w:highlight w:val="none"/>
        </w:rPr>
        <w:t>商务条款偏离表；</w:t>
      </w:r>
    </w:p>
    <w:p>
      <w:pPr>
        <w:pStyle w:val="66"/>
        <w:numPr>
          <w:ilvl w:val="0"/>
          <w:numId w:val="4"/>
        </w:numPr>
        <w:spacing w:line="360" w:lineRule="auto"/>
        <w:ind w:hanging="5" w:firstLineChars="0"/>
        <w:rPr>
          <w:rFonts w:ascii="宋体" w:hAnsi="宋体" w:cs="宋体"/>
          <w:bCs/>
          <w:sz w:val="24"/>
          <w:szCs w:val="24"/>
          <w:highlight w:val="none"/>
        </w:rPr>
      </w:pPr>
      <w:r>
        <w:rPr>
          <w:rFonts w:hint="eastAsia" w:ascii="宋体" w:hAnsi="宋体" w:cs="宋体"/>
          <w:bCs/>
          <w:sz w:val="24"/>
          <w:szCs w:val="24"/>
          <w:highlight w:val="none"/>
        </w:rPr>
        <w:t>技术规格偏离表；</w:t>
      </w:r>
    </w:p>
    <w:p>
      <w:pPr>
        <w:pStyle w:val="66"/>
        <w:numPr>
          <w:ilvl w:val="0"/>
          <w:numId w:val="4"/>
        </w:numPr>
        <w:spacing w:line="360" w:lineRule="auto"/>
        <w:ind w:hanging="5" w:firstLineChars="0"/>
        <w:rPr>
          <w:rFonts w:ascii="宋体" w:hAnsi="宋体" w:cs="宋体"/>
          <w:bCs/>
          <w:sz w:val="24"/>
          <w:szCs w:val="24"/>
          <w:highlight w:val="none"/>
        </w:rPr>
      </w:pPr>
      <w:r>
        <w:rPr>
          <w:rFonts w:hint="eastAsia" w:ascii="宋体" w:hAnsi="宋体" w:cs="宋体"/>
          <w:bCs/>
          <w:sz w:val="24"/>
          <w:szCs w:val="24"/>
          <w:highlight w:val="none"/>
        </w:rPr>
        <w:t>法定代表人证明书或授权书；</w:t>
      </w:r>
    </w:p>
    <w:p>
      <w:pPr>
        <w:pStyle w:val="56"/>
        <w:numPr>
          <w:ilvl w:val="0"/>
          <w:numId w:val="4"/>
        </w:numPr>
        <w:spacing w:line="360" w:lineRule="auto"/>
        <w:ind w:hanging="5"/>
        <w:rPr>
          <w:rFonts w:ascii="宋体" w:hAnsi="宋体" w:cs="宋体"/>
          <w:bCs/>
          <w:sz w:val="24"/>
          <w:szCs w:val="24"/>
          <w:highlight w:val="none"/>
        </w:rPr>
      </w:pPr>
      <w:r>
        <w:rPr>
          <w:rFonts w:hint="eastAsia" w:ascii="宋体" w:hAnsi="宋体" w:cs="宋体"/>
          <w:bCs/>
          <w:sz w:val="24"/>
          <w:szCs w:val="24"/>
          <w:highlight w:val="none"/>
        </w:rPr>
        <w:t>资格证明文件；</w:t>
      </w:r>
    </w:p>
    <w:p>
      <w:pPr>
        <w:pStyle w:val="56"/>
        <w:numPr>
          <w:ilvl w:val="0"/>
          <w:numId w:val="4"/>
        </w:numPr>
        <w:spacing w:line="360" w:lineRule="auto"/>
        <w:ind w:hanging="5"/>
        <w:rPr>
          <w:rFonts w:ascii="宋体" w:hAnsi="宋体" w:cs="宋体"/>
          <w:bCs/>
          <w:sz w:val="24"/>
          <w:szCs w:val="24"/>
          <w:highlight w:val="none"/>
        </w:rPr>
      </w:pPr>
      <w:r>
        <w:rPr>
          <w:rFonts w:hint="eastAsia" w:ascii="宋体" w:hAnsi="宋体" w:cs="宋体"/>
          <w:kern w:val="0"/>
          <w:sz w:val="24"/>
          <w:highlight w:val="none"/>
        </w:rPr>
        <w:t>具有履行合同所必需的设备和专业技术能力的书面声明；</w:t>
      </w:r>
    </w:p>
    <w:p>
      <w:pPr>
        <w:pStyle w:val="56"/>
        <w:numPr>
          <w:ilvl w:val="0"/>
          <w:numId w:val="4"/>
        </w:numPr>
        <w:spacing w:line="360" w:lineRule="auto"/>
        <w:ind w:hanging="5"/>
        <w:rPr>
          <w:rFonts w:hint="eastAsia" w:ascii="宋体" w:hAnsi="宋体" w:cs="宋体"/>
          <w:bCs/>
          <w:sz w:val="24"/>
          <w:szCs w:val="24"/>
          <w:highlight w:val="none"/>
        </w:rPr>
      </w:pPr>
      <w:r>
        <w:rPr>
          <w:rFonts w:hint="eastAsia" w:ascii="宋体" w:hAnsi="宋体" w:cs="宋体"/>
          <w:bCs/>
          <w:sz w:val="24"/>
          <w:szCs w:val="24"/>
          <w:highlight w:val="none"/>
        </w:rPr>
        <w:t>参加政府采购活动前三年内，在经营活动中没有重大违法记录书面声明；</w:t>
      </w:r>
    </w:p>
    <w:p>
      <w:pPr>
        <w:pStyle w:val="56"/>
        <w:numPr>
          <w:ilvl w:val="0"/>
          <w:numId w:val="4"/>
        </w:numPr>
        <w:spacing w:line="360" w:lineRule="auto"/>
        <w:ind w:hanging="5"/>
        <w:rPr>
          <w:rFonts w:hint="eastAsia" w:ascii="宋体" w:hAnsi="宋体" w:cs="宋体"/>
          <w:bCs/>
          <w:sz w:val="24"/>
          <w:szCs w:val="24"/>
          <w:highlight w:val="none"/>
        </w:rPr>
      </w:pPr>
      <w:r>
        <w:rPr>
          <w:rFonts w:hint="eastAsia" w:ascii="宋体" w:hAnsi="宋体" w:cs="宋体"/>
          <w:bCs/>
          <w:sz w:val="24"/>
          <w:szCs w:val="24"/>
          <w:highlight w:val="none"/>
        </w:rPr>
        <w:t>陕西省政府采购供应商拒绝政府采购领域商业贿赂承诺书；</w:t>
      </w:r>
    </w:p>
    <w:p>
      <w:pPr>
        <w:pStyle w:val="56"/>
        <w:numPr>
          <w:ilvl w:val="0"/>
          <w:numId w:val="4"/>
        </w:numPr>
        <w:spacing w:line="360" w:lineRule="auto"/>
        <w:ind w:hanging="5"/>
        <w:rPr>
          <w:rFonts w:hint="eastAsia" w:ascii="宋体" w:hAnsi="宋体" w:cs="宋体"/>
          <w:bCs/>
          <w:sz w:val="24"/>
          <w:szCs w:val="24"/>
          <w:highlight w:val="none"/>
        </w:rPr>
      </w:pPr>
      <w:r>
        <w:rPr>
          <w:rFonts w:hint="eastAsia" w:ascii="宋体" w:hAnsi="宋体" w:cs="宋体"/>
          <w:bCs/>
          <w:sz w:val="24"/>
          <w:szCs w:val="24"/>
          <w:highlight w:val="none"/>
        </w:rPr>
        <w:t>中小企业声明函</w:t>
      </w:r>
      <w:r>
        <w:rPr>
          <w:rFonts w:hint="eastAsia" w:ascii="宋体" w:hAnsi="宋体" w:cs="宋体"/>
          <w:bCs/>
          <w:sz w:val="24"/>
          <w:szCs w:val="24"/>
          <w:highlight w:val="none"/>
          <w:lang w:eastAsia="zh-CN"/>
        </w:rPr>
        <w:t>；</w:t>
      </w:r>
    </w:p>
    <w:p>
      <w:pPr>
        <w:pStyle w:val="56"/>
        <w:numPr>
          <w:ilvl w:val="0"/>
          <w:numId w:val="4"/>
        </w:numPr>
        <w:spacing w:line="360" w:lineRule="auto"/>
        <w:ind w:hanging="5"/>
        <w:rPr>
          <w:rFonts w:ascii="宋体" w:hAnsi="宋体" w:cs="宋体"/>
          <w:bCs/>
          <w:sz w:val="24"/>
          <w:szCs w:val="24"/>
          <w:highlight w:val="none"/>
        </w:rPr>
      </w:pPr>
      <w:r>
        <w:rPr>
          <w:rFonts w:hint="eastAsia" w:ascii="宋体" w:hAnsi="宋体" w:cs="宋体"/>
          <w:bCs/>
          <w:sz w:val="24"/>
          <w:szCs w:val="24"/>
          <w:highlight w:val="none"/>
        </w:rPr>
        <w:t>项目业绩表；</w:t>
      </w:r>
    </w:p>
    <w:p>
      <w:pPr>
        <w:pStyle w:val="56"/>
        <w:numPr>
          <w:ilvl w:val="0"/>
          <w:numId w:val="4"/>
        </w:numPr>
        <w:spacing w:line="360" w:lineRule="auto"/>
        <w:ind w:hanging="5"/>
        <w:rPr>
          <w:rFonts w:ascii="宋体" w:hAnsi="宋体" w:cs="宋体"/>
          <w:bCs/>
          <w:sz w:val="24"/>
          <w:szCs w:val="24"/>
          <w:highlight w:val="none"/>
        </w:rPr>
      </w:pPr>
      <w:r>
        <w:rPr>
          <w:rFonts w:hint="eastAsia" w:ascii="宋体" w:hAnsi="宋体" w:cs="宋体"/>
          <w:bCs/>
          <w:sz w:val="24"/>
          <w:szCs w:val="24"/>
          <w:highlight w:val="none"/>
        </w:rPr>
        <w:t>优惠、培训、售后服务承诺；</w:t>
      </w:r>
    </w:p>
    <w:p>
      <w:pPr>
        <w:numPr>
          <w:ilvl w:val="0"/>
          <w:numId w:val="4"/>
        </w:numPr>
        <w:spacing w:line="360" w:lineRule="auto"/>
        <w:ind w:hanging="5"/>
        <w:rPr>
          <w:rFonts w:ascii="宋体" w:hAnsi="宋体" w:cs="宋体"/>
          <w:sz w:val="24"/>
          <w:highlight w:val="none"/>
        </w:rPr>
      </w:pPr>
      <w:r>
        <w:rPr>
          <w:rFonts w:hint="eastAsia" w:ascii="宋体" w:hAnsi="宋体" w:cs="宋体"/>
          <w:bCs/>
          <w:sz w:val="24"/>
          <w:highlight w:val="none"/>
        </w:rPr>
        <w:t>其他证明材料；</w:t>
      </w:r>
    </w:p>
    <w:p>
      <w:pPr>
        <w:numPr>
          <w:ilvl w:val="0"/>
          <w:numId w:val="4"/>
        </w:numPr>
        <w:spacing w:line="360" w:lineRule="auto"/>
        <w:ind w:hanging="5"/>
        <w:rPr>
          <w:rFonts w:ascii="宋体" w:hAnsi="宋体" w:cs="宋体"/>
          <w:sz w:val="24"/>
          <w:highlight w:val="none"/>
        </w:rPr>
      </w:pPr>
      <w:r>
        <w:rPr>
          <w:rFonts w:hint="eastAsia" w:ascii="宋体" w:hAnsi="宋体" w:cs="宋体"/>
          <w:sz w:val="24"/>
          <w:highlight w:val="none"/>
        </w:rPr>
        <w:t>投标保证金付款凭证</w:t>
      </w:r>
      <w:r>
        <w:rPr>
          <w:rFonts w:hint="eastAsia" w:ascii="宋体" w:hAnsi="宋体" w:cs="宋体"/>
          <w:bCs/>
          <w:sz w:val="24"/>
          <w:highlight w:val="none"/>
        </w:rPr>
        <w:t>。</w:t>
      </w:r>
    </w:p>
    <w:p>
      <w:pPr>
        <w:spacing w:line="360" w:lineRule="auto"/>
        <w:rPr>
          <w:rFonts w:ascii="宋体" w:hAnsi="宋体" w:cs="宋体"/>
          <w:sz w:val="24"/>
          <w:highlight w:val="none"/>
        </w:rPr>
      </w:pPr>
      <w:r>
        <w:rPr>
          <w:rFonts w:hint="eastAsia" w:ascii="宋体" w:hAnsi="宋体" w:cs="宋体"/>
          <w:b/>
          <w:bCs/>
          <w:sz w:val="28"/>
          <w:highlight w:val="none"/>
          <w:u w:val="single"/>
        </w:rPr>
        <w:t xml:space="preserve"> 缺以上任一项的投标将被视为无效投标 </w:t>
      </w:r>
      <w:r>
        <w:rPr>
          <w:rFonts w:hint="eastAsia" w:ascii="宋体" w:hAnsi="宋体" w:cs="宋体"/>
          <w:sz w:val="24"/>
          <w:highlight w:val="none"/>
        </w:rPr>
        <w:t>。</w:t>
      </w:r>
    </w:p>
    <w:p>
      <w:pPr>
        <w:spacing w:line="360" w:lineRule="auto"/>
        <w:rPr>
          <w:rFonts w:hint="eastAsia" w:ascii="宋体" w:hAnsi="宋体" w:cs="宋体"/>
          <w:sz w:val="24"/>
          <w:highlight w:val="none"/>
        </w:rPr>
      </w:pPr>
      <w:r>
        <w:rPr>
          <w:rFonts w:hint="eastAsia" w:ascii="宋体" w:hAnsi="宋体" w:cs="宋体"/>
          <w:sz w:val="24"/>
          <w:highlight w:val="none"/>
        </w:rPr>
        <w:t>5.2.2投标人可在满足“用户需求书（采购内容及要求）”中对设备的整体要求的前提下，对设备中的软硬件配置提出合理化建议。</w:t>
      </w:r>
    </w:p>
    <w:p>
      <w:pPr>
        <w:spacing w:line="360" w:lineRule="auto"/>
        <w:rPr>
          <w:rFonts w:ascii="宋体" w:hAnsi="宋体" w:cs="宋体"/>
          <w:sz w:val="24"/>
          <w:highlight w:val="none"/>
        </w:rPr>
      </w:pPr>
      <w:bookmarkStart w:id="34" w:name="_GoBack"/>
      <w:bookmarkEnd w:id="34"/>
      <w:r>
        <w:rPr>
          <w:rFonts w:hint="eastAsia" w:ascii="宋体" w:hAnsi="宋体" w:cs="宋体"/>
          <w:sz w:val="24"/>
          <w:highlight w:val="none"/>
        </w:rPr>
        <w:t>5.3  投标</w:t>
      </w:r>
    </w:p>
    <w:p>
      <w:pPr>
        <w:spacing w:line="360" w:lineRule="auto"/>
        <w:rPr>
          <w:rFonts w:ascii="宋体" w:hAnsi="宋体" w:cs="宋体"/>
          <w:sz w:val="24"/>
          <w:highlight w:val="none"/>
        </w:rPr>
      </w:pPr>
      <w:r>
        <w:rPr>
          <w:rFonts w:hint="eastAsia" w:ascii="宋体" w:hAnsi="宋体" w:cs="宋体"/>
          <w:sz w:val="24"/>
          <w:highlight w:val="none"/>
        </w:rPr>
        <w:t>5.3.1 投标人投标时间提交的全部材料必须密封，具体包括：</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（1）投标文件一式</w:t>
      </w:r>
      <w:r>
        <w:rPr>
          <w:rFonts w:hint="eastAsia" w:ascii="宋体" w:hAnsi="宋体" w:cs="宋体"/>
          <w:b/>
          <w:sz w:val="24"/>
          <w:highlight w:val="none"/>
          <w:u w:val="single"/>
        </w:rPr>
        <w:t>5</w:t>
      </w:r>
      <w:r>
        <w:rPr>
          <w:rFonts w:hint="eastAsia" w:ascii="宋体" w:hAnsi="宋体" w:cs="宋体"/>
          <w:b/>
          <w:sz w:val="24"/>
          <w:highlight w:val="none"/>
        </w:rPr>
        <w:t>份（正本</w:t>
      </w:r>
      <w:r>
        <w:rPr>
          <w:rFonts w:hint="eastAsia" w:ascii="宋体" w:hAnsi="宋体" w:cs="宋体"/>
          <w:b/>
          <w:sz w:val="24"/>
          <w:highlight w:val="none"/>
          <w:u w:val="single"/>
        </w:rPr>
        <w:t>1</w:t>
      </w:r>
      <w:r>
        <w:rPr>
          <w:rFonts w:hint="eastAsia" w:ascii="宋体" w:hAnsi="宋体" w:cs="宋体"/>
          <w:b/>
          <w:sz w:val="24"/>
          <w:highlight w:val="none"/>
        </w:rPr>
        <w:t>份，副本</w:t>
      </w:r>
      <w:r>
        <w:rPr>
          <w:rFonts w:hint="eastAsia" w:ascii="宋体" w:hAnsi="宋体" w:cs="宋体"/>
          <w:b/>
          <w:sz w:val="24"/>
          <w:highlight w:val="none"/>
          <w:u w:val="single"/>
        </w:rPr>
        <w:t>4</w:t>
      </w:r>
      <w:r>
        <w:rPr>
          <w:rFonts w:hint="eastAsia" w:ascii="宋体" w:hAnsi="宋体" w:cs="宋体"/>
          <w:b/>
          <w:sz w:val="24"/>
          <w:highlight w:val="none"/>
        </w:rPr>
        <w:t>份）；</w:t>
      </w:r>
    </w:p>
    <w:p>
      <w:pPr>
        <w:spacing w:line="360" w:lineRule="auto"/>
        <w:ind w:firstLine="465"/>
        <w:rPr>
          <w:rFonts w:ascii="宋体" w:hAnsi="宋体" w:cs="宋体"/>
          <w:b/>
          <w:sz w:val="24"/>
          <w:highlight w:val="none"/>
        </w:rPr>
      </w:pPr>
      <w:r>
        <w:rPr>
          <w:rFonts w:hint="eastAsia" w:ascii="宋体" w:hAnsi="宋体" w:cs="宋体"/>
          <w:b/>
          <w:sz w:val="24"/>
          <w:highlight w:val="none"/>
        </w:rPr>
        <w:t>（2）投标文件电子版U盘1份（投标文件电子版提供Word及PDF版本各1份，将其作为投标文件的一部分，不予退还）；</w:t>
      </w:r>
    </w:p>
    <w:p>
      <w:pPr>
        <w:spacing w:line="360" w:lineRule="auto"/>
        <w:ind w:firstLine="465"/>
        <w:rPr>
          <w:rFonts w:ascii="宋体" w:hAnsi="宋体" w:cs="宋体"/>
          <w:b/>
          <w:sz w:val="24"/>
          <w:highlight w:val="none"/>
        </w:rPr>
      </w:pPr>
      <w:r>
        <w:rPr>
          <w:rFonts w:hint="eastAsia" w:ascii="宋体" w:hAnsi="宋体" w:cs="宋体"/>
          <w:b/>
          <w:sz w:val="24"/>
          <w:highlight w:val="none"/>
        </w:rPr>
        <w:t>（3）投标保证金付款凭证（复印件加盖公章）；</w:t>
      </w:r>
    </w:p>
    <w:p>
      <w:pPr>
        <w:spacing w:line="360" w:lineRule="auto"/>
        <w:ind w:firstLine="465"/>
        <w:rPr>
          <w:rFonts w:ascii="宋体" w:hAnsi="宋体" w:cs="宋体"/>
          <w:b/>
          <w:sz w:val="24"/>
          <w:highlight w:val="none"/>
        </w:rPr>
      </w:pPr>
      <w:r>
        <w:rPr>
          <w:rFonts w:hint="eastAsia" w:ascii="宋体" w:hAnsi="宋体" w:cs="宋体"/>
          <w:b/>
          <w:sz w:val="24"/>
          <w:highlight w:val="none"/>
        </w:rPr>
        <w:t>（4）开标信封（内放开标一览表、保证金付款凭证和</w:t>
      </w:r>
      <w:r>
        <w:rPr>
          <w:rFonts w:hint="eastAsia" w:ascii="新宋体" w:hAnsi="新宋体" w:eastAsia="新宋体"/>
          <w:b/>
          <w:sz w:val="24"/>
          <w:highlight w:val="none"/>
        </w:rPr>
        <w:t>投标文件电子版U盘</w:t>
      </w:r>
      <w:r>
        <w:rPr>
          <w:rFonts w:hint="eastAsia" w:ascii="宋体" w:hAnsi="宋体" w:cs="宋体"/>
          <w:b/>
          <w:sz w:val="24"/>
          <w:highlight w:val="none"/>
        </w:rPr>
        <w:t>）。</w:t>
      </w:r>
    </w:p>
    <w:p>
      <w:pPr>
        <w:spacing w:line="360" w:lineRule="auto"/>
        <w:rPr>
          <w:rFonts w:ascii="宋体" w:hAnsi="宋体" w:cs="宋体"/>
          <w:sz w:val="24"/>
          <w:highlight w:val="none"/>
        </w:rPr>
      </w:pPr>
      <w:r>
        <w:rPr>
          <w:rFonts w:hint="eastAsia" w:ascii="宋体" w:hAnsi="宋体" w:cs="宋体"/>
          <w:sz w:val="24"/>
          <w:highlight w:val="none"/>
        </w:rPr>
        <w:t xml:space="preserve">    投标文件正本、副本的内容应当一致，如果正本与副本不符，以正本为准。投标文件应由投标人的法定代表人或经正式授权并对投标人有约束力的代表在投标文件上签字。被授权代表需将以书面形式出具的“法人授权书”附在投标文件中。</w:t>
      </w:r>
    </w:p>
    <w:p>
      <w:pPr>
        <w:spacing w:line="360" w:lineRule="auto"/>
        <w:ind w:firstLine="480"/>
        <w:rPr>
          <w:rFonts w:ascii="宋体" w:hAnsi="宋体" w:cs="宋体"/>
          <w:sz w:val="24"/>
          <w:highlight w:val="none"/>
        </w:rPr>
      </w:pPr>
      <w:r>
        <w:rPr>
          <w:rFonts w:hint="eastAsia" w:ascii="宋体" w:hAnsi="宋体" w:cs="宋体"/>
          <w:sz w:val="24"/>
          <w:highlight w:val="none"/>
        </w:rPr>
        <w:t>任何行间插字、涂改和增删，必须由投标文件签字人在旁边签字才有效。</w:t>
      </w:r>
    </w:p>
    <w:p>
      <w:pPr>
        <w:spacing w:line="360" w:lineRule="auto"/>
        <w:rPr>
          <w:rFonts w:ascii="宋体" w:hAnsi="宋体" w:cs="宋体"/>
          <w:sz w:val="24"/>
          <w:highlight w:val="none"/>
        </w:rPr>
      </w:pPr>
      <w:r>
        <w:rPr>
          <w:rFonts w:hint="eastAsia" w:ascii="宋体" w:hAnsi="宋体" w:cs="宋体"/>
          <w:sz w:val="24"/>
          <w:highlight w:val="none"/>
        </w:rPr>
        <w:t>5.3.2  每本投标文件的内容应装订成册。</w:t>
      </w:r>
    </w:p>
    <w:p>
      <w:pPr>
        <w:pStyle w:val="15"/>
        <w:spacing w:line="360" w:lineRule="auto"/>
        <w:rPr>
          <w:rFonts w:ascii="宋体" w:hAnsi="宋体" w:cs="宋体"/>
          <w:highlight w:val="none"/>
        </w:rPr>
      </w:pPr>
      <w:r>
        <w:rPr>
          <w:rFonts w:hint="eastAsia" w:ascii="宋体" w:hAnsi="宋体" w:cs="宋体"/>
          <w:highlight w:val="none"/>
        </w:rPr>
        <w:t>5.3.3  投标人应对投标服务提供完整的详细的技术说明，如果投标人对指定的技术要求建议做任何改动，应在投标文件中清楚的说明。投标人投标的内容与招标文件的技术、商务要求有偏离时，无论这种偏离是否有利于买方，投标人都应该按照附件的格式如实填写技术偏离表和商务条款偏离表。商务条款不可负偏离，否则视为无效投标。</w:t>
      </w:r>
    </w:p>
    <w:p>
      <w:pPr>
        <w:spacing w:line="360" w:lineRule="auto"/>
        <w:rPr>
          <w:rFonts w:ascii="宋体" w:hAnsi="宋体" w:cs="宋体"/>
          <w:sz w:val="24"/>
          <w:highlight w:val="none"/>
        </w:rPr>
      </w:pPr>
      <w:r>
        <w:rPr>
          <w:rFonts w:hint="eastAsia" w:ascii="宋体" w:hAnsi="宋体" w:cs="宋体"/>
          <w:sz w:val="24"/>
          <w:highlight w:val="none"/>
        </w:rPr>
        <w:t>5.3.4 投标人应按照要求提交资格文件，并对这些资格文件的真实性负责。</w:t>
      </w:r>
    </w:p>
    <w:p>
      <w:pPr>
        <w:spacing w:line="360" w:lineRule="auto"/>
        <w:rPr>
          <w:rFonts w:ascii="宋体" w:hAnsi="宋体" w:cs="宋体"/>
          <w:b/>
          <w:sz w:val="24"/>
          <w:highlight w:val="none"/>
        </w:rPr>
      </w:pPr>
      <w:r>
        <w:rPr>
          <w:rFonts w:hint="eastAsia" w:ascii="宋体" w:hAnsi="宋体" w:cs="宋体"/>
          <w:sz w:val="24"/>
          <w:highlight w:val="none"/>
        </w:rPr>
        <w:t>5.3.5 所有投标文件必须装入密封的信封或封套，并在每一信封或包装的封面上写明：</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正本或副本；</w:t>
      </w:r>
    </w:p>
    <w:p>
      <w:pPr>
        <w:spacing w:line="360" w:lineRule="auto"/>
        <w:ind w:firstLine="480"/>
        <w:rPr>
          <w:rFonts w:ascii="宋体" w:hAnsi="宋体" w:cs="宋体"/>
          <w:b/>
          <w:sz w:val="24"/>
          <w:highlight w:val="none"/>
        </w:rPr>
      </w:pPr>
      <w:r>
        <w:rPr>
          <w:rFonts w:hint="eastAsia" w:ascii="宋体" w:hAnsi="宋体" w:cs="宋体"/>
          <w:b/>
          <w:sz w:val="24"/>
          <w:highlight w:val="none"/>
        </w:rPr>
        <w:t>项目名称；</w:t>
      </w:r>
    </w:p>
    <w:p>
      <w:pPr>
        <w:spacing w:line="360" w:lineRule="auto"/>
        <w:ind w:firstLine="480"/>
        <w:rPr>
          <w:rFonts w:ascii="宋体" w:hAnsi="宋体" w:cs="宋体"/>
          <w:b/>
          <w:sz w:val="24"/>
          <w:highlight w:val="none"/>
        </w:rPr>
      </w:pPr>
      <w:r>
        <w:rPr>
          <w:rFonts w:hint="eastAsia" w:ascii="宋体" w:hAnsi="宋体" w:cs="宋体"/>
          <w:b/>
          <w:sz w:val="24"/>
          <w:highlight w:val="none"/>
        </w:rPr>
        <w:t>项目编号；</w:t>
      </w:r>
    </w:p>
    <w:p>
      <w:pPr>
        <w:pStyle w:val="16"/>
        <w:ind w:firstLine="482"/>
        <w:rPr>
          <w:rFonts w:cs="宋体"/>
          <w:b/>
          <w:i w:val="0"/>
          <w:iCs w:val="0"/>
          <w:color w:val="auto"/>
          <w:kern w:val="2"/>
          <w:sz w:val="24"/>
          <w:highlight w:val="none"/>
        </w:rPr>
      </w:pPr>
      <w:r>
        <w:rPr>
          <w:rFonts w:hint="eastAsia" w:cs="宋体"/>
          <w:b/>
          <w:i w:val="0"/>
          <w:iCs w:val="0"/>
          <w:color w:val="auto"/>
          <w:kern w:val="2"/>
          <w:sz w:val="24"/>
          <w:highlight w:val="none"/>
        </w:rPr>
        <w:t>开标时间：</w:t>
      </w:r>
    </w:p>
    <w:p>
      <w:pPr>
        <w:spacing w:line="360" w:lineRule="auto"/>
        <w:ind w:firstLine="480"/>
        <w:rPr>
          <w:rFonts w:ascii="宋体" w:hAnsi="宋体" w:cs="宋体"/>
          <w:b/>
          <w:sz w:val="24"/>
          <w:highlight w:val="none"/>
        </w:rPr>
      </w:pPr>
      <w:r>
        <w:rPr>
          <w:rFonts w:hint="eastAsia" w:ascii="宋体" w:hAnsi="宋体" w:cs="宋体"/>
          <w:b/>
          <w:sz w:val="24"/>
          <w:highlight w:val="none"/>
        </w:rPr>
        <w:t>投标人名称；</w:t>
      </w:r>
    </w:p>
    <w:p>
      <w:pPr>
        <w:spacing w:line="360" w:lineRule="auto"/>
        <w:rPr>
          <w:rFonts w:ascii="宋体" w:hAnsi="宋体" w:cs="宋体"/>
          <w:sz w:val="24"/>
          <w:highlight w:val="none"/>
        </w:rPr>
      </w:pPr>
      <w:r>
        <w:rPr>
          <w:rFonts w:hint="eastAsia" w:ascii="宋体" w:hAnsi="宋体" w:cs="宋体"/>
          <w:sz w:val="24"/>
          <w:highlight w:val="none"/>
        </w:rPr>
        <w:t>5.3.6 招标机构对因投标文件未装订成册而造成的投标文件的损坏、丢失不承担任何责任。</w:t>
      </w:r>
    </w:p>
    <w:p>
      <w:pPr>
        <w:spacing w:line="360" w:lineRule="auto"/>
        <w:rPr>
          <w:rFonts w:ascii="宋体" w:hAnsi="宋体" w:cs="宋体"/>
          <w:sz w:val="24"/>
          <w:highlight w:val="none"/>
        </w:rPr>
      </w:pPr>
      <w:r>
        <w:rPr>
          <w:rFonts w:hint="eastAsia" w:ascii="宋体" w:hAnsi="宋体" w:cs="宋体"/>
          <w:sz w:val="24"/>
          <w:highlight w:val="none"/>
        </w:rPr>
        <w:t>5.3.7 招标机构对不可抗力的事件造成的投标文件的损坏、丢失不承担任何责任。</w:t>
      </w:r>
    </w:p>
    <w:p>
      <w:pPr>
        <w:spacing w:line="360" w:lineRule="auto"/>
        <w:rPr>
          <w:rFonts w:ascii="宋体" w:hAnsi="宋体" w:cs="宋体"/>
          <w:sz w:val="24"/>
          <w:highlight w:val="none"/>
        </w:rPr>
      </w:pPr>
      <w:r>
        <w:rPr>
          <w:rFonts w:hint="eastAsia" w:ascii="宋体" w:hAnsi="宋体" w:cs="宋体"/>
          <w:sz w:val="24"/>
          <w:highlight w:val="none"/>
        </w:rPr>
        <w:t>5.4  投标的有效期</w:t>
      </w:r>
    </w:p>
    <w:p>
      <w:pPr>
        <w:spacing w:line="360" w:lineRule="auto"/>
        <w:rPr>
          <w:rFonts w:ascii="宋体" w:hAnsi="宋体" w:cs="宋体"/>
          <w:sz w:val="24"/>
          <w:highlight w:val="none"/>
        </w:rPr>
      </w:pPr>
      <w:r>
        <w:rPr>
          <w:rFonts w:hint="eastAsia" w:ascii="宋体" w:hAnsi="宋体" w:cs="宋体"/>
          <w:sz w:val="24"/>
          <w:highlight w:val="none"/>
        </w:rPr>
        <w:t>5.4.1从投标截止日期起，投标有效期为90天。在特殊情况下，招标机构可于投标有效期满之前要求投标人同意延长有效期，要求与答复均以书面形式。</w:t>
      </w:r>
    </w:p>
    <w:p>
      <w:pPr>
        <w:spacing w:line="360" w:lineRule="auto"/>
        <w:rPr>
          <w:rFonts w:ascii="宋体" w:hAnsi="宋体" w:cs="宋体"/>
          <w:sz w:val="24"/>
          <w:highlight w:val="none"/>
        </w:rPr>
      </w:pPr>
      <w:r>
        <w:rPr>
          <w:rFonts w:hint="eastAsia" w:ascii="宋体" w:hAnsi="宋体" w:cs="宋体"/>
          <w:sz w:val="24"/>
          <w:highlight w:val="none"/>
        </w:rPr>
        <w:t>5.5  投标保证金</w:t>
      </w:r>
    </w:p>
    <w:p>
      <w:pPr>
        <w:snapToGrid w:val="0"/>
        <w:spacing w:line="360" w:lineRule="auto"/>
        <w:rPr>
          <w:rFonts w:ascii="宋体" w:hAnsi="宋体" w:cs="宋体"/>
          <w:b/>
          <w:kern w:val="0"/>
          <w:sz w:val="24"/>
          <w:highlight w:val="none"/>
        </w:rPr>
      </w:pPr>
      <w:r>
        <w:rPr>
          <w:rFonts w:hint="eastAsia" w:ascii="新宋体" w:hAnsi="新宋体" w:eastAsia="新宋体"/>
          <w:sz w:val="24"/>
          <w:highlight w:val="none"/>
        </w:rPr>
        <w:t>5.5.1本次招标项目应提交投标保证金为</w:t>
      </w:r>
      <w:r>
        <w:rPr>
          <w:rFonts w:hint="eastAsia" w:ascii="新宋体" w:hAnsi="新宋体" w:eastAsia="新宋体"/>
          <w:b/>
          <w:sz w:val="24"/>
          <w:highlight w:val="none"/>
        </w:rPr>
        <w:t>人民币</w:t>
      </w:r>
      <w:r>
        <w:rPr>
          <w:rFonts w:hint="eastAsia" w:ascii="新宋体" w:hAnsi="新宋体" w:eastAsia="新宋体"/>
          <w:b/>
          <w:sz w:val="24"/>
          <w:highlight w:val="none"/>
          <w:lang w:eastAsia="zh-CN"/>
        </w:rPr>
        <w:t>叁万元整</w:t>
      </w:r>
      <w:r>
        <w:rPr>
          <w:rFonts w:hint="eastAsia" w:ascii="新宋体" w:hAnsi="新宋体" w:eastAsia="新宋体"/>
          <w:sz w:val="24"/>
          <w:highlight w:val="none"/>
        </w:rPr>
        <w:t>。（投标保证金，作为其投标的一部分）。</w:t>
      </w:r>
      <w:r>
        <w:rPr>
          <w:rFonts w:hint="eastAsia" w:ascii="宋体" w:hAnsi="宋体" w:cs="宋体"/>
          <w:b/>
          <w:kern w:val="0"/>
          <w:sz w:val="24"/>
          <w:highlight w:val="none"/>
        </w:rPr>
        <w:t>投标人需携带保证金付款凭证至开标现场以便查验。</w:t>
      </w:r>
    </w:p>
    <w:p>
      <w:pPr>
        <w:pStyle w:val="29"/>
        <w:ind w:firstLine="0"/>
        <w:rPr>
          <w:rFonts w:ascii="宋体" w:hAnsi="宋体" w:cs="宋体"/>
          <w:highlight w:val="none"/>
        </w:rPr>
      </w:pPr>
      <w:r>
        <w:rPr>
          <w:rFonts w:hint="eastAsia" w:ascii="宋体" w:hAnsi="宋体" w:cs="宋体"/>
          <w:highlight w:val="none"/>
        </w:rPr>
        <w:t>5.5.2 保证金的退还</w:t>
      </w:r>
    </w:p>
    <w:p>
      <w:pPr>
        <w:spacing w:line="360" w:lineRule="auto"/>
        <w:rPr>
          <w:rFonts w:hint="eastAsia" w:ascii="宋体" w:hAnsi="宋体" w:cs="宋体"/>
          <w:b/>
          <w:kern w:val="0"/>
          <w:sz w:val="24"/>
          <w:highlight w:val="none"/>
        </w:rPr>
      </w:pPr>
      <w:r>
        <w:rPr>
          <w:rFonts w:hint="eastAsia" w:ascii="宋体" w:hAnsi="宋体" w:cs="宋体"/>
          <w:b/>
          <w:kern w:val="0"/>
          <w:sz w:val="24"/>
          <w:highlight w:val="none"/>
        </w:rPr>
        <w:t xml:space="preserve"> 未中标单位的投标保证金，在结果公告公示后，经陕西德信招标有限公司审核通过后退还；中标单位的投标保证金请中标单位在合同签订后将合同复印件一份送至代理机构或将扫描件发至采购代理机构邮箱：</w:t>
      </w:r>
      <w:r>
        <w:rPr>
          <w:rFonts w:hint="eastAsia" w:ascii="宋体" w:hAnsi="宋体" w:cs="宋体"/>
          <w:b/>
          <w:kern w:val="0"/>
          <w:sz w:val="24"/>
          <w:highlight w:val="none"/>
          <w:u w:val="single"/>
          <w:lang w:val="en-US" w:eastAsia="zh-CN"/>
        </w:rPr>
        <w:t>zhaotianyu989@foxmail.com</w:t>
      </w:r>
      <w:r>
        <w:rPr>
          <w:rFonts w:hint="eastAsia" w:ascii="宋体" w:hAnsi="宋体" w:cs="宋体"/>
          <w:b/>
          <w:kern w:val="0"/>
          <w:sz w:val="24"/>
          <w:highlight w:val="none"/>
        </w:rPr>
        <w:t>，由陕西德信招标有限公司审核备案后退还。退还的投标保证金，均不计利息</w:t>
      </w:r>
      <w:r>
        <w:rPr>
          <w:rFonts w:hint="eastAsia" w:ascii="宋体" w:hAnsi="宋体" w:cs="宋体"/>
          <w:b/>
          <w:kern w:val="0"/>
          <w:sz w:val="24"/>
          <w:highlight w:val="none"/>
        </w:rPr>
        <w:fldChar w:fldCharType="begin"/>
      </w:r>
      <w:r>
        <w:rPr>
          <w:rFonts w:hint="eastAsia" w:ascii="宋体" w:hAnsi="宋体" w:cs="宋体"/>
          <w:b/>
          <w:kern w:val="0"/>
          <w:sz w:val="24"/>
          <w:highlight w:val="none"/>
        </w:rPr>
        <w:instrText xml:space="preserve"> HYPERLINK "mailto:1084249351@qq.com，以便及时归档）。" </w:instrText>
      </w:r>
      <w:r>
        <w:rPr>
          <w:rFonts w:hint="eastAsia" w:ascii="宋体" w:hAnsi="宋体" w:cs="宋体"/>
          <w:b/>
          <w:kern w:val="0"/>
          <w:sz w:val="24"/>
          <w:highlight w:val="none"/>
        </w:rPr>
        <w:fldChar w:fldCharType="separate"/>
      </w:r>
      <w:r>
        <w:rPr>
          <w:rFonts w:hint="eastAsia" w:ascii="宋体" w:hAnsi="宋体" w:cs="宋体"/>
          <w:b/>
          <w:kern w:val="0"/>
          <w:sz w:val="24"/>
          <w:highlight w:val="none"/>
        </w:rPr>
        <w:t>。</w:t>
      </w:r>
      <w:r>
        <w:rPr>
          <w:rFonts w:hint="eastAsia" w:ascii="宋体" w:hAnsi="宋体" w:cs="宋体"/>
          <w:b/>
          <w:kern w:val="0"/>
          <w:sz w:val="24"/>
          <w:highlight w:val="none"/>
        </w:rPr>
        <w:fldChar w:fldCharType="end"/>
      </w:r>
    </w:p>
    <w:p>
      <w:pPr>
        <w:spacing w:line="360" w:lineRule="auto"/>
        <w:rPr>
          <w:rFonts w:ascii="宋体" w:hAnsi="宋体" w:cs="宋体"/>
          <w:sz w:val="24"/>
          <w:highlight w:val="none"/>
        </w:rPr>
      </w:pPr>
      <w:r>
        <w:rPr>
          <w:rFonts w:hint="eastAsia" w:ascii="宋体" w:hAnsi="宋体" w:cs="宋体"/>
          <w:sz w:val="24"/>
          <w:highlight w:val="none"/>
        </w:rPr>
        <w:t>5.6  投标文件的修改：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在规定的时间内，投标人可以修改其投标文件的内容，但必须以书面形式通知招标机构。在招标规定的修改截止时间后，投标人不可以修改其投标文件的内容。</w:t>
      </w:r>
    </w:p>
    <w:p>
      <w:pPr>
        <w:spacing w:line="360" w:lineRule="auto"/>
        <w:rPr>
          <w:rFonts w:ascii="宋体" w:hAnsi="宋体" w:cs="宋体"/>
          <w:sz w:val="24"/>
          <w:highlight w:val="none"/>
        </w:rPr>
      </w:pPr>
      <w:r>
        <w:rPr>
          <w:rFonts w:hint="eastAsia" w:ascii="宋体" w:hAnsi="宋体" w:cs="宋体"/>
          <w:sz w:val="24"/>
          <w:highlight w:val="none"/>
        </w:rPr>
        <w:t>5.7  投标的撤回</w:t>
      </w:r>
    </w:p>
    <w:p>
      <w:pPr>
        <w:spacing w:line="360" w:lineRule="auto"/>
        <w:rPr>
          <w:rFonts w:ascii="宋体" w:hAnsi="宋体" w:cs="宋体"/>
          <w:sz w:val="24"/>
          <w:highlight w:val="none"/>
        </w:rPr>
      </w:pPr>
      <w:r>
        <w:rPr>
          <w:rFonts w:hint="eastAsia" w:ascii="宋体" w:hAnsi="宋体" w:cs="宋体"/>
          <w:sz w:val="24"/>
          <w:highlight w:val="none"/>
        </w:rPr>
        <w:t>在投标截止时间前投标人可以撤回其投标，但在投标截止后不允许撤回投标。</w:t>
      </w:r>
    </w:p>
    <w:p>
      <w:pPr>
        <w:spacing w:line="360" w:lineRule="auto"/>
        <w:rPr>
          <w:rFonts w:ascii="宋体" w:hAnsi="宋体" w:cs="宋体"/>
          <w:sz w:val="24"/>
          <w:highlight w:val="none"/>
        </w:rPr>
      </w:pPr>
      <w:r>
        <w:rPr>
          <w:rFonts w:hint="eastAsia" w:ascii="宋体" w:hAnsi="宋体" w:cs="宋体"/>
          <w:sz w:val="24"/>
          <w:highlight w:val="none"/>
        </w:rPr>
        <w:t>5.8  招标过程及评审</w:t>
      </w:r>
    </w:p>
    <w:p>
      <w:pPr>
        <w:spacing w:line="360" w:lineRule="auto"/>
        <w:rPr>
          <w:rFonts w:ascii="宋体" w:hAnsi="宋体" w:cs="宋体"/>
          <w:sz w:val="24"/>
          <w:highlight w:val="none"/>
        </w:rPr>
      </w:pPr>
      <w:r>
        <w:rPr>
          <w:rFonts w:hint="eastAsia" w:ascii="宋体" w:hAnsi="宋体" w:cs="宋体"/>
          <w:sz w:val="24"/>
          <w:highlight w:val="none"/>
        </w:rPr>
        <w:t>5.8.1招标机构将在招标公告中规定的时间和地点接受投标。</w:t>
      </w:r>
    </w:p>
    <w:p>
      <w:pPr>
        <w:spacing w:line="360" w:lineRule="auto"/>
        <w:rPr>
          <w:rFonts w:ascii="宋体" w:hAnsi="宋体" w:cs="宋体"/>
          <w:sz w:val="24"/>
          <w:highlight w:val="none"/>
        </w:rPr>
      </w:pPr>
      <w:r>
        <w:rPr>
          <w:rFonts w:hint="eastAsia" w:ascii="宋体" w:hAnsi="宋体" w:cs="宋体"/>
          <w:sz w:val="24"/>
          <w:highlight w:val="none"/>
        </w:rPr>
        <w:t>5.8.2评标委员会只对确定为实质上响应招标文件要求的投标进行评审。</w:t>
      </w:r>
    </w:p>
    <w:p>
      <w:pPr>
        <w:spacing w:line="360" w:lineRule="auto"/>
        <w:rPr>
          <w:rFonts w:ascii="宋体" w:hAnsi="宋体" w:cs="宋体"/>
          <w:sz w:val="24"/>
          <w:highlight w:val="none"/>
        </w:rPr>
      </w:pPr>
      <w:r>
        <w:rPr>
          <w:rFonts w:hint="eastAsia" w:ascii="宋体" w:hAnsi="宋体" w:cs="宋体"/>
          <w:sz w:val="24"/>
          <w:highlight w:val="none"/>
        </w:rPr>
        <w:t>5.8.3实质上没有响应招标文件要求的投标文件将视为无效投标。出现但不限于下列情况之一的，其投标将视为无效投标：</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（1）投标人未按招标文件要求的金额提交投标保证金的；</w:t>
      </w:r>
    </w:p>
    <w:p>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cs="宋体"/>
          <w:sz w:val="24"/>
          <w:highlight w:val="none"/>
          <w:lang w:val="en-US" w:eastAsia="zh-CN"/>
        </w:rPr>
        <w:t xml:space="preserve"> </w:t>
      </w:r>
      <w:r>
        <w:rPr>
          <w:rFonts w:hint="eastAsia" w:ascii="宋体" w:hAnsi="宋体" w:cs="宋体"/>
          <w:sz w:val="24"/>
          <w:highlight w:val="none"/>
        </w:rPr>
        <w:t>（2）投标文件不完整的；</w:t>
      </w:r>
    </w:p>
    <w:p>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cs="宋体"/>
          <w:sz w:val="24"/>
          <w:highlight w:val="none"/>
          <w:lang w:val="en-US" w:eastAsia="zh-CN"/>
        </w:rPr>
        <w:t xml:space="preserve"> </w:t>
      </w:r>
      <w:r>
        <w:rPr>
          <w:rFonts w:hint="eastAsia" w:ascii="宋体" w:hAnsi="宋体" w:cs="宋体"/>
          <w:sz w:val="24"/>
          <w:highlight w:val="none"/>
        </w:rPr>
        <w:t>（3）投标文件无法人代表签字或签字人未被法人授权的；</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（4）投标有效期不足的；</w:t>
      </w:r>
    </w:p>
    <w:p>
      <w:pPr>
        <w:spacing w:line="360" w:lineRule="auto"/>
        <w:rPr>
          <w:rFonts w:ascii="宋体" w:hAnsi="宋体" w:cs="宋体"/>
          <w:sz w:val="24"/>
          <w:highlight w:val="none"/>
        </w:rPr>
      </w:pPr>
      <w:r>
        <w:rPr>
          <w:rFonts w:hint="eastAsia" w:ascii="宋体" w:hAnsi="宋体" w:cs="宋体"/>
          <w:sz w:val="24"/>
          <w:highlight w:val="none"/>
        </w:rPr>
        <w:t xml:space="preserve">  （5）投标文件附有招标方不能接受条件的；</w:t>
      </w:r>
    </w:p>
    <w:p>
      <w:pPr>
        <w:spacing w:line="360" w:lineRule="auto"/>
        <w:rPr>
          <w:rFonts w:ascii="宋体" w:hAnsi="宋体" w:cs="宋体"/>
          <w:sz w:val="24"/>
          <w:highlight w:val="none"/>
        </w:rPr>
      </w:pPr>
      <w:r>
        <w:rPr>
          <w:rFonts w:hint="eastAsia" w:cs="宋体"/>
          <w:sz w:val="24"/>
          <w:highlight w:val="none"/>
          <w:lang w:val="en-US" w:eastAsia="zh-CN"/>
        </w:rPr>
        <w:t xml:space="preserve"> </w:t>
      </w:r>
      <w:r>
        <w:rPr>
          <w:rFonts w:hint="eastAsia" w:ascii="宋体" w:hAnsi="宋体" w:cs="宋体"/>
          <w:sz w:val="24"/>
          <w:highlight w:val="none"/>
        </w:rPr>
        <w:t xml:space="preserve"> （6）投标总价超出项目预算或明显高于市场价格的；</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（7）按招标文件要求其他不符合招标方要求的。</w:t>
      </w:r>
    </w:p>
    <w:p>
      <w:pPr>
        <w:spacing w:line="360" w:lineRule="auto"/>
        <w:rPr>
          <w:rFonts w:ascii="宋体" w:hAnsi="宋体" w:cs="宋体"/>
          <w:sz w:val="24"/>
          <w:highlight w:val="none"/>
        </w:rPr>
      </w:pPr>
      <w:r>
        <w:rPr>
          <w:rFonts w:hint="eastAsia" w:ascii="宋体" w:hAnsi="宋体" w:cs="宋体"/>
          <w:sz w:val="24"/>
          <w:highlight w:val="none"/>
        </w:rPr>
        <w:t>5.8.4 评标委员会将按已定的原则及方法进行评审，详见评标办法。</w:t>
      </w:r>
    </w:p>
    <w:p>
      <w:pPr>
        <w:spacing w:line="360" w:lineRule="auto"/>
        <w:rPr>
          <w:rFonts w:ascii="宋体" w:hAnsi="宋体" w:cs="宋体"/>
          <w:sz w:val="24"/>
          <w:highlight w:val="none"/>
        </w:rPr>
      </w:pPr>
      <w:r>
        <w:rPr>
          <w:rFonts w:hint="eastAsia" w:ascii="宋体" w:hAnsi="宋体" w:cs="宋体"/>
          <w:sz w:val="24"/>
          <w:highlight w:val="none"/>
        </w:rPr>
        <w:t>5.8.5评标委员会在确定中标候选人以前有权按照有关法规拒绝任何或全部投标，对此造成对投标人的影响不负任何责任，不做任何解释。</w:t>
      </w:r>
    </w:p>
    <w:p>
      <w:pPr>
        <w:spacing w:line="360" w:lineRule="auto"/>
        <w:rPr>
          <w:rFonts w:ascii="宋体" w:hAnsi="宋体" w:cs="宋体"/>
          <w:sz w:val="24"/>
          <w:highlight w:val="none"/>
        </w:rPr>
      </w:pPr>
      <w:r>
        <w:rPr>
          <w:rFonts w:hint="eastAsia" w:ascii="宋体" w:hAnsi="宋体" w:cs="宋体"/>
          <w:sz w:val="24"/>
          <w:highlight w:val="none"/>
        </w:rPr>
        <w:t>5.8.6 确定中标人后，由招标机构发出中标通知书，中标人</w:t>
      </w:r>
      <w:r>
        <w:rPr>
          <w:rFonts w:hint="eastAsia" w:ascii="宋体" w:hAnsi="宋体" w:cs="宋体"/>
          <w:color w:val="000000" w:themeColor="text1"/>
          <w:sz w:val="24"/>
          <w:highlight w:val="none"/>
          <w14:textFill>
            <w14:solidFill>
              <w14:schemeClr w14:val="tx1"/>
            </w14:solidFill>
          </w14:textFill>
        </w:rPr>
        <w:t>应30日内与采购人</w:t>
      </w:r>
      <w:r>
        <w:rPr>
          <w:rFonts w:hint="eastAsia" w:ascii="宋体" w:hAnsi="宋体" w:cs="宋体"/>
          <w:sz w:val="24"/>
          <w:highlight w:val="none"/>
        </w:rPr>
        <w:t>签约。</w:t>
      </w:r>
    </w:p>
    <w:p>
      <w:pPr>
        <w:spacing w:line="360" w:lineRule="auto"/>
        <w:rPr>
          <w:rFonts w:ascii="宋体" w:hAnsi="宋体" w:cs="宋体"/>
          <w:sz w:val="24"/>
          <w:highlight w:val="none"/>
        </w:rPr>
      </w:pPr>
      <w:r>
        <w:rPr>
          <w:rFonts w:hint="eastAsia" w:ascii="宋体" w:hAnsi="宋体" w:cs="宋体"/>
          <w:sz w:val="24"/>
          <w:highlight w:val="none"/>
        </w:rPr>
        <w:t>5.8.7招标机构没有义务向未中标的投标人解释不中标的理由。</w:t>
      </w:r>
    </w:p>
    <w:p>
      <w:pPr>
        <w:spacing w:line="360" w:lineRule="auto"/>
        <w:rPr>
          <w:rFonts w:ascii="宋体" w:hAnsi="宋体" w:cs="宋体"/>
          <w:sz w:val="24"/>
          <w:highlight w:val="none"/>
        </w:rPr>
      </w:pPr>
      <w:r>
        <w:rPr>
          <w:rFonts w:hint="eastAsia" w:ascii="宋体" w:hAnsi="宋体" w:cs="宋体"/>
          <w:sz w:val="24"/>
          <w:highlight w:val="none"/>
        </w:rPr>
        <w:t>5.9  招标、评标过程的保密性。</w:t>
      </w:r>
    </w:p>
    <w:p>
      <w:pPr>
        <w:spacing w:line="360" w:lineRule="auto"/>
        <w:rPr>
          <w:rFonts w:ascii="宋体" w:hAnsi="宋体" w:cs="宋体"/>
          <w:sz w:val="24"/>
          <w:highlight w:val="none"/>
        </w:rPr>
      </w:pPr>
      <w:r>
        <w:rPr>
          <w:rFonts w:hint="eastAsia" w:ascii="宋体" w:hAnsi="宋体" w:cs="宋体"/>
          <w:sz w:val="24"/>
          <w:highlight w:val="none"/>
        </w:rPr>
        <w:t>5.9.1接受投标后，直至中标商与买方签订合同后止，凡与招标、审查、澄清、评价、比较、授标意见有关的内容，任何人均不得向投标人及与评审无关的其他人透露。</w:t>
      </w:r>
    </w:p>
    <w:p>
      <w:pPr>
        <w:spacing w:line="360" w:lineRule="auto"/>
        <w:rPr>
          <w:rFonts w:ascii="宋体" w:hAnsi="宋体" w:cs="宋体"/>
          <w:sz w:val="24"/>
          <w:highlight w:val="none"/>
        </w:rPr>
      </w:pPr>
      <w:r>
        <w:rPr>
          <w:rFonts w:hint="eastAsia" w:ascii="宋体" w:hAnsi="宋体" w:cs="宋体"/>
          <w:sz w:val="24"/>
          <w:highlight w:val="none"/>
        </w:rPr>
        <w:t>5.9.2从投标截止日起到确定中标人止，投标人不得与参加招标、评审的有关人员私下接触。在评审过程中，如果投标人试图在投标文件审查、澄清、比较及推荐中标人方面对参与评审的有关人员和买方施加任何影响，其投标将被拒绝。</w:t>
      </w:r>
    </w:p>
    <w:p>
      <w:pPr>
        <w:spacing w:line="360" w:lineRule="auto"/>
        <w:rPr>
          <w:rFonts w:ascii="宋体" w:hAnsi="宋体" w:cs="宋体"/>
          <w:sz w:val="24"/>
          <w:highlight w:val="none"/>
        </w:rPr>
      </w:pPr>
      <w:r>
        <w:rPr>
          <w:rFonts w:hint="eastAsia" w:ascii="宋体" w:hAnsi="宋体" w:cs="宋体"/>
          <w:sz w:val="24"/>
          <w:highlight w:val="none"/>
        </w:rPr>
        <w:t>5.9.3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18"/>
        <w:spacing w:line="360" w:lineRule="auto"/>
        <w:rPr>
          <w:rFonts w:hAnsi="宋体" w:cs="宋体"/>
          <w:color w:val="FF0000"/>
          <w:sz w:val="24"/>
          <w:szCs w:val="24"/>
          <w:highlight w:val="none"/>
        </w:rPr>
      </w:pPr>
      <w:r>
        <w:rPr>
          <w:rFonts w:hint="eastAsia" w:hAnsi="宋体" w:cs="宋体"/>
          <w:color w:val="000000" w:themeColor="text1"/>
          <w:sz w:val="24"/>
          <w:szCs w:val="24"/>
          <w:highlight w:val="none"/>
          <w14:textFill>
            <w14:solidFill>
              <w14:schemeClr w14:val="tx1"/>
            </w14:solidFill>
          </w14:textFill>
        </w:rPr>
        <w:t>5.10</w:t>
      </w:r>
      <w:r>
        <w:rPr>
          <w:rFonts w:hint="eastAsia" w:hAnsi="宋体" w:cs="宋体"/>
          <w:sz w:val="24"/>
          <w:szCs w:val="24"/>
          <w:highlight w:val="none"/>
        </w:rPr>
        <w:t>若投标人须知前附表中写明专门面向中小企业采购的，提供的货物全部由符合政策要求的中小企业制造；工程的施工单位全部为符合政策要求的中小企业承接（或者：服务全部由符合政策要求的中小企业承接）。否则其投标将被认定为投标无效。</w:t>
      </w:r>
    </w:p>
    <w:p>
      <w:pPr>
        <w:spacing w:line="360" w:lineRule="auto"/>
        <w:rPr>
          <w:rFonts w:ascii="宋体" w:hAnsi="宋体" w:cs="宋体"/>
          <w:sz w:val="24"/>
          <w:highlight w:val="none"/>
        </w:rPr>
      </w:pPr>
      <w:r>
        <w:rPr>
          <w:rFonts w:hint="eastAsia" w:ascii="宋体" w:hAnsi="宋体" w:cs="宋体"/>
          <w:b/>
          <w:bCs/>
          <w:sz w:val="24"/>
          <w:highlight w:val="none"/>
        </w:rPr>
        <w:t>6、签约及中标服务费</w:t>
      </w:r>
    </w:p>
    <w:p>
      <w:pPr>
        <w:spacing w:line="360" w:lineRule="auto"/>
        <w:rPr>
          <w:rFonts w:ascii="宋体" w:hAnsi="宋体" w:cs="宋体"/>
          <w:sz w:val="24"/>
          <w:highlight w:val="none"/>
        </w:rPr>
      </w:pPr>
      <w:r>
        <w:rPr>
          <w:rFonts w:hint="eastAsia" w:ascii="宋体" w:hAnsi="宋体" w:cs="宋体"/>
          <w:sz w:val="24"/>
          <w:highlight w:val="none"/>
        </w:rPr>
        <w:t>6.1 中标人须向招标机构缴纳足额中标服务费并领取中标通知书。</w:t>
      </w:r>
    </w:p>
    <w:p>
      <w:pPr>
        <w:spacing w:line="360" w:lineRule="auto"/>
        <w:rPr>
          <w:rFonts w:ascii="宋体" w:hAnsi="宋体" w:cs="宋体"/>
          <w:sz w:val="24"/>
          <w:highlight w:val="none"/>
        </w:rPr>
      </w:pPr>
      <w:r>
        <w:rPr>
          <w:rFonts w:hint="eastAsia" w:ascii="宋体" w:hAnsi="宋体" w:cs="宋体"/>
          <w:sz w:val="24"/>
          <w:highlight w:val="none"/>
        </w:rPr>
        <w:t>6.2 中标人应持中标通知书，在30日内与采购人签定合同。</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  中标人须向招标机构按如下标准和规定交纳中标服务费：</w:t>
      </w:r>
    </w:p>
    <w:p>
      <w:pPr>
        <w:spacing w:line="360" w:lineRule="auto"/>
        <w:rPr>
          <w:rFonts w:ascii="宋体" w:hAnsi="宋体" w:cs="宋体"/>
          <w:sz w:val="24"/>
          <w:highlight w:val="none"/>
        </w:rPr>
      </w:pPr>
      <w:r>
        <w:rPr>
          <w:rFonts w:hint="eastAsia" w:ascii="宋体" w:hAnsi="宋体" w:cs="宋体"/>
          <w:sz w:val="24"/>
          <w:highlight w:val="none"/>
        </w:rPr>
        <w:t xml:space="preserve">   （1）中标服务费币种与中标通知书中标价的币种相同；</w:t>
      </w:r>
    </w:p>
    <w:p>
      <w:pPr>
        <w:spacing w:line="360" w:lineRule="auto"/>
        <w:rPr>
          <w:rFonts w:ascii="宋体" w:hAnsi="宋体" w:cs="宋体"/>
          <w:sz w:val="24"/>
          <w:highlight w:val="none"/>
        </w:rPr>
      </w:pPr>
      <w:r>
        <w:rPr>
          <w:rFonts w:hint="eastAsia" w:ascii="宋体" w:hAnsi="宋体" w:cs="宋体"/>
          <w:sz w:val="24"/>
          <w:highlight w:val="none"/>
        </w:rPr>
        <w:t xml:space="preserve">   （2）中标服务费不列在投标报价表中；</w:t>
      </w:r>
    </w:p>
    <w:p>
      <w:pPr>
        <w:spacing w:line="360" w:lineRule="auto"/>
        <w:rPr>
          <w:rFonts w:ascii="宋体" w:hAnsi="宋体" w:cs="宋体"/>
          <w:sz w:val="24"/>
          <w:highlight w:val="none"/>
        </w:rPr>
      </w:pPr>
      <w:r>
        <w:rPr>
          <w:rFonts w:hint="eastAsia" w:ascii="宋体" w:hAnsi="宋体" w:cs="宋体"/>
          <w:sz w:val="24"/>
          <w:highlight w:val="none"/>
        </w:rPr>
        <w:t xml:space="preserve">   （3）招标代理服务费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rPr>
          <w:rFonts w:ascii="宋体" w:hAnsi="宋体" w:cs="宋体"/>
          <w:b/>
          <w:bCs/>
          <w:sz w:val="24"/>
          <w:highlight w:val="none"/>
        </w:rPr>
      </w:pPr>
      <w:r>
        <w:rPr>
          <w:rFonts w:hint="eastAsia" w:ascii="宋体" w:hAnsi="宋体" w:cs="宋体"/>
          <w:b/>
          <w:bCs/>
          <w:sz w:val="24"/>
          <w:highlight w:val="none"/>
        </w:rPr>
        <w:t>7、陕西省中小企业政府采购信用融资办法及说明</w:t>
      </w:r>
    </w:p>
    <w:p>
      <w:pPr>
        <w:spacing w:line="360" w:lineRule="auto"/>
        <w:jc w:val="left"/>
        <w:rPr>
          <w:rFonts w:ascii="宋体" w:hAnsi="宋体" w:cs="宋体"/>
          <w:b/>
          <w:bCs/>
          <w:sz w:val="24"/>
          <w:highlight w:val="none"/>
        </w:rPr>
      </w:pPr>
      <w:r>
        <w:rPr>
          <w:rFonts w:hint="eastAsia" w:ascii="宋体" w:hAnsi="宋体" w:cs="宋体"/>
          <w:b/>
          <w:bCs/>
          <w:sz w:val="24"/>
          <w:highlight w:val="none"/>
        </w:rPr>
        <w:t>陕西省中小企业政府采购信用融资办法</w:t>
      </w:r>
    </w:p>
    <w:p>
      <w:pPr>
        <w:spacing w:line="360" w:lineRule="auto"/>
        <w:jc w:val="left"/>
        <w:rPr>
          <w:rFonts w:ascii="宋体" w:hAnsi="宋体" w:cs="宋体"/>
          <w:sz w:val="24"/>
          <w:highlight w:val="none"/>
        </w:rPr>
      </w:pPr>
      <w:r>
        <w:rPr>
          <w:rFonts w:hint="eastAsia" w:ascii="宋体" w:hAnsi="宋体" w:cs="宋体"/>
          <w:sz w:val="24"/>
          <w:highlight w:val="none"/>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ascii="宋体" w:hAnsi="宋体" w:cs="宋体"/>
          <w:sz w:val="24"/>
          <w:highlight w:val="none"/>
        </w:rPr>
      </w:pPr>
      <w:r>
        <w:rPr>
          <w:rFonts w:hint="eastAsia" w:ascii="宋体" w:hAnsi="宋体" w:cs="宋体"/>
          <w:sz w:val="24"/>
          <w:highlight w:val="none"/>
        </w:rPr>
        <w:t>第二条  本办法所称“中小企业”包括中型、小型及微型企业，其划型标准按照《关于印发中小企业划型标准规定的通知》（工信部联企业〔2011〕300号）规定执行。</w:t>
      </w:r>
    </w:p>
    <w:p>
      <w:pPr>
        <w:spacing w:line="360" w:lineRule="auto"/>
        <w:jc w:val="left"/>
        <w:rPr>
          <w:rFonts w:ascii="宋体" w:hAnsi="宋体" w:cs="宋体"/>
          <w:sz w:val="24"/>
          <w:highlight w:val="none"/>
        </w:rPr>
      </w:pPr>
      <w:r>
        <w:rPr>
          <w:rFonts w:hint="eastAsia" w:ascii="宋体" w:hAnsi="宋体" w:cs="宋体"/>
          <w:sz w:val="24"/>
          <w:highlight w:val="none"/>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ascii="宋体" w:hAnsi="宋体" w:cs="宋体"/>
          <w:sz w:val="24"/>
          <w:highlight w:val="none"/>
        </w:rPr>
      </w:pPr>
      <w:r>
        <w:rPr>
          <w:rFonts w:hint="eastAsia" w:ascii="宋体" w:hAnsi="宋体" w:cs="宋体"/>
          <w:sz w:val="24"/>
          <w:highlight w:val="none"/>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ascii="宋体" w:hAnsi="宋体" w:cs="宋体"/>
          <w:sz w:val="24"/>
          <w:highlight w:val="none"/>
        </w:rPr>
      </w:pPr>
      <w:r>
        <w:rPr>
          <w:rFonts w:hint="eastAsia" w:ascii="宋体" w:hAnsi="宋体" w:cs="宋体"/>
          <w:sz w:val="24"/>
          <w:highlight w:val="none"/>
        </w:rPr>
        <w:t>第五条  政府采购信用融资应当坚持“财政引导，市场运行，银企自愿，互惠共赢”的原则。</w:t>
      </w:r>
    </w:p>
    <w:p>
      <w:pPr>
        <w:spacing w:line="360" w:lineRule="auto"/>
        <w:jc w:val="left"/>
        <w:rPr>
          <w:rFonts w:ascii="宋体" w:hAnsi="宋体" w:cs="宋体"/>
          <w:sz w:val="24"/>
          <w:highlight w:val="none"/>
        </w:rPr>
      </w:pPr>
      <w:r>
        <w:rPr>
          <w:rFonts w:hint="eastAsia" w:ascii="宋体" w:hAnsi="宋体" w:cs="宋体"/>
          <w:sz w:val="24"/>
          <w:highlight w:val="none"/>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ascii="宋体" w:hAnsi="宋体" w:cs="宋体"/>
          <w:sz w:val="24"/>
          <w:highlight w:val="none"/>
        </w:rPr>
      </w:pPr>
      <w:r>
        <w:rPr>
          <w:rFonts w:hint="eastAsia" w:ascii="宋体" w:hAnsi="宋体" w:cs="宋体"/>
          <w:sz w:val="24"/>
          <w:highlight w:val="none"/>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ascii="宋体" w:hAnsi="宋体" w:cs="宋体"/>
          <w:sz w:val="24"/>
          <w:highlight w:val="none"/>
        </w:rPr>
      </w:pPr>
      <w:r>
        <w:rPr>
          <w:rFonts w:hint="eastAsia" w:ascii="宋体" w:hAnsi="宋体" w:cs="宋体"/>
          <w:sz w:val="24"/>
          <w:highlight w:val="none"/>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ascii="宋体" w:hAnsi="宋体" w:cs="宋体"/>
          <w:sz w:val="24"/>
          <w:highlight w:val="none"/>
        </w:rPr>
      </w:pPr>
      <w:r>
        <w:rPr>
          <w:rFonts w:hint="eastAsia" w:ascii="宋体" w:hAnsi="宋体" w:cs="宋体"/>
          <w:sz w:val="24"/>
          <w:highlight w:val="none"/>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ascii="宋体" w:hAnsi="宋体" w:cs="宋体"/>
          <w:sz w:val="24"/>
          <w:highlight w:val="none"/>
        </w:rPr>
      </w:pPr>
      <w:r>
        <w:rPr>
          <w:rFonts w:hint="eastAsia" w:ascii="宋体" w:hAnsi="宋体" w:cs="宋体"/>
          <w:sz w:val="24"/>
          <w:highlight w:val="none"/>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ascii="宋体" w:hAnsi="宋体" w:cs="宋体"/>
          <w:sz w:val="24"/>
          <w:highlight w:val="none"/>
        </w:rPr>
      </w:pPr>
      <w:r>
        <w:rPr>
          <w:rFonts w:hint="eastAsia" w:ascii="宋体" w:hAnsi="宋体" w:cs="宋体"/>
          <w:sz w:val="24"/>
          <w:highlight w:val="none"/>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ascii="宋体" w:hAnsi="宋体" w:cs="宋体"/>
          <w:sz w:val="24"/>
          <w:highlight w:val="none"/>
        </w:rPr>
      </w:pPr>
      <w:r>
        <w:rPr>
          <w:rFonts w:hint="eastAsia" w:ascii="宋体" w:hAnsi="宋体" w:cs="宋体"/>
          <w:sz w:val="24"/>
          <w:highlight w:val="none"/>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ascii="宋体" w:hAnsi="宋体" w:cs="宋体"/>
          <w:sz w:val="24"/>
          <w:highlight w:val="none"/>
        </w:rPr>
      </w:pPr>
      <w:r>
        <w:rPr>
          <w:rFonts w:hint="eastAsia" w:ascii="宋体" w:hAnsi="宋体" w:cs="宋体"/>
          <w:sz w:val="24"/>
          <w:highlight w:val="none"/>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ascii="宋体" w:hAnsi="宋体" w:cs="宋体"/>
          <w:sz w:val="24"/>
          <w:highlight w:val="none"/>
        </w:rPr>
      </w:pPr>
      <w:r>
        <w:rPr>
          <w:rFonts w:hint="eastAsia" w:ascii="宋体" w:hAnsi="宋体" w:cs="宋体"/>
          <w:sz w:val="24"/>
          <w:highlight w:val="none"/>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ascii="宋体" w:hAnsi="宋体" w:cs="宋体"/>
          <w:sz w:val="24"/>
          <w:highlight w:val="none"/>
        </w:rPr>
      </w:pPr>
      <w:r>
        <w:rPr>
          <w:rFonts w:hint="eastAsia" w:ascii="宋体" w:hAnsi="宋体" w:cs="宋体"/>
          <w:sz w:val="24"/>
          <w:highlight w:val="none"/>
        </w:rPr>
        <w:t>第十五条 省本级政府采购资金支付时，各采购单位必须将采购资金支付到备案合同中指定的融资银行及收款账号，以保障贷款资金的安全回收。</w:t>
      </w:r>
    </w:p>
    <w:p>
      <w:pPr>
        <w:spacing w:line="360" w:lineRule="auto"/>
        <w:jc w:val="left"/>
        <w:rPr>
          <w:rFonts w:ascii="宋体" w:hAnsi="宋体" w:cs="宋体"/>
          <w:sz w:val="24"/>
          <w:highlight w:val="none"/>
        </w:rPr>
      </w:pPr>
      <w:r>
        <w:rPr>
          <w:rFonts w:hint="eastAsia" w:ascii="宋体" w:hAnsi="宋体" w:cs="宋体"/>
          <w:sz w:val="24"/>
          <w:highlight w:val="none"/>
        </w:rPr>
        <w:t>第十六条 各市县操作程序由各地结合本地实际自行拟定，但应当体现“便捷高效、监管有效、风险可控”的原则。</w:t>
      </w:r>
    </w:p>
    <w:p>
      <w:pPr>
        <w:spacing w:line="360" w:lineRule="auto"/>
        <w:jc w:val="left"/>
        <w:rPr>
          <w:rFonts w:ascii="宋体" w:hAnsi="宋体" w:cs="宋体"/>
          <w:sz w:val="24"/>
          <w:highlight w:val="none"/>
        </w:rPr>
      </w:pPr>
      <w:r>
        <w:rPr>
          <w:rFonts w:hint="eastAsia" w:ascii="宋体" w:hAnsi="宋体" w:cs="宋体"/>
          <w:sz w:val="24"/>
          <w:highlight w:val="none"/>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ascii="宋体" w:hAnsi="宋体" w:cs="宋体"/>
          <w:sz w:val="24"/>
          <w:highlight w:val="none"/>
        </w:rPr>
      </w:pPr>
      <w:r>
        <w:rPr>
          <w:rFonts w:hint="eastAsia" w:ascii="宋体" w:hAnsi="宋体" w:cs="宋体"/>
          <w:sz w:val="24"/>
          <w:highlight w:val="none"/>
        </w:rPr>
        <w:t>第十八条 本办法由陕西省财政厅负责解释。</w:t>
      </w:r>
    </w:p>
    <w:p>
      <w:pPr>
        <w:spacing w:line="360" w:lineRule="auto"/>
        <w:rPr>
          <w:rFonts w:ascii="宋体" w:hAnsi="宋体" w:cs="宋体"/>
          <w:b/>
          <w:bCs/>
          <w:sz w:val="24"/>
          <w:highlight w:val="none"/>
        </w:rPr>
      </w:pPr>
      <w:r>
        <w:rPr>
          <w:rFonts w:hint="eastAsia" w:ascii="宋体" w:hAnsi="宋体" w:cs="宋体"/>
          <w:b/>
          <w:bCs/>
          <w:sz w:val="24"/>
          <w:highlight w:val="none"/>
        </w:rPr>
        <w:t>供应商融资申请操作手册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highlight w:val="none"/>
        </w:rPr>
      </w:pPr>
    </w:p>
    <w:p>
      <w:pPr>
        <w:widowControl/>
        <w:jc w:val="left"/>
        <w:rPr>
          <w:highlight w:val="none"/>
        </w:rPr>
      </w:pPr>
    </w:p>
    <w:p>
      <w:pPr>
        <w:widowControl/>
        <w:jc w:val="left"/>
        <w:rPr>
          <w:highlight w:val="none"/>
        </w:rPr>
      </w:pPr>
    </w:p>
    <w:p>
      <w:pPr>
        <w:widowControl/>
        <w:jc w:val="left"/>
        <w:rPr>
          <w:highlight w:val="none"/>
        </w:rPr>
      </w:pPr>
    </w:p>
    <w:p>
      <w:pPr>
        <w:widowControl/>
        <w:jc w:val="left"/>
        <w:rPr>
          <w:highlight w:val="none"/>
        </w:rPr>
      </w:pPr>
    </w:p>
    <w:p>
      <w:pPr>
        <w:widowControl/>
        <w:jc w:val="left"/>
        <w:rPr>
          <w:highlight w:val="none"/>
        </w:rPr>
      </w:pPr>
    </w:p>
    <w:p>
      <w:pPr>
        <w:widowControl/>
        <w:jc w:val="left"/>
        <w:rPr>
          <w:highlight w:val="none"/>
        </w:rPr>
      </w:pPr>
    </w:p>
    <w:p>
      <w:pPr>
        <w:widowControl/>
        <w:jc w:val="left"/>
        <w:rPr>
          <w:highlight w:val="none"/>
        </w:rPr>
      </w:pPr>
    </w:p>
    <w:p>
      <w:pPr>
        <w:widowControl/>
        <w:jc w:val="left"/>
        <w:rPr>
          <w:highlight w:val="none"/>
        </w:rPr>
      </w:pPr>
    </w:p>
    <w:p>
      <w:pPr>
        <w:rPr>
          <w:highlight w:val="none"/>
        </w:rPr>
      </w:pPr>
      <w:r>
        <w:rPr>
          <w:highlight w:val="none"/>
        </w:rPr>
        <w:br w:type="page"/>
      </w:r>
    </w:p>
    <w:p>
      <w:pPr>
        <w:widowControl/>
        <w:jc w:val="left"/>
        <w:rPr>
          <w:highlight w:val="none"/>
        </w:rPr>
      </w:pPr>
      <w:r>
        <w:rPr>
          <w:highlight w:val="none"/>
        </w:rPr>
        <w:t>业务流程简图如下：</w:t>
      </w:r>
    </w:p>
    <w:p>
      <w:pPr>
        <w:widowControl/>
        <w:jc w:val="left"/>
        <w:rPr>
          <w:highlight w:val="none"/>
        </w:rPr>
      </w:pPr>
      <w:r>
        <w:rPr>
          <w:highlight w:val="none"/>
        </w:rPr>
        <w:drawing>
          <wp:anchor distT="0" distB="0" distL="114935" distR="114935" simplePos="0" relativeHeight="251661312" behindDoc="1" locked="0" layoutInCell="1" allowOverlap="1">
            <wp:simplePos x="0" y="0"/>
            <wp:positionH relativeFrom="column">
              <wp:posOffset>165100</wp:posOffset>
            </wp:positionH>
            <wp:positionV relativeFrom="paragraph">
              <wp:posOffset>436880</wp:posOffset>
            </wp:positionV>
            <wp:extent cx="5252085" cy="3052445"/>
            <wp:effectExtent l="0" t="0" r="5715" b="8255"/>
            <wp:wrapThrough wrapText="bothSides">
              <wp:wrapPolygon>
                <wp:start x="0" y="0"/>
                <wp:lineTo x="0" y="21479"/>
                <wp:lineTo x="21571" y="21479"/>
                <wp:lineTo x="21571"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tretch>
                      <a:fillRect/>
                    </a:stretch>
                  </pic:blipFill>
                  <pic:spPr>
                    <a:xfrm>
                      <a:off x="0" y="0"/>
                      <a:ext cx="5252085" cy="3052445"/>
                    </a:xfrm>
                    <a:prstGeom prst="rect">
                      <a:avLst/>
                    </a:prstGeom>
                    <a:noFill/>
                    <a:ln>
                      <a:noFill/>
                    </a:ln>
                  </pic:spPr>
                </pic:pic>
              </a:graphicData>
            </a:graphic>
          </wp:anchor>
        </w:drawing>
      </w:r>
      <w:r>
        <w:rPr>
          <w:highlight w:val="none"/>
        </w:rPr>
        <w:drawing>
          <wp:anchor distT="0" distB="0" distL="114300" distR="114300" simplePos="0" relativeHeight="251662336" behindDoc="1" locked="0" layoutInCell="1" allowOverlap="1">
            <wp:simplePos x="0" y="0"/>
            <wp:positionH relativeFrom="column">
              <wp:posOffset>193675</wp:posOffset>
            </wp:positionH>
            <wp:positionV relativeFrom="paragraph">
              <wp:posOffset>3800475</wp:posOffset>
            </wp:positionV>
            <wp:extent cx="5268595" cy="3027680"/>
            <wp:effectExtent l="0" t="0" r="1905" b="762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5268595" cy="3027680"/>
                    </a:xfrm>
                    <a:prstGeom prst="rect">
                      <a:avLst/>
                    </a:prstGeom>
                    <a:noFill/>
                    <a:ln>
                      <a:noFill/>
                    </a:ln>
                  </pic:spPr>
                </pic:pic>
              </a:graphicData>
            </a:graphic>
          </wp:anchor>
        </w:drawing>
      </w:r>
      <w:r>
        <w:rPr>
          <w:highlight w:val="none"/>
        </w:rPr>
        <w:br w:type="page"/>
      </w:r>
    </w:p>
    <w:p>
      <w:pPr>
        <w:pStyle w:val="18"/>
        <w:rPr>
          <w:highlight w:val="none"/>
        </w:rPr>
      </w:pPr>
      <w:r>
        <w:rPr>
          <w:rFonts w:ascii="Segoe UI" w:hAnsi="Segoe UI" w:eastAsia="Segoe UI" w:cs="Segoe UI"/>
          <w:b/>
          <w:bCs/>
          <w:sz w:val="24"/>
          <w:szCs w:val="24"/>
          <w:highlight w:val="none"/>
          <w:shd w:val="clear" w:color="auto" w:fill="FFFFFF"/>
        </w:rPr>
        <w:t>陕西省政府采购支持中小企业信用融资合作银行</w:t>
      </w:r>
      <w:r>
        <w:rPr>
          <w:rFonts w:hint="eastAsia" w:ascii="Segoe UI" w:hAnsi="Segoe UI" w:cs="Segoe UI"/>
          <w:b/>
          <w:bCs/>
          <w:sz w:val="24"/>
          <w:szCs w:val="24"/>
          <w:highlight w:val="none"/>
          <w:shd w:val="clear" w:color="auto" w:fill="FFFFFF"/>
        </w:rPr>
        <w:t>目录（参考）</w:t>
      </w:r>
    </w:p>
    <w:p>
      <w:pPr>
        <w:jc w:val="left"/>
        <w:rPr>
          <w:highlight w:val="none"/>
        </w:rPr>
      </w:pPr>
    </w:p>
    <w:tbl>
      <w:tblPr>
        <w:tblStyle w:val="30"/>
        <w:tblW w:w="8117" w:type="dxa"/>
        <w:jc w:val="center"/>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贷款利率</w:t>
            </w:r>
          </w:p>
        </w:tc>
      </w:tr>
      <w:tr>
        <w:tblPrEx>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融资申请人为公司的额度不低于300万元；</w:t>
            </w:r>
          </w:p>
          <w:p>
            <w:pPr>
              <w:widowControl/>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融资申请人为个人的，额度不高于（含）300万元；</w:t>
            </w:r>
          </w:p>
          <w:p>
            <w:pPr>
              <w:widowControl/>
              <w:jc w:val="left"/>
              <w:rPr>
                <w:rFonts w:ascii="宋体" w:hAnsi="宋体" w:cs="宋体"/>
                <w:kern w:val="0"/>
                <w:szCs w:val="21"/>
                <w:highlight w:val="none"/>
              </w:rPr>
            </w:pPr>
            <w:r>
              <w:rPr>
                <w:rFonts w:hint="eastAsia" w:ascii="宋体" w:hAnsi="宋体" w:cs="宋体"/>
                <w:kern w:val="0"/>
                <w:szCs w:val="21"/>
                <w:highlight w:val="none"/>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1、不超过中小企业同期市场利率水平2、利率浮动区间（1年期LPR-1年期LPR+194bps）</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最长不超月或（360）天或（12）个月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不超过中小企业同期市场利率水平</w:t>
            </w:r>
          </w:p>
          <w:p>
            <w:pPr>
              <w:widowControl/>
              <w:jc w:val="left"/>
              <w:rPr>
                <w:rFonts w:ascii="宋体" w:hAnsi="宋体" w:cs="宋体"/>
                <w:kern w:val="0"/>
                <w:szCs w:val="21"/>
                <w:highlight w:val="none"/>
              </w:rPr>
            </w:pPr>
            <w:r>
              <w:rPr>
                <w:rFonts w:hint="eastAsia" w:ascii="宋体" w:hAnsi="宋体" w:cs="宋体"/>
                <w:kern w:val="0"/>
                <w:szCs w:val="21"/>
                <w:highlight w:val="none"/>
              </w:rPr>
              <w:t>2、利率浮动区间（4.5%-5%）</w:t>
            </w:r>
          </w:p>
        </w:tc>
      </w:tr>
      <w:tr>
        <w:tblPrEx>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不超过中小企业同期市场利率水平</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不超过中小企业同期市场利率水平</w:t>
            </w:r>
          </w:p>
        </w:tc>
      </w:tr>
      <w:tr>
        <w:tblPrEx>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不超过中小企业同期市场利率水平</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利率浮动区间（6%-8%）</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不超过中小企业同期市场利率水平</w:t>
            </w:r>
          </w:p>
        </w:tc>
      </w:tr>
      <w:tr>
        <w:tblPrEx>
          <w:shd w:val="clear" w:color="auto" w:fill="FFFFFF"/>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不超过中小企业同期市场利率水平</w:t>
            </w:r>
          </w:p>
        </w:tc>
      </w:tr>
      <w:tr>
        <w:tblPrEx>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1、按照全国银行间同业拆借中心发布的贷款市场报价利率（LPR）确定；2、利率浮动去电（最高不超过LPR+50bp）</w:t>
            </w:r>
          </w:p>
        </w:tc>
      </w:tr>
      <w:tr>
        <w:tblPrEx>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不超过中小企业同期市场利率水平</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利率浮动区间（依据总行利率指导价执行）</w:t>
            </w:r>
          </w:p>
        </w:tc>
      </w:tr>
      <w:tr>
        <w:tblPrEx>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不超过中小企业同期市场利率水平</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不超过中小企业同期市场利率水平，利率浮动区间为3.85%-5.95%</w:t>
            </w:r>
          </w:p>
        </w:tc>
      </w:tr>
      <w:tr>
        <w:tblPrEx>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不超过中小企业同期市场利率水平</w:t>
            </w:r>
          </w:p>
        </w:tc>
      </w:tr>
      <w:tr>
        <w:tblPrEx>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不超过中小企业同期市场利率水平</w:t>
            </w:r>
          </w:p>
        </w:tc>
      </w:tr>
      <w:tr>
        <w:tblPrEx>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不超过中小企业同期市场利率水平，利率浮动期间（3.85%-4.35%）</w:t>
            </w:r>
          </w:p>
        </w:tc>
      </w:tr>
      <w:tr>
        <w:tblPrEx>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5%-7%</w:t>
            </w:r>
          </w:p>
        </w:tc>
      </w:tr>
      <w:tr>
        <w:tblPrEx>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5%-9%</w:t>
            </w:r>
          </w:p>
        </w:tc>
      </w:tr>
    </w:tbl>
    <w:p>
      <w:pPr>
        <w:widowControl/>
        <w:jc w:val="left"/>
        <w:rPr>
          <w:rFonts w:ascii="Segoe UI" w:hAnsi="Segoe UI" w:eastAsia="Segoe UI" w:cs="Segoe UI"/>
          <w:kern w:val="0"/>
          <w:sz w:val="20"/>
          <w:szCs w:val="20"/>
          <w:highlight w:val="none"/>
        </w:rPr>
      </w:pPr>
    </w:p>
    <w:p>
      <w:pPr>
        <w:spacing w:line="360" w:lineRule="auto"/>
        <w:rPr>
          <w:rFonts w:ascii="宋体" w:hAnsi="宋体" w:cs="宋体"/>
          <w:bCs/>
          <w:sz w:val="24"/>
          <w:highlight w:val="none"/>
        </w:rPr>
      </w:pPr>
      <w:r>
        <w:rPr>
          <w:rFonts w:hint="eastAsia"/>
          <w:sz w:val="24"/>
          <w:szCs w:val="32"/>
          <w:highlight w:val="none"/>
        </w:rPr>
        <w:t>注：以上银行合作有效时间及授信额度、贷款期限、贷款利率仅供参考，</w:t>
      </w:r>
      <w:r>
        <w:rPr>
          <w:rFonts w:hint="eastAsia" w:ascii="宋体" w:hAnsi="宋体" w:cs="宋体"/>
          <w:bCs/>
          <w:sz w:val="24"/>
          <w:highlight w:val="none"/>
        </w:rPr>
        <w:t>具体规定可登陆陕西省政府采购网(www.ccgp-shaanxi.gov.cn/)重要通知专栏中查询了解。</w:t>
      </w:r>
    </w:p>
    <w:p>
      <w:pPr>
        <w:rPr>
          <w:rFonts w:ascii="宋体" w:hAnsi="宋体" w:cs="宋体"/>
          <w:sz w:val="24"/>
          <w:highlight w:val="none"/>
        </w:rPr>
      </w:pPr>
      <w:r>
        <w:rPr>
          <w:rFonts w:ascii="宋体" w:hAnsi="宋体" w:cs="宋体"/>
          <w:sz w:val="24"/>
          <w:highlight w:val="none"/>
        </w:rPr>
        <w:br w:type="page"/>
      </w:r>
    </w:p>
    <w:p>
      <w:pPr>
        <w:pStyle w:val="29"/>
      </w:pPr>
    </w:p>
    <w:p>
      <w:pPr>
        <w:pStyle w:val="15"/>
        <w:rPr>
          <w:highlight w:val="none"/>
        </w:rPr>
      </w:pPr>
    </w:p>
    <w:p>
      <w:pPr>
        <w:pStyle w:val="56"/>
        <w:rPr>
          <w:highlight w:val="none"/>
        </w:rPr>
      </w:pPr>
    </w:p>
    <w:p>
      <w:pPr>
        <w:pStyle w:val="56"/>
        <w:rPr>
          <w:highlight w:val="none"/>
        </w:rPr>
      </w:pPr>
    </w:p>
    <w:p>
      <w:pPr>
        <w:pStyle w:val="56"/>
        <w:rPr>
          <w:highlight w:val="none"/>
        </w:rPr>
      </w:pPr>
    </w:p>
    <w:p>
      <w:pPr>
        <w:pStyle w:val="56"/>
        <w:rPr>
          <w:highlight w:val="none"/>
        </w:rPr>
      </w:pPr>
    </w:p>
    <w:p>
      <w:pPr>
        <w:pStyle w:val="56"/>
        <w:rPr>
          <w:highlight w:val="none"/>
        </w:rPr>
      </w:pPr>
    </w:p>
    <w:p>
      <w:pPr>
        <w:pStyle w:val="56"/>
        <w:rPr>
          <w:highlight w:val="none"/>
        </w:rPr>
      </w:pPr>
    </w:p>
    <w:p>
      <w:pPr>
        <w:pStyle w:val="56"/>
        <w:rPr>
          <w:highlight w:val="none"/>
        </w:rPr>
      </w:pPr>
    </w:p>
    <w:p>
      <w:pPr>
        <w:pStyle w:val="56"/>
        <w:rPr>
          <w:highlight w:val="none"/>
        </w:rPr>
      </w:pPr>
    </w:p>
    <w:p>
      <w:pPr>
        <w:pStyle w:val="56"/>
        <w:rPr>
          <w:highlight w:val="none"/>
        </w:rPr>
      </w:pPr>
    </w:p>
    <w:p>
      <w:pPr>
        <w:pStyle w:val="56"/>
        <w:rPr>
          <w:highlight w:val="none"/>
        </w:rPr>
      </w:pPr>
    </w:p>
    <w:p>
      <w:pPr>
        <w:pStyle w:val="56"/>
        <w:rPr>
          <w:highlight w:val="none"/>
        </w:rPr>
      </w:pPr>
    </w:p>
    <w:p>
      <w:pPr>
        <w:pStyle w:val="56"/>
        <w:rPr>
          <w:highlight w:val="none"/>
        </w:rPr>
      </w:pPr>
    </w:p>
    <w:p>
      <w:pPr>
        <w:pStyle w:val="56"/>
        <w:rPr>
          <w:highlight w:val="none"/>
        </w:rPr>
      </w:pPr>
    </w:p>
    <w:p>
      <w:pPr>
        <w:pStyle w:val="56"/>
        <w:rPr>
          <w:highlight w:val="none"/>
        </w:rPr>
      </w:pPr>
    </w:p>
    <w:bookmarkEnd w:id="3"/>
    <w:bookmarkEnd w:id="4"/>
    <w:bookmarkEnd w:id="5"/>
    <w:p>
      <w:pPr>
        <w:pStyle w:val="5"/>
        <w:rPr>
          <w:highlight w:val="none"/>
        </w:rPr>
      </w:pPr>
      <w:bookmarkStart w:id="6" w:name="_Toc6882"/>
      <w:r>
        <w:rPr>
          <w:rFonts w:hint="eastAsia"/>
          <w:highlight w:val="none"/>
        </w:rPr>
        <w:t>第三部分 商务部分（合同条款及合同格式）</w:t>
      </w:r>
      <w:bookmarkEnd w:id="6"/>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（说明：本合同作为合同的基本格式，不作为最终合同，买方有权在签订合同时对合同的相关条款及内容作进一步的细化和修改。）</w:t>
      </w:r>
    </w:p>
    <w:p>
      <w:pPr>
        <w:spacing w:line="360" w:lineRule="auto"/>
        <w:rPr>
          <w:rFonts w:ascii="宋体" w:hAnsi="宋体" w:cs="宋体"/>
          <w:b/>
          <w:bCs/>
          <w:sz w:val="24"/>
          <w:highlight w:val="none"/>
        </w:rPr>
      </w:pPr>
    </w:p>
    <w:p>
      <w:pPr>
        <w:spacing w:line="360" w:lineRule="auto"/>
        <w:rPr>
          <w:rFonts w:ascii="宋体" w:hAnsi="宋体" w:cs="宋体"/>
          <w:b/>
          <w:bCs/>
          <w:sz w:val="24"/>
          <w:highlight w:val="none"/>
        </w:rPr>
      </w:pPr>
    </w:p>
    <w:p>
      <w:pPr>
        <w:spacing w:line="360" w:lineRule="auto"/>
        <w:rPr>
          <w:rFonts w:ascii="宋体" w:hAnsi="宋体" w:cs="宋体"/>
          <w:b/>
          <w:bCs/>
          <w:sz w:val="24"/>
          <w:highlight w:val="none"/>
        </w:rPr>
      </w:pPr>
    </w:p>
    <w:p>
      <w:pPr>
        <w:spacing w:line="360" w:lineRule="auto"/>
        <w:rPr>
          <w:rFonts w:ascii="宋体" w:hAnsi="宋体" w:cs="宋体"/>
          <w:b/>
          <w:bCs/>
          <w:sz w:val="24"/>
          <w:highlight w:val="none"/>
        </w:rPr>
      </w:pPr>
    </w:p>
    <w:p>
      <w:pPr>
        <w:spacing w:line="360" w:lineRule="auto"/>
        <w:rPr>
          <w:rFonts w:ascii="宋体" w:hAnsi="宋体" w:cs="宋体"/>
          <w:b/>
          <w:bCs/>
          <w:sz w:val="24"/>
          <w:highlight w:val="none"/>
        </w:rPr>
      </w:pPr>
    </w:p>
    <w:p>
      <w:pPr>
        <w:spacing w:line="360" w:lineRule="auto"/>
        <w:rPr>
          <w:rFonts w:ascii="宋体" w:hAnsi="宋体" w:cs="宋体"/>
          <w:b/>
          <w:bCs/>
          <w:sz w:val="24"/>
          <w:highlight w:val="none"/>
        </w:rPr>
      </w:pPr>
    </w:p>
    <w:p>
      <w:pPr>
        <w:spacing w:line="360" w:lineRule="auto"/>
        <w:rPr>
          <w:rFonts w:ascii="宋体" w:hAnsi="宋体" w:cs="宋体"/>
          <w:b/>
          <w:bCs/>
          <w:sz w:val="24"/>
          <w:highlight w:val="none"/>
        </w:rPr>
      </w:pPr>
    </w:p>
    <w:p>
      <w:pPr>
        <w:spacing w:line="360" w:lineRule="auto"/>
        <w:rPr>
          <w:rFonts w:ascii="宋体" w:hAnsi="宋体" w:cs="宋体"/>
          <w:b/>
          <w:bCs/>
          <w:sz w:val="24"/>
          <w:highlight w:val="none"/>
        </w:rPr>
      </w:pPr>
    </w:p>
    <w:p>
      <w:pPr>
        <w:pStyle w:val="15"/>
        <w:rPr>
          <w:highlight w:val="none"/>
        </w:rPr>
      </w:pPr>
    </w:p>
    <w:p>
      <w:pPr>
        <w:pStyle w:val="56"/>
        <w:rPr>
          <w:rFonts w:ascii="宋体" w:hAnsi="宋体" w:cs="宋体"/>
          <w:b/>
          <w:bCs/>
          <w:sz w:val="24"/>
          <w:highlight w:val="none"/>
        </w:rPr>
      </w:pPr>
    </w:p>
    <w:p>
      <w:pPr>
        <w:pStyle w:val="56"/>
        <w:rPr>
          <w:rFonts w:ascii="宋体" w:hAnsi="宋体" w:cs="宋体"/>
          <w:b/>
          <w:bCs/>
          <w:sz w:val="24"/>
          <w:highlight w:val="none"/>
        </w:rPr>
      </w:pPr>
    </w:p>
    <w:p>
      <w:pPr>
        <w:pStyle w:val="15"/>
        <w:rPr>
          <w:rFonts w:ascii="宋体" w:hAnsi="宋体" w:cs="宋体"/>
          <w:b/>
          <w:bCs/>
          <w:sz w:val="40"/>
          <w:highlight w:val="none"/>
        </w:rPr>
      </w:pPr>
    </w:p>
    <w:p>
      <w:pPr>
        <w:jc w:val="center"/>
        <w:rPr>
          <w:rFonts w:ascii="宋体" w:hAnsi="宋体" w:cs="宋体"/>
          <w:b/>
          <w:bCs/>
          <w:sz w:val="10"/>
          <w:szCs w:val="10"/>
          <w:highlight w:val="none"/>
        </w:rPr>
      </w:pPr>
      <w:r>
        <w:rPr>
          <w:rFonts w:hint="eastAsia" w:ascii="宋体" w:hAnsi="宋体" w:cs="宋体"/>
          <w:b/>
          <w:bCs/>
          <w:sz w:val="40"/>
          <w:highlight w:val="none"/>
        </w:rPr>
        <w:t>商务部分</w:t>
      </w:r>
    </w:p>
    <w:p>
      <w:pPr>
        <w:spacing w:line="360" w:lineRule="auto"/>
        <w:ind w:firstLine="551" w:firstLineChars="196"/>
        <w:rPr>
          <w:rFonts w:ascii="宋体" w:hAnsi="宋体" w:cs="宋体"/>
          <w:b/>
          <w:bCs/>
          <w:sz w:val="28"/>
          <w:highlight w:val="none"/>
        </w:rPr>
      </w:pPr>
      <w:r>
        <w:rPr>
          <w:rFonts w:hint="eastAsia" w:ascii="宋体" w:hAnsi="宋体" w:cs="宋体"/>
          <w:b/>
          <w:bCs/>
          <w:sz w:val="28"/>
          <w:highlight w:val="none"/>
        </w:rPr>
        <w:t>一、合同专用条款</w:t>
      </w:r>
    </w:p>
    <w:p>
      <w:pPr>
        <w:spacing w:line="360" w:lineRule="auto"/>
        <w:ind w:firstLine="480"/>
        <w:rPr>
          <w:highlight w:val="none"/>
        </w:rPr>
      </w:pPr>
      <w:r>
        <w:rPr>
          <w:rFonts w:hint="eastAsia" w:ascii="宋体" w:hAnsi="宋体" w:cs="宋体"/>
          <w:b/>
          <w:bCs/>
          <w:sz w:val="24"/>
          <w:highlight w:val="none"/>
        </w:rPr>
        <w:t>本表关于招标服务</w:t>
      </w:r>
      <w:r>
        <w:rPr>
          <w:rFonts w:hint="eastAsia" w:ascii="宋体" w:hAnsi="宋体" w:cs="宋体"/>
          <w:b/>
          <w:bCs/>
          <w:sz w:val="24"/>
          <w:highlight w:val="none"/>
          <w:lang w:val="en-US" w:eastAsia="zh-CN"/>
        </w:rPr>
        <w:t>及货物</w:t>
      </w:r>
      <w:r>
        <w:rPr>
          <w:rFonts w:hint="eastAsia" w:ascii="宋体" w:hAnsi="宋体" w:cs="宋体"/>
          <w:b/>
          <w:bCs/>
          <w:sz w:val="24"/>
          <w:highlight w:val="none"/>
        </w:rPr>
        <w:t>的具体要求是对本合同条款的具体补充和修改，如有矛盾，应以本条款为准。</w:t>
      </w:r>
    </w:p>
    <w:tbl>
      <w:tblPr>
        <w:tblStyle w:val="30"/>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8" w:type="pct"/>
            <w:noWrap w:val="0"/>
            <w:vAlign w:val="center"/>
          </w:tcPr>
          <w:p>
            <w:pPr>
              <w:spacing w:line="24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序 号</w:t>
            </w:r>
          </w:p>
        </w:tc>
        <w:tc>
          <w:tcPr>
            <w:tcW w:w="4381" w:type="pct"/>
            <w:noWrap w:val="0"/>
            <w:vAlign w:val="center"/>
          </w:tcPr>
          <w:p>
            <w:pPr>
              <w:spacing w:line="24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8" w:type="pct"/>
            <w:noWrap w:val="0"/>
            <w:vAlign w:val="center"/>
          </w:tcPr>
          <w:p>
            <w:pPr>
              <w:numPr>
                <w:ilvl w:val="0"/>
                <w:numId w:val="5"/>
              </w:numPr>
              <w:tabs>
                <w:tab w:val="left" w:pos="600"/>
              </w:tabs>
              <w:spacing w:line="240" w:lineRule="auto"/>
              <w:ind w:left="600"/>
              <w:rPr>
                <w:rFonts w:hint="eastAsia" w:ascii="宋体" w:hAnsi="宋体" w:cs="宋体"/>
                <w:b/>
                <w:bCs/>
                <w:color w:val="auto"/>
                <w:sz w:val="24"/>
                <w:highlight w:val="none"/>
              </w:rPr>
            </w:pPr>
          </w:p>
        </w:tc>
        <w:tc>
          <w:tcPr>
            <w:tcW w:w="4381" w:type="pct"/>
            <w:noWrap w:val="0"/>
            <w:vAlign w:val="center"/>
          </w:tcPr>
          <w:p>
            <w:pPr>
              <w:spacing w:line="240" w:lineRule="auto"/>
              <w:rPr>
                <w:rFonts w:hint="eastAsia" w:ascii="新宋体" w:hAnsi="新宋体" w:eastAsia="新宋体"/>
                <w:b/>
                <w:bCs/>
                <w:color w:val="auto"/>
                <w:sz w:val="24"/>
                <w:highlight w:val="none"/>
                <w:lang w:eastAsia="zh-CN"/>
              </w:rPr>
            </w:pPr>
            <w:r>
              <w:rPr>
                <w:rFonts w:hint="eastAsia" w:ascii="新宋体" w:hAnsi="新宋体" w:eastAsia="新宋体"/>
                <w:b/>
                <w:bCs/>
                <w:sz w:val="24"/>
                <w:highlight w:val="none"/>
              </w:rPr>
              <w:t>买方（采购人）名称：</w:t>
            </w:r>
            <w:r>
              <w:rPr>
                <w:rFonts w:hint="eastAsia" w:ascii="新宋体" w:hAnsi="新宋体" w:eastAsia="新宋体"/>
                <w:b/>
                <w:bCs/>
                <w:sz w:val="24"/>
                <w:highlight w:val="none"/>
                <w:lang w:eastAsia="zh-CN"/>
              </w:rPr>
              <w:t>商洛市妇幼保健院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8" w:type="pct"/>
            <w:noWrap w:val="0"/>
            <w:vAlign w:val="center"/>
          </w:tcPr>
          <w:p>
            <w:pPr>
              <w:numPr>
                <w:ilvl w:val="0"/>
                <w:numId w:val="5"/>
              </w:numPr>
              <w:tabs>
                <w:tab w:val="left" w:pos="600"/>
              </w:tabs>
              <w:spacing w:line="240" w:lineRule="auto"/>
              <w:ind w:left="600"/>
              <w:rPr>
                <w:rFonts w:hint="eastAsia" w:ascii="宋体" w:hAnsi="宋体" w:cs="宋体"/>
                <w:b/>
                <w:bCs/>
                <w:color w:val="auto"/>
                <w:sz w:val="24"/>
                <w:highlight w:val="none"/>
              </w:rPr>
            </w:pPr>
          </w:p>
        </w:tc>
        <w:tc>
          <w:tcPr>
            <w:tcW w:w="4381" w:type="pct"/>
            <w:noWrap w:val="0"/>
            <w:vAlign w:val="center"/>
          </w:tcPr>
          <w:p>
            <w:pPr>
              <w:spacing w:line="240" w:lineRule="auto"/>
              <w:rPr>
                <w:rFonts w:hint="eastAsia" w:ascii="新宋体" w:hAnsi="新宋体" w:eastAsia="新宋体"/>
                <w:b/>
                <w:bCs/>
                <w:color w:val="auto"/>
                <w:sz w:val="24"/>
                <w:highlight w:val="none"/>
              </w:rPr>
            </w:pPr>
            <w:r>
              <w:rPr>
                <w:rFonts w:hint="eastAsia" w:ascii="新宋体" w:hAnsi="新宋体" w:eastAsia="新宋体"/>
                <w:b/>
                <w:bCs/>
                <w:sz w:val="24"/>
                <w:highlight w:val="none"/>
              </w:rPr>
              <w:t>卖方名称：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8" w:type="pct"/>
            <w:noWrap w:val="0"/>
            <w:vAlign w:val="center"/>
          </w:tcPr>
          <w:p>
            <w:pPr>
              <w:numPr>
                <w:ilvl w:val="0"/>
                <w:numId w:val="5"/>
              </w:numPr>
              <w:tabs>
                <w:tab w:val="left" w:pos="600"/>
              </w:tabs>
              <w:spacing w:line="360" w:lineRule="auto"/>
              <w:ind w:left="600"/>
              <w:rPr>
                <w:rFonts w:hint="eastAsia" w:ascii="宋体" w:hAnsi="宋体" w:cs="宋体"/>
                <w:b/>
                <w:bCs/>
                <w:color w:val="auto"/>
                <w:sz w:val="24"/>
                <w:highlight w:val="none"/>
              </w:rPr>
            </w:pPr>
          </w:p>
        </w:tc>
        <w:tc>
          <w:tcPr>
            <w:tcW w:w="4381" w:type="pct"/>
            <w:noWrap w:val="0"/>
            <w:vAlign w:val="center"/>
          </w:tcPr>
          <w:p>
            <w:pPr>
              <w:spacing w:line="240" w:lineRule="auto"/>
              <w:rPr>
                <w:rFonts w:hint="default" w:ascii="新宋体" w:hAnsi="新宋体" w:eastAsia="新宋体" w:cs="Times New Roman"/>
                <w:b/>
                <w:bCs/>
                <w:sz w:val="24"/>
                <w:highlight w:val="none"/>
                <w:lang w:val="en-US" w:eastAsia="zh-CN"/>
              </w:rPr>
            </w:pPr>
            <w:r>
              <w:rPr>
                <w:rFonts w:hint="eastAsia" w:ascii="新宋体" w:hAnsi="新宋体" w:eastAsia="新宋体" w:cs="Times New Roman"/>
                <w:b/>
                <w:bCs/>
                <w:sz w:val="24"/>
                <w:highlight w:val="none"/>
              </w:rPr>
              <w:t>交付期：</w:t>
            </w:r>
            <w:r>
              <w:rPr>
                <w:rFonts w:hint="eastAsia" w:ascii="新宋体" w:hAnsi="新宋体" w:eastAsia="新宋体" w:cs="Times New Roman"/>
                <w:b/>
                <w:bCs/>
                <w:sz w:val="24"/>
                <w:highlight w:val="none"/>
                <w:lang w:val="zh-CN" w:eastAsia="zh-CN"/>
              </w:rPr>
              <w:t>合同签订收到首付款20个工作日内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8" w:type="pct"/>
            <w:noWrap w:val="0"/>
            <w:vAlign w:val="center"/>
          </w:tcPr>
          <w:p>
            <w:pPr>
              <w:numPr>
                <w:ilvl w:val="0"/>
                <w:numId w:val="5"/>
              </w:numPr>
              <w:tabs>
                <w:tab w:val="left" w:pos="600"/>
              </w:tabs>
              <w:spacing w:line="360" w:lineRule="auto"/>
              <w:ind w:left="600"/>
              <w:rPr>
                <w:rFonts w:hint="eastAsia" w:ascii="宋体" w:hAnsi="宋体" w:cs="宋体"/>
                <w:b/>
                <w:bCs/>
                <w:color w:val="auto"/>
                <w:sz w:val="24"/>
                <w:highlight w:val="none"/>
              </w:rPr>
            </w:pPr>
          </w:p>
        </w:tc>
        <w:tc>
          <w:tcPr>
            <w:tcW w:w="4381" w:type="pct"/>
            <w:noWrap w:val="0"/>
            <w:vAlign w:val="center"/>
          </w:tcPr>
          <w:p>
            <w:pPr>
              <w:spacing w:line="240" w:lineRule="auto"/>
              <w:rPr>
                <w:rFonts w:hint="default" w:ascii="新宋体" w:hAnsi="新宋体" w:eastAsia="新宋体" w:cs="Times New Roman"/>
                <w:b/>
                <w:bCs/>
                <w:sz w:val="24"/>
                <w:highlight w:val="none"/>
                <w:lang w:val="en-US" w:eastAsia="zh-CN"/>
              </w:rPr>
            </w:pPr>
            <w:r>
              <w:rPr>
                <w:rFonts w:hint="eastAsia" w:ascii="新宋体" w:hAnsi="新宋体" w:eastAsia="新宋体" w:cs="Times New Roman"/>
                <w:b/>
                <w:bCs/>
                <w:sz w:val="24"/>
                <w:highlight w:val="none"/>
              </w:rPr>
              <w:t>质保期：</w:t>
            </w:r>
            <w:r>
              <w:rPr>
                <w:rFonts w:hint="eastAsia" w:ascii="新宋体" w:hAnsi="新宋体" w:eastAsia="新宋体" w:cs="Times New Roman"/>
                <w:b/>
                <w:bCs/>
                <w:sz w:val="24"/>
                <w:highlight w:val="none"/>
                <w:lang w:val="zh-CN" w:eastAsia="zh-CN"/>
              </w:rPr>
              <w:t>项目整体售后服务1年，硬件按照厂家售后服务承诺执行。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8" w:type="pct"/>
            <w:noWrap w:val="0"/>
            <w:vAlign w:val="center"/>
          </w:tcPr>
          <w:p>
            <w:pPr>
              <w:numPr>
                <w:ilvl w:val="0"/>
                <w:numId w:val="5"/>
              </w:numPr>
              <w:tabs>
                <w:tab w:val="left" w:pos="600"/>
              </w:tabs>
              <w:spacing w:line="360" w:lineRule="auto"/>
              <w:ind w:left="600"/>
              <w:rPr>
                <w:rFonts w:hint="eastAsia" w:ascii="宋体" w:hAnsi="宋体" w:cs="宋体"/>
                <w:b/>
                <w:bCs/>
                <w:color w:val="auto"/>
                <w:sz w:val="24"/>
                <w:highlight w:val="none"/>
              </w:rPr>
            </w:pPr>
          </w:p>
        </w:tc>
        <w:tc>
          <w:tcPr>
            <w:tcW w:w="4381" w:type="pct"/>
            <w:noWrap w:val="0"/>
            <w:vAlign w:val="center"/>
          </w:tcPr>
          <w:p>
            <w:pPr>
              <w:pStyle w:val="29"/>
              <w:spacing w:line="360" w:lineRule="auto"/>
              <w:ind w:firstLine="0"/>
              <w:rPr>
                <w:rFonts w:hint="default"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 xml:space="preserve">付款方法和条件： </w:t>
            </w:r>
            <w:r>
              <w:rPr>
                <w:rFonts w:hint="eastAsia" w:ascii="新宋体" w:hAnsi="新宋体" w:eastAsia="新宋体" w:cs="Times New Roman"/>
                <w:b/>
                <w:bCs/>
                <w:kern w:val="2"/>
                <w:sz w:val="24"/>
                <w:szCs w:val="24"/>
                <w:highlight w:val="none"/>
                <w:lang w:val="zh-CN" w:eastAsia="zh-CN" w:bidi="ar-SA"/>
              </w:rPr>
              <w:t>合同签订15个工作日预付40%款，货到验收合格10个工作日内付40%，等保</w:t>
            </w:r>
            <w:r>
              <w:rPr>
                <w:rFonts w:hint="eastAsia" w:ascii="新宋体" w:hAnsi="新宋体" w:eastAsia="新宋体" w:cs="Times New Roman"/>
                <w:b/>
                <w:bCs/>
                <w:kern w:val="2"/>
                <w:sz w:val="24"/>
                <w:szCs w:val="24"/>
                <w:highlight w:val="none"/>
                <w:lang w:val="en-US" w:eastAsia="zh-CN" w:bidi="ar-SA"/>
              </w:rPr>
              <w:t>证书取得后</w:t>
            </w:r>
            <w:r>
              <w:rPr>
                <w:rFonts w:hint="eastAsia" w:ascii="新宋体" w:hAnsi="新宋体" w:eastAsia="新宋体" w:cs="Times New Roman"/>
                <w:b/>
                <w:bCs/>
                <w:kern w:val="2"/>
                <w:sz w:val="24"/>
                <w:szCs w:val="24"/>
                <w:highlight w:val="none"/>
                <w:lang w:val="zh-CN" w:eastAsia="zh-CN" w:bidi="ar-SA"/>
              </w:rPr>
              <w:t>10个工作日内付18%，项目期满1年双方无异议10个工作日内付清余款2%。</w:t>
            </w:r>
            <w:r>
              <w:rPr>
                <w:rFonts w:hint="eastAsia" w:ascii="新宋体" w:hAnsi="新宋体" w:eastAsia="新宋体" w:cs="Times New Roman"/>
                <w:b/>
                <w:bCs/>
                <w:kern w:val="2"/>
                <w:sz w:val="24"/>
                <w:szCs w:val="24"/>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8" w:type="pct"/>
            <w:noWrap w:val="0"/>
            <w:vAlign w:val="center"/>
          </w:tcPr>
          <w:p>
            <w:pPr>
              <w:numPr>
                <w:ilvl w:val="0"/>
                <w:numId w:val="5"/>
              </w:numPr>
              <w:tabs>
                <w:tab w:val="left" w:pos="600"/>
              </w:tabs>
              <w:spacing w:line="240" w:lineRule="auto"/>
              <w:ind w:left="600"/>
              <w:rPr>
                <w:rFonts w:hint="eastAsia" w:ascii="宋体" w:hAnsi="宋体" w:cs="宋体"/>
                <w:b/>
                <w:bCs/>
                <w:color w:val="auto"/>
                <w:sz w:val="24"/>
                <w:highlight w:val="none"/>
              </w:rPr>
            </w:pPr>
          </w:p>
        </w:tc>
        <w:tc>
          <w:tcPr>
            <w:tcW w:w="4381" w:type="pct"/>
            <w:noWrap w:val="0"/>
            <w:vAlign w:val="center"/>
          </w:tcPr>
          <w:p>
            <w:pPr>
              <w:spacing w:line="240" w:lineRule="auto"/>
              <w:rPr>
                <w:rFonts w:hint="eastAsia" w:ascii="新宋体" w:hAnsi="新宋体" w:eastAsia="新宋体"/>
                <w:b/>
                <w:bCs/>
                <w:color w:val="auto"/>
                <w:sz w:val="24"/>
                <w:highlight w:val="none"/>
              </w:rPr>
            </w:pPr>
            <w:r>
              <w:rPr>
                <w:rFonts w:hint="eastAsia" w:ascii="新宋体" w:hAnsi="新宋体" w:eastAsia="新宋体"/>
                <w:b/>
                <w:bCs/>
                <w:sz w:val="24"/>
                <w:highlight w:val="none"/>
              </w:rPr>
              <w:t>应提供的伴随服务：选所有。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8" w:type="pct"/>
            <w:noWrap w:val="0"/>
            <w:vAlign w:val="center"/>
          </w:tcPr>
          <w:p>
            <w:pPr>
              <w:numPr>
                <w:ilvl w:val="0"/>
                <w:numId w:val="5"/>
              </w:numPr>
              <w:tabs>
                <w:tab w:val="left" w:pos="600"/>
              </w:tabs>
              <w:spacing w:line="240" w:lineRule="auto"/>
              <w:ind w:left="600"/>
              <w:rPr>
                <w:rFonts w:hint="eastAsia" w:ascii="宋体" w:hAnsi="宋体" w:cs="宋体"/>
                <w:b/>
                <w:bCs/>
                <w:color w:val="auto"/>
                <w:sz w:val="24"/>
                <w:highlight w:val="none"/>
              </w:rPr>
            </w:pPr>
          </w:p>
        </w:tc>
        <w:tc>
          <w:tcPr>
            <w:tcW w:w="4381" w:type="pct"/>
            <w:noWrap w:val="0"/>
            <w:vAlign w:val="center"/>
          </w:tcPr>
          <w:p>
            <w:pPr>
              <w:spacing w:line="240" w:lineRule="auto"/>
              <w:rPr>
                <w:rFonts w:hint="default" w:ascii="新宋体" w:hAnsi="新宋体" w:eastAsia="新宋体"/>
                <w:b/>
                <w:bCs/>
                <w:color w:val="auto"/>
                <w:sz w:val="24"/>
                <w:highlight w:val="none"/>
                <w:lang w:val="en-US" w:eastAsia="zh-CN"/>
              </w:rPr>
            </w:pPr>
            <w:r>
              <w:rPr>
                <w:rFonts w:hint="eastAsia" w:ascii="新宋体" w:hAnsi="新宋体" w:eastAsia="新宋体"/>
                <w:b/>
                <w:bCs/>
                <w:sz w:val="24"/>
                <w:highlight w:val="none"/>
              </w:rPr>
              <w:t>交货地点：</w:t>
            </w:r>
            <w:r>
              <w:rPr>
                <w:rFonts w:hint="eastAsia" w:ascii="新宋体" w:hAnsi="新宋体" w:eastAsia="新宋体"/>
                <w:b/>
                <w:bCs/>
                <w:sz w:val="24"/>
                <w:highlight w:val="none"/>
                <w:lang w:eastAsia="zh-CN"/>
              </w:rPr>
              <w:t>商洛市妇幼保健院</w:t>
            </w:r>
            <w:r>
              <w:rPr>
                <w:rFonts w:hint="eastAsia" w:ascii="新宋体" w:hAnsi="新宋体" w:eastAsia="新宋体"/>
                <w:b/>
                <w:bCs/>
                <w:sz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00" w:type="pct"/>
            <w:gridSpan w:val="2"/>
            <w:noWrap w:val="0"/>
            <w:vAlign w:val="center"/>
          </w:tcPr>
          <w:p>
            <w:pPr>
              <w:pStyle w:val="5"/>
              <w:keepNext w:val="0"/>
              <w:keepLines w:val="0"/>
              <w:widowControl/>
              <w:wordWrap w:val="0"/>
              <w:spacing w:before="0" w:after="0" w:line="240" w:lineRule="auto"/>
              <w:ind w:right="108"/>
              <w:rPr>
                <w:color w:val="auto"/>
                <w:highlight w:val="none"/>
                <w:lang w:val="en-US" w:eastAsia="zh-CN"/>
              </w:rPr>
            </w:pPr>
            <w:r>
              <w:rPr>
                <w:rFonts w:hint="eastAsia" w:ascii="新宋体" w:hAnsi="新宋体" w:eastAsia="新宋体"/>
                <w:bCs/>
                <w:color w:val="auto"/>
                <w:sz w:val="24"/>
                <w:highlight w:val="none"/>
                <w:lang w:val="en-US" w:eastAsia="zh-CN"/>
              </w:rPr>
              <w:t>注：以上要求不可负偏离，否则视为无效投标。</w:t>
            </w:r>
          </w:p>
        </w:tc>
      </w:tr>
    </w:tbl>
    <w:p>
      <w:pPr>
        <w:pStyle w:val="55"/>
        <w:rPr>
          <w:highlight w:val="none"/>
        </w:rPr>
      </w:pPr>
    </w:p>
    <w:p>
      <w:pPr>
        <w:rPr>
          <w:rFonts w:ascii="宋体" w:hAnsi="宋体" w:cs="宋体"/>
          <w:b/>
          <w:bCs/>
          <w:sz w:val="40"/>
          <w:highlight w:val="none"/>
        </w:rPr>
      </w:pPr>
      <w:r>
        <w:rPr>
          <w:rFonts w:hint="eastAsia" w:ascii="宋体" w:hAnsi="宋体" w:cs="宋体"/>
          <w:b/>
          <w:bCs/>
          <w:sz w:val="24"/>
          <w:highlight w:val="none"/>
        </w:rPr>
        <w:br w:type="page"/>
      </w:r>
    </w:p>
    <w:p>
      <w:pPr>
        <w:spacing w:line="360" w:lineRule="auto"/>
        <w:jc w:val="both"/>
        <w:rPr>
          <w:rFonts w:ascii="宋体" w:hAnsi="宋体" w:cs="宋体"/>
          <w:b/>
          <w:bCs/>
          <w:sz w:val="11"/>
          <w:szCs w:val="11"/>
          <w:highlight w:val="none"/>
        </w:rPr>
      </w:pPr>
      <w:bookmarkStart w:id="7" w:name="_Toc2224"/>
      <w:r>
        <w:rPr>
          <w:rFonts w:hint="eastAsia" w:ascii="宋体" w:hAnsi="宋体" w:cs="宋体"/>
          <w:b/>
          <w:bCs/>
          <w:sz w:val="24"/>
          <w:highlight w:val="none"/>
        </w:rPr>
        <w:t>二、合同通用条款</w:t>
      </w:r>
    </w:p>
    <w:p>
      <w:pPr>
        <w:numPr>
          <w:ilvl w:val="0"/>
          <w:numId w:val="6"/>
        </w:numPr>
        <w:spacing w:line="360" w:lineRule="auto"/>
        <w:rPr>
          <w:rFonts w:ascii="宋体" w:hAnsi="宋体" w:cs="宋体"/>
          <w:b/>
          <w:bCs/>
          <w:sz w:val="24"/>
          <w:highlight w:val="none"/>
        </w:rPr>
      </w:pPr>
      <w:r>
        <w:rPr>
          <w:rFonts w:hint="eastAsia" w:ascii="宋体" w:hAnsi="宋体" w:cs="宋体"/>
          <w:sz w:val="24"/>
          <w:highlight w:val="none"/>
        </w:rPr>
        <w:t xml:space="preserve"> </w:t>
      </w:r>
      <w:r>
        <w:rPr>
          <w:rFonts w:hint="eastAsia" w:ascii="宋体" w:hAnsi="宋体" w:cs="宋体"/>
          <w:b/>
          <w:bCs/>
          <w:sz w:val="24"/>
          <w:highlight w:val="none"/>
        </w:rPr>
        <w:t>定义</w:t>
      </w:r>
    </w:p>
    <w:p>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 xml:space="preserve">  本合同下列术语应解释为</w:t>
      </w:r>
      <w:r>
        <w:rPr>
          <w:rFonts w:hint="eastAsia" w:ascii="宋体" w:hAnsi="宋体" w:cs="宋体"/>
          <w:sz w:val="24"/>
          <w:highlight w:val="none"/>
          <w:lang w:eastAsia="zh-CN"/>
        </w:rPr>
        <w:t>：</w:t>
      </w:r>
    </w:p>
    <w:p>
      <w:pPr>
        <w:spacing w:line="360" w:lineRule="auto"/>
        <w:ind w:left="838" w:leftChars="285" w:hanging="240" w:hangingChars="100"/>
        <w:rPr>
          <w:rFonts w:ascii="宋体" w:hAnsi="宋体" w:cs="宋体"/>
          <w:sz w:val="24"/>
          <w:highlight w:val="none"/>
        </w:rPr>
      </w:pPr>
      <w:r>
        <w:rPr>
          <w:rFonts w:hint="eastAsia" w:ascii="宋体" w:hAnsi="宋体" w:cs="宋体"/>
          <w:sz w:val="24"/>
          <w:highlight w:val="none"/>
        </w:rPr>
        <w:t>1)“合同”系指买卖双方签署的、合同格式中载明的买卖双方所达成的协议，包括所有的附件、附录和上述文件所提到的构成合同的所有文件。</w:t>
      </w:r>
    </w:p>
    <w:p>
      <w:pPr>
        <w:spacing w:line="360" w:lineRule="auto"/>
        <w:ind w:left="960" w:hanging="960" w:hangingChars="400"/>
        <w:rPr>
          <w:rFonts w:ascii="宋体" w:hAnsi="宋体" w:cs="宋体"/>
          <w:sz w:val="24"/>
          <w:highlight w:val="none"/>
        </w:rPr>
      </w:pPr>
      <w:r>
        <w:rPr>
          <w:rFonts w:hint="eastAsia" w:ascii="宋体" w:hAnsi="宋体" w:cs="宋体"/>
          <w:sz w:val="24"/>
          <w:highlight w:val="none"/>
        </w:rPr>
        <w:t xml:space="preserve">     2）“合同价”系指根据本合同规定卖方在正确地完全履行合同义务后买方应支付给卖方的价款。</w:t>
      </w:r>
    </w:p>
    <w:p>
      <w:pPr>
        <w:spacing w:line="360" w:lineRule="auto"/>
        <w:ind w:left="960" w:hanging="960" w:hangingChars="400"/>
        <w:rPr>
          <w:rFonts w:ascii="宋体" w:hAnsi="宋体" w:cs="宋体"/>
          <w:sz w:val="24"/>
          <w:highlight w:val="none"/>
        </w:rPr>
      </w:pPr>
      <w:r>
        <w:rPr>
          <w:rFonts w:hint="eastAsia" w:ascii="宋体" w:hAnsi="宋体" w:cs="宋体"/>
          <w:sz w:val="24"/>
          <w:highlight w:val="none"/>
        </w:rPr>
        <w:t xml:space="preserve">     3）“货物”系指卖方根据本合同规定须向买方提供的一切产品、硬件设备、软件和其它材料。</w:t>
      </w:r>
    </w:p>
    <w:p>
      <w:pPr>
        <w:spacing w:line="360" w:lineRule="auto"/>
        <w:ind w:left="960" w:hanging="960" w:hangingChars="400"/>
        <w:rPr>
          <w:rFonts w:ascii="宋体" w:hAnsi="宋体" w:cs="宋体"/>
          <w:sz w:val="24"/>
          <w:highlight w:val="none"/>
        </w:rPr>
      </w:pPr>
      <w:r>
        <w:rPr>
          <w:rFonts w:hint="eastAsia" w:ascii="宋体" w:hAnsi="宋体" w:cs="宋体"/>
          <w:sz w:val="24"/>
          <w:highlight w:val="none"/>
        </w:rPr>
        <w:t xml:space="preserve">     4）“服务”系指根据本合同规定卖方承担与本项目有关的技术开发及服务。如运输、保险以及其它的伴随服务，例如安装、调试、提供技术援助、培训和合同中规定卖方应承担的其他义务。</w:t>
      </w:r>
    </w:p>
    <w:p>
      <w:pPr>
        <w:spacing w:line="360" w:lineRule="auto"/>
        <w:ind w:left="960" w:hanging="960" w:hangingChars="400"/>
        <w:rPr>
          <w:rFonts w:ascii="宋体" w:hAnsi="宋体" w:cs="宋体"/>
          <w:sz w:val="24"/>
          <w:highlight w:val="none"/>
        </w:rPr>
      </w:pPr>
      <w:r>
        <w:rPr>
          <w:rFonts w:hint="eastAsia" w:ascii="宋体" w:hAnsi="宋体" w:cs="宋体"/>
          <w:sz w:val="24"/>
          <w:highlight w:val="none"/>
        </w:rPr>
        <w:t xml:space="preserve">     5）“合同条款”系指本合同条款。</w:t>
      </w:r>
    </w:p>
    <w:p>
      <w:pPr>
        <w:spacing w:line="360" w:lineRule="auto"/>
        <w:ind w:left="960" w:hanging="960" w:hangingChars="400"/>
        <w:rPr>
          <w:rFonts w:ascii="宋体" w:hAnsi="宋体" w:cs="宋体"/>
          <w:sz w:val="24"/>
          <w:highlight w:val="none"/>
        </w:rPr>
      </w:pPr>
      <w:r>
        <w:rPr>
          <w:rFonts w:hint="eastAsia" w:ascii="宋体" w:hAnsi="宋体" w:cs="宋体"/>
          <w:sz w:val="24"/>
          <w:highlight w:val="none"/>
        </w:rPr>
        <w:t xml:space="preserve">     6）“买方”系指在合同专用条款中指明的购买货物和服务的单位。</w:t>
      </w:r>
    </w:p>
    <w:p>
      <w:pPr>
        <w:spacing w:line="360" w:lineRule="auto"/>
        <w:ind w:left="960" w:hanging="960" w:hangingChars="400"/>
        <w:rPr>
          <w:rFonts w:ascii="宋体" w:hAnsi="宋体" w:cs="宋体"/>
          <w:sz w:val="24"/>
          <w:highlight w:val="none"/>
        </w:rPr>
      </w:pPr>
      <w:r>
        <w:rPr>
          <w:rFonts w:hint="eastAsia" w:ascii="宋体" w:hAnsi="宋体" w:cs="宋体"/>
          <w:sz w:val="24"/>
          <w:highlight w:val="none"/>
        </w:rPr>
        <w:t xml:space="preserve">     7）“卖方”系指在合同专用条款中指明的提供合同项下货物和服务的公司或其他实体。</w:t>
      </w:r>
    </w:p>
    <w:p>
      <w:pPr>
        <w:spacing w:line="360" w:lineRule="auto"/>
        <w:ind w:left="960" w:hanging="960" w:hangingChars="400"/>
        <w:rPr>
          <w:rFonts w:ascii="宋体" w:hAnsi="宋体" w:cs="宋体"/>
          <w:sz w:val="24"/>
          <w:highlight w:val="none"/>
        </w:rPr>
      </w:pPr>
      <w:r>
        <w:rPr>
          <w:rFonts w:hint="eastAsia" w:ascii="宋体" w:hAnsi="宋体" w:cs="宋体"/>
          <w:sz w:val="24"/>
          <w:highlight w:val="none"/>
        </w:rPr>
        <w:t xml:space="preserve">     8）“项目现场”系指本合同项下本项目安装、运行的现场，其名称在合同专用条款中指明。      </w:t>
      </w:r>
    </w:p>
    <w:p>
      <w:pPr>
        <w:spacing w:line="360" w:lineRule="auto"/>
        <w:ind w:left="960" w:hanging="960" w:hangingChars="400"/>
        <w:rPr>
          <w:rFonts w:ascii="宋体" w:hAnsi="宋体" w:cs="宋体"/>
          <w:sz w:val="24"/>
          <w:highlight w:val="none"/>
        </w:rPr>
      </w:pPr>
      <w:r>
        <w:rPr>
          <w:rFonts w:hint="eastAsia" w:ascii="宋体" w:hAnsi="宋体" w:cs="宋体"/>
          <w:sz w:val="24"/>
          <w:highlight w:val="none"/>
        </w:rPr>
        <w:t xml:space="preserve">     9）“天”指日历天数。</w:t>
      </w:r>
    </w:p>
    <w:p>
      <w:pPr>
        <w:numPr>
          <w:ilvl w:val="0"/>
          <w:numId w:val="6"/>
        </w:numPr>
        <w:spacing w:line="360" w:lineRule="auto"/>
        <w:rPr>
          <w:rFonts w:ascii="宋体" w:hAnsi="宋体" w:cs="宋体"/>
          <w:b/>
          <w:bCs/>
          <w:sz w:val="24"/>
          <w:highlight w:val="none"/>
        </w:rPr>
      </w:pPr>
      <w:r>
        <w:rPr>
          <w:rFonts w:hint="eastAsia" w:ascii="宋体" w:hAnsi="宋体" w:cs="宋体"/>
          <w:b/>
          <w:bCs/>
          <w:sz w:val="24"/>
          <w:highlight w:val="none"/>
        </w:rPr>
        <w:t xml:space="preserve"> 适用性</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本合同条款适用于没有被本合同其他部分的条款所取代的范围。</w:t>
      </w:r>
    </w:p>
    <w:p>
      <w:pPr>
        <w:numPr>
          <w:ilvl w:val="0"/>
          <w:numId w:val="6"/>
        </w:numPr>
        <w:spacing w:line="360" w:lineRule="auto"/>
        <w:rPr>
          <w:rFonts w:ascii="宋体" w:hAnsi="宋体" w:cs="宋体"/>
          <w:b/>
          <w:bCs/>
          <w:sz w:val="24"/>
          <w:highlight w:val="none"/>
        </w:rPr>
      </w:pPr>
      <w:r>
        <w:rPr>
          <w:rFonts w:hint="eastAsia" w:ascii="宋体" w:hAnsi="宋体" w:cs="宋体"/>
          <w:b/>
          <w:bCs/>
          <w:sz w:val="24"/>
          <w:highlight w:val="none"/>
        </w:rPr>
        <w:t xml:space="preserve"> 标准</w:t>
      </w:r>
    </w:p>
    <w:p>
      <w:pPr>
        <w:spacing w:line="360" w:lineRule="auto"/>
        <w:ind w:firstLine="480" w:firstLineChars="200"/>
        <w:rPr>
          <w:rFonts w:ascii="宋体" w:hAnsi="宋体" w:cs="宋体"/>
          <w:b/>
          <w:bCs/>
          <w:sz w:val="24"/>
          <w:highlight w:val="none"/>
        </w:rPr>
      </w:pPr>
      <w:r>
        <w:rPr>
          <w:rFonts w:hint="eastAsia" w:ascii="宋体" w:hAnsi="宋体" w:cs="宋体"/>
          <w:sz w:val="24"/>
          <w:highlight w:val="none"/>
        </w:rPr>
        <w:t>3.1  本合同下交付的服务应符合“用户需求书（</w:t>
      </w:r>
      <w:r>
        <w:rPr>
          <w:rFonts w:hint="eastAsia" w:ascii="宋体" w:hAnsi="宋体" w:cs="宋体"/>
          <w:sz w:val="24"/>
          <w:highlight w:val="none"/>
          <w:lang w:eastAsia="zh-CN"/>
        </w:rPr>
        <w:t>采购内容及要求</w:t>
      </w:r>
      <w:r>
        <w:rPr>
          <w:rFonts w:hint="eastAsia" w:ascii="宋体" w:hAnsi="宋体" w:cs="宋体"/>
          <w:sz w:val="24"/>
          <w:highlight w:val="none"/>
        </w:rPr>
        <w:t>）”要求所述的标准。如果没有提及使用标准，则应符合中华人民共和国有关机构发布的最新版本的标准</w:t>
      </w:r>
      <w:r>
        <w:rPr>
          <w:rFonts w:hint="eastAsia" w:ascii="宋体" w:hAnsi="宋体" w:cs="宋体"/>
          <w:b/>
          <w:bCs/>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  除非技术规格中另有规定，计量单位均采用中华人民共和国法定计量单位。</w:t>
      </w:r>
    </w:p>
    <w:p>
      <w:pPr>
        <w:spacing w:line="360" w:lineRule="auto"/>
        <w:rPr>
          <w:rFonts w:ascii="宋体" w:hAnsi="宋体" w:cs="宋体"/>
          <w:b/>
          <w:bCs/>
          <w:sz w:val="24"/>
          <w:highlight w:val="none"/>
        </w:rPr>
      </w:pPr>
      <w:r>
        <w:rPr>
          <w:rFonts w:hint="eastAsia" w:ascii="宋体" w:hAnsi="宋体" w:cs="宋体"/>
          <w:b/>
          <w:bCs/>
          <w:sz w:val="24"/>
          <w:highlight w:val="none"/>
        </w:rPr>
        <w:t>4．使用合同文件和资料</w:t>
      </w:r>
    </w:p>
    <w:p>
      <w:pPr>
        <w:spacing w:line="360" w:lineRule="auto"/>
        <w:rPr>
          <w:rFonts w:ascii="宋体" w:hAnsi="宋体" w:cs="宋体"/>
          <w:sz w:val="24"/>
          <w:highlight w:val="none"/>
        </w:rPr>
      </w:pPr>
      <w:r>
        <w:rPr>
          <w:rFonts w:hint="eastAsia" w:ascii="宋体" w:hAnsi="宋体" w:cs="宋体"/>
          <w:b/>
          <w:bCs/>
          <w:sz w:val="24"/>
          <w:highlight w:val="none"/>
        </w:rPr>
        <w:t xml:space="preserve"> </w:t>
      </w:r>
      <w:r>
        <w:rPr>
          <w:rFonts w:hint="eastAsia" w:ascii="宋体" w:hAnsi="宋体" w:cs="宋体"/>
          <w:sz w:val="24"/>
          <w:highlight w:val="none"/>
        </w:rPr>
        <w:t xml:space="preserve">   4.1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left="360" w:hanging="360" w:hangingChars="150"/>
        <w:rPr>
          <w:rFonts w:ascii="宋体" w:hAnsi="宋体" w:cs="宋体"/>
          <w:sz w:val="24"/>
          <w:highlight w:val="none"/>
        </w:rPr>
      </w:pPr>
      <w:r>
        <w:rPr>
          <w:rFonts w:hint="eastAsia" w:ascii="宋体" w:hAnsi="宋体" w:cs="宋体"/>
          <w:sz w:val="24"/>
          <w:highlight w:val="none"/>
        </w:rPr>
        <w:t xml:space="preserve">    4.2除了履行本合同外，卖方不应使用合同条款4.1条所列举的任何文件和资料。</w:t>
      </w:r>
    </w:p>
    <w:p>
      <w:pPr>
        <w:spacing w:line="360" w:lineRule="auto"/>
        <w:rPr>
          <w:rFonts w:ascii="宋体" w:hAnsi="宋体" w:cs="宋体"/>
          <w:sz w:val="24"/>
          <w:highlight w:val="none"/>
        </w:rPr>
      </w:pPr>
      <w:r>
        <w:rPr>
          <w:rFonts w:hint="eastAsia" w:ascii="宋体" w:hAnsi="宋体" w:cs="宋体"/>
          <w:sz w:val="24"/>
          <w:highlight w:val="none"/>
        </w:rPr>
        <w:t xml:space="preserve">    4.3除了合同本身以外，合同条款第4.1条所列举的任何文件是买方的财产.如果买方有要求,卖方在完成合同后应将这些文件及全部复制件还给买方。</w:t>
      </w:r>
    </w:p>
    <w:p>
      <w:pPr>
        <w:spacing w:line="360" w:lineRule="auto"/>
        <w:rPr>
          <w:rFonts w:ascii="宋体" w:hAnsi="宋体" w:cs="宋体"/>
          <w:b/>
          <w:bCs/>
          <w:sz w:val="24"/>
          <w:highlight w:val="none"/>
        </w:rPr>
      </w:pPr>
      <w:r>
        <w:rPr>
          <w:rFonts w:hint="eastAsia" w:ascii="宋体" w:hAnsi="宋体" w:cs="宋体"/>
          <w:b/>
          <w:bCs/>
          <w:sz w:val="24"/>
          <w:highlight w:val="none"/>
        </w:rPr>
        <w:t>5．专利权</w:t>
      </w:r>
    </w:p>
    <w:p>
      <w:pPr>
        <w:spacing w:line="360" w:lineRule="auto"/>
        <w:rPr>
          <w:rFonts w:ascii="宋体" w:hAnsi="宋体" w:cs="宋体"/>
          <w:sz w:val="24"/>
          <w:highlight w:val="none"/>
        </w:rPr>
      </w:pPr>
      <w:r>
        <w:rPr>
          <w:rFonts w:hint="eastAsia" w:ascii="宋体" w:hAnsi="宋体" w:cs="宋体"/>
          <w:sz w:val="24"/>
          <w:highlight w:val="none"/>
        </w:rPr>
        <w:t xml:space="preserve">    卖方应保证，买方使用该货物或服务的任何一部分时，免受第三方提出的侵犯其专利权、商标权、著作权或其它知识产权的起诉。</w:t>
      </w:r>
    </w:p>
    <w:p>
      <w:pPr>
        <w:spacing w:line="360" w:lineRule="auto"/>
        <w:rPr>
          <w:rFonts w:ascii="宋体" w:hAnsi="宋体" w:cs="宋体"/>
          <w:b/>
          <w:bCs/>
          <w:sz w:val="24"/>
          <w:highlight w:val="none"/>
        </w:rPr>
      </w:pPr>
      <w:r>
        <w:rPr>
          <w:rFonts w:hint="eastAsia" w:ascii="宋体" w:hAnsi="宋体" w:cs="宋体"/>
          <w:b/>
          <w:bCs/>
          <w:sz w:val="24"/>
          <w:highlight w:val="none"/>
        </w:rPr>
        <w:t>6．服务</w:t>
      </w:r>
    </w:p>
    <w:p>
      <w:pPr>
        <w:spacing w:line="360" w:lineRule="auto"/>
        <w:rPr>
          <w:rFonts w:ascii="新宋体" w:hAnsi="新宋体" w:eastAsia="新宋体"/>
          <w:sz w:val="24"/>
          <w:highlight w:val="none"/>
        </w:rPr>
      </w:pPr>
      <w:r>
        <w:rPr>
          <w:rFonts w:hint="eastAsia" w:ascii="宋体" w:hAnsi="宋体" w:cs="宋体"/>
          <w:sz w:val="24"/>
          <w:highlight w:val="none"/>
        </w:rPr>
        <w:t xml:space="preserve">   </w:t>
      </w:r>
      <w:r>
        <w:rPr>
          <w:rFonts w:hint="eastAsia" w:ascii="新宋体" w:hAnsi="新宋体" w:eastAsia="新宋体"/>
          <w:sz w:val="24"/>
          <w:highlight w:val="none"/>
        </w:rPr>
        <w:t xml:space="preserve"> 卖方（中标人）必须负责系统集成，包括但不限于设计、安装、调试、培训、验收及售后服务。</w:t>
      </w:r>
    </w:p>
    <w:p>
      <w:pPr>
        <w:spacing w:line="360" w:lineRule="auto"/>
        <w:rPr>
          <w:rFonts w:ascii="宋体" w:hAnsi="宋体" w:cs="宋体"/>
          <w:b/>
          <w:bCs/>
          <w:sz w:val="24"/>
          <w:highlight w:val="none"/>
        </w:rPr>
      </w:pPr>
      <w:r>
        <w:rPr>
          <w:rFonts w:hint="eastAsia" w:ascii="宋体" w:hAnsi="宋体" w:cs="宋体"/>
          <w:b/>
          <w:bCs/>
          <w:sz w:val="24"/>
          <w:highlight w:val="none"/>
        </w:rPr>
        <w:t>7．伴随服务</w:t>
      </w:r>
    </w:p>
    <w:p>
      <w:pPr>
        <w:spacing w:line="360" w:lineRule="auto"/>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7</w:t>
      </w:r>
      <w:r>
        <w:rPr>
          <w:rFonts w:hint="eastAsia" w:ascii="宋体" w:hAnsi="宋体" w:cs="宋体"/>
          <w:sz w:val="24"/>
          <w:highlight w:val="none"/>
        </w:rPr>
        <w:t>.1卖方可能被要求提供下列货物和服务中的所有服务，包括“合同专用条款”与“</w:t>
      </w:r>
      <w:r>
        <w:rPr>
          <w:rFonts w:hint="eastAsia" w:ascii="宋体" w:hAnsi="宋体" w:cs="宋体"/>
          <w:sz w:val="24"/>
          <w:highlight w:val="none"/>
          <w:lang w:eastAsia="zh-CN"/>
        </w:rPr>
        <w:t>采购内容及要求</w:t>
      </w:r>
      <w:r>
        <w:rPr>
          <w:rFonts w:hint="eastAsia" w:ascii="宋体" w:hAnsi="宋体" w:cs="宋体"/>
          <w:sz w:val="24"/>
          <w:highlight w:val="none"/>
        </w:rPr>
        <w:t>”规定的附加服务：</w:t>
      </w:r>
    </w:p>
    <w:p>
      <w:pPr>
        <w:spacing w:line="360" w:lineRule="auto"/>
        <w:ind w:firstLine="465"/>
        <w:rPr>
          <w:rFonts w:ascii="宋体" w:hAnsi="宋体" w:cs="宋体"/>
          <w:sz w:val="24"/>
          <w:highlight w:val="none"/>
        </w:rPr>
      </w:pPr>
      <w:r>
        <w:rPr>
          <w:rFonts w:hint="eastAsia" w:ascii="宋体" w:hAnsi="宋体" w:cs="宋体"/>
          <w:sz w:val="24"/>
          <w:highlight w:val="none"/>
        </w:rPr>
        <w:t>（1）实施所供服务的系统集成和试运行；</w:t>
      </w:r>
    </w:p>
    <w:p>
      <w:pPr>
        <w:spacing w:line="360" w:lineRule="auto"/>
        <w:rPr>
          <w:rFonts w:ascii="宋体" w:hAnsi="宋体" w:cs="宋体"/>
          <w:sz w:val="24"/>
          <w:highlight w:val="none"/>
        </w:rPr>
      </w:pPr>
      <w:r>
        <w:rPr>
          <w:rFonts w:hint="eastAsia" w:ascii="宋体" w:hAnsi="宋体" w:cs="宋体"/>
          <w:sz w:val="24"/>
          <w:highlight w:val="none"/>
        </w:rPr>
        <w:t xml:space="preserve">    （2）提供货物组装和维修所需的工具；</w:t>
      </w:r>
    </w:p>
    <w:p>
      <w:pPr>
        <w:spacing w:line="360" w:lineRule="auto"/>
        <w:rPr>
          <w:rFonts w:ascii="宋体" w:hAnsi="宋体" w:cs="宋体"/>
          <w:sz w:val="24"/>
          <w:highlight w:val="none"/>
        </w:rPr>
      </w:pPr>
      <w:r>
        <w:rPr>
          <w:rFonts w:hint="eastAsia" w:ascii="宋体" w:hAnsi="宋体" w:cs="宋体"/>
          <w:sz w:val="24"/>
          <w:highlight w:val="none"/>
        </w:rPr>
        <w:t xml:space="preserve">    （3）为所供本项目提供详细的操作和维护手册；</w:t>
      </w:r>
    </w:p>
    <w:p>
      <w:pPr>
        <w:spacing w:line="360" w:lineRule="auto"/>
        <w:rPr>
          <w:rFonts w:ascii="宋体" w:hAnsi="宋体" w:cs="宋体"/>
          <w:sz w:val="24"/>
          <w:highlight w:val="none"/>
        </w:rPr>
      </w:pPr>
      <w:r>
        <w:rPr>
          <w:rFonts w:hint="eastAsia" w:ascii="宋体" w:hAnsi="宋体" w:cs="宋体"/>
          <w:sz w:val="24"/>
          <w:highlight w:val="none"/>
        </w:rPr>
        <w:t xml:space="preserve">    （4）在双方商定的一定期限内对本项目实施运行维护和修理，但前提条件是该服务并不能免除卖方在合同质量保证期内所承担的义务；</w:t>
      </w:r>
    </w:p>
    <w:p>
      <w:pPr>
        <w:spacing w:line="360" w:lineRule="auto"/>
        <w:ind w:firstLine="480"/>
        <w:rPr>
          <w:rFonts w:ascii="宋体" w:hAnsi="宋体" w:cs="宋体"/>
          <w:sz w:val="24"/>
          <w:highlight w:val="none"/>
        </w:rPr>
      </w:pPr>
      <w:r>
        <w:rPr>
          <w:rFonts w:hint="eastAsia" w:ascii="宋体" w:hAnsi="宋体" w:cs="宋体"/>
          <w:sz w:val="24"/>
          <w:highlight w:val="none"/>
        </w:rPr>
        <w:t>7.2卖方提供的上述伴随服务均应含在合同总价中，买方不再为其单独一项或数项另外支付费用。</w:t>
      </w:r>
    </w:p>
    <w:p>
      <w:pPr>
        <w:spacing w:line="360" w:lineRule="auto"/>
        <w:ind w:firstLine="480"/>
        <w:rPr>
          <w:rFonts w:ascii="宋体" w:hAnsi="宋体" w:cs="宋体"/>
          <w:sz w:val="24"/>
          <w:highlight w:val="none"/>
        </w:rPr>
      </w:pPr>
      <w:r>
        <w:rPr>
          <w:rFonts w:hint="eastAsia" w:ascii="宋体" w:hAnsi="宋体" w:cs="宋体"/>
          <w:sz w:val="24"/>
          <w:highlight w:val="none"/>
        </w:rPr>
        <w:t>7.3卖方应提供“合同专用条款”和“用户需求书（</w:t>
      </w:r>
      <w:r>
        <w:rPr>
          <w:rFonts w:hint="eastAsia" w:ascii="宋体" w:hAnsi="宋体" w:cs="宋体"/>
          <w:sz w:val="24"/>
          <w:highlight w:val="none"/>
          <w:lang w:eastAsia="zh-CN"/>
        </w:rPr>
        <w:t>采购内容及要求</w:t>
      </w:r>
      <w:r>
        <w:rPr>
          <w:rFonts w:hint="eastAsia" w:ascii="宋体" w:hAnsi="宋体" w:cs="宋体"/>
          <w:sz w:val="24"/>
          <w:highlight w:val="none"/>
        </w:rPr>
        <w:t>）”中规定的所有服务。为履行要求的伴随服务的报价或双方商定的费用应包括在合同价中。</w:t>
      </w:r>
    </w:p>
    <w:p>
      <w:pPr>
        <w:spacing w:line="360" w:lineRule="auto"/>
        <w:rPr>
          <w:rFonts w:ascii="宋体" w:hAnsi="宋体" w:cs="宋体"/>
          <w:b/>
          <w:bCs/>
          <w:sz w:val="24"/>
          <w:highlight w:val="none"/>
        </w:rPr>
      </w:pPr>
      <w:r>
        <w:rPr>
          <w:rFonts w:hint="eastAsia" w:ascii="宋体" w:hAnsi="宋体" w:cs="宋体"/>
          <w:b/>
          <w:bCs/>
          <w:sz w:val="24"/>
          <w:highlight w:val="none"/>
        </w:rPr>
        <w:t>8．保证</w:t>
      </w:r>
    </w:p>
    <w:p>
      <w:pPr>
        <w:spacing w:line="360" w:lineRule="auto"/>
        <w:ind w:firstLine="480"/>
        <w:rPr>
          <w:rFonts w:ascii="宋体" w:hAnsi="宋体" w:cs="宋体"/>
          <w:sz w:val="24"/>
          <w:highlight w:val="none"/>
        </w:rPr>
      </w:pPr>
      <w:r>
        <w:rPr>
          <w:rFonts w:hint="eastAsia" w:ascii="宋体" w:hAnsi="宋体" w:cs="宋体"/>
          <w:sz w:val="24"/>
          <w:highlight w:val="none"/>
        </w:rPr>
        <w:t>8.1在质量保证期内所发现的缺陷，买方应尽快以书面方式通知卖方。</w:t>
      </w:r>
    </w:p>
    <w:p>
      <w:pPr>
        <w:spacing w:line="360" w:lineRule="auto"/>
        <w:ind w:firstLine="480"/>
        <w:rPr>
          <w:rFonts w:ascii="宋体" w:hAnsi="宋体" w:cs="宋体"/>
          <w:sz w:val="24"/>
          <w:highlight w:val="none"/>
        </w:rPr>
      </w:pPr>
      <w:r>
        <w:rPr>
          <w:rFonts w:hint="eastAsia" w:ascii="宋体" w:hAnsi="宋体" w:cs="宋体"/>
          <w:sz w:val="24"/>
          <w:highlight w:val="none"/>
        </w:rPr>
        <w:t>8.2如果卖方收到通知后在合同规定的时间内没有以合理的速度弥补缺陷，买方可采取必要的补救措施，但其风险和费用将由卖方承担，买方根据合同规定对卖方行使的其他权力不受影响。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rPr>
          <w:rFonts w:hint="eastAsia" w:ascii="宋体" w:hAnsi="宋体" w:cs="宋体"/>
          <w:sz w:val="24"/>
          <w:highlight w:val="none"/>
        </w:rPr>
      </w:pPr>
      <w:r>
        <w:rPr>
          <w:rFonts w:hint="eastAsia" w:ascii="宋体" w:hAnsi="宋体" w:cs="宋体"/>
          <w:sz w:val="24"/>
          <w:highlight w:val="none"/>
        </w:rPr>
        <w:t>8.3卖方对故障或缺陷的处理结果应使买方满意。</w:t>
      </w:r>
    </w:p>
    <w:p>
      <w:pPr>
        <w:spacing w:line="360" w:lineRule="auto"/>
        <w:ind w:firstLine="480"/>
        <w:rPr>
          <w:rFonts w:hint="eastAsia" w:ascii="宋体" w:hAnsi="宋体" w:cs="宋体"/>
          <w:sz w:val="24"/>
          <w:highlight w:val="none"/>
        </w:rPr>
      </w:pPr>
      <w:r>
        <w:rPr>
          <w:rFonts w:hint="eastAsia" w:ascii="宋体" w:hAnsi="宋体" w:cs="宋体"/>
          <w:sz w:val="24"/>
          <w:highlight w:val="none"/>
        </w:rPr>
        <w:t>8.4交货期：</w:t>
      </w:r>
      <w:r>
        <w:rPr>
          <w:rFonts w:hint="eastAsia" w:ascii="宋体" w:hAnsi="宋体" w:cs="宋体"/>
          <w:sz w:val="24"/>
          <w:highlight w:val="none"/>
          <w:lang w:val="zh-CN" w:eastAsia="zh-CN"/>
        </w:rPr>
        <w:t>合同签订收到首付款20个工作日内</w:t>
      </w:r>
      <w:r>
        <w:rPr>
          <w:rFonts w:hint="eastAsia" w:ascii="宋体" w:hAnsi="宋体" w:cs="宋体"/>
          <w:sz w:val="24"/>
          <w:highlight w:val="none"/>
          <w:lang w:val="en-US" w:eastAsia="zh-CN"/>
        </w:rPr>
        <w:t>供货</w:t>
      </w:r>
      <w:r>
        <w:rPr>
          <w:rFonts w:hint="eastAsia" w:ascii="宋体" w:hAnsi="宋体" w:cs="宋体"/>
          <w:sz w:val="24"/>
          <w:highlight w:val="none"/>
        </w:rPr>
        <w:t>。</w:t>
      </w:r>
    </w:p>
    <w:p>
      <w:pPr>
        <w:spacing w:line="360" w:lineRule="auto"/>
        <w:rPr>
          <w:rFonts w:ascii="宋体" w:hAnsi="宋体" w:cs="宋体"/>
          <w:b/>
          <w:bCs/>
          <w:sz w:val="24"/>
          <w:highlight w:val="none"/>
        </w:rPr>
      </w:pPr>
      <w:r>
        <w:rPr>
          <w:rFonts w:hint="eastAsia" w:ascii="宋体" w:hAnsi="宋体" w:cs="宋体"/>
          <w:b/>
          <w:bCs/>
          <w:sz w:val="24"/>
          <w:highlight w:val="none"/>
        </w:rPr>
        <w:t xml:space="preserve">  9．索赔 </w:t>
      </w:r>
    </w:p>
    <w:p>
      <w:pPr>
        <w:spacing w:line="360" w:lineRule="auto"/>
        <w:ind w:firstLine="470" w:firstLineChars="196"/>
        <w:rPr>
          <w:rFonts w:ascii="宋体" w:hAnsi="宋体" w:cs="宋体"/>
          <w:sz w:val="24"/>
          <w:highlight w:val="none"/>
        </w:rPr>
      </w:pPr>
      <w:r>
        <w:rPr>
          <w:rFonts w:hint="eastAsia" w:ascii="宋体" w:hAnsi="宋体" w:cs="宋体"/>
          <w:sz w:val="24"/>
          <w:highlight w:val="none"/>
        </w:rPr>
        <w:t>9.1如果卖方对偏差负有责任，卖方应按照买方同意的下列一种或几种方式结合起来解决索赔事宜：</w:t>
      </w:r>
    </w:p>
    <w:p>
      <w:pPr>
        <w:spacing w:line="360" w:lineRule="auto"/>
        <w:ind w:firstLine="480"/>
        <w:rPr>
          <w:rFonts w:ascii="宋体" w:hAnsi="宋体" w:cs="宋体"/>
          <w:sz w:val="24"/>
          <w:highlight w:val="none"/>
        </w:rPr>
      </w:pPr>
      <w:r>
        <w:rPr>
          <w:rFonts w:hint="eastAsia" w:ascii="宋体" w:hAnsi="宋体" w:cs="宋体"/>
          <w:sz w:val="24"/>
          <w:highlight w:val="none"/>
        </w:rPr>
        <w:t>（1）卖方同意退货并用合同规定的货币将货款退还给买方，并承担由此发生的一切损失和费用，包括利息、银行手续费、运费、保险费、检验费、仓储费、装卸费以及为看管和保护退回产品所需的其它必要费用。</w:t>
      </w:r>
    </w:p>
    <w:p>
      <w:pPr>
        <w:spacing w:line="360" w:lineRule="auto"/>
        <w:ind w:firstLine="480"/>
        <w:rPr>
          <w:rFonts w:ascii="宋体" w:hAnsi="宋体" w:cs="宋体"/>
          <w:sz w:val="24"/>
          <w:highlight w:val="none"/>
        </w:rPr>
      </w:pPr>
      <w:r>
        <w:rPr>
          <w:rFonts w:hint="eastAsia" w:ascii="宋体" w:hAnsi="宋体" w:cs="宋体"/>
          <w:sz w:val="24"/>
          <w:highlight w:val="none"/>
        </w:rPr>
        <w:t>（2）根据产品的偏差情况、损坏程度、以及买方所遭受损失的金额，经买卖双方商定降低产品的价格。</w:t>
      </w:r>
    </w:p>
    <w:p>
      <w:pPr>
        <w:spacing w:line="360" w:lineRule="auto"/>
        <w:ind w:firstLine="480"/>
        <w:rPr>
          <w:rFonts w:ascii="宋体" w:hAnsi="宋体" w:cs="宋体"/>
          <w:sz w:val="24"/>
          <w:highlight w:val="none"/>
        </w:rPr>
      </w:pPr>
      <w:r>
        <w:rPr>
          <w:rFonts w:hint="eastAsia" w:ascii="宋体" w:hAnsi="宋体" w:cs="宋体"/>
          <w:sz w:val="24"/>
          <w:highlight w:val="none"/>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pPr>
        <w:spacing w:line="360" w:lineRule="auto"/>
        <w:ind w:firstLine="480"/>
        <w:rPr>
          <w:rFonts w:ascii="宋体" w:hAnsi="宋体" w:cs="宋体"/>
          <w:sz w:val="24"/>
          <w:highlight w:val="none"/>
        </w:rPr>
      </w:pPr>
      <w:r>
        <w:rPr>
          <w:rFonts w:hint="eastAsia" w:ascii="宋体" w:hAnsi="宋体" w:cs="宋体"/>
          <w:sz w:val="24"/>
          <w:highlight w:val="none"/>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或从卖方开具的质量保证金中扣回索赔金额。</w:t>
      </w:r>
    </w:p>
    <w:p>
      <w:pPr>
        <w:spacing w:line="360" w:lineRule="auto"/>
        <w:rPr>
          <w:rFonts w:ascii="宋体" w:hAnsi="宋体" w:cs="宋体"/>
          <w:b/>
          <w:bCs/>
          <w:sz w:val="24"/>
          <w:highlight w:val="none"/>
        </w:rPr>
      </w:pPr>
      <w:r>
        <w:rPr>
          <w:rFonts w:hint="eastAsia" w:ascii="宋体" w:hAnsi="宋体" w:cs="宋体"/>
          <w:b/>
          <w:bCs/>
          <w:sz w:val="24"/>
          <w:highlight w:val="none"/>
        </w:rPr>
        <w:t>10．付款</w:t>
      </w:r>
    </w:p>
    <w:p>
      <w:pPr>
        <w:spacing w:line="360" w:lineRule="auto"/>
        <w:ind w:firstLine="480"/>
        <w:rPr>
          <w:rFonts w:ascii="宋体" w:hAnsi="宋体" w:cs="宋体"/>
          <w:sz w:val="24"/>
          <w:highlight w:val="none"/>
        </w:rPr>
      </w:pPr>
      <w:r>
        <w:rPr>
          <w:rFonts w:hint="eastAsia" w:ascii="宋体" w:hAnsi="宋体" w:cs="宋体"/>
          <w:sz w:val="24"/>
          <w:highlight w:val="none"/>
        </w:rPr>
        <w:t>本合同项下的付款方法和条件在“合同专用条款”中有规定。</w:t>
      </w:r>
    </w:p>
    <w:p>
      <w:pPr>
        <w:spacing w:line="360" w:lineRule="auto"/>
        <w:rPr>
          <w:rFonts w:ascii="宋体" w:hAnsi="宋体" w:cs="宋体"/>
          <w:b/>
          <w:bCs/>
          <w:sz w:val="24"/>
          <w:highlight w:val="none"/>
        </w:rPr>
      </w:pPr>
      <w:r>
        <w:rPr>
          <w:rFonts w:hint="eastAsia" w:ascii="宋体" w:hAnsi="宋体" w:cs="宋体"/>
          <w:b/>
          <w:bCs/>
          <w:sz w:val="24"/>
          <w:highlight w:val="none"/>
        </w:rPr>
        <w:t>11．价格</w:t>
      </w:r>
    </w:p>
    <w:p>
      <w:pPr>
        <w:spacing w:line="360" w:lineRule="auto"/>
        <w:ind w:firstLine="480"/>
        <w:rPr>
          <w:rFonts w:ascii="宋体" w:hAnsi="宋体" w:cs="宋体"/>
          <w:sz w:val="24"/>
          <w:highlight w:val="none"/>
        </w:rPr>
      </w:pPr>
      <w:r>
        <w:rPr>
          <w:rFonts w:hint="eastAsia" w:ascii="宋体" w:hAnsi="宋体" w:cs="宋体"/>
          <w:sz w:val="24"/>
          <w:highlight w:val="none"/>
        </w:rPr>
        <w:t>卖方在本合同项下提交产品和履行服务的价格在合同中给出。</w:t>
      </w:r>
    </w:p>
    <w:p>
      <w:pPr>
        <w:spacing w:line="360" w:lineRule="auto"/>
        <w:rPr>
          <w:rFonts w:ascii="宋体" w:hAnsi="宋体" w:cs="宋体"/>
          <w:b/>
          <w:bCs/>
          <w:sz w:val="24"/>
          <w:highlight w:val="none"/>
        </w:rPr>
      </w:pPr>
      <w:r>
        <w:rPr>
          <w:rFonts w:hint="eastAsia" w:ascii="宋体" w:hAnsi="宋体" w:cs="宋体"/>
          <w:b/>
          <w:bCs/>
          <w:sz w:val="24"/>
          <w:highlight w:val="none"/>
        </w:rPr>
        <w:t>12．变更指令</w:t>
      </w:r>
    </w:p>
    <w:p>
      <w:pPr>
        <w:spacing w:line="360" w:lineRule="auto"/>
        <w:ind w:firstLine="480"/>
        <w:rPr>
          <w:rFonts w:ascii="宋体" w:hAnsi="宋体" w:cs="宋体"/>
          <w:sz w:val="24"/>
          <w:highlight w:val="none"/>
        </w:rPr>
      </w:pPr>
      <w:r>
        <w:rPr>
          <w:rFonts w:hint="eastAsia" w:ascii="宋体" w:hAnsi="宋体" w:cs="宋体"/>
          <w:sz w:val="24"/>
          <w:highlight w:val="none"/>
        </w:rPr>
        <w:t>12.1买方可以在任何时候书面向卖方发出指令，在本合同的一般范围内变更下述一项或几项：</w:t>
      </w:r>
    </w:p>
    <w:p>
      <w:pPr>
        <w:spacing w:line="360" w:lineRule="auto"/>
        <w:ind w:firstLine="480"/>
        <w:rPr>
          <w:rFonts w:ascii="宋体" w:hAnsi="宋体" w:cs="宋体"/>
          <w:sz w:val="24"/>
          <w:highlight w:val="none"/>
        </w:rPr>
      </w:pPr>
      <w:r>
        <w:rPr>
          <w:rFonts w:hint="eastAsia" w:ascii="宋体" w:hAnsi="宋体" w:cs="宋体"/>
          <w:sz w:val="24"/>
          <w:highlight w:val="none"/>
        </w:rPr>
        <w:t xml:space="preserve"> （1）本合同项下提供的产品是专为买方制造时，变更图纸、设计或规格；</w:t>
      </w:r>
    </w:p>
    <w:p>
      <w:pPr>
        <w:spacing w:line="360" w:lineRule="auto"/>
        <w:ind w:firstLine="480"/>
        <w:rPr>
          <w:rFonts w:ascii="宋体" w:hAnsi="宋体" w:cs="宋体"/>
          <w:sz w:val="24"/>
          <w:highlight w:val="none"/>
        </w:rPr>
      </w:pPr>
      <w:r>
        <w:rPr>
          <w:rFonts w:hint="eastAsia" w:ascii="宋体" w:hAnsi="宋体" w:cs="宋体"/>
          <w:sz w:val="24"/>
          <w:highlight w:val="none"/>
        </w:rPr>
        <w:t xml:space="preserve"> （2）运输或包装的方法；</w:t>
      </w:r>
    </w:p>
    <w:p>
      <w:pPr>
        <w:spacing w:line="360" w:lineRule="auto"/>
        <w:ind w:firstLine="480"/>
        <w:rPr>
          <w:rFonts w:ascii="宋体" w:hAnsi="宋体" w:cs="宋体"/>
          <w:sz w:val="24"/>
          <w:highlight w:val="none"/>
        </w:rPr>
      </w:pPr>
      <w:r>
        <w:rPr>
          <w:rFonts w:hint="eastAsia" w:ascii="宋体" w:hAnsi="宋体" w:cs="宋体"/>
          <w:sz w:val="24"/>
          <w:highlight w:val="none"/>
        </w:rPr>
        <w:t xml:space="preserve"> （3）交货地点；</w:t>
      </w:r>
    </w:p>
    <w:p>
      <w:pPr>
        <w:spacing w:line="360" w:lineRule="auto"/>
        <w:ind w:firstLine="480"/>
        <w:rPr>
          <w:rFonts w:ascii="宋体" w:hAnsi="宋体" w:cs="宋体"/>
          <w:sz w:val="24"/>
          <w:highlight w:val="none"/>
        </w:rPr>
      </w:pPr>
      <w:r>
        <w:rPr>
          <w:rFonts w:hint="eastAsia" w:ascii="宋体" w:hAnsi="宋体" w:cs="宋体"/>
          <w:sz w:val="24"/>
          <w:highlight w:val="none"/>
        </w:rPr>
        <w:t xml:space="preserve"> （4）卖方提供的服务。</w:t>
      </w:r>
    </w:p>
    <w:p>
      <w:pPr>
        <w:spacing w:line="360" w:lineRule="auto"/>
        <w:ind w:firstLine="480"/>
        <w:rPr>
          <w:rFonts w:ascii="宋体" w:hAnsi="宋体" w:cs="宋体"/>
          <w:sz w:val="24"/>
          <w:highlight w:val="none"/>
        </w:rPr>
      </w:pPr>
      <w:r>
        <w:rPr>
          <w:rFonts w:hint="eastAsia" w:ascii="宋体" w:hAnsi="宋体" w:cs="宋体"/>
          <w:sz w:val="24"/>
          <w:highlight w:val="none"/>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rPr>
          <w:rFonts w:ascii="宋体" w:hAnsi="宋体" w:cs="宋体"/>
          <w:b/>
          <w:bCs/>
          <w:sz w:val="24"/>
          <w:highlight w:val="none"/>
        </w:rPr>
      </w:pPr>
      <w:r>
        <w:rPr>
          <w:rFonts w:hint="eastAsia" w:ascii="宋体" w:hAnsi="宋体" w:cs="宋体"/>
          <w:b/>
          <w:bCs/>
          <w:sz w:val="24"/>
          <w:highlight w:val="none"/>
        </w:rPr>
        <w:t>13．合同修改</w:t>
      </w:r>
    </w:p>
    <w:p>
      <w:pPr>
        <w:spacing w:line="360" w:lineRule="auto"/>
        <w:ind w:firstLine="480"/>
        <w:rPr>
          <w:rFonts w:ascii="宋体" w:hAnsi="宋体" w:cs="宋体"/>
          <w:sz w:val="24"/>
          <w:highlight w:val="none"/>
        </w:rPr>
      </w:pPr>
      <w:r>
        <w:rPr>
          <w:rFonts w:hint="eastAsia" w:ascii="宋体" w:hAnsi="宋体" w:cs="宋体"/>
          <w:sz w:val="24"/>
          <w:highlight w:val="none"/>
        </w:rPr>
        <w:t>除了合同条款第12条的情况，不应对合同条款进行任何变更或修改，除非双方同意并签订书面的合同修改书。</w:t>
      </w:r>
    </w:p>
    <w:p>
      <w:pPr>
        <w:spacing w:line="360" w:lineRule="auto"/>
        <w:rPr>
          <w:rFonts w:ascii="宋体" w:hAnsi="宋体" w:cs="宋体"/>
          <w:b/>
          <w:bCs/>
          <w:sz w:val="24"/>
          <w:highlight w:val="none"/>
        </w:rPr>
      </w:pPr>
      <w:r>
        <w:rPr>
          <w:rFonts w:hint="eastAsia" w:ascii="宋体" w:hAnsi="宋体" w:cs="宋体"/>
          <w:b/>
          <w:bCs/>
          <w:sz w:val="24"/>
          <w:highlight w:val="none"/>
        </w:rPr>
        <w:t>14．转让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未经买方事先书面同意，卖方不得部分转让或全部转让其应履行的合同义务。</w:t>
      </w:r>
    </w:p>
    <w:p>
      <w:pPr>
        <w:spacing w:line="360" w:lineRule="auto"/>
        <w:rPr>
          <w:rFonts w:ascii="宋体" w:hAnsi="宋体" w:cs="宋体"/>
          <w:b/>
          <w:bCs/>
          <w:sz w:val="24"/>
          <w:highlight w:val="none"/>
        </w:rPr>
      </w:pPr>
      <w:r>
        <w:rPr>
          <w:rFonts w:hint="eastAsia" w:ascii="宋体" w:hAnsi="宋体" w:cs="宋体"/>
          <w:b/>
          <w:bCs/>
          <w:sz w:val="24"/>
          <w:highlight w:val="none"/>
        </w:rPr>
        <w:t>15．分包</w:t>
      </w:r>
    </w:p>
    <w:p>
      <w:pPr>
        <w:spacing w:line="360" w:lineRule="auto"/>
        <w:ind w:firstLine="480"/>
        <w:rPr>
          <w:rFonts w:ascii="宋体" w:hAnsi="宋体" w:cs="宋体"/>
          <w:sz w:val="24"/>
          <w:highlight w:val="none"/>
        </w:rPr>
      </w:pPr>
      <w:r>
        <w:rPr>
          <w:rFonts w:hint="eastAsia" w:ascii="宋体" w:hAnsi="宋体" w:cs="宋体"/>
          <w:sz w:val="24"/>
          <w:highlight w:val="none"/>
        </w:rPr>
        <w:t>对招标文件中没有明确分包的内容，卖方在未取得买方书面同意的通知，不得擅自进行分包，但分包通知并不能解除卖方履行本合同的任何责任和义务。</w:t>
      </w:r>
    </w:p>
    <w:p>
      <w:pPr>
        <w:spacing w:line="360" w:lineRule="auto"/>
        <w:rPr>
          <w:rFonts w:ascii="宋体" w:hAnsi="宋体" w:cs="宋体"/>
          <w:b/>
          <w:bCs/>
          <w:sz w:val="24"/>
          <w:highlight w:val="none"/>
        </w:rPr>
      </w:pPr>
      <w:r>
        <w:rPr>
          <w:rFonts w:hint="eastAsia" w:ascii="宋体" w:hAnsi="宋体" w:cs="宋体"/>
          <w:b/>
          <w:bCs/>
          <w:sz w:val="24"/>
          <w:highlight w:val="none"/>
        </w:rPr>
        <w:t>16．卖方履约延误</w:t>
      </w:r>
    </w:p>
    <w:p>
      <w:pPr>
        <w:spacing w:line="360" w:lineRule="auto"/>
        <w:ind w:firstLine="480"/>
        <w:rPr>
          <w:rFonts w:ascii="宋体" w:hAnsi="宋体" w:cs="宋体"/>
          <w:sz w:val="24"/>
          <w:highlight w:val="none"/>
        </w:rPr>
      </w:pPr>
      <w:r>
        <w:rPr>
          <w:rFonts w:hint="eastAsia" w:ascii="宋体" w:hAnsi="宋体" w:cs="宋体"/>
          <w:sz w:val="24"/>
          <w:highlight w:val="none"/>
        </w:rPr>
        <w:t>17.1卖方应按照招标文件中规定的时间交货和提供服务。</w:t>
      </w:r>
    </w:p>
    <w:p>
      <w:pPr>
        <w:spacing w:line="360" w:lineRule="auto"/>
        <w:ind w:firstLine="480"/>
        <w:rPr>
          <w:rFonts w:ascii="宋体" w:hAnsi="宋体" w:cs="宋体"/>
          <w:sz w:val="24"/>
          <w:highlight w:val="none"/>
        </w:rPr>
      </w:pPr>
      <w:r>
        <w:rPr>
          <w:rFonts w:hint="eastAsia" w:ascii="宋体" w:hAnsi="宋体" w:cs="宋体"/>
          <w:sz w:val="24"/>
          <w:highlight w:val="none"/>
        </w:rPr>
        <w:t>17.2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360" w:lineRule="auto"/>
        <w:ind w:firstLine="480"/>
        <w:rPr>
          <w:rFonts w:ascii="宋体" w:hAnsi="宋体" w:cs="宋体"/>
          <w:sz w:val="24"/>
          <w:highlight w:val="none"/>
        </w:rPr>
      </w:pPr>
      <w:r>
        <w:rPr>
          <w:rFonts w:hint="eastAsia" w:ascii="宋体" w:hAnsi="宋体" w:cs="宋体"/>
          <w:sz w:val="24"/>
          <w:highlight w:val="none"/>
        </w:rPr>
        <w:t>17.3除了合同条款第19条的情况外， 卖方完工延误，将按合同条款第19条的规定被收取误期赔偿费。</w:t>
      </w:r>
    </w:p>
    <w:p>
      <w:pPr>
        <w:spacing w:line="360" w:lineRule="auto"/>
        <w:rPr>
          <w:rFonts w:ascii="宋体" w:hAnsi="宋体" w:cs="宋体"/>
          <w:b/>
          <w:bCs/>
          <w:sz w:val="24"/>
          <w:highlight w:val="none"/>
        </w:rPr>
      </w:pPr>
      <w:r>
        <w:rPr>
          <w:rFonts w:hint="eastAsia" w:ascii="宋体" w:hAnsi="宋体" w:cs="宋体"/>
          <w:b/>
          <w:bCs/>
          <w:sz w:val="24"/>
          <w:highlight w:val="none"/>
        </w:rPr>
        <w:t>17．误期赔偿费</w:t>
      </w:r>
    </w:p>
    <w:p>
      <w:pPr>
        <w:spacing w:line="360" w:lineRule="auto"/>
        <w:ind w:firstLine="480"/>
        <w:rPr>
          <w:rFonts w:ascii="宋体" w:hAnsi="宋体" w:cs="宋体"/>
          <w:sz w:val="24"/>
          <w:highlight w:val="none"/>
        </w:rPr>
      </w:pPr>
      <w:r>
        <w:rPr>
          <w:rFonts w:hint="eastAsia" w:ascii="宋体" w:hAnsi="宋体" w:cs="宋体"/>
          <w:sz w:val="24"/>
          <w:highlight w:val="none"/>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pPr>
        <w:spacing w:line="360" w:lineRule="auto"/>
        <w:rPr>
          <w:rFonts w:ascii="宋体" w:hAnsi="宋体" w:cs="宋体"/>
          <w:b/>
          <w:bCs/>
          <w:sz w:val="24"/>
          <w:highlight w:val="none"/>
        </w:rPr>
      </w:pPr>
      <w:r>
        <w:rPr>
          <w:rFonts w:hint="eastAsia" w:ascii="宋体" w:hAnsi="宋体" w:cs="宋体"/>
          <w:b/>
          <w:bCs/>
          <w:sz w:val="24"/>
          <w:highlight w:val="none"/>
        </w:rPr>
        <w:t>18．违约终止合同</w:t>
      </w:r>
    </w:p>
    <w:p>
      <w:pPr>
        <w:spacing w:line="360" w:lineRule="auto"/>
        <w:ind w:firstLine="480"/>
        <w:rPr>
          <w:rFonts w:ascii="宋体" w:hAnsi="宋体" w:cs="宋体"/>
          <w:sz w:val="24"/>
          <w:highlight w:val="none"/>
        </w:rPr>
      </w:pPr>
      <w:r>
        <w:rPr>
          <w:rFonts w:hint="eastAsia" w:ascii="宋体" w:hAnsi="宋体" w:cs="宋体"/>
          <w:sz w:val="24"/>
          <w:highlight w:val="none"/>
        </w:rPr>
        <w:t>18.1在买方对卖方违约而采取的任何补救措施不受影响的情况下，买方可向卖方发出书面违约通知书，提出终止部分或全部合同：</w:t>
      </w:r>
    </w:p>
    <w:p>
      <w:pPr>
        <w:spacing w:line="360" w:lineRule="auto"/>
        <w:ind w:firstLine="480"/>
        <w:rPr>
          <w:rFonts w:ascii="宋体" w:hAnsi="宋体" w:cs="宋体"/>
          <w:sz w:val="24"/>
          <w:highlight w:val="none"/>
        </w:rPr>
      </w:pPr>
      <w:r>
        <w:rPr>
          <w:rFonts w:hint="eastAsia" w:ascii="宋体" w:hAnsi="宋体" w:cs="宋体"/>
          <w:sz w:val="24"/>
          <w:highlight w:val="none"/>
        </w:rPr>
        <w:t>（1）如果卖方未能在合同规定的期限内或买方根据合同条款规定同总延长的期限内完成部分或全部工程。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（2）如果卖方未能履行合同规定的其它任何义务。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（3）如果买方认为卖方在本合同的竞争和实施过程中有腐败和欺诈行为。为此目的，定义下述条件。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（a)“腐败行为”是指提供、给予、接受或索取任何有价值的物品来影响买方在采购过程或合同实施过程中的行为。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（b)“欺诈行为”是指为了影响采购过程或合同实施过程而谎报或隐瞒事实，损害买方利益的行为。</w:t>
      </w:r>
    </w:p>
    <w:p>
      <w:pPr>
        <w:spacing w:line="360" w:lineRule="auto"/>
        <w:rPr>
          <w:rFonts w:ascii="宋体" w:hAnsi="宋体" w:cs="宋体"/>
          <w:sz w:val="24"/>
          <w:highlight w:val="none"/>
        </w:rPr>
      </w:pPr>
      <w:r>
        <w:rPr>
          <w:rFonts w:hint="eastAsia" w:ascii="宋体" w:hAnsi="宋体" w:cs="宋体"/>
          <w:sz w:val="24"/>
          <w:highlight w:val="none"/>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pPr>
        <w:spacing w:line="360" w:lineRule="auto"/>
        <w:rPr>
          <w:rFonts w:ascii="宋体" w:hAnsi="宋体" w:cs="宋体"/>
          <w:b/>
          <w:bCs/>
          <w:sz w:val="24"/>
          <w:highlight w:val="none"/>
        </w:rPr>
      </w:pPr>
      <w:r>
        <w:rPr>
          <w:rFonts w:hint="eastAsia" w:ascii="宋体" w:hAnsi="宋体" w:cs="宋体"/>
          <w:b/>
          <w:bCs/>
          <w:sz w:val="24"/>
          <w:highlight w:val="none"/>
        </w:rPr>
        <w:t>19．不可抗力</w:t>
      </w:r>
    </w:p>
    <w:p>
      <w:pPr>
        <w:spacing w:line="360" w:lineRule="auto"/>
        <w:ind w:firstLine="480"/>
        <w:rPr>
          <w:rFonts w:ascii="宋体" w:hAnsi="宋体" w:cs="宋体"/>
          <w:sz w:val="24"/>
          <w:highlight w:val="none"/>
        </w:rPr>
      </w:pPr>
      <w:r>
        <w:rPr>
          <w:rFonts w:hint="eastAsia" w:ascii="宋体" w:hAnsi="宋体" w:cs="宋体"/>
          <w:sz w:val="24"/>
          <w:highlight w:val="none"/>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rPr>
          <w:rFonts w:ascii="宋体" w:hAnsi="宋体" w:cs="宋体"/>
          <w:sz w:val="24"/>
          <w:highlight w:val="none"/>
        </w:rPr>
      </w:pPr>
      <w:r>
        <w:rPr>
          <w:rFonts w:hint="eastAsia" w:ascii="宋体" w:hAnsi="宋体" w:cs="宋体"/>
          <w:sz w:val="24"/>
          <w:highlight w:val="none"/>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rPr>
          <w:rFonts w:ascii="宋体" w:hAnsi="宋体" w:cs="宋体"/>
          <w:sz w:val="24"/>
          <w:highlight w:val="none"/>
        </w:rPr>
      </w:pPr>
      <w:r>
        <w:rPr>
          <w:rFonts w:hint="eastAsia" w:ascii="宋体" w:hAnsi="宋体" w:cs="宋体"/>
          <w:sz w:val="24"/>
          <w:highlight w:val="none"/>
        </w:rPr>
        <w:t>19.3因合同一方迟延履行合同后发生不可抗力的，不能免除迟延履行方的相应责任。</w:t>
      </w:r>
    </w:p>
    <w:p>
      <w:pPr>
        <w:spacing w:line="360" w:lineRule="auto"/>
        <w:rPr>
          <w:rFonts w:ascii="宋体" w:hAnsi="宋体" w:cs="宋体"/>
          <w:b/>
          <w:bCs/>
          <w:sz w:val="24"/>
          <w:highlight w:val="none"/>
        </w:rPr>
      </w:pPr>
      <w:r>
        <w:rPr>
          <w:rFonts w:hint="eastAsia" w:ascii="宋体" w:hAnsi="宋体" w:cs="宋体"/>
          <w:b/>
          <w:bCs/>
          <w:sz w:val="24"/>
          <w:highlight w:val="none"/>
        </w:rPr>
        <w:t>20．因破产而终止合同</w:t>
      </w:r>
    </w:p>
    <w:p>
      <w:pPr>
        <w:spacing w:line="360" w:lineRule="auto"/>
        <w:ind w:firstLine="480"/>
        <w:rPr>
          <w:rFonts w:ascii="宋体" w:hAnsi="宋体" w:cs="宋体"/>
          <w:sz w:val="24"/>
          <w:highlight w:val="none"/>
        </w:rPr>
      </w:pPr>
      <w:r>
        <w:rPr>
          <w:rFonts w:hint="eastAsia" w:ascii="宋体" w:hAnsi="宋体" w:cs="宋体"/>
          <w:sz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rPr>
          <w:rFonts w:ascii="宋体" w:hAnsi="宋体" w:cs="宋体"/>
          <w:b/>
          <w:bCs/>
          <w:sz w:val="24"/>
          <w:highlight w:val="none"/>
        </w:rPr>
      </w:pPr>
      <w:r>
        <w:rPr>
          <w:rFonts w:hint="eastAsia" w:ascii="宋体" w:hAnsi="宋体" w:cs="宋体"/>
          <w:b/>
          <w:bCs/>
          <w:sz w:val="24"/>
          <w:highlight w:val="none"/>
        </w:rPr>
        <w:t>21．因买方的便利而终止合同</w:t>
      </w:r>
    </w:p>
    <w:p>
      <w:pPr>
        <w:spacing w:line="360" w:lineRule="auto"/>
        <w:ind w:firstLine="480"/>
        <w:rPr>
          <w:rFonts w:ascii="宋体" w:hAnsi="宋体" w:cs="宋体"/>
          <w:sz w:val="24"/>
          <w:highlight w:val="none"/>
        </w:rPr>
      </w:pPr>
      <w:r>
        <w:rPr>
          <w:rFonts w:hint="eastAsia" w:ascii="宋体" w:hAnsi="宋体" w:cs="宋体"/>
          <w:sz w:val="24"/>
          <w:highlight w:val="none"/>
        </w:rPr>
        <w:t>21.1买方可在任何时候出于自身的便利向卖方发出书面通知全部或部分终止合同，终止通知应明确该终止合同是出于买方的便利，并明确合同终止的程度，以及终止的生效日期。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rPr>
          <w:rFonts w:ascii="宋体" w:hAnsi="宋体" w:cs="宋体"/>
          <w:sz w:val="24"/>
          <w:highlight w:val="none"/>
        </w:rPr>
      </w:pPr>
      <w:r>
        <w:rPr>
          <w:rFonts w:hint="eastAsia" w:ascii="宋体" w:hAnsi="宋体" w:cs="宋体"/>
          <w:sz w:val="24"/>
          <w:highlight w:val="none"/>
        </w:rPr>
        <w:t>21.2对卖方收到终止通知后十五（15）天内已完成并准备装运的货物，买方应按原合同价格和条款予以接收，对于剩下的货物，买方可：</w:t>
      </w:r>
    </w:p>
    <w:p>
      <w:pPr>
        <w:spacing w:line="360" w:lineRule="auto"/>
        <w:ind w:firstLine="480"/>
        <w:rPr>
          <w:rFonts w:ascii="宋体" w:hAnsi="宋体" w:cs="宋体"/>
          <w:sz w:val="24"/>
          <w:highlight w:val="none"/>
        </w:rPr>
      </w:pPr>
      <w:r>
        <w:rPr>
          <w:rFonts w:hint="eastAsia" w:ascii="宋体" w:hAnsi="宋体" w:cs="宋体"/>
          <w:sz w:val="24"/>
          <w:highlight w:val="none"/>
        </w:rPr>
        <w:t xml:space="preserve">  （1）仅对部分货物按照原来的合同价格和条款予以接受。</w:t>
      </w:r>
    </w:p>
    <w:p>
      <w:pPr>
        <w:spacing w:line="360" w:lineRule="auto"/>
        <w:ind w:firstLine="720" w:firstLineChars="300"/>
        <w:rPr>
          <w:rFonts w:ascii="宋体" w:hAnsi="宋体" w:cs="宋体"/>
          <w:sz w:val="24"/>
          <w:highlight w:val="none"/>
        </w:rPr>
      </w:pPr>
      <w:r>
        <w:rPr>
          <w:rFonts w:hint="eastAsia" w:ascii="宋体" w:hAnsi="宋体" w:cs="宋体"/>
          <w:sz w:val="24"/>
          <w:highlight w:val="none"/>
        </w:rPr>
        <w:t>（2）取消对所剩货物的采购，并按双方商定的金额向卖方支付部分完成的货物和服务以及卖方以前已采购的材料和部件的费用。</w:t>
      </w:r>
    </w:p>
    <w:p>
      <w:pPr>
        <w:spacing w:line="360" w:lineRule="auto"/>
        <w:rPr>
          <w:rFonts w:ascii="宋体" w:hAnsi="宋体" w:cs="宋体"/>
          <w:b/>
          <w:bCs/>
          <w:sz w:val="24"/>
          <w:highlight w:val="none"/>
        </w:rPr>
      </w:pPr>
      <w:r>
        <w:rPr>
          <w:rFonts w:hint="eastAsia" w:ascii="宋体" w:hAnsi="宋体" w:cs="宋体"/>
          <w:b/>
          <w:bCs/>
          <w:sz w:val="24"/>
          <w:highlight w:val="none"/>
        </w:rPr>
        <w:t>22．争议的解决</w:t>
      </w:r>
    </w:p>
    <w:p>
      <w:pPr>
        <w:spacing w:line="360" w:lineRule="auto"/>
        <w:ind w:firstLine="480"/>
        <w:rPr>
          <w:rFonts w:ascii="宋体" w:hAnsi="宋体" w:cs="宋体"/>
          <w:sz w:val="24"/>
          <w:highlight w:val="none"/>
        </w:rPr>
      </w:pPr>
      <w:r>
        <w:rPr>
          <w:rFonts w:hint="eastAsia" w:ascii="宋体" w:hAnsi="宋体" w:cs="宋体"/>
          <w:sz w:val="24"/>
          <w:highlight w:val="none"/>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宋体" w:hAnsi="宋体" w:cs="宋体"/>
          <w:b/>
          <w:bCs/>
          <w:sz w:val="24"/>
          <w:highlight w:val="none"/>
          <w:u w:val="single"/>
        </w:rPr>
        <w:t xml:space="preserve">     </w:t>
      </w:r>
      <w:r>
        <w:rPr>
          <w:rFonts w:hint="eastAsia" w:ascii="宋体" w:hAnsi="宋体" w:cs="宋体"/>
          <w:sz w:val="24"/>
          <w:highlight w:val="none"/>
        </w:rPr>
        <w:t>仲裁委员会。</w:t>
      </w:r>
    </w:p>
    <w:p>
      <w:pPr>
        <w:spacing w:line="360" w:lineRule="auto"/>
        <w:ind w:firstLine="480"/>
        <w:rPr>
          <w:rFonts w:ascii="宋体" w:hAnsi="宋体" w:cs="宋体"/>
          <w:sz w:val="24"/>
          <w:highlight w:val="none"/>
        </w:rPr>
      </w:pPr>
      <w:r>
        <w:rPr>
          <w:rFonts w:hint="eastAsia" w:ascii="宋体" w:hAnsi="宋体" w:cs="宋体"/>
          <w:sz w:val="24"/>
          <w:highlight w:val="none"/>
        </w:rPr>
        <w:t>22.2仲裁裁决应为最终裁决，对双方均具有约束力。</w:t>
      </w:r>
    </w:p>
    <w:p>
      <w:pPr>
        <w:spacing w:line="360" w:lineRule="auto"/>
        <w:ind w:firstLine="480"/>
        <w:rPr>
          <w:rFonts w:ascii="宋体" w:hAnsi="宋体" w:cs="宋体"/>
          <w:sz w:val="24"/>
          <w:highlight w:val="none"/>
        </w:rPr>
      </w:pPr>
      <w:r>
        <w:rPr>
          <w:rFonts w:hint="eastAsia" w:ascii="宋体" w:hAnsi="宋体" w:cs="宋体"/>
          <w:sz w:val="24"/>
          <w:highlight w:val="none"/>
        </w:rPr>
        <w:t>22.3仲裁费除仲裁机关另有裁决外均应由败诉方负担。</w:t>
      </w:r>
    </w:p>
    <w:p>
      <w:pPr>
        <w:spacing w:line="360" w:lineRule="auto"/>
        <w:ind w:firstLine="480"/>
        <w:rPr>
          <w:rFonts w:ascii="宋体" w:hAnsi="宋体" w:cs="宋体"/>
          <w:sz w:val="24"/>
          <w:highlight w:val="none"/>
        </w:rPr>
      </w:pPr>
      <w:r>
        <w:rPr>
          <w:rFonts w:hint="eastAsia" w:ascii="宋体" w:hAnsi="宋体" w:cs="宋体"/>
          <w:sz w:val="24"/>
          <w:highlight w:val="none"/>
        </w:rPr>
        <w:t>22.4在仲裁期间，除正在进行仲裁的部分外，本合同其它部分应继续执行。</w:t>
      </w:r>
    </w:p>
    <w:p>
      <w:pPr>
        <w:spacing w:line="360" w:lineRule="auto"/>
        <w:rPr>
          <w:rFonts w:ascii="宋体" w:hAnsi="宋体" w:cs="宋体"/>
          <w:b/>
          <w:bCs/>
          <w:sz w:val="24"/>
          <w:highlight w:val="none"/>
        </w:rPr>
      </w:pPr>
      <w:r>
        <w:rPr>
          <w:rFonts w:hint="eastAsia" w:ascii="宋体" w:hAnsi="宋体" w:cs="宋体"/>
          <w:b/>
          <w:bCs/>
          <w:sz w:val="24"/>
          <w:highlight w:val="none"/>
        </w:rPr>
        <w:t>23． 合同语言</w:t>
      </w:r>
    </w:p>
    <w:p>
      <w:pPr>
        <w:spacing w:line="360" w:lineRule="auto"/>
        <w:ind w:firstLine="480"/>
        <w:rPr>
          <w:rFonts w:ascii="宋体" w:hAnsi="宋体" w:cs="宋体"/>
          <w:sz w:val="24"/>
          <w:highlight w:val="none"/>
        </w:rPr>
      </w:pPr>
      <w:r>
        <w:rPr>
          <w:rFonts w:hint="eastAsia" w:ascii="宋体" w:hAnsi="宋体" w:cs="宋体"/>
          <w:sz w:val="24"/>
          <w:highlight w:val="none"/>
        </w:rPr>
        <w:t>本合同语言为中文。双方交换的与合同有关的信函均用中文书写。</w:t>
      </w:r>
    </w:p>
    <w:p>
      <w:pPr>
        <w:spacing w:line="360" w:lineRule="auto"/>
        <w:rPr>
          <w:rFonts w:ascii="宋体" w:hAnsi="宋体" w:cs="宋体"/>
          <w:sz w:val="24"/>
          <w:highlight w:val="none"/>
        </w:rPr>
      </w:pPr>
      <w:r>
        <w:rPr>
          <w:rFonts w:hint="eastAsia" w:ascii="宋体" w:hAnsi="宋体" w:cs="宋体"/>
          <w:b/>
          <w:bCs/>
          <w:sz w:val="24"/>
          <w:highlight w:val="none"/>
        </w:rPr>
        <w:t>24．适用法律</w:t>
      </w:r>
    </w:p>
    <w:p>
      <w:pPr>
        <w:spacing w:line="360" w:lineRule="auto"/>
        <w:ind w:firstLine="480"/>
        <w:rPr>
          <w:rFonts w:ascii="宋体" w:hAnsi="宋体" w:cs="宋体"/>
          <w:sz w:val="24"/>
          <w:highlight w:val="none"/>
        </w:rPr>
      </w:pPr>
      <w:r>
        <w:rPr>
          <w:rFonts w:hint="eastAsia" w:ascii="宋体" w:hAnsi="宋体" w:cs="宋体"/>
          <w:sz w:val="24"/>
          <w:highlight w:val="none"/>
        </w:rPr>
        <w:t>本合同应按照中华人民共和国的法律进行解释。</w:t>
      </w:r>
    </w:p>
    <w:p>
      <w:pPr>
        <w:spacing w:line="360" w:lineRule="auto"/>
        <w:rPr>
          <w:rFonts w:ascii="宋体" w:hAnsi="宋体" w:cs="宋体"/>
          <w:b/>
          <w:bCs/>
          <w:sz w:val="24"/>
          <w:highlight w:val="none"/>
        </w:rPr>
      </w:pPr>
      <w:r>
        <w:rPr>
          <w:rFonts w:hint="eastAsia" w:ascii="宋体" w:hAnsi="宋体" w:cs="宋体"/>
          <w:b/>
          <w:bCs/>
          <w:sz w:val="24"/>
          <w:highlight w:val="none"/>
        </w:rPr>
        <w:t>25．通知</w:t>
      </w:r>
    </w:p>
    <w:p>
      <w:pPr>
        <w:spacing w:line="360" w:lineRule="auto"/>
        <w:ind w:firstLine="480"/>
        <w:rPr>
          <w:rFonts w:ascii="宋体" w:hAnsi="宋体" w:cs="宋体"/>
          <w:sz w:val="24"/>
          <w:highlight w:val="none"/>
        </w:rPr>
      </w:pPr>
      <w:r>
        <w:rPr>
          <w:rFonts w:hint="eastAsia" w:ascii="宋体" w:hAnsi="宋体" w:cs="宋体"/>
          <w:sz w:val="24"/>
          <w:highlight w:val="none"/>
        </w:rPr>
        <w:t>25.1本合同一方给对方的通知应用书面形式传真送到“合同专用条款”中规定的对方的地址。传真需经书面确认。</w:t>
      </w:r>
    </w:p>
    <w:p>
      <w:pPr>
        <w:spacing w:line="360" w:lineRule="auto"/>
        <w:ind w:firstLine="480"/>
        <w:rPr>
          <w:rFonts w:ascii="宋体" w:hAnsi="宋体" w:cs="宋体"/>
          <w:sz w:val="24"/>
          <w:highlight w:val="none"/>
        </w:rPr>
      </w:pPr>
      <w:r>
        <w:rPr>
          <w:rFonts w:hint="eastAsia" w:ascii="宋体" w:hAnsi="宋体" w:cs="宋体"/>
          <w:sz w:val="24"/>
          <w:highlight w:val="none"/>
        </w:rPr>
        <w:t>25.2通知以送到日期或通知书的生效日期为生效日期，两者中以晚的一个日期为准。</w:t>
      </w:r>
    </w:p>
    <w:p>
      <w:pPr>
        <w:spacing w:line="360" w:lineRule="auto"/>
        <w:rPr>
          <w:rFonts w:ascii="宋体" w:hAnsi="宋体" w:cs="宋体"/>
          <w:b/>
          <w:bCs/>
          <w:sz w:val="24"/>
          <w:highlight w:val="none"/>
        </w:rPr>
      </w:pPr>
      <w:r>
        <w:rPr>
          <w:rFonts w:hint="eastAsia" w:ascii="宋体" w:hAnsi="宋体" w:cs="宋体"/>
          <w:b/>
          <w:bCs/>
          <w:sz w:val="24"/>
          <w:highlight w:val="none"/>
        </w:rPr>
        <w:t>26．税款</w:t>
      </w:r>
    </w:p>
    <w:p>
      <w:pPr>
        <w:spacing w:line="360" w:lineRule="auto"/>
        <w:ind w:firstLine="480"/>
        <w:rPr>
          <w:rFonts w:ascii="宋体" w:hAnsi="宋体" w:cs="宋体"/>
          <w:sz w:val="24"/>
          <w:highlight w:val="none"/>
        </w:rPr>
      </w:pPr>
      <w:r>
        <w:rPr>
          <w:rFonts w:hint="eastAsia" w:ascii="宋体" w:hAnsi="宋体" w:cs="宋体"/>
          <w:sz w:val="24"/>
          <w:highlight w:val="none"/>
        </w:rPr>
        <w:t>26.1按照中华人民共和国税法和有关部门的规定，买方需交纳的与本合同有关的一切税旨均应由买方负担。</w:t>
      </w:r>
    </w:p>
    <w:p>
      <w:pPr>
        <w:spacing w:line="360" w:lineRule="auto"/>
        <w:ind w:firstLine="480"/>
        <w:rPr>
          <w:rFonts w:ascii="宋体" w:hAnsi="宋体" w:cs="宋体"/>
          <w:sz w:val="24"/>
          <w:highlight w:val="none"/>
        </w:rPr>
      </w:pPr>
      <w:r>
        <w:rPr>
          <w:rFonts w:hint="eastAsia" w:ascii="宋体" w:hAnsi="宋体" w:cs="宋体"/>
          <w:sz w:val="24"/>
          <w:highlight w:val="none"/>
        </w:rPr>
        <w:t>26.2按照中华人民共和国税法和有关部门的规定，卖方需交纳的与本合同有关的一切税旨均应由卖方负担。</w:t>
      </w:r>
    </w:p>
    <w:p>
      <w:pPr>
        <w:spacing w:line="360" w:lineRule="auto"/>
        <w:rPr>
          <w:rFonts w:ascii="宋体" w:hAnsi="宋体" w:cs="宋体"/>
          <w:b/>
          <w:bCs/>
          <w:sz w:val="24"/>
          <w:highlight w:val="none"/>
        </w:rPr>
      </w:pPr>
      <w:r>
        <w:rPr>
          <w:rFonts w:hint="eastAsia" w:ascii="宋体" w:hAnsi="宋体" w:cs="宋体"/>
          <w:b/>
          <w:bCs/>
          <w:sz w:val="24"/>
          <w:highlight w:val="none"/>
        </w:rPr>
        <w:t>27．合同生效及其他</w:t>
      </w:r>
    </w:p>
    <w:p>
      <w:pPr>
        <w:pStyle w:val="15"/>
        <w:spacing w:line="360" w:lineRule="auto"/>
        <w:rPr>
          <w:rFonts w:ascii="宋体" w:hAnsi="宋体" w:cs="宋体"/>
          <w:color w:val="auto"/>
          <w:highlight w:val="none"/>
        </w:rPr>
      </w:pPr>
      <w:r>
        <w:rPr>
          <w:rFonts w:hint="eastAsia" w:ascii="宋体" w:hAnsi="宋体" w:cs="宋体"/>
          <w:color w:val="auto"/>
          <w:highlight w:val="none"/>
        </w:rPr>
        <w:t xml:space="preserve">    27.1本合同经买卖双方及招标单位授权代表签字盖章后生效。</w:t>
      </w:r>
    </w:p>
    <w:p>
      <w:pPr>
        <w:pStyle w:val="15"/>
        <w:spacing w:line="360" w:lineRule="auto"/>
        <w:rPr>
          <w:rFonts w:ascii="宋体" w:hAnsi="宋体" w:cs="宋体"/>
          <w:color w:val="auto"/>
          <w:highlight w:val="none"/>
        </w:rPr>
      </w:pPr>
      <w:r>
        <w:rPr>
          <w:rFonts w:hint="eastAsia" w:ascii="宋体" w:hAnsi="宋体" w:cs="宋体"/>
          <w:color w:val="auto"/>
          <w:highlight w:val="none"/>
        </w:rPr>
        <w:t xml:space="preserve">    27.2如需修改合同内容，双方应签署书面修改或补充协议，该修改协议作为本合同的一个组成部分。</w:t>
      </w:r>
    </w:p>
    <w:p>
      <w:pPr>
        <w:pStyle w:val="15"/>
        <w:spacing w:line="360" w:lineRule="auto"/>
        <w:rPr>
          <w:rFonts w:ascii="宋体" w:hAnsi="宋体" w:cs="宋体"/>
          <w:color w:val="auto"/>
          <w:highlight w:val="none"/>
        </w:rPr>
      </w:pPr>
      <w:r>
        <w:rPr>
          <w:rFonts w:hint="eastAsia" w:ascii="宋体" w:hAnsi="宋体" w:cs="宋体"/>
          <w:color w:val="auto"/>
          <w:highlight w:val="none"/>
        </w:rPr>
        <w:t xml:space="preserve">    27.3本合同具有法律效力，受国家法律保护。</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27.4本合同一式伍份，买方(使用单位)贰份，卖方贰份，招标代理机构壹份。</w:t>
      </w:r>
    </w:p>
    <w:p>
      <w:pPr>
        <w:spacing w:line="360" w:lineRule="auto"/>
        <w:ind w:firstLine="3000" w:firstLineChars="1250"/>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pStyle w:val="55"/>
        <w:spacing w:line="360" w:lineRule="auto"/>
        <w:rPr>
          <w:rFonts w:ascii="宋体" w:hAnsi="宋体" w:cs="宋体"/>
          <w:sz w:val="24"/>
          <w:highlight w:val="none"/>
        </w:rPr>
      </w:pPr>
    </w:p>
    <w:p>
      <w:pPr>
        <w:spacing w:line="360" w:lineRule="auto"/>
        <w:rPr>
          <w:rFonts w:ascii="宋体" w:hAnsi="宋体" w:cs="宋体"/>
          <w:sz w:val="24"/>
          <w:highlight w:val="none"/>
        </w:rPr>
      </w:pPr>
      <w:r>
        <w:rPr>
          <w:rFonts w:ascii="宋体" w:hAnsi="宋体" w:cs="宋体"/>
          <w:sz w:val="24"/>
          <w:highlight w:val="none"/>
        </w:rPr>
        <w:br w:type="page"/>
      </w:r>
    </w:p>
    <w:p>
      <w:pPr>
        <w:spacing w:line="360" w:lineRule="auto"/>
        <w:jc w:val="left"/>
        <w:rPr>
          <w:rFonts w:ascii="宋体" w:hAnsi="宋体" w:cs="宋体"/>
          <w:b/>
          <w:bCs/>
          <w:sz w:val="24"/>
          <w:highlight w:val="none"/>
        </w:rPr>
      </w:pPr>
      <w:r>
        <w:rPr>
          <w:rFonts w:hint="eastAsia" w:ascii="宋体" w:hAnsi="宋体" w:cs="宋体"/>
          <w:b/>
          <w:bCs/>
          <w:sz w:val="24"/>
          <w:highlight w:val="none"/>
        </w:rPr>
        <w:t>三、合同格式（参考）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本合同与</w:t>
      </w:r>
      <w:r>
        <w:rPr>
          <w:rFonts w:hint="eastAsia" w:ascii="宋体" w:hAnsi="宋体" w:cs="宋体"/>
          <w:sz w:val="24"/>
          <w:highlight w:val="none"/>
          <w:u w:val="single"/>
        </w:rPr>
        <w:t xml:space="preserve">     </w:t>
      </w:r>
      <w:r>
        <w:rPr>
          <w:rFonts w:hint="eastAsia" w:ascii="宋体" w:hAnsi="宋体" w:cs="宋体"/>
          <w:sz w:val="24"/>
          <w:highlight w:val="none"/>
        </w:rPr>
        <w:t xml:space="preserve"> 年</w:t>
      </w:r>
      <w:r>
        <w:rPr>
          <w:rFonts w:hint="eastAsia" w:ascii="宋体" w:hAnsi="宋体" w:cs="宋体"/>
          <w:sz w:val="24"/>
          <w:highlight w:val="none"/>
          <w:u w:val="single"/>
        </w:rPr>
        <w:t xml:space="preserve">     </w:t>
      </w:r>
      <w:r>
        <w:rPr>
          <w:rFonts w:hint="eastAsia" w:ascii="宋体" w:hAnsi="宋体" w:cs="宋体"/>
          <w:sz w:val="24"/>
          <w:highlight w:val="none"/>
        </w:rPr>
        <w:t xml:space="preserve"> 月</w:t>
      </w:r>
      <w:r>
        <w:rPr>
          <w:rFonts w:hint="eastAsia" w:ascii="宋体" w:hAnsi="宋体" w:cs="宋体"/>
          <w:sz w:val="24"/>
          <w:highlight w:val="none"/>
          <w:u w:val="single"/>
        </w:rPr>
        <w:t xml:space="preserve">     </w:t>
      </w:r>
      <w:r>
        <w:rPr>
          <w:rFonts w:hint="eastAsia" w:ascii="宋体" w:hAnsi="宋体" w:cs="宋体"/>
          <w:sz w:val="24"/>
          <w:highlight w:val="none"/>
        </w:rPr>
        <w:t>日由</w:t>
      </w:r>
      <w:r>
        <w:rPr>
          <w:rFonts w:hint="eastAsia" w:ascii="宋体" w:hAnsi="宋体" w:cs="宋体"/>
          <w:sz w:val="24"/>
          <w:highlight w:val="none"/>
          <w:u w:val="single"/>
        </w:rPr>
        <w:t xml:space="preserve">                   （</w:t>
      </w:r>
      <w:r>
        <w:rPr>
          <w:rFonts w:hint="eastAsia" w:ascii="宋体" w:hAnsi="宋体" w:cs="宋体"/>
          <w:sz w:val="24"/>
          <w:highlight w:val="none"/>
        </w:rPr>
        <w:t>以下简称“买方”）为一方和</w:t>
      </w:r>
      <w:r>
        <w:rPr>
          <w:rFonts w:hint="eastAsia" w:ascii="宋体" w:hAnsi="宋体" w:cs="宋体"/>
          <w:sz w:val="24"/>
          <w:highlight w:val="none"/>
          <w:u w:val="single"/>
        </w:rPr>
        <w:t>（卖方名称）  （</w:t>
      </w:r>
      <w:r>
        <w:rPr>
          <w:rFonts w:hint="eastAsia" w:ascii="宋体" w:hAnsi="宋体" w:cs="宋体"/>
          <w:sz w:val="24"/>
          <w:highlight w:val="none"/>
        </w:rPr>
        <w:t>以下简称“卖方”）为另一方按下述条款和条件签署。</w:t>
      </w:r>
    </w:p>
    <w:p>
      <w:pPr>
        <w:spacing w:before="240" w:line="360" w:lineRule="auto"/>
        <w:ind w:left="-82" w:leftChars="-85" w:hanging="96" w:hangingChars="40"/>
        <w:rPr>
          <w:rFonts w:ascii="宋体" w:hAnsi="宋体" w:cs="宋体"/>
          <w:sz w:val="24"/>
          <w:highlight w:val="none"/>
          <w:u w:val="single"/>
        </w:rPr>
      </w:pPr>
      <w:r>
        <w:rPr>
          <w:rFonts w:hint="eastAsia" w:ascii="宋体" w:hAnsi="宋体" w:cs="宋体"/>
          <w:sz w:val="24"/>
          <w:highlight w:val="none"/>
        </w:rPr>
        <w:t xml:space="preserve">     鉴于买方为获得以下货物（包括货物和伴随服务），即</w:t>
      </w:r>
      <w:r>
        <w:rPr>
          <w:rFonts w:hint="eastAsia" w:ascii="宋体" w:hAnsi="宋体" w:cs="宋体"/>
          <w:sz w:val="24"/>
          <w:highlight w:val="none"/>
          <w:u w:val="single"/>
        </w:rPr>
        <w:t xml:space="preserve">                  </w:t>
      </w:r>
      <w:r>
        <w:rPr>
          <w:rFonts w:hint="eastAsia" w:ascii="宋体" w:hAnsi="宋体" w:cs="宋体"/>
          <w:sz w:val="24"/>
          <w:highlight w:val="none"/>
        </w:rPr>
        <w:t>的公开招标，并接受了卖方以总金额</w:t>
      </w:r>
      <w:r>
        <w:rPr>
          <w:rFonts w:hint="eastAsia" w:ascii="宋体" w:hAnsi="宋体" w:cs="宋体"/>
          <w:sz w:val="24"/>
          <w:highlight w:val="none"/>
          <w:u w:val="single"/>
        </w:rPr>
        <w:t xml:space="preserve">             </w:t>
      </w:r>
      <w:r>
        <w:rPr>
          <w:rFonts w:hint="eastAsia" w:ascii="宋体" w:hAnsi="宋体" w:cs="宋体"/>
          <w:sz w:val="24"/>
          <w:highlight w:val="none"/>
        </w:rPr>
        <w:t>（人民币、用文字和数字表示的合同价）（以下简称“合同价”）提供上述货物的投标。</w:t>
      </w:r>
    </w:p>
    <w:p>
      <w:pPr>
        <w:spacing w:line="360" w:lineRule="auto"/>
        <w:ind w:firstLine="480"/>
        <w:rPr>
          <w:rFonts w:ascii="宋体" w:hAnsi="宋体" w:cs="宋体"/>
          <w:sz w:val="24"/>
          <w:highlight w:val="none"/>
        </w:rPr>
      </w:pPr>
      <w:r>
        <w:rPr>
          <w:rFonts w:hint="eastAsia" w:ascii="宋体" w:hAnsi="宋体" w:cs="宋体"/>
          <w:sz w:val="24"/>
          <w:highlight w:val="none"/>
        </w:rPr>
        <w:t>本合同在此声明如下：</w:t>
      </w:r>
    </w:p>
    <w:p>
      <w:pPr>
        <w:numPr>
          <w:ilvl w:val="0"/>
          <w:numId w:val="7"/>
        </w:numPr>
        <w:spacing w:line="360" w:lineRule="auto"/>
        <w:rPr>
          <w:rFonts w:ascii="宋体" w:hAnsi="宋体" w:cs="宋体"/>
          <w:sz w:val="24"/>
          <w:highlight w:val="none"/>
        </w:rPr>
      </w:pPr>
      <w:r>
        <w:rPr>
          <w:rFonts w:hint="eastAsia" w:ascii="宋体" w:hAnsi="宋体" w:cs="宋体"/>
          <w:sz w:val="24"/>
          <w:highlight w:val="none"/>
        </w:rPr>
        <w:t>本合同中的词语和术语的含义与合同条款中定义的相同。</w:t>
      </w:r>
    </w:p>
    <w:p>
      <w:pPr>
        <w:numPr>
          <w:ilvl w:val="0"/>
          <w:numId w:val="7"/>
        </w:numPr>
        <w:spacing w:line="360" w:lineRule="auto"/>
        <w:rPr>
          <w:rFonts w:ascii="宋体" w:hAnsi="宋体" w:cs="宋体"/>
          <w:sz w:val="24"/>
          <w:highlight w:val="none"/>
        </w:rPr>
      </w:pPr>
      <w:r>
        <w:rPr>
          <w:rFonts w:hint="eastAsia" w:ascii="宋体" w:hAnsi="宋体" w:cs="宋体"/>
          <w:sz w:val="24"/>
          <w:highlight w:val="none"/>
        </w:rPr>
        <w:t>下述合同附件为本合同不可分割的部分并与本合同具有同等效力：</w:t>
      </w:r>
    </w:p>
    <w:p>
      <w:pPr>
        <w:spacing w:line="360" w:lineRule="auto"/>
        <w:ind w:left="900"/>
        <w:rPr>
          <w:rFonts w:ascii="宋体" w:hAnsi="宋体" w:cs="宋体"/>
          <w:sz w:val="24"/>
          <w:highlight w:val="none"/>
        </w:rPr>
      </w:pPr>
      <w:r>
        <w:rPr>
          <w:rFonts w:hint="eastAsia" w:ascii="宋体" w:hAnsi="宋体" w:cs="宋体"/>
          <w:sz w:val="24"/>
          <w:highlight w:val="none"/>
        </w:rPr>
        <w:t>（1）服务范围及分项价格表</w:t>
      </w:r>
    </w:p>
    <w:p>
      <w:pPr>
        <w:spacing w:line="360" w:lineRule="auto"/>
        <w:ind w:left="900"/>
        <w:rPr>
          <w:rFonts w:ascii="宋体" w:hAnsi="宋体" w:cs="宋体"/>
          <w:sz w:val="24"/>
          <w:highlight w:val="none"/>
        </w:rPr>
      </w:pPr>
      <w:r>
        <w:rPr>
          <w:rFonts w:hint="eastAsia" w:ascii="宋体" w:hAnsi="宋体" w:cs="宋体"/>
          <w:sz w:val="24"/>
          <w:highlight w:val="none"/>
        </w:rPr>
        <w:t>（2）招标文件、招标文件澄清文件</w:t>
      </w:r>
    </w:p>
    <w:p>
      <w:pPr>
        <w:spacing w:line="360" w:lineRule="auto"/>
        <w:ind w:left="900"/>
        <w:rPr>
          <w:rFonts w:ascii="宋体" w:hAnsi="宋体" w:cs="宋体"/>
          <w:sz w:val="24"/>
          <w:highlight w:val="none"/>
        </w:rPr>
      </w:pPr>
      <w:r>
        <w:rPr>
          <w:rFonts w:hint="eastAsia" w:ascii="宋体" w:hAnsi="宋体" w:cs="宋体"/>
          <w:sz w:val="24"/>
          <w:highlight w:val="none"/>
        </w:rPr>
        <w:t>（3）投标文件、投标人在评标期间的承诺文件</w:t>
      </w:r>
    </w:p>
    <w:p>
      <w:pPr>
        <w:spacing w:line="360" w:lineRule="auto"/>
        <w:ind w:left="900"/>
        <w:rPr>
          <w:rFonts w:ascii="宋体" w:hAnsi="宋体" w:cs="宋体"/>
          <w:sz w:val="24"/>
          <w:highlight w:val="none"/>
        </w:rPr>
      </w:pPr>
      <w:r>
        <w:rPr>
          <w:rFonts w:hint="eastAsia" w:ascii="宋体" w:hAnsi="宋体" w:cs="宋体"/>
          <w:sz w:val="24"/>
          <w:highlight w:val="none"/>
        </w:rPr>
        <w:t>（4）中标通知书</w:t>
      </w:r>
    </w:p>
    <w:p>
      <w:pPr>
        <w:numPr>
          <w:ilvl w:val="0"/>
          <w:numId w:val="7"/>
        </w:numPr>
        <w:tabs>
          <w:tab w:val="left" w:pos="900"/>
          <w:tab w:val="clear" w:pos="840"/>
        </w:tabs>
        <w:spacing w:line="360" w:lineRule="auto"/>
        <w:ind w:left="0" w:firstLine="480"/>
        <w:rPr>
          <w:rFonts w:ascii="宋体" w:hAnsi="宋体" w:cs="宋体"/>
          <w:sz w:val="24"/>
          <w:highlight w:val="none"/>
        </w:rPr>
      </w:pPr>
      <w:r>
        <w:rPr>
          <w:rFonts w:hint="eastAsia" w:ascii="宋体" w:hAnsi="宋体" w:cs="宋体"/>
          <w:sz w:val="24"/>
          <w:highlight w:val="none"/>
        </w:rPr>
        <w:t>考虑到买方将按照本合同规定向卖方支付款项，卖方再次保证全部按照合同的规定向买方提供货物、验收、服务并在质量保证期内承担货物质量保证责任。</w:t>
      </w:r>
    </w:p>
    <w:p>
      <w:pPr>
        <w:numPr>
          <w:ilvl w:val="0"/>
          <w:numId w:val="7"/>
        </w:numPr>
        <w:spacing w:line="360" w:lineRule="auto"/>
        <w:ind w:left="0" w:firstLine="480"/>
        <w:rPr>
          <w:rFonts w:ascii="宋体" w:hAnsi="宋体" w:cs="宋体"/>
          <w:sz w:val="24"/>
          <w:highlight w:val="none"/>
        </w:rPr>
      </w:pPr>
      <w:r>
        <w:rPr>
          <w:rFonts w:hint="eastAsia" w:ascii="宋体" w:hAnsi="宋体" w:cs="宋体"/>
          <w:sz w:val="24"/>
          <w:highlight w:val="none"/>
        </w:rPr>
        <w:t>考虑到卖方提供的</w:t>
      </w:r>
      <w:r>
        <w:rPr>
          <w:rFonts w:hint="eastAsia" w:ascii="宋体" w:hAnsi="宋体" w:cs="宋体"/>
          <w:sz w:val="24"/>
          <w:highlight w:val="none"/>
          <w:lang w:eastAsia="zh-CN"/>
        </w:rPr>
        <w:t>货物及服务</w:t>
      </w:r>
      <w:r>
        <w:rPr>
          <w:rFonts w:hint="eastAsia" w:ascii="宋体" w:hAnsi="宋体" w:cs="宋体"/>
          <w:sz w:val="24"/>
          <w:highlight w:val="none"/>
        </w:rPr>
        <w:t>并修补缺陷，买方在此保证按照合同规定的时间和方式向卖方支付合同价或其它按合同规定支付的金额。</w:t>
      </w:r>
    </w:p>
    <w:p>
      <w:pPr>
        <w:spacing w:line="360" w:lineRule="auto"/>
        <w:ind w:firstLine="480"/>
        <w:rPr>
          <w:rFonts w:ascii="宋体" w:hAnsi="宋体" w:cs="宋体"/>
          <w:sz w:val="24"/>
          <w:highlight w:val="none"/>
        </w:rPr>
      </w:pPr>
      <w:r>
        <w:rPr>
          <w:rFonts w:hint="eastAsia" w:ascii="宋体" w:hAnsi="宋体" w:cs="宋体"/>
          <w:sz w:val="24"/>
          <w:highlight w:val="none"/>
        </w:rPr>
        <w:t>双方在上述日期签署本协议。</w:t>
      </w:r>
    </w:p>
    <w:p>
      <w:pPr>
        <w:spacing w:line="360" w:lineRule="auto"/>
        <w:ind w:firstLine="480"/>
        <w:rPr>
          <w:rFonts w:ascii="宋体" w:hAnsi="宋体" w:cs="宋体"/>
          <w:sz w:val="24"/>
          <w:highlight w:val="none"/>
        </w:rPr>
      </w:pPr>
    </w:p>
    <w:p>
      <w:pPr>
        <w:spacing w:line="360" w:lineRule="auto"/>
        <w:ind w:firstLine="480"/>
        <w:rPr>
          <w:rFonts w:ascii="宋体" w:hAnsi="宋体" w:cs="宋体"/>
          <w:sz w:val="24"/>
          <w:highlight w:val="none"/>
        </w:rPr>
      </w:pPr>
    </w:p>
    <w:p>
      <w:pPr>
        <w:spacing w:line="360" w:lineRule="auto"/>
        <w:ind w:firstLine="480"/>
        <w:rPr>
          <w:rFonts w:ascii="宋体" w:hAnsi="宋体" w:cs="宋体"/>
          <w:sz w:val="24"/>
          <w:highlight w:val="none"/>
        </w:rPr>
      </w:pPr>
    </w:p>
    <w:p>
      <w:pPr>
        <w:spacing w:line="360" w:lineRule="auto"/>
        <w:ind w:firstLine="480"/>
        <w:rPr>
          <w:rFonts w:ascii="宋体" w:hAnsi="宋体" w:cs="宋体"/>
          <w:sz w:val="24"/>
          <w:highlight w:val="none"/>
        </w:rPr>
      </w:pPr>
    </w:p>
    <w:p>
      <w:pPr>
        <w:pStyle w:val="15"/>
        <w:rPr>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pStyle w:val="55"/>
        <w:rPr>
          <w:rFonts w:ascii="宋体" w:hAnsi="宋体" w:cs="宋体"/>
          <w:sz w:val="24"/>
          <w:highlight w:val="none"/>
        </w:rPr>
      </w:pPr>
    </w:p>
    <w:p>
      <w:pPr>
        <w:pStyle w:val="55"/>
        <w:rPr>
          <w:rFonts w:ascii="宋体" w:hAnsi="宋体" w:cs="宋体"/>
          <w:sz w:val="24"/>
          <w:highlight w:val="none"/>
        </w:rPr>
      </w:pPr>
    </w:p>
    <w:p>
      <w:pPr>
        <w:spacing w:line="360" w:lineRule="auto"/>
        <w:ind w:firstLine="480"/>
        <w:rPr>
          <w:rFonts w:ascii="宋体" w:hAnsi="宋体" w:cs="宋体"/>
          <w:sz w:val="24"/>
          <w:highlight w:val="none"/>
        </w:rPr>
      </w:pPr>
      <w:r>
        <w:rPr>
          <w:rFonts w:hint="eastAsia" w:ascii="宋体" w:hAnsi="宋体" w:cs="宋体"/>
          <w:sz w:val="24"/>
          <w:highlight w:val="none"/>
        </w:rPr>
        <w:t>(此页无正文)</w:t>
      </w:r>
    </w:p>
    <w:p>
      <w:pPr>
        <w:spacing w:line="360" w:lineRule="auto"/>
        <w:ind w:firstLine="480"/>
        <w:rPr>
          <w:rFonts w:ascii="宋体" w:hAnsi="宋体" w:cs="宋体"/>
          <w:sz w:val="24"/>
          <w:highlight w:val="none"/>
        </w:rPr>
      </w:pPr>
    </w:p>
    <w:p>
      <w:pPr>
        <w:spacing w:line="360" w:lineRule="auto"/>
        <w:ind w:firstLine="480"/>
        <w:rPr>
          <w:rFonts w:ascii="宋体" w:hAnsi="宋体" w:cs="宋体"/>
          <w:sz w:val="24"/>
          <w:highlight w:val="none"/>
        </w:rPr>
      </w:pPr>
      <w:r>
        <w:rPr>
          <w:rFonts w:hint="eastAsia" w:ascii="宋体" w:hAnsi="宋体" w:cs="宋体"/>
          <w:sz w:val="24"/>
          <w:highlight w:val="none"/>
        </w:rPr>
        <w:t>买方名称：</w:t>
      </w:r>
      <w:r>
        <w:rPr>
          <w:rFonts w:hint="eastAsia" w:ascii="宋体" w:hAnsi="宋体" w:cs="宋体"/>
          <w:sz w:val="24"/>
          <w:szCs w:val="32"/>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卖方名称：</w:t>
      </w:r>
      <w:r>
        <w:rPr>
          <w:rFonts w:hint="eastAsia" w:ascii="宋体" w:hAnsi="宋体" w:cs="宋体"/>
          <w:sz w:val="24"/>
          <w:highlight w:val="none"/>
          <w:u w:val="single"/>
        </w:rPr>
        <w:t xml:space="preserve">                    </w:t>
      </w:r>
    </w:p>
    <w:p>
      <w:pPr>
        <w:spacing w:line="360" w:lineRule="auto"/>
        <w:ind w:firstLine="480"/>
        <w:rPr>
          <w:rFonts w:ascii="宋体" w:hAnsi="宋体" w:cs="宋体"/>
          <w:sz w:val="24"/>
          <w:highlight w:val="none"/>
          <w:u w:val="single"/>
        </w:rPr>
      </w:pPr>
      <w:r>
        <w:rPr>
          <w:rFonts w:hint="eastAsia" w:ascii="宋体" w:hAnsi="宋体" w:cs="宋体"/>
          <w:sz w:val="24"/>
          <w:highlight w:val="none"/>
        </w:rPr>
        <w:t>买方代表姓名：</w:t>
      </w:r>
      <w:r>
        <w:rPr>
          <w:rFonts w:hint="eastAsia" w:ascii="宋体" w:hAnsi="宋体" w:cs="宋体"/>
          <w:sz w:val="24"/>
          <w:highlight w:val="none"/>
          <w:u w:val="single"/>
        </w:rPr>
        <w:t xml:space="preserve">                </w:t>
      </w:r>
      <w:r>
        <w:rPr>
          <w:rFonts w:hint="eastAsia" w:ascii="宋体" w:hAnsi="宋体" w:cs="宋体"/>
          <w:sz w:val="24"/>
          <w:highlight w:val="none"/>
        </w:rPr>
        <w:t xml:space="preserve">  卖方代表姓名：</w:t>
      </w:r>
      <w:r>
        <w:rPr>
          <w:rFonts w:hint="eastAsia" w:ascii="宋体" w:hAnsi="宋体" w:cs="宋体"/>
          <w:sz w:val="24"/>
          <w:highlight w:val="none"/>
          <w:u w:val="single"/>
        </w:rPr>
        <w:t xml:space="preserve">                </w:t>
      </w:r>
    </w:p>
    <w:p>
      <w:pPr>
        <w:spacing w:line="360" w:lineRule="auto"/>
        <w:ind w:firstLine="480"/>
        <w:rPr>
          <w:rFonts w:ascii="宋体" w:hAnsi="宋体" w:cs="宋体"/>
          <w:sz w:val="24"/>
          <w:highlight w:val="none"/>
        </w:rPr>
      </w:pPr>
      <w:r>
        <w:rPr>
          <w:rFonts w:hint="eastAsia" w:ascii="宋体" w:hAnsi="宋体" w:cs="宋体"/>
          <w:sz w:val="24"/>
          <w:highlight w:val="none"/>
        </w:rPr>
        <w:t>买方代表签字：</w:t>
      </w:r>
      <w:r>
        <w:rPr>
          <w:rFonts w:hint="eastAsia" w:ascii="宋体" w:hAnsi="宋体" w:cs="宋体"/>
          <w:sz w:val="24"/>
          <w:highlight w:val="none"/>
          <w:u w:val="single"/>
        </w:rPr>
        <w:t xml:space="preserve">                </w:t>
      </w:r>
      <w:r>
        <w:rPr>
          <w:rFonts w:hint="eastAsia" w:ascii="宋体" w:hAnsi="宋体" w:cs="宋体"/>
          <w:sz w:val="24"/>
          <w:highlight w:val="none"/>
        </w:rPr>
        <w:t xml:space="preserve">  卖方代表签字：</w:t>
      </w:r>
      <w:r>
        <w:rPr>
          <w:rFonts w:hint="eastAsia" w:ascii="宋体" w:hAnsi="宋体" w:cs="宋体"/>
          <w:sz w:val="24"/>
          <w:highlight w:val="none"/>
          <w:u w:val="single"/>
        </w:rPr>
        <w:t xml:space="preserve">                </w:t>
      </w:r>
    </w:p>
    <w:p>
      <w:pPr>
        <w:spacing w:line="360" w:lineRule="auto"/>
        <w:ind w:firstLine="480"/>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single"/>
        </w:rPr>
        <w:t xml:space="preserve">                     </w:t>
      </w:r>
      <w:r>
        <w:rPr>
          <w:rFonts w:hint="eastAsia" w:ascii="宋体" w:hAnsi="宋体" w:cs="宋体"/>
          <w:sz w:val="24"/>
          <w:highlight w:val="none"/>
        </w:rPr>
        <w:t xml:space="preserve"> 地    址：</w:t>
      </w:r>
      <w:r>
        <w:rPr>
          <w:rFonts w:hint="eastAsia" w:ascii="宋体" w:hAnsi="宋体" w:cs="宋体"/>
          <w:sz w:val="24"/>
          <w:highlight w:val="none"/>
          <w:u w:val="single"/>
        </w:rPr>
        <w:t xml:space="preserve">                    </w:t>
      </w:r>
    </w:p>
    <w:p>
      <w:pPr>
        <w:spacing w:line="360" w:lineRule="auto"/>
        <w:ind w:firstLine="480"/>
        <w:rPr>
          <w:rFonts w:ascii="宋体" w:hAnsi="宋体" w:cs="宋体"/>
          <w:sz w:val="24"/>
          <w:highlight w:val="none"/>
          <w:u w:val="single"/>
        </w:rPr>
      </w:pPr>
      <w:r>
        <w:rPr>
          <w:rFonts w:hint="eastAsia" w:ascii="宋体" w:hAnsi="宋体" w:cs="宋体"/>
          <w:sz w:val="24"/>
          <w:highlight w:val="none"/>
        </w:rPr>
        <w:t>买方公章：</w:t>
      </w:r>
      <w:r>
        <w:rPr>
          <w:rFonts w:hint="eastAsia" w:ascii="宋体" w:hAnsi="宋体" w:cs="宋体"/>
          <w:sz w:val="24"/>
          <w:highlight w:val="none"/>
          <w:u w:val="single"/>
        </w:rPr>
        <w:t xml:space="preserve">                    </w:t>
      </w:r>
      <w:r>
        <w:rPr>
          <w:rFonts w:hint="eastAsia" w:ascii="宋体" w:hAnsi="宋体" w:cs="宋体"/>
          <w:sz w:val="24"/>
          <w:highlight w:val="none"/>
        </w:rPr>
        <w:t xml:space="preserve">  卖方公章：</w:t>
      </w:r>
      <w:r>
        <w:rPr>
          <w:rFonts w:hint="eastAsia" w:ascii="宋体" w:hAnsi="宋体" w:cs="宋体"/>
          <w:sz w:val="24"/>
          <w:highlight w:val="none"/>
          <w:u w:val="single"/>
        </w:rPr>
        <w:t xml:space="preserve">                    </w:t>
      </w:r>
    </w:p>
    <w:p>
      <w:pPr>
        <w:spacing w:line="360" w:lineRule="auto"/>
        <w:ind w:firstLine="480"/>
        <w:rPr>
          <w:rFonts w:ascii="宋体" w:hAnsi="宋体" w:cs="宋体"/>
          <w:sz w:val="24"/>
          <w:highlight w:val="none"/>
          <w:u w:val="single"/>
        </w:rPr>
      </w:pPr>
      <w:r>
        <w:rPr>
          <w:rFonts w:hint="eastAsia" w:ascii="宋体" w:hAnsi="宋体" w:cs="宋体"/>
          <w:sz w:val="24"/>
          <w:highlight w:val="none"/>
        </w:rPr>
        <w:t>电    话</w:t>
      </w:r>
      <w:r>
        <w:rPr>
          <w:rFonts w:hint="eastAsia" w:ascii="宋体" w:hAnsi="宋体" w:cs="宋体"/>
          <w:sz w:val="24"/>
          <w:highlight w:val="none"/>
          <w:lang w:eastAsia="zh-CN"/>
        </w:rPr>
        <w:t>：</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电    话：</w:t>
      </w:r>
      <w:r>
        <w:rPr>
          <w:rFonts w:hint="eastAsia" w:ascii="宋体" w:hAnsi="宋体" w:cs="宋体"/>
          <w:sz w:val="24"/>
          <w:highlight w:val="none"/>
          <w:u w:val="single"/>
        </w:rPr>
        <w:t xml:space="preserve">                    </w:t>
      </w:r>
    </w:p>
    <w:p>
      <w:pPr>
        <w:spacing w:line="360" w:lineRule="auto"/>
        <w:ind w:firstLine="480"/>
        <w:rPr>
          <w:rFonts w:ascii="宋体" w:hAnsi="宋体" w:cs="宋体"/>
          <w:sz w:val="24"/>
          <w:highlight w:val="none"/>
          <w:u w:val="single"/>
        </w:rPr>
      </w:pPr>
      <w:r>
        <w:rPr>
          <w:rFonts w:hint="eastAsia" w:ascii="宋体" w:hAnsi="宋体" w:cs="宋体"/>
          <w:sz w:val="24"/>
          <w:highlight w:val="none"/>
        </w:rPr>
        <w:t>传    真：</w:t>
      </w:r>
      <w:r>
        <w:rPr>
          <w:rFonts w:hint="eastAsia" w:ascii="宋体" w:hAnsi="宋体" w:cs="宋体"/>
          <w:sz w:val="24"/>
          <w:highlight w:val="none"/>
          <w:u w:val="single"/>
        </w:rPr>
        <w:t xml:space="preserve">                    </w:t>
      </w:r>
      <w:r>
        <w:rPr>
          <w:rFonts w:hint="eastAsia" w:ascii="宋体" w:hAnsi="宋体" w:cs="宋体"/>
          <w:sz w:val="24"/>
          <w:highlight w:val="none"/>
        </w:rPr>
        <w:t xml:space="preserve">  传    真：</w:t>
      </w:r>
      <w:r>
        <w:rPr>
          <w:rFonts w:hint="eastAsia" w:ascii="宋体" w:hAnsi="宋体" w:cs="宋体"/>
          <w:sz w:val="24"/>
          <w:highlight w:val="none"/>
          <w:u w:val="single"/>
        </w:rPr>
        <w:t xml:space="preserve">                    </w:t>
      </w:r>
    </w:p>
    <w:p>
      <w:pPr>
        <w:spacing w:line="360" w:lineRule="auto"/>
        <w:ind w:firstLine="480"/>
        <w:rPr>
          <w:rFonts w:ascii="宋体" w:hAnsi="宋体" w:cs="宋体"/>
          <w:sz w:val="24"/>
          <w:highlight w:val="none"/>
          <w:u w:val="singl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开户银行：</w:t>
      </w:r>
      <w:r>
        <w:rPr>
          <w:rFonts w:hint="eastAsia" w:ascii="宋体" w:hAnsi="宋体" w:cs="宋体"/>
          <w:sz w:val="24"/>
          <w:highlight w:val="none"/>
          <w:u w:val="single"/>
        </w:rPr>
        <w:t xml:space="preserve">                    </w:t>
      </w:r>
    </w:p>
    <w:p>
      <w:pPr>
        <w:spacing w:line="360" w:lineRule="auto"/>
        <w:ind w:firstLine="480"/>
        <w:rPr>
          <w:rFonts w:ascii="宋体" w:hAnsi="宋体" w:cs="宋体"/>
          <w:sz w:val="24"/>
          <w:highlight w:val="none"/>
          <w:u w:val="single"/>
        </w:rPr>
      </w:pPr>
      <w:r>
        <w:rPr>
          <w:rFonts w:hint="eastAsia" w:ascii="宋体" w:hAnsi="宋体" w:cs="宋体"/>
          <w:sz w:val="24"/>
          <w:highlight w:val="none"/>
        </w:rPr>
        <w:t>账    号：</w:t>
      </w:r>
      <w:r>
        <w:rPr>
          <w:rFonts w:hint="eastAsia" w:ascii="宋体" w:hAnsi="宋体" w:cs="宋体"/>
          <w:sz w:val="24"/>
          <w:highlight w:val="none"/>
          <w:u w:val="single"/>
        </w:rPr>
        <w:t xml:space="preserve">                    </w:t>
      </w:r>
      <w:r>
        <w:rPr>
          <w:rFonts w:hint="eastAsia" w:ascii="宋体" w:hAnsi="宋体" w:cs="宋体"/>
          <w:sz w:val="24"/>
          <w:highlight w:val="none"/>
        </w:rPr>
        <w:t xml:space="preserve">  账    号：</w:t>
      </w:r>
      <w:r>
        <w:rPr>
          <w:rFonts w:hint="eastAsia" w:ascii="宋体" w:hAnsi="宋体" w:cs="宋体"/>
          <w:sz w:val="24"/>
          <w:highlight w:val="none"/>
          <w:u w:val="single"/>
        </w:rPr>
        <w:t xml:space="preserve">                    </w:t>
      </w:r>
    </w:p>
    <w:p>
      <w:pPr>
        <w:spacing w:line="360" w:lineRule="auto"/>
        <w:ind w:firstLine="480"/>
        <w:rPr>
          <w:rFonts w:ascii="宋体" w:hAnsi="宋体" w:cs="宋体"/>
          <w:sz w:val="24"/>
          <w:highlight w:val="none"/>
          <w:u w:val="single"/>
        </w:rPr>
      </w:pPr>
    </w:p>
    <w:p>
      <w:pPr>
        <w:spacing w:line="360" w:lineRule="auto"/>
        <w:ind w:firstLine="480"/>
        <w:rPr>
          <w:rFonts w:ascii="宋体" w:hAnsi="宋体" w:cs="宋体"/>
          <w:sz w:val="24"/>
          <w:highlight w:val="none"/>
          <w:u w:val="single"/>
        </w:rPr>
      </w:pPr>
    </w:p>
    <w:p>
      <w:pPr>
        <w:spacing w:line="360" w:lineRule="auto"/>
        <w:rPr>
          <w:rFonts w:ascii="宋体" w:hAnsi="宋体" w:cs="宋体"/>
          <w:sz w:val="24"/>
          <w:highlight w:val="none"/>
        </w:rPr>
      </w:pPr>
      <w:r>
        <w:rPr>
          <w:rFonts w:hint="eastAsia" w:ascii="宋体" w:hAnsi="宋体" w:cs="宋体"/>
          <w:b/>
          <w:sz w:val="24"/>
          <w:highlight w:val="none"/>
        </w:rPr>
        <w:t xml:space="preserve">    </w:t>
      </w:r>
      <w:r>
        <w:rPr>
          <w:rFonts w:hint="eastAsia" w:ascii="宋体" w:hAnsi="宋体" w:cs="宋体"/>
          <w:sz w:val="24"/>
          <w:highlight w:val="none"/>
        </w:rPr>
        <w:t>招标单位：</w:t>
      </w:r>
      <w:r>
        <w:rPr>
          <w:rFonts w:hint="eastAsia" w:ascii="宋体" w:hAnsi="宋体" w:cs="宋体"/>
          <w:b/>
          <w:sz w:val="24"/>
          <w:highlight w:val="none"/>
          <w:u w:val="single"/>
        </w:rPr>
        <w:t>陕西德信招标有限公司</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电    话</w:t>
      </w:r>
      <w:r>
        <w:rPr>
          <w:rFonts w:hint="eastAsia" w:ascii="宋体" w:hAnsi="宋体" w:cs="宋体"/>
          <w:sz w:val="24"/>
          <w:highlight w:val="none"/>
          <w:lang w:eastAsia="zh-CN"/>
        </w:rPr>
        <w:t>：</w:t>
      </w:r>
      <w:r>
        <w:rPr>
          <w:rFonts w:hint="eastAsia" w:ascii="宋体" w:hAnsi="宋体" w:cs="宋体"/>
          <w:sz w:val="24"/>
          <w:highlight w:val="none"/>
        </w:rPr>
        <w:t xml:space="preserve"> </w:t>
      </w:r>
      <w:r>
        <w:rPr>
          <w:rFonts w:hint="eastAsia" w:ascii="宋体" w:hAnsi="宋体" w:cs="宋体"/>
          <w:sz w:val="24"/>
          <w:highlight w:val="none"/>
          <w:u w:val="single"/>
        </w:rPr>
        <w:t xml:space="preserve">                        </w:t>
      </w:r>
    </w:p>
    <w:p>
      <w:pPr>
        <w:spacing w:line="360" w:lineRule="auto"/>
        <w:ind w:firstLine="360" w:firstLineChars="150"/>
        <w:rPr>
          <w:rFonts w:ascii="宋体" w:hAnsi="宋体" w:cs="宋体"/>
          <w:sz w:val="24"/>
          <w:highlight w:val="none"/>
        </w:rPr>
      </w:pPr>
      <w:r>
        <w:rPr>
          <w:rFonts w:hint="eastAsia" w:ascii="宋体" w:hAnsi="宋体" w:cs="宋体"/>
          <w:sz w:val="24"/>
          <w:highlight w:val="none"/>
        </w:rPr>
        <w:t xml:space="preserve"> 邮    编</w:t>
      </w:r>
      <w:r>
        <w:rPr>
          <w:rFonts w:hint="eastAsia" w:ascii="宋体" w:hAnsi="宋体" w:cs="宋体"/>
          <w:sz w:val="24"/>
          <w:highlight w:val="none"/>
          <w:lang w:eastAsia="zh-CN"/>
        </w:rPr>
        <w:t>：</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rPr>
          <w:rFonts w:hint="eastAsia"/>
          <w:highlight w:val="none"/>
        </w:rPr>
      </w:pPr>
      <w:r>
        <w:rPr>
          <w:rFonts w:hint="eastAsia"/>
          <w:highlight w:val="none"/>
        </w:rPr>
        <w:br w:type="page"/>
      </w:r>
    </w:p>
    <w:p>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w:t>
      </w:r>
    </w:p>
    <w:p>
      <w:pPr>
        <w:pStyle w:val="47"/>
        <w:rPr>
          <w:rFonts w:hint="eastAsia" w:asciiTheme="minorEastAsia" w:hAnsiTheme="minorEastAsia" w:eastAsiaTheme="minorEastAsia"/>
          <w:sz w:val="24"/>
          <w:highlight w:val="none"/>
        </w:rPr>
      </w:pPr>
    </w:p>
    <w:p>
      <w:pPr>
        <w:pStyle w:val="47"/>
        <w:rPr>
          <w:rFonts w:hint="eastAsia" w:asciiTheme="minorEastAsia" w:hAnsiTheme="minorEastAsia" w:eastAsiaTheme="minorEastAsia"/>
          <w:sz w:val="24"/>
          <w:highlight w:val="none"/>
        </w:rPr>
      </w:pPr>
    </w:p>
    <w:p>
      <w:pPr>
        <w:pStyle w:val="47"/>
        <w:rPr>
          <w:rFonts w:hint="eastAsia" w:asciiTheme="minorEastAsia" w:hAnsiTheme="minorEastAsia" w:eastAsiaTheme="minorEastAsia"/>
          <w:sz w:val="24"/>
          <w:highlight w:val="none"/>
        </w:rPr>
      </w:pPr>
    </w:p>
    <w:p>
      <w:pPr>
        <w:pStyle w:val="47"/>
        <w:rPr>
          <w:rFonts w:hint="eastAsia" w:asciiTheme="minorEastAsia" w:hAnsiTheme="minorEastAsia" w:eastAsiaTheme="minorEastAsia"/>
          <w:sz w:val="24"/>
          <w:highlight w:val="none"/>
        </w:rPr>
      </w:pPr>
    </w:p>
    <w:p>
      <w:pPr>
        <w:pStyle w:val="47"/>
        <w:rPr>
          <w:rFonts w:hint="eastAsia" w:asciiTheme="minorEastAsia" w:hAnsiTheme="minorEastAsia" w:eastAsiaTheme="minorEastAsia"/>
          <w:sz w:val="24"/>
          <w:highlight w:val="none"/>
        </w:rPr>
      </w:pPr>
    </w:p>
    <w:p>
      <w:pPr>
        <w:pStyle w:val="47"/>
        <w:rPr>
          <w:rFonts w:hint="eastAsia" w:asciiTheme="minorEastAsia" w:hAnsiTheme="minorEastAsia" w:eastAsiaTheme="minorEastAsia"/>
          <w:sz w:val="24"/>
          <w:highlight w:val="none"/>
        </w:rPr>
      </w:pPr>
    </w:p>
    <w:p>
      <w:pPr>
        <w:pStyle w:val="47"/>
        <w:rPr>
          <w:rFonts w:hint="eastAsia" w:asciiTheme="minorEastAsia" w:hAnsiTheme="minorEastAsia" w:eastAsiaTheme="minorEastAsia"/>
          <w:sz w:val="24"/>
          <w:highlight w:val="none"/>
        </w:rPr>
      </w:pPr>
    </w:p>
    <w:p>
      <w:pPr>
        <w:pStyle w:val="47"/>
        <w:rPr>
          <w:rFonts w:hint="eastAsia" w:asciiTheme="minorEastAsia" w:hAnsiTheme="minorEastAsia" w:eastAsiaTheme="minorEastAsia"/>
          <w:sz w:val="24"/>
          <w:highlight w:val="none"/>
          <w:lang w:eastAsia="zh-CN"/>
        </w:rPr>
      </w:pPr>
    </w:p>
    <w:p>
      <w:pPr>
        <w:pStyle w:val="47"/>
        <w:rPr>
          <w:rFonts w:hint="eastAsia" w:asciiTheme="minorEastAsia" w:hAnsiTheme="minorEastAsia" w:eastAsiaTheme="minorEastAsia"/>
          <w:sz w:val="24"/>
          <w:highlight w:val="none"/>
          <w:lang w:eastAsia="zh-CN"/>
        </w:rPr>
      </w:pPr>
    </w:p>
    <w:p>
      <w:pPr>
        <w:rPr>
          <w:rFonts w:hint="eastAsia"/>
          <w:highlight w:val="none"/>
        </w:rPr>
      </w:pPr>
    </w:p>
    <w:p>
      <w:pPr>
        <w:rPr>
          <w:rFonts w:hint="eastAsia"/>
          <w:highlight w:val="none"/>
        </w:rPr>
      </w:pPr>
    </w:p>
    <w:p>
      <w:pPr>
        <w:pStyle w:val="29"/>
        <w:rPr>
          <w:rFonts w:hint="eastAsia"/>
          <w:highlight w:val="none"/>
        </w:rPr>
      </w:pPr>
    </w:p>
    <w:p>
      <w:pPr>
        <w:pStyle w:val="3"/>
        <w:rPr>
          <w:rFonts w:hint="eastAsia"/>
          <w:highlight w:val="none"/>
        </w:rPr>
      </w:pPr>
    </w:p>
    <w:p>
      <w:pPr>
        <w:rPr>
          <w:rFonts w:hint="eastAsia"/>
          <w:highlight w:val="none"/>
        </w:rPr>
      </w:pPr>
    </w:p>
    <w:p>
      <w:pPr>
        <w:pStyle w:val="29"/>
        <w:rPr>
          <w:rFonts w:hint="eastAsia"/>
          <w:highlight w:val="none"/>
        </w:rPr>
      </w:pPr>
    </w:p>
    <w:p>
      <w:pPr>
        <w:pStyle w:val="3"/>
        <w:rPr>
          <w:rFonts w:hint="eastAsia"/>
          <w:highlight w:val="none"/>
        </w:rPr>
      </w:pPr>
    </w:p>
    <w:p>
      <w:pPr>
        <w:rPr>
          <w:rFonts w:hint="eastAsia"/>
          <w:highlight w:val="none"/>
        </w:rPr>
      </w:pPr>
    </w:p>
    <w:p>
      <w:pPr>
        <w:pStyle w:val="5"/>
        <w:rPr>
          <w:highlight w:val="none"/>
        </w:rPr>
      </w:pPr>
      <w:r>
        <w:rPr>
          <w:rFonts w:hint="eastAsia"/>
          <w:highlight w:val="none"/>
        </w:rPr>
        <w:t>第四部分 用户需求书（采购内容及要求）</w:t>
      </w:r>
      <w:bookmarkEnd w:id="7"/>
    </w:p>
    <w:p>
      <w:pPr>
        <w:rPr>
          <w:rFonts w:hint="eastAsia"/>
          <w:b/>
          <w:bCs/>
          <w:sz w:val="36"/>
          <w:szCs w:val="36"/>
          <w:highlight w:val="none"/>
        </w:rPr>
      </w:pPr>
      <w:r>
        <w:rPr>
          <w:rFonts w:hint="eastAsia"/>
          <w:b/>
          <w:bCs/>
          <w:sz w:val="36"/>
          <w:szCs w:val="36"/>
          <w:highlight w:val="none"/>
        </w:rPr>
        <w:br w:type="page"/>
      </w:r>
    </w:p>
    <w:p>
      <w:pPr>
        <w:spacing w:line="360" w:lineRule="auto"/>
        <w:ind w:firstLine="643" w:firstLineChars="200"/>
        <w:jc w:val="center"/>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商洛市妇幼保健院网络安全等级保护建设项目</w:t>
      </w:r>
    </w:p>
    <w:p>
      <w:pPr>
        <w:spacing w:line="360" w:lineRule="auto"/>
        <w:jc w:val="center"/>
        <w:rPr>
          <w:rFonts w:hint="eastAsia" w:ascii="楷体" w:hAnsi="楷体" w:eastAsia="楷体" w:cs="楷体"/>
          <w:b/>
          <w:bCs/>
          <w:sz w:val="24"/>
          <w:szCs w:val="24"/>
          <w:highlight w:val="none"/>
        </w:rPr>
      </w:pPr>
    </w:p>
    <w:p>
      <w:pPr>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为贯彻落实国家信息安全等级保护制度，规范和指导全国卫生行业信息安全等级保护工作，按照公安部《关于开展信息安全等级保护安全建设整改工作的指导意见》（公信安〔2009〕1429号）要求，结合我院信息化业务系统网络安全现状，根据《卫生行业信息安全等级保护工作的指导意见》特采购本项目。</w:t>
      </w:r>
    </w:p>
    <w:p>
      <w:pPr>
        <w:spacing w:line="360" w:lineRule="auto"/>
        <w:ind w:firstLine="480" w:firstLineChars="200"/>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本</w:t>
      </w:r>
      <w:r>
        <w:rPr>
          <w:rFonts w:hint="eastAsia" w:ascii="楷体" w:hAnsi="楷体" w:eastAsia="楷体" w:cs="楷体"/>
          <w:sz w:val="24"/>
          <w:szCs w:val="24"/>
          <w:highlight w:val="none"/>
        </w:rPr>
        <w:t>次</w:t>
      </w:r>
      <w:r>
        <w:rPr>
          <w:rFonts w:hint="eastAsia" w:ascii="楷体" w:hAnsi="楷体" w:eastAsia="楷体" w:cs="楷体"/>
          <w:sz w:val="24"/>
          <w:szCs w:val="24"/>
          <w:highlight w:val="none"/>
          <w:lang w:val="zh-CN"/>
        </w:rPr>
        <w:t>项目将根据国家网络安全等级保护相关要求，商洛市妇幼保健院业务系统的实际安全需求，结合其业务的实际特性，建立符合</w:t>
      </w:r>
      <w:r>
        <w:rPr>
          <w:rFonts w:hint="eastAsia" w:ascii="楷体" w:hAnsi="楷体" w:eastAsia="楷体" w:cs="楷体"/>
          <w:sz w:val="24"/>
          <w:szCs w:val="24"/>
          <w:highlight w:val="none"/>
        </w:rPr>
        <w:t>医院信息</w:t>
      </w:r>
      <w:r>
        <w:rPr>
          <w:rFonts w:hint="eastAsia" w:ascii="楷体" w:hAnsi="楷体" w:eastAsia="楷体" w:cs="楷体"/>
          <w:sz w:val="24"/>
          <w:szCs w:val="24"/>
          <w:highlight w:val="none"/>
          <w:lang w:val="zh-CN"/>
        </w:rPr>
        <w:t>系统实际安全需求的网络安全保障体系框架，设计安全保障体系方案，综合提升医院网络系统的安全保障能力和防护水平，确保</w:t>
      </w:r>
      <w:r>
        <w:rPr>
          <w:rFonts w:hint="eastAsia" w:ascii="楷体" w:hAnsi="楷体" w:eastAsia="楷体" w:cs="楷体"/>
          <w:sz w:val="24"/>
          <w:szCs w:val="24"/>
          <w:highlight w:val="none"/>
        </w:rPr>
        <w:t>医院</w:t>
      </w:r>
      <w:r>
        <w:rPr>
          <w:rFonts w:hint="eastAsia" w:ascii="楷体" w:hAnsi="楷体" w:eastAsia="楷体" w:cs="楷体"/>
          <w:sz w:val="24"/>
          <w:szCs w:val="24"/>
          <w:highlight w:val="none"/>
          <w:lang w:val="zh-CN"/>
        </w:rPr>
        <w:t>业务系统安全稳定运行。以等级保护建设为主线，以让</w:t>
      </w:r>
      <w:r>
        <w:rPr>
          <w:rFonts w:hint="eastAsia" w:ascii="楷体" w:hAnsi="楷体" w:eastAsia="楷体" w:cs="楷体"/>
          <w:sz w:val="24"/>
          <w:szCs w:val="24"/>
          <w:highlight w:val="none"/>
        </w:rPr>
        <w:t>医院HIS、LIS、等</w:t>
      </w:r>
      <w:r>
        <w:rPr>
          <w:rFonts w:hint="eastAsia" w:ascii="楷体" w:hAnsi="楷体" w:eastAsia="楷体" w:cs="楷体"/>
          <w:sz w:val="24"/>
          <w:szCs w:val="24"/>
          <w:highlight w:val="none"/>
          <w:lang w:val="zh-CN"/>
        </w:rPr>
        <w:t>信息系统达到安全等级保护要求。借助网络产品、安全产品、安全服务、管理制度等手段，建立全网的安全防控管理服务体系，从而全面提高商洛市妇幼保健医院的安全防护能力。</w:t>
      </w:r>
    </w:p>
    <w:p>
      <w:pPr>
        <w:spacing w:line="360" w:lineRule="auto"/>
        <w:ind w:firstLine="480" w:firstLineChars="200"/>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医院</w:t>
      </w:r>
      <w:r>
        <w:rPr>
          <w:rFonts w:hint="eastAsia" w:ascii="楷体" w:hAnsi="楷体" w:eastAsia="楷体" w:cs="楷体"/>
          <w:sz w:val="24"/>
          <w:szCs w:val="24"/>
          <w:highlight w:val="none"/>
        </w:rPr>
        <w:t>现状分为三个院区</w:t>
      </w:r>
      <w:r>
        <w:rPr>
          <w:rFonts w:hint="eastAsia" w:ascii="楷体" w:hAnsi="楷体" w:eastAsia="楷体" w:cs="楷体"/>
          <w:sz w:val="24"/>
          <w:szCs w:val="24"/>
          <w:highlight w:val="none"/>
          <w:lang w:val="zh-CN"/>
        </w:rPr>
        <w:t>，分别为妇幼保健院（老院区）、妇产医院（新院区）和口腔院区（新院区），各院区之间通过运营商裸光纤进行数据的访问。</w:t>
      </w:r>
    </w:p>
    <w:p>
      <w:pPr>
        <w:spacing w:line="360" w:lineRule="auto"/>
        <w:ind w:firstLine="480" w:firstLineChars="200"/>
        <w:rPr>
          <w:rFonts w:hint="eastAsia" w:ascii="楷体" w:hAnsi="楷体" w:eastAsia="楷体" w:cs="楷体"/>
          <w:sz w:val="24"/>
          <w:szCs w:val="24"/>
          <w:highlight w:val="none"/>
          <w:lang w:val="zh-CN" w:eastAsia="zh-CN"/>
        </w:rPr>
      </w:pPr>
      <w:r>
        <w:rPr>
          <w:rFonts w:hint="eastAsia" w:ascii="楷体" w:hAnsi="楷体" w:eastAsia="楷体" w:cs="楷体"/>
          <w:sz w:val="24"/>
          <w:szCs w:val="24"/>
          <w:highlight w:val="none"/>
          <w:lang w:val="zh-CN" w:eastAsia="zh-CN"/>
        </w:rPr>
        <w:t>采购内容:商洛市妇幼保健院网络安全等级保护建设项目。</w:t>
      </w:r>
    </w:p>
    <w:p>
      <w:pPr>
        <w:spacing w:line="360" w:lineRule="auto"/>
        <w:ind w:firstLine="480" w:firstLineChars="200"/>
        <w:rPr>
          <w:rFonts w:hint="eastAsia" w:ascii="楷体" w:hAnsi="楷体" w:eastAsia="楷体" w:cs="楷体"/>
          <w:sz w:val="24"/>
          <w:szCs w:val="24"/>
          <w:highlight w:val="none"/>
          <w:lang w:val="zh-CN" w:eastAsia="zh-CN"/>
        </w:rPr>
      </w:pPr>
      <w:r>
        <w:rPr>
          <w:rFonts w:hint="eastAsia" w:ascii="楷体" w:hAnsi="楷体" w:eastAsia="楷体" w:cs="楷体"/>
          <w:sz w:val="24"/>
          <w:szCs w:val="24"/>
          <w:highlight w:val="none"/>
          <w:lang w:val="zh-CN" w:eastAsia="zh-CN"/>
        </w:rPr>
        <w:t>采购数量:1项。</w:t>
      </w:r>
    </w:p>
    <w:p>
      <w:pPr>
        <w:spacing w:line="360" w:lineRule="auto"/>
        <w:ind w:firstLine="480" w:firstLineChars="200"/>
        <w:rPr>
          <w:rFonts w:hint="eastAsia" w:ascii="楷体" w:hAnsi="楷体" w:eastAsia="楷体" w:cs="楷体"/>
          <w:sz w:val="24"/>
          <w:szCs w:val="24"/>
          <w:highlight w:val="none"/>
          <w:lang w:val="zh-CN" w:eastAsia="zh-CN"/>
        </w:rPr>
      </w:pPr>
      <w:r>
        <w:rPr>
          <w:rFonts w:hint="eastAsia" w:ascii="楷体" w:hAnsi="楷体" w:eastAsia="楷体" w:cs="楷体"/>
          <w:sz w:val="24"/>
          <w:szCs w:val="24"/>
          <w:highlight w:val="none"/>
          <w:lang w:val="zh-CN" w:eastAsia="zh-CN"/>
        </w:rPr>
        <w:t>主要功能或目标:满足</w:t>
      </w:r>
      <w:r>
        <w:rPr>
          <w:rFonts w:hint="eastAsia" w:ascii="楷体" w:hAnsi="楷体" w:eastAsia="楷体" w:cs="楷体"/>
          <w:sz w:val="24"/>
          <w:szCs w:val="24"/>
          <w:highlight w:val="none"/>
          <w:lang w:val="en-US" w:eastAsia="zh-CN"/>
        </w:rPr>
        <w:t>医院网络等级评审要求和医院网络安全实际需求</w:t>
      </w:r>
      <w:r>
        <w:rPr>
          <w:rFonts w:hint="eastAsia" w:ascii="楷体" w:hAnsi="楷体" w:eastAsia="楷体" w:cs="楷体"/>
          <w:sz w:val="24"/>
          <w:szCs w:val="24"/>
          <w:highlight w:val="none"/>
          <w:lang w:val="zh-CN" w:eastAsia="zh-CN"/>
        </w:rPr>
        <w:t>的医院网络安全等级保护。</w:t>
      </w:r>
    </w:p>
    <w:p>
      <w:pPr>
        <w:rPr>
          <w:rFonts w:hint="eastAsia" w:ascii="楷体" w:hAnsi="楷体" w:eastAsia="楷体" w:cs="楷体"/>
          <w:sz w:val="24"/>
          <w:szCs w:val="24"/>
          <w:highlight w:val="none"/>
          <w:lang w:val="zh-CN" w:eastAsia="zh-CN"/>
        </w:rPr>
      </w:pPr>
      <w:r>
        <w:rPr>
          <w:rFonts w:hint="eastAsia" w:ascii="楷体" w:hAnsi="楷体" w:eastAsia="楷体" w:cs="楷体"/>
          <w:sz w:val="24"/>
          <w:szCs w:val="24"/>
          <w:highlight w:val="none"/>
          <w:lang w:val="zh-CN" w:eastAsia="zh-CN"/>
        </w:rPr>
        <w:br w:type="page"/>
      </w:r>
    </w:p>
    <w:p>
      <w:pPr>
        <w:keepNext w:val="0"/>
        <w:keepLines w:val="0"/>
        <w:pageBreakBefore w:val="0"/>
        <w:widowControl w:val="0"/>
        <w:kinsoku/>
        <w:wordWrap/>
        <w:overflowPunct/>
        <w:topLinePunct w:val="0"/>
        <w:autoSpaceDE/>
        <w:autoSpaceDN/>
        <w:bidi w:val="0"/>
        <w:adjustRightInd w:val="0"/>
        <w:snapToGrid w:val="0"/>
        <w:spacing w:before="100" w:after="100" w:line="240" w:lineRule="auto"/>
        <w:jc w:val="both"/>
        <w:textAlignment w:val="center"/>
        <w:rPr>
          <w:rFonts w:hint="eastAsia" w:ascii="楷体" w:hAnsi="楷体" w:eastAsia="楷体" w:cs="楷体"/>
          <w:b/>
          <w:bCs/>
          <w:color w:val="000000"/>
          <w:kern w:val="0"/>
          <w:sz w:val="24"/>
          <w:szCs w:val="24"/>
          <w:highlight w:val="none"/>
          <w:lang w:val="zh-CN" w:bidi="ar"/>
        </w:rPr>
      </w:pPr>
      <w:bookmarkStart w:id="8" w:name="_Toc18778"/>
      <w:bookmarkStart w:id="9" w:name="_Toc9839"/>
      <w:bookmarkStart w:id="10" w:name="_Toc22834"/>
      <w:r>
        <w:rPr>
          <w:rFonts w:hint="eastAsia" w:ascii="楷体" w:hAnsi="楷体" w:eastAsia="楷体" w:cs="楷体"/>
          <w:b/>
          <w:bCs/>
          <w:color w:val="000000"/>
          <w:kern w:val="0"/>
          <w:sz w:val="24"/>
          <w:szCs w:val="24"/>
          <w:highlight w:val="none"/>
          <w:lang w:bidi="ar"/>
        </w:rPr>
        <w:t>一</w:t>
      </w:r>
      <w:bookmarkEnd w:id="8"/>
      <w:bookmarkEnd w:id="9"/>
      <w:bookmarkEnd w:id="10"/>
      <w:r>
        <w:rPr>
          <w:rFonts w:hint="eastAsia" w:ascii="楷体" w:hAnsi="楷体" w:eastAsia="楷体" w:cs="楷体"/>
          <w:b/>
          <w:bCs/>
          <w:color w:val="000000"/>
          <w:kern w:val="0"/>
          <w:sz w:val="24"/>
          <w:szCs w:val="24"/>
          <w:highlight w:val="none"/>
          <w:lang w:eastAsia="zh-CN" w:bidi="ar"/>
        </w:rPr>
        <w:t>、</w:t>
      </w:r>
      <w:r>
        <w:rPr>
          <w:rFonts w:hint="eastAsia" w:ascii="楷体" w:hAnsi="楷体" w:eastAsia="楷体" w:cs="楷体"/>
          <w:b/>
          <w:bCs/>
          <w:color w:val="000000"/>
          <w:kern w:val="0"/>
          <w:sz w:val="24"/>
          <w:szCs w:val="24"/>
          <w:highlight w:val="none"/>
          <w:lang w:bidi="ar"/>
        </w:rPr>
        <w:t>采购清单</w:t>
      </w:r>
    </w:p>
    <w:tbl>
      <w:tblPr>
        <w:tblStyle w:val="30"/>
        <w:tblpPr w:leftFromText="180" w:rightFromText="180" w:vertAnchor="text" w:horzAnchor="page" w:tblpX="2017" w:tblpY="549"/>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307"/>
        <w:gridCol w:w="1068"/>
        <w:gridCol w:w="96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kern w:val="0"/>
                <w:sz w:val="24"/>
                <w:szCs w:val="24"/>
                <w:highlight w:val="none"/>
                <w:lang w:bidi="ar"/>
              </w:rPr>
              <w:t>序号</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kern w:val="0"/>
                <w:sz w:val="24"/>
                <w:szCs w:val="24"/>
                <w:highlight w:val="none"/>
                <w:lang w:bidi="ar"/>
              </w:rPr>
              <w:t>名称</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kern w:val="0"/>
                <w:sz w:val="24"/>
                <w:szCs w:val="24"/>
                <w:highlight w:val="none"/>
                <w:lang w:bidi="ar"/>
              </w:rPr>
              <w:t>单位</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kern w:val="0"/>
                <w:sz w:val="24"/>
                <w:szCs w:val="24"/>
                <w:highlight w:val="none"/>
                <w:lang w:bidi="ar"/>
              </w:rPr>
              <w:t>数量</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外网出口防火墙</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台</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rPr>
                <w:rFonts w:hint="eastAsia" w:ascii="楷体" w:hAnsi="楷体" w:eastAsia="楷体" w:cs="楷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2</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WEB应用安全网关</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台</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rPr>
                <w:rFonts w:hint="eastAsia" w:ascii="楷体" w:hAnsi="楷体" w:eastAsia="楷体" w:cs="楷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3</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APT预警检测平台</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台</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rPr>
                <w:rFonts w:hint="eastAsia" w:ascii="楷体" w:hAnsi="楷体" w:eastAsia="楷体" w:cs="楷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4</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入侵检测(IDS)</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台</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rPr>
                <w:rFonts w:hint="eastAsia" w:ascii="楷体" w:hAnsi="楷体" w:eastAsia="楷体" w:cs="楷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5</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服务器防火墙(FW)</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台</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rPr>
                <w:rFonts w:hint="eastAsia" w:ascii="楷体" w:hAnsi="楷体" w:eastAsia="楷体" w:cs="楷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6</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数据库审计</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台</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rPr>
                <w:rFonts w:hint="eastAsia" w:ascii="楷体" w:hAnsi="楷体" w:eastAsia="楷体" w:cs="楷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7</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内网日志审计(SA)</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台</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rPr>
                <w:rFonts w:hint="eastAsia" w:ascii="楷体" w:hAnsi="楷体" w:eastAsia="楷体" w:cs="楷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8</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堡垒机</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台</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rPr>
                <w:rFonts w:hint="eastAsia" w:ascii="楷体" w:hAnsi="楷体" w:eastAsia="楷体" w:cs="楷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9</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漏洞扫描</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台</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rPr>
                <w:rFonts w:hint="eastAsia" w:ascii="楷体" w:hAnsi="楷体" w:eastAsia="楷体" w:cs="楷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10</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准入控制</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台</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2</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rPr>
                <w:rFonts w:hint="eastAsia" w:ascii="楷体" w:hAnsi="楷体" w:eastAsia="楷体" w:cs="楷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11</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入侵分析中心/态势感知</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台</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rPr>
                <w:rFonts w:hint="eastAsia" w:ascii="楷体" w:hAnsi="楷体" w:eastAsia="楷体" w:cs="楷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12</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备份一体机</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台</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rPr>
                <w:rFonts w:hint="eastAsia" w:ascii="楷体" w:hAnsi="楷体" w:eastAsia="楷体" w:cs="楷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13</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textAlignment w:val="center"/>
              <w:rPr>
                <w:rFonts w:hint="eastAsia" w:ascii="楷体" w:hAnsi="楷体" w:eastAsia="楷体" w:cs="楷体"/>
                <w:color w:val="000000"/>
                <w:kern w:val="0"/>
                <w:sz w:val="24"/>
                <w:szCs w:val="24"/>
                <w:highlight w:val="none"/>
                <w:lang w:eastAsia="zh-CN" w:bidi="ar"/>
              </w:rPr>
            </w:pPr>
            <w:r>
              <w:rPr>
                <w:rFonts w:hint="eastAsia" w:ascii="楷体" w:hAnsi="楷体" w:eastAsia="楷体" w:cs="楷体"/>
                <w:color w:val="000000"/>
                <w:kern w:val="0"/>
                <w:sz w:val="24"/>
                <w:szCs w:val="24"/>
                <w:highlight w:val="none"/>
                <w:lang w:bidi="ar"/>
              </w:rPr>
              <w:t>显示大屏（其它辅材）</w:t>
            </w:r>
          </w:p>
          <w:p>
            <w:pPr>
              <w:pStyle w:val="29"/>
              <w:rPr>
                <w:rFonts w:hint="eastAsia"/>
                <w:lang w:eastAsia="zh-CN"/>
              </w:rPr>
            </w:pP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套</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中心机房网络设备</w:t>
            </w:r>
            <w:r>
              <w:rPr>
                <w:rFonts w:hint="eastAsia" w:ascii="楷体" w:hAnsi="楷体" w:eastAsia="楷体" w:cs="楷体"/>
                <w:color w:val="000000"/>
                <w:kern w:val="0"/>
                <w:sz w:val="24"/>
                <w:szCs w:val="24"/>
                <w:highlight w:val="none"/>
                <w:lang w:val="en-US" w:eastAsia="zh-CN" w:bidi="ar"/>
              </w:rPr>
              <w:t>监测</w:t>
            </w:r>
            <w:r>
              <w:rPr>
                <w:rFonts w:hint="eastAsia" w:ascii="楷体" w:hAnsi="楷体" w:eastAsia="楷体" w:cs="楷体"/>
                <w:color w:val="000000"/>
                <w:kern w:val="0"/>
                <w:sz w:val="24"/>
                <w:szCs w:val="24"/>
                <w:highlight w:val="none"/>
                <w:lang w:bidi="ar"/>
              </w:rPr>
              <w:t>、展示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auto"/>
                <w:kern w:val="0"/>
                <w:sz w:val="24"/>
                <w:szCs w:val="24"/>
                <w:highlight w:val="none"/>
                <w:lang w:val="en-US" w:eastAsia="zh-CN" w:bidi="ar"/>
              </w:rPr>
            </w:pPr>
            <w:r>
              <w:rPr>
                <w:rFonts w:hint="eastAsia" w:ascii="楷体" w:hAnsi="楷体" w:eastAsia="楷体" w:cs="楷体"/>
                <w:color w:val="auto"/>
                <w:kern w:val="0"/>
                <w:sz w:val="24"/>
                <w:szCs w:val="24"/>
                <w:highlight w:val="none"/>
                <w:lang w:val="en-US" w:eastAsia="zh-CN" w:bidi="ar"/>
              </w:rPr>
              <w:t>14</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textAlignment w:val="center"/>
              <w:rPr>
                <w:rFonts w:hint="eastAsia" w:ascii="楷体" w:hAnsi="楷体" w:eastAsia="楷体" w:cs="楷体"/>
                <w:color w:val="auto"/>
                <w:kern w:val="0"/>
                <w:sz w:val="24"/>
                <w:szCs w:val="24"/>
                <w:highlight w:val="none"/>
                <w:lang w:val="en-US" w:eastAsia="zh-CN" w:bidi="ar"/>
              </w:rPr>
            </w:pPr>
            <w:r>
              <w:rPr>
                <w:rFonts w:hint="eastAsia" w:ascii="楷体" w:hAnsi="楷体" w:eastAsia="楷体" w:cs="楷体"/>
                <w:color w:val="auto"/>
                <w:kern w:val="0"/>
                <w:sz w:val="24"/>
                <w:szCs w:val="24"/>
                <w:highlight w:val="none"/>
                <w:lang w:val="en-US" w:eastAsia="zh-CN" w:bidi="ar"/>
              </w:rPr>
              <w:t>现有设备维保升级服务</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auto"/>
                <w:kern w:val="0"/>
                <w:sz w:val="24"/>
                <w:szCs w:val="24"/>
                <w:highlight w:val="none"/>
                <w:lang w:val="en-US" w:eastAsia="zh-CN" w:bidi="ar"/>
              </w:rPr>
            </w:pPr>
            <w:r>
              <w:rPr>
                <w:rFonts w:hint="eastAsia" w:ascii="楷体" w:hAnsi="楷体" w:eastAsia="楷体" w:cs="楷体"/>
                <w:color w:val="auto"/>
                <w:kern w:val="0"/>
                <w:sz w:val="24"/>
                <w:szCs w:val="24"/>
                <w:highlight w:val="none"/>
                <w:lang w:val="en-US" w:eastAsia="zh-CN" w:bidi="ar"/>
              </w:rPr>
              <w:t>台</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auto"/>
                <w:kern w:val="0"/>
                <w:sz w:val="24"/>
                <w:szCs w:val="24"/>
                <w:highlight w:val="none"/>
                <w:lang w:val="en-US" w:eastAsia="zh-CN" w:bidi="ar"/>
              </w:rPr>
            </w:pPr>
            <w:r>
              <w:rPr>
                <w:rFonts w:hint="eastAsia" w:ascii="楷体" w:hAnsi="楷体" w:eastAsia="楷体" w:cs="楷体"/>
                <w:color w:val="auto"/>
                <w:kern w:val="0"/>
                <w:sz w:val="24"/>
                <w:szCs w:val="24"/>
                <w:highlight w:val="none"/>
                <w:lang w:val="en-US" w:eastAsia="zh-CN" w:bidi="ar"/>
              </w:rPr>
              <w:t>4</w:t>
            </w:r>
          </w:p>
        </w:tc>
        <w:tc>
          <w:tcPr>
            <w:tcW w:w="2472"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100" w:after="100" w:line="240" w:lineRule="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详见功能参数表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lang w:eastAsia="zh-CN"/>
              </w:rPr>
            </w:pPr>
            <w:r>
              <w:rPr>
                <w:rFonts w:hint="eastAsia" w:ascii="楷体" w:hAnsi="楷体" w:eastAsia="楷体" w:cs="楷体"/>
                <w:color w:val="000000"/>
                <w:kern w:val="0"/>
                <w:sz w:val="24"/>
                <w:szCs w:val="24"/>
                <w:highlight w:val="none"/>
                <w:lang w:bidi="ar"/>
              </w:rPr>
              <w:t>1</w:t>
            </w:r>
            <w:r>
              <w:rPr>
                <w:rFonts w:hint="eastAsia" w:ascii="楷体" w:hAnsi="楷体" w:eastAsia="楷体" w:cs="楷体"/>
                <w:color w:val="000000"/>
                <w:kern w:val="0"/>
                <w:sz w:val="24"/>
                <w:szCs w:val="24"/>
                <w:highlight w:val="none"/>
                <w:lang w:val="en-US" w:eastAsia="zh-CN" w:bidi="ar"/>
              </w:rPr>
              <w:t>5</w:t>
            </w:r>
          </w:p>
        </w:tc>
        <w:tc>
          <w:tcPr>
            <w:tcW w:w="33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技术服务</w:t>
            </w:r>
          </w:p>
        </w:tc>
        <w:tc>
          <w:tcPr>
            <w:tcW w:w="1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项</w:t>
            </w:r>
          </w:p>
        </w:tc>
        <w:tc>
          <w:tcPr>
            <w:tcW w:w="96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bidi="ar"/>
              </w:rPr>
              <w:t>1</w:t>
            </w:r>
          </w:p>
        </w:tc>
        <w:tc>
          <w:tcPr>
            <w:tcW w:w="247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00" w:after="100" w:line="240" w:lineRule="auto"/>
              <w:jc w:val="center"/>
              <w:rPr>
                <w:rFonts w:hint="eastAsia" w:ascii="楷体" w:hAnsi="楷体" w:eastAsia="楷体" w:cs="楷体"/>
                <w:color w:val="000000"/>
                <w:sz w:val="24"/>
                <w:szCs w:val="24"/>
                <w:highlight w:val="none"/>
              </w:rPr>
            </w:pPr>
          </w:p>
        </w:tc>
      </w:tr>
    </w:tbl>
    <w:p>
      <w:pPr>
        <w:pStyle w:val="5"/>
        <w:rPr>
          <w:rFonts w:hint="eastAsia" w:ascii="楷体" w:hAnsi="楷体" w:eastAsia="楷体" w:cs="楷体"/>
          <w:sz w:val="24"/>
          <w:szCs w:val="24"/>
          <w:highlight w:val="none"/>
        </w:rPr>
        <w:sectPr>
          <w:footerReference r:id="rId9" w:type="default"/>
          <w:pgSz w:w="11906" w:h="16838"/>
          <w:pgMar w:top="1440" w:right="1800" w:bottom="1440" w:left="1800" w:header="851" w:footer="992" w:gutter="0"/>
          <w:pgNumType w:fmt="decimal" w:start="1"/>
          <w:cols w:space="425" w:num="1"/>
          <w:docGrid w:type="lines" w:linePitch="312" w:charSpace="0"/>
        </w:sectPr>
      </w:pPr>
    </w:p>
    <w:p>
      <w:pPr>
        <w:numPr>
          <w:ilvl w:val="0"/>
          <w:numId w:val="8"/>
        </w:numPr>
        <w:spacing w:line="360" w:lineRule="auto"/>
        <w:outlineLvl w:val="9"/>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功能参数</w:t>
      </w:r>
    </w:p>
    <w:p>
      <w:pPr>
        <w:pStyle w:val="29"/>
        <w:numPr>
          <w:ilvl w:val="0"/>
          <w:numId w:val="0"/>
        </w:numPr>
        <w:rPr>
          <w:rFonts w:hint="eastAsia"/>
          <w:highlight w:val="none"/>
        </w:rPr>
      </w:pP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776"/>
        <w:gridCol w:w="4597"/>
        <w:gridCol w:w="698"/>
        <w:gridCol w:w="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序号</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名称</w:t>
            </w:r>
          </w:p>
        </w:tc>
        <w:tc>
          <w:tcPr>
            <w:tcW w:w="2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描述</w:t>
            </w:r>
          </w:p>
        </w:tc>
        <w:tc>
          <w:tcPr>
            <w:tcW w:w="4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单位</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1" w:type="pct"/>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1</w:t>
            </w:r>
          </w:p>
        </w:tc>
        <w:tc>
          <w:tcPr>
            <w:tcW w:w="1048" w:type="pc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外网出口防火墙</w:t>
            </w:r>
          </w:p>
        </w:tc>
        <w:tc>
          <w:tcPr>
            <w:tcW w:w="2712"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rPr>
              <w:t>国产知名品牌，标准2U机箱，冗余电源，配置≥10个10/100/1000M自适应电口，≥4个SFP插槽，扩展槽≥1，1个Console口，≥1T存储容量的企业级硬盘，支持液晶屏；网络处理能力≥10G，并发连接≥260万，每秒新建连接≥18万/秒</w:t>
            </w:r>
          </w:p>
          <w:p>
            <w:pPr>
              <w:widowControl/>
              <w:spacing w:line="240" w:lineRule="auto"/>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rPr>
              <w:t>网络协议</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支持共享上网检测功能，支持共享接入检测和共享接入管控功能，可以通过设置管控地址和例外地址优化管控功能，同时支持阻断或告警动作</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支持配置基于IPv6地址的安全策略，并在一条策略中可同时启用入侵防御、反病毒、URL过滤、应用识别、反间谍软件等安全功能；</w:t>
            </w:r>
          </w:p>
          <w:p>
            <w:pPr>
              <w:widowControl/>
              <w:spacing w:line="240" w:lineRule="auto"/>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病毒防护：所投产品应具备本地、云端双擎查杀能力，必须能够对HTTP/FTP/POP3/SMTP/IMAP/SMB六种协议进行病毒查杀，以及对至少6级压缩文件进行解压查杀；</w:t>
            </w:r>
          </w:p>
          <w:p>
            <w:pPr>
              <w:widowControl/>
              <w:spacing w:line="240" w:lineRule="auto"/>
              <w:rPr>
                <w:rFonts w:hint="eastAsia" w:ascii="楷体" w:hAnsi="楷体" w:eastAsia="楷体" w:cs="楷体"/>
                <w:b w:val="0"/>
                <w:bCs w:val="0"/>
                <w:color w:val="auto"/>
                <w:kern w:val="0"/>
                <w:sz w:val="24"/>
                <w:szCs w:val="24"/>
                <w:highlight w:val="none"/>
                <w:lang w:eastAsia="zh-CN"/>
              </w:rPr>
            </w:pPr>
            <w:r>
              <w:rPr>
                <w:rFonts w:hint="eastAsia" w:ascii="楷体" w:hAnsi="楷体" w:eastAsia="楷体" w:cs="楷体"/>
                <w:b w:val="0"/>
                <w:bCs w:val="0"/>
                <w:color w:val="auto"/>
                <w:kern w:val="0"/>
                <w:sz w:val="24"/>
                <w:szCs w:val="24"/>
                <w:highlight w:val="none"/>
              </w:rPr>
              <w:t>入侵防御</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应内置高质量漏洞攻击特征，应能够防御“永恒之蓝”、“震网三代”、“暗云3”、“Struts”、“Struts2”、“Xshell后门代码”等高危流行漏洞；漏洞特征应具备丰富的描述信息，至少包括对应的攻击的名称、CVEID、CNNVDID、严重性、影响的平台、类型、描述等详细信息</w:t>
            </w:r>
            <w:r>
              <w:rPr>
                <w:rFonts w:hint="eastAsia" w:ascii="楷体" w:hAnsi="楷体" w:eastAsia="楷体" w:cs="楷体"/>
                <w:b w:val="0"/>
                <w:bCs w:val="0"/>
                <w:color w:val="auto"/>
                <w:kern w:val="0"/>
                <w:sz w:val="24"/>
                <w:szCs w:val="24"/>
                <w:highlight w:val="none"/>
                <w:lang w:eastAsia="zh-CN"/>
              </w:rPr>
              <w:t>；</w:t>
            </w:r>
          </w:p>
          <w:p>
            <w:pPr>
              <w:widowControl/>
              <w:spacing w:line="240" w:lineRule="auto"/>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color w:val="auto"/>
                <w:kern w:val="0"/>
                <w:sz w:val="24"/>
                <w:szCs w:val="24"/>
                <w:highlight w:val="none"/>
              </w:rPr>
              <w:t>协同联动防御</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支持与本方案中配置的终端准入控制系统联动，实现基于终端健康状态的访问控制；并支持阻断“高风险”终端网络活动的同时，提示被阻断原因及重定向自定义网址；支持与云端联动，至少实现病毒云查杀、URL云识别、应用云识别、云沙箱、威胁情报云检测等功能</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所投产品须支持作为轻量级“探针”与本方案中配置的态势感知分析平台联动，上报网络活动产生的数据至网络威胁感知系统；并支持接收来自网络威胁感知系统推送的处置策略，及时拦截绕过防御措施产生的高级威胁</w:t>
            </w:r>
            <w:r>
              <w:rPr>
                <w:rFonts w:hint="eastAsia" w:ascii="楷体" w:hAnsi="楷体" w:eastAsia="楷体" w:cs="楷体"/>
                <w:b w:val="0"/>
                <w:bCs w:val="0"/>
                <w:color w:val="auto"/>
                <w:kern w:val="0"/>
                <w:sz w:val="24"/>
                <w:szCs w:val="24"/>
                <w:highlight w:val="none"/>
                <w:lang w:val="en-US" w:eastAsia="zh-CN"/>
              </w:rPr>
              <w:t>(三年质保+三年特征库升级）</w:t>
            </w:r>
          </w:p>
        </w:tc>
        <w:tc>
          <w:tcPr>
            <w:tcW w:w="41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2</w:t>
            </w:r>
          </w:p>
        </w:tc>
        <w:tc>
          <w:tcPr>
            <w:tcW w:w="104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WEB应用安全网关</w:t>
            </w:r>
          </w:p>
        </w:tc>
        <w:tc>
          <w:tcPr>
            <w:tcW w:w="27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rPr>
              <w:t>硬件规格</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国产知名品牌，标准机架式1U设备，系统硬件采用全内置封闭式结构，产品稳定可靠性高</w:t>
            </w:r>
          </w:p>
          <w:p>
            <w:pPr>
              <w:widowControl/>
              <w:spacing w:line="240" w:lineRule="auto"/>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rPr>
              <w:t>产品须为专业性WEB应用防火墙设备，而非NGAF、NGFW、UTM设备</w:t>
            </w:r>
          </w:p>
          <w:p>
            <w:pPr>
              <w:keepNext w:val="0"/>
              <w:keepLines w:val="0"/>
              <w:widowControl/>
              <w:suppressLineNumbers w:val="0"/>
              <w:spacing w:line="240" w:lineRule="auto"/>
              <w:jc w:val="left"/>
              <w:textAlignment w:val="center"/>
              <w:rPr>
                <w:rFonts w:hint="eastAsia" w:ascii="楷体" w:hAnsi="楷体" w:eastAsia="楷体" w:cs="楷体"/>
                <w:b w:val="0"/>
                <w:bCs w:val="0"/>
                <w:color w:val="auto"/>
                <w:kern w:val="0"/>
                <w:sz w:val="24"/>
                <w:szCs w:val="24"/>
                <w:highlight w:val="none"/>
                <w:lang w:eastAsia="zh-CN"/>
              </w:rPr>
            </w:pPr>
            <w:r>
              <w:rPr>
                <w:rFonts w:hint="eastAsia" w:ascii="楷体" w:hAnsi="楷体" w:eastAsia="楷体" w:cs="楷体"/>
                <w:b w:val="0"/>
                <w:bCs w:val="0"/>
                <w:color w:val="auto"/>
                <w:kern w:val="0"/>
                <w:sz w:val="24"/>
                <w:szCs w:val="24"/>
                <w:highlight w:val="none"/>
              </w:rPr>
              <w:t>具备≥6个10/100/1000自适应电口，≥4个SFP千兆光口，支持≥1个扩展槽位，2组bypass，1个Console口，2个USB口.Web安全保护≥16个站点</w:t>
            </w:r>
            <w:r>
              <w:rPr>
                <w:rFonts w:hint="eastAsia" w:ascii="楷体" w:hAnsi="楷体" w:eastAsia="楷体" w:cs="楷体"/>
                <w:b w:val="0"/>
                <w:bCs w:val="0"/>
                <w:color w:val="auto"/>
                <w:kern w:val="0"/>
                <w:sz w:val="24"/>
                <w:szCs w:val="24"/>
                <w:highlight w:val="none"/>
                <w:lang w:eastAsia="zh-CN"/>
              </w:rPr>
              <w:t>，硬盘≥1T；</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color w:val="auto"/>
                <w:kern w:val="0"/>
                <w:sz w:val="24"/>
                <w:szCs w:val="24"/>
                <w:highlight w:val="none"/>
              </w:rPr>
              <w:t>性能要求</w:t>
            </w:r>
            <w:r>
              <w:rPr>
                <w:rFonts w:hint="eastAsia" w:ascii="楷体" w:hAnsi="楷体" w:eastAsia="楷体" w:cs="楷体"/>
                <w:b w:val="0"/>
                <w:bCs w:val="0"/>
                <w:color w:val="auto"/>
                <w:kern w:val="0"/>
                <w:sz w:val="24"/>
                <w:szCs w:val="24"/>
                <w:highlight w:val="none"/>
                <w:lang w:eastAsia="zh-CN"/>
              </w:rPr>
              <w:t>：</w:t>
            </w:r>
          </w:p>
          <w:p>
            <w:pPr>
              <w:widowControl/>
              <w:spacing w:line="240" w:lineRule="auto"/>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rPr>
              <w:t>网络吞吐量≥1Gbps，应用层处理能力≥500Mbps，网络层最大并发连接数≥65万，HTTP最大并发≥24万，HTTP新建连接数≥5000/s；</w:t>
            </w:r>
          </w:p>
          <w:p>
            <w:pPr>
              <w:pStyle w:val="3"/>
              <w:spacing w:line="240" w:lineRule="auto"/>
              <w:ind w:left="0" w:leftChars="0" w:firstLine="0" w:firstLineChars="0"/>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color w:val="auto"/>
                <w:kern w:val="0"/>
                <w:sz w:val="24"/>
                <w:szCs w:val="24"/>
                <w:highlight w:val="none"/>
              </w:rPr>
              <w:t>Web安全</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产品具备SQL注入、XSS跨站攻击防御策略，支持特征检测与语义算法检测</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产品具备检测TCP并发链接数，TCP新建链接数，TCP带宽（c2s），UDP带宽（c2s），ICMP带宽（c2s），HTTP GET 速率，HTTP POST 速率，HTTP 其他请求速率，DNS 查询请求速率，并发IP数量等单用户和总量进行自定义阈值配置</w:t>
            </w:r>
            <w:r>
              <w:rPr>
                <w:rFonts w:hint="eastAsia" w:ascii="楷体" w:hAnsi="楷体" w:eastAsia="楷体" w:cs="楷体"/>
                <w:b w:val="0"/>
                <w:bCs w:val="0"/>
                <w:i w:val="0"/>
                <w:iCs w:val="0"/>
                <w:color w:val="auto"/>
                <w:kern w:val="0"/>
                <w:sz w:val="24"/>
                <w:szCs w:val="24"/>
                <w:highlight w:val="none"/>
                <w:u w:val="none"/>
                <w:lang w:val="en-US" w:eastAsia="zh-CN" w:bidi="ar"/>
              </w:rPr>
              <w:t>。</w:t>
            </w:r>
          </w:p>
          <w:p>
            <w:pPr>
              <w:pStyle w:val="3"/>
              <w:spacing w:line="240" w:lineRule="auto"/>
              <w:ind w:left="0" w:leftChars="0" w:firstLine="0" w:firstLineChars="0"/>
              <w:rPr>
                <w:rFonts w:hint="eastAsia" w:ascii="楷体" w:hAnsi="楷体" w:eastAsia="楷体" w:cs="楷体"/>
                <w:b w:val="0"/>
                <w:bCs w:val="0"/>
                <w:color w:val="auto"/>
                <w:kern w:val="0"/>
                <w:sz w:val="24"/>
                <w:szCs w:val="24"/>
                <w:highlight w:val="none"/>
                <w:lang w:eastAsia="zh-CN"/>
              </w:rPr>
            </w:pPr>
            <w:r>
              <w:rPr>
                <w:rFonts w:hint="eastAsia" w:ascii="楷体" w:hAnsi="楷体" w:eastAsia="楷体" w:cs="楷体"/>
                <w:b w:val="0"/>
                <w:bCs w:val="0"/>
                <w:color w:val="auto"/>
                <w:kern w:val="0"/>
                <w:sz w:val="24"/>
                <w:szCs w:val="24"/>
                <w:highlight w:val="none"/>
              </w:rPr>
              <w:t>威胁情报中心</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产品具备对威胁情报中心提供的相关数据运用到产品防御策略中，提供基于僵尸网络、恶意IP、扫描刺探、Webshell、代理IP、漏洞利用、暴力破解、恶意代码以及木马蠕虫等情报类型</w:t>
            </w:r>
            <w:r>
              <w:rPr>
                <w:rFonts w:hint="eastAsia" w:ascii="楷体" w:hAnsi="楷体" w:eastAsia="楷体" w:cs="楷体"/>
                <w:b w:val="0"/>
                <w:bCs w:val="0"/>
                <w:color w:val="auto"/>
                <w:kern w:val="0"/>
                <w:sz w:val="24"/>
                <w:szCs w:val="24"/>
                <w:highlight w:val="none"/>
                <w:lang w:eastAsia="zh-CN"/>
              </w:rPr>
              <w:t>；</w:t>
            </w:r>
          </w:p>
          <w:p>
            <w:pPr>
              <w:pStyle w:val="3"/>
              <w:spacing w:line="240" w:lineRule="auto"/>
              <w:ind w:left="0" w:leftChars="0" w:firstLine="0" w:firstLineChars="0"/>
              <w:rPr>
                <w:rFonts w:hint="eastAsia" w:ascii="楷体" w:hAnsi="楷体" w:eastAsia="楷体" w:cs="楷体"/>
                <w:b w:val="0"/>
                <w:bCs w:val="0"/>
                <w:color w:val="auto"/>
                <w:kern w:val="0"/>
                <w:sz w:val="24"/>
                <w:szCs w:val="24"/>
                <w:highlight w:val="none"/>
                <w:lang w:eastAsia="zh-CN"/>
              </w:rPr>
            </w:pPr>
            <w:r>
              <w:rPr>
                <w:rFonts w:hint="eastAsia" w:ascii="楷体" w:hAnsi="楷体" w:eastAsia="楷体" w:cs="楷体"/>
                <w:b w:val="0"/>
                <w:bCs w:val="0"/>
                <w:color w:val="auto"/>
                <w:kern w:val="0"/>
                <w:sz w:val="24"/>
                <w:szCs w:val="24"/>
                <w:highlight w:val="none"/>
              </w:rPr>
              <w:t>入侵防御</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产品具备入侵防御功能，并提供入侵防御特征库，特征库需要提供≥2</w:t>
            </w:r>
            <w:r>
              <w:rPr>
                <w:rFonts w:hint="eastAsia" w:ascii="楷体" w:hAnsi="楷体" w:eastAsia="楷体" w:cs="楷体"/>
                <w:b w:val="0"/>
                <w:bCs w:val="0"/>
                <w:color w:val="auto"/>
                <w:kern w:val="0"/>
                <w:sz w:val="24"/>
                <w:szCs w:val="24"/>
                <w:highlight w:val="none"/>
                <w:lang w:val="en-US" w:eastAsia="zh-CN"/>
              </w:rPr>
              <w:t>0</w:t>
            </w:r>
            <w:r>
              <w:rPr>
                <w:rFonts w:hint="eastAsia" w:ascii="楷体" w:hAnsi="楷体" w:eastAsia="楷体" w:cs="楷体"/>
                <w:b w:val="0"/>
                <w:bCs w:val="0"/>
                <w:color w:val="auto"/>
                <w:kern w:val="0"/>
                <w:sz w:val="24"/>
                <w:szCs w:val="24"/>
                <w:highlight w:val="none"/>
              </w:rPr>
              <w:t>种类型并提供至少13000条入侵特征库</w:t>
            </w:r>
            <w:r>
              <w:rPr>
                <w:rFonts w:hint="eastAsia" w:ascii="楷体" w:hAnsi="楷体" w:eastAsia="楷体" w:cs="楷体"/>
                <w:b w:val="0"/>
                <w:bCs w:val="0"/>
                <w:color w:val="auto"/>
                <w:kern w:val="0"/>
                <w:sz w:val="24"/>
                <w:szCs w:val="24"/>
                <w:highlight w:val="none"/>
                <w:lang w:eastAsia="zh-CN"/>
              </w:rPr>
              <w:t>；</w:t>
            </w:r>
          </w:p>
          <w:p>
            <w:pPr>
              <w:pStyle w:val="3"/>
              <w:spacing w:line="240" w:lineRule="auto"/>
              <w:ind w:left="0" w:leftChars="0" w:firstLine="0" w:firstLineChars="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rPr>
              <w:t>系统管理</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产品具备安全态势大屏实时展示，可通过产品自带的实时态势监测模块进行攻击态势地图展示，包含对源地域、目标资产、安全防护攻击类型、攻击趋势、HTTP并发请求及实时事件统计</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产品具备移动终端对设备的一键管控功能，提供网站一键下线的终端应急措施</w:t>
            </w:r>
            <w:r>
              <w:rPr>
                <w:rFonts w:hint="eastAsia" w:ascii="楷体" w:hAnsi="楷体" w:eastAsia="楷体" w:cs="楷体"/>
                <w:b w:val="0"/>
                <w:bCs w:val="0"/>
                <w:color w:val="auto"/>
                <w:kern w:val="0"/>
                <w:sz w:val="24"/>
                <w:szCs w:val="24"/>
                <w:highlight w:val="none"/>
                <w:lang w:eastAsia="zh-CN"/>
              </w:rPr>
              <w:t>；</w:t>
            </w:r>
          </w:p>
          <w:p>
            <w:pPr>
              <w:pStyle w:val="3"/>
              <w:spacing w:line="240" w:lineRule="auto"/>
              <w:ind w:left="0" w:leftChars="0" w:firstLine="0" w:firstLineChars="0"/>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((三年质保+三年特征库升级+威胁情报）)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3</w:t>
            </w:r>
          </w:p>
        </w:tc>
        <w:tc>
          <w:tcPr>
            <w:tcW w:w="104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APT预警检测平台</w:t>
            </w:r>
          </w:p>
        </w:tc>
        <w:tc>
          <w:tcPr>
            <w:tcW w:w="2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rPr>
              <w:t>多核架构，同时开启网络流量采集、威胁数据采集和日志上报功能情况下混合流吞吐量≥1Gbps，HTTP并发连接数≥300万，HTTP新建连接速率≥10万/秒；2U机箱，≥6个10/100/1000M自适应千兆电口，1个Console口，≥2个接口扩展板卡插槽，</w:t>
            </w:r>
          </w:p>
          <w:p>
            <w:pPr>
              <w:keepNext w:val="0"/>
              <w:keepLines w:val="0"/>
              <w:widowControl/>
              <w:suppressLineNumbers w:val="0"/>
              <w:spacing w:line="240" w:lineRule="auto"/>
              <w:jc w:val="left"/>
              <w:textAlignment w:val="center"/>
              <w:rPr>
                <w:rFonts w:hint="eastAsia" w:ascii="楷体" w:hAnsi="楷体" w:eastAsia="楷体" w:cs="楷体"/>
                <w:b w:val="0"/>
                <w:bCs w:val="0"/>
                <w:color w:val="auto"/>
                <w:kern w:val="0"/>
                <w:sz w:val="24"/>
                <w:szCs w:val="24"/>
                <w:highlight w:val="none"/>
                <w:lang w:eastAsia="zh-CN"/>
              </w:rPr>
            </w:pPr>
            <w:r>
              <w:rPr>
                <w:rFonts w:hint="eastAsia" w:ascii="楷体" w:hAnsi="楷体" w:eastAsia="楷体" w:cs="楷体"/>
                <w:b w:val="0"/>
                <w:bCs w:val="0"/>
                <w:color w:val="auto"/>
                <w:kern w:val="0"/>
                <w:sz w:val="24"/>
                <w:szCs w:val="24"/>
                <w:highlight w:val="none"/>
              </w:rPr>
              <w:t>流量采集</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需支持空载荷过滤，支持对采集的流量的上下行载荷长度设置</w:t>
            </w:r>
            <w:r>
              <w:rPr>
                <w:rFonts w:hint="eastAsia" w:ascii="楷体" w:hAnsi="楷体" w:eastAsia="楷体" w:cs="楷体"/>
                <w:b w:val="0"/>
                <w:bCs w:val="0"/>
                <w:color w:val="auto"/>
                <w:kern w:val="0"/>
                <w:sz w:val="24"/>
                <w:szCs w:val="24"/>
                <w:highlight w:val="none"/>
                <w:lang w:eastAsia="zh-CN"/>
              </w:rPr>
              <w:t>；</w:t>
            </w:r>
          </w:p>
          <w:p>
            <w:pPr>
              <w:keepNext w:val="0"/>
              <w:keepLines w:val="0"/>
              <w:widowControl/>
              <w:suppressLineNumbers w:val="0"/>
              <w:spacing w:line="240" w:lineRule="auto"/>
              <w:jc w:val="left"/>
              <w:textAlignment w:val="center"/>
              <w:rPr>
                <w:rFonts w:hint="eastAsia" w:ascii="楷体" w:hAnsi="楷体" w:eastAsia="楷体" w:cs="楷体"/>
                <w:b w:val="0"/>
                <w:bCs w:val="0"/>
                <w:color w:val="auto"/>
                <w:kern w:val="0"/>
                <w:sz w:val="24"/>
                <w:szCs w:val="24"/>
                <w:highlight w:val="none"/>
                <w:lang w:eastAsia="zh-CN"/>
              </w:rPr>
            </w:pPr>
            <w:r>
              <w:rPr>
                <w:rFonts w:hint="eastAsia" w:ascii="楷体" w:hAnsi="楷体" w:eastAsia="楷体" w:cs="楷体"/>
                <w:b w:val="0"/>
                <w:bCs w:val="0"/>
                <w:color w:val="auto"/>
                <w:kern w:val="0"/>
                <w:sz w:val="24"/>
                <w:szCs w:val="24"/>
                <w:highlight w:val="none"/>
              </w:rPr>
              <w:t>流量识别与解析</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支持VXLAN、GRE 、VLAN 、MPLS的流量接入与解析，日志中可提现响应标识信息</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支持ICMP、DHCP、HTTP、TELNET、DNS、SSL等基础协议的解析</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支持LDAP、Kerberos、Radius等认证解析</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具有自定义解析流量能力，支持基于正则表达式、TLV格式、固定长度等提取模式对应用流量解析</w:t>
            </w:r>
            <w:r>
              <w:rPr>
                <w:rFonts w:hint="eastAsia" w:ascii="楷体" w:hAnsi="楷体" w:eastAsia="楷体" w:cs="楷体"/>
                <w:b w:val="0"/>
                <w:bCs w:val="0"/>
                <w:color w:val="auto"/>
                <w:kern w:val="0"/>
                <w:sz w:val="24"/>
                <w:szCs w:val="24"/>
                <w:highlight w:val="none"/>
                <w:lang w:eastAsia="zh-CN"/>
              </w:rPr>
              <w:t>；</w:t>
            </w:r>
          </w:p>
          <w:p>
            <w:pPr>
              <w:keepNext w:val="0"/>
              <w:keepLines w:val="0"/>
              <w:widowControl/>
              <w:suppressLineNumbers w:val="0"/>
              <w:spacing w:line="240" w:lineRule="auto"/>
              <w:jc w:val="left"/>
              <w:textAlignment w:val="center"/>
              <w:rPr>
                <w:rFonts w:hint="eastAsia" w:ascii="楷体" w:hAnsi="楷体" w:eastAsia="楷体" w:cs="楷体"/>
                <w:b w:val="0"/>
                <w:bCs w:val="0"/>
                <w:color w:val="auto"/>
                <w:kern w:val="0"/>
                <w:sz w:val="24"/>
                <w:szCs w:val="24"/>
                <w:highlight w:val="none"/>
                <w:lang w:eastAsia="zh-CN"/>
              </w:rPr>
            </w:pPr>
            <w:r>
              <w:rPr>
                <w:rFonts w:hint="eastAsia" w:ascii="楷体" w:hAnsi="楷体" w:eastAsia="楷体" w:cs="楷体"/>
                <w:b w:val="0"/>
                <w:bCs w:val="0"/>
                <w:color w:val="auto"/>
                <w:kern w:val="0"/>
                <w:sz w:val="24"/>
                <w:szCs w:val="24"/>
                <w:highlight w:val="none"/>
              </w:rPr>
              <w:t>威胁检测</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本地集成威胁情报库，支持实现基于威胁情报的失陷主机检测，情报不少于200万</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支持可信主机和可信MAC功能，仅可信地址可访问该设备</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color w:val="auto"/>
                <w:kern w:val="0"/>
                <w:sz w:val="24"/>
                <w:szCs w:val="24"/>
                <w:highlight w:val="none"/>
                <w:lang w:val="en-US" w:eastAsia="zh-CN"/>
              </w:rPr>
              <w:t>服务：</w:t>
            </w:r>
            <w:r>
              <w:rPr>
                <w:rFonts w:hint="eastAsia" w:ascii="楷体" w:hAnsi="楷体" w:eastAsia="楷体" w:cs="楷体"/>
                <w:b w:val="0"/>
                <w:bCs w:val="0"/>
                <w:color w:val="auto"/>
                <w:kern w:val="0"/>
                <w:sz w:val="24"/>
                <w:szCs w:val="24"/>
                <w:highlight w:val="none"/>
              </w:rPr>
              <w:t>3年硬件维</w:t>
            </w:r>
            <w:r>
              <w:rPr>
                <w:rFonts w:hint="eastAsia" w:ascii="楷体" w:hAnsi="楷体" w:eastAsia="楷体" w:cs="楷体"/>
                <w:b w:val="0"/>
                <w:bCs w:val="0"/>
                <w:color w:val="auto"/>
                <w:kern w:val="0"/>
                <w:sz w:val="24"/>
                <w:szCs w:val="24"/>
                <w:highlight w:val="none"/>
                <w:lang w:val="en-US" w:eastAsia="zh-CN"/>
              </w:rPr>
              <w:t>保</w:t>
            </w:r>
            <w:r>
              <w:rPr>
                <w:rFonts w:hint="eastAsia" w:ascii="楷体" w:hAnsi="楷体" w:eastAsia="楷体" w:cs="楷体"/>
                <w:b w:val="0"/>
                <w:bCs w:val="0"/>
                <w:color w:val="auto"/>
                <w:kern w:val="0"/>
                <w:sz w:val="24"/>
                <w:szCs w:val="24"/>
                <w:highlight w:val="none"/>
              </w:rPr>
              <w:t>服务</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4</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入侵检测(IDS)</w:t>
            </w:r>
          </w:p>
        </w:tc>
        <w:tc>
          <w:tcPr>
            <w:tcW w:w="2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1.硬件：采用非X86多核架构，2U机架式设备，≥1个独立管理口+≥6个千兆电口+≥4个Combo口+≥4个千兆光口+≥6个万兆光口，2个接口卡扩展槽位，</w:t>
            </w:r>
            <w:r>
              <w:rPr>
                <w:rFonts w:hint="eastAsia" w:ascii="楷体" w:hAnsi="楷体" w:eastAsia="楷体" w:cs="楷体"/>
                <w:b w:val="0"/>
                <w:bCs w:val="0"/>
                <w:color w:val="auto"/>
                <w:kern w:val="0"/>
                <w:sz w:val="24"/>
                <w:szCs w:val="24"/>
                <w:highlight w:val="none"/>
              </w:rPr>
              <w:t>≥1TB硬盘</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i w:val="0"/>
                <w:iCs w:val="0"/>
                <w:color w:val="auto"/>
                <w:kern w:val="0"/>
                <w:sz w:val="24"/>
                <w:szCs w:val="24"/>
                <w:highlight w:val="none"/>
                <w:u w:val="none"/>
                <w:lang w:val="en-US" w:eastAsia="zh-CN" w:bidi="ar"/>
              </w:rPr>
              <w:t>自带单交流电源，可配置双电源。</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2.性能：应用层吞吐量≥3Gbps；并发连接数≥200万，每秒新建连接数（HTTP）≥3万；全威胁应用层吞吐（流控+IPS+AV防病毒）≥6Gbps。</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3. 支持应用风险调优，通过应用层检测引擎智能地分析安全策略允许通过的流量中存在的潜在风险。</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4. 攻击特征库数量≥8500、病毒特征库数量≥600W、支持的协议识别数量≥5500、WEB攻击特征库≥350。</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5. 集成入侵防御与检测、病毒防护、带宽管理和URL 过滤等功能；所有特性全面支持IPv6 。</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6. 发现病毒发送的告警信息，支持用户编辑告警内容，防病毒支持云查杀。</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7. 支持虚拟入侵防御的创建、启动、关闭、删除功能；可独立分配CPU/内存等计算资源；可独立管理，独立保存配置；具备独立会话管理、路由等功能。</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8. 支持2台设备堆叠成一台设备使用，实现统一管理，统一配置，所投设备支持高可靠性（包含主备/主主模式）部署。</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9. IPS检测到攻击报文或攻击流量后，支持阻断、限流、捕获原始报文等常规响应方式</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10.IPS检测到攻击报文或攻击流量后，支持Web重定向、黑名单等响应方式，以实现第一时间隔离有安全威胁的主机。</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11. 可以识别并检测802.1Q、MPLS、QinQ、GRE等特殊封装的网络报文</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12. 支持特征库的手动、自动升级，特征库升级后设备无须重启即可生效</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13. 支持攻击特征库的手动、自动升级</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14. 支持病毒特征库的手动、自动升级</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15. 支持用户自定义规防护则导入</w:t>
            </w:r>
          </w:p>
          <w:p>
            <w:pPr>
              <w:widowControl/>
              <w:spacing w:line="240" w:lineRule="auto"/>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color w:val="auto"/>
                <w:kern w:val="0"/>
                <w:sz w:val="24"/>
                <w:szCs w:val="24"/>
                <w:highlight w:val="none"/>
              </w:rPr>
              <w:t>三年IDS特征库升级服务，</w:t>
            </w:r>
            <w:r>
              <w:rPr>
                <w:rFonts w:hint="eastAsia" w:ascii="楷体" w:hAnsi="楷体" w:eastAsia="楷体" w:cs="楷体"/>
                <w:b w:val="0"/>
                <w:bCs w:val="0"/>
                <w:i w:val="0"/>
                <w:iCs w:val="0"/>
                <w:color w:val="auto"/>
                <w:kern w:val="0"/>
                <w:sz w:val="24"/>
                <w:szCs w:val="24"/>
                <w:highlight w:val="none"/>
                <w:u w:val="none"/>
                <w:lang w:val="en-US" w:eastAsia="zh-CN" w:bidi="ar"/>
              </w:rPr>
              <w:t>应用控制特征库升级服务、</w:t>
            </w:r>
            <w:r>
              <w:rPr>
                <w:rFonts w:hint="eastAsia" w:ascii="楷体" w:hAnsi="楷体" w:eastAsia="楷体" w:cs="楷体"/>
                <w:b w:val="0"/>
                <w:bCs w:val="0"/>
                <w:color w:val="auto"/>
                <w:kern w:val="0"/>
                <w:sz w:val="24"/>
                <w:szCs w:val="24"/>
                <w:highlight w:val="none"/>
              </w:rPr>
              <w:t>三年硬件质保服务。</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5</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服务器防火墙(FW)</w:t>
            </w:r>
          </w:p>
        </w:tc>
        <w:tc>
          <w:tcPr>
            <w:tcW w:w="2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配置要求：国产知名品牌，标准2U机箱，冗余电源，配置≥10个10/100/1000M自适应电口，≥4个SFP插槽，1个Console口，≥1T存储容量的企业级硬盘，支持液晶屏；</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网络处理能力≥22G，并发连接≥500万，每秒新建连接≥50万/秒</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网络协议：支持共享上网检测功能，支持共享接入检测和共享接入管控功能，可以通过设置管控地址和例外地址优化管控功能，同时支持阻断或告警动作；支持配置基于IPv6地址的安全策略，并在一条策略中可同时启用入侵防御、反病毒、URL过滤、应用识别、反间谍软件等安全功能；</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病毒防护：所投产品应具备本地、云端双擎查杀能力，必须能够对HTTP/FTP/POP3/SMTP/IMAP/SMB六种协议进行病毒查杀，以及对至少6级压缩文件进行解压查杀；</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入侵防御：所投产品应内置高质量漏洞攻击特征，应能够防御“永恒之蓝”、“震网三代”、“暗云3”、“Struts”、“Struts2”、“Xshell后门代码”等高危流行漏洞；漏洞特征应具备丰富的描述信息，至少包括对应的攻击的名称、CVEID、CNNVDID、严重性、影响的平台、类型、描述等详细信息；</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协同联动防御：支持与本方案中配置的终端准入控制系统联动，实现基于终端健康状态的访问控制；并支持阻断“高风险”终端网络活动的同时，提示被阻断原因及重定向自定义网址。支持与云端联动，至少实现病毒云查杀、URL云识别、应用云识别、云沙箱、威胁情报云检测等功能。</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支持作为轻量级“探针”与本方案中配置的态势感知分析平台联动，上报网络活动产生的数据至网络威胁感知系统；并支持接收来自网络威胁感知系统推送的处置策略，及时拦截绕过防御措施产生的高级威胁。(三年质保+三年特征库升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6</w:t>
            </w:r>
          </w:p>
        </w:tc>
        <w:tc>
          <w:tcPr>
            <w:tcW w:w="104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数据库审计</w:t>
            </w:r>
          </w:p>
        </w:tc>
        <w:tc>
          <w:tcPr>
            <w:tcW w:w="271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硬件及性能要求：专业硬件平台和安全操作系统，吞吐量≥1.5G，审计流量≥300M，SQL审计处理能力：≥16000SQL/S</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日志数量存储：30亿条；内置≥4TB磁盘存储空间。标准1U机箱，双电源；≥6个千兆自适应电口，1个Console口，支持≥两个扩展槽位，支持液晶屏；</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日志数据保留≥6个月</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审计功能：支持Oracle、SQL-Server、DB2、Informix、Sybase、MySQL、PostgreSQL、达梦、人大金仓kingbase南大通用Gbase，hadoop架构下Hbase，支持后关系型数据库Cache、工控IP21的审计。支持旁路阻断功能（非串联方式），阻断两种模式，宽松模式：对单一会话危险操作阻断；严格模式：源IP操作的所有请求直接阻断。支持C/S架构COM、COM+、DCOM组件的审计，可提取应用层工号（账号）的身份信息，精确定位到人；</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审计策略：审计规则支持24种以上分项响应条件；支持规则类型（普通规则、组合规则）、风险级别（高、中、低、一般行为、关注行为五种级别）、500种风险审计规则库，无需单独配置，直接调用；支持操作语句系列的组合审计规则，可根据某一客体的操作行为序列，连续操作了设定的语句序列时进行规则审计告警。</w:t>
            </w:r>
          </w:p>
        </w:tc>
        <w:tc>
          <w:tcPr>
            <w:tcW w:w="41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7</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日志审计(SA)</w:t>
            </w:r>
          </w:p>
        </w:tc>
        <w:tc>
          <w:tcPr>
            <w:tcW w:w="27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硬件规格：国产知名品牌，软硬一体形态，事件综合处理性能≥3000EPS。硬件规格：标准1U机箱，≥6个千兆电口，2个扩展插槽，≥4T硬盘，1个Console接口，220V交流冗余电源。包含≥50个日志源授权。</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日志采集与转发：支持通过Syslog、Syslog-NG、SNMP Trap、Netflow V5、JDBC、Agent代理、WMI、(S)FTP、NetBIOS、文件\文件夹读取；支持对资产日志进行过滤，设置允许接收和拒绝接收日志，并可以对资产设置一定时间范围内未收到事件后进行主动告警。支持资产信息的批量导入和导出；</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日志解析：系统提供页面可视化编辑归一化策略，对页面查看的日志编辑归一化策略，所见即所得，也支持通过归一化文件的导入来支持归一化,不需修改系统程序；</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日志分析：可以以图形化的方式展示日志属性之间的聚合关系，并支持手动选择日志属性，显示多维事件分析图；属性可增加或减少，且支持图片大小调整。</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color w:val="auto"/>
                <w:kern w:val="0"/>
                <w:sz w:val="24"/>
                <w:szCs w:val="24"/>
                <w:highlight w:val="none"/>
              </w:rPr>
              <w:t>关联分析</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支持对保存在系统中的历史日志进行回溯关联分析，发现历史日志中的安全事件</w:t>
            </w:r>
            <w:r>
              <w:rPr>
                <w:rFonts w:hint="eastAsia" w:ascii="楷体" w:hAnsi="楷体" w:eastAsia="楷体" w:cs="楷体"/>
                <w:b w:val="0"/>
                <w:bCs w:val="0"/>
                <w:color w:val="auto"/>
                <w:kern w:val="0"/>
                <w:sz w:val="24"/>
                <w:szCs w:val="24"/>
                <w:highlight w:val="none"/>
                <w:lang w:eastAsia="zh-CN"/>
              </w:rPr>
              <w:t>。</w:t>
            </w: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1" w:type="pct"/>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8</w:t>
            </w:r>
          </w:p>
        </w:tc>
        <w:tc>
          <w:tcPr>
            <w:tcW w:w="104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堡垒机</w:t>
            </w:r>
          </w:p>
        </w:tc>
        <w:tc>
          <w:tcPr>
            <w:tcW w:w="2712" w:type="pct"/>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line="240" w:lineRule="auto"/>
              <w:ind w:left="0" w:leftChars="0" w:firstLine="0" w:firstLineChars="0"/>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rPr>
              <w:t>配置要求</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国产知名品牌；≥6个千兆电口；支持≥2个接口扩展槽位；支持≥150路图形会话或≥400路字符会话并发，内置≥4TB硬盘；支持液晶屏；本次配置50个管理授权，最大授权数量≥300；</w:t>
            </w:r>
          </w:p>
          <w:p>
            <w:pPr>
              <w:pStyle w:val="3"/>
              <w:spacing w:line="240" w:lineRule="auto"/>
              <w:ind w:left="0" w:leftChars="0" w:firstLine="0" w:firstLineChars="0"/>
              <w:rPr>
                <w:rFonts w:hint="eastAsia" w:ascii="楷体" w:hAnsi="楷体" w:eastAsia="楷体" w:cs="楷体"/>
                <w:b w:val="0"/>
                <w:bCs w:val="0"/>
                <w:color w:val="auto"/>
                <w:kern w:val="0"/>
                <w:sz w:val="24"/>
                <w:szCs w:val="24"/>
                <w:highlight w:val="none"/>
                <w:lang w:eastAsia="zh-CN"/>
              </w:rPr>
            </w:pPr>
            <w:r>
              <w:rPr>
                <w:rFonts w:hint="eastAsia" w:ascii="楷体" w:hAnsi="楷体" w:eastAsia="楷体" w:cs="楷体"/>
                <w:b w:val="0"/>
                <w:bCs w:val="0"/>
                <w:color w:val="auto"/>
                <w:kern w:val="0"/>
                <w:sz w:val="24"/>
                <w:szCs w:val="24"/>
                <w:highlight w:val="none"/>
              </w:rPr>
              <w:t>资源管理</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可通过Linux应用发布的方式实现对火狐浏览器的扩展支持</w:t>
            </w:r>
            <w:r>
              <w:rPr>
                <w:rFonts w:hint="eastAsia" w:ascii="楷体" w:hAnsi="楷体" w:eastAsia="楷体" w:cs="楷体"/>
                <w:b w:val="0"/>
                <w:bCs w:val="0"/>
                <w:color w:val="auto"/>
                <w:kern w:val="0"/>
                <w:sz w:val="24"/>
                <w:szCs w:val="24"/>
                <w:highlight w:val="none"/>
                <w:lang w:eastAsia="zh-CN"/>
              </w:rPr>
              <w:t>；</w:t>
            </w:r>
          </w:p>
          <w:p>
            <w:pPr>
              <w:pStyle w:val="3"/>
              <w:spacing w:line="240" w:lineRule="auto"/>
              <w:ind w:left="0" w:leftChars="0" w:firstLine="0" w:firstLineChars="0"/>
              <w:rPr>
                <w:rFonts w:hint="eastAsia" w:ascii="楷体" w:hAnsi="楷体" w:eastAsia="楷体" w:cs="楷体"/>
                <w:b w:val="0"/>
                <w:bCs w:val="0"/>
                <w:color w:val="auto"/>
                <w:kern w:val="0"/>
                <w:sz w:val="24"/>
                <w:szCs w:val="24"/>
                <w:highlight w:val="none"/>
                <w:lang w:eastAsia="zh-CN"/>
              </w:rPr>
            </w:pPr>
            <w:r>
              <w:rPr>
                <w:rFonts w:hint="eastAsia" w:ascii="楷体" w:hAnsi="楷体" w:eastAsia="楷体" w:cs="楷体"/>
                <w:b w:val="0"/>
                <w:bCs w:val="0"/>
                <w:color w:val="auto"/>
                <w:kern w:val="0"/>
                <w:sz w:val="24"/>
                <w:szCs w:val="24"/>
                <w:highlight w:val="none"/>
              </w:rPr>
              <w:t>策略管理</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针对核心设备可配置双人授权，需要管理员现场审批才能访问资源</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支持对MySQL和Oracle数据库的访问操作进行控制，可基于库、表、命令实现对数据库操作的细粒度访问控制</w:t>
            </w:r>
            <w:r>
              <w:rPr>
                <w:rFonts w:hint="eastAsia" w:ascii="楷体" w:hAnsi="楷体" w:eastAsia="楷体" w:cs="楷体"/>
                <w:b w:val="0"/>
                <w:bCs w:val="0"/>
                <w:color w:val="auto"/>
                <w:kern w:val="0"/>
                <w:sz w:val="24"/>
                <w:szCs w:val="24"/>
                <w:highlight w:val="none"/>
                <w:lang w:eastAsia="zh-CN"/>
              </w:rPr>
              <w:t>；</w:t>
            </w:r>
          </w:p>
          <w:p>
            <w:pPr>
              <w:pStyle w:val="3"/>
              <w:spacing w:line="240" w:lineRule="auto"/>
              <w:ind w:left="0" w:leftChars="0" w:firstLine="0" w:firstLineChars="0"/>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rPr>
              <w:t>访问和命令控制</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按用户组和账户组多对多的资源访问授权，用户组和账户组内的新增成员可自动继承授权关系</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预置Linux主机和网络设备的基本命令，支持正则表达式和通配符方式设置匹配规则，自定义命令黑白名单；</w:t>
            </w:r>
          </w:p>
          <w:p>
            <w:pPr>
              <w:pStyle w:val="3"/>
              <w:spacing w:line="240" w:lineRule="auto"/>
              <w:ind w:left="0" w:leftChars="0" w:firstLine="0" w:firstLineChars="0"/>
              <w:rPr>
                <w:rFonts w:hint="eastAsia" w:ascii="楷体" w:hAnsi="楷体" w:eastAsia="楷体" w:cs="楷体"/>
                <w:b w:val="0"/>
                <w:bCs w:val="0"/>
                <w:color w:val="auto"/>
                <w:kern w:val="0"/>
                <w:sz w:val="24"/>
                <w:szCs w:val="24"/>
                <w:highlight w:val="none"/>
                <w:lang w:eastAsia="zh-CN"/>
              </w:rPr>
            </w:pPr>
            <w:r>
              <w:rPr>
                <w:rFonts w:hint="eastAsia" w:ascii="楷体" w:hAnsi="楷体" w:eastAsia="楷体" w:cs="楷体"/>
                <w:b w:val="0"/>
                <w:bCs w:val="0"/>
                <w:color w:val="auto"/>
                <w:kern w:val="0"/>
                <w:sz w:val="24"/>
                <w:szCs w:val="24"/>
                <w:highlight w:val="none"/>
              </w:rPr>
              <w:t>自动运维</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不限操作系统类型，无需安装任何客户端插件，使用浏览器通过H5方式即可直接运维SSH、RDP、Telnet、VNC和应用发布资源</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rPr>
              <w:t>支持SSH、RDP、TELNET、VNC协议资源的批量登录功能，并且支持混合协议的批量登录，支持同时在一个页面运维不同协议的资源</w:t>
            </w:r>
          </w:p>
        </w:tc>
        <w:tc>
          <w:tcPr>
            <w:tcW w:w="41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9</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漏洞扫描</w:t>
            </w:r>
          </w:p>
          <w:p>
            <w:pPr>
              <w:pStyle w:val="29"/>
              <w:rPr>
                <w:rFonts w:hint="eastAsia"/>
              </w:rPr>
            </w:pPr>
          </w:p>
        </w:tc>
        <w:tc>
          <w:tcPr>
            <w:tcW w:w="271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1.硬件：1U高机架式硬件架构，单电源，</w:t>
            </w:r>
            <w:r>
              <w:rPr>
                <w:rFonts w:hint="eastAsia" w:ascii="楷体" w:hAnsi="楷体" w:eastAsia="楷体" w:cs="楷体"/>
                <w:b w:val="0"/>
                <w:bCs w:val="0"/>
                <w:color w:val="auto"/>
                <w:kern w:val="0"/>
                <w:sz w:val="24"/>
                <w:szCs w:val="24"/>
                <w:highlight w:val="none"/>
              </w:rPr>
              <w:t>≥</w:t>
            </w:r>
            <w:r>
              <w:rPr>
                <w:rFonts w:hint="eastAsia" w:ascii="楷体" w:hAnsi="楷体" w:eastAsia="楷体" w:cs="楷体"/>
                <w:b w:val="0"/>
                <w:bCs w:val="0"/>
                <w:color w:val="auto"/>
                <w:sz w:val="24"/>
                <w:szCs w:val="24"/>
                <w:highlight w:val="none"/>
              </w:rPr>
              <w:t>1T硬盘容量，≥1个管理口，≥5个以太网千兆业务电口，支持≥1个接口扩展槽位</w:t>
            </w:r>
          </w:p>
          <w:p>
            <w:pPr>
              <w:pStyle w:val="3"/>
              <w:spacing w:line="240" w:lineRule="auto"/>
              <w:ind w:left="0" w:leftChars="0" w:firstLine="0" w:firstLineChars="0"/>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rPr>
              <w:t>2.性能：系统、数据库、基线扫描IP总并发120个，系统、数据库、基线扫描任务总并发6个，Web扫描并发1个，口令猜解并发任务数1个</w:t>
            </w:r>
            <w:r>
              <w:rPr>
                <w:rFonts w:hint="eastAsia" w:ascii="楷体" w:hAnsi="楷体" w:eastAsia="楷体" w:cs="楷体"/>
                <w:b w:val="0"/>
                <w:bCs w:val="0"/>
                <w:color w:val="auto"/>
                <w:sz w:val="24"/>
                <w:szCs w:val="24"/>
                <w:highlight w:val="none"/>
                <w:lang w:eastAsia="zh-CN"/>
              </w:rPr>
              <w:t>；</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3. 功能：支持持分布式、单机部署方式，支持IPV4、IPV6环境的漏洞扫描，支持系统漏洞扫描、WEB漏洞扫描、安全基线漏洞扫描、数据库漏洞扫描功能和口令猜解功能，支持62000条以上系统漏洞库，支持漏洞库涵盖标准包含CVE、CVSS、CNVD、CNNVD、CNCVE、Bugtraq编号6种，支持针对工控专用网络设备的漏洞扫描，支持多种漏洞验证方式，漏洞报表涵盖漏洞描述、漏洞参考链接和详尽的安全修补方案建议，支持邮件、短信、SNMPtrap、SYSLOG、FTP等多种告警方式。</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lang w:val="en-US" w:eastAsia="zh-CN"/>
              </w:rPr>
              <w:t>4</w:t>
            </w:r>
            <w:r>
              <w:rPr>
                <w:rFonts w:hint="eastAsia" w:ascii="楷体" w:hAnsi="楷体" w:eastAsia="楷体" w:cs="楷体"/>
                <w:b w:val="0"/>
                <w:bCs w:val="0"/>
                <w:color w:val="auto"/>
                <w:sz w:val="24"/>
                <w:szCs w:val="24"/>
                <w:highlight w:val="none"/>
              </w:rPr>
              <w:t>. 能够提供系统扫描、数据库扫描、弱口令扫描三大功能模块，具备独立的任务界面；</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lang w:val="en-US" w:eastAsia="zh-CN"/>
              </w:rPr>
              <w:t>5</w:t>
            </w:r>
            <w:r>
              <w:rPr>
                <w:rFonts w:hint="eastAsia" w:ascii="楷体" w:hAnsi="楷体" w:eastAsia="楷体" w:cs="楷体"/>
                <w:b w:val="0"/>
                <w:bCs w:val="0"/>
                <w:color w:val="auto"/>
                <w:sz w:val="24"/>
                <w:szCs w:val="24"/>
                <w:highlight w:val="none"/>
              </w:rPr>
              <w:t>. 支持分布式部署，管理中心统一下发策略、查看任务结果、导出报表，无需登录子引擎；支持从管理中心查看子引擎及其状态；管理中心、子引擎均可执行扫描任务</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lang w:val="en-US" w:eastAsia="zh-CN"/>
              </w:rPr>
              <w:t>6</w:t>
            </w:r>
            <w:r>
              <w:rPr>
                <w:rFonts w:hint="eastAsia" w:ascii="楷体" w:hAnsi="楷体" w:eastAsia="楷体" w:cs="楷体"/>
                <w:b w:val="0"/>
                <w:bCs w:val="0"/>
                <w:color w:val="auto"/>
                <w:sz w:val="24"/>
                <w:szCs w:val="24"/>
                <w:highlight w:val="none"/>
              </w:rPr>
              <w:t>. 网络配置需提供快速配置向导，支持快速部署上线；</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lang w:val="en-US" w:eastAsia="zh-CN"/>
              </w:rPr>
              <w:t>7</w:t>
            </w:r>
            <w:r>
              <w:rPr>
                <w:rFonts w:hint="eastAsia" w:ascii="楷体" w:hAnsi="楷体" w:eastAsia="楷体" w:cs="楷体"/>
                <w:b w:val="0"/>
                <w:bCs w:val="0"/>
                <w:color w:val="auto"/>
                <w:sz w:val="24"/>
                <w:szCs w:val="24"/>
                <w:highlight w:val="none"/>
              </w:rPr>
              <w:t>. 支持自适应网络扫描，根据网络状况自动控制发包速率，避免影响用户网络；</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lang w:val="en-US" w:eastAsia="zh-CN"/>
              </w:rPr>
              <w:t>8</w:t>
            </w:r>
            <w:r>
              <w:rPr>
                <w:rFonts w:hint="eastAsia" w:ascii="楷体" w:hAnsi="楷体" w:eastAsia="楷体" w:cs="楷体"/>
                <w:b w:val="0"/>
                <w:bCs w:val="0"/>
                <w:color w:val="auto"/>
                <w:sz w:val="24"/>
                <w:szCs w:val="24"/>
                <w:highlight w:val="none"/>
              </w:rPr>
              <w:t>. 支持针对已有任务做任务复制，快速生成一个相同任务，支持对复制出来的任务进行再编辑，包括：基本信息、策略、目标范围、调度、扫描参数；（提供界面截图并加盖厂商公章）</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lang w:val="en-US" w:eastAsia="zh-CN"/>
              </w:rPr>
              <w:t>9</w:t>
            </w:r>
            <w:r>
              <w:rPr>
                <w:rFonts w:hint="eastAsia" w:ascii="楷体" w:hAnsi="楷体" w:eastAsia="楷体" w:cs="楷体"/>
                <w:b w:val="0"/>
                <w:bCs w:val="0"/>
                <w:color w:val="auto"/>
                <w:sz w:val="24"/>
                <w:szCs w:val="24"/>
                <w:highlight w:val="none"/>
              </w:rPr>
              <w:t>. 支持检测的漏洞数大于6</w:t>
            </w:r>
            <w:r>
              <w:rPr>
                <w:rFonts w:hint="eastAsia" w:ascii="楷体" w:hAnsi="楷体" w:eastAsia="楷体" w:cs="楷体"/>
                <w:b w:val="0"/>
                <w:bCs w:val="0"/>
                <w:color w:val="auto"/>
                <w:sz w:val="24"/>
                <w:szCs w:val="24"/>
                <w:highlight w:val="none"/>
                <w:lang w:val="en-US" w:eastAsia="zh-CN"/>
              </w:rPr>
              <w:t>0</w:t>
            </w:r>
            <w:r>
              <w:rPr>
                <w:rFonts w:hint="eastAsia" w:ascii="楷体" w:hAnsi="楷体" w:eastAsia="楷体" w:cs="楷体"/>
                <w:b w:val="0"/>
                <w:bCs w:val="0"/>
                <w:color w:val="auto"/>
                <w:sz w:val="24"/>
                <w:szCs w:val="24"/>
                <w:highlight w:val="none"/>
              </w:rPr>
              <w:t>000条以上，涵盖漏洞标准包含CVE、CVSS、CNVD、CNNVD、CNCVE、Bugtraq6种，CVSS覆盖CVSS2和CVSS3版本；</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1</w:t>
            </w:r>
            <w:r>
              <w:rPr>
                <w:rFonts w:hint="eastAsia" w:ascii="楷体" w:hAnsi="楷体" w:eastAsia="楷体" w:cs="楷体"/>
                <w:b w:val="0"/>
                <w:bCs w:val="0"/>
                <w:color w:val="auto"/>
                <w:sz w:val="24"/>
                <w:szCs w:val="24"/>
                <w:highlight w:val="none"/>
                <w:lang w:val="en-US" w:eastAsia="zh-CN"/>
              </w:rPr>
              <w:t>0</w:t>
            </w:r>
            <w:r>
              <w:rPr>
                <w:rFonts w:hint="eastAsia" w:ascii="楷体" w:hAnsi="楷体" w:eastAsia="楷体" w:cs="楷体"/>
                <w:b w:val="0"/>
                <w:bCs w:val="0"/>
                <w:color w:val="auto"/>
                <w:sz w:val="24"/>
                <w:szCs w:val="24"/>
                <w:highlight w:val="none"/>
              </w:rPr>
              <w:t>. 支持和微软WSUS补丁系统联动，方便进行自动化的补丁修补；</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1</w:t>
            </w:r>
            <w:r>
              <w:rPr>
                <w:rFonts w:hint="eastAsia" w:ascii="楷体" w:hAnsi="楷体" w:eastAsia="楷体" w:cs="楷体"/>
                <w:b w:val="0"/>
                <w:bCs w:val="0"/>
                <w:color w:val="auto"/>
                <w:sz w:val="24"/>
                <w:szCs w:val="24"/>
                <w:highlight w:val="none"/>
                <w:lang w:val="en-US" w:eastAsia="zh-CN"/>
              </w:rPr>
              <w:t>1</w:t>
            </w:r>
            <w:r>
              <w:rPr>
                <w:rFonts w:hint="eastAsia" w:ascii="楷体" w:hAnsi="楷体" w:eastAsia="楷体" w:cs="楷体"/>
                <w:b w:val="0"/>
                <w:bCs w:val="0"/>
                <w:color w:val="auto"/>
                <w:sz w:val="24"/>
                <w:szCs w:val="24"/>
                <w:highlight w:val="none"/>
              </w:rPr>
              <w:t>. 支持扫描通用操作系统，涵盖Windows系列、苹果操作系统、Linux、AIX、HPUX、IRIX、BSD、Solaris等；</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1</w:t>
            </w:r>
            <w:r>
              <w:rPr>
                <w:rFonts w:hint="eastAsia" w:ascii="楷体" w:hAnsi="楷体" w:eastAsia="楷体" w:cs="楷体"/>
                <w:b w:val="0"/>
                <w:bCs w:val="0"/>
                <w:color w:val="auto"/>
                <w:sz w:val="24"/>
                <w:szCs w:val="24"/>
                <w:highlight w:val="none"/>
                <w:lang w:val="en-US" w:eastAsia="zh-CN"/>
              </w:rPr>
              <w:t>2</w:t>
            </w:r>
            <w:r>
              <w:rPr>
                <w:rFonts w:hint="eastAsia" w:ascii="楷体" w:hAnsi="楷体" w:eastAsia="楷体" w:cs="楷体"/>
                <w:b w:val="0"/>
                <w:bCs w:val="0"/>
                <w:color w:val="auto"/>
                <w:sz w:val="24"/>
                <w:szCs w:val="24"/>
                <w:highlight w:val="none"/>
              </w:rPr>
              <w:t>. 支持针对工控专用设备包括PLC、SCADA、DCS、工控专用网络设备的漏洞扫描，支持扫描的工控插件不少于300条；</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1</w:t>
            </w:r>
            <w:r>
              <w:rPr>
                <w:rFonts w:hint="eastAsia" w:ascii="楷体" w:hAnsi="楷体" w:eastAsia="楷体" w:cs="楷体"/>
                <w:b w:val="0"/>
                <w:bCs w:val="0"/>
                <w:color w:val="auto"/>
                <w:sz w:val="24"/>
                <w:szCs w:val="24"/>
                <w:highlight w:val="none"/>
                <w:lang w:val="en-US" w:eastAsia="zh-CN"/>
              </w:rPr>
              <w:t>3</w:t>
            </w:r>
            <w:r>
              <w:rPr>
                <w:rFonts w:hint="eastAsia" w:ascii="楷体" w:hAnsi="楷体" w:eastAsia="楷体" w:cs="楷体"/>
                <w:b w:val="0"/>
                <w:bCs w:val="0"/>
                <w:color w:val="auto"/>
                <w:sz w:val="24"/>
                <w:szCs w:val="24"/>
                <w:highlight w:val="none"/>
              </w:rPr>
              <w:t>. 支持Android、IOS、BlackBerry、Windows Phone在内的移动设备漏洞扫描；</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1</w:t>
            </w:r>
            <w:r>
              <w:rPr>
                <w:rFonts w:hint="eastAsia" w:ascii="楷体" w:hAnsi="楷体" w:eastAsia="楷体" w:cs="楷体"/>
                <w:b w:val="0"/>
                <w:bCs w:val="0"/>
                <w:color w:val="auto"/>
                <w:sz w:val="24"/>
                <w:szCs w:val="24"/>
                <w:highlight w:val="none"/>
                <w:lang w:val="en-US" w:eastAsia="zh-CN"/>
              </w:rPr>
              <w:t>4</w:t>
            </w:r>
            <w:r>
              <w:rPr>
                <w:rFonts w:hint="eastAsia" w:ascii="楷体" w:hAnsi="楷体" w:eastAsia="楷体" w:cs="楷体"/>
                <w:b w:val="0"/>
                <w:bCs w:val="0"/>
                <w:color w:val="auto"/>
                <w:sz w:val="24"/>
                <w:szCs w:val="24"/>
                <w:highlight w:val="none"/>
              </w:rPr>
              <w:t>. 支持主流数据库漏洞的检测，应包括但不限于：Oralce、Sybase、SQLServer、DB2、MySQL、等；</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1</w:t>
            </w:r>
            <w:r>
              <w:rPr>
                <w:rFonts w:hint="eastAsia" w:ascii="楷体" w:hAnsi="楷体" w:eastAsia="楷体" w:cs="楷体"/>
                <w:b w:val="0"/>
                <w:bCs w:val="0"/>
                <w:color w:val="auto"/>
                <w:sz w:val="24"/>
                <w:szCs w:val="24"/>
                <w:highlight w:val="none"/>
                <w:lang w:val="en-US" w:eastAsia="zh-CN"/>
              </w:rPr>
              <w:t>5</w:t>
            </w:r>
            <w:r>
              <w:rPr>
                <w:rFonts w:hint="eastAsia" w:ascii="楷体" w:hAnsi="楷体" w:eastAsia="楷体" w:cs="楷体"/>
                <w:b w:val="0"/>
                <w:bCs w:val="0"/>
                <w:color w:val="auto"/>
                <w:sz w:val="24"/>
                <w:szCs w:val="24"/>
                <w:highlight w:val="none"/>
              </w:rPr>
              <w:t>. 支持Oralce、Sybase、SQLServer、DB2、MySQL、Postgres、Informix数据库登录扫描，支持数据库在线登陆验证；</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质保服务：升级授权函，</w:t>
            </w:r>
            <w:r>
              <w:rPr>
                <w:rFonts w:hint="eastAsia" w:ascii="楷体" w:hAnsi="楷体" w:eastAsia="楷体" w:cs="楷体"/>
                <w:b w:val="0"/>
                <w:bCs w:val="0"/>
                <w:color w:val="auto"/>
                <w:kern w:val="0"/>
                <w:sz w:val="24"/>
                <w:szCs w:val="24"/>
                <w:highlight w:val="none"/>
              </w:rPr>
              <w:t>≥</w:t>
            </w:r>
            <w:r>
              <w:rPr>
                <w:rFonts w:hint="eastAsia" w:ascii="楷体" w:hAnsi="楷体" w:eastAsia="楷体" w:cs="楷体"/>
                <w:b w:val="0"/>
                <w:bCs w:val="0"/>
                <w:color w:val="auto"/>
                <w:sz w:val="24"/>
                <w:szCs w:val="24"/>
                <w:highlight w:val="none"/>
              </w:rPr>
              <w:t>128个IP扫描数量</w:t>
            </w:r>
            <w:r>
              <w:rPr>
                <w:rFonts w:hint="eastAsia" w:ascii="楷体" w:hAnsi="楷体" w:eastAsia="楷体" w:cs="楷体"/>
                <w:b w:val="0"/>
                <w:bCs w:val="0"/>
                <w:color w:val="auto"/>
                <w:sz w:val="24"/>
                <w:szCs w:val="24"/>
                <w:highlight w:val="none"/>
                <w:lang w:eastAsia="zh-CN"/>
              </w:rPr>
              <w:t>，</w:t>
            </w:r>
            <w:r>
              <w:rPr>
                <w:rFonts w:hint="eastAsia" w:ascii="楷体" w:hAnsi="楷体" w:eastAsia="楷体" w:cs="楷体"/>
                <w:b w:val="0"/>
                <w:bCs w:val="0"/>
                <w:color w:val="auto"/>
                <w:sz w:val="24"/>
                <w:szCs w:val="24"/>
                <w:highlight w:val="none"/>
                <w:lang w:val="en-US" w:eastAsia="zh-CN"/>
              </w:rPr>
              <w:t>三年硬件质保，</w:t>
            </w:r>
            <w:r>
              <w:rPr>
                <w:rFonts w:hint="eastAsia" w:ascii="楷体" w:hAnsi="楷体" w:eastAsia="楷体" w:cs="楷体"/>
                <w:b w:val="0"/>
                <w:bCs w:val="0"/>
                <w:color w:val="auto"/>
                <w:sz w:val="24"/>
                <w:szCs w:val="24"/>
                <w:highlight w:val="none"/>
              </w:rPr>
              <w:t>三年漏洞库（含操作系统、数据库和WEB应用的漏洞规则库）</w:t>
            </w:r>
            <w:r>
              <w:rPr>
                <w:rFonts w:hint="eastAsia" w:ascii="楷体" w:hAnsi="楷体" w:eastAsia="楷体" w:cs="楷体"/>
                <w:b w:val="0"/>
                <w:bCs w:val="0"/>
                <w:color w:val="auto"/>
                <w:sz w:val="24"/>
                <w:szCs w:val="24"/>
                <w:highlight w:val="none"/>
                <w:lang w:val="en-US" w:eastAsia="zh-CN"/>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10</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准入控制</w:t>
            </w:r>
          </w:p>
        </w:tc>
        <w:tc>
          <w:tcPr>
            <w:tcW w:w="271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240" w:lineRule="auto"/>
              <w:ind w:left="0" w:leftChars="0" w:firstLine="0" w:firstLineChars="0"/>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rPr>
              <w:t>硬件参数</w:t>
            </w:r>
            <w:r>
              <w:rPr>
                <w:rFonts w:hint="eastAsia" w:ascii="楷体" w:hAnsi="楷体" w:eastAsia="楷体" w:cs="楷体"/>
                <w:b w:val="0"/>
                <w:bCs w:val="0"/>
                <w:color w:val="auto"/>
                <w:sz w:val="24"/>
                <w:szCs w:val="24"/>
                <w:highlight w:val="none"/>
                <w:lang w:eastAsia="zh-CN"/>
              </w:rPr>
              <w:t>：</w:t>
            </w:r>
            <w:r>
              <w:rPr>
                <w:rFonts w:hint="eastAsia" w:ascii="楷体" w:hAnsi="楷体" w:eastAsia="楷体" w:cs="楷体"/>
                <w:b w:val="0"/>
                <w:bCs w:val="0"/>
                <w:color w:val="auto"/>
                <w:sz w:val="24"/>
                <w:szCs w:val="24"/>
                <w:highlight w:val="none"/>
              </w:rPr>
              <w:t>≥1TB 硬盘，本次≥200准入单点授权。设备默认1个Console口，≥6个千兆电口，≥4个SFP插槽，≥2个SFP+插槽，整机支持≥500终端认证或≥800M网络流量处理能力</w:t>
            </w:r>
            <w:r>
              <w:rPr>
                <w:rFonts w:hint="eastAsia" w:ascii="楷体" w:hAnsi="楷体" w:eastAsia="楷体" w:cs="楷体"/>
                <w:b w:val="0"/>
                <w:bCs w:val="0"/>
                <w:color w:val="auto"/>
                <w:sz w:val="24"/>
                <w:szCs w:val="24"/>
                <w:highlight w:val="none"/>
                <w:lang w:eastAsia="zh-CN"/>
              </w:rPr>
              <w:t>；</w:t>
            </w:r>
          </w:p>
          <w:p>
            <w:pPr>
              <w:pStyle w:val="3"/>
              <w:spacing w:line="240" w:lineRule="auto"/>
              <w:ind w:left="0" w:leftChars="0" w:firstLine="0" w:firstLineChars="0"/>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val="en-US" w:eastAsia="zh-CN"/>
              </w:rPr>
              <w:t>最大支持800个终端设备和800个认证用户；完成相应数量终端准入控制的能力，200个点准入；</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部署管理</w:t>
            </w:r>
            <w:r>
              <w:rPr>
                <w:rFonts w:hint="eastAsia" w:ascii="楷体" w:hAnsi="楷体" w:eastAsia="楷体" w:cs="楷体"/>
                <w:b w:val="0"/>
                <w:bCs w:val="0"/>
                <w:color w:val="auto"/>
                <w:sz w:val="24"/>
                <w:szCs w:val="24"/>
                <w:highlight w:val="none"/>
                <w:lang w:eastAsia="zh-CN"/>
              </w:rPr>
              <w:t>：</w:t>
            </w:r>
            <w:r>
              <w:rPr>
                <w:rFonts w:hint="eastAsia" w:ascii="楷体" w:hAnsi="楷体" w:eastAsia="楷体" w:cs="楷体"/>
                <w:b w:val="0"/>
                <w:bCs w:val="0"/>
                <w:color w:val="auto"/>
                <w:sz w:val="24"/>
                <w:szCs w:val="24"/>
                <w:highlight w:val="none"/>
              </w:rPr>
              <w:t>支持两种及以上准入技术，每种准入技术均具备完善的逃生机制，防止准入设备本身出现问题后对现有网络业务造成影响；</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准入控制</w:t>
            </w:r>
            <w:r>
              <w:rPr>
                <w:rFonts w:hint="eastAsia" w:ascii="楷体" w:hAnsi="楷体" w:eastAsia="楷体" w:cs="楷体"/>
                <w:b w:val="0"/>
                <w:bCs w:val="0"/>
                <w:color w:val="auto"/>
                <w:sz w:val="24"/>
                <w:szCs w:val="24"/>
                <w:highlight w:val="none"/>
                <w:lang w:eastAsia="zh-CN"/>
              </w:rPr>
              <w:t>：</w:t>
            </w:r>
            <w:r>
              <w:rPr>
                <w:rFonts w:hint="eastAsia" w:ascii="楷体" w:hAnsi="楷体" w:eastAsia="楷体" w:cs="楷体"/>
                <w:b w:val="0"/>
                <w:bCs w:val="0"/>
                <w:color w:val="auto"/>
                <w:sz w:val="24"/>
                <w:szCs w:val="24"/>
                <w:highlight w:val="none"/>
              </w:rPr>
              <w:t>支持有线、无线基于应用准入方式，准入配置支持保护服务器区域、例外终端等灵活的配置方式；支持通过自动审批和管理员手动审批两种方式进行用户申请审核，审批通过邮件进行通知；</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合规检查</w:t>
            </w:r>
            <w:r>
              <w:rPr>
                <w:rFonts w:hint="eastAsia" w:ascii="楷体" w:hAnsi="楷体" w:eastAsia="楷体" w:cs="楷体"/>
                <w:b w:val="0"/>
                <w:bCs w:val="0"/>
                <w:color w:val="auto"/>
                <w:sz w:val="24"/>
                <w:szCs w:val="24"/>
                <w:highlight w:val="none"/>
                <w:lang w:eastAsia="zh-CN"/>
              </w:rPr>
              <w:t>：</w:t>
            </w:r>
            <w:r>
              <w:rPr>
                <w:rFonts w:hint="eastAsia" w:ascii="楷体" w:hAnsi="楷体" w:eastAsia="楷体" w:cs="楷体"/>
                <w:b w:val="0"/>
                <w:bCs w:val="0"/>
                <w:color w:val="auto"/>
                <w:sz w:val="24"/>
                <w:szCs w:val="24"/>
                <w:highlight w:val="none"/>
              </w:rPr>
              <w:t>支持健康合规检查策略，采用动态检测技术，需支持多种检查机制，至少支持入网检查、定时检查、周期检查机制，针对接入内部网络的计算机终端实行多种安全检查策略，支持分组策略下发控制，拦截不安全终端接入网络。支持对不合规的终端提供软隔离，不符合安全策略的计算机终端进行友好提示，提供终端修复向导，需支持引导修复和一键修复功能，并支持不同区域终端的修复区域定义，支持远程桌面检查；</w:t>
            </w:r>
          </w:p>
          <w:p>
            <w:pPr>
              <w:pStyle w:val="3"/>
              <w:spacing w:line="240" w:lineRule="auto"/>
              <w:ind w:left="0" w:leftChars="0" w:firstLine="0" w:firstLineChars="0"/>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rPr>
              <w:t>联动能力</w:t>
            </w:r>
            <w:r>
              <w:rPr>
                <w:rFonts w:hint="eastAsia" w:ascii="楷体" w:hAnsi="楷体" w:eastAsia="楷体" w:cs="楷体"/>
                <w:b w:val="0"/>
                <w:bCs w:val="0"/>
                <w:color w:val="auto"/>
                <w:sz w:val="24"/>
                <w:szCs w:val="24"/>
                <w:highlight w:val="none"/>
                <w:lang w:eastAsia="zh-CN"/>
              </w:rPr>
              <w:t>：</w:t>
            </w:r>
            <w:r>
              <w:rPr>
                <w:rFonts w:hint="eastAsia" w:ascii="楷体" w:hAnsi="楷体" w:eastAsia="楷体" w:cs="楷体"/>
                <w:b w:val="0"/>
                <w:bCs w:val="0"/>
                <w:color w:val="auto"/>
                <w:sz w:val="24"/>
                <w:szCs w:val="24"/>
                <w:highlight w:val="none"/>
              </w:rPr>
              <w:t>可支持与AD、LDAP、Email、Http第三方服务器联动认证，来完成用户鉴别功能，以达到终端用户实名制入网，统一认证管理，支持LDAP用户导入，用户映射关系、组织架构导入</w:t>
            </w:r>
            <w:r>
              <w:rPr>
                <w:rFonts w:hint="eastAsia" w:ascii="楷体" w:hAnsi="楷体" w:eastAsia="楷体" w:cs="楷体"/>
                <w:b w:val="0"/>
                <w:bCs w:val="0"/>
                <w:color w:val="auto"/>
                <w:sz w:val="24"/>
                <w:szCs w:val="24"/>
                <w:highlight w:val="none"/>
                <w:lang w:eastAsia="zh-CN"/>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11</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i w:val="0"/>
                <w:iCs w:val="0"/>
                <w:color w:val="auto"/>
                <w:kern w:val="2"/>
                <w:sz w:val="24"/>
                <w:szCs w:val="24"/>
                <w:highlight w:val="none"/>
                <w:u w:val="none"/>
                <w:lang w:val="en-US" w:eastAsia="zh-CN" w:bidi="ar-SA"/>
              </w:rPr>
            </w:pPr>
            <w:r>
              <w:rPr>
                <w:rFonts w:hint="eastAsia" w:ascii="楷体" w:hAnsi="楷体" w:eastAsia="楷体" w:cs="楷体"/>
                <w:b w:val="0"/>
                <w:bCs w:val="0"/>
                <w:i w:val="0"/>
                <w:iCs w:val="0"/>
                <w:color w:val="auto"/>
                <w:kern w:val="0"/>
                <w:sz w:val="24"/>
                <w:szCs w:val="24"/>
                <w:highlight w:val="none"/>
                <w:u w:val="none"/>
                <w:lang w:val="en-US" w:eastAsia="zh-CN" w:bidi="ar"/>
              </w:rPr>
              <w:t>入侵分析中心</w:t>
            </w:r>
          </w:p>
        </w:tc>
        <w:tc>
          <w:tcPr>
            <w:tcW w:w="271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硬件配置</w:t>
            </w:r>
            <w:r>
              <w:rPr>
                <w:rFonts w:hint="eastAsia" w:ascii="楷体" w:hAnsi="楷体" w:eastAsia="楷体" w:cs="楷体"/>
                <w:b w:val="0"/>
                <w:bCs w:val="0"/>
                <w:color w:val="auto"/>
                <w:sz w:val="24"/>
                <w:szCs w:val="24"/>
                <w:highlight w:val="none"/>
                <w:lang w:eastAsia="zh-CN"/>
              </w:rPr>
              <w:t>：</w:t>
            </w:r>
            <w:r>
              <w:rPr>
                <w:rFonts w:hint="eastAsia" w:ascii="楷体" w:hAnsi="楷体" w:eastAsia="楷体" w:cs="楷体"/>
                <w:b w:val="0"/>
                <w:bCs w:val="0"/>
                <w:color w:val="auto"/>
                <w:sz w:val="24"/>
                <w:szCs w:val="24"/>
                <w:highlight w:val="none"/>
              </w:rPr>
              <w:t>服务器配置要求：2U标准上架设备；CPU: 2颗12核 主频2.2 GHZ ；内存： ≥128G（总容量）DDR4 ；硬盘总容量≥32T；电源：冗余双电源；网口：≥4*GE管理电口; ≥2*SPF+插槽（含两个多模万兆光模块）；其他接口：3*USB3.0接口;1*DB9 Console接口；</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功能：威胁检测、分析中心、响应中心、资产中心、统计报表、仪表板、系统管理、态势感知等功能；授权≥50个日志数据源的采集能力，且提供拓扑管理功能，支持根据实际网络，创建网络拓扑并在拓扑架构中呈现资产的网络连接关系，基于拓扑的视角进行管理</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数据采集与存储</w:t>
            </w:r>
            <w:r>
              <w:rPr>
                <w:rFonts w:hint="eastAsia" w:ascii="楷体" w:hAnsi="楷体" w:eastAsia="楷体" w:cs="楷体"/>
                <w:b w:val="0"/>
                <w:bCs w:val="0"/>
                <w:color w:val="auto"/>
                <w:sz w:val="24"/>
                <w:szCs w:val="24"/>
                <w:highlight w:val="none"/>
                <w:lang w:eastAsia="zh-CN"/>
              </w:rPr>
              <w:t>：</w:t>
            </w:r>
            <w:r>
              <w:rPr>
                <w:rFonts w:hint="eastAsia" w:ascii="楷体" w:hAnsi="楷体" w:eastAsia="楷体" w:cs="楷体"/>
                <w:b w:val="0"/>
                <w:bCs w:val="0"/>
                <w:color w:val="auto"/>
                <w:sz w:val="24"/>
                <w:szCs w:val="24"/>
                <w:highlight w:val="none"/>
              </w:rPr>
              <w:t>日志接入支持界面交互式配置，通过图形化界面配置日志解析条件，利用正则表达式、分隔符、Key-Value、JSON等方法定义解析规则，系统自动生成解析规则，无需通过代码编写解析规则；支持自定义日志类型功能，支持对日志类型名称、存储方式、存储时间、分区方式、重要度等基础属性信息进行配置，达到分类存储日志的目的；</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威胁情报支持云端威胁情报查询，查询结果需包含：IP主机信息、IP位置信息、域名流行度、情报IOC详情、相关样本、可视化分析、域名解析记录、域名注册信息、关联域名、数字证书等信息；</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资产管理</w:t>
            </w: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b w:val="0"/>
                <w:bCs w:val="0"/>
                <w:color w:val="auto"/>
                <w:sz w:val="24"/>
                <w:szCs w:val="24"/>
                <w:highlight w:val="none"/>
              </w:rPr>
              <w:t>支持主机资产管理，主机资产分类应包括IOT设备、服务器、工作主机、网络设备、安全设备、终端安全管理、数据库服务器、中间件服务器、存储设备、应用服务器、安全域、虚拟化设备；支持对主机资产的服务信息进行管理，服务信息应包括：IP地址、端口、协议、服务名、服务版本和Banner；支持对IPV6资产的管理；</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脆弱性管理</w:t>
            </w: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b w:val="0"/>
                <w:bCs w:val="0"/>
                <w:color w:val="auto"/>
                <w:sz w:val="24"/>
                <w:szCs w:val="24"/>
                <w:highlight w:val="none"/>
              </w:rPr>
              <w:t>漏洞信息、弱口令、配置核查可直接调用工单系统，漏洞信息可直接添加到调查任务，支持添加到已有任务或创建新的调查任务；</w:t>
            </w:r>
          </w:p>
          <w:p>
            <w:pPr>
              <w:pStyle w:val="3"/>
              <w:spacing w:line="240" w:lineRule="auto"/>
              <w:ind w:left="0" w:leftChars="0" w:firstLine="0" w:firstLineChars="0"/>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rPr>
              <w:t>威胁检测</w:t>
            </w: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b w:val="0"/>
                <w:bCs w:val="0"/>
                <w:color w:val="auto"/>
                <w:sz w:val="24"/>
                <w:szCs w:val="24"/>
                <w:highlight w:val="none"/>
              </w:rPr>
              <w:t>支持基线分析功能，对数据进行基线学习生成行为基线，通过基线比对方式产生异常行为告警。基线分析模型至少支持日志过滤、行为统计、基线学习、基线比较4类计算单元</w:t>
            </w:r>
            <w:r>
              <w:rPr>
                <w:rFonts w:hint="eastAsia" w:ascii="楷体" w:hAnsi="楷体" w:eastAsia="楷体" w:cs="楷体"/>
                <w:b w:val="0"/>
                <w:bCs w:val="0"/>
                <w:color w:val="auto"/>
                <w:sz w:val="24"/>
                <w:szCs w:val="24"/>
                <w:highlight w:val="none"/>
                <w:lang w:val="en-US" w:eastAsia="zh-CN"/>
              </w:rPr>
              <w:t>;</w:t>
            </w:r>
          </w:p>
          <w:p>
            <w:pPr>
              <w:pStyle w:val="3"/>
              <w:spacing w:line="240" w:lineRule="auto"/>
              <w:ind w:left="0" w:leftChars="0" w:firstLine="0" w:firstLineChars="0"/>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rPr>
              <w:t>告警管理功能至少预置≥1</w:t>
            </w:r>
            <w:r>
              <w:rPr>
                <w:rFonts w:hint="eastAsia" w:ascii="楷体" w:hAnsi="楷体" w:eastAsia="楷体" w:cs="楷体"/>
                <w:b w:val="0"/>
                <w:bCs w:val="0"/>
                <w:color w:val="auto"/>
                <w:sz w:val="24"/>
                <w:szCs w:val="24"/>
                <w:highlight w:val="none"/>
                <w:lang w:val="en-US" w:eastAsia="zh-CN"/>
              </w:rPr>
              <w:t>0</w:t>
            </w:r>
            <w:r>
              <w:rPr>
                <w:rFonts w:hint="eastAsia" w:ascii="楷体" w:hAnsi="楷体" w:eastAsia="楷体" w:cs="楷体"/>
                <w:b w:val="0"/>
                <w:bCs w:val="0"/>
                <w:color w:val="auto"/>
                <w:sz w:val="24"/>
                <w:szCs w:val="24"/>
                <w:highlight w:val="none"/>
              </w:rPr>
              <w:t>种常见场景的告警快速筛选器，包括今日新增威胁告警、今日第一次出现的告警、命中威胁情报告警、外部威胁攻击告警、外部攻击成功主机失陷告警、资产外联告警、恶意文件告警、横向移动攻击告警、横向移动失陷危急告警、主机安全危急告警、Web安全危急告警</w:t>
            </w:r>
            <w:r>
              <w:rPr>
                <w:rFonts w:hint="eastAsia" w:ascii="楷体" w:hAnsi="楷体" w:eastAsia="楷体" w:cs="楷体"/>
                <w:b w:val="0"/>
                <w:bCs w:val="0"/>
                <w:color w:val="auto"/>
                <w:sz w:val="24"/>
                <w:szCs w:val="24"/>
                <w:highlight w:val="none"/>
                <w:lang w:val="en-US" w:eastAsia="zh-CN"/>
              </w:rPr>
              <w:t>;</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联动处置</w:t>
            </w: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b w:val="0"/>
                <w:bCs w:val="0"/>
                <w:color w:val="auto"/>
                <w:sz w:val="24"/>
                <w:szCs w:val="24"/>
                <w:highlight w:val="none"/>
              </w:rPr>
              <w:t>支持与防火墙、安全准入系统进行联动处置，支持对接第三方防火墙联动。支持对同一安全防护策略批量下发给多台联动设备。</w:t>
            </w:r>
          </w:p>
          <w:p>
            <w:pPr>
              <w:pStyle w:val="3"/>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态势大屏展示</w:t>
            </w: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b w:val="0"/>
                <w:bCs w:val="0"/>
                <w:color w:val="auto"/>
                <w:sz w:val="24"/>
                <w:szCs w:val="24"/>
                <w:highlight w:val="none"/>
              </w:rPr>
              <w:t>资产态势支持统计展示全网资产分布情况，并且支持按照资产分组展示对应的资产数量、风险值和风险等级的明细列表；支持统计资产总数，以及统计资产注册状态占比情况；支持统计资产上开放的端口情况、服务情况、协议情况；支持统计资产发现来源（资产探查、数据同步、脆弱性发现、流量解析、人工方式）的分布情况；支持按照资产发现来源（资产探查、数据同步、脆弱性发现、流量解析、人工方式）统计最近30天资产发现的趋势。</w:t>
            </w:r>
          </w:p>
          <w:p>
            <w:pPr>
              <w:pStyle w:val="3"/>
              <w:spacing w:line="240" w:lineRule="auto"/>
              <w:ind w:left="0" w:leftChars="0" w:firstLine="0" w:firstLineChars="0"/>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质保服务：三年质保+三年特征库升级</w:t>
            </w:r>
            <w:r>
              <w:rPr>
                <w:rFonts w:hint="eastAsia" w:ascii="楷体" w:hAnsi="楷体" w:eastAsia="楷体" w:cs="楷体"/>
                <w:b w:val="0"/>
                <w:bCs w:val="0"/>
                <w:color w:val="auto"/>
                <w:sz w:val="24"/>
                <w:szCs w:val="24"/>
                <w:highlight w:val="none"/>
                <w:lang w:val="en-US" w:eastAsia="zh-CN"/>
              </w:rPr>
              <w:t>服务。</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2"/>
                <w:sz w:val="24"/>
                <w:szCs w:val="24"/>
                <w:highlight w:val="none"/>
                <w:u w:val="none"/>
                <w:lang w:val="en-US" w:eastAsia="zh-CN" w:bidi="ar-SA"/>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2"/>
                <w:sz w:val="24"/>
                <w:szCs w:val="24"/>
                <w:highlight w:val="none"/>
                <w:u w:val="none"/>
                <w:lang w:val="en-US" w:eastAsia="zh-CN" w:bidi="ar-SA"/>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4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lang w:val="en-US"/>
              </w:rPr>
            </w:pPr>
            <w:r>
              <w:rPr>
                <w:rFonts w:hint="eastAsia" w:ascii="楷体" w:hAnsi="楷体" w:eastAsia="楷体" w:cs="楷体"/>
                <w:b w:val="0"/>
                <w:bCs w:val="0"/>
                <w:i w:val="0"/>
                <w:iCs w:val="0"/>
                <w:color w:val="auto"/>
                <w:kern w:val="0"/>
                <w:sz w:val="24"/>
                <w:szCs w:val="24"/>
                <w:highlight w:val="none"/>
                <w:u w:val="none"/>
                <w:lang w:val="en-US" w:eastAsia="zh-CN" w:bidi="ar"/>
              </w:rPr>
              <w:t>12</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备份一体机</w:t>
            </w:r>
          </w:p>
        </w:tc>
        <w:tc>
          <w:tcPr>
            <w:tcW w:w="2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支持以下平台和应用：Windows 2003及以上版本；Linux Kernel 2.4及以上版本；国内外主流虚拟化平台；SQL Server、Oracle、DB2、Sybase、MySQL等数据库；支持增加业务接管模块。</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功能授权：配置≥28TB硬盘容量，2U12，≥两颗八核CPU，≥128GB高速缓存；≥配置7块4TB硬盘，配置8*1G电口，2*8G光口，支持端口聚合，配置≥2块240GB SSD系统盘，冗余电源。</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容灾模块：</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提供业务系统容灾所需的计算、存储、网络资源，以及相关的定时/实时数据同步功能模块，并通过统一界面管理，实现在一套一体机内能同时能接管多个业务系统的运行。</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本项目单台设备配置≥28TB硬盘容量备份许可；配置≥28TB重复数据删除许可；配置≥413个x86平台下客户端备份许可；配置≥44个x86平台下Oracle备份许可；配置≥102个x86平台下MySQL备份许可；功能授权：配置≥57个x86平台下MSSQL备份许可；配置≥89个x86平台下DB2备份许可；配置≥190台个虚拟机备份授权，配置≥1个容灾模块：提供业务系统容灾所需的计算、存储、网络资源，以及相关的定时/实时数据同步功能模块，并通过统一界面管理，实现在一套一体机内能同时能接管多个业务系统的运行。</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服务：原厂质保三年，首次上门安装，7*24小时免费远程电话和邮件支持故障处理</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支持NAT穿透技术，支持将备份系统部署在内网中，也可以同时备份外网的数据。（提供备份系统支持NAT穿透的功能截图）内置集成容器平台，可在一体机中创建镜像，容器，用于数据恢复演练及测试相关工作。</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支持以租户为单位无代理备份和恢复OpenStack的实例、卷、快照及镜像</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支持无代理备份Docker的镜像与容器实例</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支持数据库离线恢复，即备份数据不但可直接恢复至数据库，同时也支持将备份数据恢复成文件，恢复的文件可以以离线的方式在异地直接恢复至异地数据库，完全不依赖备份系统，同时也不需要在异地搭建备份系统</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支持数据库事务级实时同步复制，实时将数据库备份到目标端，目标端数据库实时可读，RPO指标达到秒级，RTO分钟级，数据库实时备份支持主流商业及开源数据库，包括Oracle、MySQL、IBM DB2</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支持模拟备份功能，可在不执行实际备份的前提下，获取到备份目标的文件数量、数据大小等信息，以便更合理地规划配置备份任务。</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lang w:val="en-US" w:eastAsia="zh-CN"/>
              </w:rPr>
              <w:t>备份过程中支持通过安全传输协议（TLS）进行加密，保证数据传输的全过程安全。可自定义加密证书，支持CA证书加密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13</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color w:val="auto"/>
                <w:sz w:val="24"/>
                <w:szCs w:val="24"/>
                <w:highlight w:val="none"/>
              </w:rPr>
              <w:t>显示大屏</w:t>
            </w:r>
          </w:p>
        </w:tc>
        <w:tc>
          <w:tcPr>
            <w:tcW w:w="2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硬件配置</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1.4K超高清会议触控一体屏，外壳采用铝合金材料，表面处理为拉丝阳极氧化，抗腐蚀性增强</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2.采用65寸电容式多点触摸液晶屏，可支持20点以上触控；分辨率高达3840×2160/60Hz，显示比例16:9</w:t>
            </w:r>
          </w:p>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lang w:val="en-US" w:eastAsia="zh-CN"/>
              </w:rPr>
              <w:t>3</w:t>
            </w:r>
            <w:r>
              <w:rPr>
                <w:rFonts w:hint="eastAsia" w:ascii="楷体" w:hAnsi="楷体" w:eastAsia="楷体" w:cs="楷体"/>
                <w:b w:val="0"/>
                <w:bCs w:val="0"/>
                <w:color w:val="auto"/>
                <w:sz w:val="24"/>
                <w:szCs w:val="24"/>
                <w:highlight w:val="none"/>
              </w:rPr>
              <w:t>.支持PC，iOS，Android无线投屏功能，最大可支持4K，投屏时支持多画面显示显示，最大支持4组信号同时投屏；并PC自带反控功能</w:t>
            </w:r>
          </w:p>
          <w:p>
            <w:pPr>
              <w:keepNext w:val="0"/>
              <w:keepLines w:val="0"/>
              <w:widowControl/>
              <w:suppressLineNumbers w:val="0"/>
              <w:spacing w:line="240" w:lineRule="auto"/>
              <w:jc w:val="left"/>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color w:val="auto"/>
                <w:sz w:val="24"/>
                <w:szCs w:val="24"/>
                <w:highlight w:val="none"/>
                <w:lang w:val="en-US" w:eastAsia="zh-CN"/>
              </w:rPr>
              <w:t>4</w:t>
            </w:r>
            <w:r>
              <w:rPr>
                <w:rFonts w:hint="eastAsia" w:ascii="楷体" w:hAnsi="楷体" w:eastAsia="楷体" w:cs="楷体"/>
                <w:b w:val="0"/>
                <w:bCs w:val="0"/>
                <w:color w:val="auto"/>
                <w:sz w:val="24"/>
                <w:szCs w:val="24"/>
                <w:highlight w:val="none"/>
              </w:rPr>
              <w:t>.支持安卓触摸主页，实现书写白板操作、文件管理、贵宾接待（欢 迎界面设定）、多屏互动、更多应用、常用快捷应用设置菜单等功能</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2"/>
                <w:sz w:val="24"/>
                <w:szCs w:val="24"/>
                <w:highlight w:val="none"/>
                <w:u w:val="none"/>
                <w:lang w:val="en-US" w:eastAsia="zh-CN" w:bidi="ar-SA"/>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2"/>
                <w:sz w:val="24"/>
                <w:szCs w:val="24"/>
                <w:highlight w:val="none"/>
                <w:u w:val="none"/>
                <w:lang w:val="en-US" w:eastAsia="zh-CN" w:bidi="ar-SA"/>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411"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14</w:t>
            </w:r>
          </w:p>
        </w:tc>
        <w:tc>
          <w:tcPr>
            <w:tcW w:w="104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维保升级服务</w:t>
            </w:r>
          </w:p>
        </w:tc>
        <w:tc>
          <w:tcPr>
            <w:tcW w:w="2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1、</w:t>
            </w:r>
            <w:r>
              <w:rPr>
                <w:rFonts w:hint="eastAsia" w:ascii="楷体" w:hAnsi="楷体" w:eastAsia="楷体" w:cs="楷体"/>
                <w:b w:val="0"/>
                <w:bCs w:val="0"/>
                <w:color w:val="auto"/>
                <w:sz w:val="24"/>
                <w:szCs w:val="24"/>
                <w:highlight w:val="none"/>
              </w:rPr>
              <w:t>深信服防火墙</w:t>
            </w: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b w:val="0"/>
                <w:bCs w:val="0"/>
                <w:color w:val="auto"/>
                <w:sz w:val="24"/>
                <w:szCs w:val="24"/>
                <w:highlight w:val="none"/>
              </w:rPr>
              <w:t>AF-1000-D600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1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highlight w:val="none"/>
                <w:u w:val="none"/>
                <w:lang w:val="en-US" w:eastAsia="zh-CN" w:bidi="ar"/>
              </w:rPr>
            </w:pPr>
          </w:p>
        </w:tc>
        <w:tc>
          <w:tcPr>
            <w:tcW w:w="104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color w:val="auto"/>
                <w:sz w:val="24"/>
                <w:szCs w:val="24"/>
                <w:highlight w:val="none"/>
                <w:lang w:val="en-US" w:eastAsia="zh-CN"/>
              </w:rPr>
            </w:pPr>
          </w:p>
        </w:tc>
        <w:tc>
          <w:tcPr>
            <w:tcW w:w="271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spacing w:line="240" w:lineRule="auto"/>
              <w:ind w:left="0" w:leftChars="0" w:firstLine="0" w:firstLineChars="0"/>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2、</w:t>
            </w:r>
            <w:r>
              <w:rPr>
                <w:rFonts w:hint="eastAsia" w:ascii="楷体" w:hAnsi="楷体" w:eastAsia="楷体" w:cs="楷体"/>
                <w:b w:val="0"/>
                <w:bCs w:val="0"/>
                <w:color w:val="auto"/>
                <w:sz w:val="24"/>
                <w:szCs w:val="24"/>
                <w:highlight w:val="none"/>
              </w:rPr>
              <w:t>深信服上网行为管理</w:t>
            </w: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b w:val="0"/>
                <w:bCs w:val="0"/>
                <w:color w:val="auto"/>
                <w:sz w:val="24"/>
                <w:szCs w:val="24"/>
                <w:highlight w:val="none"/>
              </w:rPr>
              <w:t xml:space="preserve"> AC-1000-D600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1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highlight w:val="none"/>
                <w:u w:val="none"/>
                <w:lang w:val="en-US" w:eastAsia="zh-CN" w:bidi="ar"/>
              </w:rPr>
            </w:pPr>
          </w:p>
        </w:tc>
        <w:tc>
          <w:tcPr>
            <w:tcW w:w="104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color w:val="auto"/>
                <w:sz w:val="24"/>
                <w:szCs w:val="24"/>
                <w:highlight w:val="none"/>
                <w:lang w:val="en-US" w:eastAsia="zh-CN"/>
              </w:rPr>
            </w:pPr>
          </w:p>
        </w:tc>
        <w:tc>
          <w:tcPr>
            <w:tcW w:w="271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spacing w:line="240" w:lineRule="auto"/>
              <w:ind w:left="0" w:leftChars="0" w:firstLine="0" w:firstLineChars="0"/>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3、</w:t>
            </w:r>
            <w:r>
              <w:rPr>
                <w:rFonts w:hint="eastAsia" w:ascii="楷体" w:hAnsi="楷体" w:eastAsia="楷体" w:cs="楷体"/>
                <w:b w:val="0"/>
                <w:bCs w:val="0"/>
                <w:color w:val="auto"/>
                <w:sz w:val="24"/>
                <w:szCs w:val="24"/>
                <w:highlight w:val="none"/>
              </w:rPr>
              <w:t xml:space="preserve">启明星辰天珣终端安全管理 </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411" w:type="pct"/>
            <w:vMerge w:val="continue"/>
            <w:tcBorders>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highlight w:val="none"/>
                <w:u w:val="none"/>
                <w:lang w:val="en-US" w:eastAsia="zh-CN" w:bidi="ar"/>
              </w:rPr>
            </w:pPr>
          </w:p>
        </w:tc>
        <w:tc>
          <w:tcPr>
            <w:tcW w:w="104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color w:val="auto"/>
                <w:sz w:val="24"/>
                <w:szCs w:val="24"/>
                <w:highlight w:val="none"/>
                <w:lang w:val="en-US" w:eastAsia="zh-CN"/>
              </w:rPr>
            </w:pPr>
          </w:p>
        </w:tc>
        <w:tc>
          <w:tcPr>
            <w:tcW w:w="271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spacing w:line="240" w:lineRule="auto"/>
              <w:ind w:left="0" w:leftChars="0" w:firstLine="0"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lang w:val="en-US" w:eastAsia="zh-CN"/>
              </w:rPr>
              <w:t>4、启明星辰网闸/CE1000E</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highlight w:val="none"/>
                <w:u w:val="none"/>
                <w:lang w:val="en-US" w:eastAsia="zh-CN" w:bidi="ar"/>
              </w:rPr>
            </w:pPr>
            <w:r>
              <w:rPr>
                <w:rFonts w:hint="eastAsia" w:ascii="楷体" w:hAnsi="楷体" w:eastAsia="楷体" w:cs="楷体"/>
                <w:b w:val="0"/>
                <w:bCs w:val="0"/>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3" w:hRule="atLeast"/>
        </w:trPr>
        <w:tc>
          <w:tcPr>
            <w:tcW w:w="4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sz w:val="24"/>
                <w:szCs w:val="24"/>
                <w:highlight w:val="none"/>
                <w:u w:val="none"/>
                <w:lang w:val="en-US"/>
              </w:rPr>
            </w:pPr>
            <w:r>
              <w:rPr>
                <w:rFonts w:hint="eastAsia" w:ascii="楷体" w:hAnsi="楷体" w:eastAsia="楷体" w:cs="楷体"/>
                <w:b w:val="0"/>
                <w:bCs w:val="0"/>
                <w:i w:val="0"/>
                <w:iCs w:val="0"/>
                <w:color w:val="auto"/>
                <w:kern w:val="0"/>
                <w:sz w:val="24"/>
                <w:szCs w:val="24"/>
                <w:highlight w:val="none"/>
                <w:u w:val="none"/>
                <w:lang w:val="en-US" w:eastAsia="zh-CN" w:bidi="ar"/>
              </w:rPr>
              <w:t>15</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both"/>
              <w:textAlignment w:val="center"/>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i w:val="0"/>
                <w:iCs w:val="0"/>
                <w:color w:val="auto"/>
                <w:kern w:val="0"/>
                <w:sz w:val="24"/>
                <w:szCs w:val="24"/>
                <w:highlight w:val="none"/>
                <w:u w:val="none"/>
                <w:lang w:val="en-US" w:eastAsia="zh-CN" w:bidi="ar"/>
              </w:rPr>
              <w:t>技术服务</w:t>
            </w:r>
          </w:p>
        </w:tc>
        <w:tc>
          <w:tcPr>
            <w:tcW w:w="271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ascii="楷体" w:hAnsi="楷体" w:eastAsia="楷体" w:cs="楷体"/>
                <w:b w:val="0"/>
                <w:bCs w:val="0"/>
                <w:i w:val="0"/>
                <w:iCs w:val="0"/>
                <w:color w:val="auto"/>
                <w:sz w:val="24"/>
                <w:szCs w:val="24"/>
                <w:highlight w:val="none"/>
                <w:u w:val="none"/>
              </w:rPr>
            </w:pPr>
            <w:r>
              <w:rPr>
                <w:rFonts w:hint="eastAsia" w:ascii="楷体" w:hAnsi="楷体" w:eastAsia="楷体" w:cs="楷体"/>
                <w:b w:val="0"/>
                <w:bCs w:val="0"/>
                <w:color w:val="auto"/>
                <w:kern w:val="0"/>
                <w:sz w:val="24"/>
                <w:szCs w:val="24"/>
                <w:highlight w:val="none"/>
                <w:lang w:val="en-US" w:eastAsia="zh-CN"/>
              </w:rPr>
              <w:t>根据医院现状</w:t>
            </w:r>
            <w:r>
              <w:rPr>
                <w:rFonts w:hint="eastAsia" w:ascii="楷体" w:hAnsi="楷体" w:eastAsia="楷体" w:cs="楷体"/>
                <w:b w:val="0"/>
                <w:bCs w:val="0"/>
                <w:color w:val="auto"/>
                <w:kern w:val="0"/>
                <w:sz w:val="24"/>
                <w:szCs w:val="24"/>
                <w:highlight w:val="none"/>
                <w:lang w:val="zh-CN"/>
              </w:rPr>
              <w:t>整体</w:t>
            </w:r>
            <w:r>
              <w:rPr>
                <w:rFonts w:hint="eastAsia" w:ascii="楷体" w:hAnsi="楷体" w:eastAsia="楷体" w:cs="楷体"/>
                <w:b w:val="0"/>
                <w:bCs w:val="0"/>
                <w:color w:val="auto"/>
                <w:kern w:val="0"/>
                <w:sz w:val="24"/>
                <w:szCs w:val="24"/>
                <w:highlight w:val="none"/>
                <w:lang w:val="en-US" w:eastAsia="zh-CN"/>
              </w:rPr>
              <w:t>规划、设计，</w:t>
            </w:r>
            <w:r>
              <w:rPr>
                <w:rFonts w:hint="eastAsia" w:ascii="楷体" w:hAnsi="楷体" w:eastAsia="楷体" w:cs="楷体"/>
                <w:b w:val="0"/>
                <w:bCs w:val="0"/>
                <w:color w:val="auto"/>
                <w:kern w:val="0"/>
                <w:sz w:val="24"/>
                <w:szCs w:val="24"/>
                <w:highlight w:val="none"/>
              </w:rPr>
              <w:t>对原有网络架构进行优化，明确各个区域边界，做到整体架构清晰，便于后期设备调整优化，</w:t>
            </w:r>
            <w:r>
              <w:rPr>
                <w:rFonts w:hint="eastAsia" w:ascii="楷体" w:hAnsi="楷体" w:eastAsia="楷体" w:cs="楷体"/>
                <w:b w:val="0"/>
                <w:bCs w:val="0"/>
                <w:color w:val="auto"/>
                <w:kern w:val="0"/>
                <w:sz w:val="24"/>
                <w:szCs w:val="24"/>
                <w:highlight w:val="none"/>
                <w:lang w:val="en-US" w:eastAsia="zh-CN"/>
              </w:rPr>
              <w:t>完善</w:t>
            </w:r>
            <w:r>
              <w:rPr>
                <w:rFonts w:hint="eastAsia" w:ascii="楷体" w:hAnsi="楷体" w:eastAsia="楷体" w:cs="楷体"/>
                <w:b w:val="0"/>
                <w:bCs w:val="0"/>
                <w:color w:val="auto"/>
                <w:kern w:val="0"/>
                <w:sz w:val="24"/>
                <w:szCs w:val="24"/>
                <w:highlight w:val="none"/>
              </w:rPr>
              <w:t>安全策略配置</w:t>
            </w:r>
            <w:r>
              <w:rPr>
                <w:rFonts w:hint="eastAsia" w:ascii="楷体" w:hAnsi="楷体" w:eastAsia="楷体" w:cs="楷体"/>
                <w:b w:val="0"/>
                <w:bCs w:val="0"/>
                <w:color w:val="auto"/>
                <w:kern w:val="0"/>
                <w:sz w:val="24"/>
                <w:szCs w:val="24"/>
                <w:highlight w:val="none"/>
                <w:lang w:eastAsia="zh-CN"/>
              </w:rPr>
              <w:t>，</w:t>
            </w:r>
            <w:r>
              <w:rPr>
                <w:rFonts w:hint="eastAsia" w:ascii="楷体" w:hAnsi="楷体" w:eastAsia="楷体" w:cs="楷体"/>
                <w:b w:val="0"/>
                <w:bCs w:val="0"/>
                <w:color w:val="auto"/>
                <w:kern w:val="0"/>
                <w:sz w:val="24"/>
                <w:szCs w:val="24"/>
                <w:highlight w:val="none"/>
                <w:lang w:val="zh-CN"/>
              </w:rPr>
              <w:t>使之符合医院业务系统3-5年的发展需求和满足等级保护要求，</w:t>
            </w:r>
            <w:r>
              <w:rPr>
                <w:rFonts w:hint="eastAsia" w:ascii="楷体" w:hAnsi="楷体" w:eastAsia="楷体" w:cs="楷体"/>
                <w:b w:val="0"/>
                <w:bCs w:val="0"/>
                <w:color w:val="auto"/>
                <w:kern w:val="0"/>
                <w:sz w:val="24"/>
                <w:szCs w:val="24"/>
                <w:highlight w:val="none"/>
                <w:lang w:val="en-US" w:eastAsia="zh-CN"/>
              </w:rPr>
              <w:t>提供完善的实施方案，医院网络现状拓扑图和实施后的网络拓扑图，</w:t>
            </w:r>
            <w:r>
              <w:rPr>
                <w:rFonts w:hint="eastAsia" w:ascii="楷体" w:hAnsi="楷体" w:eastAsia="楷体" w:cs="楷体"/>
                <w:b w:val="0"/>
                <w:bCs w:val="0"/>
                <w:i w:val="0"/>
                <w:iCs w:val="0"/>
                <w:color w:val="auto"/>
                <w:kern w:val="0"/>
                <w:sz w:val="24"/>
                <w:szCs w:val="24"/>
                <w:highlight w:val="none"/>
                <w:u w:val="none"/>
                <w:lang w:val="en-US" w:eastAsia="zh-CN" w:bidi="ar"/>
              </w:rPr>
              <w:t>安装调试技术服务，网络设备规划调试，策略调优等</w:t>
            </w:r>
            <w:r>
              <w:rPr>
                <w:rFonts w:hint="eastAsia" w:ascii="楷体" w:hAnsi="楷体" w:eastAsia="楷体" w:cs="楷体"/>
                <w:b w:val="0"/>
                <w:bCs w:val="0"/>
                <w:color w:val="auto"/>
                <w:kern w:val="0"/>
                <w:sz w:val="24"/>
                <w:szCs w:val="24"/>
                <w:highlight w:val="none"/>
                <w:lang w:val="en-US" w:eastAsia="zh-CN"/>
              </w:rPr>
              <w:t>。</w:t>
            </w: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楷体" w:hAnsi="楷体" w:eastAsia="楷体" w:cs="楷体"/>
                <w:b w:val="0"/>
                <w:bCs w:val="0"/>
                <w:i w:val="0"/>
                <w:iCs w:val="0"/>
                <w:color w:val="auto"/>
                <w:sz w:val="24"/>
                <w:szCs w:val="24"/>
                <w:highlight w:val="none"/>
                <w:u w:val="none"/>
                <w:lang w:val="en-US" w:eastAsia="zh-CN"/>
              </w:rPr>
            </w:pPr>
            <w:r>
              <w:rPr>
                <w:rFonts w:hint="eastAsia" w:ascii="楷体" w:hAnsi="楷体" w:eastAsia="楷体" w:cs="楷体"/>
                <w:b w:val="0"/>
                <w:bCs w:val="0"/>
                <w:i w:val="0"/>
                <w:iCs w:val="0"/>
                <w:color w:val="auto"/>
                <w:sz w:val="24"/>
                <w:szCs w:val="24"/>
                <w:highlight w:val="none"/>
                <w:u w:val="none"/>
                <w:lang w:val="en-US" w:eastAsia="zh-CN"/>
              </w:rPr>
              <w:t>项</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楷体" w:hAnsi="楷体" w:eastAsia="楷体" w:cs="楷体"/>
                <w:b w:val="0"/>
                <w:bCs w:val="0"/>
                <w:i w:val="0"/>
                <w:iCs w:val="0"/>
                <w:color w:val="auto"/>
                <w:sz w:val="24"/>
                <w:szCs w:val="24"/>
                <w:highlight w:val="none"/>
                <w:u w:val="none"/>
                <w:lang w:val="en-US" w:eastAsia="zh-CN"/>
              </w:rPr>
            </w:pPr>
            <w:r>
              <w:rPr>
                <w:rFonts w:hint="eastAsia" w:ascii="楷体" w:hAnsi="楷体" w:eastAsia="楷体" w:cs="楷体"/>
                <w:b w:val="0"/>
                <w:bCs w:val="0"/>
                <w:i w:val="0"/>
                <w:iCs w:val="0"/>
                <w:color w:val="auto"/>
                <w:sz w:val="24"/>
                <w:szCs w:val="24"/>
                <w:highlight w:val="none"/>
                <w:u w:val="none"/>
                <w:lang w:val="en-US" w:eastAsia="zh-CN"/>
              </w:rPr>
              <w:t>1</w:t>
            </w:r>
          </w:p>
        </w:tc>
      </w:tr>
    </w:tbl>
    <w:p>
      <w:pPr>
        <w:rPr>
          <w:rFonts w:hint="eastAsia" w:ascii="楷体" w:hAnsi="楷体" w:eastAsia="楷体" w:cs="楷体"/>
          <w:sz w:val="24"/>
          <w:szCs w:val="24"/>
          <w:highlight w:val="none"/>
        </w:rPr>
      </w:pPr>
    </w:p>
    <w:p>
      <w:pPr>
        <w:pStyle w:val="47"/>
        <w:rPr>
          <w:highlight w:val="none"/>
        </w:rPr>
      </w:pPr>
    </w:p>
    <w:p>
      <w:pPr>
        <w:rPr>
          <w:highlight w:val="none"/>
        </w:rPr>
      </w:pPr>
      <w:r>
        <w:rPr>
          <w:highlight w:val="none"/>
        </w:rPr>
        <w:br w:type="page"/>
      </w: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pStyle w:val="47"/>
        <w:rPr>
          <w:highlight w:val="none"/>
        </w:rPr>
      </w:pPr>
    </w:p>
    <w:p>
      <w:pPr>
        <w:jc w:val="center"/>
        <w:rPr>
          <w:highlight w:val="none"/>
        </w:rPr>
      </w:pPr>
    </w:p>
    <w:p>
      <w:pPr>
        <w:pStyle w:val="5"/>
        <w:jc w:val="center"/>
        <w:rPr>
          <w:highlight w:val="none"/>
        </w:rPr>
      </w:pPr>
      <w:bookmarkStart w:id="11" w:name="_Toc28645"/>
      <w:r>
        <w:rPr>
          <w:rFonts w:hint="eastAsia"/>
          <w:highlight w:val="none"/>
        </w:rPr>
        <w:t>第五部分 评标办法</w:t>
      </w:r>
      <w:bookmarkEnd w:id="11"/>
    </w:p>
    <w:p>
      <w:pPr>
        <w:snapToGrid w:val="0"/>
        <w:spacing w:line="360" w:lineRule="auto"/>
        <w:ind w:left="482" w:hanging="482" w:hangingChars="200"/>
        <w:rPr>
          <w:rFonts w:ascii="宋体" w:hAnsi="宋体" w:cs="宋体"/>
          <w:b/>
          <w:bCs/>
          <w:sz w:val="24"/>
          <w:highlight w:val="none"/>
        </w:rPr>
      </w:pPr>
    </w:p>
    <w:p>
      <w:pPr>
        <w:snapToGrid w:val="0"/>
        <w:spacing w:line="360" w:lineRule="auto"/>
        <w:ind w:left="482" w:hanging="482" w:hangingChars="200"/>
        <w:rPr>
          <w:rFonts w:ascii="宋体" w:hAnsi="宋体" w:cs="宋体"/>
          <w:b/>
          <w:bCs/>
          <w:sz w:val="24"/>
          <w:highlight w:val="none"/>
        </w:rPr>
      </w:pPr>
    </w:p>
    <w:p>
      <w:pPr>
        <w:snapToGrid w:val="0"/>
        <w:spacing w:line="360" w:lineRule="auto"/>
        <w:ind w:left="482" w:hanging="482" w:hangingChars="200"/>
        <w:rPr>
          <w:rFonts w:ascii="宋体" w:hAnsi="宋体" w:cs="宋体"/>
          <w:b/>
          <w:bCs/>
          <w:sz w:val="24"/>
          <w:highlight w:val="none"/>
        </w:rPr>
      </w:pPr>
    </w:p>
    <w:p>
      <w:pPr>
        <w:snapToGrid w:val="0"/>
        <w:spacing w:line="360" w:lineRule="auto"/>
        <w:ind w:left="482" w:hanging="482" w:hangingChars="200"/>
        <w:rPr>
          <w:rFonts w:ascii="宋体" w:hAnsi="宋体" w:cs="宋体"/>
          <w:b/>
          <w:bCs/>
          <w:sz w:val="24"/>
          <w:highlight w:val="none"/>
        </w:rPr>
      </w:pPr>
    </w:p>
    <w:p>
      <w:pPr>
        <w:snapToGrid w:val="0"/>
        <w:spacing w:line="360" w:lineRule="auto"/>
        <w:ind w:left="482" w:hanging="482" w:hangingChars="200"/>
        <w:rPr>
          <w:rFonts w:ascii="宋体" w:hAnsi="宋体" w:cs="宋体"/>
          <w:b/>
          <w:bCs/>
          <w:sz w:val="24"/>
          <w:highlight w:val="none"/>
        </w:rPr>
      </w:pPr>
    </w:p>
    <w:p>
      <w:pPr>
        <w:numPr>
          <w:ilvl w:val="1"/>
          <w:numId w:val="0"/>
        </w:numPr>
        <w:rPr>
          <w:highlight w:val="none"/>
        </w:rPr>
      </w:pPr>
    </w:p>
    <w:p>
      <w:pPr>
        <w:rPr>
          <w:rFonts w:ascii="宋体" w:hAnsi="宋体" w:cs="宋体"/>
          <w:b/>
          <w:bCs/>
          <w:sz w:val="24"/>
          <w:highlight w:val="none"/>
        </w:rPr>
      </w:pPr>
    </w:p>
    <w:p>
      <w:pPr>
        <w:numPr>
          <w:ilvl w:val="1"/>
          <w:numId w:val="0"/>
        </w:numPr>
        <w:rPr>
          <w:highlight w:val="none"/>
        </w:rPr>
      </w:pPr>
    </w:p>
    <w:p>
      <w:pPr>
        <w:rPr>
          <w:rFonts w:ascii="宋体" w:hAnsi="宋体" w:cs="宋体"/>
          <w:b/>
          <w:bCs/>
          <w:sz w:val="24"/>
          <w:highlight w:val="none"/>
        </w:rPr>
      </w:pPr>
    </w:p>
    <w:p>
      <w:pPr>
        <w:rPr>
          <w:rFonts w:hint="eastAsia" w:ascii="宋体" w:hAnsi="宋体" w:cs="宋体"/>
          <w:b/>
          <w:bCs/>
          <w:sz w:val="24"/>
          <w:highlight w:val="none"/>
        </w:rPr>
      </w:pPr>
      <w:r>
        <w:rPr>
          <w:rFonts w:hint="eastAsia" w:ascii="宋体" w:hAnsi="宋体" w:cs="宋体"/>
          <w:b/>
          <w:bCs/>
          <w:sz w:val="24"/>
          <w:highlight w:val="none"/>
        </w:rPr>
        <w:br w:type="page"/>
      </w:r>
    </w:p>
    <w:p>
      <w:pPr>
        <w:snapToGrid w:val="0"/>
        <w:spacing w:line="360" w:lineRule="auto"/>
        <w:rPr>
          <w:rFonts w:ascii="宋体" w:hAnsi="宋体" w:cs="宋体"/>
          <w:b/>
          <w:bCs/>
          <w:sz w:val="24"/>
          <w:highlight w:val="none"/>
        </w:rPr>
      </w:pPr>
      <w:r>
        <w:rPr>
          <w:rFonts w:hint="eastAsia" w:ascii="宋体" w:hAnsi="宋体" w:cs="宋体"/>
          <w:b/>
          <w:bCs/>
          <w:sz w:val="24"/>
          <w:highlight w:val="none"/>
        </w:rPr>
        <w:t>1.  评标委员会</w:t>
      </w:r>
    </w:p>
    <w:p>
      <w:pPr>
        <w:snapToGrid w:val="0"/>
        <w:spacing w:line="360" w:lineRule="auto"/>
        <w:ind w:left="480" w:hanging="480" w:hangingChars="200"/>
        <w:rPr>
          <w:rFonts w:ascii="宋体" w:hAnsi="宋体" w:cs="宋体"/>
          <w:sz w:val="24"/>
          <w:highlight w:val="none"/>
        </w:rPr>
      </w:pPr>
      <w:r>
        <w:rPr>
          <w:rFonts w:hint="eastAsia" w:ascii="宋体" w:hAnsi="宋体" w:cs="宋体"/>
          <w:sz w:val="24"/>
          <w:highlight w:val="none"/>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ascii="宋体" w:hAnsi="宋体" w:cs="宋体"/>
          <w:sz w:val="24"/>
          <w:highlight w:val="none"/>
        </w:rPr>
      </w:pPr>
      <w:r>
        <w:rPr>
          <w:rFonts w:hint="eastAsia" w:ascii="宋体" w:hAnsi="宋体" w:cs="宋体"/>
          <w:sz w:val="24"/>
          <w:highlight w:val="none"/>
        </w:rPr>
        <w:t>1.2评标委员会由招标人代表及有关技术、经济等方面的专家组成。</w:t>
      </w:r>
    </w:p>
    <w:p>
      <w:pPr>
        <w:snapToGrid w:val="0"/>
        <w:spacing w:line="360" w:lineRule="auto"/>
        <w:ind w:left="480" w:hanging="480" w:hangingChars="200"/>
        <w:rPr>
          <w:rFonts w:ascii="宋体" w:hAnsi="宋体" w:cs="宋体"/>
          <w:sz w:val="24"/>
          <w:highlight w:val="none"/>
        </w:rPr>
      </w:pPr>
      <w:r>
        <w:rPr>
          <w:rFonts w:hint="eastAsia" w:ascii="宋体" w:hAnsi="宋体" w:cs="宋体"/>
          <w:sz w:val="24"/>
          <w:highlight w:val="none"/>
        </w:rPr>
        <w:t>1.3评标委员会负责评标工作，对投标文件进行审查和评估，并向招标方提交书面评标报告。</w:t>
      </w:r>
    </w:p>
    <w:p>
      <w:pPr>
        <w:snapToGrid w:val="0"/>
        <w:spacing w:line="360" w:lineRule="auto"/>
        <w:rPr>
          <w:rFonts w:ascii="宋体" w:hAnsi="宋体" w:cs="宋体"/>
          <w:b/>
          <w:bCs/>
          <w:sz w:val="24"/>
          <w:highlight w:val="none"/>
        </w:rPr>
      </w:pPr>
      <w:r>
        <w:rPr>
          <w:rFonts w:hint="eastAsia" w:ascii="宋体" w:hAnsi="宋体" w:cs="宋体"/>
          <w:sz w:val="24"/>
          <w:highlight w:val="none"/>
        </w:rPr>
        <w:t>1.4评标方法：</w:t>
      </w:r>
      <w:r>
        <w:rPr>
          <w:rFonts w:hint="eastAsia" w:ascii="宋体" w:hAnsi="宋体" w:cs="宋体"/>
          <w:b/>
          <w:bCs/>
          <w:sz w:val="24"/>
          <w:highlight w:val="none"/>
        </w:rPr>
        <w:t>综合评分法。</w:t>
      </w:r>
    </w:p>
    <w:p>
      <w:pPr>
        <w:snapToGrid w:val="0"/>
        <w:spacing w:line="360" w:lineRule="auto"/>
        <w:rPr>
          <w:rFonts w:ascii="宋体" w:hAnsi="宋体" w:cs="宋体"/>
          <w:sz w:val="24"/>
          <w:highlight w:val="none"/>
        </w:rPr>
      </w:pPr>
      <w:r>
        <w:rPr>
          <w:rFonts w:hint="eastAsia" w:ascii="宋体" w:hAnsi="宋体" w:cs="宋体"/>
          <w:sz w:val="24"/>
          <w:highlight w:val="none"/>
        </w:rPr>
        <w:t>1.5投标文件的澄清</w:t>
      </w:r>
    </w:p>
    <w:p>
      <w:pPr>
        <w:snapToGrid w:val="0"/>
        <w:spacing w:line="360" w:lineRule="auto"/>
        <w:rPr>
          <w:rFonts w:ascii="宋体" w:hAnsi="宋体" w:cs="宋体"/>
          <w:sz w:val="24"/>
          <w:highlight w:val="none"/>
        </w:rPr>
      </w:pPr>
      <w:r>
        <w:rPr>
          <w:rFonts w:hint="eastAsia" w:ascii="宋体" w:hAnsi="宋体" w:cs="宋体"/>
          <w:sz w:val="24"/>
          <w:highlight w:val="none"/>
        </w:rPr>
        <w:t>1.5.1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ascii="宋体" w:hAnsi="宋体" w:cs="宋体"/>
          <w:b/>
          <w:bCs/>
          <w:sz w:val="24"/>
          <w:highlight w:val="none"/>
        </w:rPr>
      </w:pPr>
      <w:r>
        <w:rPr>
          <w:rFonts w:hint="eastAsia" w:ascii="宋体" w:hAnsi="宋体" w:cs="宋体"/>
          <w:b/>
          <w:bCs/>
          <w:sz w:val="24"/>
          <w:highlight w:val="none"/>
        </w:rPr>
        <w:t>2.  投标文件的初审（资格审查及符合性检查）</w:t>
      </w:r>
    </w:p>
    <w:p>
      <w:pPr>
        <w:spacing w:line="360" w:lineRule="auto"/>
        <w:rPr>
          <w:rFonts w:ascii="宋体" w:hAnsi="宋体" w:cs="宋体"/>
          <w:sz w:val="24"/>
          <w:highlight w:val="none"/>
        </w:rPr>
      </w:pPr>
      <w:r>
        <w:rPr>
          <w:rFonts w:hint="eastAsia" w:ascii="宋体" w:hAnsi="宋体" w:cs="宋体"/>
          <w:sz w:val="24"/>
          <w:highlight w:val="none"/>
        </w:rPr>
        <w:t>2.1</w:t>
      </w:r>
      <w:r>
        <w:rPr>
          <w:rFonts w:hint="eastAsia" w:ascii="宋体" w:hAnsi="宋体" w:cs="宋体"/>
          <w:bCs/>
          <w:kern w:val="1"/>
          <w:sz w:val="24"/>
          <w:highlight w:val="none"/>
        </w:rPr>
        <w:t>根据《中华人民共和国政府采购法》第二十三条 ，由采购人或采购人委托的采购代理机构对供应商的资格进行审查。</w:t>
      </w:r>
      <w:r>
        <w:rPr>
          <w:rFonts w:hint="eastAsia" w:ascii="宋体" w:hAnsi="宋体" w:cs="宋体"/>
          <w:sz w:val="24"/>
          <w:highlight w:val="none"/>
        </w:rPr>
        <w:t>评标委员会将审查投标文件是否完整。</w:t>
      </w:r>
    </w:p>
    <w:p>
      <w:pPr>
        <w:snapToGrid w:val="0"/>
        <w:spacing w:line="360" w:lineRule="auto"/>
        <w:rPr>
          <w:rFonts w:ascii="宋体" w:hAnsi="宋体" w:cs="宋体"/>
          <w:sz w:val="24"/>
          <w:highlight w:val="none"/>
        </w:rPr>
      </w:pPr>
      <w:r>
        <w:rPr>
          <w:rFonts w:hint="eastAsia" w:ascii="宋体" w:hAnsi="宋体" w:cs="宋体"/>
          <w:sz w:val="24"/>
          <w:highlight w:val="none"/>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ascii="宋体" w:hAnsi="宋体" w:cs="宋体"/>
          <w:sz w:val="24"/>
          <w:highlight w:val="none"/>
        </w:rPr>
      </w:pPr>
      <w:r>
        <w:rPr>
          <w:rFonts w:hint="eastAsia" w:ascii="宋体" w:hAnsi="宋体" w:cs="宋体"/>
          <w:sz w:val="24"/>
          <w:highlight w:val="none"/>
        </w:rPr>
        <w:t>2.3对于投标文件中不构成实质性偏差的不正规、不一致或不规则，招标方可以接受，但这种接受将影响投标人的综合得分。</w:t>
      </w:r>
    </w:p>
    <w:p>
      <w:pPr>
        <w:snapToGrid w:val="0"/>
        <w:spacing w:line="360" w:lineRule="auto"/>
        <w:rPr>
          <w:rFonts w:ascii="宋体" w:hAnsi="宋体" w:cs="宋体"/>
          <w:sz w:val="24"/>
          <w:highlight w:val="none"/>
        </w:rPr>
      </w:pPr>
      <w:r>
        <w:rPr>
          <w:rFonts w:hint="eastAsia" w:ascii="宋体" w:hAnsi="宋体" w:cs="宋体"/>
          <w:sz w:val="24"/>
          <w:highlight w:val="none"/>
        </w:rPr>
        <w:t>2.4在详细评标之前，评标委员会要审查每份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ascii="宋体" w:hAnsi="宋体" w:cs="宋体"/>
          <w:sz w:val="24"/>
          <w:highlight w:val="none"/>
        </w:rPr>
      </w:pPr>
      <w:r>
        <w:rPr>
          <w:rFonts w:hint="eastAsia" w:ascii="宋体" w:hAnsi="宋体" w:cs="宋体"/>
          <w:sz w:val="24"/>
          <w:highlight w:val="none"/>
        </w:rPr>
        <w:t>2.5评标委员会不接受有选择的报价。</w:t>
      </w:r>
    </w:p>
    <w:p>
      <w:pPr>
        <w:snapToGrid w:val="0"/>
        <w:spacing w:line="360" w:lineRule="auto"/>
        <w:rPr>
          <w:rFonts w:ascii="宋体" w:hAnsi="宋体" w:cs="宋体"/>
          <w:sz w:val="24"/>
          <w:highlight w:val="none"/>
        </w:rPr>
      </w:pPr>
      <w:r>
        <w:rPr>
          <w:rFonts w:hint="eastAsia" w:ascii="宋体" w:hAnsi="宋体" w:cs="宋体"/>
          <w:sz w:val="24"/>
          <w:highlight w:val="none"/>
        </w:rPr>
        <w:t>2.6实质上没有响应招标文件要求的投标将被拒绝。</w:t>
      </w:r>
    </w:p>
    <w:p>
      <w:pPr>
        <w:snapToGrid w:val="0"/>
        <w:spacing w:line="360" w:lineRule="auto"/>
        <w:rPr>
          <w:rFonts w:ascii="宋体" w:hAnsi="宋体" w:cs="宋体"/>
          <w:b/>
          <w:bCs/>
          <w:sz w:val="24"/>
          <w:highlight w:val="none"/>
        </w:rPr>
      </w:pPr>
      <w:r>
        <w:rPr>
          <w:rFonts w:hint="eastAsia" w:ascii="宋体" w:hAnsi="宋体" w:cs="宋体"/>
          <w:b/>
          <w:bCs/>
          <w:sz w:val="24"/>
          <w:highlight w:val="none"/>
        </w:rPr>
        <w:t>3.  投标文件的详细评审</w:t>
      </w:r>
    </w:p>
    <w:p>
      <w:pPr>
        <w:snapToGrid w:val="0"/>
        <w:spacing w:line="360" w:lineRule="auto"/>
        <w:rPr>
          <w:rFonts w:ascii="宋体" w:hAnsi="宋体" w:cs="宋体"/>
          <w:sz w:val="24"/>
          <w:highlight w:val="none"/>
        </w:rPr>
      </w:pPr>
      <w:r>
        <w:rPr>
          <w:rFonts w:hint="eastAsia" w:ascii="宋体" w:hAnsi="宋体" w:cs="宋体"/>
          <w:sz w:val="24"/>
          <w:highlight w:val="none"/>
        </w:rPr>
        <w:t>3.1评标委员会将只对确定为实质上响应招标文件要求的投标进行详细评审。</w:t>
      </w:r>
    </w:p>
    <w:p>
      <w:pPr>
        <w:snapToGrid w:val="0"/>
        <w:spacing w:line="360" w:lineRule="auto"/>
        <w:rPr>
          <w:rFonts w:ascii="宋体" w:hAnsi="宋体" w:cs="宋体"/>
          <w:sz w:val="24"/>
          <w:highlight w:val="none"/>
        </w:rPr>
      </w:pPr>
      <w:r>
        <w:rPr>
          <w:rFonts w:hint="eastAsia" w:ascii="宋体" w:hAnsi="宋体" w:cs="宋体"/>
          <w:sz w:val="24"/>
          <w:highlight w:val="none"/>
        </w:rPr>
        <w:t>3.2详细评审即以招标文件为依据，对所有实质上响应的投标分别从“技术”、“价格”、“商务”及“服务”等方面进行评审并按照百分制进行综合打分。</w:t>
      </w:r>
    </w:p>
    <w:p>
      <w:pPr>
        <w:spacing w:line="360" w:lineRule="auto"/>
        <w:rPr>
          <w:rFonts w:ascii="宋体" w:hAnsi="宋体" w:cs="宋体"/>
          <w:b/>
          <w:bCs/>
          <w:kern w:val="1"/>
          <w:sz w:val="24"/>
          <w:highlight w:val="none"/>
        </w:rPr>
      </w:pPr>
      <w:r>
        <w:rPr>
          <w:rFonts w:hint="eastAsia" w:ascii="宋体" w:hAnsi="宋体" w:cs="宋体"/>
          <w:b/>
          <w:bCs/>
          <w:kern w:val="1"/>
          <w:sz w:val="24"/>
          <w:highlight w:val="none"/>
        </w:rPr>
        <w:t>4.落实政府采购政策</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4.1中小企业政府采购政策</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4.1.1本项目执行《政府采购促进中小企业发展管理办法》（财库〔2020〕46号）、财政部关于进一步加大政府采购支持中小企业力度的通知（财库〔2022〕19号），对符合政府采购关于中小企业扶持政策的小微企业投标人的报价给予10%的扣除，用扣除后的价格参与评审。</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4.1.2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4.1.3投标人提供的货物、工程或者服务符合下列情形的，享受前款办法规定的中小企业扶持政策：</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（1）在货物采购项目中，货物由中小企业制造，即货物由中小企业生产且使用该中小企业商号或者注册商标；</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（2）在工程采购项目中，工程由中小企业承建，即工程施工单位为中小企业；</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（3）在服务采购项目中，服务由中小企业承接，即提供服务的人员为中小企业依照《中华人民共和国劳动法》订立劳动合同的从业人员。</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在货物采购项目中，投标人提供的货物既有中小企业制造货物，也有大型企业制造货物的，不享受本办法规定的中小企业扶持政策。</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以联合体形式参加政府采购活动，联合体各方均为中小企业的，联合体视同中小企业。其中，联合体各方均为小微企业的，联合体视同小微企业。</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4.1.4政府采购监督检查、投诉处理及政府采购行政处罚中对中小企业的认定，由货物制造商或者工程、服务投标人注册登记所在地的县级以上人民政府中小企业主管部门负责。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4.1.5投标人需根据《政府采购促进中小企业发展管理办法》（财库〔2020〕46号）、财政部关于进一步加大政府采购支持中小企业力度的通知（财库〔2022〕19号）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4.1.6投标人应对其出具的《中小企业声明函》真实性负责，投标人出具的《中小企业声明函》内容不实的，属于提供虚假材料谋取中标。</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4.2监狱企业政策</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4.2.1符合《财政部司法部关于政府采购支持监狱企业发展有关问题的通知》（财库〔2014〕68号）的监狱和戒毒企业，提供省级以上监狱管理局、戒毒管理局（含新疆生产建设兵团）出具属于监狱、戒毒企业的证明的，视同小型、微型企业享受10%的价格扣除，监狱、戒毒企业属于小型、微型企业的，不重复享受价格优惠政策。</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4.2.2投标人为监狱企业且所投货物全部由监狱企业制造的，应当提供由省级以上监狱管理局、戒毒管理局出具的属于监狱企业的证明文件，未提供或出具证明文件的单位不符合要求的，不视为小型微型企业。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4.3残疾人福利性单位政策</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4.3.1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10%的价格扣除。残疾人福利性单位属于小型、微型企业的，不重复享受价格优惠政策。</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4.3.2投标人为残疾人福利性单位且所投货物全部由残疾人福利性单位制造的，应当提供《残疾人福利性单位声明函》，未提供的不视为小型微型企业。</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4.4节能环境标志产品政策</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4.4.1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4.4.2投标人可以提供所投产品经国家确定的认证机构出具的、处于有效期之内的节能产品、环境标志产品认证证书扫描件。采购代理机构通过中国政府采购网（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cs="宋体"/>
          <w:kern w:val="1"/>
          <w:sz w:val="24"/>
          <w:highlight w:val="none"/>
        </w:rPr>
        <w:t>http：//www.ccgp.gov.cn/</w:t>
      </w:r>
      <w:r>
        <w:rPr>
          <w:rFonts w:hint="eastAsia" w:ascii="宋体" w:hAnsi="宋体" w:cs="宋体"/>
          <w:kern w:val="1"/>
          <w:sz w:val="24"/>
          <w:highlight w:val="none"/>
        </w:rPr>
        <w:fldChar w:fldCharType="end"/>
      </w:r>
      <w:r>
        <w:rPr>
          <w:rFonts w:hint="eastAsia" w:ascii="宋体" w:hAnsi="宋体" w:cs="宋体"/>
          <w:kern w:val="1"/>
          <w:sz w:val="24"/>
          <w:highlight w:val="none"/>
        </w:rPr>
        <w:t>）对获证产品信息进行核对。</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4.4.3投标人所投产品属于下列情形之一的，本应属于优先采购的，不再享受优先采购政策；属于强制采购的，则按无效投标文件处理：</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（1）未提供认证证书扫描件或经核对认证证书存在信息有误的；</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（2）认证证书已过期。</w:t>
      </w:r>
    </w:p>
    <w:p>
      <w:pPr>
        <w:spacing w:line="360" w:lineRule="auto"/>
        <w:ind w:firstLine="420"/>
        <w:rPr>
          <w:rFonts w:ascii="宋体" w:hAnsi="宋体" w:cs="宋体"/>
          <w:kern w:val="1"/>
          <w:sz w:val="24"/>
          <w:highlight w:val="none"/>
        </w:rPr>
      </w:pPr>
      <w:r>
        <w:rPr>
          <w:rFonts w:hint="eastAsia" w:ascii="宋体" w:hAnsi="宋体" w:cs="宋体"/>
          <w:kern w:val="1"/>
          <w:sz w:val="24"/>
          <w:highlight w:val="none"/>
        </w:rPr>
        <w:t>4.4.4享受中小企业政府采购扶持政策的投标人，可以同时享受节能产品、环境标志产品优先采购政策。</w:t>
      </w:r>
    </w:p>
    <w:p>
      <w:pPr>
        <w:spacing w:line="360" w:lineRule="auto"/>
        <w:ind w:firstLine="420"/>
        <w:rPr>
          <w:b/>
          <w:bCs/>
          <w:highlight w:val="none"/>
        </w:rPr>
      </w:pPr>
      <w:r>
        <w:rPr>
          <w:rFonts w:hint="eastAsia" w:ascii="宋体" w:hAnsi="宋体" w:cs="宋体"/>
          <w:kern w:val="1"/>
          <w:sz w:val="24"/>
          <w:highlight w:val="none"/>
        </w:rPr>
        <w:t>4.4.5 鼓励中标（成交）供应商在提供</w:t>
      </w:r>
      <w:r>
        <w:rPr>
          <w:rFonts w:hint="eastAsia" w:ascii="宋体" w:hAnsi="宋体" w:cs="宋体"/>
          <w:b/>
          <w:bCs/>
          <w:sz w:val="24"/>
          <w:highlight w:val="none"/>
        </w:rPr>
        <w:t>货物（产品）</w:t>
      </w:r>
      <w:r>
        <w:rPr>
          <w:rFonts w:hint="eastAsia" w:ascii="宋体" w:hAnsi="宋体" w:cs="宋体"/>
          <w:sz w:val="24"/>
          <w:highlight w:val="none"/>
        </w:rPr>
        <w:t>包装、运输按照《商品包装政府采购需求标准（试行）》（财办库〔2020〕）123号）、《快递包装政府采购需求标准（试行）》（财办库〔2020〕）123号）规定的环保要求进行包装。</w:t>
      </w:r>
    </w:p>
    <w:p>
      <w:pPr>
        <w:spacing w:line="360" w:lineRule="auto"/>
        <w:ind w:firstLine="482" w:firstLineChars="200"/>
        <w:rPr>
          <w:rFonts w:ascii="宋体" w:hAnsi="宋体"/>
          <w:b/>
          <w:spacing w:val="4"/>
          <w:sz w:val="24"/>
          <w:highlight w:val="none"/>
        </w:rPr>
      </w:pPr>
      <w:r>
        <w:rPr>
          <w:rFonts w:hint="eastAsia" w:ascii="宋体" w:hAnsi="宋体" w:cs="宋体"/>
          <w:b/>
          <w:sz w:val="24"/>
          <w:highlight w:val="none"/>
        </w:rPr>
        <w:t>5.</w:t>
      </w:r>
      <w:r>
        <w:rPr>
          <w:rFonts w:hint="eastAsia" w:ascii="宋体" w:hAnsi="宋体"/>
          <w:b/>
          <w:spacing w:val="4"/>
          <w:sz w:val="24"/>
          <w:highlight w:val="none"/>
        </w:rPr>
        <w:t>对于符合政策性优惠的，其评标价按照以下规则进行计算调整。若该项目是专门面向中小企业采购的，则不享受价格扣除。</w:t>
      </w:r>
    </w:p>
    <w:p>
      <w:pPr>
        <w:spacing w:line="360" w:lineRule="auto"/>
        <w:ind w:firstLine="520" w:firstLineChars="210"/>
        <w:rPr>
          <w:rFonts w:ascii="宋体" w:hAnsi="宋体"/>
          <w:spacing w:val="4"/>
          <w:sz w:val="24"/>
          <w:highlight w:val="none"/>
        </w:rPr>
      </w:pPr>
      <w:r>
        <w:rPr>
          <w:rFonts w:hint="eastAsia" w:ascii="宋体" w:hAnsi="宋体"/>
          <w:spacing w:val="4"/>
          <w:sz w:val="24"/>
          <w:highlight w:val="none"/>
        </w:rPr>
        <w:t>5.1符合（财库〔2020〕46号）、（财库〔2022〕19号）文件规定的小微企业</w:t>
      </w:r>
      <w:r>
        <w:rPr>
          <w:rFonts w:hint="eastAsia" w:ascii="宋体" w:hAnsi="宋体"/>
          <w:sz w:val="24"/>
          <w:highlight w:val="none"/>
        </w:rPr>
        <w:t>单位</w:t>
      </w:r>
      <w:r>
        <w:rPr>
          <w:rFonts w:hint="eastAsia" w:ascii="宋体" w:hAnsi="宋体"/>
          <w:spacing w:val="4"/>
          <w:sz w:val="24"/>
          <w:highlight w:val="none"/>
        </w:rPr>
        <w:t>的评标价计算规则：</w:t>
      </w:r>
    </w:p>
    <w:p>
      <w:pPr>
        <w:spacing w:line="360" w:lineRule="auto"/>
        <w:ind w:firstLine="520" w:firstLineChars="210"/>
        <w:rPr>
          <w:rFonts w:ascii="宋体" w:hAnsi="宋体"/>
          <w:spacing w:val="4"/>
          <w:sz w:val="24"/>
          <w:highlight w:val="none"/>
        </w:rPr>
      </w:pPr>
      <w:r>
        <w:rPr>
          <w:rFonts w:hint="eastAsia" w:ascii="宋体" w:hAnsi="宋体"/>
          <w:spacing w:val="4"/>
          <w:sz w:val="24"/>
          <w:highlight w:val="none"/>
        </w:rPr>
        <w:t>5.1.1对符合规定的小型和微型企业（非联合体投标）报价给予10%的扣除，用扣除后的价格参加评审。</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其评标价</w:t>
      </w:r>
      <w:r>
        <w:rPr>
          <w:rFonts w:ascii="宋体" w:hAnsi="宋体"/>
          <w:spacing w:val="4"/>
          <w:sz w:val="24"/>
          <w:highlight w:val="none"/>
        </w:rPr>
        <w:t>=</w:t>
      </w:r>
      <w:r>
        <w:rPr>
          <w:rFonts w:hint="eastAsia" w:ascii="宋体" w:hAnsi="宋体"/>
          <w:spacing w:val="4"/>
          <w:sz w:val="24"/>
          <w:highlight w:val="none"/>
        </w:rPr>
        <w:t>投标报价</w:t>
      </w:r>
      <w:r>
        <w:rPr>
          <w:rFonts w:ascii="宋体" w:hAnsi="宋体"/>
          <w:spacing w:val="4"/>
          <w:sz w:val="24"/>
          <w:highlight w:val="none"/>
        </w:rPr>
        <w:t>*</w:t>
      </w:r>
      <w:r>
        <w:rPr>
          <w:rFonts w:hint="eastAsia" w:ascii="宋体" w:hAnsi="宋体"/>
          <w:spacing w:val="4"/>
          <w:sz w:val="24"/>
          <w:highlight w:val="none"/>
        </w:rPr>
        <w:t>（</w:t>
      </w:r>
      <w:r>
        <w:rPr>
          <w:rFonts w:ascii="宋体" w:hAnsi="宋体"/>
          <w:spacing w:val="4"/>
          <w:sz w:val="24"/>
          <w:highlight w:val="none"/>
        </w:rPr>
        <w:t>1-</w:t>
      </w:r>
      <w:r>
        <w:rPr>
          <w:rFonts w:hint="eastAsia" w:ascii="宋体" w:hAnsi="宋体"/>
          <w:spacing w:val="4"/>
          <w:sz w:val="24"/>
          <w:highlight w:val="none"/>
        </w:rPr>
        <w:t>10%）</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5.1.2对于联合协议或者分包意向协议约定小微企业的合同份额占到合同总金额30%以上的，对联合体或者大中型企业的报价给予4%的扣除，用扣除后的价格参加评审。</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其评标价</w:t>
      </w:r>
      <w:r>
        <w:rPr>
          <w:rFonts w:ascii="宋体" w:hAnsi="宋体"/>
          <w:spacing w:val="4"/>
          <w:sz w:val="24"/>
          <w:highlight w:val="none"/>
        </w:rPr>
        <w:t>=</w:t>
      </w:r>
      <w:r>
        <w:rPr>
          <w:rFonts w:hint="eastAsia" w:ascii="宋体" w:hAnsi="宋体"/>
          <w:spacing w:val="4"/>
          <w:sz w:val="24"/>
          <w:highlight w:val="none"/>
        </w:rPr>
        <w:t>投标报价</w:t>
      </w:r>
      <w:r>
        <w:rPr>
          <w:rFonts w:ascii="宋体" w:hAnsi="宋体"/>
          <w:spacing w:val="4"/>
          <w:sz w:val="24"/>
          <w:highlight w:val="none"/>
        </w:rPr>
        <w:t>*</w:t>
      </w:r>
      <w:r>
        <w:rPr>
          <w:rFonts w:hint="eastAsia" w:ascii="宋体" w:hAnsi="宋体"/>
          <w:spacing w:val="4"/>
          <w:sz w:val="24"/>
          <w:highlight w:val="none"/>
        </w:rPr>
        <w:t>（</w:t>
      </w:r>
      <w:r>
        <w:rPr>
          <w:rFonts w:ascii="宋体" w:hAnsi="宋体"/>
          <w:spacing w:val="4"/>
          <w:sz w:val="24"/>
          <w:highlight w:val="none"/>
        </w:rPr>
        <w:t>1-</w:t>
      </w:r>
      <w:r>
        <w:rPr>
          <w:rFonts w:hint="eastAsia" w:ascii="宋体" w:hAnsi="宋体"/>
          <w:spacing w:val="4"/>
          <w:sz w:val="24"/>
          <w:highlight w:val="none"/>
        </w:rPr>
        <w:t>4%）</w:t>
      </w:r>
    </w:p>
    <w:p>
      <w:pPr>
        <w:spacing w:line="360" w:lineRule="auto"/>
        <w:ind w:firstLine="495"/>
        <w:rPr>
          <w:rFonts w:ascii="宋体" w:hAnsi="宋体"/>
          <w:spacing w:val="4"/>
          <w:sz w:val="24"/>
          <w:highlight w:val="none"/>
        </w:rPr>
      </w:pPr>
      <w:r>
        <w:rPr>
          <w:rFonts w:hint="eastAsia" w:ascii="宋体" w:hAnsi="宋体"/>
          <w:spacing w:val="4"/>
          <w:sz w:val="24"/>
          <w:highlight w:val="none"/>
        </w:rPr>
        <w:t>5.1.3确认为小微企业（含小型、微型企业，下同）投标的，应当同时符合以下条件：</w:t>
      </w:r>
    </w:p>
    <w:p>
      <w:pPr>
        <w:spacing w:line="360" w:lineRule="auto"/>
        <w:ind w:left="1" w:firstLine="520" w:firstLineChars="210"/>
        <w:rPr>
          <w:rFonts w:ascii="宋体" w:hAnsi="宋体"/>
          <w:spacing w:val="4"/>
          <w:sz w:val="24"/>
          <w:highlight w:val="none"/>
        </w:rPr>
      </w:pPr>
      <w:r>
        <w:rPr>
          <w:rFonts w:hint="eastAsia" w:ascii="宋体" w:hAnsi="宋体"/>
          <w:spacing w:val="4"/>
          <w:sz w:val="24"/>
          <w:highlight w:val="none"/>
        </w:rPr>
        <w:t>5.1.3.1符合国务院有关部门根据企业从业人员、营业收入、资产总额等指标制定的中小企业划型标准（工信部联企业〔2011〕300号）；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 xml:space="preserve">5.1.3.2在货物采购项目中，货物由中小企业制造，即货物由中小企业生产且使用该中小企业商号或者注册商标； </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5.1.3.3投标时须提供《中小企业声明函》；</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5.2符合（财库〔2017〕141号）文件规定的残疾人福利性单位的评标价计算规则：</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5.2.1在政府采购活动中，残疾人福利性单位视同小型、微型企业，享受预留份额、评审中价格扣除等促进中小企业发展的政府采购政策。向残疾人福利性单位采购的金额，计入面向中小企业采购的统计数据。报价给予10%的扣除，用扣除后的价格参加评审。</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其评标价</w:t>
      </w:r>
      <w:r>
        <w:rPr>
          <w:rFonts w:ascii="宋体" w:hAnsi="宋体"/>
          <w:spacing w:val="4"/>
          <w:sz w:val="24"/>
          <w:highlight w:val="none"/>
        </w:rPr>
        <w:t>=</w:t>
      </w:r>
      <w:r>
        <w:rPr>
          <w:rFonts w:hint="eastAsia" w:ascii="宋体" w:hAnsi="宋体"/>
          <w:spacing w:val="4"/>
          <w:sz w:val="24"/>
          <w:highlight w:val="none"/>
        </w:rPr>
        <w:t>投标报价</w:t>
      </w:r>
      <w:r>
        <w:rPr>
          <w:rFonts w:ascii="宋体" w:hAnsi="宋体"/>
          <w:spacing w:val="4"/>
          <w:sz w:val="24"/>
          <w:highlight w:val="none"/>
        </w:rPr>
        <w:t>*</w:t>
      </w:r>
      <w:r>
        <w:rPr>
          <w:rFonts w:hint="eastAsia" w:ascii="宋体" w:hAnsi="宋体"/>
          <w:spacing w:val="4"/>
          <w:sz w:val="24"/>
          <w:highlight w:val="none"/>
        </w:rPr>
        <w:t>（</w:t>
      </w:r>
      <w:r>
        <w:rPr>
          <w:rFonts w:ascii="宋体" w:hAnsi="宋体"/>
          <w:spacing w:val="4"/>
          <w:sz w:val="24"/>
          <w:highlight w:val="none"/>
        </w:rPr>
        <w:t>1-</w:t>
      </w:r>
      <w:r>
        <w:rPr>
          <w:rFonts w:hint="eastAsia" w:ascii="宋体" w:hAnsi="宋体"/>
          <w:spacing w:val="4"/>
          <w:sz w:val="24"/>
          <w:highlight w:val="none"/>
        </w:rPr>
        <w:t>10%）</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5.2.2对于联合协议或者分包意向协议约定残疾人福利性单位的合同份额占到合同总金额30%以上的，对联合体或者大中型企业的报价给予4%的扣除，用扣除后的价格参加评审。</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其评标价</w:t>
      </w:r>
      <w:r>
        <w:rPr>
          <w:rFonts w:ascii="宋体" w:hAnsi="宋体"/>
          <w:spacing w:val="4"/>
          <w:sz w:val="24"/>
          <w:highlight w:val="none"/>
        </w:rPr>
        <w:t>=</w:t>
      </w:r>
      <w:r>
        <w:rPr>
          <w:rFonts w:hint="eastAsia" w:ascii="宋体" w:hAnsi="宋体"/>
          <w:spacing w:val="4"/>
          <w:sz w:val="24"/>
          <w:highlight w:val="none"/>
        </w:rPr>
        <w:t>投标报价</w:t>
      </w:r>
      <w:r>
        <w:rPr>
          <w:rFonts w:ascii="宋体" w:hAnsi="宋体"/>
          <w:spacing w:val="4"/>
          <w:sz w:val="24"/>
          <w:highlight w:val="none"/>
        </w:rPr>
        <w:t>*</w:t>
      </w:r>
      <w:r>
        <w:rPr>
          <w:rFonts w:hint="eastAsia" w:ascii="宋体" w:hAnsi="宋体"/>
          <w:spacing w:val="4"/>
          <w:sz w:val="24"/>
          <w:highlight w:val="none"/>
        </w:rPr>
        <w:t>（</w:t>
      </w:r>
      <w:r>
        <w:rPr>
          <w:rFonts w:ascii="宋体" w:hAnsi="宋体"/>
          <w:spacing w:val="4"/>
          <w:sz w:val="24"/>
          <w:highlight w:val="none"/>
        </w:rPr>
        <w:t>1-</w:t>
      </w:r>
      <w:r>
        <w:rPr>
          <w:rFonts w:hint="eastAsia" w:ascii="宋体" w:hAnsi="宋体"/>
          <w:spacing w:val="4"/>
          <w:sz w:val="24"/>
          <w:highlight w:val="none"/>
        </w:rPr>
        <w:t>4%）</w:t>
      </w:r>
    </w:p>
    <w:p>
      <w:pPr>
        <w:spacing w:line="360" w:lineRule="auto"/>
        <w:ind w:left="1019" w:leftChars="249" w:hanging="496" w:hangingChars="200"/>
        <w:rPr>
          <w:rFonts w:ascii="宋体" w:hAnsi="宋体"/>
          <w:spacing w:val="4"/>
          <w:sz w:val="24"/>
          <w:highlight w:val="none"/>
        </w:rPr>
      </w:pPr>
      <w:r>
        <w:rPr>
          <w:rFonts w:hint="eastAsia" w:ascii="宋体" w:hAnsi="宋体"/>
          <w:spacing w:val="4"/>
          <w:sz w:val="24"/>
          <w:highlight w:val="none"/>
        </w:rPr>
        <w:t>5.2.3确认为残疾人福利性单位投标的，应当同时符合以下条件：</w:t>
      </w:r>
    </w:p>
    <w:p>
      <w:pPr>
        <w:spacing w:line="360" w:lineRule="auto"/>
        <w:ind w:firstLine="520" w:firstLineChars="210"/>
        <w:rPr>
          <w:rFonts w:ascii="宋体" w:hAnsi="宋体"/>
          <w:spacing w:val="4"/>
          <w:sz w:val="24"/>
          <w:highlight w:val="none"/>
        </w:rPr>
      </w:pPr>
      <w:r>
        <w:rPr>
          <w:rFonts w:hint="eastAsia" w:ascii="宋体" w:hAnsi="宋体"/>
          <w:spacing w:val="4"/>
          <w:sz w:val="24"/>
          <w:highlight w:val="none"/>
        </w:rPr>
        <w:t>5.2.3.1符合（财库〔</w:t>
      </w:r>
      <w:r>
        <w:rPr>
          <w:rFonts w:ascii="宋体" w:hAnsi="宋体"/>
          <w:spacing w:val="4"/>
          <w:sz w:val="24"/>
          <w:highlight w:val="none"/>
        </w:rPr>
        <w:t>201</w:t>
      </w:r>
      <w:r>
        <w:rPr>
          <w:rFonts w:hint="eastAsia" w:ascii="宋体" w:hAnsi="宋体"/>
          <w:spacing w:val="4"/>
          <w:sz w:val="24"/>
          <w:highlight w:val="none"/>
        </w:rPr>
        <w:t>7〕141号）文件相关规定。</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5.2.3.2投标</w:t>
      </w:r>
      <w:r>
        <w:rPr>
          <w:rFonts w:ascii="宋体" w:hAnsi="宋体"/>
          <w:spacing w:val="4"/>
          <w:sz w:val="24"/>
          <w:highlight w:val="none"/>
        </w:rPr>
        <w:t>时</w:t>
      </w:r>
      <w:r>
        <w:rPr>
          <w:rFonts w:hint="eastAsia" w:ascii="宋体" w:hAnsi="宋体"/>
          <w:spacing w:val="4"/>
          <w:sz w:val="24"/>
          <w:highlight w:val="none"/>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highlight w:val="none"/>
        </w:rPr>
      </w:pPr>
      <w:r>
        <w:rPr>
          <w:rFonts w:hint="eastAsia" w:ascii="宋体" w:hAnsi="宋体"/>
          <w:spacing w:val="4"/>
          <w:sz w:val="24"/>
          <w:highlight w:val="none"/>
        </w:rPr>
        <w:t>5.2.3.3投标人须提供《残疾人福利性单位声明函》。</w:t>
      </w:r>
    </w:p>
    <w:p>
      <w:pPr>
        <w:spacing w:line="360" w:lineRule="auto"/>
        <w:ind w:firstLine="520" w:firstLineChars="210"/>
        <w:rPr>
          <w:rFonts w:ascii="宋体" w:hAnsi="宋体"/>
          <w:spacing w:val="4"/>
          <w:sz w:val="24"/>
          <w:highlight w:val="none"/>
        </w:rPr>
      </w:pPr>
      <w:r>
        <w:rPr>
          <w:rFonts w:hint="eastAsia" w:ascii="宋体" w:hAnsi="宋体"/>
          <w:spacing w:val="4"/>
          <w:sz w:val="24"/>
          <w:highlight w:val="none"/>
        </w:rPr>
        <w:t>5.3符合（财库〔</w:t>
      </w:r>
      <w:r>
        <w:rPr>
          <w:rFonts w:ascii="宋体" w:hAnsi="宋体"/>
          <w:spacing w:val="4"/>
          <w:sz w:val="24"/>
          <w:highlight w:val="none"/>
        </w:rPr>
        <w:t>2014</w:t>
      </w:r>
      <w:r>
        <w:rPr>
          <w:rFonts w:hint="eastAsia" w:ascii="宋体" w:hAnsi="宋体"/>
          <w:spacing w:val="4"/>
          <w:sz w:val="24"/>
          <w:highlight w:val="none"/>
        </w:rPr>
        <w:t>〕</w:t>
      </w:r>
      <w:r>
        <w:rPr>
          <w:rFonts w:ascii="宋体" w:hAnsi="宋体"/>
          <w:spacing w:val="4"/>
          <w:sz w:val="24"/>
          <w:highlight w:val="none"/>
        </w:rPr>
        <w:t>68</w:t>
      </w:r>
      <w:r>
        <w:rPr>
          <w:rFonts w:hint="eastAsia" w:ascii="宋体" w:hAnsi="宋体"/>
          <w:spacing w:val="4"/>
          <w:sz w:val="24"/>
          <w:highlight w:val="none"/>
        </w:rPr>
        <w:t>号）文件规定的监狱企业的评标价计算规则：</w:t>
      </w:r>
    </w:p>
    <w:p>
      <w:pPr>
        <w:spacing w:line="360" w:lineRule="auto"/>
        <w:ind w:firstLine="520" w:firstLineChars="210"/>
        <w:rPr>
          <w:rFonts w:ascii="宋体" w:hAnsi="宋体"/>
          <w:spacing w:val="4"/>
          <w:sz w:val="24"/>
          <w:highlight w:val="none"/>
        </w:rPr>
      </w:pPr>
      <w:r>
        <w:rPr>
          <w:rFonts w:hint="eastAsia" w:ascii="宋体" w:hAnsi="宋体"/>
          <w:spacing w:val="4"/>
          <w:sz w:val="24"/>
          <w:highlight w:val="none"/>
        </w:rPr>
        <w:t>5.3.1在政府采购活动中，监狱企业视同小型、微型企业，享受预留份额、评审中价格扣除等政府采购促进中小企业发展的政府采购政策。向监狱企业采购的金额，计入面向中小企业采购的统计数据。报价给予10%的扣除，用扣除后的价格参加评审。</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其评标价</w:t>
      </w:r>
      <w:r>
        <w:rPr>
          <w:rFonts w:ascii="宋体" w:hAnsi="宋体"/>
          <w:spacing w:val="4"/>
          <w:sz w:val="24"/>
          <w:highlight w:val="none"/>
        </w:rPr>
        <w:t>=</w:t>
      </w:r>
      <w:r>
        <w:rPr>
          <w:rFonts w:hint="eastAsia" w:ascii="宋体" w:hAnsi="宋体"/>
          <w:spacing w:val="4"/>
          <w:sz w:val="24"/>
          <w:highlight w:val="none"/>
        </w:rPr>
        <w:t>投标报价</w:t>
      </w:r>
      <w:r>
        <w:rPr>
          <w:rFonts w:ascii="宋体" w:hAnsi="宋体"/>
          <w:spacing w:val="4"/>
          <w:sz w:val="24"/>
          <w:highlight w:val="none"/>
        </w:rPr>
        <w:t>*</w:t>
      </w:r>
      <w:r>
        <w:rPr>
          <w:rFonts w:hint="eastAsia" w:ascii="宋体" w:hAnsi="宋体"/>
          <w:spacing w:val="4"/>
          <w:sz w:val="24"/>
          <w:highlight w:val="none"/>
        </w:rPr>
        <w:t>（</w:t>
      </w:r>
      <w:r>
        <w:rPr>
          <w:rFonts w:ascii="宋体" w:hAnsi="宋体"/>
          <w:spacing w:val="4"/>
          <w:sz w:val="24"/>
          <w:highlight w:val="none"/>
        </w:rPr>
        <w:t>1-</w:t>
      </w:r>
      <w:r>
        <w:rPr>
          <w:rFonts w:hint="eastAsia" w:ascii="宋体" w:hAnsi="宋体"/>
          <w:spacing w:val="4"/>
          <w:sz w:val="24"/>
          <w:highlight w:val="none"/>
        </w:rPr>
        <w:t>10%）</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5.3.2对于联合协议或者分包意向协议约定监狱企业的合同份额占到合同总金额30%以上的，对联合体或者大中型企业的报价给予4%的扣除，用扣除后的价格参加评审。</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其评标价</w:t>
      </w:r>
      <w:r>
        <w:rPr>
          <w:rFonts w:ascii="宋体" w:hAnsi="宋体"/>
          <w:spacing w:val="4"/>
          <w:sz w:val="24"/>
          <w:highlight w:val="none"/>
        </w:rPr>
        <w:t>=</w:t>
      </w:r>
      <w:r>
        <w:rPr>
          <w:rFonts w:hint="eastAsia" w:ascii="宋体" w:hAnsi="宋体"/>
          <w:spacing w:val="4"/>
          <w:sz w:val="24"/>
          <w:highlight w:val="none"/>
        </w:rPr>
        <w:t>投标报价</w:t>
      </w:r>
      <w:r>
        <w:rPr>
          <w:rFonts w:ascii="宋体" w:hAnsi="宋体"/>
          <w:spacing w:val="4"/>
          <w:sz w:val="24"/>
          <w:highlight w:val="none"/>
        </w:rPr>
        <w:t>*</w:t>
      </w:r>
      <w:r>
        <w:rPr>
          <w:rFonts w:hint="eastAsia" w:ascii="宋体" w:hAnsi="宋体"/>
          <w:spacing w:val="4"/>
          <w:sz w:val="24"/>
          <w:highlight w:val="none"/>
        </w:rPr>
        <w:t>（</w:t>
      </w:r>
      <w:r>
        <w:rPr>
          <w:rFonts w:ascii="宋体" w:hAnsi="宋体"/>
          <w:spacing w:val="4"/>
          <w:sz w:val="24"/>
          <w:highlight w:val="none"/>
        </w:rPr>
        <w:t>1-</w:t>
      </w:r>
      <w:r>
        <w:rPr>
          <w:rFonts w:hint="eastAsia" w:ascii="宋体" w:hAnsi="宋体"/>
          <w:spacing w:val="4"/>
          <w:sz w:val="24"/>
          <w:highlight w:val="none"/>
        </w:rPr>
        <w:t>4%）</w:t>
      </w:r>
    </w:p>
    <w:p>
      <w:pPr>
        <w:spacing w:line="360" w:lineRule="auto"/>
        <w:ind w:left="1019" w:leftChars="249" w:hanging="496" w:hangingChars="200"/>
        <w:rPr>
          <w:rFonts w:ascii="宋体" w:hAnsi="宋体"/>
          <w:spacing w:val="4"/>
          <w:sz w:val="24"/>
          <w:highlight w:val="none"/>
        </w:rPr>
      </w:pPr>
      <w:r>
        <w:rPr>
          <w:rFonts w:hint="eastAsia" w:ascii="宋体" w:hAnsi="宋体"/>
          <w:spacing w:val="4"/>
          <w:sz w:val="24"/>
          <w:highlight w:val="none"/>
        </w:rPr>
        <w:t>5.3.3确认为监狱企业投标的，应当同时符合以下条件：</w:t>
      </w:r>
    </w:p>
    <w:p>
      <w:pPr>
        <w:spacing w:line="360" w:lineRule="auto"/>
        <w:ind w:firstLine="520" w:firstLineChars="210"/>
        <w:rPr>
          <w:rFonts w:ascii="宋体" w:hAnsi="宋体"/>
          <w:spacing w:val="4"/>
          <w:sz w:val="24"/>
          <w:highlight w:val="none"/>
        </w:rPr>
      </w:pPr>
      <w:r>
        <w:rPr>
          <w:rFonts w:hint="eastAsia" w:ascii="宋体" w:hAnsi="宋体"/>
          <w:spacing w:val="4"/>
          <w:sz w:val="24"/>
          <w:highlight w:val="none"/>
        </w:rPr>
        <w:t>5.3.3.1符合（财库〔</w:t>
      </w:r>
      <w:r>
        <w:rPr>
          <w:rFonts w:ascii="宋体" w:hAnsi="宋体"/>
          <w:spacing w:val="4"/>
          <w:sz w:val="24"/>
          <w:highlight w:val="none"/>
        </w:rPr>
        <w:t>2014</w:t>
      </w:r>
      <w:r>
        <w:rPr>
          <w:rFonts w:hint="eastAsia" w:ascii="宋体" w:hAnsi="宋体"/>
          <w:spacing w:val="4"/>
          <w:sz w:val="24"/>
          <w:highlight w:val="none"/>
        </w:rPr>
        <w:t>〕68号）文件相关规定。</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5.3.3.2投标</w:t>
      </w:r>
      <w:r>
        <w:rPr>
          <w:rFonts w:ascii="宋体" w:hAnsi="宋体"/>
          <w:spacing w:val="4"/>
          <w:sz w:val="24"/>
          <w:highlight w:val="none"/>
        </w:rPr>
        <w:t>时</w:t>
      </w:r>
      <w:r>
        <w:rPr>
          <w:rFonts w:hint="eastAsia" w:ascii="宋体" w:hAnsi="宋体"/>
          <w:spacing w:val="4"/>
          <w:sz w:val="24"/>
          <w:highlight w:val="none"/>
        </w:rPr>
        <w:t>提供本单位生产的货物，或者提供其他监狱企业生产的货物。</w:t>
      </w:r>
    </w:p>
    <w:p>
      <w:pPr>
        <w:spacing w:line="360" w:lineRule="auto"/>
        <w:ind w:firstLine="520" w:firstLineChars="210"/>
        <w:rPr>
          <w:rFonts w:ascii="宋体" w:hAnsi="宋体"/>
          <w:spacing w:val="4"/>
          <w:sz w:val="24"/>
          <w:highlight w:val="none"/>
        </w:rPr>
      </w:pPr>
      <w:r>
        <w:rPr>
          <w:rFonts w:hint="eastAsia" w:ascii="宋体" w:hAnsi="宋体"/>
          <w:spacing w:val="4"/>
          <w:sz w:val="24"/>
          <w:highlight w:val="none"/>
        </w:rPr>
        <w:t>5.3.3.3投标人须提供由省级以上监狱管理局、戒毒管理局（含新疆生产建设兵团）出具的属于监狱企业的证明文件。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highlight w:val="none"/>
        </w:rPr>
      </w:pPr>
      <w:r>
        <w:rPr>
          <w:rFonts w:hint="eastAsia" w:ascii="宋体" w:hAnsi="宋体"/>
          <w:spacing w:val="4"/>
          <w:sz w:val="24"/>
          <w:highlight w:val="none"/>
        </w:rPr>
        <w:t>5.4符合（财库〔2021〕19号）文件规定的来自贫困地区提供农副产品的评标价计算规则：</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5.4.1在政府采购活动中，对于来自贫困地区提供农副产品的投标人，报价给予5%的扣除，用扣除后的价格参加评审。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其评标价</w:t>
      </w:r>
      <w:r>
        <w:rPr>
          <w:rFonts w:ascii="宋体" w:hAnsi="宋体"/>
          <w:spacing w:val="4"/>
          <w:sz w:val="24"/>
          <w:highlight w:val="none"/>
        </w:rPr>
        <w:t>=</w:t>
      </w:r>
      <w:r>
        <w:rPr>
          <w:rFonts w:hint="eastAsia" w:ascii="宋体" w:hAnsi="宋体"/>
          <w:spacing w:val="4"/>
          <w:sz w:val="24"/>
          <w:highlight w:val="none"/>
        </w:rPr>
        <w:t>投标报价</w:t>
      </w:r>
      <w:r>
        <w:rPr>
          <w:rFonts w:ascii="宋体" w:hAnsi="宋体"/>
          <w:spacing w:val="4"/>
          <w:sz w:val="24"/>
          <w:highlight w:val="none"/>
        </w:rPr>
        <w:t>*</w:t>
      </w:r>
      <w:r>
        <w:rPr>
          <w:rFonts w:hint="eastAsia" w:ascii="宋体" w:hAnsi="宋体"/>
          <w:spacing w:val="4"/>
          <w:sz w:val="24"/>
          <w:highlight w:val="none"/>
        </w:rPr>
        <w:t>（</w:t>
      </w:r>
      <w:r>
        <w:rPr>
          <w:rFonts w:ascii="宋体" w:hAnsi="宋体"/>
          <w:spacing w:val="4"/>
          <w:sz w:val="24"/>
          <w:highlight w:val="none"/>
        </w:rPr>
        <w:t>1-</w:t>
      </w:r>
      <w:r>
        <w:rPr>
          <w:rFonts w:hint="eastAsia" w:ascii="宋体" w:hAnsi="宋体"/>
          <w:spacing w:val="4"/>
          <w:sz w:val="24"/>
          <w:highlight w:val="none"/>
        </w:rPr>
        <w:t>5</w:t>
      </w:r>
      <w:r>
        <w:rPr>
          <w:rFonts w:ascii="宋体" w:hAnsi="宋体"/>
          <w:spacing w:val="4"/>
          <w:sz w:val="24"/>
          <w:highlight w:val="none"/>
        </w:rPr>
        <w:t>%</w:t>
      </w:r>
      <w:r>
        <w:rPr>
          <w:rFonts w:hint="eastAsia" w:ascii="宋体" w:hAnsi="宋体"/>
          <w:spacing w:val="4"/>
          <w:sz w:val="24"/>
          <w:highlight w:val="none"/>
        </w:rPr>
        <w:t>）</w:t>
      </w:r>
    </w:p>
    <w:p>
      <w:pPr>
        <w:spacing w:line="360" w:lineRule="auto"/>
        <w:ind w:firstLine="520" w:firstLineChars="210"/>
        <w:rPr>
          <w:rFonts w:ascii="宋体" w:hAnsi="宋体"/>
          <w:spacing w:val="4"/>
          <w:sz w:val="24"/>
          <w:highlight w:val="none"/>
        </w:rPr>
      </w:pPr>
      <w:r>
        <w:rPr>
          <w:rFonts w:hint="eastAsia" w:ascii="宋体" w:hAnsi="宋体"/>
          <w:spacing w:val="4"/>
          <w:sz w:val="24"/>
          <w:highlight w:val="none"/>
        </w:rPr>
        <w:t>5.4.2确认为来自贫困地区提供农副产品的投标人，应当同时符合以下条件：</w:t>
      </w:r>
    </w:p>
    <w:p>
      <w:pPr>
        <w:spacing w:line="360" w:lineRule="auto"/>
        <w:ind w:firstLine="520" w:firstLineChars="210"/>
        <w:rPr>
          <w:rFonts w:ascii="宋体" w:hAnsi="宋体"/>
          <w:spacing w:val="4"/>
          <w:sz w:val="24"/>
          <w:highlight w:val="none"/>
        </w:rPr>
      </w:pPr>
      <w:r>
        <w:rPr>
          <w:rFonts w:hint="eastAsia" w:ascii="宋体" w:hAnsi="宋体"/>
          <w:spacing w:val="4"/>
          <w:sz w:val="24"/>
          <w:highlight w:val="none"/>
        </w:rPr>
        <w:t>5.4.2.1符合（财库〔2021〕19号）文件相关规定，在 832个国家级贫困县域内注册的企业、农民专业合作社、家庭农场等出产的农副产品。</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5.4.2.2投标</w:t>
      </w:r>
      <w:r>
        <w:rPr>
          <w:rFonts w:ascii="宋体" w:hAnsi="宋体"/>
          <w:spacing w:val="4"/>
          <w:sz w:val="24"/>
          <w:highlight w:val="none"/>
        </w:rPr>
        <w:t>时</w:t>
      </w:r>
      <w:r>
        <w:rPr>
          <w:rFonts w:hint="eastAsia" w:ascii="宋体" w:hAnsi="宋体"/>
          <w:spacing w:val="4"/>
          <w:sz w:val="24"/>
          <w:highlight w:val="none"/>
        </w:rPr>
        <w:t>提供本单位生产的货物，或者提供其他贫困地区生产的货物。</w:t>
      </w:r>
    </w:p>
    <w:p>
      <w:pPr>
        <w:spacing w:line="360" w:lineRule="auto"/>
        <w:ind w:left="1019" w:leftChars="249" w:hanging="496" w:hangingChars="200"/>
        <w:rPr>
          <w:rFonts w:ascii="宋体" w:hAnsi="宋体"/>
          <w:spacing w:val="4"/>
          <w:sz w:val="24"/>
          <w:highlight w:val="none"/>
        </w:rPr>
      </w:pPr>
      <w:r>
        <w:rPr>
          <w:rFonts w:hint="eastAsia" w:ascii="宋体" w:hAnsi="宋体"/>
          <w:spacing w:val="4"/>
          <w:sz w:val="24"/>
          <w:highlight w:val="none"/>
        </w:rPr>
        <w:t>5.4.2.3投标人须提供相关证明文件。</w:t>
      </w:r>
    </w:p>
    <w:p>
      <w:pPr>
        <w:spacing w:line="360" w:lineRule="auto"/>
        <w:ind w:firstLine="520" w:firstLineChars="210"/>
        <w:rPr>
          <w:rFonts w:ascii="宋体" w:hAnsi="宋体"/>
          <w:spacing w:val="4"/>
          <w:sz w:val="24"/>
          <w:highlight w:val="none"/>
        </w:rPr>
      </w:pPr>
      <w:r>
        <w:rPr>
          <w:rFonts w:hint="eastAsia" w:ascii="宋体" w:hAnsi="宋体"/>
          <w:spacing w:val="4"/>
          <w:sz w:val="24"/>
          <w:highlight w:val="none"/>
        </w:rPr>
        <w:t>5.5符合节能产品文件规定的评标价计算规则：</w:t>
      </w:r>
    </w:p>
    <w:p>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5.5.1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highlight w:val="none"/>
        </w:rPr>
      </w:pPr>
      <w:r>
        <w:rPr>
          <w:rFonts w:hint="eastAsia" w:ascii="宋体" w:hAnsi="宋体"/>
          <w:spacing w:val="4"/>
          <w:sz w:val="24"/>
          <w:highlight w:val="none"/>
        </w:rPr>
        <w:t>5.6符合环境标志产品文件规定的评标价计算规则：</w:t>
      </w:r>
    </w:p>
    <w:p>
      <w:pPr>
        <w:spacing w:line="360" w:lineRule="auto"/>
        <w:ind w:firstLine="520" w:firstLineChars="210"/>
        <w:rPr>
          <w:highlight w:val="none"/>
        </w:rPr>
      </w:pPr>
      <w:r>
        <w:rPr>
          <w:rFonts w:hint="eastAsia" w:ascii="宋体" w:hAnsi="宋体"/>
          <w:spacing w:val="4"/>
          <w:sz w:val="24"/>
          <w:highlight w:val="none"/>
        </w:rPr>
        <w:t xml:space="preserve">5.6.1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kern w:val="1"/>
          <w:sz w:val="24"/>
          <w:highlight w:val="none"/>
        </w:rPr>
        <w:t>6、</w:t>
      </w:r>
      <w:r>
        <w:rPr>
          <w:rFonts w:hint="eastAsia" w:ascii="宋体" w:hAnsi="宋体" w:cs="宋体"/>
          <w:b/>
          <w:bCs/>
          <w:color w:val="000000" w:themeColor="text1"/>
          <w:sz w:val="24"/>
          <w:highlight w:val="none"/>
          <w14:textFill>
            <w14:solidFill>
              <w14:schemeClr w14:val="tx1"/>
            </w14:solidFill>
          </w14:textFill>
        </w:rPr>
        <w:t xml:space="preserve"> 中标人的确定</w:t>
      </w:r>
    </w:p>
    <w:p>
      <w:pPr>
        <w:widowControl/>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6.1 评标委员会根据评标办法的规定对投标人进行评审排序，推荐综合得分最高的前三名为中标候选人，如果二个投标人得分相同时，取投标价格低者。形成评标报告，评审报告由评标委员会全体成员签字确认。</w:t>
      </w:r>
    </w:p>
    <w:p>
      <w:pPr>
        <w:widowControl/>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6.2 招标代理机构应在评标结束后2个工作日内，将评标报告送达采购人定标。</w:t>
      </w:r>
    </w:p>
    <w:p>
      <w:pPr>
        <w:widowControl/>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6.3 采购人在收到评标报告后5个工作日内，根据评标报告中推荐的中标候选人排列顺序，确定排名第一的为中标人，也可以书面授权评标委员会评标后直接确定中标人，同时复函采购代理机构。</w:t>
      </w:r>
    </w:p>
    <w:p>
      <w:pPr>
        <w:widowControl/>
        <w:spacing w:line="360" w:lineRule="auto"/>
        <w:ind w:firstLine="420" w:firstLineChars="200"/>
        <w:jc w:val="left"/>
        <w:rPr>
          <w:highlight w:val="none"/>
        </w:rPr>
      </w:pPr>
      <w:r>
        <w:rPr>
          <w:highlight w:val="none"/>
        </w:rPr>
        <w:fldChar w:fldCharType="begin"/>
      </w:r>
      <w:r>
        <w:rPr>
          <w:highlight w:val="none"/>
        </w:rPr>
        <w:instrText xml:space="preserve"> HYPERLINK "http://lilun.caigou2003.com/recijiedu/2539165.html" \t "http://www.caigou2003.com/zhengcaizixun/baozhiwenzhang/_blank" </w:instrText>
      </w:r>
      <w:r>
        <w:rPr>
          <w:highlight w:val="none"/>
        </w:rPr>
        <w:fldChar w:fldCharType="separate"/>
      </w:r>
      <w:r>
        <w:rPr>
          <w:rFonts w:hint="eastAsia" w:ascii="宋体" w:hAnsi="宋体" w:cs="宋体"/>
          <w:color w:val="000000"/>
          <w:sz w:val="24"/>
          <w:highlight w:val="none"/>
        </w:rPr>
        <w:t>评标委员会</w:t>
      </w:r>
      <w:r>
        <w:rPr>
          <w:rFonts w:hint="eastAsia" w:ascii="宋体" w:hAnsi="宋体" w:cs="宋体"/>
          <w:color w:val="000000"/>
          <w:sz w:val="24"/>
          <w:highlight w:val="none"/>
        </w:rPr>
        <w:fldChar w:fldCharType="end"/>
      </w:r>
      <w:r>
        <w:rPr>
          <w:rFonts w:hint="eastAsia" w:ascii="宋体" w:hAnsi="宋体" w:cs="宋体"/>
          <w:color w:val="000000"/>
          <w:sz w:val="24"/>
          <w:highlight w:val="none"/>
        </w:rPr>
        <w:t>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w:t>
      </w:r>
      <w:r>
        <w:rPr>
          <w:highlight w:val="none"/>
        </w:rPr>
        <w:fldChar w:fldCharType="begin"/>
      </w:r>
      <w:r>
        <w:rPr>
          <w:highlight w:val="none"/>
        </w:rPr>
        <w:instrText xml:space="preserve"> HYPERLINK "http://lilun.caigou2003.com/recijiedu/2539165.html" \t "http://www.caigou2003.com/zhengcaizixun/baozhiwenzhang/_blank" </w:instrText>
      </w:r>
      <w:r>
        <w:rPr>
          <w:highlight w:val="none"/>
        </w:rPr>
        <w:fldChar w:fldCharType="separate"/>
      </w:r>
      <w:r>
        <w:rPr>
          <w:rFonts w:hint="eastAsia" w:ascii="宋体" w:hAnsi="宋体" w:cs="宋体"/>
          <w:color w:val="000000"/>
          <w:sz w:val="24"/>
          <w:highlight w:val="none"/>
        </w:rPr>
        <w:t>评标委员会</w:t>
      </w:r>
      <w:r>
        <w:rPr>
          <w:rFonts w:hint="eastAsia" w:ascii="宋体" w:hAnsi="宋体" w:cs="宋体"/>
          <w:color w:val="000000"/>
          <w:sz w:val="24"/>
          <w:highlight w:val="none"/>
        </w:rPr>
        <w:fldChar w:fldCharType="end"/>
      </w:r>
      <w:r>
        <w:rPr>
          <w:rFonts w:hint="eastAsia" w:ascii="宋体" w:hAnsi="宋体" w:cs="宋体"/>
          <w:color w:val="000000"/>
          <w:sz w:val="24"/>
          <w:highlight w:val="none"/>
        </w:rPr>
        <w:t>应当将其作为无效投标处理。</w:t>
      </w:r>
    </w:p>
    <w:p>
      <w:pPr>
        <w:spacing w:line="360" w:lineRule="auto"/>
        <w:jc w:val="center"/>
        <w:rPr>
          <w:rFonts w:ascii="宋体" w:hAnsi="宋体" w:cs="宋体"/>
          <w:b/>
          <w:bCs/>
          <w:sz w:val="28"/>
          <w:szCs w:val="28"/>
          <w:highlight w:val="none"/>
        </w:rPr>
      </w:pPr>
      <w:r>
        <w:rPr>
          <w:rFonts w:hint="eastAsia" w:ascii="宋体" w:hAnsi="宋体" w:cs="宋体"/>
          <w:b/>
          <w:bCs/>
          <w:kern w:val="0"/>
          <w:sz w:val="28"/>
          <w:szCs w:val="28"/>
          <w:highlight w:val="none"/>
        </w:rPr>
        <w:t>资格性审查表</w:t>
      </w:r>
    </w:p>
    <w:tbl>
      <w:tblPr>
        <w:tblStyle w:val="30"/>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210"/>
        <w:gridCol w:w="5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0" w:type="dxa"/>
            <w:noWrap/>
            <w:vAlign w:val="center"/>
          </w:tcPr>
          <w:p>
            <w:pPr>
              <w:spacing w:line="360" w:lineRule="exact"/>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210" w:type="dxa"/>
            <w:noWrap/>
            <w:vAlign w:val="center"/>
          </w:tcPr>
          <w:p>
            <w:pPr>
              <w:spacing w:line="360" w:lineRule="exact"/>
              <w:jc w:val="center"/>
              <w:rPr>
                <w:rFonts w:ascii="宋体" w:hAnsi="宋体" w:cs="宋体"/>
                <w:b/>
                <w:bCs/>
                <w:kern w:val="0"/>
                <w:sz w:val="24"/>
                <w:highlight w:val="none"/>
              </w:rPr>
            </w:pPr>
            <w:r>
              <w:rPr>
                <w:rFonts w:hint="eastAsia" w:ascii="宋体" w:hAnsi="宋体" w:cs="宋体"/>
                <w:b/>
                <w:bCs/>
                <w:kern w:val="0"/>
                <w:sz w:val="24"/>
                <w:highlight w:val="none"/>
              </w:rPr>
              <w:t>资格审查项</w:t>
            </w:r>
          </w:p>
        </w:tc>
        <w:tc>
          <w:tcPr>
            <w:tcW w:w="5179" w:type="dxa"/>
            <w:noWrap/>
            <w:vAlign w:val="center"/>
          </w:tcPr>
          <w:p>
            <w:pPr>
              <w:spacing w:line="360" w:lineRule="exact"/>
              <w:jc w:val="center"/>
              <w:rPr>
                <w:rFonts w:ascii="宋体" w:hAnsi="宋体" w:cs="宋体"/>
                <w:b/>
                <w:bCs/>
                <w:kern w:val="0"/>
                <w:sz w:val="24"/>
                <w:highlight w:val="none"/>
              </w:rPr>
            </w:pPr>
            <w:r>
              <w:rPr>
                <w:rFonts w:hint="eastAsia" w:ascii="宋体" w:hAnsi="宋体" w:cs="宋体"/>
                <w:b/>
                <w:bCs/>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770" w:type="dxa"/>
            <w:noWrap/>
            <w:vAlign w:val="center"/>
          </w:tcPr>
          <w:p>
            <w:pPr>
              <w:widowControl/>
              <w:spacing w:line="360" w:lineRule="exact"/>
              <w:jc w:val="center"/>
              <w:rPr>
                <w:rFonts w:ascii="宋体" w:hAnsi="宋体" w:cs="宋体"/>
                <w:sz w:val="24"/>
                <w:highlight w:val="none"/>
              </w:rPr>
            </w:pPr>
            <w:r>
              <w:rPr>
                <w:rFonts w:hint="eastAsia" w:ascii="宋体" w:hAnsi="宋体" w:cs="宋体"/>
                <w:sz w:val="24"/>
                <w:highlight w:val="none"/>
              </w:rPr>
              <w:t>1</w:t>
            </w:r>
          </w:p>
        </w:tc>
        <w:tc>
          <w:tcPr>
            <w:tcW w:w="2210" w:type="dxa"/>
            <w:noWrap/>
            <w:vAlign w:val="center"/>
          </w:tcPr>
          <w:p>
            <w:pPr>
              <w:widowControl/>
              <w:spacing w:line="360" w:lineRule="exact"/>
              <w:jc w:val="center"/>
              <w:rPr>
                <w:rFonts w:ascii="宋体" w:hAnsi="宋体" w:cs="宋体"/>
                <w:kern w:val="28"/>
                <w:sz w:val="24"/>
                <w:highlight w:val="none"/>
              </w:rPr>
            </w:pPr>
            <w:r>
              <w:rPr>
                <w:rFonts w:hint="eastAsia" w:ascii="宋体" w:hAnsi="宋体" w:cs="宋体"/>
                <w:kern w:val="28"/>
                <w:sz w:val="24"/>
                <w:highlight w:val="none"/>
              </w:rPr>
              <w:t>营业执照等主体资格证明文件</w:t>
            </w:r>
          </w:p>
        </w:tc>
        <w:tc>
          <w:tcPr>
            <w:tcW w:w="5179" w:type="dxa"/>
            <w:noWrap/>
            <w:vAlign w:val="center"/>
          </w:tcPr>
          <w:p>
            <w:pPr>
              <w:widowControl/>
              <w:spacing w:line="360" w:lineRule="exact"/>
              <w:rPr>
                <w:rFonts w:ascii="宋体" w:hAnsi="宋体" w:cs="宋体"/>
                <w:kern w:val="28"/>
                <w:sz w:val="24"/>
                <w:highlight w:val="none"/>
              </w:rPr>
            </w:pPr>
            <w:r>
              <w:rPr>
                <w:rFonts w:hint="eastAsia" w:ascii="宋体" w:hAnsi="宋体" w:cs="宋体"/>
                <w:kern w:val="28"/>
                <w:sz w:val="24"/>
                <w:highlight w:val="none"/>
              </w:rPr>
              <w:t>具有独立承担民事责任能力的法人或非法人组织或自然人，提供合法有效的统一社会信用代码的营业执照等证明文件；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70" w:type="dxa"/>
            <w:noWrap/>
            <w:vAlign w:val="center"/>
          </w:tcPr>
          <w:p>
            <w:pPr>
              <w:widowControl/>
              <w:spacing w:line="360" w:lineRule="exact"/>
              <w:jc w:val="center"/>
              <w:rPr>
                <w:rFonts w:ascii="宋体" w:hAnsi="宋体" w:cs="宋体"/>
                <w:sz w:val="24"/>
                <w:highlight w:val="none"/>
              </w:rPr>
            </w:pPr>
            <w:r>
              <w:rPr>
                <w:rFonts w:hint="eastAsia" w:ascii="宋体" w:hAnsi="宋体" w:cs="宋体"/>
                <w:sz w:val="24"/>
                <w:highlight w:val="none"/>
              </w:rPr>
              <w:t>2</w:t>
            </w:r>
          </w:p>
        </w:tc>
        <w:tc>
          <w:tcPr>
            <w:tcW w:w="2210" w:type="dxa"/>
            <w:noWrap/>
            <w:vAlign w:val="center"/>
          </w:tcPr>
          <w:p>
            <w:pPr>
              <w:widowControl/>
              <w:spacing w:line="360" w:lineRule="exact"/>
              <w:jc w:val="center"/>
              <w:rPr>
                <w:rFonts w:ascii="宋体" w:hAnsi="宋体" w:cs="宋体"/>
                <w:kern w:val="28"/>
                <w:sz w:val="24"/>
                <w:highlight w:val="none"/>
              </w:rPr>
            </w:pPr>
            <w:r>
              <w:rPr>
                <w:rFonts w:hint="eastAsia" w:ascii="宋体" w:hAnsi="宋体" w:cs="宋体"/>
                <w:kern w:val="28"/>
                <w:sz w:val="24"/>
                <w:highlight w:val="none"/>
              </w:rPr>
              <w:t>法定代表人授权委托书</w:t>
            </w:r>
          </w:p>
        </w:tc>
        <w:tc>
          <w:tcPr>
            <w:tcW w:w="5179" w:type="dxa"/>
            <w:noWrap/>
            <w:vAlign w:val="center"/>
          </w:tcPr>
          <w:p>
            <w:pPr>
              <w:widowControl/>
              <w:spacing w:line="360" w:lineRule="exact"/>
              <w:rPr>
                <w:rFonts w:ascii="宋体" w:hAnsi="宋体" w:cs="宋体"/>
                <w:kern w:val="28"/>
                <w:sz w:val="24"/>
                <w:highlight w:val="none"/>
              </w:rPr>
            </w:pPr>
            <w:r>
              <w:rPr>
                <w:rFonts w:hint="eastAsia" w:ascii="宋体" w:hAnsi="宋体" w:cs="宋体"/>
                <w:sz w:val="24"/>
                <w:highlight w:val="none"/>
              </w:rPr>
              <w:t>提供法定代表人授权委托书及被授权人身份证（投标人为法定代表人时，须提交法定代表人证明书）；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70" w:type="dxa"/>
            <w:noWrap/>
            <w:vAlign w:val="center"/>
          </w:tcPr>
          <w:p>
            <w:pPr>
              <w:widowControl/>
              <w:spacing w:line="360" w:lineRule="exact"/>
              <w:jc w:val="center"/>
              <w:rPr>
                <w:rFonts w:ascii="宋体" w:hAnsi="宋体" w:cs="宋体"/>
                <w:sz w:val="24"/>
                <w:highlight w:val="none"/>
              </w:rPr>
            </w:pPr>
            <w:r>
              <w:rPr>
                <w:rFonts w:hint="eastAsia" w:ascii="宋体" w:hAnsi="宋体" w:cs="宋体"/>
                <w:sz w:val="24"/>
                <w:highlight w:val="none"/>
              </w:rPr>
              <w:t>3</w:t>
            </w:r>
          </w:p>
        </w:tc>
        <w:tc>
          <w:tcPr>
            <w:tcW w:w="2210" w:type="dxa"/>
            <w:noWrap/>
            <w:vAlign w:val="center"/>
          </w:tcPr>
          <w:p>
            <w:pPr>
              <w:widowControl/>
              <w:spacing w:line="360" w:lineRule="exact"/>
              <w:jc w:val="center"/>
              <w:rPr>
                <w:rFonts w:ascii="宋体" w:hAnsi="宋体" w:cs="宋体"/>
                <w:kern w:val="28"/>
                <w:sz w:val="24"/>
                <w:highlight w:val="none"/>
              </w:rPr>
            </w:pPr>
            <w:r>
              <w:rPr>
                <w:rFonts w:hint="eastAsia" w:ascii="宋体" w:hAnsi="宋体" w:cs="宋体"/>
                <w:kern w:val="28"/>
                <w:sz w:val="24"/>
                <w:highlight w:val="none"/>
              </w:rPr>
              <w:t>财务状况报告</w:t>
            </w:r>
          </w:p>
        </w:tc>
        <w:tc>
          <w:tcPr>
            <w:tcW w:w="5179" w:type="dxa"/>
            <w:noWrap/>
            <w:vAlign w:val="center"/>
          </w:tcPr>
          <w:p>
            <w:pPr>
              <w:widowControl/>
              <w:spacing w:line="360" w:lineRule="exact"/>
              <w:rPr>
                <w:rFonts w:ascii="宋体" w:hAnsi="宋体" w:cs="宋体"/>
                <w:kern w:val="28"/>
                <w:sz w:val="24"/>
                <w:highlight w:val="none"/>
              </w:rPr>
            </w:pPr>
            <w:r>
              <w:rPr>
                <w:rFonts w:hint="eastAsia" w:ascii="宋体" w:hAnsi="宋体" w:cs="宋体"/>
                <w:kern w:val="28"/>
                <w:sz w:val="24"/>
                <w:highlight w:val="none"/>
              </w:rPr>
              <w:t>提供2021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7" w:hRule="atLeast"/>
          <w:jc w:val="center"/>
        </w:trPr>
        <w:tc>
          <w:tcPr>
            <w:tcW w:w="770" w:type="dxa"/>
            <w:noWrap/>
            <w:vAlign w:val="center"/>
          </w:tcPr>
          <w:p>
            <w:pPr>
              <w:widowControl/>
              <w:spacing w:line="360" w:lineRule="exact"/>
              <w:jc w:val="center"/>
              <w:rPr>
                <w:rFonts w:ascii="宋体" w:hAnsi="宋体" w:cs="宋体"/>
                <w:sz w:val="24"/>
                <w:highlight w:val="none"/>
              </w:rPr>
            </w:pPr>
            <w:r>
              <w:rPr>
                <w:rFonts w:hint="eastAsia" w:ascii="宋体" w:hAnsi="宋体" w:cs="宋体"/>
                <w:sz w:val="24"/>
                <w:highlight w:val="none"/>
              </w:rPr>
              <w:t>4</w:t>
            </w:r>
          </w:p>
        </w:tc>
        <w:tc>
          <w:tcPr>
            <w:tcW w:w="2210" w:type="dxa"/>
            <w:noWrap/>
            <w:vAlign w:val="center"/>
          </w:tcPr>
          <w:p>
            <w:pPr>
              <w:widowControl/>
              <w:spacing w:line="360" w:lineRule="exact"/>
              <w:jc w:val="center"/>
              <w:rPr>
                <w:rFonts w:ascii="宋体" w:hAnsi="宋体" w:cs="宋体"/>
                <w:kern w:val="28"/>
                <w:sz w:val="24"/>
                <w:highlight w:val="none"/>
              </w:rPr>
            </w:pPr>
            <w:r>
              <w:rPr>
                <w:rFonts w:hint="eastAsia" w:ascii="宋体" w:hAnsi="宋体" w:cs="宋体"/>
                <w:kern w:val="28"/>
                <w:sz w:val="24"/>
                <w:highlight w:val="none"/>
              </w:rPr>
              <w:t>社保缴纳证明</w:t>
            </w:r>
          </w:p>
        </w:tc>
        <w:tc>
          <w:tcPr>
            <w:tcW w:w="5179" w:type="dxa"/>
            <w:noWrap/>
            <w:vAlign w:val="center"/>
          </w:tcPr>
          <w:p>
            <w:pPr>
              <w:widowControl/>
              <w:spacing w:line="360" w:lineRule="exact"/>
              <w:rPr>
                <w:rFonts w:ascii="宋体" w:hAnsi="宋体" w:cs="宋体"/>
                <w:kern w:val="28"/>
                <w:sz w:val="24"/>
                <w:highlight w:val="none"/>
              </w:rPr>
            </w:pPr>
            <w:r>
              <w:rPr>
                <w:rFonts w:hint="eastAsia" w:ascii="宋体" w:hAnsi="宋体" w:cs="宋体"/>
                <w:kern w:val="28"/>
                <w:sz w:val="24"/>
                <w:highlight w:val="none"/>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770" w:type="dxa"/>
            <w:noWrap/>
            <w:vAlign w:val="center"/>
          </w:tcPr>
          <w:p>
            <w:pPr>
              <w:widowControl/>
              <w:spacing w:line="360" w:lineRule="exact"/>
              <w:jc w:val="center"/>
              <w:rPr>
                <w:rFonts w:ascii="宋体" w:hAnsi="宋体" w:cs="宋体"/>
                <w:sz w:val="24"/>
                <w:highlight w:val="none"/>
              </w:rPr>
            </w:pPr>
            <w:r>
              <w:rPr>
                <w:rFonts w:hint="eastAsia" w:ascii="宋体" w:hAnsi="宋体" w:cs="宋体"/>
                <w:sz w:val="24"/>
                <w:highlight w:val="none"/>
              </w:rPr>
              <w:t>5</w:t>
            </w:r>
          </w:p>
        </w:tc>
        <w:tc>
          <w:tcPr>
            <w:tcW w:w="2210" w:type="dxa"/>
            <w:noWrap/>
            <w:vAlign w:val="center"/>
          </w:tcPr>
          <w:p>
            <w:pPr>
              <w:widowControl/>
              <w:spacing w:line="360" w:lineRule="exact"/>
              <w:jc w:val="center"/>
              <w:rPr>
                <w:rFonts w:ascii="宋体" w:hAnsi="宋体" w:cs="宋体"/>
                <w:kern w:val="28"/>
                <w:sz w:val="24"/>
                <w:highlight w:val="none"/>
              </w:rPr>
            </w:pPr>
            <w:r>
              <w:rPr>
                <w:rFonts w:hint="eastAsia" w:ascii="宋体" w:hAnsi="宋体" w:cs="宋体"/>
                <w:kern w:val="28"/>
                <w:sz w:val="24"/>
                <w:highlight w:val="none"/>
              </w:rPr>
              <w:t>税收缴纳证明</w:t>
            </w:r>
          </w:p>
        </w:tc>
        <w:tc>
          <w:tcPr>
            <w:tcW w:w="5179" w:type="dxa"/>
            <w:noWrap/>
            <w:vAlign w:val="center"/>
          </w:tcPr>
          <w:p>
            <w:pPr>
              <w:widowControl/>
              <w:spacing w:line="360" w:lineRule="exact"/>
              <w:rPr>
                <w:rFonts w:ascii="宋体" w:hAnsi="宋体" w:cs="宋体"/>
                <w:kern w:val="28"/>
                <w:sz w:val="24"/>
                <w:highlight w:val="none"/>
              </w:rPr>
            </w:pPr>
            <w:r>
              <w:rPr>
                <w:rFonts w:hint="eastAsia" w:ascii="宋体" w:hAnsi="宋体" w:cs="宋体"/>
                <w:kern w:val="0"/>
                <w:sz w:val="24"/>
                <w:highlight w:val="none"/>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70" w:type="dxa"/>
            <w:noWrap/>
            <w:vAlign w:val="center"/>
          </w:tcPr>
          <w:p>
            <w:pPr>
              <w:widowControl/>
              <w:spacing w:line="360" w:lineRule="exact"/>
              <w:jc w:val="center"/>
              <w:rPr>
                <w:rFonts w:ascii="宋体" w:hAnsi="宋体" w:cs="宋体"/>
                <w:sz w:val="24"/>
                <w:highlight w:val="none"/>
              </w:rPr>
            </w:pPr>
            <w:r>
              <w:rPr>
                <w:rFonts w:hint="eastAsia" w:ascii="宋体" w:hAnsi="宋体" w:cs="宋体"/>
                <w:sz w:val="24"/>
                <w:highlight w:val="none"/>
              </w:rPr>
              <w:t>6</w:t>
            </w:r>
          </w:p>
        </w:tc>
        <w:tc>
          <w:tcPr>
            <w:tcW w:w="2210" w:type="dxa"/>
            <w:noWrap/>
            <w:vAlign w:val="center"/>
          </w:tcPr>
          <w:p>
            <w:pPr>
              <w:widowControl/>
              <w:spacing w:line="360" w:lineRule="exact"/>
              <w:jc w:val="center"/>
              <w:rPr>
                <w:rFonts w:ascii="宋体" w:hAnsi="宋体" w:cs="宋体"/>
                <w:kern w:val="28"/>
                <w:sz w:val="24"/>
                <w:highlight w:val="none"/>
              </w:rPr>
            </w:pPr>
            <w:r>
              <w:rPr>
                <w:rFonts w:hint="eastAsia" w:ascii="宋体" w:hAnsi="宋体" w:cs="宋体"/>
                <w:kern w:val="0"/>
                <w:sz w:val="24"/>
                <w:highlight w:val="none"/>
              </w:rPr>
              <w:t>具有履行合同所必需的设备和专业技术能力的书面声明</w:t>
            </w:r>
          </w:p>
        </w:tc>
        <w:tc>
          <w:tcPr>
            <w:tcW w:w="5179" w:type="dxa"/>
            <w:noWrap/>
            <w:vAlign w:val="center"/>
          </w:tcPr>
          <w:p>
            <w:pPr>
              <w:widowControl/>
              <w:spacing w:line="360" w:lineRule="exact"/>
              <w:rPr>
                <w:rFonts w:ascii="宋体" w:hAnsi="宋体" w:cs="宋体"/>
                <w:kern w:val="0"/>
                <w:sz w:val="24"/>
                <w:highlight w:val="none"/>
              </w:rPr>
            </w:pPr>
            <w:r>
              <w:rPr>
                <w:rFonts w:hint="eastAsia" w:ascii="宋体" w:hAnsi="宋体" w:cs="宋体"/>
                <w:kern w:val="0"/>
                <w:sz w:val="24"/>
                <w:highlight w:val="none"/>
              </w:rPr>
              <w:t>具有履行合同所必需的设备和专业技术能力的书面声明；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70" w:type="dxa"/>
            <w:noWrap/>
            <w:vAlign w:val="center"/>
          </w:tcPr>
          <w:p>
            <w:pPr>
              <w:widowControl/>
              <w:spacing w:line="360" w:lineRule="exact"/>
              <w:jc w:val="center"/>
              <w:rPr>
                <w:rFonts w:ascii="宋体" w:hAnsi="宋体" w:cs="宋体"/>
                <w:sz w:val="24"/>
                <w:highlight w:val="none"/>
              </w:rPr>
            </w:pPr>
            <w:r>
              <w:rPr>
                <w:rFonts w:hint="eastAsia" w:ascii="宋体" w:hAnsi="宋体" w:cs="宋体"/>
                <w:sz w:val="24"/>
                <w:highlight w:val="none"/>
              </w:rPr>
              <w:t>7</w:t>
            </w:r>
          </w:p>
        </w:tc>
        <w:tc>
          <w:tcPr>
            <w:tcW w:w="2210" w:type="dxa"/>
            <w:noWrap/>
            <w:vAlign w:val="center"/>
          </w:tcPr>
          <w:p>
            <w:pPr>
              <w:widowControl/>
              <w:spacing w:line="360" w:lineRule="exact"/>
              <w:jc w:val="center"/>
              <w:rPr>
                <w:rFonts w:ascii="宋体" w:hAnsi="宋体" w:cs="宋体"/>
                <w:kern w:val="0"/>
                <w:sz w:val="24"/>
                <w:highlight w:val="none"/>
              </w:rPr>
            </w:pPr>
            <w:r>
              <w:rPr>
                <w:rFonts w:hint="eastAsia" w:ascii="宋体" w:hAnsi="宋体" w:cs="宋体"/>
                <w:kern w:val="0"/>
                <w:sz w:val="24"/>
                <w:highlight w:val="none"/>
              </w:rPr>
              <w:t>三年无重大声明</w:t>
            </w:r>
          </w:p>
        </w:tc>
        <w:tc>
          <w:tcPr>
            <w:tcW w:w="5179" w:type="dxa"/>
            <w:noWrap/>
            <w:vAlign w:val="center"/>
          </w:tcPr>
          <w:p>
            <w:pPr>
              <w:widowControl/>
              <w:spacing w:line="360" w:lineRule="exact"/>
              <w:rPr>
                <w:rFonts w:ascii="宋体" w:hAnsi="宋体" w:cs="宋体"/>
                <w:kern w:val="0"/>
                <w:sz w:val="24"/>
                <w:highlight w:val="none"/>
              </w:rPr>
            </w:pPr>
            <w:r>
              <w:rPr>
                <w:rFonts w:hint="eastAsia" w:ascii="宋体" w:hAnsi="宋体" w:cs="宋体"/>
                <w:kern w:val="0"/>
                <w:sz w:val="24"/>
                <w:highlight w:val="none"/>
              </w:rPr>
              <w:t xml:space="preserve">提供参加政府采购活动前三年内，在经营活动中没有重大违法记录书面声明；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770" w:type="dxa"/>
            <w:noWrap/>
            <w:vAlign w:val="center"/>
          </w:tcPr>
          <w:p>
            <w:pPr>
              <w:widowControl/>
              <w:spacing w:line="360" w:lineRule="exact"/>
              <w:jc w:val="center"/>
              <w:rPr>
                <w:rFonts w:ascii="宋体" w:hAnsi="宋体" w:cs="宋体"/>
                <w:sz w:val="24"/>
                <w:highlight w:val="none"/>
              </w:rPr>
            </w:pPr>
            <w:r>
              <w:rPr>
                <w:rFonts w:hint="eastAsia" w:ascii="宋体" w:hAnsi="宋体" w:cs="宋体"/>
                <w:sz w:val="24"/>
                <w:highlight w:val="none"/>
              </w:rPr>
              <w:t>8</w:t>
            </w:r>
          </w:p>
        </w:tc>
        <w:tc>
          <w:tcPr>
            <w:tcW w:w="2210" w:type="dxa"/>
            <w:noWrap/>
            <w:vAlign w:val="center"/>
          </w:tcPr>
          <w:p>
            <w:pPr>
              <w:widowControl/>
              <w:spacing w:line="360" w:lineRule="exact"/>
              <w:jc w:val="center"/>
              <w:rPr>
                <w:rFonts w:ascii="宋体" w:hAnsi="宋体" w:cs="宋体"/>
                <w:kern w:val="28"/>
                <w:sz w:val="24"/>
                <w:highlight w:val="none"/>
              </w:rPr>
            </w:pPr>
            <w:r>
              <w:rPr>
                <w:rFonts w:hint="eastAsia" w:ascii="宋体" w:hAnsi="宋体" w:cs="宋体"/>
                <w:kern w:val="28"/>
                <w:sz w:val="24"/>
                <w:highlight w:val="none"/>
              </w:rPr>
              <w:t>信用记录</w:t>
            </w:r>
          </w:p>
        </w:tc>
        <w:tc>
          <w:tcPr>
            <w:tcW w:w="5179" w:type="dxa"/>
            <w:noWrap/>
            <w:vAlign w:val="center"/>
          </w:tcPr>
          <w:p>
            <w:pPr>
              <w:widowControl/>
              <w:spacing w:line="360" w:lineRule="exact"/>
              <w:rPr>
                <w:rFonts w:ascii="宋体" w:hAnsi="宋体" w:cs="宋体"/>
                <w:kern w:val="28"/>
                <w:sz w:val="24"/>
                <w:highlight w:val="none"/>
              </w:rPr>
            </w:pPr>
            <w:r>
              <w:rPr>
                <w:rFonts w:hint="eastAsia" w:ascii="宋体" w:hAnsi="宋体" w:cs="宋体"/>
                <w:kern w:val="28"/>
                <w:sz w:val="24"/>
                <w:highlight w:val="none"/>
              </w:rPr>
              <w:t>未被列入失信被执行人、税收违法黑名单、政府采购严重违法失信行为记录名单；以“信用中国”网站(www.creditchina.gov.cn)或中国政府采购网(www.ccgp.gov.cn) 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70" w:type="dxa"/>
            <w:noWrap/>
            <w:vAlign w:val="center"/>
          </w:tcPr>
          <w:p>
            <w:pPr>
              <w:widowControl/>
              <w:spacing w:line="360" w:lineRule="exact"/>
              <w:jc w:val="center"/>
              <w:rPr>
                <w:rFonts w:ascii="宋体" w:hAnsi="宋体" w:cs="宋体"/>
                <w:sz w:val="24"/>
                <w:highlight w:val="none"/>
              </w:rPr>
            </w:pPr>
            <w:r>
              <w:rPr>
                <w:rFonts w:hint="eastAsia" w:ascii="宋体" w:hAnsi="宋体" w:cs="宋体"/>
                <w:sz w:val="24"/>
                <w:highlight w:val="none"/>
              </w:rPr>
              <w:t>9</w:t>
            </w:r>
          </w:p>
        </w:tc>
        <w:tc>
          <w:tcPr>
            <w:tcW w:w="2210" w:type="dxa"/>
            <w:noWrap/>
            <w:vAlign w:val="center"/>
          </w:tcPr>
          <w:p>
            <w:pPr>
              <w:widowControl/>
              <w:spacing w:line="360" w:lineRule="exact"/>
              <w:jc w:val="center"/>
              <w:rPr>
                <w:rFonts w:hint="default" w:ascii="宋体" w:hAnsi="宋体" w:eastAsia="宋体" w:cs="宋体"/>
                <w:kern w:val="28"/>
                <w:sz w:val="24"/>
                <w:highlight w:val="none"/>
                <w:lang w:val="en-US" w:eastAsia="zh-CN"/>
              </w:rPr>
            </w:pPr>
            <w:r>
              <w:rPr>
                <w:rFonts w:hint="eastAsia" w:cs="宋体"/>
                <w:kern w:val="28"/>
                <w:sz w:val="24"/>
                <w:highlight w:val="none"/>
                <w:lang w:val="en-US" w:eastAsia="zh-CN"/>
              </w:rPr>
              <w:t>中小企业声明函</w:t>
            </w:r>
          </w:p>
        </w:tc>
        <w:tc>
          <w:tcPr>
            <w:tcW w:w="5179" w:type="dxa"/>
            <w:noWrap/>
            <w:vAlign w:val="center"/>
          </w:tcPr>
          <w:p>
            <w:pPr>
              <w:widowControl/>
              <w:spacing w:line="360" w:lineRule="exact"/>
              <w:rPr>
                <w:rFonts w:ascii="宋体" w:hAnsi="宋体" w:cs="宋体"/>
                <w:kern w:val="28"/>
                <w:sz w:val="24"/>
                <w:highlight w:val="none"/>
              </w:rPr>
            </w:pPr>
            <w:r>
              <w:rPr>
                <w:rFonts w:hint="eastAsia" w:ascii="宋体" w:hAnsi="宋体" w:cs="宋体"/>
                <w:color w:val="auto"/>
                <w:kern w:val="0"/>
                <w:sz w:val="24"/>
                <w:highlight w:val="none"/>
                <w:lang w:val="en-US" w:eastAsia="zh-CN"/>
              </w:rPr>
              <w:t>本项目专门面向中小企业采购；须符合《政府采购促进中小企业发展管理办法》（财库〔2020〕46号）规定的中小企业参加，并提供《中小企业声明函》；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70" w:type="dxa"/>
            <w:noWrap/>
            <w:vAlign w:val="center"/>
          </w:tcPr>
          <w:p>
            <w:pPr>
              <w:widowControl/>
              <w:spacing w:line="360" w:lineRule="exact"/>
              <w:jc w:val="center"/>
              <w:rPr>
                <w:rFonts w:hint="default" w:ascii="宋体" w:hAnsi="宋体" w:eastAsia="宋体" w:cs="宋体"/>
                <w:sz w:val="24"/>
                <w:highlight w:val="none"/>
                <w:lang w:val="en-US" w:eastAsia="zh-CN"/>
              </w:rPr>
            </w:pPr>
            <w:r>
              <w:rPr>
                <w:rFonts w:hint="eastAsia" w:cs="宋体"/>
                <w:sz w:val="24"/>
                <w:highlight w:val="none"/>
                <w:lang w:val="en-US" w:eastAsia="zh-CN"/>
              </w:rPr>
              <w:t>10</w:t>
            </w:r>
          </w:p>
        </w:tc>
        <w:tc>
          <w:tcPr>
            <w:tcW w:w="2210" w:type="dxa"/>
            <w:noWrap/>
            <w:vAlign w:val="center"/>
          </w:tcPr>
          <w:p>
            <w:pPr>
              <w:widowControl/>
              <w:spacing w:line="360" w:lineRule="exact"/>
              <w:jc w:val="center"/>
              <w:rPr>
                <w:rFonts w:hint="eastAsia" w:ascii="宋体" w:hAnsi="宋体" w:eastAsia="宋体" w:cs="宋体"/>
                <w:kern w:val="28"/>
                <w:sz w:val="24"/>
                <w:szCs w:val="24"/>
                <w:highlight w:val="none"/>
                <w:lang w:val="en-US" w:eastAsia="zh-CN" w:bidi="ar-SA"/>
              </w:rPr>
            </w:pPr>
            <w:r>
              <w:rPr>
                <w:rFonts w:hint="eastAsia" w:ascii="宋体" w:hAnsi="宋体" w:cs="宋体"/>
                <w:kern w:val="28"/>
                <w:sz w:val="24"/>
                <w:highlight w:val="none"/>
              </w:rPr>
              <w:t>本项目不接受联合体投标</w:t>
            </w:r>
          </w:p>
        </w:tc>
        <w:tc>
          <w:tcPr>
            <w:tcW w:w="5179" w:type="dxa"/>
            <w:noWrap/>
            <w:vAlign w:val="center"/>
          </w:tcPr>
          <w:p>
            <w:pPr>
              <w:widowControl/>
              <w:spacing w:line="360" w:lineRule="exact"/>
              <w:rPr>
                <w:rFonts w:hint="eastAsia" w:ascii="宋体" w:hAnsi="宋体" w:eastAsia="宋体" w:cs="宋体"/>
                <w:kern w:val="28"/>
                <w:sz w:val="24"/>
                <w:szCs w:val="24"/>
                <w:highlight w:val="none"/>
                <w:lang w:val="en-US" w:eastAsia="zh-CN" w:bidi="ar-SA"/>
              </w:rPr>
            </w:pPr>
            <w:r>
              <w:rPr>
                <w:rFonts w:hint="eastAsia" w:ascii="宋体" w:hAnsi="宋体" w:cs="宋体"/>
                <w:sz w:val="24"/>
                <w:highlight w:val="none"/>
              </w:rPr>
              <w:t>本项目不接受联合体投标。</w:t>
            </w:r>
          </w:p>
        </w:tc>
      </w:tr>
    </w:tbl>
    <w:p>
      <w:pPr>
        <w:pStyle w:val="15"/>
        <w:spacing w:line="360" w:lineRule="auto"/>
        <w:ind w:firstLine="480" w:firstLineChars="200"/>
        <w:rPr>
          <w:rFonts w:ascii="宋体" w:hAnsi="宋体" w:cs="宋体"/>
          <w:kern w:val="1"/>
          <w:highlight w:val="none"/>
        </w:rPr>
      </w:pPr>
      <w:r>
        <w:rPr>
          <w:rFonts w:hint="eastAsia" w:ascii="宋体" w:hAnsi="宋体" w:cs="宋体"/>
          <w:kern w:val="1"/>
          <w:highlight w:val="none"/>
        </w:rPr>
        <w:t>资格审查结束后，资格审查人员应当对审查结果进行签字确认；对未通过资格审查的供应商，应当场告知其未通过的原因。</w:t>
      </w:r>
    </w:p>
    <w:p>
      <w:pPr>
        <w:pStyle w:val="15"/>
        <w:spacing w:line="360" w:lineRule="auto"/>
        <w:ind w:firstLine="480" w:firstLineChars="200"/>
        <w:rPr>
          <w:rFonts w:hint="eastAsia" w:ascii="宋体" w:hAnsi="宋体" w:cs="宋体"/>
          <w:b/>
          <w:bCs/>
          <w:sz w:val="28"/>
          <w:szCs w:val="28"/>
          <w:highlight w:val="none"/>
        </w:rPr>
      </w:pPr>
      <w:r>
        <w:rPr>
          <w:rFonts w:hint="eastAsia" w:ascii="宋体" w:hAnsi="宋体" w:cs="宋体"/>
          <w:kern w:val="1"/>
          <w:highlight w:val="none"/>
        </w:rPr>
        <w:t>供应商资格性审查通过后，评标委员会对符合资格的投标人的投标文件进行符合性审查。</w:t>
      </w:r>
      <w:r>
        <w:rPr>
          <w:rFonts w:hint="eastAsia" w:ascii="宋体" w:hAnsi="宋体" w:cs="宋体"/>
          <w:b/>
          <w:bCs/>
          <w:sz w:val="28"/>
          <w:szCs w:val="28"/>
          <w:highlight w:val="none"/>
        </w:rPr>
        <w:br w:type="page"/>
      </w:r>
    </w:p>
    <w:p>
      <w:pPr>
        <w:spacing w:line="500" w:lineRule="exact"/>
        <w:ind w:firstLine="562" w:firstLineChars="200"/>
        <w:jc w:val="center"/>
        <w:rPr>
          <w:rFonts w:ascii="宋体" w:hAnsi="宋体" w:cs="宋体"/>
          <w:b/>
          <w:bCs/>
          <w:sz w:val="28"/>
          <w:szCs w:val="28"/>
          <w:highlight w:val="none"/>
        </w:rPr>
      </w:pPr>
      <w:r>
        <w:rPr>
          <w:rFonts w:hint="eastAsia" w:ascii="宋体" w:hAnsi="宋体" w:cs="宋体"/>
          <w:b/>
          <w:bCs/>
          <w:sz w:val="28"/>
          <w:szCs w:val="28"/>
          <w:highlight w:val="none"/>
        </w:rPr>
        <w:t>符合性审查表</w:t>
      </w:r>
    </w:p>
    <w:p>
      <w:pPr>
        <w:pStyle w:val="15"/>
        <w:rPr>
          <w:highlight w:val="none"/>
        </w:rPr>
      </w:pPr>
    </w:p>
    <w:tbl>
      <w:tblPr>
        <w:tblStyle w:val="30"/>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39"/>
        <w:gridCol w:w="5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35" w:type="dxa"/>
            <w:noWrap/>
            <w:vAlign w:val="center"/>
          </w:tcPr>
          <w:p>
            <w:pPr>
              <w:spacing w:line="360" w:lineRule="exact"/>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439" w:type="dxa"/>
            <w:noWrap/>
            <w:vAlign w:val="center"/>
          </w:tcPr>
          <w:p>
            <w:pPr>
              <w:spacing w:line="360" w:lineRule="exact"/>
              <w:jc w:val="center"/>
              <w:rPr>
                <w:rFonts w:ascii="宋体" w:hAnsi="宋体" w:cs="宋体"/>
                <w:b/>
                <w:bCs/>
                <w:kern w:val="0"/>
                <w:sz w:val="24"/>
                <w:highlight w:val="none"/>
              </w:rPr>
            </w:pPr>
            <w:r>
              <w:rPr>
                <w:rFonts w:hint="eastAsia" w:ascii="宋体" w:hAnsi="宋体" w:cs="宋体"/>
                <w:b/>
                <w:bCs/>
                <w:kern w:val="0"/>
                <w:sz w:val="24"/>
                <w:highlight w:val="none"/>
              </w:rPr>
              <w:t>符合性审查项</w:t>
            </w:r>
          </w:p>
        </w:tc>
        <w:tc>
          <w:tcPr>
            <w:tcW w:w="5077" w:type="dxa"/>
            <w:noWrap/>
            <w:vAlign w:val="center"/>
          </w:tcPr>
          <w:p>
            <w:pPr>
              <w:spacing w:line="360" w:lineRule="exact"/>
              <w:jc w:val="center"/>
              <w:rPr>
                <w:rFonts w:ascii="宋体" w:hAnsi="宋体" w:cs="宋体"/>
                <w:b/>
                <w:bCs/>
                <w:sz w:val="24"/>
                <w:highlight w:val="none"/>
              </w:rPr>
            </w:pPr>
            <w:r>
              <w:rPr>
                <w:rFonts w:hint="eastAsia" w:ascii="宋体" w:hAnsi="宋体" w:cs="宋体"/>
                <w:b/>
                <w:bCs/>
                <w:sz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35" w:type="dxa"/>
            <w:noWrap/>
            <w:vAlign w:val="center"/>
          </w:tcPr>
          <w:p>
            <w:pPr>
              <w:spacing w:line="360" w:lineRule="exact"/>
              <w:jc w:val="center"/>
              <w:rPr>
                <w:rFonts w:ascii="宋体" w:hAnsi="宋体" w:cs="宋体"/>
                <w:kern w:val="0"/>
                <w:sz w:val="24"/>
                <w:highlight w:val="none"/>
              </w:rPr>
            </w:pPr>
            <w:r>
              <w:rPr>
                <w:rFonts w:hint="eastAsia" w:ascii="宋体" w:hAnsi="宋体" w:cs="宋体"/>
                <w:kern w:val="0"/>
                <w:sz w:val="24"/>
                <w:highlight w:val="none"/>
              </w:rPr>
              <w:t>1</w:t>
            </w:r>
          </w:p>
        </w:tc>
        <w:tc>
          <w:tcPr>
            <w:tcW w:w="2439" w:type="dxa"/>
            <w:noWrap/>
            <w:vAlign w:val="center"/>
          </w:tcPr>
          <w:p>
            <w:pPr>
              <w:spacing w:line="360" w:lineRule="exact"/>
              <w:jc w:val="center"/>
              <w:rPr>
                <w:rFonts w:ascii="宋体" w:hAnsi="宋体" w:cs="宋体"/>
                <w:kern w:val="0"/>
                <w:sz w:val="24"/>
                <w:highlight w:val="none"/>
              </w:rPr>
            </w:pPr>
            <w:r>
              <w:rPr>
                <w:rFonts w:hint="eastAsia" w:ascii="宋体" w:hAnsi="宋体" w:cs="宋体"/>
                <w:kern w:val="0"/>
                <w:sz w:val="24"/>
                <w:highlight w:val="none"/>
              </w:rPr>
              <w:t>投标文件正、副本数量及装订方式</w:t>
            </w:r>
          </w:p>
        </w:tc>
        <w:tc>
          <w:tcPr>
            <w:tcW w:w="5077" w:type="dxa"/>
            <w:noWrap/>
            <w:vAlign w:val="center"/>
          </w:tcPr>
          <w:p>
            <w:pPr>
              <w:spacing w:line="360" w:lineRule="exact"/>
              <w:jc w:val="left"/>
              <w:rPr>
                <w:rFonts w:ascii="宋体" w:hAnsi="宋体" w:cs="宋体"/>
                <w:sz w:val="24"/>
                <w:highlight w:val="none"/>
              </w:rPr>
            </w:pPr>
            <w:r>
              <w:rPr>
                <w:rFonts w:hint="eastAsia" w:ascii="宋体" w:hAnsi="宋体" w:cs="宋体"/>
                <w:sz w:val="24"/>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35" w:type="dxa"/>
            <w:noWrap/>
            <w:vAlign w:val="center"/>
          </w:tcPr>
          <w:p>
            <w:pPr>
              <w:spacing w:line="360" w:lineRule="exact"/>
              <w:jc w:val="center"/>
              <w:rPr>
                <w:rFonts w:ascii="宋体" w:hAnsi="宋体" w:cs="宋体"/>
                <w:kern w:val="0"/>
                <w:sz w:val="24"/>
                <w:highlight w:val="none"/>
              </w:rPr>
            </w:pPr>
            <w:r>
              <w:rPr>
                <w:rFonts w:hint="eastAsia" w:ascii="宋体" w:hAnsi="宋体" w:cs="宋体"/>
                <w:kern w:val="0"/>
                <w:sz w:val="24"/>
                <w:highlight w:val="none"/>
              </w:rPr>
              <w:t>2</w:t>
            </w:r>
          </w:p>
        </w:tc>
        <w:tc>
          <w:tcPr>
            <w:tcW w:w="2439" w:type="dxa"/>
            <w:noWrap/>
            <w:vAlign w:val="center"/>
          </w:tcPr>
          <w:p>
            <w:pPr>
              <w:spacing w:line="360" w:lineRule="exact"/>
              <w:jc w:val="center"/>
              <w:rPr>
                <w:rFonts w:ascii="宋体" w:hAnsi="宋体" w:cs="宋体"/>
                <w:kern w:val="0"/>
                <w:sz w:val="24"/>
                <w:highlight w:val="none"/>
              </w:rPr>
            </w:pPr>
            <w:r>
              <w:rPr>
                <w:rFonts w:hint="eastAsia" w:ascii="宋体" w:hAnsi="宋体" w:cs="宋体"/>
                <w:kern w:val="0"/>
                <w:sz w:val="24"/>
                <w:highlight w:val="none"/>
              </w:rPr>
              <w:t>投标文件项目名称、项目编号</w:t>
            </w:r>
          </w:p>
        </w:tc>
        <w:tc>
          <w:tcPr>
            <w:tcW w:w="5077" w:type="dxa"/>
            <w:noWrap/>
            <w:vAlign w:val="center"/>
          </w:tcPr>
          <w:p>
            <w:pPr>
              <w:spacing w:line="360" w:lineRule="exact"/>
              <w:jc w:val="left"/>
              <w:rPr>
                <w:rFonts w:ascii="宋体" w:hAnsi="宋体" w:cs="宋体"/>
                <w:sz w:val="24"/>
                <w:highlight w:val="none"/>
              </w:rPr>
            </w:pPr>
            <w:r>
              <w:rPr>
                <w:rFonts w:hint="eastAsia" w:ascii="宋体" w:hAnsi="宋体" w:cs="宋体"/>
                <w:sz w:val="24"/>
                <w:highlight w:val="none"/>
              </w:rPr>
              <w:t>投标文件以下三处的项目名称、项目编号、标段与本项目完全一致，且无遗漏：（1）封面；（2）投标函；（3）法定代表人授权书。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35" w:type="dxa"/>
            <w:noWrap/>
            <w:vAlign w:val="center"/>
          </w:tcPr>
          <w:p>
            <w:pPr>
              <w:spacing w:line="360" w:lineRule="exact"/>
              <w:jc w:val="center"/>
              <w:rPr>
                <w:rFonts w:ascii="宋体" w:hAnsi="宋体" w:cs="宋体"/>
                <w:kern w:val="0"/>
                <w:sz w:val="24"/>
                <w:highlight w:val="none"/>
              </w:rPr>
            </w:pPr>
            <w:r>
              <w:rPr>
                <w:rFonts w:hint="eastAsia" w:ascii="宋体" w:hAnsi="宋体" w:cs="宋体"/>
                <w:kern w:val="0"/>
                <w:sz w:val="24"/>
                <w:highlight w:val="none"/>
              </w:rPr>
              <w:t>3</w:t>
            </w:r>
          </w:p>
        </w:tc>
        <w:tc>
          <w:tcPr>
            <w:tcW w:w="2439" w:type="dxa"/>
            <w:noWrap/>
            <w:vAlign w:val="center"/>
          </w:tcPr>
          <w:p>
            <w:pPr>
              <w:spacing w:line="320" w:lineRule="exact"/>
              <w:jc w:val="center"/>
              <w:rPr>
                <w:rFonts w:ascii="宋体" w:hAnsi="宋体" w:cs="宋体"/>
                <w:kern w:val="0"/>
                <w:sz w:val="24"/>
                <w:highlight w:val="none"/>
              </w:rPr>
            </w:pPr>
            <w:r>
              <w:rPr>
                <w:rFonts w:hint="eastAsia" w:ascii="宋体" w:hAnsi="宋体" w:cs="宋体"/>
                <w:kern w:val="0"/>
                <w:sz w:val="24"/>
                <w:highlight w:val="none"/>
              </w:rPr>
              <w:t>投标文件组成</w:t>
            </w:r>
          </w:p>
        </w:tc>
        <w:tc>
          <w:tcPr>
            <w:tcW w:w="5077" w:type="dxa"/>
            <w:noWrap/>
            <w:vAlign w:val="center"/>
          </w:tcPr>
          <w:p>
            <w:pPr>
              <w:spacing w:line="360" w:lineRule="exact"/>
              <w:jc w:val="left"/>
              <w:rPr>
                <w:rFonts w:ascii="宋体" w:hAnsi="宋体" w:cs="宋体"/>
                <w:sz w:val="24"/>
                <w:highlight w:val="none"/>
              </w:rPr>
            </w:pPr>
            <w:r>
              <w:rPr>
                <w:rFonts w:hint="eastAsia" w:ascii="宋体" w:hAnsi="宋体" w:cs="宋体"/>
                <w:sz w:val="24"/>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35" w:type="dxa"/>
            <w:noWrap/>
            <w:vAlign w:val="center"/>
          </w:tcPr>
          <w:p>
            <w:pPr>
              <w:spacing w:line="320" w:lineRule="exact"/>
              <w:jc w:val="center"/>
              <w:rPr>
                <w:rFonts w:ascii="宋体" w:hAnsi="宋体" w:cs="宋体"/>
                <w:kern w:val="0"/>
                <w:sz w:val="24"/>
                <w:highlight w:val="none"/>
              </w:rPr>
            </w:pPr>
            <w:r>
              <w:rPr>
                <w:rFonts w:hint="eastAsia" w:ascii="宋体" w:hAnsi="宋体" w:cs="宋体"/>
                <w:bCs/>
                <w:kern w:val="0"/>
                <w:sz w:val="24"/>
                <w:highlight w:val="none"/>
              </w:rPr>
              <w:t>4</w:t>
            </w:r>
          </w:p>
        </w:tc>
        <w:tc>
          <w:tcPr>
            <w:tcW w:w="2439" w:type="dxa"/>
            <w:noWrap/>
            <w:vAlign w:val="center"/>
          </w:tcPr>
          <w:p>
            <w:pPr>
              <w:spacing w:line="320" w:lineRule="exact"/>
              <w:jc w:val="center"/>
              <w:rPr>
                <w:rFonts w:ascii="宋体" w:hAnsi="宋体" w:cs="宋体"/>
                <w:sz w:val="24"/>
                <w:highlight w:val="none"/>
              </w:rPr>
            </w:pPr>
            <w:r>
              <w:rPr>
                <w:rFonts w:hint="eastAsia" w:ascii="宋体" w:hAnsi="宋体" w:cs="宋体"/>
                <w:kern w:val="0"/>
                <w:sz w:val="24"/>
                <w:highlight w:val="none"/>
              </w:rPr>
              <w:t>投标文件的签署、盖章</w:t>
            </w:r>
          </w:p>
        </w:tc>
        <w:tc>
          <w:tcPr>
            <w:tcW w:w="5077" w:type="dxa"/>
            <w:noWrap/>
            <w:vAlign w:val="center"/>
          </w:tcPr>
          <w:p>
            <w:pPr>
              <w:spacing w:line="360" w:lineRule="exact"/>
              <w:jc w:val="left"/>
              <w:rPr>
                <w:rFonts w:ascii="宋体" w:hAnsi="宋体" w:cs="宋体"/>
                <w:sz w:val="24"/>
                <w:highlight w:val="none"/>
              </w:rPr>
            </w:pPr>
            <w:r>
              <w:rPr>
                <w:rFonts w:hint="eastAsia" w:ascii="宋体" w:hAnsi="宋体" w:cs="宋体"/>
                <w:sz w:val="24"/>
                <w:highlight w:val="none"/>
              </w:rPr>
              <w:t>签署、盖章均符合招标文件要求，且无遗漏。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35" w:type="dxa"/>
            <w:noWrap/>
            <w:vAlign w:val="center"/>
          </w:tcPr>
          <w:p>
            <w:pPr>
              <w:spacing w:line="320" w:lineRule="exact"/>
              <w:jc w:val="center"/>
              <w:rPr>
                <w:rFonts w:ascii="宋体" w:hAnsi="宋体" w:cs="宋体"/>
                <w:bCs/>
                <w:kern w:val="0"/>
                <w:sz w:val="24"/>
                <w:highlight w:val="none"/>
              </w:rPr>
            </w:pPr>
            <w:r>
              <w:rPr>
                <w:rFonts w:hint="eastAsia" w:ascii="宋体" w:hAnsi="宋体" w:cs="宋体"/>
                <w:bCs/>
                <w:kern w:val="0"/>
                <w:sz w:val="24"/>
                <w:highlight w:val="none"/>
              </w:rPr>
              <w:t>5</w:t>
            </w:r>
          </w:p>
        </w:tc>
        <w:tc>
          <w:tcPr>
            <w:tcW w:w="2439" w:type="dxa"/>
            <w:noWrap/>
            <w:vAlign w:val="center"/>
          </w:tcPr>
          <w:p>
            <w:pPr>
              <w:spacing w:line="320" w:lineRule="exact"/>
              <w:jc w:val="center"/>
              <w:rPr>
                <w:rFonts w:ascii="宋体" w:hAnsi="宋体" w:cs="宋体"/>
                <w:kern w:val="0"/>
                <w:sz w:val="24"/>
                <w:highlight w:val="none"/>
              </w:rPr>
            </w:pPr>
            <w:r>
              <w:rPr>
                <w:rFonts w:hint="eastAsia" w:ascii="宋体" w:hAnsi="宋体" w:cs="宋体"/>
                <w:kern w:val="0"/>
                <w:sz w:val="24"/>
                <w:highlight w:val="none"/>
              </w:rPr>
              <w:t>语言和计量单位</w:t>
            </w:r>
          </w:p>
        </w:tc>
        <w:tc>
          <w:tcPr>
            <w:tcW w:w="5077" w:type="dxa"/>
            <w:noWrap/>
            <w:vAlign w:val="center"/>
          </w:tcPr>
          <w:p>
            <w:pPr>
              <w:spacing w:line="320" w:lineRule="exact"/>
              <w:rPr>
                <w:rFonts w:ascii="宋体" w:hAnsi="宋体" w:cs="宋体"/>
                <w:sz w:val="24"/>
                <w:highlight w:val="none"/>
              </w:rPr>
            </w:pPr>
            <w:r>
              <w:rPr>
                <w:rFonts w:hint="eastAsia" w:ascii="宋体" w:hAnsi="宋体" w:cs="宋体"/>
                <w:sz w:val="24"/>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noWrap/>
            <w:vAlign w:val="center"/>
          </w:tcPr>
          <w:p>
            <w:pPr>
              <w:spacing w:line="360" w:lineRule="exact"/>
              <w:jc w:val="center"/>
              <w:rPr>
                <w:rFonts w:ascii="宋体" w:hAnsi="宋体" w:cs="宋体"/>
                <w:kern w:val="0"/>
                <w:sz w:val="24"/>
                <w:highlight w:val="none"/>
              </w:rPr>
            </w:pPr>
            <w:r>
              <w:rPr>
                <w:rFonts w:hint="eastAsia" w:ascii="宋体" w:hAnsi="宋体" w:cs="宋体"/>
                <w:kern w:val="0"/>
                <w:sz w:val="24"/>
                <w:highlight w:val="none"/>
              </w:rPr>
              <w:t>6</w:t>
            </w:r>
          </w:p>
        </w:tc>
        <w:tc>
          <w:tcPr>
            <w:tcW w:w="2439" w:type="dxa"/>
            <w:noWrap/>
            <w:vAlign w:val="center"/>
          </w:tcPr>
          <w:p>
            <w:pPr>
              <w:spacing w:line="320" w:lineRule="exact"/>
              <w:jc w:val="center"/>
              <w:rPr>
                <w:rFonts w:ascii="宋体" w:hAnsi="宋体" w:cs="宋体"/>
                <w:sz w:val="24"/>
                <w:highlight w:val="none"/>
              </w:rPr>
            </w:pPr>
            <w:r>
              <w:rPr>
                <w:rFonts w:hint="eastAsia" w:ascii="宋体" w:hAnsi="宋体" w:cs="宋体"/>
                <w:sz w:val="24"/>
                <w:highlight w:val="none"/>
              </w:rPr>
              <w:t>投标有效期</w:t>
            </w:r>
          </w:p>
        </w:tc>
        <w:tc>
          <w:tcPr>
            <w:tcW w:w="5077" w:type="dxa"/>
            <w:noWrap/>
            <w:vAlign w:val="center"/>
          </w:tcPr>
          <w:p>
            <w:pPr>
              <w:spacing w:line="360" w:lineRule="exact"/>
              <w:jc w:val="left"/>
              <w:rPr>
                <w:rFonts w:ascii="宋体" w:hAnsi="宋体" w:cs="宋体"/>
                <w:sz w:val="24"/>
                <w:highlight w:val="none"/>
              </w:rPr>
            </w:pPr>
            <w:r>
              <w:rPr>
                <w:rFonts w:hint="eastAsia" w:ascii="宋体" w:hAnsi="宋体" w:cs="宋体"/>
                <w:sz w:val="24"/>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ign w:val="center"/>
          </w:tcPr>
          <w:p>
            <w:pPr>
              <w:spacing w:line="360" w:lineRule="exact"/>
              <w:jc w:val="center"/>
              <w:rPr>
                <w:rFonts w:ascii="宋体" w:hAnsi="宋体" w:cs="宋体"/>
                <w:kern w:val="0"/>
                <w:sz w:val="24"/>
                <w:highlight w:val="none"/>
              </w:rPr>
            </w:pPr>
            <w:r>
              <w:rPr>
                <w:rFonts w:hint="eastAsia" w:ascii="宋体" w:hAnsi="宋体" w:cs="宋体"/>
                <w:kern w:val="0"/>
                <w:sz w:val="24"/>
                <w:highlight w:val="none"/>
              </w:rPr>
              <w:t>7</w:t>
            </w:r>
          </w:p>
        </w:tc>
        <w:tc>
          <w:tcPr>
            <w:tcW w:w="2439" w:type="dxa"/>
            <w:noWrap/>
            <w:vAlign w:val="center"/>
          </w:tcPr>
          <w:p>
            <w:pPr>
              <w:spacing w:line="320" w:lineRule="exact"/>
              <w:jc w:val="center"/>
              <w:rPr>
                <w:rFonts w:ascii="宋体" w:hAnsi="宋体" w:cs="宋体"/>
                <w:sz w:val="24"/>
                <w:highlight w:val="none"/>
              </w:rPr>
            </w:pPr>
          </w:p>
          <w:p>
            <w:pPr>
              <w:spacing w:line="320" w:lineRule="exact"/>
              <w:jc w:val="center"/>
              <w:rPr>
                <w:rFonts w:ascii="宋体" w:hAnsi="宋体" w:cs="宋体"/>
                <w:sz w:val="24"/>
                <w:highlight w:val="none"/>
              </w:rPr>
            </w:pPr>
          </w:p>
          <w:p>
            <w:pPr>
              <w:spacing w:line="320" w:lineRule="exact"/>
              <w:jc w:val="center"/>
              <w:rPr>
                <w:rFonts w:ascii="宋体" w:hAnsi="宋体" w:cs="宋体"/>
                <w:sz w:val="24"/>
                <w:highlight w:val="none"/>
              </w:rPr>
            </w:pPr>
            <w:r>
              <w:rPr>
                <w:rFonts w:hint="eastAsia" w:ascii="宋体" w:hAnsi="宋体" w:cs="宋体"/>
                <w:sz w:val="24"/>
                <w:highlight w:val="none"/>
              </w:rPr>
              <w:t>投标报价</w:t>
            </w:r>
          </w:p>
        </w:tc>
        <w:tc>
          <w:tcPr>
            <w:tcW w:w="5077" w:type="dxa"/>
            <w:noWrap/>
            <w:vAlign w:val="center"/>
          </w:tcPr>
          <w:p>
            <w:pPr>
              <w:spacing w:line="360" w:lineRule="exact"/>
              <w:jc w:val="left"/>
              <w:rPr>
                <w:rFonts w:ascii="宋体" w:hAnsi="宋体" w:cs="宋体"/>
                <w:sz w:val="24"/>
                <w:highlight w:val="none"/>
              </w:rPr>
            </w:pPr>
            <w:r>
              <w:rPr>
                <w:rFonts w:hint="eastAsia" w:ascii="宋体" w:hAnsi="宋体" w:cs="宋体"/>
                <w:sz w:val="24"/>
                <w:highlight w:val="none"/>
              </w:rPr>
              <w:t>同时满足以下条款：</w:t>
            </w:r>
          </w:p>
          <w:p>
            <w:pPr>
              <w:spacing w:line="360" w:lineRule="exact"/>
              <w:jc w:val="left"/>
              <w:rPr>
                <w:rFonts w:ascii="宋体" w:hAnsi="宋体" w:cs="宋体"/>
                <w:sz w:val="24"/>
                <w:highlight w:val="none"/>
              </w:rPr>
            </w:pPr>
            <w:r>
              <w:rPr>
                <w:rFonts w:hint="eastAsia" w:ascii="宋体" w:hAnsi="宋体" w:cs="宋体"/>
                <w:sz w:val="24"/>
                <w:highlight w:val="none"/>
              </w:rPr>
              <w:t xml:space="preserve">（1）投标报价符合唯一性要求； </w:t>
            </w:r>
          </w:p>
          <w:p>
            <w:pPr>
              <w:spacing w:line="360" w:lineRule="exact"/>
              <w:jc w:val="left"/>
              <w:rPr>
                <w:rFonts w:ascii="宋体" w:hAnsi="宋体" w:cs="宋体"/>
                <w:sz w:val="24"/>
                <w:highlight w:val="none"/>
              </w:rPr>
            </w:pPr>
            <w:r>
              <w:rPr>
                <w:rFonts w:hint="eastAsia" w:ascii="宋体" w:hAnsi="宋体" w:cs="宋体"/>
                <w:sz w:val="24"/>
                <w:highlight w:val="none"/>
              </w:rPr>
              <w:t xml:space="preserve">（2）报价表填写符合要求； </w:t>
            </w:r>
          </w:p>
          <w:p>
            <w:pPr>
              <w:spacing w:line="360" w:lineRule="exact"/>
              <w:jc w:val="left"/>
              <w:rPr>
                <w:rFonts w:ascii="宋体" w:hAnsi="宋体" w:cs="宋体"/>
                <w:sz w:val="24"/>
                <w:highlight w:val="none"/>
              </w:rPr>
            </w:pPr>
            <w:r>
              <w:rPr>
                <w:rFonts w:hint="eastAsia" w:ascii="宋体" w:hAnsi="宋体" w:cs="宋体"/>
                <w:sz w:val="24"/>
                <w:highlight w:val="none"/>
              </w:rPr>
              <w:t xml:space="preserve">（3）报价货币符合招标文件要求； </w:t>
            </w:r>
          </w:p>
          <w:p>
            <w:pPr>
              <w:spacing w:line="360" w:lineRule="exact"/>
              <w:jc w:val="left"/>
              <w:rPr>
                <w:rFonts w:ascii="宋体" w:hAnsi="宋体" w:cs="宋体"/>
                <w:sz w:val="24"/>
                <w:highlight w:val="none"/>
              </w:rPr>
            </w:pPr>
            <w:r>
              <w:rPr>
                <w:rFonts w:hint="eastAsia" w:ascii="宋体" w:hAnsi="宋体" w:cs="宋体"/>
                <w:sz w:val="24"/>
                <w:highlight w:val="none"/>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5" w:type="dxa"/>
            <w:noWrap/>
            <w:vAlign w:val="center"/>
          </w:tcPr>
          <w:p>
            <w:pPr>
              <w:spacing w:line="360" w:lineRule="exact"/>
              <w:jc w:val="center"/>
              <w:rPr>
                <w:rFonts w:ascii="宋体" w:hAnsi="宋体" w:cs="宋体"/>
                <w:kern w:val="0"/>
                <w:sz w:val="24"/>
                <w:highlight w:val="none"/>
              </w:rPr>
            </w:pPr>
            <w:r>
              <w:rPr>
                <w:rFonts w:hint="eastAsia" w:ascii="宋体" w:hAnsi="宋体" w:cs="宋体"/>
                <w:kern w:val="0"/>
                <w:sz w:val="24"/>
                <w:highlight w:val="none"/>
              </w:rPr>
              <w:t>8</w:t>
            </w:r>
          </w:p>
        </w:tc>
        <w:tc>
          <w:tcPr>
            <w:tcW w:w="2439" w:type="dxa"/>
            <w:noWrap/>
            <w:vAlign w:val="center"/>
          </w:tcPr>
          <w:p>
            <w:pPr>
              <w:spacing w:line="360" w:lineRule="exact"/>
              <w:jc w:val="center"/>
              <w:rPr>
                <w:rFonts w:ascii="宋体" w:hAnsi="宋体" w:cs="宋体"/>
                <w:kern w:val="0"/>
                <w:sz w:val="24"/>
                <w:highlight w:val="none"/>
              </w:rPr>
            </w:pPr>
            <w:r>
              <w:rPr>
                <w:rFonts w:hint="eastAsia" w:ascii="宋体" w:hAnsi="宋体" w:cs="宋体"/>
                <w:sz w:val="24"/>
                <w:highlight w:val="none"/>
              </w:rPr>
              <w:t> 实质性条款响应</w:t>
            </w:r>
          </w:p>
        </w:tc>
        <w:tc>
          <w:tcPr>
            <w:tcW w:w="5077" w:type="dxa"/>
            <w:noWrap/>
            <w:vAlign w:val="center"/>
          </w:tcPr>
          <w:p>
            <w:pPr>
              <w:spacing w:line="360" w:lineRule="exact"/>
              <w:jc w:val="left"/>
              <w:rPr>
                <w:rFonts w:ascii="宋体" w:hAnsi="宋体" w:cs="宋体"/>
                <w:sz w:val="24"/>
                <w:highlight w:val="none"/>
              </w:rPr>
            </w:pPr>
            <w:r>
              <w:rPr>
                <w:rFonts w:hint="eastAsia" w:ascii="宋体" w:hAnsi="宋体" w:cs="宋体"/>
                <w:sz w:val="24"/>
                <w:highlight w:val="none"/>
              </w:rPr>
              <w:t>完全响应招标文件要求的商务条款。</w:t>
            </w:r>
          </w:p>
        </w:tc>
      </w:tr>
    </w:tbl>
    <w:p>
      <w:pPr>
        <w:rPr>
          <w:highlight w:val="none"/>
        </w:rPr>
      </w:pPr>
    </w:p>
    <w:p>
      <w:pPr>
        <w:rPr>
          <w:rFonts w:hint="eastAsia" w:ascii="宋体" w:hAnsi="宋体" w:cs="宋体"/>
          <w:b/>
          <w:bCs/>
          <w:sz w:val="28"/>
          <w:szCs w:val="28"/>
          <w:highlight w:val="none"/>
        </w:rPr>
      </w:pPr>
      <w:r>
        <w:rPr>
          <w:rFonts w:hint="eastAsia" w:ascii="宋体" w:hAnsi="宋体" w:cs="宋体"/>
          <w:b/>
          <w:bCs/>
          <w:sz w:val="28"/>
          <w:szCs w:val="28"/>
          <w:highlight w:val="none"/>
        </w:rPr>
        <w:br w:type="page"/>
      </w:r>
    </w:p>
    <w:p>
      <w:pPr>
        <w:jc w:val="center"/>
        <w:rPr>
          <w:rFonts w:ascii="宋体" w:hAnsi="宋体" w:cs="宋体"/>
          <w:b/>
          <w:bCs/>
          <w:sz w:val="28"/>
          <w:szCs w:val="28"/>
          <w:highlight w:val="none"/>
        </w:rPr>
      </w:pPr>
      <w:r>
        <w:rPr>
          <w:rFonts w:hint="eastAsia" w:ascii="宋体" w:hAnsi="宋体" w:cs="宋体"/>
          <w:b/>
          <w:bCs/>
          <w:sz w:val="28"/>
          <w:szCs w:val="28"/>
          <w:highlight w:val="none"/>
        </w:rPr>
        <w:t>评审要素及分值一览表</w:t>
      </w:r>
    </w:p>
    <w:tbl>
      <w:tblPr>
        <w:tblStyle w:val="3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8"/>
        <w:gridCol w:w="710"/>
        <w:gridCol w:w="6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评分因素</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分值</w:t>
            </w:r>
          </w:p>
        </w:tc>
        <w:tc>
          <w:tcPr>
            <w:tcW w:w="3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评审要素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价格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满足招标文件要求且投标价格最低的投标报价为评标基准价，其价格分为满分。其他投标供应商的价格分统一按照下列公式计算：投标报价得分=（评标基准价/投标报价）×价格权值%×100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符合政策性优惠的，按照招标文件中第五部分评标办法～第5条执行。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2" w:hRule="atLeast"/>
        </w:trPr>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产品技术</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指标及</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功能           </w:t>
            </w:r>
          </w:p>
        </w:tc>
        <w:tc>
          <w:tcPr>
            <w:tcW w:w="419"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cs="宋体"/>
                <w:i w:val="0"/>
                <w:iCs w:val="0"/>
                <w:color w:val="auto"/>
                <w:kern w:val="0"/>
                <w:sz w:val="24"/>
                <w:szCs w:val="24"/>
                <w:highlight w:val="none"/>
                <w:u w:val="none"/>
                <w:lang w:val="en-US" w:eastAsia="zh-CN" w:bidi="ar"/>
              </w:rPr>
              <w:t>26</w:t>
            </w:r>
          </w:p>
        </w:tc>
        <w:tc>
          <w:tcPr>
            <w:tcW w:w="3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依据各投标供应商主要技术指标、参数、性能等情况；全部满足参数要求得</w:t>
            </w:r>
            <w:r>
              <w:rPr>
                <w:rFonts w:hint="eastAsia" w:cs="宋体"/>
                <w:i w:val="0"/>
                <w:iCs w:val="0"/>
                <w:color w:val="auto"/>
                <w:kern w:val="0"/>
                <w:sz w:val="24"/>
                <w:szCs w:val="24"/>
                <w:highlight w:val="none"/>
                <w:u w:val="none"/>
                <w:lang w:val="en-US" w:eastAsia="zh-CN" w:bidi="ar"/>
              </w:rPr>
              <w:t>26</w:t>
            </w:r>
            <w:r>
              <w:rPr>
                <w:rFonts w:hint="eastAsia" w:ascii="宋体" w:hAnsi="宋体" w:eastAsia="宋体" w:cs="宋体"/>
                <w:i w:val="0"/>
                <w:iCs w:val="0"/>
                <w:color w:val="auto"/>
                <w:kern w:val="0"/>
                <w:sz w:val="24"/>
                <w:szCs w:val="24"/>
                <w:highlight w:val="none"/>
                <w:u w:val="none"/>
                <w:lang w:val="en-US" w:eastAsia="zh-CN" w:bidi="ar"/>
              </w:rPr>
              <w:t>分；技术参数一项不满足扣</w:t>
            </w:r>
            <w:r>
              <w:rPr>
                <w:rFonts w:hint="eastAsia"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分，扣完为止。</w:t>
            </w:r>
            <w:r>
              <w:rPr>
                <w:rFonts w:hint="eastAsia" w:cs="宋体"/>
                <w:i w:val="0"/>
                <w:iCs w:val="0"/>
                <w:color w:val="auto"/>
                <w:kern w:val="0"/>
                <w:sz w:val="24"/>
                <w:szCs w:val="24"/>
                <w:highlight w:val="none"/>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参数满足要求须体现参数的功能、配置项及产品界面截图，相关证书、资质证明复印件并加盖厂商公章。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技术方案</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cs="宋体"/>
                <w:i w:val="0"/>
                <w:iCs w:val="0"/>
                <w:color w:val="auto"/>
                <w:kern w:val="0"/>
                <w:sz w:val="24"/>
                <w:szCs w:val="24"/>
                <w:highlight w:val="none"/>
                <w:u w:val="none"/>
                <w:lang w:val="en-US" w:eastAsia="zh-CN" w:bidi="ar"/>
              </w:rPr>
              <w:t>14</w:t>
            </w:r>
          </w:p>
        </w:tc>
        <w:tc>
          <w:tcPr>
            <w:tcW w:w="3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1、整体方案：应包括但不限于建设背景、需求分析、建设规划、预期目标等。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（1）方案设计合理、架构完整、层次清晰，完全符合采购人需求得 </w:t>
            </w:r>
            <w:r>
              <w:rPr>
                <w:rFonts w:hint="eastAsia" w:cs="宋体"/>
                <w:i w:val="0"/>
                <w:iCs w:val="0"/>
                <w:color w:val="auto"/>
                <w:kern w:val="0"/>
                <w:sz w:val="24"/>
                <w:szCs w:val="24"/>
                <w:highlight w:val="none"/>
                <w:u w:val="none"/>
                <w:lang w:val="en-US" w:eastAsia="zh-CN" w:bidi="ar"/>
              </w:rPr>
              <w:t>5～7</w:t>
            </w:r>
            <w:r>
              <w:rPr>
                <w:rFonts w:hint="eastAsia" w:ascii="宋体" w:hAnsi="宋体" w:eastAsia="宋体" w:cs="宋体"/>
                <w:i w:val="0"/>
                <w:iCs w:val="0"/>
                <w:color w:val="auto"/>
                <w:kern w:val="0"/>
                <w:sz w:val="24"/>
                <w:szCs w:val="24"/>
                <w:highlight w:val="none"/>
                <w:u w:val="none"/>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（2）方案设计基本合理、架构较完整、层次较清晰，基本符合采购人需求得</w:t>
            </w:r>
            <w:r>
              <w:rPr>
                <w:rFonts w:hint="eastAsia"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w:t>
            </w:r>
            <w:r>
              <w:rPr>
                <w:rFonts w:hint="eastAsia"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 xml:space="preserve"> 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（3）方案设计不合理、架构不完整、层次不清晰，部分符合采购人需求得 1～</w:t>
            </w:r>
            <w:r>
              <w:rPr>
                <w:rFonts w:hint="eastAsia"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 xml:space="preserve">分；未提供不得分。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2、产品方案：应包括但不限于</w:t>
            </w:r>
            <w:r>
              <w:rPr>
                <w:rFonts w:hint="eastAsia" w:cs="宋体"/>
                <w:i w:val="0"/>
                <w:iCs w:val="0"/>
                <w:color w:val="auto"/>
                <w:kern w:val="0"/>
                <w:sz w:val="24"/>
                <w:szCs w:val="24"/>
                <w:highlight w:val="none"/>
                <w:u w:val="none"/>
                <w:lang w:val="en-US" w:eastAsia="zh-CN" w:bidi="ar"/>
              </w:rPr>
              <w:t>系统</w:t>
            </w:r>
            <w:r>
              <w:rPr>
                <w:rFonts w:hint="eastAsia" w:ascii="宋体" w:hAnsi="宋体" w:eastAsia="宋体" w:cs="宋体"/>
                <w:i w:val="0"/>
                <w:iCs w:val="0"/>
                <w:color w:val="auto"/>
                <w:kern w:val="0"/>
                <w:sz w:val="24"/>
                <w:szCs w:val="24"/>
                <w:highlight w:val="none"/>
                <w:u w:val="none"/>
                <w:lang w:val="en-US" w:eastAsia="zh-CN" w:bidi="ar"/>
              </w:rPr>
              <w:t>架构、功能模块、</w:t>
            </w:r>
            <w:r>
              <w:rPr>
                <w:rFonts w:hint="eastAsia" w:cs="宋体"/>
                <w:i w:val="0"/>
                <w:iCs w:val="0"/>
                <w:color w:val="auto"/>
                <w:kern w:val="0"/>
                <w:sz w:val="24"/>
                <w:szCs w:val="24"/>
                <w:highlight w:val="none"/>
                <w:u w:val="none"/>
                <w:lang w:val="en-US" w:eastAsia="zh-CN" w:bidi="ar"/>
              </w:rPr>
              <w:t>技术整合</w:t>
            </w:r>
            <w:r>
              <w:rPr>
                <w:rFonts w:hint="eastAsia" w:ascii="宋体" w:hAnsi="宋体" w:eastAsia="宋体" w:cs="宋体"/>
                <w:i w:val="0"/>
                <w:iCs w:val="0"/>
                <w:color w:val="auto"/>
                <w:kern w:val="0"/>
                <w:sz w:val="24"/>
                <w:szCs w:val="24"/>
                <w:highlight w:val="none"/>
                <w:u w:val="none"/>
                <w:lang w:val="en-US" w:eastAsia="zh-CN" w:bidi="ar"/>
              </w:rPr>
              <w:t>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（1）方案设计合理、架构完整、层次清晰，完全符合采购人需求得 </w:t>
            </w:r>
            <w:r>
              <w:rPr>
                <w:rFonts w:hint="eastAsia"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w:t>
            </w:r>
            <w:r>
              <w:rPr>
                <w:rFonts w:hint="eastAsia"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（2）方案设计基本合理、架构较完整、层次较清晰，基本符合采购人需求得 </w:t>
            </w:r>
            <w:r>
              <w:rPr>
                <w:rFonts w:hint="eastAsia"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w:t>
            </w:r>
            <w:r>
              <w:rPr>
                <w:rFonts w:hint="eastAsia"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（3）方案设计不合理、架构不完整、层次不清晰，部分符合采购人需求得 1～</w:t>
            </w:r>
            <w:r>
              <w:rPr>
                <w:rFonts w:hint="eastAsia"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项目管理</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1、项目实施方案：应包括进度计划、人员配备、货源组织、保障措施等。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（1）方案内容完整、合理可行，完全符合采购人需求得 4～5 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（2）方案内容基本完整、可行性一般，基本符合采购人需求得 2～4 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eastAsia"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 xml:space="preserve">）方案内容不完整、可行性低，部分符合采购人需求得 1～2 分；未提供不得分。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2、人员培训方案：应包括培训内容、培训形式、培训时间、考核计划等。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（1）方案内容完整、合理可行，完全符合采购人需求得 4～5 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（2）方案内容基本完整、可行性一般，基本符合采购人需求得 2～4 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eastAsia"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 xml:space="preserve">）方案内容不完整、可行性低，部分符合采购人需求得 1～2 分；未提供不得分。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3、售后服务方案：应包括服务内容、服务形式、响应时间、服务承诺等。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（1）方案内容完整、合理可行，完全符合采购人需求得 4～5 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（2）方案内容基本完整、可行性一般，基本符合采购人需求得 2～4 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eastAsia"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）方案内容不完整、可行性低，部分符合采购人需求得 1～2 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4、应急方案：应包括预防机制、应急响应、后期处置、保障措施等。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（1）方案内容完整、合理可行，完全符合采购人需求得 4～5 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（2）方案内容基本完整、可行性一般，基本符合采购人需求得 2～4 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eastAsia"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）方案内容不完整、可行性低，部分符合采购人需求得 1～2 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业绩</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投标人</w:t>
            </w:r>
            <w:r>
              <w:rPr>
                <w:rFonts w:hint="eastAsia" w:cs="宋体"/>
                <w:i w:val="0"/>
                <w:iCs w:val="0"/>
                <w:color w:val="auto"/>
                <w:kern w:val="0"/>
                <w:sz w:val="24"/>
                <w:szCs w:val="24"/>
                <w:highlight w:val="none"/>
                <w:u w:val="none"/>
                <w:lang w:val="en-US" w:eastAsia="zh-CN" w:bidi="ar"/>
              </w:rPr>
              <w:t>或投标产品生产厂家</w:t>
            </w:r>
            <w:r>
              <w:rPr>
                <w:rFonts w:hint="eastAsia" w:ascii="宋体" w:hAnsi="宋体" w:eastAsia="宋体" w:cs="宋体"/>
                <w:i w:val="0"/>
                <w:iCs w:val="0"/>
                <w:color w:val="auto"/>
                <w:kern w:val="0"/>
                <w:sz w:val="24"/>
                <w:szCs w:val="24"/>
                <w:highlight w:val="none"/>
                <w:u w:val="none"/>
                <w:lang w:val="en-US" w:eastAsia="zh-CN" w:bidi="ar"/>
              </w:rPr>
              <w:t>提供2019年1月1日至今类似业绩证明文件（以采购合同签订时间为准），每提供1份得1分，最高得5分，不提供不得分。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资质证明</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5</w:t>
            </w:r>
          </w:p>
        </w:tc>
        <w:tc>
          <w:tcPr>
            <w:tcW w:w="3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投标人提供所投产品的合法来源渠道和售后服务承诺函，</w:t>
            </w:r>
            <w:r>
              <w:rPr>
                <w:rFonts w:hint="eastAsia" w:ascii="宋体" w:hAnsi="宋体" w:eastAsia="宋体" w:cs="宋体"/>
                <w:i w:val="0"/>
                <w:iCs w:val="0"/>
                <w:color w:val="auto"/>
                <w:kern w:val="0"/>
                <w:sz w:val="24"/>
                <w:szCs w:val="24"/>
                <w:highlight w:val="none"/>
                <w:u w:val="none"/>
                <w:lang w:val="en-US" w:eastAsia="zh-CN" w:bidi="ar"/>
              </w:rPr>
              <w:t>每提供1份得</w:t>
            </w:r>
            <w:r>
              <w:rPr>
                <w:rFonts w:hint="eastAsia" w:cs="宋体"/>
                <w:i w:val="0"/>
                <w:iCs w:val="0"/>
                <w:color w:val="auto"/>
                <w:kern w:val="0"/>
                <w:sz w:val="24"/>
                <w:szCs w:val="24"/>
                <w:highlight w:val="none"/>
                <w:u w:val="none"/>
                <w:lang w:val="en-US" w:eastAsia="zh-CN" w:bidi="ar"/>
              </w:rPr>
              <w:t>0.5</w:t>
            </w:r>
            <w:r>
              <w:rPr>
                <w:rFonts w:hint="eastAsia" w:ascii="宋体" w:hAnsi="宋体" w:eastAsia="宋体" w:cs="宋体"/>
                <w:i w:val="0"/>
                <w:iCs w:val="0"/>
                <w:color w:val="auto"/>
                <w:kern w:val="0"/>
                <w:sz w:val="24"/>
                <w:szCs w:val="24"/>
                <w:highlight w:val="none"/>
                <w:u w:val="none"/>
                <w:lang w:val="en-US" w:eastAsia="zh-CN" w:bidi="ar"/>
              </w:rPr>
              <w:t>分，最高得5分，不提供不得分。</w:t>
            </w:r>
          </w:p>
        </w:tc>
      </w:tr>
    </w:tbl>
    <w:p>
      <w:pPr>
        <w:pStyle w:val="15"/>
        <w:rPr>
          <w:highlight w:val="none"/>
        </w:rPr>
      </w:pPr>
    </w:p>
    <w:p>
      <w:pPr>
        <w:spacing w:line="360" w:lineRule="auto"/>
        <w:rPr>
          <w:rFonts w:ascii="宋体" w:hAnsi="宋体" w:cs="宋体"/>
          <w:b/>
          <w:bCs/>
          <w:color w:val="000000" w:themeColor="text1"/>
          <w:sz w:val="24"/>
          <w:highlight w:val="none"/>
          <w14:textFill>
            <w14:solidFill>
              <w14:schemeClr w14:val="tx1"/>
            </w14:solidFill>
          </w14:textFill>
        </w:rPr>
      </w:pPr>
    </w:p>
    <w:p>
      <w:pPr>
        <w:rPr>
          <w:highlight w:val="none"/>
        </w:rPr>
      </w:pPr>
    </w:p>
    <w:p>
      <w:pPr>
        <w:pStyle w:val="56"/>
        <w:rPr>
          <w:highlight w:val="none"/>
        </w:rPr>
      </w:pPr>
    </w:p>
    <w:p>
      <w:pPr>
        <w:rPr>
          <w:highlight w:val="none"/>
        </w:rPr>
      </w:pPr>
      <w:bookmarkStart w:id="12" w:name="_Toc30420"/>
      <w:r>
        <w:rPr>
          <w:highlight w:val="none"/>
        </w:rPr>
        <w:br w:type="page"/>
      </w: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pStyle w:val="29"/>
        <w:rPr>
          <w:highlight w:val="none"/>
        </w:rPr>
      </w:pPr>
    </w:p>
    <w:p>
      <w:pPr>
        <w:rPr>
          <w:highlight w:val="none"/>
        </w:rPr>
      </w:pPr>
    </w:p>
    <w:p>
      <w:pPr>
        <w:rPr>
          <w:highlight w:val="none"/>
        </w:rPr>
      </w:pPr>
    </w:p>
    <w:p>
      <w:pPr>
        <w:rPr>
          <w:highlight w:val="none"/>
        </w:rPr>
      </w:pPr>
    </w:p>
    <w:p>
      <w:pPr>
        <w:pStyle w:val="5"/>
        <w:jc w:val="center"/>
        <w:rPr>
          <w:highlight w:val="none"/>
        </w:rPr>
      </w:pPr>
      <w:r>
        <w:rPr>
          <w:rFonts w:hint="eastAsia"/>
          <w:highlight w:val="none"/>
        </w:rPr>
        <w:t>第六部分 投标文件格式</w:t>
      </w:r>
      <w:bookmarkEnd w:id="12"/>
      <w:bookmarkStart w:id="13" w:name="_Toc60421812"/>
    </w:p>
    <w:p>
      <w:pPr>
        <w:rPr>
          <w:rFonts w:ascii="宋体" w:hAnsi="宋体" w:cs="宋体"/>
          <w:b/>
          <w:bCs/>
          <w:kern w:val="0"/>
          <w:sz w:val="48"/>
          <w:szCs w:val="48"/>
          <w:highlight w:val="none"/>
        </w:rPr>
      </w:pPr>
      <w:r>
        <w:rPr>
          <w:rFonts w:ascii="宋体" w:hAnsi="宋体" w:cs="宋体"/>
          <w:b/>
          <w:bCs/>
          <w:kern w:val="0"/>
          <w:sz w:val="48"/>
          <w:szCs w:val="48"/>
          <w:highlight w:val="none"/>
        </w:rPr>
        <w:br w:type="page"/>
      </w:r>
    </w:p>
    <w:p>
      <w:pPr>
        <w:spacing w:line="360" w:lineRule="auto"/>
        <w:jc w:val="center"/>
        <w:rPr>
          <w:rFonts w:ascii="宋体" w:hAnsi="宋体" w:cs="宋体"/>
          <w:b/>
          <w:bCs/>
          <w:kern w:val="0"/>
          <w:sz w:val="48"/>
          <w:szCs w:val="48"/>
          <w:highlight w:val="none"/>
          <w:u w:val="single"/>
        </w:rPr>
      </w:pPr>
    </w:p>
    <w:p>
      <w:pPr>
        <w:spacing w:line="360" w:lineRule="auto"/>
        <w:jc w:val="center"/>
        <w:rPr>
          <w:rFonts w:hint="eastAsia" w:ascii="宋体" w:hAnsi="宋体" w:cs="宋体"/>
          <w:b/>
          <w:bCs/>
          <w:kern w:val="0"/>
          <w:sz w:val="48"/>
          <w:szCs w:val="48"/>
          <w:highlight w:val="none"/>
          <w:lang w:eastAsia="zh-CN"/>
        </w:rPr>
      </w:pPr>
      <w:r>
        <w:rPr>
          <w:rFonts w:hint="eastAsia" w:cs="宋体"/>
          <w:b/>
          <w:bCs/>
          <w:kern w:val="0"/>
          <w:sz w:val="48"/>
          <w:szCs w:val="48"/>
          <w:highlight w:val="none"/>
          <w:lang w:eastAsia="zh-CN"/>
        </w:rPr>
        <w:t>商洛市妇幼保健院网络安全等级保护建设项目</w:t>
      </w:r>
    </w:p>
    <w:p>
      <w:pPr>
        <w:spacing w:line="360" w:lineRule="auto"/>
        <w:jc w:val="center"/>
        <w:rPr>
          <w:rFonts w:ascii="宋体" w:hAnsi="宋体" w:cs="宋体"/>
          <w:b/>
          <w:bCs/>
          <w:kern w:val="0"/>
          <w:sz w:val="44"/>
          <w:szCs w:val="44"/>
          <w:highlight w:val="none"/>
        </w:rPr>
      </w:pPr>
    </w:p>
    <w:p>
      <w:pPr>
        <w:spacing w:line="360" w:lineRule="auto"/>
        <w:jc w:val="center"/>
        <w:rPr>
          <w:rFonts w:hint="eastAsia" w:ascii="宋体" w:hAnsi="宋体" w:eastAsia="宋体" w:cs="宋体"/>
          <w:b/>
          <w:sz w:val="72"/>
          <w:szCs w:val="72"/>
          <w:highlight w:val="none"/>
          <w:lang w:eastAsia="zh-CN"/>
        </w:rPr>
      </w:pPr>
      <w:r>
        <w:rPr>
          <w:rFonts w:hint="eastAsia" w:ascii="宋体" w:hAnsi="宋体" w:cs="宋体"/>
          <w:b/>
          <w:bCs/>
          <w:kern w:val="0"/>
          <w:sz w:val="44"/>
          <w:szCs w:val="44"/>
          <w:highlight w:val="none"/>
        </w:rPr>
        <w:t>项目编号：</w:t>
      </w:r>
      <w:r>
        <w:rPr>
          <w:rFonts w:hint="eastAsia" w:cs="宋体"/>
          <w:b/>
          <w:bCs/>
          <w:kern w:val="0"/>
          <w:sz w:val="44"/>
          <w:szCs w:val="44"/>
          <w:highlight w:val="none"/>
          <w:lang w:eastAsia="zh-CN"/>
        </w:rPr>
        <w:t>DXZB-2022-0636</w:t>
      </w:r>
    </w:p>
    <w:p>
      <w:pPr>
        <w:rPr>
          <w:highlight w:val="none"/>
        </w:rPr>
      </w:pPr>
    </w:p>
    <w:p>
      <w:pPr>
        <w:jc w:val="center"/>
        <w:rPr>
          <w:rFonts w:ascii="宋体" w:hAnsi="宋体" w:cs="宋体"/>
          <w:b/>
          <w:sz w:val="72"/>
          <w:szCs w:val="72"/>
          <w:highlight w:val="none"/>
        </w:rPr>
      </w:pPr>
    </w:p>
    <w:p>
      <w:pPr>
        <w:jc w:val="center"/>
        <w:rPr>
          <w:rFonts w:ascii="宋体" w:hAnsi="宋体" w:cs="宋体"/>
          <w:b/>
          <w:sz w:val="72"/>
          <w:szCs w:val="72"/>
          <w:highlight w:val="none"/>
        </w:rPr>
      </w:pPr>
      <w:r>
        <w:rPr>
          <w:rFonts w:hint="eastAsia" w:ascii="宋体" w:hAnsi="宋体" w:cs="宋体"/>
          <w:b/>
          <w:sz w:val="72"/>
          <w:szCs w:val="72"/>
          <w:highlight w:val="none"/>
        </w:rPr>
        <w:t>投  标  文  件</w:t>
      </w:r>
    </w:p>
    <w:p>
      <w:pPr>
        <w:rPr>
          <w:rFonts w:ascii="宋体" w:hAnsi="宋体" w:cs="宋体"/>
          <w:b/>
          <w:sz w:val="30"/>
          <w:szCs w:val="30"/>
          <w:highlight w:val="none"/>
        </w:rPr>
      </w:pPr>
    </w:p>
    <w:p>
      <w:pPr>
        <w:rPr>
          <w:rFonts w:ascii="宋体" w:hAnsi="宋体" w:cs="宋体"/>
          <w:b/>
          <w:sz w:val="30"/>
          <w:szCs w:val="30"/>
          <w:highlight w:val="none"/>
        </w:rPr>
      </w:pPr>
    </w:p>
    <w:p>
      <w:pPr>
        <w:rPr>
          <w:rFonts w:ascii="宋体" w:hAnsi="宋体" w:cs="宋体"/>
          <w:b/>
          <w:sz w:val="30"/>
          <w:szCs w:val="30"/>
          <w:highlight w:val="none"/>
        </w:rPr>
      </w:pPr>
    </w:p>
    <w:p>
      <w:pPr>
        <w:rPr>
          <w:rFonts w:ascii="宋体" w:hAnsi="宋体" w:cs="宋体"/>
          <w:b/>
          <w:sz w:val="30"/>
          <w:szCs w:val="30"/>
          <w:highlight w:val="none"/>
        </w:rPr>
      </w:pPr>
    </w:p>
    <w:p>
      <w:pPr>
        <w:rPr>
          <w:highlight w:val="none"/>
        </w:rPr>
      </w:pPr>
    </w:p>
    <w:p>
      <w:pPr>
        <w:ind w:firstLine="720"/>
        <w:rPr>
          <w:rFonts w:ascii="宋体" w:hAnsi="宋体" w:cs="宋体"/>
          <w:b/>
          <w:sz w:val="36"/>
          <w:szCs w:val="36"/>
          <w:highlight w:val="none"/>
        </w:rPr>
      </w:pPr>
    </w:p>
    <w:p>
      <w:pPr>
        <w:spacing w:line="480" w:lineRule="auto"/>
        <w:ind w:firstLine="964" w:firstLineChars="300"/>
        <w:rPr>
          <w:rFonts w:ascii="宋体" w:hAnsi="宋体"/>
          <w:b/>
          <w:bCs/>
          <w:sz w:val="32"/>
          <w:szCs w:val="32"/>
          <w:highlight w:val="none"/>
          <w:u w:val="single"/>
        </w:rPr>
      </w:pPr>
      <w:r>
        <w:rPr>
          <w:rFonts w:hint="eastAsia" w:ascii="宋体" w:hAnsi="宋体"/>
          <w:b/>
          <w:sz w:val="32"/>
          <w:szCs w:val="32"/>
          <w:highlight w:val="none"/>
        </w:rPr>
        <w:t>投 标 单 位：</w:t>
      </w:r>
      <w:r>
        <w:rPr>
          <w:rFonts w:hint="eastAsia" w:ascii="宋体" w:hAnsi="宋体"/>
          <w:b/>
          <w:sz w:val="32"/>
          <w:szCs w:val="32"/>
          <w:highlight w:val="none"/>
          <w:u w:val="single"/>
        </w:rPr>
        <w:t xml:space="preserve">                          </w:t>
      </w:r>
      <w:r>
        <w:rPr>
          <w:rFonts w:hint="eastAsia" w:ascii="宋体" w:hAnsi="宋体"/>
          <w:b/>
          <w:sz w:val="32"/>
          <w:szCs w:val="32"/>
          <w:highlight w:val="none"/>
        </w:rPr>
        <w:t xml:space="preserve">                       </w:t>
      </w:r>
    </w:p>
    <w:p>
      <w:pPr>
        <w:spacing w:line="480" w:lineRule="auto"/>
        <w:ind w:firstLine="964" w:firstLineChars="300"/>
        <w:rPr>
          <w:rFonts w:ascii="宋体" w:hAnsi="宋体"/>
          <w:b/>
          <w:bCs/>
          <w:sz w:val="32"/>
          <w:szCs w:val="32"/>
          <w:highlight w:val="none"/>
          <w:u w:val="single"/>
        </w:rPr>
      </w:pPr>
      <w:r>
        <w:rPr>
          <w:rFonts w:hint="eastAsia" w:ascii="宋体" w:hAnsi="宋体"/>
          <w:b/>
          <w:sz w:val="32"/>
          <w:szCs w:val="32"/>
          <w:highlight w:val="none"/>
        </w:rPr>
        <w:t>采购代理机构：</w:t>
      </w:r>
      <w:r>
        <w:rPr>
          <w:rFonts w:hint="eastAsia" w:ascii="宋体" w:hAnsi="宋体"/>
          <w:b/>
          <w:sz w:val="32"/>
          <w:szCs w:val="32"/>
          <w:highlight w:val="none"/>
          <w:u w:val="single"/>
        </w:rPr>
        <w:t xml:space="preserve">                        </w:t>
      </w:r>
    </w:p>
    <w:p>
      <w:pPr>
        <w:spacing w:line="480" w:lineRule="auto"/>
        <w:ind w:firstLine="964" w:firstLineChars="300"/>
        <w:rPr>
          <w:rFonts w:ascii="宋体" w:hAnsi="宋体" w:cs="宋体"/>
          <w:b/>
          <w:bCs/>
          <w:sz w:val="28"/>
          <w:szCs w:val="28"/>
          <w:highlight w:val="none"/>
        </w:rPr>
      </w:pPr>
      <w:r>
        <w:rPr>
          <w:rFonts w:hint="eastAsia" w:ascii="宋体" w:hAnsi="宋体"/>
          <w:b/>
          <w:sz w:val="32"/>
          <w:szCs w:val="32"/>
          <w:highlight w:val="none"/>
        </w:rPr>
        <w:t>时        间：</w:t>
      </w:r>
      <w:r>
        <w:rPr>
          <w:rFonts w:hint="eastAsia" w:ascii="宋体" w:hAnsi="宋体"/>
          <w:b/>
          <w:sz w:val="32"/>
          <w:szCs w:val="32"/>
          <w:highlight w:val="none"/>
          <w:u w:val="single"/>
        </w:rPr>
        <w:t xml:space="preserve">  </w:t>
      </w:r>
      <w:r>
        <w:rPr>
          <w:rFonts w:hint="eastAsia" w:ascii="宋体" w:hAnsi="宋体"/>
          <w:b/>
          <w:sz w:val="28"/>
          <w:szCs w:val="28"/>
          <w:highlight w:val="none"/>
          <w:u w:val="single"/>
        </w:rPr>
        <w:t xml:space="preserve">                         </w:t>
      </w:r>
    </w:p>
    <w:p>
      <w:pPr>
        <w:rPr>
          <w:rFonts w:hint="eastAsia" w:ascii="宋体" w:hAnsi="宋体" w:cs="宋体"/>
          <w:b/>
          <w:bCs/>
          <w:sz w:val="28"/>
          <w:szCs w:val="28"/>
          <w:highlight w:val="none"/>
        </w:rPr>
      </w:pPr>
      <w:r>
        <w:rPr>
          <w:rFonts w:hint="eastAsia" w:ascii="宋体" w:hAnsi="宋体" w:cs="宋体"/>
          <w:b/>
          <w:bCs/>
          <w:sz w:val="28"/>
          <w:szCs w:val="28"/>
          <w:highlight w:val="none"/>
        </w:rPr>
        <w:br w:type="page"/>
      </w:r>
    </w:p>
    <w:p>
      <w:pPr>
        <w:pStyle w:val="66"/>
        <w:tabs>
          <w:tab w:val="left" w:pos="1660"/>
        </w:tabs>
        <w:spacing w:before="160" w:line="360" w:lineRule="auto"/>
        <w:ind w:firstLine="0" w:firstLineChars="0"/>
        <w:rPr>
          <w:rFonts w:ascii="宋体" w:hAnsi="宋体" w:cs="宋体"/>
          <w:b/>
          <w:bCs/>
          <w:sz w:val="28"/>
          <w:szCs w:val="28"/>
          <w:highlight w:val="none"/>
        </w:rPr>
      </w:pPr>
      <w:r>
        <w:rPr>
          <w:rFonts w:hint="eastAsia" w:ascii="宋体" w:hAnsi="宋体" w:cs="宋体"/>
          <w:b/>
          <w:bCs/>
          <w:sz w:val="28"/>
          <w:szCs w:val="28"/>
          <w:highlight w:val="none"/>
        </w:rPr>
        <w:t>投标报价表、投标文件信封格式</w:t>
      </w:r>
    </w:p>
    <w:p>
      <w:pPr>
        <w:spacing w:after="100" w:line="360" w:lineRule="auto"/>
        <w:ind w:firstLine="480" w:firstLineChars="200"/>
        <w:rPr>
          <w:rFonts w:ascii="宋体" w:hAnsi="宋体" w:cs="宋体"/>
          <w:sz w:val="24"/>
          <w:highlight w:val="none"/>
        </w:rPr>
      </w:pPr>
      <w:r>
        <w:rPr>
          <w:rFonts w:hint="eastAsia" w:ascii="宋体" w:hAnsi="宋体" w:cs="宋体"/>
          <w:sz w:val="24"/>
          <w:highlight w:val="none"/>
        </w:rPr>
        <w:t>请按以下内容填写投标报价表、投标文件信封抬头，并将黑框剪下，贴在投标报价表、投标文件信封外面，除非特殊情况，否则请不要更改信封格式：</w:t>
      </w:r>
    </w:p>
    <w:p>
      <w:pPr>
        <w:pStyle w:val="16"/>
        <w:ind w:firstLine="420"/>
        <w:rPr>
          <w:highlight w:val="none"/>
        </w:rPr>
      </w:pPr>
    </w:p>
    <w:tbl>
      <w:tblPr>
        <w:tblStyle w:val="30"/>
        <w:tblW w:w="8700" w:type="dxa"/>
        <w:tblInd w:w="108" w:type="dxa"/>
        <w:tblLayout w:type="fixed"/>
        <w:tblCellMar>
          <w:top w:w="0" w:type="dxa"/>
          <w:left w:w="108" w:type="dxa"/>
          <w:bottom w:w="0" w:type="dxa"/>
          <w:right w:w="108" w:type="dxa"/>
        </w:tblCellMar>
      </w:tblPr>
      <w:tblGrid>
        <w:gridCol w:w="4349"/>
        <w:gridCol w:w="4351"/>
      </w:tblGrid>
      <w:tr>
        <w:tblPrEx>
          <w:tblCellMar>
            <w:top w:w="0" w:type="dxa"/>
            <w:left w:w="108" w:type="dxa"/>
            <w:bottom w:w="0" w:type="dxa"/>
            <w:right w:w="108" w:type="dxa"/>
          </w:tblCellMar>
        </w:tblPrEx>
        <w:trPr>
          <w:cantSplit/>
          <w:trHeight w:val="841" w:hRule="atLeast"/>
        </w:trPr>
        <w:tc>
          <w:tcPr>
            <w:tcW w:w="8700" w:type="dxa"/>
            <w:gridSpan w:val="2"/>
            <w:tcBorders>
              <w:top w:val="single" w:color="000000" w:sz="4" w:space="0"/>
              <w:left w:val="single" w:color="000000" w:sz="4" w:space="0"/>
              <w:right w:val="single" w:color="000000" w:sz="4" w:space="0"/>
            </w:tcBorders>
            <w:vAlign w:val="center"/>
          </w:tcPr>
          <w:p>
            <w:pPr>
              <w:rPr>
                <w:rFonts w:ascii="宋体" w:hAnsi="宋体" w:cs="宋体"/>
                <w:b/>
                <w:kern w:val="1"/>
                <w:sz w:val="32"/>
                <w:highlight w:val="none"/>
              </w:rPr>
            </w:pPr>
            <w:r>
              <w:rPr>
                <w:rFonts w:hint="eastAsia" w:ascii="宋体" w:hAnsi="宋体" w:cs="宋体"/>
                <w:b/>
                <w:kern w:val="1"/>
                <w:sz w:val="32"/>
                <w:highlight w:val="none"/>
              </w:rPr>
              <w:t>投标文件                                    正/副本</w:t>
            </w:r>
          </w:p>
        </w:tc>
      </w:tr>
      <w:tr>
        <w:tblPrEx>
          <w:tblCellMar>
            <w:top w:w="0" w:type="dxa"/>
            <w:left w:w="108" w:type="dxa"/>
            <w:bottom w:w="0" w:type="dxa"/>
            <w:right w:w="108" w:type="dxa"/>
          </w:tblCellMar>
        </w:tblPrEx>
        <w:trPr>
          <w:cantSplit/>
          <w:trHeight w:val="724" w:hRule="atLeast"/>
        </w:trPr>
        <w:tc>
          <w:tcPr>
            <w:tcW w:w="8700" w:type="dxa"/>
            <w:gridSpan w:val="2"/>
            <w:tcBorders>
              <w:left w:val="single" w:color="000000" w:sz="4" w:space="0"/>
              <w:right w:val="single" w:color="000000" w:sz="4" w:space="0"/>
            </w:tcBorders>
            <w:vAlign w:val="center"/>
          </w:tcPr>
          <w:p>
            <w:pPr>
              <w:rPr>
                <w:rFonts w:ascii="宋体" w:hAnsi="宋体" w:cs="宋体"/>
                <w:b/>
                <w:kern w:val="1"/>
                <w:sz w:val="28"/>
                <w:highlight w:val="none"/>
              </w:rPr>
            </w:pPr>
            <w:r>
              <w:rPr>
                <w:rFonts w:hint="eastAsia" w:ascii="宋体" w:hAnsi="宋体" w:cs="宋体"/>
                <w:b/>
                <w:kern w:val="1"/>
                <w:sz w:val="28"/>
                <w:highlight w:val="none"/>
              </w:rPr>
              <w:t>致：  陕西德信招标有限公司 </w:t>
            </w: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ind w:firstLine="2640" w:firstLineChars="1100"/>
              <w:jc w:val="right"/>
              <w:rPr>
                <w:rFonts w:ascii="宋体" w:hAnsi="宋体" w:cs="宋体"/>
                <w:kern w:val="1"/>
                <w:sz w:val="24"/>
                <w:highlight w:val="none"/>
              </w:rPr>
            </w:pPr>
            <w:r>
              <w:rPr>
                <w:rFonts w:hint="eastAsia" w:ascii="宋体" w:hAnsi="宋体" w:cs="宋体"/>
                <w:kern w:val="1"/>
                <w:sz w:val="24"/>
                <w:highlight w:val="none"/>
              </w:rPr>
              <w:t>项目名称：</w:t>
            </w:r>
          </w:p>
        </w:tc>
        <w:tc>
          <w:tcPr>
            <w:tcW w:w="4351" w:type="dxa"/>
            <w:tcBorders>
              <w:right w:val="single" w:color="000000" w:sz="4" w:space="0"/>
            </w:tcBorders>
            <w:vAlign w:val="center"/>
          </w:tcPr>
          <w:p>
            <w:pPr>
              <w:rPr>
                <w:rFonts w:ascii="宋体" w:hAnsi="宋体" w:cs="宋体"/>
                <w:b/>
                <w:kern w:val="1"/>
                <w:sz w:val="20"/>
                <w:highlight w:val="none"/>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pStyle w:val="15"/>
              <w:spacing w:line="240" w:lineRule="auto"/>
              <w:jc w:val="right"/>
              <w:rPr>
                <w:highlight w:val="none"/>
              </w:rPr>
            </w:pPr>
            <w:r>
              <w:rPr>
                <w:rFonts w:hint="eastAsia" w:ascii="宋体" w:hAnsi="宋体" w:cs="宋体"/>
                <w:color w:val="auto"/>
                <w:kern w:val="1"/>
                <w:highlight w:val="none"/>
              </w:rPr>
              <w:t>项目编号：</w:t>
            </w:r>
          </w:p>
        </w:tc>
        <w:tc>
          <w:tcPr>
            <w:tcW w:w="4351" w:type="dxa"/>
            <w:tcBorders>
              <w:right w:val="single" w:color="000000" w:sz="4" w:space="0"/>
            </w:tcBorders>
            <w:vAlign w:val="center"/>
          </w:tcPr>
          <w:p>
            <w:pPr>
              <w:rPr>
                <w:rFonts w:ascii="宋体" w:hAnsi="宋体" w:cs="宋体"/>
                <w:b/>
                <w:kern w:val="1"/>
                <w:sz w:val="24"/>
                <w:highlight w:val="none"/>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ind w:firstLine="2640" w:firstLineChars="1100"/>
              <w:jc w:val="right"/>
              <w:rPr>
                <w:rFonts w:ascii="宋体" w:hAnsi="宋体" w:cs="宋体"/>
                <w:kern w:val="1"/>
                <w:sz w:val="24"/>
                <w:highlight w:val="none"/>
              </w:rPr>
            </w:pPr>
            <w:r>
              <w:rPr>
                <w:rFonts w:hint="eastAsia" w:ascii="宋体" w:hAnsi="宋体" w:cs="宋体"/>
                <w:kern w:val="1"/>
                <w:sz w:val="24"/>
                <w:highlight w:val="none"/>
              </w:rPr>
              <w:t>开标时间：</w:t>
            </w:r>
          </w:p>
        </w:tc>
        <w:tc>
          <w:tcPr>
            <w:tcW w:w="4351" w:type="dxa"/>
            <w:tcBorders>
              <w:right w:val="single" w:color="000000" w:sz="4" w:space="0"/>
            </w:tcBorders>
            <w:vAlign w:val="center"/>
          </w:tcPr>
          <w:p>
            <w:pPr>
              <w:rPr>
                <w:rFonts w:ascii="宋体" w:hAnsi="宋体" w:cs="宋体"/>
                <w:b/>
                <w:kern w:val="1"/>
                <w:sz w:val="24"/>
                <w:highlight w:val="none"/>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bottom w:val="single" w:color="000000" w:sz="4" w:space="0"/>
            </w:tcBorders>
            <w:vAlign w:val="center"/>
          </w:tcPr>
          <w:p>
            <w:pPr>
              <w:ind w:firstLine="2640" w:firstLineChars="1100"/>
              <w:jc w:val="right"/>
              <w:rPr>
                <w:rFonts w:ascii="宋体" w:hAnsi="宋体" w:cs="宋体"/>
                <w:kern w:val="1"/>
                <w:sz w:val="24"/>
                <w:highlight w:val="none"/>
              </w:rPr>
            </w:pPr>
            <w:r>
              <w:rPr>
                <w:rFonts w:hint="eastAsia" w:ascii="宋体" w:hAnsi="宋体" w:cs="宋体"/>
                <w:kern w:val="1"/>
                <w:sz w:val="24"/>
                <w:highlight w:val="none"/>
              </w:rPr>
              <w:t>投标人名称：</w:t>
            </w:r>
          </w:p>
        </w:tc>
        <w:tc>
          <w:tcPr>
            <w:tcW w:w="4351" w:type="dxa"/>
            <w:tcBorders>
              <w:bottom w:val="single" w:color="000000" w:sz="4" w:space="0"/>
              <w:right w:val="single" w:color="000000" w:sz="4" w:space="0"/>
            </w:tcBorders>
            <w:vAlign w:val="center"/>
          </w:tcPr>
          <w:p>
            <w:pPr>
              <w:rPr>
                <w:rFonts w:ascii="宋体" w:hAnsi="宋体" w:cs="宋体"/>
                <w:kern w:val="1"/>
                <w:sz w:val="24"/>
                <w:highlight w:val="none"/>
              </w:rPr>
            </w:pPr>
            <w:r>
              <w:rPr>
                <w:rFonts w:hint="eastAsia" w:ascii="宋体" w:hAnsi="宋体" w:cs="宋体"/>
                <w:kern w:val="1"/>
                <w:sz w:val="24"/>
                <w:highlight w:val="none"/>
              </w:rPr>
              <w:t>（盖章）</w:t>
            </w:r>
          </w:p>
        </w:tc>
      </w:tr>
    </w:tbl>
    <w:p>
      <w:pPr>
        <w:spacing w:after="100" w:line="360" w:lineRule="auto"/>
        <w:rPr>
          <w:rFonts w:ascii="宋体" w:hAnsi="宋体" w:cs="宋体"/>
          <w:highlight w:val="none"/>
        </w:rPr>
      </w:pPr>
    </w:p>
    <w:p>
      <w:pPr>
        <w:spacing w:after="100" w:line="360" w:lineRule="auto"/>
        <w:rPr>
          <w:rFonts w:ascii="宋体" w:hAnsi="宋体" w:cs="宋体"/>
          <w:highlight w:val="none"/>
        </w:rPr>
      </w:pPr>
    </w:p>
    <w:tbl>
      <w:tblPr>
        <w:tblStyle w:val="30"/>
        <w:tblW w:w="8720" w:type="dxa"/>
        <w:tblInd w:w="108" w:type="dxa"/>
        <w:tblLayout w:type="fixed"/>
        <w:tblCellMar>
          <w:top w:w="0" w:type="dxa"/>
          <w:left w:w="108" w:type="dxa"/>
          <w:bottom w:w="0" w:type="dxa"/>
          <w:right w:w="108" w:type="dxa"/>
        </w:tblCellMar>
      </w:tblPr>
      <w:tblGrid>
        <w:gridCol w:w="4359"/>
        <w:gridCol w:w="4361"/>
      </w:tblGrid>
      <w:tr>
        <w:tblPrEx>
          <w:tblCellMar>
            <w:top w:w="0" w:type="dxa"/>
            <w:left w:w="108" w:type="dxa"/>
            <w:bottom w:w="0" w:type="dxa"/>
            <w:right w:w="108" w:type="dxa"/>
          </w:tblCellMar>
        </w:tblPrEx>
        <w:trPr>
          <w:cantSplit/>
          <w:trHeight w:val="954" w:hRule="atLeast"/>
        </w:trPr>
        <w:tc>
          <w:tcPr>
            <w:tcW w:w="8720" w:type="dxa"/>
            <w:gridSpan w:val="2"/>
            <w:tcBorders>
              <w:top w:val="single" w:color="000000" w:sz="4" w:space="0"/>
              <w:left w:val="single" w:color="000000" w:sz="4" w:space="0"/>
              <w:right w:val="single" w:color="000000" w:sz="4" w:space="0"/>
            </w:tcBorders>
            <w:vAlign w:val="center"/>
          </w:tcPr>
          <w:p>
            <w:pPr>
              <w:rPr>
                <w:rFonts w:ascii="宋体" w:hAnsi="宋体" w:cs="宋体"/>
                <w:b/>
                <w:kern w:val="1"/>
                <w:sz w:val="32"/>
                <w:szCs w:val="32"/>
                <w:highlight w:val="none"/>
              </w:rPr>
            </w:pPr>
            <w:r>
              <w:rPr>
                <w:rFonts w:hint="eastAsia" w:ascii="宋体" w:hAnsi="宋体" w:cs="宋体"/>
                <w:b/>
                <w:kern w:val="1"/>
                <w:sz w:val="32"/>
                <w:szCs w:val="32"/>
                <w:highlight w:val="none"/>
              </w:rPr>
              <w:t>投标报价表、投标保证金付款凭证和投标文件电子版U盘</w:t>
            </w:r>
          </w:p>
        </w:tc>
      </w:tr>
      <w:tr>
        <w:tblPrEx>
          <w:tblCellMar>
            <w:top w:w="0" w:type="dxa"/>
            <w:left w:w="108" w:type="dxa"/>
            <w:bottom w:w="0" w:type="dxa"/>
            <w:right w:w="108" w:type="dxa"/>
          </w:tblCellMar>
        </w:tblPrEx>
        <w:trPr>
          <w:cantSplit/>
          <w:trHeight w:val="814" w:hRule="atLeast"/>
        </w:trPr>
        <w:tc>
          <w:tcPr>
            <w:tcW w:w="8720" w:type="dxa"/>
            <w:gridSpan w:val="2"/>
            <w:tcBorders>
              <w:left w:val="single" w:color="000000" w:sz="4" w:space="0"/>
              <w:right w:val="single" w:color="000000" w:sz="4" w:space="0"/>
            </w:tcBorders>
            <w:vAlign w:val="center"/>
          </w:tcPr>
          <w:p>
            <w:pPr>
              <w:rPr>
                <w:rFonts w:ascii="宋体" w:hAnsi="宋体" w:cs="宋体"/>
                <w:b/>
                <w:kern w:val="1"/>
                <w:sz w:val="28"/>
                <w:highlight w:val="none"/>
              </w:rPr>
            </w:pPr>
            <w:r>
              <w:rPr>
                <w:rFonts w:hint="eastAsia" w:ascii="宋体" w:hAnsi="宋体" w:cs="宋体"/>
                <w:b/>
                <w:kern w:val="1"/>
                <w:sz w:val="28"/>
                <w:highlight w:val="none"/>
              </w:rPr>
              <w:t>致：  陕西德信招标有限公司 </w:t>
            </w: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ind w:firstLine="2640" w:firstLineChars="1100"/>
              <w:jc w:val="right"/>
              <w:rPr>
                <w:rFonts w:ascii="宋体" w:hAnsi="宋体" w:cs="宋体"/>
                <w:b/>
                <w:kern w:val="1"/>
                <w:sz w:val="20"/>
                <w:highlight w:val="none"/>
              </w:rPr>
            </w:pPr>
            <w:r>
              <w:rPr>
                <w:rFonts w:hint="eastAsia" w:ascii="宋体" w:hAnsi="宋体" w:cs="宋体"/>
                <w:kern w:val="1"/>
                <w:sz w:val="24"/>
                <w:highlight w:val="none"/>
              </w:rPr>
              <w:t>项目名称：</w:t>
            </w:r>
          </w:p>
        </w:tc>
        <w:tc>
          <w:tcPr>
            <w:tcW w:w="4361" w:type="dxa"/>
            <w:tcBorders>
              <w:right w:val="single" w:color="000000" w:sz="4" w:space="0"/>
            </w:tcBorders>
            <w:vAlign w:val="center"/>
          </w:tcPr>
          <w:p>
            <w:pPr>
              <w:rPr>
                <w:rFonts w:ascii="宋体" w:hAnsi="宋体" w:cs="宋体"/>
                <w:b/>
                <w:kern w:val="1"/>
                <w:sz w:val="20"/>
                <w:highlight w:val="none"/>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pStyle w:val="15"/>
              <w:spacing w:line="240" w:lineRule="auto"/>
              <w:jc w:val="right"/>
              <w:rPr>
                <w:highlight w:val="none"/>
              </w:rPr>
            </w:pPr>
            <w:r>
              <w:rPr>
                <w:rFonts w:hint="eastAsia" w:ascii="宋体" w:hAnsi="宋体" w:cs="宋体"/>
                <w:color w:val="auto"/>
                <w:kern w:val="1"/>
                <w:highlight w:val="none"/>
              </w:rPr>
              <w:t>项目编号：</w:t>
            </w:r>
          </w:p>
        </w:tc>
        <w:tc>
          <w:tcPr>
            <w:tcW w:w="4361" w:type="dxa"/>
            <w:tcBorders>
              <w:right w:val="single" w:color="000000" w:sz="4" w:space="0"/>
            </w:tcBorders>
            <w:vAlign w:val="center"/>
          </w:tcPr>
          <w:p>
            <w:pPr>
              <w:rPr>
                <w:rFonts w:ascii="宋体" w:hAnsi="宋体" w:cs="宋体"/>
                <w:b/>
                <w:kern w:val="1"/>
                <w:sz w:val="24"/>
                <w:highlight w:val="none"/>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ind w:firstLine="2640" w:firstLineChars="1100"/>
              <w:jc w:val="right"/>
              <w:rPr>
                <w:rFonts w:ascii="宋体" w:hAnsi="宋体" w:cs="宋体"/>
                <w:b/>
                <w:kern w:val="1"/>
                <w:sz w:val="24"/>
                <w:highlight w:val="none"/>
              </w:rPr>
            </w:pPr>
            <w:r>
              <w:rPr>
                <w:rFonts w:hint="eastAsia" w:ascii="宋体" w:hAnsi="宋体" w:cs="宋体"/>
                <w:kern w:val="1"/>
                <w:sz w:val="24"/>
                <w:highlight w:val="none"/>
              </w:rPr>
              <w:t>开标时间：</w:t>
            </w:r>
          </w:p>
        </w:tc>
        <w:tc>
          <w:tcPr>
            <w:tcW w:w="4361" w:type="dxa"/>
            <w:tcBorders>
              <w:right w:val="single" w:color="000000" w:sz="4" w:space="0"/>
            </w:tcBorders>
            <w:vAlign w:val="center"/>
          </w:tcPr>
          <w:p>
            <w:pPr>
              <w:rPr>
                <w:rFonts w:ascii="宋体" w:hAnsi="宋体" w:cs="宋体"/>
                <w:b/>
                <w:kern w:val="1"/>
                <w:sz w:val="24"/>
                <w:highlight w:val="none"/>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bottom w:val="single" w:color="000000" w:sz="4" w:space="0"/>
            </w:tcBorders>
            <w:vAlign w:val="center"/>
          </w:tcPr>
          <w:p>
            <w:pPr>
              <w:ind w:firstLine="2640" w:firstLineChars="1100"/>
              <w:jc w:val="right"/>
              <w:rPr>
                <w:rFonts w:ascii="宋体" w:hAnsi="宋体" w:cs="宋体"/>
                <w:b/>
                <w:kern w:val="1"/>
                <w:sz w:val="24"/>
                <w:highlight w:val="none"/>
              </w:rPr>
            </w:pPr>
            <w:r>
              <w:rPr>
                <w:rFonts w:hint="eastAsia" w:ascii="宋体" w:hAnsi="宋体" w:cs="宋体"/>
                <w:kern w:val="1"/>
                <w:sz w:val="24"/>
                <w:highlight w:val="none"/>
              </w:rPr>
              <w:t>投标人名称：</w:t>
            </w:r>
          </w:p>
        </w:tc>
        <w:tc>
          <w:tcPr>
            <w:tcW w:w="4361" w:type="dxa"/>
            <w:tcBorders>
              <w:bottom w:val="single" w:color="000000" w:sz="4" w:space="0"/>
              <w:right w:val="single" w:color="000000" w:sz="4" w:space="0"/>
            </w:tcBorders>
            <w:vAlign w:val="center"/>
          </w:tcPr>
          <w:p>
            <w:pPr>
              <w:rPr>
                <w:rFonts w:ascii="宋体" w:hAnsi="宋体" w:cs="宋体"/>
                <w:kern w:val="1"/>
                <w:sz w:val="24"/>
                <w:highlight w:val="none"/>
              </w:rPr>
            </w:pPr>
            <w:r>
              <w:rPr>
                <w:rFonts w:hint="eastAsia" w:ascii="宋体" w:hAnsi="宋体" w:cs="宋体"/>
                <w:kern w:val="1"/>
                <w:sz w:val="24"/>
                <w:highlight w:val="none"/>
              </w:rPr>
              <w:t>（盖章）</w:t>
            </w:r>
          </w:p>
        </w:tc>
      </w:tr>
    </w:tbl>
    <w:p>
      <w:pPr>
        <w:spacing w:after="100" w:line="360" w:lineRule="auto"/>
        <w:rPr>
          <w:rFonts w:ascii="宋体" w:hAnsi="宋体" w:cs="宋体"/>
          <w:highlight w:val="none"/>
        </w:rPr>
      </w:pPr>
    </w:p>
    <w:p>
      <w:pPr>
        <w:spacing w:after="100" w:line="360" w:lineRule="auto"/>
        <w:ind w:firstLine="480" w:firstLineChars="200"/>
        <w:rPr>
          <w:rFonts w:ascii="宋体" w:hAnsi="宋体" w:cs="宋体"/>
          <w:sz w:val="24"/>
          <w:highlight w:val="none"/>
        </w:rPr>
      </w:pPr>
      <w:r>
        <w:rPr>
          <w:rFonts w:hint="eastAsia" w:ascii="宋体" w:hAnsi="宋体" w:cs="宋体"/>
          <w:sz w:val="24"/>
          <w:highlight w:val="none"/>
        </w:rPr>
        <w:t>注：投标文件须密封完整，封口处加盖公章。</w:t>
      </w:r>
    </w:p>
    <w:p>
      <w:pPr>
        <w:rPr>
          <w:b/>
          <w:sz w:val="44"/>
          <w:highlight w:val="none"/>
        </w:rPr>
      </w:pPr>
      <w:r>
        <w:rPr>
          <w:b/>
          <w:sz w:val="44"/>
          <w:highlight w:val="none"/>
        </w:rPr>
        <w:br w:type="page"/>
      </w:r>
    </w:p>
    <w:p>
      <w:pPr>
        <w:tabs>
          <w:tab w:val="left" w:pos="883"/>
        </w:tabs>
        <w:spacing w:before="38"/>
        <w:ind w:right="720"/>
        <w:rPr>
          <w:b/>
          <w:sz w:val="44"/>
          <w:highlight w:val="none"/>
        </w:rPr>
      </w:pPr>
    </w:p>
    <w:p>
      <w:pPr>
        <w:tabs>
          <w:tab w:val="left" w:pos="883"/>
        </w:tabs>
        <w:spacing w:before="38"/>
        <w:ind w:right="720"/>
        <w:jc w:val="center"/>
        <w:rPr>
          <w:b/>
          <w:sz w:val="49"/>
          <w:highlight w:val="none"/>
        </w:rPr>
      </w:pPr>
      <w:r>
        <w:rPr>
          <w:b/>
          <w:sz w:val="44"/>
          <w:highlight w:val="none"/>
        </w:rPr>
        <w:t>目</w:t>
      </w:r>
      <w:r>
        <w:rPr>
          <w:b/>
          <w:sz w:val="44"/>
          <w:highlight w:val="none"/>
        </w:rPr>
        <w:tab/>
      </w:r>
      <w:r>
        <w:rPr>
          <w:b/>
          <w:sz w:val="44"/>
          <w:highlight w:val="none"/>
        </w:rPr>
        <w:t>录</w:t>
      </w:r>
    </w:p>
    <w:p>
      <w:pPr>
        <w:pStyle w:val="66"/>
        <w:tabs>
          <w:tab w:val="left" w:pos="1658"/>
        </w:tabs>
        <w:spacing w:line="360" w:lineRule="auto"/>
        <w:ind w:left="420" w:leftChars="200" w:firstLine="0" w:firstLineChars="0"/>
        <w:rPr>
          <w:sz w:val="28"/>
          <w:highlight w:val="none"/>
        </w:rPr>
      </w:pPr>
    </w:p>
    <w:p>
      <w:pPr>
        <w:pStyle w:val="66"/>
        <w:numPr>
          <w:ilvl w:val="0"/>
          <w:numId w:val="9"/>
        </w:numPr>
        <w:spacing w:line="360" w:lineRule="auto"/>
        <w:ind w:firstLineChars="0"/>
        <w:rPr>
          <w:rFonts w:ascii="宋体" w:hAnsi="宋体" w:cs="宋体"/>
          <w:bCs/>
          <w:sz w:val="28"/>
          <w:szCs w:val="28"/>
          <w:highlight w:val="none"/>
        </w:rPr>
      </w:pPr>
      <w:bookmarkStart w:id="14" w:name="_Toc60421813"/>
      <w:r>
        <w:rPr>
          <w:rFonts w:hint="eastAsia" w:ascii="宋体" w:hAnsi="宋体" w:cs="宋体"/>
          <w:bCs/>
          <w:sz w:val="28"/>
          <w:szCs w:val="28"/>
          <w:highlight w:val="none"/>
        </w:rPr>
        <w:t>投标函（格式）；</w:t>
      </w:r>
    </w:p>
    <w:p>
      <w:pPr>
        <w:pStyle w:val="66"/>
        <w:numPr>
          <w:ilvl w:val="0"/>
          <w:numId w:val="9"/>
        </w:numPr>
        <w:spacing w:line="360" w:lineRule="auto"/>
        <w:ind w:firstLineChars="0"/>
        <w:rPr>
          <w:rFonts w:ascii="宋体" w:hAnsi="宋体" w:cs="宋体"/>
          <w:bCs/>
          <w:sz w:val="28"/>
          <w:szCs w:val="28"/>
          <w:highlight w:val="none"/>
        </w:rPr>
      </w:pPr>
      <w:r>
        <w:rPr>
          <w:rFonts w:hint="eastAsia" w:ascii="宋体" w:hAnsi="宋体" w:cs="宋体"/>
          <w:bCs/>
          <w:sz w:val="28"/>
          <w:szCs w:val="28"/>
          <w:highlight w:val="none"/>
        </w:rPr>
        <w:t>投标报价表（格式）；</w:t>
      </w:r>
    </w:p>
    <w:p>
      <w:pPr>
        <w:pStyle w:val="56"/>
        <w:numPr>
          <w:ilvl w:val="0"/>
          <w:numId w:val="9"/>
        </w:numPr>
        <w:spacing w:line="360" w:lineRule="auto"/>
        <w:rPr>
          <w:rFonts w:ascii="宋体" w:hAnsi="宋体" w:cs="宋体"/>
          <w:bCs/>
          <w:sz w:val="28"/>
          <w:szCs w:val="28"/>
          <w:highlight w:val="none"/>
        </w:rPr>
      </w:pPr>
      <w:r>
        <w:rPr>
          <w:rFonts w:hint="eastAsia" w:ascii="宋体" w:hAnsi="宋体" w:cs="宋体"/>
          <w:bCs/>
          <w:sz w:val="28"/>
          <w:szCs w:val="28"/>
          <w:highlight w:val="none"/>
        </w:rPr>
        <w:t>投标报价明细表；</w:t>
      </w:r>
    </w:p>
    <w:p>
      <w:pPr>
        <w:pStyle w:val="66"/>
        <w:numPr>
          <w:ilvl w:val="0"/>
          <w:numId w:val="9"/>
        </w:numPr>
        <w:spacing w:line="360" w:lineRule="auto"/>
        <w:ind w:firstLineChars="0"/>
        <w:rPr>
          <w:rFonts w:ascii="宋体" w:hAnsi="宋体" w:cs="宋体"/>
          <w:bCs/>
          <w:sz w:val="28"/>
          <w:szCs w:val="28"/>
          <w:highlight w:val="none"/>
        </w:rPr>
      </w:pPr>
      <w:r>
        <w:rPr>
          <w:rFonts w:hint="eastAsia" w:ascii="宋体" w:hAnsi="宋体" w:cs="宋体"/>
          <w:bCs/>
          <w:sz w:val="28"/>
          <w:szCs w:val="28"/>
          <w:highlight w:val="none"/>
        </w:rPr>
        <w:t>商务条款偏离表（格式）；</w:t>
      </w:r>
    </w:p>
    <w:p>
      <w:pPr>
        <w:pStyle w:val="66"/>
        <w:numPr>
          <w:ilvl w:val="0"/>
          <w:numId w:val="9"/>
        </w:numPr>
        <w:spacing w:line="360" w:lineRule="auto"/>
        <w:ind w:firstLineChars="0"/>
        <w:rPr>
          <w:rFonts w:ascii="宋体" w:hAnsi="宋体" w:cs="宋体"/>
          <w:bCs/>
          <w:sz w:val="28"/>
          <w:szCs w:val="28"/>
          <w:highlight w:val="none"/>
        </w:rPr>
      </w:pPr>
      <w:r>
        <w:rPr>
          <w:rFonts w:hint="eastAsia" w:ascii="宋体" w:hAnsi="宋体" w:cs="宋体"/>
          <w:bCs/>
          <w:sz w:val="28"/>
          <w:szCs w:val="28"/>
          <w:highlight w:val="none"/>
        </w:rPr>
        <w:t>技术规格偏离表（格式）；</w:t>
      </w:r>
    </w:p>
    <w:p>
      <w:pPr>
        <w:pStyle w:val="66"/>
        <w:numPr>
          <w:ilvl w:val="0"/>
          <w:numId w:val="9"/>
        </w:numPr>
        <w:spacing w:line="360" w:lineRule="auto"/>
        <w:ind w:firstLineChars="0"/>
        <w:rPr>
          <w:rFonts w:ascii="宋体" w:hAnsi="宋体" w:cs="宋体"/>
          <w:bCs/>
          <w:sz w:val="28"/>
          <w:szCs w:val="28"/>
          <w:highlight w:val="none"/>
        </w:rPr>
      </w:pPr>
      <w:r>
        <w:rPr>
          <w:rFonts w:hint="eastAsia" w:ascii="宋体" w:hAnsi="宋体" w:cs="宋体"/>
          <w:bCs/>
          <w:sz w:val="28"/>
          <w:szCs w:val="28"/>
          <w:highlight w:val="none"/>
        </w:rPr>
        <w:t>法定代表人证明书或授权书（格式）；</w:t>
      </w:r>
    </w:p>
    <w:p>
      <w:pPr>
        <w:pStyle w:val="56"/>
        <w:numPr>
          <w:ilvl w:val="0"/>
          <w:numId w:val="9"/>
        </w:numPr>
        <w:spacing w:line="360" w:lineRule="auto"/>
        <w:rPr>
          <w:rFonts w:ascii="宋体" w:hAnsi="宋体" w:cs="宋体"/>
          <w:bCs/>
          <w:sz w:val="28"/>
          <w:szCs w:val="28"/>
          <w:highlight w:val="none"/>
        </w:rPr>
      </w:pPr>
      <w:r>
        <w:rPr>
          <w:rFonts w:hint="eastAsia" w:ascii="宋体" w:hAnsi="宋体" w:cs="宋体"/>
          <w:bCs/>
          <w:sz w:val="28"/>
          <w:szCs w:val="28"/>
          <w:highlight w:val="none"/>
        </w:rPr>
        <w:t>资格证明文件；</w:t>
      </w:r>
    </w:p>
    <w:p>
      <w:pPr>
        <w:pStyle w:val="56"/>
        <w:numPr>
          <w:ilvl w:val="0"/>
          <w:numId w:val="9"/>
        </w:numPr>
        <w:spacing w:line="360" w:lineRule="auto"/>
        <w:rPr>
          <w:rFonts w:ascii="宋体" w:hAnsi="宋体" w:cs="宋体"/>
          <w:bCs/>
          <w:sz w:val="28"/>
          <w:szCs w:val="28"/>
          <w:highlight w:val="none"/>
        </w:rPr>
      </w:pPr>
      <w:r>
        <w:rPr>
          <w:rFonts w:hint="eastAsia" w:ascii="宋体" w:hAnsi="宋体" w:cs="宋体"/>
          <w:bCs/>
          <w:sz w:val="28"/>
          <w:szCs w:val="28"/>
          <w:highlight w:val="none"/>
        </w:rPr>
        <w:t>具有履行合同所必需的设备和专业技术能力的书面声明；</w:t>
      </w:r>
    </w:p>
    <w:p>
      <w:pPr>
        <w:pStyle w:val="56"/>
        <w:numPr>
          <w:ilvl w:val="0"/>
          <w:numId w:val="9"/>
        </w:numPr>
        <w:spacing w:line="360" w:lineRule="auto"/>
        <w:rPr>
          <w:rFonts w:ascii="宋体" w:hAnsi="宋体" w:cs="宋体"/>
          <w:bCs/>
          <w:sz w:val="28"/>
          <w:szCs w:val="28"/>
          <w:highlight w:val="none"/>
        </w:rPr>
      </w:pPr>
      <w:r>
        <w:rPr>
          <w:rFonts w:hint="eastAsia" w:ascii="宋体" w:hAnsi="宋体" w:cs="宋体"/>
          <w:bCs/>
          <w:sz w:val="28"/>
          <w:szCs w:val="28"/>
          <w:highlight w:val="none"/>
        </w:rPr>
        <w:t>参加政府采购活动前三年内，在经营活动中没有重大违法记录书面声明（格式）；</w:t>
      </w:r>
    </w:p>
    <w:p>
      <w:pPr>
        <w:pStyle w:val="66"/>
        <w:numPr>
          <w:ilvl w:val="0"/>
          <w:numId w:val="9"/>
        </w:numPr>
        <w:spacing w:line="360" w:lineRule="auto"/>
        <w:ind w:firstLineChars="0"/>
        <w:rPr>
          <w:rFonts w:ascii="宋体" w:hAnsi="宋体" w:cs="宋体"/>
          <w:bCs/>
          <w:sz w:val="28"/>
          <w:szCs w:val="28"/>
          <w:highlight w:val="none"/>
        </w:rPr>
      </w:pPr>
      <w:r>
        <w:rPr>
          <w:rFonts w:ascii="宋体" w:hAnsi="宋体" w:cs="宋体"/>
          <w:bCs/>
          <w:sz w:val="28"/>
          <w:szCs w:val="28"/>
          <w:highlight w:val="none"/>
        </w:rPr>
        <w:t>陕西省政府采购供应商拒绝政府采购领域商业贿赂承诺书</w:t>
      </w:r>
      <w:r>
        <w:rPr>
          <w:rFonts w:hint="eastAsia" w:ascii="宋体" w:hAnsi="宋体" w:cs="宋体"/>
          <w:bCs/>
          <w:sz w:val="28"/>
          <w:szCs w:val="28"/>
          <w:highlight w:val="none"/>
        </w:rPr>
        <w:t>（格式）；</w:t>
      </w:r>
    </w:p>
    <w:p>
      <w:pPr>
        <w:pStyle w:val="56"/>
        <w:numPr>
          <w:ilvl w:val="0"/>
          <w:numId w:val="9"/>
        </w:numPr>
        <w:spacing w:line="360" w:lineRule="auto"/>
        <w:rPr>
          <w:rFonts w:ascii="宋体" w:hAnsi="宋体" w:cs="宋体"/>
          <w:bCs/>
          <w:sz w:val="28"/>
          <w:szCs w:val="28"/>
          <w:highlight w:val="none"/>
        </w:rPr>
      </w:pPr>
      <w:r>
        <w:rPr>
          <w:rFonts w:hint="eastAsia" w:ascii="宋体" w:hAnsi="宋体" w:cs="宋体"/>
          <w:bCs/>
          <w:sz w:val="28"/>
          <w:szCs w:val="28"/>
          <w:highlight w:val="none"/>
        </w:rPr>
        <w:t>中小企业声明函（格式）；</w:t>
      </w:r>
    </w:p>
    <w:p>
      <w:pPr>
        <w:pStyle w:val="56"/>
        <w:numPr>
          <w:ilvl w:val="0"/>
          <w:numId w:val="9"/>
        </w:numPr>
        <w:spacing w:line="360" w:lineRule="auto"/>
        <w:rPr>
          <w:rFonts w:ascii="宋体" w:hAnsi="宋体" w:cs="宋体"/>
          <w:bCs/>
          <w:sz w:val="28"/>
          <w:szCs w:val="28"/>
          <w:highlight w:val="none"/>
        </w:rPr>
      </w:pPr>
      <w:r>
        <w:rPr>
          <w:rFonts w:hint="eastAsia" w:ascii="宋体" w:hAnsi="宋体" w:cs="宋体"/>
          <w:bCs/>
          <w:sz w:val="28"/>
          <w:szCs w:val="28"/>
          <w:highlight w:val="none"/>
        </w:rPr>
        <w:t>残疾人福利性单位声明函（如有）（格式）；</w:t>
      </w:r>
    </w:p>
    <w:p>
      <w:pPr>
        <w:pStyle w:val="56"/>
        <w:numPr>
          <w:ilvl w:val="0"/>
          <w:numId w:val="9"/>
        </w:numPr>
        <w:spacing w:line="360" w:lineRule="auto"/>
        <w:rPr>
          <w:rFonts w:ascii="宋体" w:hAnsi="宋体" w:cs="宋体"/>
          <w:bCs/>
          <w:sz w:val="28"/>
          <w:szCs w:val="28"/>
          <w:highlight w:val="none"/>
        </w:rPr>
      </w:pPr>
      <w:r>
        <w:rPr>
          <w:rFonts w:hint="eastAsia" w:ascii="宋体" w:hAnsi="宋体" w:cs="宋体"/>
          <w:bCs/>
          <w:sz w:val="28"/>
          <w:szCs w:val="28"/>
          <w:highlight w:val="none"/>
        </w:rPr>
        <w:t>监狱企业证明文件（如有）；</w:t>
      </w:r>
    </w:p>
    <w:p>
      <w:pPr>
        <w:pStyle w:val="56"/>
        <w:numPr>
          <w:ilvl w:val="0"/>
          <w:numId w:val="9"/>
        </w:numPr>
        <w:spacing w:line="360" w:lineRule="auto"/>
        <w:rPr>
          <w:rFonts w:ascii="宋体" w:hAnsi="宋体" w:cs="宋体"/>
          <w:bCs/>
          <w:sz w:val="28"/>
          <w:szCs w:val="28"/>
          <w:highlight w:val="none"/>
        </w:rPr>
      </w:pPr>
      <w:r>
        <w:rPr>
          <w:rFonts w:hint="eastAsia" w:ascii="宋体" w:hAnsi="宋体" w:cs="宋体"/>
          <w:bCs/>
          <w:sz w:val="28"/>
          <w:szCs w:val="28"/>
          <w:highlight w:val="none"/>
        </w:rPr>
        <w:t>“节能产品”、“环境标志产品”证明材料（如有）；</w:t>
      </w:r>
    </w:p>
    <w:p>
      <w:pPr>
        <w:pStyle w:val="56"/>
        <w:numPr>
          <w:ilvl w:val="0"/>
          <w:numId w:val="9"/>
        </w:numPr>
        <w:spacing w:line="360" w:lineRule="auto"/>
        <w:rPr>
          <w:rFonts w:ascii="宋体" w:hAnsi="宋体" w:cs="宋体"/>
          <w:bCs/>
          <w:sz w:val="28"/>
          <w:szCs w:val="28"/>
          <w:highlight w:val="none"/>
        </w:rPr>
      </w:pPr>
      <w:r>
        <w:rPr>
          <w:rFonts w:hint="eastAsia" w:ascii="宋体" w:hAnsi="宋体" w:cs="宋体"/>
          <w:bCs/>
          <w:sz w:val="28"/>
          <w:szCs w:val="28"/>
          <w:highlight w:val="none"/>
        </w:rPr>
        <w:t>项目业绩表（格式）；</w:t>
      </w:r>
    </w:p>
    <w:p>
      <w:pPr>
        <w:pStyle w:val="56"/>
        <w:numPr>
          <w:ilvl w:val="0"/>
          <w:numId w:val="9"/>
        </w:numPr>
        <w:spacing w:line="360" w:lineRule="auto"/>
        <w:rPr>
          <w:rFonts w:ascii="宋体" w:hAnsi="宋体" w:cs="宋体"/>
          <w:bCs/>
          <w:sz w:val="28"/>
          <w:szCs w:val="28"/>
          <w:highlight w:val="none"/>
        </w:rPr>
      </w:pPr>
      <w:r>
        <w:rPr>
          <w:rFonts w:hint="eastAsia" w:ascii="宋体" w:hAnsi="宋体" w:cs="宋体"/>
          <w:bCs/>
          <w:sz w:val="28"/>
          <w:szCs w:val="28"/>
          <w:highlight w:val="none"/>
        </w:rPr>
        <w:t>优惠、培训、售后服务承诺（格式）；</w:t>
      </w:r>
    </w:p>
    <w:p>
      <w:pPr>
        <w:pStyle w:val="56"/>
        <w:numPr>
          <w:ilvl w:val="0"/>
          <w:numId w:val="9"/>
        </w:numPr>
        <w:spacing w:line="360" w:lineRule="auto"/>
        <w:rPr>
          <w:rFonts w:ascii="宋体" w:hAnsi="宋体" w:cs="宋体"/>
          <w:bCs/>
          <w:sz w:val="28"/>
          <w:szCs w:val="28"/>
          <w:highlight w:val="none"/>
          <w:lang w:bidi="zh-CN"/>
        </w:rPr>
      </w:pPr>
      <w:r>
        <w:rPr>
          <w:rFonts w:hint="eastAsia" w:ascii="宋体" w:hAnsi="宋体" w:cs="宋体"/>
          <w:bCs/>
          <w:sz w:val="28"/>
          <w:szCs w:val="28"/>
          <w:highlight w:val="none"/>
          <w:lang w:bidi="zh-CN"/>
        </w:rPr>
        <w:t>技术服务方案；</w:t>
      </w:r>
    </w:p>
    <w:p>
      <w:pPr>
        <w:pStyle w:val="56"/>
        <w:numPr>
          <w:ilvl w:val="0"/>
          <w:numId w:val="9"/>
        </w:numPr>
        <w:spacing w:line="360" w:lineRule="auto"/>
        <w:rPr>
          <w:rFonts w:ascii="宋体" w:hAnsi="宋体" w:cs="宋体"/>
          <w:bCs/>
          <w:sz w:val="28"/>
          <w:szCs w:val="28"/>
          <w:highlight w:val="none"/>
          <w:lang w:bidi="zh-CN"/>
        </w:rPr>
      </w:pPr>
      <w:r>
        <w:rPr>
          <w:rFonts w:hint="eastAsia" w:ascii="宋体" w:hAnsi="宋体" w:cs="宋体"/>
          <w:bCs/>
          <w:sz w:val="28"/>
          <w:szCs w:val="28"/>
          <w:highlight w:val="none"/>
        </w:rPr>
        <w:t>其他证明材料。</w:t>
      </w:r>
    </w:p>
    <w:p>
      <w:pPr>
        <w:spacing w:line="360" w:lineRule="auto"/>
        <w:outlineLvl w:val="1"/>
        <w:rPr>
          <w:rFonts w:ascii="宋体" w:hAnsi="宋体" w:cs="宋体"/>
          <w:b/>
          <w:sz w:val="24"/>
          <w:highlight w:val="none"/>
        </w:rPr>
      </w:pPr>
      <w:r>
        <w:rPr>
          <w:rFonts w:hint="eastAsia"/>
          <w:spacing w:val="-2"/>
          <w:sz w:val="28"/>
          <w:highlight w:val="none"/>
        </w:rPr>
        <w:br w:type="page"/>
      </w:r>
      <w:bookmarkEnd w:id="14"/>
      <w:r>
        <w:rPr>
          <w:rFonts w:hint="eastAsia" w:ascii="宋体" w:hAnsi="宋体" w:cs="宋体"/>
          <w:b/>
          <w:sz w:val="28"/>
          <w:szCs w:val="28"/>
          <w:highlight w:val="none"/>
        </w:rPr>
        <w:t>一、投标函</w:t>
      </w:r>
    </w:p>
    <w:p>
      <w:pPr>
        <w:spacing w:line="360" w:lineRule="auto"/>
        <w:jc w:val="center"/>
        <w:rPr>
          <w:rFonts w:ascii="宋体" w:hAnsi="宋体" w:cs="宋体"/>
          <w:b/>
          <w:bCs/>
          <w:sz w:val="28"/>
          <w:highlight w:val="none"/>
        </w:rPr>
      </w:pPr>
      <w:r>
        <w:rPr>
          <w:rFonts w:hint="eastAsia" w:ascii="宋体" w:hAnsi="宋体" w:cs="宋体"/>
          <w:b/>
          <w:bCs/>
          <w:sz w:val="28"/>
          <w:highlight w:val="none"/>
        </w:rPr>
        <w:t>投     标     函</w:t>
      </w:r>
    </w:p>
    <w:p>
      <w:pPr>
        <w:spacing w:line="360" w:lineRule="auto"/>
        <w:rPr>
          <w:rFonts w:ascii="宋体" w:hAnsi="宋体" w:cs="宋体"/>
          <w:sz w:val="24"/>
          <w:highlight w:val="none"/>
        </w:rPr>
      </w:pPr>
      <w:r>
        <w:rPr>
          <w:rFonts w:hint="eastAsia" w:ascii="宋体" w:hAnsi="宋体" w:cs="宋体"/>
          <w:sz w:val="24"/>
          <w:highlight w:val="none"/>
        </w:rPr>
        <w:t>致：陕西德信招标有限公司</w:t>
      </w:r>
    </w:p>
    <w:p>
      <w:pPr>
        <w:spacing w:line="360" w:lineRule="auto"/>
        <w:ind w:firstLine="480"/>
        <w:rPr>
          <w:rFonts w:ascii="宋体" w:hAnsi="宋体" w:cs="宋体"/>
          <w:sz w:val="24"/>
          <w:highlight w:val="none"/>
        </w:rPr>
      </w:pPr>
      <w:r>
        <w:rPr>
          <w:rFonts w:hint="eastAsia" w:ascii="宋体" w:hAnsi="宋体" w:cs="宋体"/>
          <w:sz w:val="24"/>
          <w:highlight w:val="none"/>
        </w:rPr>
        <w:t>我方确认收到贵方提供</w:t>
      </w:r>
      <w:r>
        <w:rPr>
          <w:rFonts w:hint="eastAsia" w:ascii="宋体" w:hAnsi="宋体" w:cs="宋体"/>
          <w:i/>
          <w:iCs/>
          <w:sz w:val="24"/>
          <w:highlight w:val="none"/>
          <w:u w:val="single"/>
        </w:rPr>
        <w:t xml:space="preserve">     （项目编号）         （项目名称）</w:t>
      </w:r>
      <w:r>
        <w:rPr>
          <w:rFonts w:hint="eastAsia" w:ascii="宋体" w:hAnsi="宋体" w:cs="宋体"/>
          <w:sz w:val="24"/>
          <w:highlight w:val="none"/>
        </w:rPr>
        <w:t>招标文件的全部内容，我方：</w:t>
      </w:r>
      <w:r>
        <w:rPr>
          <w:rFonts w:hint="eastAsia" w:ascii="宋体" w:hAnsi="宋体" w:cs="宋体"/>
          <w:sz w:val="24"/>
          <w:highlight w:val="none"/>
          <w:u w:val="single"/>
        </w:rPr>
        <w:t>（</w:t>
      </w:r>
      <w:r>
        <w:rPr>
          <w:rFonts w:hint="eastAsia" w:ascii="宋体" w:hAnsi="宋体" w:cs="宋体"/>
          <w:i/>
          <w:iCs/>
          <w:sz w:val="24"/>
          <w:highlight w:val="none"/>
          <w:u w:val="single"/>
        </w:rPr>
        <w:t>投标人名称</w:t>
      </w:r>
      <w:r>
        <w:rPr>
          <w:rFonts w:hint="eastAsia" w:ascii="宋体" w:hAnsi="宋体" w:cs="宋体"/>
          <w:sz w:val="24"/>
          <w:highlight w:val="none"/>
          <w:u w:val="single"/>
        </w:rPr>
        <w:t>）</w:t>
      </w:r>
      <w:r>
        <w:rPr>
          <w:rFonts w:hint="eastAsia" w:ascii="宋体" w:hAnsi="宋体" w:cs="宋体"/>
          <w:sz w:val="24"/>
          <w:highlight w:val="none"/>
        </w:rPr>
        <w:t>作为投标者正式授权</w:t>
      </w:r>
      <w:r>
        <w:rPr>
          <w:rFonts w:hint="eastAsia" w:ascii="宋体" w:hAnsi="宋体" w:cs="宋体"/>
          <w:i/>
          <w:iCs/>
          <w:sz w:val="24"/>
          <w:highlight w:val="none"/>
          <w:u w:val="single"/>
        </w:rPr>
        <w:t xml:space="preserve">（授权代表全名、职务）    </w:t>
      </w:r>
      <w:r>
        <w:rPr>
          <w:rFonts w:hint="eastAsia" w:ascii="宋体" w:hAnsi="宋体" w:cs="宋体"/>
          <w:sz w:val="24"/>
          <w:highlight w:val="none"/>
        </w:rPr>
        <w:t>代表我方进行有关本投标的一切事宜。</w:t>
      </w:r>
    </w:p>
    <w:p>
      <w:pPr>
        <w:spacing w:line="360" w:lineRule="auto"/>
        <w:ind w:firstLine="480"/>
        <w:rPr>
          <w:rFonts w:ascii="宋体" w:hAnsi="宋体" w:cs="宋体"/>
          <w:sz w:val="24"/>
          <w:highlight w:val="none"/>
        </w:rPr>
      </w:pPr>
      <w:r>
        <w:rPr>
          <w:rFonts w:hint="eastAsia" w:ascii="宋体" w:hAnsi="宋体" w:cs="宋体"/>
          <w:sz w:val="24"/>
          <w:highlight w:val="none"/>
        </w:rPr>
        <w:t>在此提交的投标文件，正本</w:t>
      </w:r>
      <w:r>
        <w:rPr>
          <w:rFonts w:hint="eastAsia" w:ascii="宋体" w:hAnsi="宋体" w:cs="宋体"/>
          <w:i/>
          <w:iCs/>
          <w:sz w:val="24"/>
          <w:highlight w:val="none"/>
          <w:u w:val="single"/>
        </w:rPr>
        <w:t xml:space="preserve">     </w:t>
      </w:r>
      <w:r>
        <w:rPr>
          <w:rFonts w:hint="eastAsia" w:ascii="宋体" w:hAnsi="宋体" w:cs="宋体"/>
          <w:sz w:val="24"/>
          <w:highlight w:val="none"/>
        </w:rPr>
        <w:t>份，副本</w:t>
      </w:r>
      <w:r>
        <w:rPr>
          <w:rFonts w:hint="eastAsia" w:ascii="宋体" w:hAnsi="宋体" w:cs="宋体"/>
          <w:i/>
          <w:iCs/>
          <w:sz w:val="24"/>
          <w:highlight w:val="none"/>
          <w:u w:val="single"/>
        </w:rPr>
        <w:t xml:space="preserve">     </w:t>
      </w:r>
      <w:r>
        <w:rPr>
          <w:rFonts w:hint="eastAsia" w:ascii="宋体" w:hAnsi="宋体" w:cs="宋体"/>
          <w:sz w:val="24"/>
          <w:highlight w:val="none"/>
        </w:rPr>
        <w:t>份，唱标信封一份，电子文本一份。包括如下等内容：</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投标报价表；</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投标报价明细表；</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商务条款偏离表；</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技术规格偏离表；</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法定代表人证明书或授权书；</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资格证明文件；</w:t>
      </w:r>
    </w:p>
    <w:p>
      <w:pPr>
        <w:numPr>
          <w:ilvl w:val="0"/>
          <w:numId w:val="10"/>
        </w:numPr>
        <w:spacing w:line="360" w:lineRule="auto"/>
        <w:rPr>
          <w:rFonts w:ascii="宋体" w:hAnsi="宋体" w:cs="宋体"/>
          <w:sz w:val="24"/>
          <w:highlight w:val="none"/>
        </w:rPr>
      </w:pPr>
      <w:r>
        <w:rPr>
          <w:rFonts w:hint="eastAsia" w:ascii="宋体" w:hAnsi="宋体" w:cs="宋体"/>
          <w:kern w:val="0"/>
          <w:sz w:val="24"/>
          <w:szCs w:val="22"/>
          <w:highlight w:val="none"/>
        </w:rPr>
        <w:t>具有履行合同所必需的设备和专业技术能力的书面声明；</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参加政府采购活动前三年内，在经营活动中没有重大违法记录书面声明；</w:t>
      </w:r>
    </w:p>
    <w:p>
      <w:pPr>
        <w:pStyle w:val="15"/>
        <w:numPr>
          <w:ilvl w:val="0"/>
          <w:numId w:val="10"/>
        </w:numPr>
        <w:spacing w:line="360" w:lineRule="auto"/>
        <w:rPr>
          <w:rFonts w:ascii="宋体" w:hAnsi="宋体" w:cs="宋体"/>
          <w:color w:val="auto"/>
          <w:highlight w:val="none"/>
        </w:rPr>
      </w:pPr>
      <w:r>
        <w:rPr>
          <w:rFonts w:ascii="宋体" w:hAnsi="宋体" w:cs="宋体"/>
          <w:highlight w:val="none"/>
        </w:rPr>
        <w:t>陕西省政府采购供应商拒绝政府采购领域商业贿赂承诺书</w:t>
      </w:r>
      <w:r>
        <w:rPr>
          <w:rFonts w:hint="eastAsia" w:ascii="宋体" w:hAnsi="宋体" w:cs="宋体"/>
          <w:highlight w:val="none"/>
        </w:rPr>
        <w:t>；</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中小企业声明函；</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残疾人福利性单位声明函（如有）；</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监狱企业证明文件（如有）；</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“节能产品”、“环境标志产品”证明材料（如有）；</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项目业绩表；</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优惠、培训、售后服务承诺；</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技术服务方案；</w:t>
      </w:r>
    </w:p>
    <w:p>
      <w:pPr>
        <w:numPr>
          <w:ilvl w:val="0"/>
          <w:numId w:val="10"/>
        </w:numPr>
        <w:spacing w:line="360" w:lineRule="auto"/>
        <w:rPr>
          <w:rFonts w:ascii="宋体" w:hAnsi="宋体" w:cs="宋体"/>
          <w:sz w:val="24"/>
          <w:highlight w:val="none"/>
        </w:rPr>
      </w:pPr>
      <w:r>
        <w:rPr>
          <w:rFonts w:hint="eastAsia" w:ascii="宋体" w:hAnsi="宋体" w:cs="宋体"/>
          <w:sz w:val="24"/>
          <w:highlight w:val="none"/>
        </w:rPr>
        <w:t>其他证明材料。</w:t>
      </w:r>
    </w:p>
    <w:p>
      <w:pPr>
        <w:spacing w:line="360" w:lineRule="auto"/>
        <w:rPr>
          <w:rFonts w:ascii="宋体" w:hAnsi="宋体" w:cs="宋体"/>
          <w:sz w:val="24"/>
          <w:highlight w:val="none"/>
        </w:rPr>
      </w:pPr>
      <w:r>
        <w:rPr>
          <w:rFonts w:hint="eastAsia" w:ascii="宋体" w:hAnsi="宋体" w:cs="宋体"/>
          <w:sz w:val="24"/>
          <w:highlight w:val="none"/>
        </w:rPr>
        <w:t xml:space="preserve">   我方已完全明白招标文件的所有条款要求，并重申以下几点。</w:t>
      </w:r>
    </w:p>
    <w:p>
      <w:pPr>
        <w:numPr>
          <w:ilvl w:val="0"/>
          <w:numId w:val="11"/>
        </w:numPr>
        <w:spacing w:line="360" w:lineRule="auto"/>
        <w:rPr>
          <w:rFonts w:ascii="宋体" w:hAnsi="宋体" w:cs="宋体"/>
          <w:sz w:val="24"/>
          <w:highlight w:val="none"/>
        </w:rPr>
      </w:pPr>
      <w:r>
        <w:rPr>
          <w:rFonts w:hint="eastAsia" w:ascii="宋体" w:hAnsi="宋体" w:cs="宋体"/>
          <w:sz w:val="24"/>
          <w:highlight w:val="none"/>
        </w:rPr>
        <w:t>我方决定参加：</w:t>
      </w:r>
      <w:r>
        <w:rPr>
          <w:rFonts w:hint="eastAsia" w:ascii="宋体" w:hAnsi="宋体" w:cs="宋体"/>
          <w:i/>
          <w:iCs/>
          <w:sz w:val="24"/>
          <w:highlight w:val="none"/>
          <w:u w:val="single"/>
        </w:rPr>
        <w:t xml:space="preserve">     （项目编号）         （项目名称）</w:t>
      </w:r>
      <w:r>
        <w:rPr>
          <w:rFonts w:hint="eastAsia" w:ascii="宋体" w:hAnsi="宋体" w:cs="宋体"/>
          <w:sz w:val="24"/>
          <w:highlight w:val="none"/>
        </w:rPr>
        <w:t>的投标。</w:t>
      </w:r>
    </w:p>
    <w:p>
      <w:pPr>
        <w:numPr>
          <w:ilvl w:val="0"/>
          <w:numId w:val="11"/>
        </w:numPr>
        <w:spacing w:line="360" w:lineRule="auto"/>
        <w:rPr>
          <w:rFonts w:ascii="宋体" w:hAnsi="宋体" w:cs="宋体"/>
          <w:sz w:val="24"/>
          <w:highlight w:val="none"/>
        </w:rPr>
      </w:pPr>
      <w:r>
        <w:rPr>
          <w:rFonts w:hint="eastAsia" w:ascii="宋体" w:hAnsi="宋体" w:cs="宋体"/>
          <w:sz w:val="24"/>
          <w:highlight w:val="none"/>
        </w:rPr>
        <w:t>全部服务及有关货物的投标总价为：</w:t>
      </w:r>
      <w:r>
        <w:rPr>
          <w:rFonts w:hint="eastAsia" w:ascii="宋体" w:hAnsi="宋体" w:cs="宋体"/>
          <w:sz w:val="24"/>
          <w:highlight w:val="none"/>
          <w:u w:val="single"/>
        </w:rPr>
        <w:t xml:space="preserve">               （大、小写）。</w:t>
      </w:r>
    </w:p>
    <w:p>
      <w:pPr>
        <w:numPr>
          <w:ilvl w:val="0"/>
          <w:numId w:val="11"/>
        </w:numPr>
        <w:spacing w:line="360" w:lineRule="auto"/>
        <w:rPr>
          <w:rFonts w:ascii="宋体" w:hAnsi="宋体" w:cs="宋体"/>
          <w:sz w:val="24"/>
          <w:highlight w:val="none"/>
        </w:rPr>
      </w:pPr>
      <w:r>
        <w:rPr>
          <w:rFonts w:hint="eastAsia" w:ascii="宋体" w:hAnsi="宋体" w:cs="宋体"/>
          <w:sz w:val="24"/>
          <w:highlight w:val="none"/>
        </w:rPr>
        <w:t>本投标文件的有效期在投标截止日后</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天有效，如中标，有效期将延至合同终止日为止。</w:t>
      </w:r>
    </w:p>
    <w:p>
      <w:pPr>
        <w:numPr>
          <w:ilvl w:val="0"/>
          <w:numId w:val="11"/>
        </w:numPr>
        <w:spacing w:line="360" w:lineRule="auto"/>
        <w:rPr>
          <w:rFonts w:ascii="宋体" w:hAnsi="宋体" w:cs="宋体"/>
          <w:sz w:val="24"/>
          <w:highlight w:val="none"/>
        </w:rPr>
      </w:pPr>
      <w:r>
        <w:rPr>
          <w:rFonts w:hint="eastAsia" w:ascii="宋体" w:hAnsi="宋体" w:cs="宋体"/>
          <w:sz w:val="24"/>
          <w:highlight w:val="none"/>
        </w:rPr>
        <w:t>我方已详细研究了招标文件的所有内容包括修正文（如果有）和所有已提供的参考资料以及有关附件并完全明白，我方放弃在此方面提出含糊意见或误解的一切权力。</w:t>
      </w:r>
    </w:p>
    <w:p>
      <w:pPr>
        <w:numPr>
          <w:ilvl w:val="0"/>
          <w:numId w:val="11"/>
        </w:numPr>
        <w:spacing w:line="360" w:lineRule="auto"/>
        <w:rPr>
          <w:rFonts w:ascii="宋体" w:hAnsi="宋体" w:cs="宋体"/>
          <w:sz w:val="24"/>
          <w:highlight w:val="none"/>
        </w:rPr>
      </w:pPr>
      <w:r>
        <w:rPr>
          <w:rFonts w:hint="eastAsia" w:ascii="宋体" w:hAnsi="宋体" w:cs="宋体"/>
          <w:sz w:val="24"/>
          <w:highlight w:val="none"/>
        </w:rPr>
        <w:t>我方明白并愿意在规定的开标时间和日期之后、投标有效期之内撤回投标，则投标保证金将被贵方没收。</w:t>
      </w:r>
    </w:p>
    <w:p>
      <w:pPr>
        <w:numPr>
          <w:ilvl w:val="0"/>
          <w:numId w:val="11"/>
        </w:numPr>
        <w:spacing w:line="360" w:lineRule="auto"/>
        <w:rPr>
          <w:rFonts w:ascii="宋体" w:hAnsi="宋体" w:cs="宋体"/>
          <w:sz w:val="24"/>
          <w:highlight w:val="none"/>
        </w:rPr>
      </w:pPr>
      <w:r>
        <w:rPr>
          <w:rFonts w:hint="eastAsia" w:ascii="宋体" w:hAnsi="宋体" w:cs="宋体"/>
          <w:sz w:val="24"/>
          <w:highlight w:val="none"/>
        </w:rPr>
        <w:t>我方同意按照贵方可能提出的要求而提供与投标有关的任何其它数据或信息。</w:t>
      </w:r>
    </w:p>
    <w:p>
      <w:pPr>
        <w:numPr>
          <w:ilvl w:val="0"/>
          <w:numId w:val="11"/>
        </w:numPr>
        <w:spacing w:line="360" w:lineRule="auto"/>
        <w:rPr>
          <w:rFonts w:ascii="宋体" w:hAnsi="宋体" w:cs="宋体"/>
          <w:sz w:val="24"/>
          <w:highlight w:val="none"/>
        </w:rPr>
      </w:pPr>
      <w:r>
        <w:rPr>
          <w:rFonts w:hint="eastAsia" w:ascii="宋体" w:hAnsi="宋体" w:cs="宋体"/>
          <w:sz w:val="24"/>
          <w:highlight w:val="none"/>
        </w:rPr>
        <w:t>我方理解贵方不一定接受最低标价或任何贵方可能收到的投标。</w:t>
      </w:r>
    </w:p>
    <w:p>
      <w:pPr>
        <w:numPr>
          <w:ilvl w:val="0"/>
          <w:numId w:val="11"/>
        </w:numPr>
        <w:spacing w:line="360" w:lineRule="auto"/>
        <w:rPr>
          <w:rFonts w:ascii="宋体" w:hAnsi="宋体" w:cs="宋体"/>
          <w:sz w:val="24"/>
          <w:highlight w:val="none"/>
        </w:rPr>
      </w:pPr>
      <w:r>
        <w:rPr>
          <w:rFonts w:hint="eastAsia" w:ascii="宋体" w:hAnsi="宋体" w:cs="宋体"/>
          <w:sz w:val="24"/>
          <w:highlight w:val="none"/>
        </w:rPr>
        <w:t>我方如果中标，将保证履行招标文件及其补充文件中的全部责任和义务，按质、按量、按期完成《合同书》中的全部任务。</w:t>
      </w:r>
    </w:p>
    <w:p>
      <w:pPr>
        <w:numPr>
          <w:ilvl w:val="0"/>
          <w:numId w:val="11"/>
        </w:numPr>
        <w:spacing w:line="360" w:lineRule="auto"/>
        <w:rPr>
          <w:rFonts w:ascii="宋体" w:hAnsi="宋体" w:cs="宋体"/>
          <w:sz w:val="24"/>
          <w:highlight w:val="none"/>
        </w:rPr>
      </w:pPr>
      <w:r>
        <w:rPr>
          <w:rFonts w:hint="eastAsia" w:ascii="宋体" w:hAnsi="宋体" w:cs="宋体"/>
          <w:sz w:val="24"/>
          <w:highlight w:val="none"/>
        </w:rPr>
        <w:t>如我方中标，我方将在收到中标通知书之前，参照国家计委〔2002〕1980号、发改委〔2003〕857号文件规定标准向陕西德信招标有限公司交纳中标服务费。</w:t>
      </w:r>
    </w:p>
    <w:p>
      <w:pPr>
        <w:numPr>
          <w:ilvl w:val="0"/>
          <w:numId w:val="11"/>
        </w:numPr>
        <w:spacing w:line="360" w:lineRule="auto"/>
        <w:rPr>
          <w:rFonts w:ascii="宋体" w:hAnsi="宋体" w:cs="宋体"/>
          <w:sz w:val="24"/>
          <w:highlight w:val="none"/>
        </w:rPr>
      </w:pPr>
      <w:r>
        <w:rPr>
          <w:rFonts w:hint="eastAsia" w:ascii="宋体" w:hAnsi="宋体" w:cs="宋体"/>
          <w:sz w:val="24"/>
          <w:highlight w:val="none"/>
        </w:rPr>
        <w:t>所有与本招标有关的函件请发往下列地址：</w:t>
      </w:r>
    </w:p>
    <w:p>
      <w:pPr>
        <w:rPr>
          <w:rFonts w:ascii="新宋体" w:hAnsi="新宋体" w:eastAsia="新宋体"/>
          <w:szCs w:val="21"/>
          <w:highlight w:val="none"/>
        </w:rPr>
      </w:pPr>
    </w:p>
    <w:p>
      <w:pPr>
        <w:spacing w:line="480" w:lineRule="auto"/>
        <w:ind w:firstLine="1132" w:firstLineChars="472"/>
        <w:rPr>
          <w:rFonts w:ascii="新宋体" w:hAnsi="新宋体" w:eastAsia="新宋体"/>
          <w:sz w:val="24"/>
          <w:highlight w:val="none"/>
        </w:rPr>
      </w:pPr>
      <w:r>
        <w:rPr>
          <w:rFonts w:hint="eastAsia" w:ascii="新宋体" w:hAnsi="新宋体" w:eastAsia="新宋体"/>
          <w:sz w:val="24"/>
          <w:highlight w:val="none"/>
        </w:rPr>
        <w:t>投标人名称(加盖公章)：</w:t>
      </w:r>
      <w:r>
        <w:rPr>
          <w:rFonts w:hint="eastAsia" w:ascii="新宋体" w:hAnsi="新宋体" w:eastAsia="新宋体"/>
          <w:sz w:val="24"/>
          <w:highlight w:val="none"/>
          <w:u w:val="single"/>
        </w:rPr>
        <w:t xml:space="preserve">                </w:t>
      </w:r>
      <w:r>
        <w:rPr>
          <w:rFonts w:hint="eastAsia" w:ascii="新宋体" w:hAnsi="新宋体" w:eastAsia="新宋体"/>
          <w:sz w:val="24"/>
          <w:highlight w:val="none"/>
        </w:rPr>
        <w:t xml:space="preserve">                                                                                 </w:t>
      </w:r>
    </w:p>
    <w:p>
      <w:pPr>
        <w:spacing w:line="480" w:lineRule="auto"/>
        <w:ind w:firstLine="1132" w:firstLineChars="472"/>
        <w:rPr>
          <w:rFonts w:ascii="新宋体" w:hAnsi="新宋体" w:eastAsia="新宋体"/>
          <w:sz w:val="24"/>
          <w:highlight w:val="none"/>
        </w:rPr>
      </w:pPr>
      <w:r>
        <w:rPr>
          <w:rFonts w:hint="eastAsia" w:ascii="新宋体" w:hAnsi="新宋体" w:eastAsia="新宋体"/>
          <w:sz w:val="24"/>
          <w:highlight w:val="none"/>
        </w:rPr>
        <w:t xml:space="preserve">联系地址： </w:t>
      </w:r>
      <w:r>
        <w:rPr>
          <w:rFonts w:hint="eastAsia" w:ascii="新宋体" w:hAnsi="新宋体" w:eastAsia="新宋体"/>
          <w:sz w:val="24"/>
          <w:highlight w:val="none"/>
          <w:u w:val="single"/>
        </w:rPr>
        <w:t xml:space="preserve">                           </w:t>
      </w:r>
      <w:r>
        <w:rPr>
          <w:rFonts w:hint="eastAsia" w:ascii="新宋体" w:hAnsi="新宋体" w:eastAsia="新宋体"/>
          <w:sz w:val="24"/>
          <w:highlight w:val="none"/>
        </w:rPr>
        <w:t xml:space="preserve">             </w:t>
      </w:r>
      <w:r>
        <w:rPr>
          <w:rFonts w:hint="eastAsia" w:ascii="新宋体" w:hAnsi="新宋体" w:eastAsia="新宋体"/>
          <w:sz w:val="24"/>
          <w:highlight w:val="none"/>
        </w:rPr>
        <w:tab/>
      </w:r>
      <w:r>
        <w:rPr>
          <w:rFonts w:hint="eastAsia" w:ascii="新宋体" w:hAnsi="新宋体" w:eastAsia="新宋体"/>
          <w:sz w:val="24"/>
          <w:highlight w:val="none"/>
        </w:rPr>
        <w:t xml:space="preserve">                        </w:t>
      </w:r>
    </w:p>
    <w:p>
      <w:pPr>
        <w:spacing w:line="480" w:lineRule="auto"/>
        <w:ind w:firstLine="1132" w:firstLineChars="472"/>
        <w:rPr>
          <w:rFonts w:ascii="新宋体" w:hAnsi="新宋体" w:eastAsia="新宋体"/>
          <w:sz w:val="24"/>
          <w:highlight w:val="none"/>
        </w:rPr>
      </w:pPr>
      <w:r>
        <w:rPr>
          <w:rFonts w:hint="eastAsia" w:ascii="新宋体" w:hAnsi="新宋体" w:eastAsia="新宋体"/>
          <w:sz w:val="24"/>
          <w:highlight w:val="none"/>
        </w:rPr>
        <w:t>投标人授权代表职务：</w:t>
      </w:r>
      <w:r>
        <w:rPr>
          <w:rFonts w:hint="eastAsia" w:ascii="新宋体" w:hAnsi="新宋体" w:eastAsia="新宋体"/>
          <w:sz w:val="24"/>
          <w:highlight w:val="none"/>
          <w:u w:val="single"/>
        </w:rPr>
        <w:t xml:space="preserve">                  </w:t>
      </w:r>
    </w:p>
    <w:p>
      <w:pPr>
        <w:spacing w:line="480" w:lineRule="auto"/>
        <w:ind w:firstLine="1132" w:firstLineChars="472"/>
        <w:rPr>
          <w:rFonts w:ascii="新宋体" w:hAnsi="新宋体" w:eastAsia="新宋体"/>
          <w:sz w:val="24"/>
          <w:highlight w:val="none"/>
        </w:rPr>
      </w:pPr>
      <w:r>
        <w:rPr>
          <w:rFonts w:hint="eastAsia" w:ascii="新宋体" w:hAnsi="新宋体" w:eastAsia="新宋体"/>
          <w:sz w:val="24"/>
          <w:highlight w:val="none"/>
        </w:rPr>
        <w:t xml:space="preserve">投标人授权代表签字： </w:t>
      </w:r>
      <w:r>
        <w:rPr>
          <w:rFonts w:hint="eastAsia" w:ascii="新宋体" w:hAnsi="新宋体" w:eastAsia="新宋体"/>
          <w:sz w:val="24"/>
          <w:highlight w:val="none"/>
          <w:u w:val="single"/>
        </w:rPr>
        <w:t xml:space="preserve">                 </w:t>
      </w:r>
    </w:p>
    <w:p>
      <w:pPr>
        <w:spacing w:line="480" w:lineRule="auto"/>
        <w:ind w:firstLine="1132" w:firstLineChars="472"/>
        <w:rPr>
          <w:rFonts w:ascii="新宋体" w:hAnsi="新宋体" w:eastAsia="新宋体"/>
          <w:sz w:val="24"/>
          <w:highlight w:val="none"/>
          <w:u w:val="single"/>
        </w:rPr>
      </w:pPr>
      <w:r>
        <w:rPr>
          <w:rFonts w:hint="eastAsia" w:ascii="新宋体" w:hAnsi="新宋体" w:eastAsia="新宋体"/>
          <w:sz w:val="24"/>
          <w:highlight w:val="none"/>
        </w:rPr>
        <w:t xml:space="preserve">联系电话： </w:t>
      </w:r>
      <w:r>
        <w:rPr>
          <w:rFonts w:hint="eastAsia" w:ascii="新宋体" w:hAnsi="新宋体" w:eastAsia="新宋体"/>
          <w:sz w:val="24"/>
          <w:highlight w:val="none"/>
          <w:u w:val="single"/>
        </w:rPr>
        <w:t xml:space="preserve">                           </w:t>
      </w:r>
    </w:p>
    <w:p>
      <w:pPr>
        <w:spacing w:line="480" w:lineRule="auto"/>
        <w:ind w:firstLine="1132" w:firstLineChars="472"/>
        <w:rPr>
          <w:rFonts w:ascii="新宋体" w:hAnsi="新宋体" w:eastAsia="新宋体"/>
          <w:sz w:val="24"/>
          <w:highlight w:val="none"/>
        </w:rPr>
      </w:pPr>
      <w:r>
        <w:rPr>
          <w:rFonts w:hint="eastAsia" w:ascii="新宋体" w:hAnsi="新宋体" w:eastAsia="新宋体"/>
          <w:sz w:val="24"/>
          <w:highlight w:val="none"/>
        </w:rPr>
        <w:t>电子邮件：</w:t>
      </w:r>
      <w:r>
        <w:rPr>
          <w:rFonts w:hint="eastAsia" w:ascii="新宋体" w:hAnsi="新宋体" w:eastAsia="新宋体"/>
          <w:sz w:val="24"/>
          <w:highlight w:val="none"/>
          <w:u w:val="single"/>
        </w:rPr>
        <w:t xml:space="preserve">                            </w:t>
      </w:r>
    </w:p>
    <w:p>
      <w:pPr>
        <w:spacing w:line="480" w:lineRule="auto"/>
        <w:ind w:firstLine="1132" w:firstLineChars="472"/>
        <w:rPr>
          <w:rFonts w:ascii="新宋体" w:hAnsi="新宋体" w:eastAsia="新宋体"/>
          <w:sz w:val="24"/>
          <w:highlight w:val="none"/>
          <w:u w:val="single"/>
        </w:rPr>
      </w:pPr>
      <w:r>
        <w:rPr>
          <w:rFonts w:hint="eastAsia" w:ascii="新宋体" w:hAnsi="新宋体" w:eastAsia="新宋体"/>
          <w:sz w:val="24"/>
          <w:highlight w:val="none"/>
        </w:rPr>
        <w:t>传 真：</w:t>
      </w:r>
      <w:r>
        <w:rPr>
          <w:rFonts w:hint="eastAsia" w:ascii="新宋体" w:hAnsi="新宋体" w:eastAsia="新宋体"/>
          <w:sz w:val="24"/>
          <w:highlight w:val="none"/>
          <w:u w:val="single"/>
        </w:rPr>
        <w:t xml:space="preserve">                               </w:t>
      </w:r>
    </w:p>
    <w:p>
      <w:pPr>
        <w:spacing w:line="480" w:lineRule="auto"/>
        <w:ind w:firstLine="1132" w:firstLineChars="472"/>
        <w:rPr>
          <w:rFonts w:ascii="新宋体" w:hAnsi="新宋体" w:eastAsia="新宋体"/>
          <w:sz w:val="24"/>
          <w:highlight w:val="none"/>
        </w:rPr>
      </w:pPr>
      <w:r>
        <w:rPr>
          <w:rFonts w:hint="eastAsia" w:ascii="新宋体" w:hAnsi="新宋体" w:eastAsia="新宋体"/>
          <w:sz w:val="24"/>
          <w:highlight w:val="none"/>
        </w:rPr>
        <w:t>日 期：</w:t>
      </w:r>
      <w:r>
        <w:rPr>
          <w:rFonts w:hint="eastAsia" w:ascii="新宋体" w:hAnsi="新宋体" w:eastAsia="新宋体"/>
          <w:sz w:val="24"/>
          <w:highlight w:val="none"/>
          <w:u w:val="single"/>
        </w:rPr>
        <w:t xml:space="preserve">                               </w:t>
      </w:r>
      <w:r>
        <w:rPr>
          <w:rFonts w:hint="eastAsia" w:ascii="新宋体" w:hAnsi="新宋体" w:eastAsia="新宋体"/>
          <w:sz w:val="24"/>
          <w:highlight w:val="none"/>
        </w:rPr>
        <w:t xml:space="preserve"> </w:t>
      </w:r>
    </w:p>
    <w:p>
      <w:pPr>
        <w:pStyle w:val="66"/>
        <w:tabs>
          <w:tab w:val="left" w:pos="1660"/>
        </w:tabs>
        <w:spacing w:before="160"/>
        <w:ind w:left="420" w:leftChars="200" w:firstLine="0" w:firstLineChars="0"/>
        <w:rPr>
          <w:rFonts w:ascii="宋体" w:hAnsi="宋体" w:cs="宋体"/>
          <w:sz w:val="28"/>
          <w:szCs w:val="28"/>
          <w:highlight w:val="none"/>
        </w:rPr>
        <w:sectPr>
          <w:footerReference r:id="rId10" w:type="default"/>
          <w:pgSz w:w="11850" w:h="16783"/>
          <w:pgMar w:top="1440" w:right="1797" w:bottom="1440" w:left="1797" w:header="851" w:footer="992" w:gutter="0"/>
          <w:pgNumType w:fmt="decimal"/>
          <w:cols w:space="720" w:num="1"/>
          <w:docGrid w:linePitch="286" w:charSpace="0"/>
        </w:sectPr>
      </w:pPr>
    </w:p>
    <w:p>
      <w:pPr>
        <w:numPr>
          <w:ilvl w:val="1"/>
          <w:numId w:val="0"/>
        </w:numPr>
        <w:outlineLvl w:val="1"/>
        <w:rPr>
          <w:rFonts w:ascii="宋体" w:hAnsi="宋体" w:cs="宋体"/>
          <w:b/>
          <w:bCs/>
          <w:sz w:val="28"/>
          <w:szCs w:val="28"/>
          <w:highlight w:val="none"/>
        </w:rPr>
      </w:pPr>
      <w:bookmarkStart w:id="15" w:name="_Toc60421814"/>
      <w:r>
        <w:rPr>
          <w:rFonts w:hint="eastAsia" w:ascii="宋体" w:hAnsi="宋体" w:cs="宋体"/>
          <w:b/>
          <w:bCs/>
          <w:sz w:val="28"/>
          <w:szCs w:val="28"/>
          <w:highlight w:val="none"/>
        </w:rPr>
        <w:t>二、投标报价表</w:t>
      </w:r>
    </w:p>
    <w:p>
      <w:pPr>
        <w:spacing w:line="360" w:lineRule="auto"/>
        <w:jc w:val="center"/>
        <w:rPr>
          <w:rFonts w:ascii="宋体" w:hAnsi="宋体" w:cs="宋体"/>
          <w:b/>
          <w:sz w:val="36"/>
          <w:highlight w:val="none"/>
        </w:rPr>
      </w:pPr>
      <w:r>
        <w:rPr>
          <w:rFonts w:hint="eastAsia" w:ascii="宋体" w:hAnsi="宋体" w:cs="宋体"/>
          <w:b/>
          <w:sz w:val="36"/>
          <w:highlight w:val="none"/>
        </w:rPr>
        <w:t>投标报价表</w:t>
      </w:r>
    </w:p>
    <w:p>
      <w:pPr>
        <w:widowControl/>
        <w:spacing w:line="360" w:lineRule="auto"/>
        <w:ind w:firstLine="240" w:firstLineChars="100"/>
        <w:jc w:val="left"/>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widowControl/>
        <w:spacing w:line="360" w:lineRule="auto"/>
        <w:ind w:firstLine="240" w:firstLineChars="100"/>
        <w:jc w:val="left"/>
        <w:rPr>
          <w:rFonts w:ascii="宋体" w:hAnsi="宋体" w:cs="宋体"/>
          <w:sz w:val="24"/>
          <w:highlight w:val="none"/>
          <w:u w:val="single"/>
        </w:rPr>
      </w:pPr>
      <w:r>
        <w:rPr>
          <w:rFonts w:hint="eastAsia" w:ascii="宋体" w:hAnsi="宋体" w:cs="宋体"/>
          <w:sz w:val="24"/>
          <w:highlight w:val="none"/>
        </w:rPr>
        <w:t>项目编号：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bl>
      <w:tblPr>
        <w:tblStyle w:val="3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2"/>
        <w:gridCol w:w="4118"/>
        <w:gridCol w:w="38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5822" w:type="dxa"/>
            <w:noWrap/>
            <w:vAlign w:val="center"/>
          </w:tcPr>
          <w:p>
            <w:pPr>
              <w:ind w:left="210" w:leftChars="100"/>
              <w:jc w:val="center"/>
              <w:rPr>
                <w:rFonts w:ascii="宋体" w:hAnsi="宋体" w:cs="宋体"/>
                <w:b/>
                <w:sz w:val="24"/>
                <w:highlight w:val="none"/>
              </w:rPr>
            </w:pPr>
            <w:r>
              <w:rPr>
                <w:rFonts w:hint="eastAsia" w:ascii="宋体" w:hAnsi="宋体" w:cs="宋体"/>
                <w:b/>
                <w:sz w:val="24"/>
                <w:highlight w:val="none"/>
              </w:rPr>
              <w:t>投标总价</w:t>
            </w:r>
          </w:p>
          <w:p>
            <w:pPr>
              <w:ind w:left="210" w:leftChars="100"/>
              <w:jc w:val="center"/>
              <w:rPr>
                <w:rFonts w:ascii="宋体" w:hAnsi="宋体" w:cs="宋体"/>
                <w:b/>
                <w:sz w:val="24"/>
                <w:highlight w:val="none"/>
              </w:rPr>
            </w:pPr>
            <w:r>
              <w:rPr>
                <w:rFonts w:hint="eastAsia" w:ascii="宋体" w:hAnsi="宋体" w:cs="宋体"/>
                <w:b/>
                <w:sz w:val="24"/>
                <w:highlight w:val="none"/>
              </w:rPr>
              <w:t>（人民币元）</w:t>
            </w:r>
          </w:p>
        </w:tc>
        <w:tc>
          <w:tcPr>
            <w:tcW w:w="4118" w:type="dxa"/>
            <w:noWrap/>
            <w:tcMar>
              <w:top w:w="57" w:type="dxa"/>
              <w:left w:w="28" w:type="dxa"/>
              <w:bottom w:w="57" w:type="dxa"/>
              <w:right w:w="28" w:type="dxa"/>
            </w:tcMar>
            <w:vAlign w:val="center"/>
          </w:tcPr>
          <w:p>
            <w:pPr>
              <w:ind w:left="210" w:leftChars="100"/>
              <w:jc w:val="center"/>
              <w:rPr>
                <w:rFonts w:ascii="宋体" w:hAnsi="宋体" w:cs="宋体"/>
                <w:b/>
                <w:sz w:val="24"/>
                <w:highlight w:val="none"/>
              </w:rPr>
            </w:pPr>
            <w:r>
              <w:rPr>
                <w:rFonts w:hint="eastAsia" w:ascii="宋体" w:hAnsi="宋体" w:cs="宋体"/>
                <w:b/>
                <w:sz w:val="24"/>
                <w:highlight w:val="none"/>
              </w:rPr>
              <w:t>交付期</w:t>
            </w:r>
          </w:p>
          <w:p>
            <w:pPr>
              <w:ind w:left="210" w:leftChars="100"/>
              <w:jc w:val="center"/>
              <w:rPr>
                <w:rFonts w:ascii="宋体" w:hAnsi="宋体" w:cs="宋体"/>
                <w:b/>
                <w:sz w:val="24"/>
                <w:highlight w:val="none"/>
              </w:rPr>
            </w:pPr>
            <w:r>
              <w:rPr>
                <w:rFonts w:hint="eastAsia" w:ascii="宋体" w:hAnsi="宋体" w:cs="宋体"/>
                <w:b/>
                <w:sz w:val="24"/>
                <w:highlight w:val="none"/>
              </w:rPr>
              <w:t>（日历日）</w:t>
            </w:r>
          </w:p>
        </w:tc>
        <w:tc>
          <w:tcPr>
            <w:tcW w:w="3859" w:type="dxa"/>
            <w:noWrap/>
            <w:tcMar>
              <w:top w:w="57" w:type="dxa"/>
              <w:left w:w="28" w:type="dxa"/>
              <w:bottom w:w="57" w:type="dxa"/>
              <w:right w:w="28" w:type="dxa"/>
            </w:tcMar>
            <w:vAlign w:val="center"/>
          </w:tcPr>
          <w:p>
            <w:pPr>
              <w:ind w:left="210" w:leftChars="100"/>
              <w:jc w:val="center"/>
              <w:rPr>
                <w:rFonts w:ascii="宋体" w:hAnsi="宋体" w:cs="宋体"/>
                <w:b/>
                <w:sz w:val="24"/>
                <w:highlight w:val="none"/>
              </w:rPr>
            </w:pPr>
            <w:r>
              <w:rPr>
                <w:rFonts w:hint="eastAsia" w:ascii="宋体" w:hAnsi="宋体" w:cs="宋体"/>
                <w:b/>
                <w:sz w:val="24"/>
                <w:highlight w:val="none"/>
              </w:rPr>
              <w:t>质保期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822" w:type="dxa"/>
            <w:noWrap/>
            <w:vAlign w:val="center"/>
          </w:tcPr>
          <w:p>
            <w:pPr>
              <w:ind w:left="210" w:leftChars="100"/>
              <w:jc w:val="center"/>
              <w:rPr>
                <w:rFonts w:ascii="宋体" w:hAnsi="宋体" w:cs="宋体"/>
                <w:sz w:val="24"/>
                <w:highlight w:val="none"/>
              </w:rPr>
            </w:pPr>
          </w:p>
        </w:tc>
        <w:tc>
          <w:tcPr>
            <w:tcW w:w="4118" w:type="dxa"/>
            <w:noWrap/>
            <w:tcMar>
              <w:top w:w="57" w:type="dxa"/>
              <w:left w:w="28" w:type="dxa"/>
              <w:bottom w:w="57" w:type="dxa"/>
              <w:right w:w="28" w:type="dxa"/>
            </w:tcMar>
            <w:vAlign w:val="center"/>
          </w:tcPr>
          <w:p>
            <w:pPr>
              <w:ind w:left="210" w:leftChars="100"/>
              <w:jc w:val="center"/>
              <w:rPr>
                <w:rFonts w:ascii="宋体" w:hAnsi="宋体" w:cs="宋体"/>
                <w:sz w:val="24"/>
                <w:highlight w:val="none"/>
              </w:rPr>
            </w:pPr>
          </w:p>
        </w:tc>
        <w:tc>
          <w:tcPr>
            <w:tcW w:w="3859" w:type="dxa"/>
            <w:noWrap/>
            <w:tcMar>
              <w:top w:w="57" w:type="dxa"/>
              <w:left w:w="28" w:type="dxa"/>
              <w:bottom w:w="57" w:type="dxa"/>
              <w:right w:w="28" w:type="dxa"/>
            </w:tcMar>
            <w:vAlign w:val="center"/>
          </w:tcPr>
          <w:p>
            <w:pPr>
              <w:ind w:left="210" w:leftChars="100"/>
              <w:jc w:val="center"/>
              <w:rPr>
                <w:rFonts w:ascii="宋体" w:hAnsi="宋体" w:cs="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3799" w:type="dxa"/>
            <w:gridSpan w:val="3"/>
            <w:tcBorders>
              <w:top w:val="single" w:color="auto" w:sz="4" w:space="0"/>
            </w:tcBorders>
            <w:noWrap/>
            <w:vAlign w:val="center"/>
          </w:tcPr>
          <w:p>
            <w:pPr>
              <w:ind w:left="210" w:leftChars="100"/>
              <w:rPr>
                <w:rFonts w:ascii="宋体" w:hAnsi="宋体" w:cs="宋体"/>
                <w:b/>
                <w:sz w:val="24"/>
                <w:highlight w:val="none"/>
              </w:rPr>
            </w:pPr>
          </w:p>
          <w:p>
            <w:pPr>
              <w:ind w:left="210" w:leftChars="100"/>
              <w:rPr>
                <w:rFonts w:ascii="宋体" w:hAnsi="宋体" w:cs="宋体"/>
                <w:b/>
                <w:sz w:val="24"/>
                <w:highlight w:val="none"/>
              </w:rPr>
            </w:pPr>
            <w:r>
              <w:rPr>
                <w:rFonts w:hint="eastAsia" w:ascii="宋体" w:hAnsi="宋体" w:cs="宋体"/>
                <w:b/>
                <w:sz w:val="24"/>
                <w:highlight w:val="none"/>
              </w:rPr>
              <w:t>（大写）（小写）</w:t>
            </w:r>
          </w:p>
        </w:tc>
      </w:tr>
    </w:tbl>
    <w:p>
      <w:pPr>
        <w:spacing w:line="500" w:lineRule="exact"/>
        <w:rPr>
          <w:rFonts w:ascii="仿宋" w:hAnsi="仿宋" w:eastAsia="仿宋" w:cs="仿宋"/>
          <w:highlight w:val="none"/>
        </w:rPr>
      </w:pPr>
    </w:p>
    <w:p>
      <w:pPr>
        <w:spacing w:line="360" w:lineRule="auto"/>
        <w:rPr>
          <w:rFonts w:ascii="宋体" w:hAnsi="宋体" w:cs="宋体"/>
          <w:highlight w:val="none"/>
        </w:rPr>
      </w:pPr>
    </w:p>
    <w:p>
      <w:pPr>
        <w:spacing w:line="360" w:lineRule="auto"/>
        <w:rPr>
          <w:rFonts w:hint="eastAsia" w:ascii="宋体" w:hAnsi="宋体" w:eastAsia="宋体" w:cs="宋体"/>
          <w:highlight w:val="none"/>
          <w:u w:val="single"/>
        </w:rPr>
      </w:pPr>
      <w:r>
        <w:rPr>
          <w:rFonts w:hint="eastAsia" w:ascii="宋体" w:hAnsi="宋体" w:eastAsia="宋体" w:cs="宋体"/>
          <w:highlight w:val="none"/>
        </w:rPr>
        <w:t>投标人名称（公章）：</w:t>
      </w:r>
      <w:r>
        <w:rPr>
          <w:rFonts w:hint="eastAsia" w:ascii="宋体" w:hAnsi="宋体" w:eastAsia="宋体" w:cs="宋体"/>
          <w:highlight w:val="none"/>
          <w:u w:val="single"/>
        </w:rPr>
        <w:t xml:space="preserve">                    </w:t>
      </w:r>
    </w:p>
    <w:p>
      <w:pPr>
        <w:widowControl/>
        <w:spacing w:line="360" w:lineRule="auto"/>
        <w:ind w:right="480"/>
        <w:rPr>
          <w:rFonts w:hint="eastAsia" w:ascii="宋体" w:hAnsi="宋体" w:eastAsia="宋体" w:cs="宋体"/>
          <w:sz w:val="24"/>
          <w:highlight w:val="none"/>
        </w:rPr>
      </w:pPr>
      <w:r>
        <w:rPr>
          <w:rFonts w:hint="eastAsia" w:ascii="宋体" w:hAnsi="宋体" w:eastAsia="宋体" w:cs="宋体"/>
          <w:highlight w:val="none"/>
        </w:rPr>
        <w:t>法定代表人或被授权人（签字或盖章）：</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日 期：</w:t>
      </w:r>
      <w:r>
        <w:rPr>
          <w:rFonts w:hint="eastAsia" w:ascii="宋体" w:hAnsi="宋体" w:eastAsia="宋体" w:cs="宋体"/>
          <w:highlight w:val="none"/>
          <w:u w:val="single"/>
        </w:rPr>
        <w:t xml:space="preserve">          </w:t>
      </w:r>
    </w:p>
    <w:p>
      <w:pPr>
        <w:spacing w:line="360" w:lineRule="auto"/>
        <w:rPr>
          <w:rFonts w:ascii="宋体" w:hAnsi="宋体" w:cs="宋体"/>
          <w:sz w:val="24"/>
          <w:highlight w:val="none"/>
        </w:rPr>
      </w:pPr>
    </w:p>
    <w:p>
      <w:pPr>
        <w:spacing w:line="360" w:lineRule="auto"/>
        <w:rPr>
          <w:rFonts w:ascii="新宋体" w:hAnsi="新宋体" w:eastAsia="新宋体"/>
          <w:b/>
          <w:sz w:val="24"/>
          <w:highlight w:val="none"/>
        </w:rPr>
      </w:pPr>
      <w:r>
        <w:rPr>
          <w:rFonts w:hint="eastAsia" w:ascii="宋体" w:hAnsi="宋体" w:cs="宋体"/>
          <w:sz w:val="24"/>
          <w:highlight w:val="none"/>
        </w:rPr>
        <w:t>注： 此投标报价表应按“投标人须知”的规定</w:t>
      </w:r>
      <w:r>
        <w:rPr>
          <w:rFonts w:hint="eastAsia" w:ascii="新宋体" w:hAnsi="新宋体" w:eastAsia="新宋体"/>
          <w:sz w:val="24"/>
          <w:highlight w:val="none"/>
        </w:rPr>
        <w:t>密封标记密封</w:t>
      </w:r>
      <w:r>
        <w:rPr>
          <w:rFonts w:hint="eastAsia" w:ascii="新宋体" w:hAnsi="新宋体" w:eastAsia="新宋体"/>
          <w:b/>
          <w:sz w:val="24"/>
          <w:highlight w:val="none"/>
        </w:rPr>
        <w:t>单独提交。</w:t>
      </w:r>
    </w:p>
    <w:p>
      <w:pPr>
        <w:spacing w:line="360" w:lineRule="auto"/>
        <w:rPr>
          <w:rFonts w:ascii="新宋体" w:hAnsi="新宋体" w:eastAsia="新宋体"/>
          <w:b/>
          <w:sz w:val="24"/>
          <w:highlight w:val="none"/>
        </w:rPr>
      </w:pPr>
      <w:r>
        <w:rPr>
          <w:rFonts w:hint="eastAsia" w:ascii="新宋体" w:hAnsi="新宋体" w:eastAsia="新宋体"/>
          <w:b/>
          <w:sz w:val="24"/>
          <w:highlight w:val="none"/>
        </w:rPr>
        <w:t>投标报价应包括服务费用、验收、安装部署费用、调试费用、人员培训及投标等全部费用。</w:t>
      </w:r>
    </w:p>
    <w:p>
      <w:pPr>
        <w:rPr>
          <w:rFonts w:ascii="新宋体" w:hAnsi="新宋体" w:eastAsia="新宋体"/>
          <w:b/>
          <w:sz w:val="24"/>
          <w:highlight w:val="none"/>
        </w:rPr>
      </w:pPr>
      <w:r>
        <w:rPr>
          <w:rFonts w:hint="eastAsia" w:ascii="新宋体" w:hAnsi="新宋体" w:eastAsia="新宋体"/>
          <w:b/>
          <w:sz w:val="24"/>
          <w:highlight w:val="none"/>
        </w:rPr>
        <w:br w:type="page"/>
      </w:r>
    </w:p>
    <w:p>
      <w:pPr>
        <w:numPr>
          <w:ilvl w:val="1"/>
          <w:numId w:val="0"/>
        </w:numPr>
        <w:spacing w:line="360" w:lineRule="auto"/>
        <w:outlineLvl w:val="1"/>
        <w:rPr>
          <w:rFonts w:ascii="宋体" w:hAnsi="宋体" w:cs="宋体"/>
          <w:b/>
          <w:bCs/>
          <w:sz w:val="28"/>
          <w:szCs w:val="28"/>
          <w:highlight w:val="none"/>
        </w:rPr>
      </w:pPr>
      <w:r>
        <w:rPr>
          <w:rFonts w:hint="eastAsia" w:ascii="宋体" w:hAnsi="宋体" w:cs="宋体"/>
          <w:b/>
          <w:bCs/>
          <w:sz w:val="28"/>
          <w:szCs w:val="28"/>
          <w:highlight w:val="none"/>
        </w:rPr>
        <w:t>三、投标报价明细表</w:t>
      </w:r>
    </w:p>
    <w:p>
      <w:pPr>
        <w:rPr>
          <w:rFonts w:ascii="新宋体" w:hAnsi="新宋体" w:eastAsia="新宋体"/>
          <w:b/>
          <w:sz w:val="24"/>
          <w:highlight w:val="none"/>
        </w:rPr>
      </w:pPr>
    </w:p>
    <w:tbl>
      <w:tblPr>
        <w:tblStyle w:val="30"/>
        <w:tblW w:w="136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193"/>
        <w:gridCol w:w="1713"/>
        <w:gridCol w:w="1604"/>
        <w:gridCol w:w="1910"/>
        <w:gridCol w:w="1910"/>
        <w:gridCol w:w="1750"/>
        <w:gridCol w:w="1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21" w:type="dxa"/>
            <w:noWrap/>
            <w:vAlign w:val="center"/>
          </w:tcPr>
          <w:p>
            <w:pPr>
              <w:jc w:val="center"/>
              <w:rPr>
                <w:rFonts w:ascii="宋体" w:hAnsi="宋体" w:cs="宋体"/>
                <w:b/>
                <w:sz w:val="24"/>
                <w:highlight w:val="none"/>
              </w:rPr>
            </w:pPr>
            <w:r>
              <w:rPr>
                <w:rFonts w:hint="eastAsia" w:ascii="宋体" w:hAnsi="宋体" w:cs="宋体"/>
                <w:b/>
                <w:sz w:val="24"/>
                <w:highlight w:val="none"/>
              </w:rPr>
              <w:t>序号</w:t>
            </w:r>
          </w:p>
        </w:tc>
        <w:tc>
          <w:tcPr>
            <w:tcW w:w="2193" w:type="dxa"/>
            <w:noWrap/>
            <w:vAlign w:val="center"/>
          </w:tcPr>
          <w:p>
            <w:pPr>
              <w:jc w:val="center"/>
              <w:rPr>
                <w:rFonts w:ascii="宋体" w:hAnsi="宋体" w:cs="宋体"/>
                <w:b/>
                <w:sz w:val="24"/>
                <w:highlight w:val="none"/>
              </w:rPr>
            </w:pPr>
            <w:r>
              <w:rPr>
                <w:rFonts w:hint="eastAsia" w:ascii="宋体" w:hAnsi="宋体" w:cs="宋体"/>
                <w:b/>
                <w:sz w:val="24"/>
                <w:highlight w:val="none"/>
              </w:rPr>
              <w:t>名称</w:t>
            </w:r>
          </w:p>
        </w:tc>
        <w:tc>
          <w:tcPr>
            <w:tcW w:w="1713" w:type="dxa"/>
            <w:noWrap/>
            <w:vAlign w:val="center"/>
          </w:tcPr>
          <w:p>
            <w:pPr>
              <w:ind w:firstLine="116" w:firstLineChars="48"/>
              <w:jc w:val="center"/>
              <w:rPr>
                <w:rFonts w:ascii="宋体" w:hAnsi="宋体" w:cs="宋体"/>
                <w:b/>
                <w:sz w:val="24"/>
                <w:highlight w:val="none"/>
              </w:rPr>
            </w:pPr>
            <w:r>
              <w:rPr>
                <w:rFonts w:hint="eastAsia" w:ascii="宋体" w:hAnsi="宋体" w:cs="宋体"/>
                <w:b/>
                <w:sz w:val="24"/>
                <w:highlight w:val="none"/>
              </w:rPr>
              <w:t>品牌型号</w:t>
            </w:r>
          </w:p>
        </w:tc>
        <w:tc>
          <w:tcPr>
            <w:tcW w:w="1604" w:type="dxa"/>
            <w:noWrap/>
            <w:vAlign w:val="center"/>
          </w:tcPr>
          <w:p>
            <w:pPr>
              <w:ind w:left="13" w:leftChars="6"/>
              <w:jc w:val="center"/>
              <w:rPr>
                <w:rFonts w:ascii="宋体" w:hAnsi="宋体" w:cs="宋体"/>
                <w:b/>
                <w:sz w:val="24"/>
                <w:highlight w:val="none"/>
              </w:rPr>
            </w:pPr>
            <w:r>
              <w:rPr>
                <w:rFonts w:hint="eastAsia" w:ascii="宋体" w:hAnsi="宋体" w:cs="宋体"/>
                <w:b/>
                <w:sz w:val="24"/>
                <w:highlight w:val="none"/>
              </w:rPr>
              <w:t>单位</w:t>
            </w:r>
          </w:p>
        </w:tc>
        <w:tc>
          <w:tcPr>
            <w:tcW w:w="1910" w:type="dxa"/>
            <w:noWrap/>
            <w:tcMar>
              <w:top w:w="28" w:type="dxa"/>
              <w:left w:w="57" w:type="dxa"/>
              <w:bottom w:w="28" w:type="dxa"/>
              <w:right w:w="57" w:type="dxa"/>
            </w:tcMar>
            <w:vAlign w:val="center"/>
          </w:tcPr>
          <w:p>
            <w:pPr>
              <w:ind w:left="46" w:leftChars="22"/>
              <w:jc w:val="center"/>
              <w:rPr>
                <w:rFonts w:ascii="宋体" w:hAnsi="宋体" w:cs="宋体"/>
                <w:b/>
                <w:sz w:val="24"/>
                <w:highlight w:val="none"/>
              </w:rPr>
            </w:pPr>
            <w:r>
              <w:rPr>
                <w:rFonts w:hint="eastAsia" w:ascii="宋体" w:hAnsi="宋体" w:cs="宋体"/>
                <w:b/>
                <w:sz w:val="24"/>
                <w:highlight w:val="none"/>
              </w:rPr>
              <w:t>数量</w:t>
            </w:r>
          </w:p>
        </w:tc>
        <w:tc>
          <w:tcPr>
            <w:tcW w:w="1910" w:type="dxa"/>
            <w:noWrap/>
            <w:tcMar>
              <w:top w:w="28" w:type="dxa"/>
              <w:left w:w="57" w:type="dxa"/>
              <w:bottom w:w="28" w:type="dxa"/>
              <w:right w:w="57" w:type="dxa"/>
            </w:tcMar>
            <w:vAlign w:val="center"/>
          </w:tcPr>
          <w:p>
            <w:pPr>
              <w:jc w:val="center"/>
              <w:rPr>
                <w:rFonts w:ascii="宋体" w:hAnsi="宋体" w:cs="宋体"/>
                <w:b/>
                <w:sz w:val="24"/>
                <w:highlight w:val="none"/>
              </w:rPr>
            </w:pPr>
            <w:r>
              <w:rPr>
                <w:rFonts w:hint="eastAsia" w:ascii="宋体" w:hAnsi="宋体" w:cs="宋体"/>
                <w:b/>
                <w:sz w:val="24"/>
                <w:highlight w:val="none"/>
              </w:rPr>
              <w:t>单价</w:t>
            </w:r>
          </w:p>
          <w:p>
            <w:pPr>
              <w:ind w:left="46" w:leftChars="22"/>
              <w:jc w:val="center"/>
              <w:rPr>
                <w:rFonts w:ascii="宋体" w:hAnsi="宋体" w:cs="宋体"/>
                <w:b/>
                <w:sz w:val="24"/>
                <w:highlight w:val="none"/>
              </w:rPr>
            </w:pPr>
            <w:r>
              <w:rPr>
                <w:rFonts w:hint="eastAsia" w:ascii="宋体" w:hAnsi="宋体" w:cs="宋体"/>
                <w:b/>
                <w:sz w:val="24"/>
                <w:highlight w:val="none"/>
              </w:rPr>
              <w:t>（人民币元）</w:t>
            </w:r>
          </w:p>
        </w:tc>
        <w:tc>
          <w:tcPr>
            <w:tcW w:w="1750" w:type="dxa"/>
            <w:noWrap/>
            <w:tcMar>
              <w:top w:w="28" w:type="dxa"/>
              <w:left w:w="57" w:type="dxa"/>
              <w:bottom w:w="28" w:type="dxa"/>
              <w:right w:w="57" w:type="dxa"/>
            </w:tcMar>
            <w:vAlign w:val="center"/>
          </w:tcPr>
          <w:p>
            <w:pPr>
              <w:jc w:val="center"/>
              <w:rPr>
                <w:rFonts w:ascii="宋体" w:hAnsi="宋体" w:cs="宋体"/>
                <w:b/>
                <w:sz w:val="24"/>
                <w:highlight w:val="none"/>
              </w:rPr>
            </w:pPr>
            <w:r>
              <w:rPr>
                <w:rFonts w:hint="eastAsia" w:ascii="宋体" w:hAnsi="宋体" w:cs="宋体"/>
                <w:b/>
                <w:sz w:val="24"/>
                <w:highlight w:val="none"/>
              </w:rPr>
              <w:t>金额</w:t>
            </w:r>
          </w:p>
          <w:p>
            <w:pPr>
              <w:jc w:val="center"/>
              <w:rPr>
                <w:rFonts w:ascii="宋体" w:hAnsi="宋体" w:cs="宋体"/>
                <w:b/>
                <w:sz w:val="24"/>
                <w:highlight w:val="none"/>
              </w:rPr>
            </w:pPr>
            <w:r>
              <w:rPr>
                <w:rFonts w:hint="eastAsia" w:ascii="宋体" w:hAnsi="宋体" w:cs="宋体"/>
                <w:b/>
                <w:sz w:val="24"/>
                <w:highlight w:val="none"/>
              </w:rPr>
              <w:t>（人民币元）</w:t>
            </w:r>
          </w:p>
        </w:tc>
        <w:tc>
          <w:tcPr>
            <w:tcW w:w="1522" w:type="dxa"/>
            <w:noWrap/>
            <w:tcMar>
              <w:top w:w="28" w:type="dxa"/>
              <w:left w:w="57" w:type="dxa"/>
              <w:bottom w:w="28" w:type="dxa"/>
              <w:right w:w="57" w:type="dxa"/>
            </w:tcMar>
            <w:vAlign w:val="center"/>
          </w:tcPr>
          <w:p>
            <w:pPr>
              <w:ind w:left="210" w:leftChars="100"/>
              <w:jc w:val="center"/>
              <w:rPr>
                <w:rFonts w:ascii="宋体" w:hAnsi="宋体" w:cs="宋体"/>
                <w:b/>
                <w:sz w:val="24"/>
                <w:highlight w:val="none"/>
              </w:rPr>
            </w:pPr>
            <w:r>
              <w:rPr>
                <w:rFonts w:hint="eastAsia" w:ascii="宋体" w:hAnsi="宋体" w:cs="宋体"/>
                <w:b/>
                <w:sz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021"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2193"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713"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604"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910"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910"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750"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522"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21"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2193"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713"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604"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910"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910"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750"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522"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21"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2193"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713"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604"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910"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910"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750"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c>
          <w:tcPr>
            <w:tcW w:w="1522" w:type="dxa"/>
            <w:tcBorders>
              <w:bottom w:val="single" w:color="auto" w:sz="4" w:space="0"/>
            </w:tcBorders>
            <w:noWrap/>
            <w:tcMar>
              <w:left w:w="57" w:type="dxa"/>
              <w:right w:w="57" w:type="dxa"/>
            </w:tcMar>
            <w:vAlign w:val="center"/>
          </w:tcPr>
          <w:p>
            <w:pPr>
              <w:ind w:left="210" w:leftChars="100"/>
              <w:jc w:val="center"/>
              <w:rPr>
                <w:rFonts w:ascii="宋体" w:hAnsi="宋体" w:cs="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1" w:type="dxa"/>
            <w:noWrap/>
            <w:tcMar>
              <w:left w:w="57" w:type="dxa"/>
              <w:right w:w="57" w:type="dxa"/>
            </w:tcMar>
            <w:vAlign w:val="center"/>
          </w:tcPr>
          <w:p>
            <w:pPr>
              <w:ind w:left="210" w:leftChars="100"/>
              <w:jc w:val="center"/>
              <w:rPr>
                <w:rFonts w:ascii="宋体" w:hAnsi="宋体" w:cs="宋体"/>
                <w:sz w:val="24"/>
                <w:highlight w:val="none"/>
              </w:rPr>
            </w:pPr>
          </w:p>
        </w:tc>
        <w:tc>
          <w:tcPr>
            <w:tcW w:w="2193" w:type="dxa"/>
            <w:noWrap/>
            <w:tcMar>
              <w:left w:w="57" w:type="dxa"/>
              <w:right w:w="57" w:type="dxa"/>
            </w:tcMar>
            <w:vAlign w:val="center"/>
          </w:tcPr>
          <w:p>
            <w:pPr>
              <w:ind w:left="210" w:leftChars="100"/>
              <w:jc w:val="center"/>
              <w:rPr>
                <w:rFonts w:ascii="宋体" w:hAnsi="宋体" w:cs="宋体"/>
                <w:sz w:val="24"/>
                <w:highlight w:val="none"/>
              </w:rPr>
            </w:pPr>
          </w:p>
        </w:tc>
        <w:tc>
          <w:tcPr>
            <w:tcW w:w="1713" w:type="dxa"/>
            <w:noWrap/>
            <w:tcMar>
              <w:left w:w="57" w:type="dxa"/>
              <w:right w:w="57" w:type="dxa"/>
            </w:tcMar>
            <w:vAlign w:val="center"/>
          </w:tcPr>
          <w:p>
            <w:pPr>
              <w:ind w:left="210" w:leftChars="100"/>
              <w:jc w:val="center"/>
              <w:rPr>
                <w:rFonts w:ascii="宋体" w:hAnsi="宋体" w:cs="宋体"/>
                <w:sz w:val="24"/>
                <w:highlight w:val="none"/>
              </w:rPr>
            </w:pPr>
          </w:p>
        </w:tc>
        <w:tc>
          <w:tcPr>
            <w:tcW w:w="1604" w:type="dxa"/>
            <w:noWrap/>
            <w:tcMar>
              <w:left w:w="57" w:type="dxa"/>
              <w:right w:w="57" w:type="dxa"/>
            </w:tcMar>
            <w:vAlign w:val="center"/>
          </w:tcPr>
          <w:p>
            <w:pPr>
              <w:ind w:left="210" w:leftChars="100"/>
              <w:jc w:val="center"/>
              <w:rPr>
                <w:rFonts w:ascii="宋体" w:hAnsi="宋体" w:cs="宋体"/>
                <w:sz w:val="24"/>
                <w:highlight w:val="none"/>
              </w:rPr>
            </w:pPr>
          </w:p>
        </w:tc>
        <w:tc>
          <w:tcPr>
            <w:tcW w:w="1910" w:type="dxa"/>
            <w:noWrap/>
            <w:tcMar>
              <w:left w:w="57" w:type="dxa"/>
              <w:right w:w="57" w:type="dxa"/>
            </w:tcMar>
            <w:vAlign w:val="center"/>
          </w:tcPr>
          <w:p>
            <w:pPr>
              <w:ind w:left="210" w:leftChars="100"/>
              <w:jc w:val="center"/>
              <w:rPr>
                <w:rFonts w:ascii="宋体" w:hAnsi="宋体" w:cs="宋体"/>
                <w:sz w:val="24"/>
                <w:highlight w:val="none"/>
              </w:rPr>
            </w:pPr>
          </w:p>
        </w:tc>
        <w:tc>
          <w:tcPr>
            <w:tcW w:w="1910" w:type="dxa"/>
            <w:noWrap/>
            <w:tcMar>
              <w:left w:w="57" w:type="dxa"/>
              <w:right w:w="57" w:type="dxa"/>
            </w:tcMar>
            <w:vAlign w:val="center"/>
          </w:tcPr>
          <w:p>
            <w:pPr>
              <w:ind w:left="210" w:leftChars="100"/>
              <w:jc w:val="center"/>
              <w:rPr>
                <w:rFonts w:ascii="宋体" w:hAnsi="宋体" w:cs="宋体"/>
                <w:sz w:val="24"/>
                <w:highlight w:val="none"/>
              </w:rPr>
            </w:pPr>
          </w:p>
        </w:tc>
        <w:tc>
          <w:tcPr>
            <w:tcW w:w="1750" w:type="dxa"/>
            <w:noWrap/>
            <w:tcMar>
              <w:left w:w="57" w:type="dxa"/>
              <w:right w:w="57" w:type="dxa"/>
            </w:tcMar>
            <w:vAlign w:val="center"/>
          </w:tcPr>
          <w:p>
            <w:pPr>
              <w:ind w:left="210" w:leftChars="100"/>
              <w:jc w:val="center"/>
              <w:rPr>
                <w:rFonts w:ascii="宋体" w:hAnsi="宋体" w:cs="宋体"/>
                <w:sz w:val="24"/>
                <w:highlight w:val="none"/>
              </w:rPr>
            </w:pPr>
          </w:p>
        </w:tc>
        <w:tc>
          <w:tcPr>
            <w:tcW w:w="1522" w:type="dxa"/>
            <w:noWrap/>
            <w:tcMar>
              <w:left w:w="57" w:type="dxa"/>
              <w:right w:w="57" w:type="dxa"/>
            </w:tcMar>
            <w:vAlign w:val="center"/>
          </w:tcPr>
          <w:p>
            <w:pPr>
              <w:ind w:left="210" w:leftChars="100"/>
              <w:jc w:val="center"/>
              <w:rPr>
                <w:rFonts w:ascii="宋体" w:hAnsi="宋体" w:cs="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1" w:type="dxa"/>
            <w:noWrap/>
            <w:tcMar>
              <w:left w:w="57" w:type="dxa"/>
              <w:right w:w="57" w:type="dxa"/>
            </w:tcMar>
            <w:vAlign w:val="center"/>
          </w:tcPr>
          <w:p>
            <w:pPr>
              <w:ind w:left="210" w:leftChars="100"/>
              <w:jc w:val="center"/>
              <w:rPr>
                <w:rFonts w:ascii="宋体" w:hAnsi="宋体" w:cs="宋体"/>
                <w:sz w:val="24"/>
                <w:highlight w:val="none"/>
              </w:rPr>
            </w:pPr>
          </w:p>
        </w:tc>
        <w:tc>
          <w:tcPr>
            <w:tcW w:w="2193" w:type="dxa"/>
            <w:noWrap/>
            <w:tcMar>
              <w:left w:w="57" w:type="dxa"/>
              <w:right w:w="57" w:type="dxa"/>
            </w:tcMar>
            <w:vAlign w:val="center"/>
          </w:tcPr>
          <w:p>
            <w:pPr>
              <w:ind w:left="210" w:leftChars="100"/>
              <w:jc w:val="center"/>
              <w:rPr>
                <w:rFonts w:ascii="宋体" w:hAnsi="宋体" w:cs="宋体"/>
                <w:sz w:val="24"/>
                <w:highlight w:val="none"/>
              </w:rPr>
            </w:pPr>
          </w:p>
        </w:tc>
        <w:tc>
          <w:tcPr>
            <w:tcW w:w="1713" w:type="dxa"/>
            <w:noWrap/>
            <w:tcMar>
              <w:left w:w="57" w:type="dxa"/>
              <w:right w:w="57" w:type="dxa"/>
            </w:tcMar>
            <w:vAlign w:val="center"/>
          </w:tcPr>
          <w:p>
            <w:pPr>
              <w:ind w:left="210" w:leftChars="100"/>
              <w:jc w:val="center"/>
              <w:rPr>
                <w:rFonts w:ascii="宋体" w:hAnsi="宋体" w:cs="宋体"/>
                <w:sz w:val="24"/>
                <w:highlight w:val="none"/>
              </w:rPr>
            </w:pPr>
          </w:p>
        </w:tc>
        <w:tc>
          <w:tcPr>
            <w:tcW w:w="1604" w:type="dxa"/>
            <w:noWrap/>
            <w:tcMar>
              <w:left w:w="57" w:type="dxa"/>
              <w:right w:w="57" w:type="dxa"/>
            </w:tcMar>
            <w:vAlign w:val="center"/>
          </w:tcPr>
          <w:p>
            <w:pPr>
              <w:ind w:left="210" w:leftChars="100"/>
              <w:jc w:val="center"/>
              <w:rPr>
                <w:rFonts w:ascii="宋体" w:hAnsi="宋体" w:cs="宋体"/>
                <w:sz w:val="24"/>
                <w:highlight w:val="none"/>
              </w:rPr>
            </w:pPr>
          </w:p>
        </w:tc>
        <w:tc>
          <w:tcPr>
            <w:tcW w:w="1910" w:type="dxa"/>
            <w:noWrap/>
            <w:tcMar>
              <w:left w:w="57" w:type="dxa"/>
              <w:right w:w="57" w:type="dxa"/>
            </w:tcMar>
            <w:vAlign w:val="center"/>
          </w:tcPr>
          <w:p>
            <w:pPr>
              <w:ind w:left="210" w:leftChars="100"/>
              <w:jc w:val="center"/>
              <w:rPr>
                <w:rFonts w:ascii="宋体" w:hAnsi="宋体" w:cs="宋体"/>
                <w:sz w:val="24"/>
                <w:highlight w:val="none"/>
              </w:rPr>
            </w:pPr>
          </w:p>
        </w:tc>
        <w:tc>
          <w:tcPr>
            <w:tcW w:w="1910" w:type="dxa"/>
            <w:noWrap/>
            <w:tcMar>
              <w:left w:w="57" w:type="dxa"/>
              <w:right w:w="57" w:type="dxa"/>
            </w:tcMar>
            <w:vAlign w:val="center"/>
          </w:tcPr>
          <w:p>
            <w:pPr>
              <w:ind w:left="210" w:leftChars="100"/>
              <w:jc w:val="center"/>
              <w:rPr>
                <w:rFonts w:ascii="宋体" w:hAnsi="宋体" w:cs="宋体"/>
                <w:sz w:val="24"/>
                <w:highlight w:val="none"/>
              </w:rPr>
            </w:pPr>
          </w:p>
        </w:tc>
        <w:tc>
          <w:tcPr>
            <w:tcW w:w="1750" w:type="dxa"/>
            <w:noWrap/>
            <w:tcMar>
              <w:left w:w="57" w:type="dxa"/>
              <w:right w:w="57" w:type="dxa"/>
            </w:tcMar>
            <w:vAlign w:val="center"/>
          </w:tcPr>
          <w:p>
            <w:pPr>
              <w:ind w:left="210" w:leftChars="100"/>
              <w:jc w:val="center"/>
              <w:rPr>
                <w:rFonts w:ascii="宋体" w:hAnsi="宋体" w:cs="宋体"/>
                <w:sz w:val="24"/>
                <w:highlight w:val="none"/>
              </w:rPr>
            </w:pPr>
          </w:p>
        </w:tc>
        <w:tc>
          <w:tcPr>
            <w:tcW w:w="1522" w:type="dxa"/>
            <w:noWrap/>
            <w:tcMar>
              <w:left w:w="57" w:type="dxa"/>
              <w:right w:w="57" w:type="dxa"/>
            </w:tcMar>
            <w:vAlign w:val="center"/>
          </w:tcPr>
          <w:p>
            <w:pPr>
              <w:ind w:left="210" w:leftChars="100"/>
              <w:jc w:val="center"/>
              <w:rPr>
                <w:rFonts w:ascii="宋体" w:hAnsi="宋体" w:cs="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1" w:type="dxa"/>
            <w:noWrap/>
            <w:tcMar>
              <w:left w:w="57" w:type="dxa"/>
              <w:right w:w="57" w:type="dxa"/>
            </w:tcMar>
            <w:vAlign w:val="center"/>
          </w:tcPr>
          <w:p>
            <w:pPr>
              <w:ind w:left="210" w:leftChars="100"/>
              <w:jc w:val="center"/>
              <w:rPr>
                <w:rFonts w:ascii="宋体" w:hAnsi="宋体" w:cs="宋体"/>
                <w:sz w:val="24"/>
                <w:highlight w:val="none"/>
              </w:rPr>
            </w:pPr>
          </w:p>
        </w:tc>
        <w:tc>
          <w:tcPr>
            <w:tcW w:w="2193" w:type="dxa"/>
            <w:noWrap/>
            <w:tcMar>
              <w:left w:w="57" w:type="dxa"/>
              <w:right w:w="57" w:type="dxa"/>
            </w:tcMar>
            <w:vAlign w:val="center"/>
          </w:tcPr>
          <w:p>
            <w:pPr>
              <w:ind w:left="210" w:leftChars="100"/>
              <w:jc w:val="center"/>
              <w:rPr>
                <w:rFonts w:ascii="宋体" w:hAnsi="宋体" w:cs="宋体"/>
                <w:sz w:val="24"/>
                <w:highlight w:val="none"/>
              </w:rPr>
            </w:pPr>
          </w:p>
        </w:tc>
        <w:tc>
          <w:tcPr>
            <w:tcW w:w="1713" w:type="dxa"/>
            <w:noWrap/>
            <w:tcMar>
              <w:left w:w="57" w:type="dxa"/>
              <w:right w:w="57" w:type="dxa"/>
            </w:tcMar>
            <w:vAlign w:val="center"/>
          </w:tcPr>
          <w:p>
            <w:pPr>
              <w:ind w:left="210" w:leftChars="100"/>
              <w:jc w:val="center"/>
              <w:rPr>
                <w:rFonts w:ascii="宋体" w:hAnsi="宋体" w:cs="宋体"/>
                <w:sz w:val="24"/>
                <w:highlight w:val="none"/>
              </w:rPr>
            </w:pPr>
          </w:p>
        </w:tc>
        <w:tc>
          <w:tcPr>
            <w:tcW w:w="1604" w:type="dxa"/>
            <w:noWrap/>
            <w:tcMar>
              <w:left w:w="57" w:type="dxa"/>
              <w:right w:w="57" w:type="dxa"/>
            </w:tcMar>
            <w:vAlign w:val="center"/>
          </w:tcPr>
          <w:p>
            <w:pPr>
              <w:ind w:left="210" w:leftChars="100"/>
              <w:jc w:val="center"/>
              <w:rPr>
                <w:rFonts w:ascii="宋体" w:hAnsi="宋体" w:cs="宋体"/>
                <w:sz w:val="24"/>
                <w:highlight w:val="none"/>
              </w:rPr>
            </w:pPr>
          </w:p>
        </w:tc>
        <w:tc>
          <w:tcPr>
            <w:tcW w:w="1910" w:type="dxa"/>
            <w:noWrap/>
            <w:tcMar>
              <w:left w:w="57" w:type="dxa"/>
              <w:right w:w="57" w:type="dxa"/>
            </w:tcMar>
            <w:vAlign w:val="center"/>
          </w:tcPr>
          <w:p>
            <w:pPr>
              <w:ind w:left="210" w:leftChars="100"/>
              <w:jc w:val="center"/>
              <w:rPr>
                <w:rFonts w:ascii="宋体" w:hAnsi="宋体" w:cs="宋体"/>
                <w:sz w:val="24"/>
                <w:highlight w:val="none"/>
              </w:rPr>
            </w:pPr>
          </w:p>
        </w:tc>
        <w:tc>
          <w:tcPr>
            <w:tcW w:w="1910" w:type="dxa"/>
            <w:noWrap/>
            <w:tcMar>
              <w:left w:w="57" w:type="dxa"/>
              <w:right w:w="57" w:type="dxa"/>
            </w:tcMar>
            <w:vAlign w:val="center"/>
          </w:tcPr>
          <w:p>
            <w:pPr>
              <w:ind w:left="210" w:leftChars="100"/>
              <w:jc w:val="center"/>
              <w:rPr>
                <w:rFonts w:ascii="宋体" w:hAnsi="宋体" w:cs="宋体"/>
                <w:sz w:val="24"/>
                <w:highlight w:val="none"/>
              </w:rPr>
            </w:pPr>
          </w:p>
        </w:tc>
        <w:tc>
          <w:tcPr>
            <w:tcW w:w="1750" w:type="dxa"/>
            <w:noWrap/>
            <w:tcMar>
              <w:left w:w="57" w:type="dxa"/>
              <w:right w:w="57" w:type="dxa"/>
            </w:tcMar>
            <w:vAlign w:val="center"/>
          </w:tcPr>
          <w:p>
            <w:pPr>
              <w:ind w:left="210" w:leftChars="100"/>
              <w:jc w:val="center"/>
              <w:rPr>
                <w:rFonts w:ascii="宋体" w:hAnsi="宋体" w:cs="宋体"/>
                <w:sz w:val="24"/>
                <w:highlight w:val="none"/>
              </w:rPr>
            </w:pPr>
          </w:p>
        </w:tc>
        <w:tc>
          <w:tcPr>
            <w:tcW w:w="1522" w:type="dxa"/>
            <w:noWrap/>
            <w:tcMar>
              <w:left w:w="57" w:type="dxa"/>
              <w:right w:w="57" w:type="dxa"/>
            </w:tcMar>
            <w:vAlign w:val="center"/>
          </w:tcPr>
          <w:p>
            <w:pPr>
              <w:ind w:left="210" w:leftChars="100"/>
              <w:jc w:val="center"/>
              <w:rPr>
                <w:rFonts w:ascii="宋体" w:hAnsi="宋体" w:cs="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1" w:type="dxa"/>
            <w:noWrap/>
            <w:tcMar>
              <w:left w:w="57" w:type="dxa"/>
              <w:right w:w="57" w:type="dxa"/>
            </w:tcMar>
            <w:vAlign w:val="center"/>
          </w:tcPr>
          <w:p>
            <w:pPr>
              <w:ind w:left="210" w:leftChars="100"/>
              <w:jc w:val="center"/>
              <w:rPr>
                <w:rFonts w:ascii="宋体" w:hAnsi="宋体" w:cs="宋体"/>
                <w:sz w:val="24"/>
                <w:highlight w:val="none"/>
              </w:rPr>
            </w:pPr>
          </w:p>
        </w:tc>
        <w:tc>
          <w:tcPr>
            <w:tcW w:w="2193" w:type="dxa"/>
            <w:noWrap/>
            <w:tcMar>
              <w:left w:w="57" w:type="dxa"/>
              <w:right w:w="57" w:type="dxa"/>
            </w:tcMar>
            <w:vAlign w:val="center"/>
          </w:tcPr>
          <w:p>
            <w:pPr>
              <w:ind w:left="210" w:leftChars="100"/>
              <w:jc w:val="center"/>
              <w:rPr>
                <w:rFonts w:ascii="宋体" w:hAnsi="宋体" w:cs="宋体"/>
                <w:sz w:val="24"/>
                <w:highlight w:val="none"/>
              </w:rPr>
            </w:pPr>
          </w:p>
        </w:tc>
        <w:tc>
          <w:tcPr>
            <w:tcW w:w="1713" w:type="dxa"/>
            <w:noWrap/>
            <w:tcMar>
              <w:left w:w="57" w:type="dxa"/>
              <w:right w:w="57" w:type="dxa"/>
            </w:tcMar>
            <w:vAlign w:val="center"/>
          </w:tcPr>
          <w:p>
            <w:pPr>
              <w:ind w:left="210" w:leftChars="100"/>
              <w:jc w:val="center"/>
              <w:rPr>
                <w:rFonts w:ascii="宋体" w:hAnsi="宋体" w:cs="宋体"/>
                <w:sz w:val="24"/>
                <w:highlight w:val="none"/>
              </w:rPr>
            </w:pPr>
          </w:p>
        </w:tc>
        <w:tc>
          <w:tcPr>
            <w:tcW w:w="1604" w:type="dxa"/>
            <w:noWrap/>
            <w:tcMar>
              <w:left w:w="57" w:type="dxa"/>
              <w:right w:w="57" w:type="dxa"/>
            </w:tcMar>
            <w:vAlign w:val="center"/>
          </w:tcPr>
          <w:p>
            <w:pPr>
              <w:ind w:left="210" w:leftChars="100"/>
              <w:jc w:val="center"/>
              <w:rPr>
                <w:rFonts w:ascii="宋体" w:hAnsi="宋体" w:cs="宋体"/>
                <w:sz w:val="24"/>
                <w:highlight w:val="none"/>
              </w:rPr>
            </w:pPr>
          </w:p>
        </w:tc>
        <w:tc>
          <w:tcPr>
            <w:tcW w:w="1910" w:type="dxa"/>
            <w:noWrap/>
            <w:tcMar>
              <w:left w:w="57" w:type="dxa"/>
              <w:right w:w="57" w:type="dxa"/>
            </w:tcMar>
            <w:vAlign w:val="center"/>
          </w:tcPr>
          <w:p>
            <w:pPr>
              <w:ind w:left="210" w:leftChars="100"/>
              <w:jc w:val="center"/>
              <w:rPr>
                <w:rFonts w:ascii="宋体" w:hAnsi="宋体" w:cs="宋体"/>
                <w:sz w:val="24"/>
                <w:highlight w:val="none"/>
              </w:rPr>
            </w:pPr>
          </w:p>
        </w:tc>
        <w:tc>
          <w:tcPr>
            <w:tcW w:w="1910" w:type="dxa"/>
            <w:noWrap/>
            <w:tcMar>
              <w:left w:w="57" w:type="dxa"/>
              <w:right w:w="57" w:type="dxa"/>
            </w:tcMar>
            <w:vAlign w:val="center"/>
          </w:tcPr>
          <w:p>
            <w:pPr>
              <w:ind w:left="210" w:leftChars="100"/>
              <w:jc w:val="center"/>
              <w:rPr>
                <w:rFonts w:ascii="宋体" w:hAnsi="宋体" w:cs="宋体"/>
                <w:sz w:val="24"/>
                <w:highlight w:val="none"/>
              </w:rPr>
            </w:pPr>
          </w:p>
        </w:tc>
        <w:tc>
          <w:tcPr>
            <w:tcW w:w="1750" w:type="dxa"/>
            <w:noWrap/>
            <w:tcMar>
              <w:left w:w="57" w:type="dxa"/>
              <w:right w:w="57" w:type="dxa"/>
            </w:tcMar>
            <w:vAlign w:val="center"/>
          </w:tcPr>
          <w:p>
            <w:pPr>
              <w:ind w:left="210" w:leftChars="100"/>
              <w:jc w:val="center"/>
              <w:rPr>
                <w:rFonts w:ascii="宋体" w:hAnsi="宋体" w:cs="宋体"/>
                <w:sz w:val="24"/>
                <w:highlight w:val="none"/>
              </w:rPr>
            </w:pPr>
          </w:p>
        </w:tc>
        <w:tc>
          <w:tcPr>
            <w:tcW w:w="1522" w:type="dxa"/>
            <w:noWrap/>
            <w:tcMar>
              <w:left w:w="57" w:type="dxa"/>
              <w:right w:w="57" w:type="dxa"/>
            </w:tcMar>
            <w:vAlign w:val="center"/>
          </w:tcPr>
          <w:p>
            <w:pPr>
              <w:ind w:left="210" w:leftChars="100"/>
              <w:jc w:val="center"/>
              <w:rPr>
                <w:rFonts w:ascii="宋体" w:hAnsi="宋体" w:cs="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14" w:type="dxa"/>
            <w:gridSpan w:val="2"/>
            <w:noWrap/>
            <w:tcMar>
              <w:left w:w="57" w:type="dxa"/>
              <w:right w:w="57" w:type="dxa"/>
            </w:tcMar>
            <w:vAlign w:val="center"/>
          </w:tcPr>
          <w:p>
            <w:pPr>
              <w:ind w:left="210" w:leftChars="100"/>
              <w:jc w:val="center"/>
              <w:rPr>
                <w:rFonts w:ascii="宋体" w:hAnsi="宋体" w:cs="宋体"/>
                <w:sz w:val="24"/>
                <w:highlight w:val="none"/>
              </w:rPr>
            </w:pPr>
            <w:r>
              <w:rPr>
                <w:rFonts w:hint="eastAsia" w:ascii="宋体" w:hAnsi="宋体" w:cs="宋体"/>
                <w:sz w:val="24"/>
                <w:highlight w:val="none"/>
              </w:rPr>
              <w:t>总 计（人民币元）</w:t>
            </w:r>
          </w:p>
        </w:tc>
        <w:tc>
          <w:tcPr>
            <w:tcW w:w="10409" w:type="dxa"/>
            <w:gridSpan w:val="6"/>
            <w:noWrap/>
            <w:tcMar>
              <w:left w:w="57" w:type="dxa"/>
              <w:right w:w="57" w:type="dxa"/>
            </w:tcMar>
            <w:vAlign w:val="center"/>
          </w:tcPr>
          <w:p>
            <w:pPr>
              <w:ind w:left="210" w:leftChars="100"/>
              <w:jc w:val="center"/>
              <w:rPr>
                <w:rFonts w:ascii="宋体" w:hAnsi="宋体" w:cs="宋体"/>
                <w:sz w:val="24"/>
                <w:highlight w:val="none"/>
              </w:rPr>
            </w:pPr>
          </w:p>
        </w:tc>
      </w:tr>
    </w:tbl>
    <w:p>
      <w:pPr>
        <w:spacing w:line="500" w:lineRule="exact"/>
        <w:rPr>
          <w:rFonts w:ascii="仿宋" w:hAnsi="仿宋" w:eastAsia="仿宋" w:cs="仿宋"/>
          <w:highlight w:val="none"/>
        </w:rPr>
      </w:pPr>
    </w:p>
    <w:p>
      <w:pPr>
        <w:spacing w:line="500" w:lineRule="exact"/>
        <w:rPr>
          <w:rFonts w:hint="eastAsia" w:ascii="宋体" w:hAnsi="宋体" w:eastAsia="宋体" w:cs="宋体"/>
          <w:highlight w:val="none"/>
          <w:u w:val="single"/>
        </w:rPr>
      </w:pPr>
      <w:r>
        <w:rPr>
          <w:rFonts w:hint="eastAsia" w:ascii="宋体" w:hAnsi="宋体" w:eastAsia="宋体" w:cs="宋体"/>
          <w:highlight w:val="none"/>
        </w:rPr>
        <w:t>投标人名称（公章）：</w:t>
      </w:r>
      <w:r>
        <w:rPr>
          <w:rFonts w:hint="eastAsia" w:ascii="宋体" w:hAnsi="宋体" w:eastAsia="宋体" w:cs="宋体"/>
          <w:highlight w:val="none"/>
          <w:u w:val="single"/>
        </w:rPr>
        <w:t xml:space="preserve">                    </w:t>
      </w:r>
    </w:p>
    <w:p>
      <w:pPr>
        <w:spacing w:line="500" w:lineRule="exact"/>
        <w:rPr>
          <w:rFonts w:hint="eastAsia" w:ascii="宋体" w:hAnsi="宋体" w:eastAsia="宋体" w:cs="宋体"/>
          <w:highlight w:val="none"/>
          <w:u w:val="single"/>
        </w:rPr>
      </w:pPr>
      <w:r>
        <w:rPr>
          <w:rFonts w:hint="eastAsia" w:ascii="宋体" w:hAnsi="宋体" w:eastAsia="宋体" w:cs="宋体"/>
          <w:highlight w:val="none"/>
        </w:rPr>
        <w:t>法定代表人或被授权人（签字或盖章）：</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日 期：</w:t>
      </w:r>
      <w:r>
        <w:rPr>
          <w:rFonts w:hint="eastAsia" w:ascii="宋体" w:hAnsi="宋体" w:eastAsia="宋体" w:cs="宋体"/>
          <w:highlight w:val="none"/>
          <w:u w:val="single"/>
        </w:rPr>
        <w:t xml:space="preserve">            </w:t>
      </w:r>
    </w:p>
    <w:p>
      <w:pPr>
        <w:rPr>
          <w:rFonts w:ascii="宋体" w:hAnsi="宋体" w:cs="宋体"/>
          <w:highlight w:val="none"/>
        </w:rPr>
      </w:pPr>
    </w:p>
    <w:p>
      <w:pPr>
        <w:pStyle w:val="29"/>
        <w:rPr>
          <w:highlight w:val="none"/>
        </w:rPr>
        <w:sectPr>
          <w:headerReference r:id="rId11" w:type="first"/>
          <w:footerReference r:id="rId12" w:type="first"/>
          <w:pgSz w:w="16838" w:h="11906" w:orient="landscape"/>
          <w:pgMar w:top="1588" w:right="1191" w:bottom="1588" w:left="1191" w:header="851" w:footer="992" w:gutter="0"/>
          <w:pgNumType w:fmt="decimal"/>
          <w:cols w:space="720" w:num="1"/>
          <w:docGrid w:linePitch="286" w:charSpace="0"/>
        </w:sectPr>
      </w:pPr>
    </w:p>
    <w:bookmarkEnd w:id="15"/>
    <w:p>
      <w:pPr>
        <w:spacing w:line="360" w:lineRule="auto"/>
        <w:outlineLvl w:val="1"/>
        <w:rPr>
          <w:rFonts w:ascii="宋体" w:hAnsi="宋体" w:cs="宋体"/>
          <w:highlight w:val="none"/>
        </w:rPr>
      </w:pPr>
      <w:r>
        <w:rPr>
          <w:rFonts w:hint="eastAsia" w:ascii="宋体" w:hAnsi="宋体" w:cs="宋体"/>
          <w:b/>
          <w:kern w:val="0"/>
          <w:sz w:val="28"/>
          <w:szCs w:val="28"/>
          <w:highlight w:val="none"/>
        </w:rPr>
        <w:t>四、商务条款偏离表</w:t>
      </w:r>
    </w:p>
    <w:p>
      <w:pPr>
        <w:pStyle w:val="15"/>
        <w:spacing w:line="360" w:lineRule="auto"/>
        <w:ind w:firstLine="480" w:firstLineChars="200"/>
        <w:rPr>
          <w:rFonts w:ascii="宋体" w:hAnsi="宋体" w:cs="宋体"/>
          <w:highlight w:val="none"/>
        </w:rPr>
      </w:pPr>
      <w:r>
        <w:rPr>
          <w:rFonts w:ascii="宋体" w:hAnsi="宋体" w:cs="宋体"/>
          <w:color w:val="auto"/>
          <w:highlight w:val="none"/>
        </w:rPr>
        <w:t>〔说明〕供应商应根据其提供的服务，对照</w:t>
      </w:r>
      <w:r>
        <w:rPr>
          <w:rFonts w:hint="eastAsia" w:ascii="宋体" w:hAnsi="宋体" w:cs="宋体"/>
          <w:color w:val="auto"/>
          <w:highlight w:val="none"/>
        </w:rPr>
        <w:t>招标</w:t>
      </w:r>
      <w:r>
        <w:rPr>
          <w:rFonts w:ascii="宋体" w:hAnsi="宋体" w:cs="宋体"/>
          <w:color w:val="auto"/>
          <w:highlight w:val="none"/>
        </w:rPr>
        <w:t>文件</w:t>
      </w:r>
      <w:r>
        <w:rPr>
          <w:rFonts w:hint="eastAsia" w:ascii="宋体" w:hAnsi="宋体" w:cs="宋体"/>
          <w:color w:val="auto"/>
          <w:highlight w:val="none"/>
        </w:rPr>
        <w:t>合同专用条款要求逐条响应，商务条款不可负偏离，否则视为无效投标</w:t>
      </w:r>
      <w:r>
        <w:rPr>
          <w:rFonts w:ascii="宋体" w:hAnsi="宋体" w:cs="宋体"/>
          <w:color w:val="auto"/>
          <w:highlight w:val="none"/>
        </w:rPr>
        <w:t>。</w:t>
      </w:r>
    </w:p>
    <w:p>
      <w:pPr>
        <w:rPr>
          <w:rFonts w:ascii="宋体" w:hAnsi="宋体" w:cs="宋体"/>
          <w:highlight w:val="none"/>
        </w:rPr>
      </w:pPr>
    </w:p>
    <w:p>
      <w:pPr>
        <w:rPr>
          <w:rFonts w:ascii="宋体" w:hAnsi="宋体" w:cs="宋体"/>
          <w:highlight w:val="none"/>
          <w:u w:val="single"/>
        </w:rPr>
      </w:pPr>
      <w:r>
        <w:rPr>
          <w:rFonts w:hint="eastAsia" w:ascii="宋体" w:hAnsi="宋体" w:cs="宋体"/>
          <w:highlight w:val="none"/>
          <w:lang w:eastAsia="zh-CN"/>
        </w:rPr>
        <w:t>项目</w:t>
      </w:r>
      <w:r>
        <w:rPr>
          <w:rFonts w:hint="eastAsia" w:ascii="宋体" w:hAnsi="宋体" w:cs="宋体"/>
          <w:highlight w:val="none"/>
        </w:rPr>
        <w:t>名称：</w:t>
      </w:r>
      <w:r>
        <w:rPr>
          <w:rFonts w:hint="eastAsia" w:ascii="宋体" w:hAnsi="宋体" w:cs="宋体"/>
          <w:highlight w:val="none"/>
          <w:u w:val="single"/>
        </w:rPr>
        <w:t xml:space="preserve">                    </w:t>
      </w:r>
      <w:r>
        <w:rPr>
          <w:rFonts w:hint="eastAsia" w:ascii="宋体" w:hAnsi="宋体" w:cs="宋体"/>
          <w:highlight w:val="none"/>
        </w:rPr>
        <w:t xml:space="preserve">  项目编号：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pStyle w:val="56"/>
        <w:rPr>
          <w:rFonts w:ascii="宋体" w:hAnsi="宋体" w:cs="宋体"/>
          <w:highlight w:val="none"/>
          <w:u w:val="single"/>
        </w:rPr>
      </w:pP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jc w:val="center"/>
              <w:rPr>
                <w:rFonts w:ascii="宋体" w:hAnsi="宋体" w:cs="宋体"/>
                <w:highlight w:val="none"/>
              </w:rPr>
            </w:pPr>
            <w:r>
              <w:rPr>
                <w:rFonts w:hint="eastAsia" w:ascii="宋体" w:hAnsi="宋体" w:cs="宋体"/>
                <w:sz w:val="24"/>
                <w:highlight w:val="none"/>
              </w:rPr>
              <w:t>序号</w:t>
            </w:r>
          </w:p>
        </w:tc>
        <w:tc>
          <w:tcPr>
            <w:tcW w:w="2610" w:type="dxa"/>
            <w:vAlign w:val="center"/>
          </w:tcPr>
          <w:p>
            <w:pPr>
              <w:jc w:val="center"/>
              <w:rPr>
                <w:rFonts w:ascii="宋体" w:hAnsi="宋体" w:cs="宋体"/>
                <w:highlight w:val="none"/>
              </w:rPr>
            </w:pPr>
            <w:r>
              <w:rPr>
                <w:rFonts w:hint="eastAsia" w:ascii="宋体" w:hAnsi="宋体" w:cs="宋体"/>
                <w:sz w:val="24"/>
                <w:highlight w:val="none"/>
              </w:rPr>
              <w:t>招标文件要求</w:t>
            </w:r>
          </w:p>
        </w:tc>
        <w:tc>
          <w:tcPr>
            <w:tcW w:w="2610" w:type="dxa"/>
            <w:vAlign w:val="center"/>
          </w:tcPr>
          <w:p>
            <w:pPr>
              <w:jc w:val="center"/>
              <w:rPr>
                <w:rFonts w:ascii="宋体" w:hAnsi="宋体" w:cs="宋体"/>
                <w:highlight w:val="none"/>
              </w:rPr>
            </w:pPr>
            <w:r>
              <w:rPr>
                <w:rFonts w:hint="eastAsia" w:ascii="宋体" w:hAnsi="宋体" w:cs="宋体"/>
                <w:sz w:val="24"/>
                <w:highlight w:val="none"/>
              </w:rPr>
              <w:t>投标文件内容</w:t>
            </w:r>
          </w:p>
        </w:tc>
        <w:tc>
          <w:tcPr>
            <w:tcW w:w="1896" w:type="dxa"/>
            <w:vAlign w:val="center"/>
          </w:tcPr>
          <w:p>
            <w:pPr>
              <w:jc w:val="center"/>
              <w:rPr>
                <w:rFonts w:ascii="宋体" w:hAnsi="宋体" w:cs="宋体"/>
                <w:highlight w:val="none"/>
              </w:rPr>
            </w:pPr>
            <w:r>
              <w:rPr>
                <w:rFonts w:hint="eastAsia" w:ascii="宋体" w:hAnsi="宋体" w:cs="宋体"/>
                <w:sz w:val="24"/>
                <w:highlight w:val="none"/>
              </w:rPr>
              <w:t>偏离</w:t>
            </w:r>
          </w:p>
        </w:tc>
        <w:tc>
          <w:tcPr>
            <w:tcW w:w="984" w:type="dxa"/>
            <w:vAlign w:val="center"/>
          </w:tcPr>
          <w:p>
            <w:pPr>
              <w:jc w:val="center"/>
              <w:rPr>
                <w:rFonts w:ascii="宋体" w:hAnsi="宋体" w:cs="宋体"/>
                <w:highlight w:val="none"/>
              </w:rPr>
            </w:pPr>
            <w:r>
              <w:rPr>
                <w:rFonts w:hint="eastAsia" w:ascii="宋体" w:hAnsi="宋体" w:cs="宋体"/>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jc w:val="center"/>
              <w:rPr>
                <w:rFonts w:ascii="宋体" w:hAnsi="宋体" w:cs="宋体"/>
                <w:highlight w:val="none"/>
              </w:rPr>
            </w:pPr>
          </w:p>
        </w:tc>
        <w:tc>
          <w:tcPr>
            <w:tcW w:w="2610" w:type="dxa"/>
            <w:vAlign w:val="center"/>
          </w:tcPr>
          <w:p>
            <w:pPr>
              <w:jc w:val="center"/>
              <w:rPr>
                <w:rFonts w:ascii="宋体" w:hAnsi="宋体" w:cs="宋体"/>
                <w:highlight w:val="none"/>
              </w:rPr>
            </w:pPr>
          </w:p>
        </w:tc>
        <w:tc>
          <w:tcPr>
            <w:tcW w:w="2610" w:type="dxa"/>
            <w:vAlign w:val="center"/>
          </w:tcPr>
          <w:p>
            <w:pPr>
              <w:jc w:val="center"/>
              <w:rPr>
                <w:rFonts w:ascii="宋体" w:hAnsi="宋体" w:cs="宋体"/>
                <w:highlight w:val="none"/>
              </w:rPr>
            </w:pPr>
          </w:p>
        </w:tc>
        <w:tc>
          <w:tcPr>
            <w:tcW w:w="1896" w:type="dxa"/>
            <w:vAlign w:val="center"/>
          </w:tcPr>
          <w:p>
            <w:pPr>
              <w:jc w:val="center"/>
              <w:rPr>
                <w:rFonts w:ascii="宋体" w:hAnsi="宋体" w:cs="宋体"/>
                <w:highlight w:val="none"/>
              </w:rPr>
            </w:pPr>
          </w:p>
        </w:tc>
        <w:tc>
          <w:tcPr>
            <w:tcW w:w="984" w:type="dxa"/>
            <w:vAlign w:val="center"/>
          </w:tcPr>
          <w:p>
            <w:pPr>
              <w:jc w:val="center"/>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rPr>
                <w:rFonts w:ascii="宋体" w:hAnsi="宋体" w:cs="宋体"/>
                <w:highlight w:val="none"/>
              </w:rPr>
            </w:pPr>
          </w:p>
        </w:tc>
        <w:tc>
          <w:tcPr>
            <w:tcW w:w="2610" w:type="dxa"/>
          </w:tcPr>
          <w:p>
            <w:pPr>
              <w:rPr>
                <w:rFonts w:ascii="宋体" w:hAnsi="宋体" w:cs="宋体"/>
                <w:highlight w:val="none"/>
              </w:rPr>
            </w:pPr>
          </w:p>
        </w:tc>
        <w:tc>
          <w:tcPr>
            <w:tcW w:w="2610" w:type="dxa"/>
          </w:tcPr>
          <w:p>
            <w:pPr>
              <w:rPr>
                <w:rFonts w:ascii="宋体" w:hAnsi="宋体" w:cs="宋体"/>
                <w:highlight w:val="none"/>
              </w:rPr>
            </w:pPr>
          </w:p>
        </w:tc>
        <w:tc>
          <w:tcPr>
            <w:tcW w:w="1896" w:type="dxa"/>
          </w:tcPr>
          <w:p>
            <w:pPr>
              <w:rPr>
                <w:rFonts w:ascii="宋体" w:hAnsi="宋体" w:cs="宋体"/>
                <w:highlight w:val="none"/>
              </w:rPr>
            </w:pPr>
          </w:p>
        </w:tc>
        <w:tc>
          <w:tcPr>
            <w:tcW w:w="984" w:type="dxa"/>
          </w:tcPr>
          <w:p>
            <w:pPr>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rPr>
                <w:rFonts w:ascii="宋体" w:hAnsi="宋体" w:cs="宋体"/>
                <w:highlight w:val="none"/>
              </w:rPr>
            </w:pPr>
          </w:p>
        </w:tc>
        <w:tc>
          <w:tcPr>
            <w:tcW w:w="2610" w:type="dxa"/>
          </w:tcPr>
          <w:p>
            <w:pPr>
              <w:rPr>
                <w:rFonts w:ascii="宋体" w:hAnsi="宋体" w:cs="宋体"/>
                <w:highlight w:val="none"/>
              </w:rPr>
            </w:pPr>
          </w:p>
        </w:tc>
        <w:tc>
          <w:tcPr>
            <w:tcW w:w="2610" w:type="dxa"/>
          </w:tcPr>
          <w:p>
            <w:pPr>
              <w:rPr>
                <w:rFonts w:ascii="宋体" w:hAnsi="宋体" w:cs="宋体"/>
                <w:highlight w:val="none"/>
              </w:rPr>
            </w:pPr>
          </w:p>
        </w:tc>
        <w:tc>
          <w:tcPr>
            <w:tcW w:w="1896" w:type="dxa"/>
          </w:tcPr>
          <w:p>
            <w:pPr>
              <w:rPr>
                <w:rFonts w:ascii="宋体" w:hAnsi="宋体" w:cs="宋体"/>
                <w:highlight w:val="none"/>
              </w:rPr>
            </w:pPr>
          </w:p>
        </w:tc>
        <w:tc>
          <w:tcPr>
            <w:tcW w:w="984" w:type="dxa"/>
          </w:tcPr>
          <w:p>
            <w:pPr>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rPr>
                <w:rFonts w:ascii="宋体" w:hAnsi="宋体" w:cs="宋体"/>
                <w:highlight w:val="none"/>
              </w:rPr>
            </w:pPr>
          </w:p>
        </w:tc>
        <w:tc>
          <w:tcPr>
            <w:tcW w:w="2610" w:type="dxa"/>
          </w:tcPr>
          <w:p>
            <w:pPr>
              <w:rPr>
                <w:rFonts w:ascii="宋体" w:hAnsi="宋体" w:cs="宋体"/>
                <w:highlight w:val="none"/>
              </w:rPr>
            </w:pPr>
          </w:p>
        </w:tc>
        <w:tc>
          <w:tcPr>
            <w:tcW w:w="2610" w:type="dxa"/>
          </w:tcPr>
          <w:p>
            <w:pPr>
              <w:rPr>
                <w:rFonts w:ascii="宋体" w:hAnsi="宋体" w:cs="宋体"/>
                <w:highlight w:val="none"/>
              </w:rPr>
            </w:pPr>
          </w:p>
        </w:tc>
        <w:tc>
          <w:tcPr>
            <w:tcW w:w="1896" w:type="dxa"/>
          </w:tcPr>
          <w:p>
            <w:pPr>
              <w:rPr>
                <w:rFonts w:ascii="宋体" w:hAnsi="宋体" w:cs="宋体"/>
                <w:highlight w:val="none"/>
              </w:rPr>
            </w:pPr>
          </w:p>
        </w:tc>
        <w:tc>
          <w:tcPr>
            <w:tcW w:w="984" w:type="dxa"/>
          </w:tcPr>
          <w:p>
            <w:pPr>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rPr>
                <w:rFonts w:ascii="宋体" w:hAnsi="宋体" w:cs="宋体"/>
                <w:highlight w:val="none"/>
              </w:rPr>
            </w:pPr>
          </w:p>
        </w:tc>
        <w:tc>
          <w:tcPr>
            <w:tcW w:w="2610" w:type="dxa"/>
          </w:tcPr>
          <w:p>
            <w:pPr>
              <w:rPr>
                <w:rFonts w:ascii="宋体" w:hAnsi="宋体" w:cs="宋体"/>
                <w:highlight w:val="none"/>
              </w:rPr>
            </w:pPr>
          </w:p>
        </w:tc>
        <w:tc>
          <w:tcPr>
            <w:tcW w:w="2610" w:type="dxa"/>
          </w:tcPr>
          <w:p>
            <w:pPr>
              <w:rPr>
                <w:rFonts w:ascii="宋体" w:hAnsi="宋体" w:cs="宋体"/>
                <w:highlight w:val="none"/>
              </w:rPr>
            </w:pPr>
          </w:p>
        </w:tc>
        <w:tc>
          <w:tcPr>
            <w:tcW w:w="1896" w:type="dxa"/>
          </w:tcPr>
          <w:p>
            <w:pPr>
              <w:rPr>
                <w:rFonts w:ascii="宋体" w:hAnsi="宋体" w:cs="宋体"/>
                <w:highlight w:val="none"/>
              </w:rPr>
            </w:pPr>
          </w:p>
        </w:tc>
        <w:tc>
          <w:tcPr>
            <w:tcW w:w="984" w:type="dxa"/>
          </w:tcPr>
          <w:p>
            <w:pPr>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rPr>
                <w:rFonts w:ascii="宋体" w:hAnsi="宋体" w:cs="宋体"/>
                <w:highlight w:val="none"/>
              </w:rPr>
            </w:pPr>
          </w:p>
        </w:tc>
        <w:tc>
          <w:tcPr>
            <w:tcW w:w="2610" w:type="dxa"/>
          </w:tcPr>
          <w:p>
            <w:pPr>
              <w:rPr>
                <w:rFonts w:ascii="宋体" w:hAnsi="宋体" w:cs="宋体"/>
                <w:highlight w:val="none"/>
              </w:rPr>
            </w:pPr>
          </w:p>
        </w:tc>
        <w:tc>
          <w:tcPr>
            <w:tcW w:w="2610" w:type="dxa"/>
          </w:tcPr>
          <w:p>
            <w:pPr>
              <w:rPr>
                <w:rFonts w:ascii="宋体" w:hAnsi="宋体" w:cs="宋体"/>
                <w:highlight w:val="none"/>
              </w:rPr>
            </w:pPr>
          </w:p>
        </w:tc>
        <w:tc>
          <w:tcPr>
            <w:tcW w:w="1896" w:type="dxa"/>
          </w:tcPr>
          <w:p>
            <w:pPr>
              <w:rPr>
                <w:rFonts w:ascii="宋体" w:hAnsi="宋体" w:cs="宋体"/>
                <w:highlight w:val="none"/>
              </w:rPr>
            </w:pPr>
          </w:p>
        </w:tc>
        <w:tc>
          <w:tcPr>
            <w:tcW w:w="984" w:type="dxa"/>
          </w:tcPr>
          <w:p>
            <w:pPr>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rPr>
                <w:rFonts w:ascii="宋体" w:hAnsi="宋体" w:cs="宋体"/>
                <w:highlight w:val="none"/>
              </w:rPr>
            </w:pPr>
          </w:p>
        </w:tc>
        <w:tc>
          <w:tcPr>
            <w:tcW w:w="2610" w:type="dxa"/>
          </w:tcPr>
          <w:p>
            <w:pPr>
              <w:rPr>
                <w:rFonts w:ascii="宋体" w:hAnsi="宋体" w:cs="宋体"/>
                <w:highlight w:val="none"/>
              </w:rPr>
            </w:pPr>
          </w:p>
        </w:tc>
        <w:tc>
          <w:tcPr>
            <w:tcW w:w="2610" w:type="dxa"/>
          </w:tcPr>
          <w:p>
            <w:pPr>
              <w:rPr>
                <w:rFonts w:ascii="宋体" w:hAnsi="宋体" w:cs="宋体"/>
                <w:highlight w:val="none"/>
              </w:rPr>
            </w:pPr>
          </w:p>
        </w:tc>
        <w:tc>
          <w:tcPr>
            <w:tcW w:w="1896" w:type="dxa"/>
          </w:tcPr>
          <w:p>
            <w:pPr>
              <w:rPr>
                <w:rFonts w:ascii="宋体" w:hAnsi="宋体" w:cs="宋体"/>
                <w:highlight w:val="none"/>
              </w:rPr>
            </w:pPr>
          </w:p>
        </w:tc>
        <w:tc>
          <w:tcPr>
            <w:tcW w:w="984" w:type="dxa"/>
          </w:tcPr>
          <w:p>
            <w:pPr>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rPr>
                <w:rFonts w:ascii="宋体" w:hAnsi="宋体" w:cs="宋体"/>
                <w:highlight w:val="none"/>
              </w:rPr>
            </w:pPr>
          </w:p>
        </w:tc>
        <w:tc>
          <w:tcPr>
            <w:tcW w:w="2610" w:type="dxa"/>
          </w:tcPr>
          <w:p>
            <w:pPr>
              <w:rPr>
                <w:rFonts w:ascii="宋体" w:hAnsi="宋体" w:cs="宋体"/>
                <w:highlight w:val="none"/>
              </w:rPr>
            </w:pPr>
          </w:p>
        </w:tc>
        <w:tc>
          <w:tcPr>
            <w:tcW w:w="2610" w:type="dxa"/>
          </w:tcPr>
          <w:p>
            <w:pPr>
              <w:rPr>
                <w:rFonts w:ascii="宋体" w:hAnsi="宋体" w:cs="宋体"/>
                <w:highlight w:val="none"/>
              </w:rPr>
            </w:pPr>
          </w:p>
        </w:tc>
        <w:tc>
          <w:tcPr>
            <w:tcW w:w="1896" w:type="dxa"/>
          </w:tcPr>
          <w:p>
            <w:pPr>
              <w:rPr>
                <w:rFonts w:ascii="宋体" w:hAnsi="宋体" w:cs="宋体"/>
                <w:highlight w:val="none"/>
              </w:rPr>
            </w:pPr>
          </w:p>
        </w:tc>
        <w:tc>
          <w:tcPr>
            <w:tcW w:w="984" w:type="dxa"/>
          </w:tcPr>
          <w:p>
            <w:pPr>
              <w:rPr>
                <w:rFonts w:ascii="宋体" w:hAnsi="宋体" w:cs="宋体"/>
                <w:highlight w:val="none"/>
              </w:rPr>
            </w:pPr>
          </w:p>
        </w:tc>
      </w:tr>
    </w:tbl>
    <w:p>
      <w:pPr>
        <w:pStyle w:val="15"/>
        <w:spacing w:line="360" w:lineRule="auto"/>
        <w:rPr>
          <w:rFonts w:ascii="宋体" w:hAnsi="宋体" w:cs="宋体"/>
          <w:color w:val="auto"/>
          <w:highlight w:val="none"/>
        </w:rPr>
      </w:pPr>
      <w:r>
        <w:rPr>
          <w:rFonts w:hint="eastAsia" w:ascii="宋体" w:hAnsi="宋体" w:cs="宋体"/>
          <w:highlight w:val="none"/>
        </w:rPr>
        <w:t>注：请对招标文件商务要求内容逐条响应。</w:t>
      </w:r>
    </w:p>
    <w:p>
      <w:pPr>
        <w:spacing w:line="360" w:lineRule="auto"/>
        <w:rPr>
          <w:rFonts w:ascii="宋体" w:hAnsi="宋体" w:cs="宋体"/>
          <w:sz w:val="24"/>
          <w:highlight w:val="none"/>
        </w:rPr>
      </w:pPr>
    </w:p>
    <w:p>
      <w:pPr>
        <w:spacing w:line="360" w:lineRule="auto"/>
        <w:rPr>
          <w:rFonts w:ascii="宋体" w:hAnsi="宋体" w:cs="宋体"/>
          <w:sz w:val="24"/>
          <w:highlight w:val="none"/>
          <w:u w:val="single"/>
        </w:rPr>
      </w:pPr>
      <w:r>
        <w:rPr>
          <w:rFonts w:hint="eastAsia" w:ascii="宋体" w:hAnsi="宋体" w:cs="宋体"/>
          <w:sz w:val="24"/>
          <w:highlight w:val="none"/>
        </w:rPr>
        <w:t>投标人（公章）：</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p>
    <w:p>
      <w:pPr>
        <w:spacing w:line="360" w:lineRule="auto"/>
        <w:rPr>
          <w:rFonts w:ascii="宋体" w:hAnsi="宋体" w:cs="宋体"/>
          <w:sz w:val="24"/>
          <w:highlight w:val="none"/>
          <w:u w:val="single"/>
        </w:rPr>
      </w:pPr>
      <w:r>
        <w:rPr>
          <w:rFonts w:hint="eastAsia" w:ascii="宋体" w:hAnsi="宋体" w:cs="宋体"/>
          <w:sz w:val="24"/>
          <w:highlight w:val="none"/>
        </w:rPr>
        <w:t>授权代表（签名或盖章）：</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p>
    <w:p>
      <w:pPr>
        <w:spacing w:line="360" w:lineRule="auto"/>
        <w:rPr>
          <w:rFonts w:ascii="宋体" w:hAnsi="宋体" w:cs="宋体"/>
          <w:sz w:val="24"/>
          <w:highlight w:val="none"/>
          <w:u w:val="single"/>
        </w:rPr>
      </w:pPr>
      <w:r>
        <w:rPr>
          <w:rFonts w:hint="eastAsia" w:ascii="宋体" w:hAnsi="宋体" w:cs="宋体"/>
          <w:sz w:val="24"/>
          <w:highlight w:val="none"/>
        </w:rPr>
        <w:t>日期：</w:t>
      </w:r>
      <w:r>
        <w:rPr>
          <w:rFonts w:hint="eastAsia" w:ascii="宋体" w:hAnsi="宋体" w:cs="宋体"/>
          <w:sz w:val="24"/>
          <w:highlight w:val="none"/>
          <w:u w:val="single"/>
        </w:rPr>
        <w:t xml:space="preserve">                                 </w:t>
      </w:r>
    </w:p>
    <w:p>
      <w:pPr>
        <w:rPr>
          <w:rFonts w:ascii="宋体" w:hAnsi="宋体" w:cs="宋体"/>
          <w:b/>
          <w:bCs/>
          <w:sz w:val="28"/>
          <w:szCs w:val="28"/>
          <w:highlight w:val="none"/>
        </w:rPr>
      </w:pPr>
      <w:r>
        <w:rPr>
          <w:rFonts w:hint="eastAsia" w:ascii="宋体" w:hAnsi="宋体" w:cs="宋体"/>
          <w:b/>
          <w:bCs/>
          <w:sz w:val="28"/>
          <w:szCs w:val="28"/>
          <w:highlight w:val="none"/>
        </w:rPr>
        <w:br w:type="page"/>
      </w:r>
    </w:p>
    <w:p>
      <w:pPr>
        <w:numPr>
          <w:ilvl w:val="1"/>
          <w:numId w:val="0"/>
        </w:numPr>
        <w:outlineLvl w:val="1"/>
        <w:rPr>
          <w:rFonts w:ascii="宋体" w:hAnsi="宋体" w:cs="宋体"/>
          <w:b/>
          <w:bCs/>
          <w:sz w:val="28"/>
          <w:szCs w:val="28"/>
          <w:highlight w:val="none"/>
        </w:rPr>
      </w:pPr>
      <w:r>
        <w:rPr>
          <w:rFonts w:hint="eastAsia" w:ascii="宋体" w:hAnsi="宋体" w:cs="宋体"/>
          <w:b/>
          <w:bCs/>
          <w:sz w:val="28"/>
          <w:szCs w:val="28"/>
          <w:highlight w:val="none"/>
        </w:rPr>
        <w:t>五、技术规格偏离表</w:t>
      </w:r>
    </w:p>
    <w:p>
      <w:pPr>
        <w:spacing w:line="360" w:lineRule="auto"/>
        <w:rPr>
          <w:rFonts w:ascii="宋体" w:hAnsi="宋体" w:cs="宋体"/>
          <w:sz w:val="24"/>
          <w:highlight w:val="none"/>
        </w:rPr>
      </w:pPr>
    </w:p>
    <w:p>
      <w:pPr>
        <w:spacing w:after="240" w:line="360" w:lineRule="auto"/>
        <w:ind w:left="517" w:leftChars="100" w:hanging="307" w:hangingChars="128"/>
        <w:rPr>
          <w:rFonts w:hint="eastAsia" w:ascii="宋体" w:hAnsi="宋体" w:cs="宋体"/>
          <w:sz w:val="24"/>
          <w:highlight w:val="none"/>
        </w:rPr>
      </w:pPr>
      <w:r>
        <w:rPr>
          <w:rFonts w:hint="eastAsia" w:ascii="宋体" w:hAnsi="宋体" w:cs="宋体"/>
          <w:sz w:val="24"/>
          <w:highlight w:val="none"/>
        </w:rPr>
        <w:t>〔说明〕技术偏离表不得直接复制粘贴招标文件技术参数要求，否则视为无效投标。技术偏离表响应内容须提供相关技术支持资料。</w:t>
      </w:r>
    </w:p>
    <w:p>
      <w:pPr>
        <w:spacing w:after="240" w:line="360" w:lineRule="auto"/>
        <w:ind w:left="478" w:leftChars="100" w:hanging="268" w:hangingChars="128"/>
        <w:rPr>
          <w:rFonts w:ascii="宋体" w:hAnsi="宋体" w:cs="宋体"/>
          <w:sz w:val="24"/>
          <w:highlight w:val="none"/>
        </w:rPr>
      </w:pPr>
      <w:r>
        <w:rPr>
          <w:rFonts w:hint="eastAsia" w:ascii="宋体" w:hAnsi="宋体" w:cs="宋体"/>
          <w:highlight w:val="none"/>
          <w:lang w:eastAsia="zh-CN"/>
        </w:rPr>
        <w:t>项目</w:t>
      </w:r>
      <w:r>
        <w:rPr>
          <w:rFonts w:hint="eastAsia" w:ascii="宋体" w:hAnsi="宋体" w:cs="宋体"/>
          <w:highlight w:val="none"/>
        </w:rPr>
        <w:t>名称：</w:t>
      </w:r>
      <w:r>
        <w:rPr>
          <w:rFonts w:hint="eastAsia" w:ascii="宋体" w:hAnsi="宋体" w:cs="宋体"/>
          <w:highlight w:val="none"/>
          <w:u w:val="single"/>
        </w:rPr>
        <w:t xml:space="preserve">                    </w:t>
      </w:r>
      <w:r>
        <w:rPr>
          <w:rFonts w:hint="eastAsia" w:ascii="宋体" w:hAnsi="宋体" w:cs="宋体"/>
          <w:highlight w:val="none"/>
        </w:rPr>
        <w:t xml:space="preserve">  </w:t>
      </w:r>
      <w:r>
        <w:rPr>
          <w:rFonts w:hint="eastAsia" w:ascii="宋体" w:hAnsi="宋体" w:cs="宋体"/>
          <w:highlight w:val="none"/>
          <w:lang w:val="en-US" w:eastAsia="zh-CN"/>
        </w:rPr>
        <w:t xml:space="preserve">    </w:t>
      </w:r>
      <w:r>
        <w:rPr>
          <w:rFonts w:hint="eastAsia" w:ascii="宋体" w:hAnsi="宋体" w:cs="宋体"/>
          <w:highlight w:val="none"/>
        </w:rPr>
        <w:t xml:space="preserve"> 项目编号：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360" w:lineRule="auto"/>
              <w:jc w:val="center"/>
              <w:rPr>
                <w:rFonts w:ascii="宋体" w:hAnsi="宋体" w:cs="宋体"/>
                <w:highlight w:val="none"/>
              </w:rPr>
            </w:pPr>
            <w:r>
              <w:rPr>
                <w:rFonts w:hint="eastAsia" w:ascii="宋体" w:hAnsi="宋体" w:cs="宋体"/>
                <w:sz w:val="24"/>
                <w:highlight w:val="none"/>
              </w:rPr>
              <w:t>序号</w:t>
            </w:r>
          </w:p>
        </w:tc>
        <w:tc>
          <w:tcPr>
            <w:tcW w:w="2610" w:type="dxa"/>
            <w:vAlign w:val="center"/>
          </w:tcPr>
          <w:p>
            <w:pPr>
              <w:spacing w:line="360" w:lineRule="auto"/>
              <w:jc w:val="center"/>
              <w:rPr>
                <w:rFonts w:ascii="宋体" w:hAnsi="宋体" w:cs="宋体"/>
                <w:highlight w:val="none"/>
              </w:rPr>
            </w:pPr>
            <w:r>
              <w:rPr>
                <w:rFonts w:hint="eastAsia" w:ascii="宋体" w:hAnsi="宋体" w:cs="宋体"/>
                <w:sz w:val="24"/>
                <w:highlight w:val="none"/>
              </w:rPr>
              <w:t>招标文件要求</w:t>
            </w:r>
          </w:p>
        </w:tc>
        <w:tc>
          <w:tcPr>
            <w:tcW w:w="2610" w:type="dxa"/>
            <w:vAlign w:val="center"/>
          </w:tcPr>
          <w:p>
            <w:pPr>
              <w:spacing w:line="360" w:lineRule="auto"/>
              <w:jc w:val="center"/>
              <w:rPr>
                <w:rFonts w:ascii="宋体" w:hAnsi="宋体" w:cs="宋体"/>
                <w:highlight w:val="none"/>
              </w:rPr>
            </w:pPr>
            <w:r>
              <w:rPr>
                <w:rFonts w:hint="eastAsia" w:ascii="宋体" w:hAnsi="宋体" w:cs="宋体"/>
                <w:sz w:val="24"/>
                <w:highlight w:val="none"/>
              </w:rPr>
              <w:t>投标文件内容</w:t>
            </w:r>
          </w:p>
        </w:tc>
        <w:tc>
          <w:tcPr>
            <w:tcW w:w="1896" w:type="dxa"/>
            <w:vAlign w:val="center"/>
          </w:tcPr>
          <w:p>
            <w:pPr>
              <w:spacing w:line="360" w:lineRule="auto"/>
              <w:jc w:val="center"/>
              <w:rPr>
                <w:rFonts w:ascii="宋体" w:hAnsi="宋体" w:cs="宋体"/>
                <w:highlight w:val="none"/>
              </w:rPr>
            </w:pPr>
            <w:r>
              <w:rPr>
                <w:rFonts w:hint="eastAsia" w:ascii="宋体" w:hAnsi="宋体" w:cs="宋体"/>
                <w:sz w:val="24"/>
                <w:highlight w:val="none"/>
              </w:rPr>
              <w:t>偏离</w:t>
            </w:r>
          </w:p>
        </w:tc>
        <w:tc>
          <w:tcPr>
            <w:tcW w:w="984" w:type="dxa"/>
            <w:vAlign w:val="center"/>
          </w:tcPr>
          <w:p>
            <w:pPr>
              <w:spacing w:line="360" w:lineRule="auto"/>
              <w:jc w:val="center"/>
              <w:rPr>
                <w:rFonts w:ascii="宋体" w:hAnsi="宋体" w:cs="宋体"/>
                <w:highlight w:val="none"/>
              </w:rPr>
            </w:pPr>
            <w:r>
              <w:rPr>
                <w:rFonts w:hint="eastAsia" w:ascii="宋体" w:hAnsi="宋体" w:cs="宋体"/>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ascii="宋体" w:hAnsi="宋体" w:cs="宋体"/>
                <w:highlight w:val="none"/>
              </w:rPr>
            </w:pPr>
          </w:p>
        </w:tc>
        <w:tc>
          <w:tcPr>
            <w:tcW w:w="2610" w:type="dxa"/>
            <w:vAlign w:val="center"/>
          </w:tcPr>
          <w:p>
            <w:pPr>
              <w:spacing w:line="360" w:lineRule="auto"/>
              <w:jc w:val="center"/>
              <w:rPr>
                <w:rFonts w:ascii="宋体" w:hAnsi="宋体" w:cs="宋体"/>
                <w:highlight w:val="none"/>
              </w:rPr>
            </w:pPr>
          </w:p>
        </w:tc>
        <w:tc>
          <w:tcPr>
            <w:tcW w:w="2610" w:type="dxa"/>
            <w:vAlign w:val="center"/>
          </w:tcPr>
          <w:p>
            <w:pPr>
              <w:spacing w:line="360" w:lineRule="auto"/>
              <w:jc w:val="center"/>
              <w:rPr>
                <w:rFonts w:ascii="宋体" w:hAnsi="宋体" w:cs="宋体"/>
                <w:highlight w:val="none"/>
              </w:rPr>
            </w:pPr>
          </w:p>
        </w:tc>
        <w:tc>
          <w:tcPr>
            <w:tcW w:w="1896" w:type="dxa"/>
            <w:vAlign w:val="center"/>
          </w:tcPr>
          <w:p>
            <w:pPr>
              <w:spacing w:line="360" w:lineRule="auto"/>
              <w:jc w:val="center"/>
              <w:rPr>
                <w:rFonts w:ascii="宋体" w:hAnsi="宋体" w:cs="宋体"/>
                <w:highlight w:val="none"/>
              </w:rPr>
            </w:pPr>
          </w:p>
        </w:tc>
        <w:tc>
          <w:tcPr>
            <w:tcW w:w="984" w:type="dxa"/>
            <w:vAlign w:val="center"/>
          </w:tcPr>
          <w:p>
            <w:pPr>
              <w:spacing w:line="360" w:lineRule="auto"/>
              <w:jc w:val="center"/>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highlight w:val="none"/>
              </w:rPr>
            </w:pPr>
          </w:p>
        </w:tc>
        <w:tc>
          <w:tcPr>
            <w:tcW w:w="2610" w:type="dxa"/>
          </w:tcPr>
          <w:p>
            <w:pPr>
              <w:spacing w:line="360" w:lineRule="auto"/>
              <w:rPr>
                <w:rFonts w:ascii="宋体" w:hAnsi="宋体" w:cs="宋体"/>
                <w:highlight w:val="none"/>
              </w:rPr>
            </w:pPr>
          </w:p>
        </w:tc>
        <w:tc>
          <w:tcPr>
            <w:tcW w:w="2610" w:type="dxa"/>
          </w:tcPr>
          <w:p>
            <w:pPr>
              <w:spacing w:line="360" w:lineRule="auto"/>
              <w:rPr>
                <w:rFonts w:ascii="宋体" w:hAnsi="宋体" w:cs="宋体"/>
                <w:highlight w:val="none"/>
              </w:rPr>
            </w:pPr>
          </w:p>
        </w:tc>
        <w:tc>
          <w:tcPr>
            <w:tcW w:w="1896" w:type="dxa"/>
          </w:tcPr>
          <w:p>
            <w:pPr>
              <w:spacing w:line="360" w:lineRule="auto"/>
              <w:rPr>
                <w:rFonts w:ascii="宋体" w:hAnsi="宋体" w:cs="宋体"/>
                <w:highlight w:val="none"/>
              </w:rPr>
            </w:pPr>
          </w:p>
        </w:tc>
        <w:tc>
          <w:tcPr>
            <w:tcW w:w="984" w:type="dxa"/>
          </w:tcPr>
          <w:p>
            <w:pPr>
              <w:spacing w:line="360" w:lineRule="auto"/>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highlight w:val="none"/>
              </w:rPr>
            </w:pPr>
          </w:p>
        </w:tc>
        <w:tc>
          <w:tcPr>
            <w:tcW w:w="2610" w:type="dxa"/>
          </w:tcPr>
          <w:p>
            <w:pPr>
              <w:spacing w:line="360" w:lineRule="auto"/>
              <w:rPr>
                <w:rFonts w:ascii="宋体" w:hAnsi="宋体" w:cs="宋体"/>
                <w:highlight w:val="none"/>
              </w:rPr>
            </w:pPr>
          </w:p>
        </w:tc>
        <w:tc>
          <w:tcPr>
            <w:tcW w:w="2610" w:type="dxa"/>
          </w:tcPr>
          <w:p>
            <w:pPr>
              <w:spacing w:line="360" w:lineRule="auto"/>
              <w:rPr>
                <w:rFonts w:ascii="宋体" w:hAnsi="宋体" w:cs="宋体"/>
                <w:highlight w:val="none"/>
              </w:rPr>
            </w:pPr>
          </w:p>
        </w:tc>
        <w:tc>
          <w:tcPr>
            <w:tcW w:w="1896" w:type="dxa"/>
          </w:tcPr>
          <w:p>
            <w:pPr>
              <w:spacing w:line="360" w:lineRule="auto"/>
              <w:rPr>
                <w:rFonts w:ascii="宋体" w:hAnsi="宋体" w:cs="宋体"/>
                <w:highlight w:val="none"/>
              </w:rPr>
            </w:pPr>
          </w:p>
        </w:tc>
        <w:tc>
          <w:tcPr>
            <w:tcW w:w="984" w:type="dxa"/>
          </w:tcPr>
          <w:p>
            <w:pPr>
              <w:spacing w:line="360" w:lineRule="auto"/>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highlight w:val="none"/>
              </w:rPr>
            </w:pPr>
          </w:p>
        </w:tc>
        <w:tc>
          <w:tcPr>
            <w:tcW w:w="2610" w:type="dxa"/>
          </w:tcPr>
          <w:p>
            <w:pPr>
              <w:spacing w:line="360" w:lineRule="auto"/>
              <w:rPr>
                <w:rFonts w:ascii="宋体" w:hAnsi="宋体" w:cs="宋体"/>
                <w:highlight w:val="none"/>
              </w:rPr>
            </w:pPr>
          </w:p>
        </w:tc>
        <w:tc>
          <w:tcPr>
            <w:tcW w:w="2610" w:type="dxa"/>
          </w:tcPr>
          <w:p>
            <w:pPr>
              <w:spacing w:line="360" w:lineRule="auto"/>
              <w:rPr>
                <w:rFonts w:ascii="宋体" w:hAnsi="宋体" w:cs="宋体"/>
                <w:highlight w:val="none"/>
              </w:rPr>
            </w:pPr>
          </w:p>
        </w:tc>
        <w:tc>
          <w:tcPr>
            <w:tcW w:w="1896" w:type="dxa"/>
          </w:tcPr>
          <w:p>
            <w:pPr>
              <w:spacing w:line="360" w:lineRule="auto"/>
              <w:rPr>
                <w:rFonts w:ascii="宋体" w:hAnsi="宋体" w:cs="宋体"/>
                <w:highlight w:val="none"/>
              </w:rPr>
            </w:pPr>
          </w:p>
        </w:tc>
        <w:tc>
          <w:tcPr>
            <w:tcW w:w="984" w:type="dxa"/>
          </w:tcPr>
          <w:p>
            <w:pPr>
              <w:spacing w:line="360" w:lineRule="auto"/>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highlight w:val="none"/>
              </w:rPr>
            </w:pPr>
          </w:p>
        </w:tc>
        <w:tc>
          <w:tcPr>
            <w:tcW w:w="2610" w:type="dxa"/>
          </w:tcPr>
          <w:p>
            <w:pPr>
              <w:spacing w:line="360" w:lineRule="auto"/>
              <w:rPr>
                <w:rFonts w:ascii="宋体" w:hAnsi="宋体" w:cs="宋体"/>
                <w:highlight w:val="none"/>
              </w:rPr>
            </w:pPr>
          </w:p>
        </w:tc>
        <w:tc>
          <w:tcPr>
            <w:tcW w:w="2610" w:type="dxa"/>
          </w:tcPr>
          <w:p>
            <w:pPr>
              <w:spacing w:line="360" w:lineRule="auto"/>
              <w:rPr>
                <w:rFonts w:ascii="宋体" w:hAnsi="宋体" w:cs="宋体"/>
                <w:highlight w:val="none"/>
              </w:rPr>
            </w:pPr>
          </w:p>
        </w:tc>
        <w:tc>
          <w:tcPr>
            <w:tcW w:w="1896" w:type="dxa"/>
          </w:tcPr>
          <w:p>
            <w:pPr>
              <w:spacing w:line="360" w:lineRule="auto"/>
              <w:rPr>
                <w:rFonts w:ascii="宋体" w:hAnsi="宋体" w:cs="宋体"/>
                <w:highlight w:val="none"/>
              </w:rPr>
            </w:pPr>
          </w:p>
        </w:tc>
        <w:tc>
          <w:tcPr>
            <w:tcW w:w="984" w:type="dxa"/>
          </w:tcPr>
          <w:p>
            <w:pPr>
              <w:spacing w:line="360" w:lineRule="auto"/>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highlight w:val="none"/>
              </w:rPr>
            </w:pPr>
          </w:p>
        </w:tc>
        <w:tc>
          <w:tcPr>
            <w:tcW w:w="2610" w:type="dxa"/>
          </w:tcPr>
          <w:p>
            <w:pPr>
              <w:spacing w:line="360" w:lineRule="auto"/>
              <w:rPr>
                <w:rFonts w:ascii="宋体" w:hAnsi="宋体" w:cs="宋体"/>
                <w:highlight w:val="none"/>
              </w:rPr>
            </w:pPr>
          </w:p>
        </w:tc>
        <w:tc>
          <w:tcPr>
            <w:tcW w:w="2610" w:type="dxa"/>
          </w:tcPr>
          <w:p>
            <w:pPr>
              <w:spacing w:line="360" w:lineRule="auto"/>
              <w:rPr>
                <w:rFonts w:ascii="宋体" w:hAnsi="宋体" w:cs="宋体"/>
                <w:highlight w:val="none"/>
              </w:rPr>
            </w:pPr>
          </w:p>
        </w:tc>
        <w:tc>
          <w:tcPr>
            <w:tcW w:w="1896" w:type="dxa"/>
          </w:tcPr>
          <w:p>
            <w:pPr>
              <w:spacing w:line="360" w:lineRule="auto"/>
              <w:rPr>
                <w:rFonts w:ascii="宋体" w:hAnsi="宋体" w:cs="宋体"/>
                <w:highlight w:val="none"/>
              </w:rPr>
            </w:pPr>
          </w:p>
        </w:tc>
        <w:tc>
          <w:tcPr>
            <w:tcW w:w="984" w:type="dxa"/>
          </w:tcPr>
          <w:p>
            <w:pPr>
              <w:spacing w:line="360" w:lineRule="auto"/>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highlight w:val="none"/>
              </w:rPr>
            </w:pPr>
          </w:p>
        </w:tc>
        <w:tc>
          <w:tcPr>
            <w:tcW w:w="2610" w:type="dxa"/>
          </w:tcPr>
          <w:p>
            <w:pPr>
              <w:spacing w:line="360" w:lineRule="auto"/>
              <w:rPr>
                <w:rFonts w:ascii="宋体" w:hAnsi="宋体" w:cs="宋体"/>
                <w:highlight w:val="none"/>
              </w:rPr>
            </w:pPr>
          </w:p>
        </w:tc>
        <w:tc>
          <w:tcPr>
            <w:tcW w:w="2610" w:type="dxa"/>
          </w:tcPr>
          <w:p>
            <w:pPr>
              <w:spacing w:line="360" w:lineRule="auto"/>
              <w:rPr>
                <w:rFonts w:ascii="宋体" w:hAnsi="宋体" w:cs="宋体"/>
                <w:highlight w:val="none"/>
              </w:rPr>
            </w:pPr>
          </w:p>
        </w:tc>
        <w:tc>
          <w:tcPr>
            <w:tcW w:w="1896" w:type="dxa"/>
          </w:tcPr>
          <w:p>
            <w:pPr>
              <w:spacing w:line="360" w:lineRule="auto"/>
              <w:rPr>
                <w:rFonts w:ascii="宋体" w:hAnsi="宋体" w:cs="宋体"/>
                <w:highlight w:val="none"/>
              </w:rPr>
            </w:pPr>
          </w:p>
        </w:tc>
        <w:tc>
          <w:tcPr>
            <w:tcW w:w="984" w:type="dxa"/>
          </w:tcPr>
          <w:p>
            <w:pPr>
              <w:spacing w:line="360" w:lineRule="auto"/>
              <w:rPr>
                <w:rFonts w:ascii="宋体" w:hAnsi="宋体" w:cs="宋体"/>
                <w:highlight w:val="none"/>
              </w:rPr>
            </w:pPr>
          </w:p>
        </w:tc>
      </w:tr>
    </w:tbl>
    <w:p>
      <w:pPr>
        <w:pStyle w:val="15"/>
        <w:spacing w:line="360" w:lineRule="auto"/>
        <w:rPr>
          <w:rFonts w:ascii="宋体" w:hAnsi="宋体" w:cs="宋体"/>
          <w:color w:val="auto"/>
          <w:highlight w:val="none"/>
        </w:rPr>
      </w:pPr>
      <w:r>
        <w:rPr>
          <w:rFonts w:hint="eastAsia" w:ascii="宋体" w:hAnsi="宋体" w:cs="宋体"/>
          <w:highlight w:val="none"/>
        </w:rPr>
        <w:t>注：请对招标文件采购内容及要求内容逐条响应。</w:t>
      </w:r>
    </w:p>
    <w:p>
      <w:pPr>
        <w:spacing w:line="360" w:lineRule="auto"/>
        <w:rPr>
          <w:rFonts w:ascii="宋体" w:hAnsi="宋体" w:cs="宋体"/>
          <w:sz w:val="24"/>
          <w:highlight w:val="none"/>
        </w:rPr>
      </w:pPr>
    </w:p>
    <w:p>
      <w:pPr>
        <w:spacing w:line="360" w:lineRule="auto"/>
        <w:rPr>
          <w:rFonts w:ascii="宋体" w:hAnsi="宋体" w:cs="宋体"/>
          <w:sz w:val="24"/>
          <w:highlight w:val="none"/>
          <w:u w:val="single"/>
        </w:rPr>
      </w:pPr>
      <w:r>
        <w:rPr>
          <w:rFonts w:hint="eastAsia" w:ascii="宋体" w:hAnsi="宋体" w:cs="宋体"/>
          <w:sz w:val="24"/>
          <w:highlight w:val="none"/>
        </w:rPr>
        <w:t>投标人（公章）：</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p>
    <w:p>
      <w:pPr>
        <w:spacing w:line="360" w:lineRule="auto"/>
        <w:rPr>
          <w:rFonts w:ascii="宋体" w:hAnsi="宋体" w:cs="宋体"/>
          <w:sz w:val="24"/>
          <w:highlight w:val="none"/>
          <w:u w:val="single"/>
        </w:rPr>
      </w:pPr>
      <w:r>
        <w:rPr>
          <w:rFonts w:hint="eastAsia" w:ascii="宋体" w:hAnsi="宋体" w:cs="宋体"/>
          <w:sz w:val="24"/>
          <w:highlight w:val="none"/>
        </w:rPr>
        <w:t>授权代表（签名或盖章）：</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p>
    <w:p>
      <w:pPr>
        <w:spacing w:line="360" w:lineRule="auto"/>
        <w:rPr>
          <w:rFonts w:ascii="宋体" w:hAnsi="宋体" w:cs="宋体"/>
          <w:sz w:val="24"/>
          <w:highlight w:val="none"/>
          <w:u w:val="single"/>
        </w:rPr>
      </w:pPr>
      <w:r>
        <w:rPr>
          <w:rFonts w:hint="eastAsia" w:ascii="宋体" w:hAnsi="宋体" w:cs="宋体"/>
          <w:sz w:val="24"/>
          <w:highlight w:val="none"/>
        </w:rPr>
        <w:t>日期：</w:t>
      </w:r>
      <w:r>
        <w:rPr>
          <w:rFonts w:hint="eastAsia" w:ascii="宋体" w:hAnsi="宋体" w:cs="宋体"/>
          <w:sz w:val="24"/>
          <w:highlight w:val="none"/>
          <w:u w:val="single"/>
        </w:rPr>
        <w:t xml:space="preserve">                                 </w:t>
      </w:r>
    </w:p>
    <w:p>
      <w:pPr>
        <w:rPr>
          <w:rFonts w:ascii="宋体" w:hAnsi="宋体" w:cs="宋体"/>
          <w:sz w:val="24"/>
          <w:highlight w:val="none"/>
          <w:u w:val="single"/>
        </w:rPr>
      </w:pPr>
      <w:r>
        <w:rPr>
          <w:rFonts w:hint="eastAsia" w:ascii="宋体" w:hAnsi="宋体" w:cs="宋体"/>
          <w:b/>
          <w:sz w:val="28"/>
          <w:szCs w:val="28"/>
          <w:highlight w:val="none"/>
        </w:rPr>
        <w:br w:type="page"/>
      </w:r>
    </w:p>
    <w:p>
      <w:pPr>
        <w:numPr>
          <w:ilvl w:val="1"/>
          <w:numId w:val="0"/>
        </w:numPr>
        <w:outlineLvl w:val="1"/>
        <w:rPr>
          <w:rFonts w:ascii="宋体" w:hAnsi="宋体" w:cs="宋体"/>
          <w:b/>
          <w:bCs/>
          <w:sz w:val="28"/>
          <w:szCs w:val="28"/>
          <w:highlight w:val="none"/>
        </w:rPr>
      </w:pPr>
      <w:r>
        <w:rPr>
          <w:rFonts w:hint="eastAsia" w:ascii="宋体" w:hAnsi="宋体" w:cs="宋体"/>
          <w:b/>
          <w:bCs/>
          <w:sz w:val="28"/>
          <w:szCs w:val="28"/>
          <w:highlight w:val="none"/>
        </w:rPr>
        <w:t>六、法定代表人证明书或授权书</w:t>
      </w:r>
    </w:p>
    <w:tbl>
      <w:tblPr>
        <w:tblStyle w:val="30"/>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6"/>
              <w:spacing w:before="120"/>
              <w:ind w:left="107"/>
              <w:rPr>
                <w:rFonts w:ascii="宋体" w:hAnsi="宋体" w:eastAsia="宋体" w:cs="宋体"/>
                <w:sz w:val="24"/>
                <w:szCs w:val="22"/>
                <w:highlight w:val="none"/>
              </w:rPr>
            </w:pPr>
            <w:r>
              <w:rPr>
                <w:rFonts w:hint="eastAsia" w:ascii="宋体" w:hAnsi="宋体" w:eastAsia="宋体" w:cs="宋体"/>
                <w:sz w:val="24"/>
                <w:szCs w:val="22"/>
                <w:highlight w:val="none"/>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6"/>
              <w:ind w:right="10"/>
              <w:jc w:val="center"/>
              <w:rPr>
                <w:rFonts w:ascii="宋体" w:hAnsi="宋体" w:eastAsia="宋体" w:cs="宋体"/>
                <w:sz w:val="24"/>
                <w:szCs w:val="22"/>
                <w:highlight w:val="none"/>
              </w:rPr>
            </w:pPr>
            <w:r>
              <w:rPr>
                <w:rFonts w:hint="eastAsia" w:ascii="宋体" w:hAnsi="宋体" w:eastAsia="宋体" w:cs="宋体"/>
                <w:sz w:val="24"/>
                <w:szCs w:val="22"/>
                <w:highlight w:val="none"/>
              </w:rPr>
              <w:t>企业</w:t>
            </w:r>
          </w:p>
          <w:p>
            <w:pPr>
              <w:pStyle w:val="106"/>
              <w:ind w:right="10"/>
              <w:jc w:val="center"/>
              <w:rPr>
                <w:rFonts w:ascii="宋体" w:hAnsi="宋体" w:eastAsia="宋体" w:cs="宋体"/>
                <w:sz w:val="24"/>
                <w:szCs w:val="22"/>
                <w:highlight w:val="none"/>
              </w:rPr>
            </w:pPr>
            <w:r>
              <w:rPr>
                <w:rFonts w:hint="eastAsia" w:ascii="宋体" w:hAnsi="宋体" w:eastAsia="宋体" w:cs="宋体"/>
                <w:sz w:val="24"/>
                <w:szCs w:val="22"/>
                <w:highlight w:val="none"/>
              </w:rPr>
              <w:t>法人</w:t>
            </w:r>
          </w:p>
        </w:tc>
        <w:tc>
          <w:tcPr>
            <w:tcW w:w="2375" w:type="dxa"/>
            <w:vAlign w:val="center"/>
          </w:tcPr>
          <w:p>
            <w:pPr>
              <w:pStyle w:val="106"/>
              <w:jc w:val="center"/>
              <w:rPr>
                <w:rFonts w:ascii="宋体" w:hAnsi="宋体" w:eastAsia="宋体" w:cs="宋体"/>
                <w:sz w:val="24"/>
                <w:szCs w:val="22"/>
                <w:highlight w:val="none"/>
              </w:rPr>
            </w:pPr>
            <w:r>
              <w:rPr>
                <w:rFonts w:hint="eastAsia" w:ascii="宋体" w:hAnsi="宋体" w:eastAsia="宋体" w:cs="宋体"/>
                <w:sz w:val="24"/>
                <w:szCs w:val="22"/>
                <w:highlight w:val="none"/>
              </w:rPr>
              <w:t>企 业 名 称</w:t>
            </w:r>
          </w:p>
        </w:tc>
        <w:tc>
          <w:tcPr>
            <w:tcW w:w="5463" w:type="dxa"/>
            <w:gridSpan w:val="3"/>
            <w:vAlign w:val="center"/>
          </w:tcPr>
          <w:p>
            <w:pPr>
              <w:pStyle w:val="106"/>
              <w:jc w:val="center"/>
              <w:rPr>
                <w:rFonts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ascii="宋体" w:hAnsi="宋体" w:cs="宋体"/>
                <w:sz w:val="2"/>
                <w:szCs w:val="2"/>
                <w:highlight w:val="none"/>
              </w:rPr>
            </w:pPr>
          </w:p>
        </w:tc>
        <w:tc>
          <w:tcPr>
            <w:tcW w:w="2375" w:type="dxa"/>
            <w:vAlign w:val="center"/>
          </w:tcPr>
          <w:p>
            <w:pPr>
              <w:pStyle w:val="106"/>
              <w:jc w:val="center"/>
              <w:rPr>
                <w:rFonts w:ascii="宋体" w:hAnsi="宋体" w:eastAsia="宋体" w:cs="宋体"/>
                <w:sz w:val="24"/>
                <w:szCs w:val="22"/>
                <w:highlight w:val="none"/>
              </w:rPr>
            </w:pPr>
            <w:r>
              <w:rPr>
                <w:rFonts w:hint="eastAsia" w:ascii="宋体" w:hAnsi="宋体" w:eastAsia="宋体" w:cs="宋体"/>
                <w:sz w:val="24"/>
                <w:szCs w:val="22"/>
                <w:highlight w:val="none"/>
              </w:rPr>
              <w:t>法 定 地 址</w:t>
            </w:r>
          </w:p>
        </w:tc>
        <w:tc>
          <w:tcPr>
            <w:tcW w:w="5463" w:type="dxa"/>
            <w:gridSpan w:val="3"/>
            <w:vAlign w:val="center"/>
          </w:tcPr>
          <w:p>
            <w:pPr>
              <w:pStyle w:val="106"/>
              <w:jc w:val="center"/>
              <w:rPr>
                <w:rFonts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ascii="宋体" w:hAnsi="宋体" w:cs="宋体"/>
                <w:sz w:val="2"/>
                <w:szCs w:val="2"/>
                <w:highlight w:val="none"/>
              </w:rPr>
            </w:pPr>
          </w:p>
        </w:tc>
        <w:tc>
          <w:tcPr>
            <w:tcW w:w="2375" w:type="dxa"/>
            <w:vAlign w:val="center"/>
          </w:tcPr>
          <w:p>
            <w:pPr>
              <w:pStyle w:val="106"/>
              <w:jc w:val="center"/>
              <w:rPr>
                <w:rFonts w:ascii="宋体" w:hAnsi="宋体" w:eastAsia="宋体" w:cs="宋体"/>
                <w:sz w:val="24"/>
                <w:szCs w:val="22"/>
                <w:highlight w:val="none"/>
              </w:rPr>
            </w:pPr>
            <w:r>
              <w:rPr>
                <w:rFonts w:hint="eastAsia" w:ascii="宋体" w:hAnsi="宋体" w:eastAsia="宋体" w:cs="宋体"/>
                <w:sz w:val="24"/>
                <w:szCs w:val="22"/>
                <w:highlight w:val="none"/>
              </w:rPr>
              <w:t>邮 政 编 码</w:t>
            </w:r>
          </w:p>
        </w:tc>
        <w:tc>
          <w:tcPr>
            <w:tcW w:w="5463" w:type="dxa"/>
            <w:gridSpan w:val="3"/>
            <w:vAlign w:val="center"/>
          </w:tcPr>
          <w:p>
            <w:pPr>
              <w:pStyle w:val="106"/>
              <w:jc w:val="center"/>
              <w:rPr>
                <w:rFonts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jc w:val="center"/>
              <w:rPr>
                <w:rFonts w:ascii="宋体" w:hAnsi="宋体" w:cs="宋体"/>
                <w:sz w:val="2"/>
                <w:szCs w:val="2"/>
                <w:highlight w:val="none"/>
              </w:rPr>
            </w:pPr>
          </w:p>
        </w:tc>
        <w:tc>
          <w:tcPr>
            <w:tcW w:w="2375" w:type="dxa"/>
            <w:vAlign w:val="center"/>
          </w:tcPr>
          <w:p>
            <w:pPr>
              <w:pStyle w:val="106"/>
              <w:tabs>
                <w:tab w:val="left" w:pos="1368"/>
              </w:tabs>
              <w:jc w:val="center"/>
              <w:rPr>
                <w:rFonts w:ascii="宋体" w:hAnsi="宋体" w:eastAsia="宋体" w:cs="宋体"/>
                <w:sz w:val="24"/>
                <w:szCs w:val="22"/>
                <w:highlight w:val="none"/>
              </w:rPr>
            </w:pPr>
            <w:r>
              <w:rPr>
                <w:rFonts w:hint="eastAsia" w:ascii="宋体" w:hAnsi="宋体" w:eastAsia="宋体" w:cs="宋体"/>
                <w:sz w:val="24"/>
                <w:szCs w:val="22"/>
                <w:highlight w:val="none"/>
              </w:rPr>
              <w:t>网址</w:t>
            </w:r>
          </w:p>
        </w:tc>
        <w:tc>
          <w:tcPr>
            <w:tcW w:w="5463" w:type="dxa"/>
            <w:gridSpan w:val="3"/>
            <w:vAlign w:val="center"/>
          </w:tcPr>
          <w:p>
            <w:pPr>
              <w:pStyle w:val="106"/>
              <w:jc w:val="center"/>
              <w:rPr>
                <w:rFonts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ascii="宋体" w:hAnsi="宋体" w:cs="宋体"/>
                <w:sz w:val="2"/>
                <w:szCs w:val="2"/>
                <w:highlight w:val="none"/>
              </w:rPr>
            </w:pPr>
          </w:p>
        </w:tc>
        <w:tc>
          <w:tcPr>
            <w:tcW w:w="2375" w:type="dxa"/>
            <w:vAlign w:val="center"/>
          </w:tcPr>
          <w:p>
            <w:pPr>
              <w:pStyle w:val="106"/>
              <w:jc w:val="center"/>
              <w:rPr>
                <w:rFonts w:ascii="宋体" w:hAnsi="宋体" w:eastAsia="宋体" w:cs="宋体"/>
                <w:sz w:val="24"/>
                <w:szCs w:val="22"/>
                <w:highlight w:val="none"/>
              </w:rPr>
            </w:pPr>
            <w:r>
              <w:rPr>
                <w:rFonts w:hint="eastAsia" w:ascii="宋体" w:hAnsi="宋体" w:eastAsia="宋体" w:cs="宋体"/>
                <w:sz w:val="24"/>
                <w:szCs w:val="22"/>
                <w:highlight w:val="none"/>
              </w:rPr>
              <w:t>统一社会信用代码</w:t>
            </w:r>
          </w:p>
        </w:tc>
        <w:tc>
          <w:tcPr>
            <w:tcW w:w="5463" w:type="dxa"/>
            <w:gridSpan w:val="3"/>
            <w:vAlign w:val="center"/>
          </w:tcPr>
          <w:p>
            <w:pPr>
              <w:pStyle w:val="106"/>
              <w:jc w:val="center"/>
              <w:rPr>
                <w:rFonts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6"/>
              <w:spacing w:before="186"/>
              <w:ind w:left="107" w:right="117"/>
              <w:rPr>
                <w:rFonts w:ascii="宋体" w:hAnsi="宋体" w:eastAsia="宋体" w:cs="宋体"/>
                <w:sz w:val="24"/>
                <w:szCs w:val="22"/>
                <w:highlight w:val="none"/>
              </w:rPr>
            </w:pPr>
            <w:r>
              <w:rPr>
                <w:rFonts w:hint="eastAsia" w:ascii="宋体" w:hAnsi="宋体" w:eastAsia="宋体" w:cs="宋体"/>
                <w:sz w:val="24"/>
                <w:szCs w:val="22"/>
                <w:highlight w:val="none"/>
              </w:rPr>
              <w:t>法定代表人</w:t>
            </w:r>
          </w:p>
        </w:tc>
        <w:tc>
          <w:tcPr>
            <w:tcW w:w="2375" w:type="dxa"/>
            <w:vAlign w:val="center"/>
          </w:tcPr>
          <w:p>
            <w:pPr>
              <w:pStyle w:val="106"/>
              <w:ind w:left="108" w:right="119"/>
              <w:jc w:val="center"/>
              <w:rPr>
                <w:rFonts w:ascii="宋体" w:hAnsi="宋体" w:eastAsia="宋体" w:cs="宋体"/>
                <w:sz w:val="24"/>
                <w:szCs w:val="22"/>
                <w:highlight w:val="none"/>
              </w:rPr>
            </w:pPr>
            <w:r>
              <w:rPr>
                <w:rFonts w:hint="eastAsia" w:ascii="宋体" w:hAnsi="宋体" w:eastAsia="宋体" w:cs="宋体"/>
                <w:sz w:val="24"/>
                <w:szCs w:val="22"/>
                <w:highlight w:val="none"/>
              </w:rPr>
              <w:t>姓名</w:t>
            </w:r>
          </w:p>
        </w:tc>
        <w:tc>
          <w:tcPr>
            <w:tcW w:w="1752" w:type="dxa"/>
            <w:vAlign w:val="center"/>
          </w:tcPr>
          <w:p>
            <w:pPr>
              <w:pStyle w:val="106"/>
              <w:jc w:val="center"/>
              <w:rPr>
                <w:rFonts w:ascii="宋体" w:hAnsi="宋体" w:eastAsia="宋体" w:cs="宋体"/>
                <w:sz w:val="22"/>
                <w:szCs w:val="22"/>
                <w:highlight w:val="none"/>
              </w:rPr>
            </w:pPr>
          </w:p>
        </w:tc>
        <w:tc>
          <w:tcPr>
            <w:tcW w:w="1337" w:type="dxa"/>
            <w:vAlign w:val="center"/>
          </w:tcPr>
          <w:p>
            <w:pPr>
              <w:pStyle w:val="106"/>
              <w:tabs>
                <w:tab w:val="left" w:pos="839"/>
              </w:tabs>
              <w:ind w:right="96"/>
              <w:jc w:val="center"/>
              <w:rPr>
                <w:rFonts w:ascii="宋体" w:hAnsi="宋体" w:eastAsia="宋体" w:cs="宋体"/>
                <w:sz w:val="24"/>
                <w:szCs w:val="22"/>
                <w:highlight w:val="none"/>
              </w:rPr>
            </w:pPr>
            <w:r>
              <w:rPr>
                <w:rFonts w:hint="eastAsia" w:ascii="宋体" w:hAnsi="宋体" w:eastAsia="宋体" w:cs="宋体"/>
                <w:sz w:val="24"/>
                <w:szCs w:val="22"/>
                <w:highlight w:val="none"/>
              </w:rPr>
              <w:t>性别</w:t>
            </w:r>
          </w:p>
        </w:tc>
        <w:tc>
          <w:tcPr>
            <w:tcW w:w="2374" w:type="dxa"/>
            <w:vAlign w:val="center"/>
          </w:tcPr>
          <w:p>
            <w:pPr>
              <w:pStyle w:val="106"/>
              <w:jc w:val="center"/>
              <w:rPr>
                <w:rFonts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6"/>
              <w:spacing w:before="186"/>
              <w:ind w:left="107" w:right="117"/>
              <w:rPr>
                <w:rFonts w:ascii="宋体" w:hAnsi="宋体" w:eastAsia="宋体" w:cs="宋体"/>
                <w:sz w:val="24"/>
                <w:szCs w:val="22"/>
                <w:highlight w:val="none"/>
              </w:rPr>
            </w:pPr>
          </w:p>
        </w:tc>
        <w:tc>
          <w:tcPr>
            <w:tcW w:w="2375" w:type="dxa"/>
            <w:vAlign w:val="center"/>
          </w:tcPr>
          <w:p>
            <w:pPr>
              <w:pStyle w:val="106"/>
              <w:ind w:left="108" w:right="119"/>
              <w:jc w:val="center"/>
              <w:rPr>
                <w:rFonts w:ascii="宋体" w:hAnsi="宋体" w:eastAsia="宋体" w:cs="宋体"/>
                <w:sz w:val="24"/>
                <w:szCs w:val="22"/>
                <w:highlight w:val="none"/>
              </w:rPr>
            </w:pPr>
            <w:r>
              <w:rPr>
                <w:rFonts w:hint="eastAsia" w:ascii="宋体" w:hAnsi="宋体" w:eastAsia="宋体" w:cs="宋体"/>
                <w:sz w:val="24"/>
                <w:szCs w:val="22"/>
                <w:highlight w:val="none"/>
              </w:rPr>
              <w:t>职务</w:t>
            </w:r>
          </w:p>
        </w:tc>
        <w:tc>
          <w:tcPr>
            <w:tcW w:w="1752" w:type="dxa"/>
            <w:vAlign w:val="center"/>
          </w:tcPr>
          <w:p>
            <w:pPr>
              <w:pStyle w:val="106"/>
              <w:jc w:val="center"/>
              <w:rPr>
                <w:rFonts w:ascii="宋体" w:hAnsi="宋体" w:eastAsia="宋体" w:cs="宋体"/>
                <w:sz w:val="22"/>
                <w:szCs w:val="22"/>
                <w:highlight w:val="none"/>
              </w:rPr>
            </w:pPr>
          </w:p>
        </w:tc>
        <w:tc>
          <w:tcPr>
            <w:tcW w:w="1337" w:type="dxa"/>
            <w:vAlign w:val="center"/>
          </w:tcPr>
          <w:p>
            <w:pPr>
              <w:pStyle w:val="106"/>
              <w:ind w:right="94"/>
              <w:jc w:val="center"/>
              <w:rPr>
                <w:rFonts w:ascii="宋体" w:hAnsi="宋体" w:eastAsia="宋体" w:cs="宋体"/>
                <w:sz w:val="24"/>
                <w:szCs w:val="22"/>
                <w:highlight w:val="none"/>
              </w:rPr>
            </w:pPr>
            <w:r>
              <w:rPr>
                <w:rFonts w:hint="eastAsia" w:ascii="宋体" w:hAnsi="宋体" w:eastAsia="宋体" w:cs="宋体"/>
                <w:sz w:val="24"/>
                <w:szCs w:val="22"/>
                <w:highlight w:val="none"/>
              </w:rPr>
              <w:t>联系电话</w:t>
            </w:r>
          </w:p>
        </w:tc>
        <w:tc>
          <w:tcPr>
            <w:tcW w:w="2374" w:type="dxa"/>
            <w:vAlign w:val="center"/>
          </w:tcPr>
          <w:p>
            <w:pPr>
              <w:pStyle w:val="106"/>
              <w:jc w:val="center"/>
              <w:rPr>
                <w:rFonts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6"/>
              <w:spacing w:before="186"/>
              <w:ind w:left="107" w:right="117"/>
              <w:rPr>
                <w:rFonts w:ascii="宋体" w:hAnsi="宋体" w:eastAsia="宋体" w:cs="宋体"/>
                <w:sz w:val="24"/>
                <w:szCs w:val="22"/>
                <w:highlight w:val="none"/>
              </w:rPr>
            </w:pPr>
          </w:p>
        </w:tc>
        <w:tc>
          <w:tcPr>
            <w:tcW w:w="2375" w:type="dxa"/>
            <w:vAlign w:val="center"/>
          </w:tcPr>
          <w:p>
            <w:pPr>
              <w:pStyle w:val="106"/>
              <w:ind w:left="108" w:right="119"/>
              <w:jc w:val="center"/>
              <w:rPr>
                <w:rFonts w:ascii="宋体" w:hAnsi="宋体" w:eastAsia="宋体" w:cs="宋体"/>
                <w:sz w:val="24"/>
                <w:szCs w:val="22"/>
                <w:highlight w:val="none"/>
              </w:rPr>
            </w:pPr>
            <w:r>
              <w:rPr>
                <w:rFonts w:hint="eastAsia" w:ascii="宋体" w:hAnsi="宋体" w:eastAsia="宋体" w:cs="宋体"/>
                <w:sz w:val="24"/>
                <w:szCs w:val="22"/>
                <w:highlight w:val="none"/>
              </w:rPr>
              <w:t>传真</w:t>
            </w:r>
          </w:p>
        </w:tc>
        <w:tc>
          <w:tcPr>
            <w:tcW w:w="5463" w:type="dxa"/>
            <w:gridSpan w:val="3"/>
            <w:vAlign w:val="center"/>
          </w:tcPr>
          <w:p>
            <w:pPr>
              <w:pStyle w:val="106"/>
              <w:jc w:val="center"/>
              <w:rPr>
                <w:rFonts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106"/>
              <w:spacing w:before="186"/>
              <w:ind w:left="107" w:right="117"/>
              <w:rPr>
                <w:rFonts w:ascii="宋体" w:hAnsi="宋体" w:eastAsia="宋体" w:cs="宋体"/>
                <w:sz w:val="24"/>
                <w:szCs w:val="22"/>
                <w:highlight w:val="none"/>
              </w:rPr>
            </w:pPr>
            <w:r>
              <w:rPr>
                <w:rFonts w:hint="eastAsia" w:ascii="宋体" w:hAnsi="宋体" w:eastAsia="宋体" w:cs="宋体"/>
                <w:sz w:val="24"/>
                <w:szCs w:val="22"/>
                <w:highlight w:val="none"/>
              </w:rPr>
              <w:t>法定代表人身份证复印件</w:t>
            </w:r>
          </w:p>
        </w:tc>
        <w:tc>
          <w:tcPr>
            <w:tcW w:w="4127" w:type="dxa"/>
            <w:gridSpan w:val="2"/>
            <w:vMerge w:val="restart"/>
            <w:vAlign w:val="center"/>
          </w:tcPr>
          <w:p>
            <w:pPr>
              <w:pStyle w:val="106"/>
              <w:ind w:left="17"/>
              <w:jc w:val="center"/>
              <w:rPr>
                <w:rFonts w:ascii="宋体" w:hAnsi="宋体" w:eastAsia="宋体" w:cs="宋体"/>
                <w:sz w:val="24"/>
                <w:szCs w:val="22"/>
                <w:highlight w:val="none"/>
              </w:rPr>
            </w:pPr>
            <w:r>
              <w:rPr>
                <w:rFonts w:hint="eastAsia" w:ascii="宋体" w:hAnsi="宋体" w:eastAsia="宋体" w:cs="宋体"/>
                <w:sz w:val="24"/>
                <w:szCs w:val="22"/>
                <w:highlight w:val="none"/>
              </w:rPr>
              <w:t>二代身份证正、反两面</w:t>
            </w:r>
          </w:p>
          <w:p>
            <w:pPr>
              <w:pStyle w:val="106"/>
              <w:jc w:val="center"/>
              <w:rPr>
                <w:rFonts w:ascii="宋体" w:hAnsi="宋体" w:eastAsia="宋体" w:cs="宋体"/>
                <w:b/>
                <w:sz w:val="24"/>
                <w:szCs w:val="22"/>
                <w:highlight w:val="none"/>
              </w:rPr>
            </w:pPr>
          </w:p>
          <w:p>
            <w:pPr>
              <w:pStyle w:val="106"/>
              <w:spacing w:before="1"/>
              <w:jc w:val="center"/>
              <w:rPr>
                <w:rFonts w:ascii="宋体" w:hAnsi="宋体" w:eastAsia="宋体" w:cs="宋体"/>
                <w:b/>
                <w:szCs w:val="22"/>
                <w:highlight w:val="none"/>
              </w:rPr>
            </w:pPr>
          </w:p>
          <w:p>
            <w:pPr>
              <w:pStyle w:val="106"/>
              <w:ind w:left="9"/>
              <w:jc w:val="center"/>
              <w:rPr>
                <w:rFonts w:ascii="宋体" w:hAnsi="宋体" w:eastAsia="宋体" w:cs="宋体"/>
                <w:sz w:val="24"/>
                <w:szCs w:val="22"/>
                <w:highlight w:val="none"/>
              </w:rPr>
            </w:pPr>
            <w:r>
              <w:rPr>
                <w:rFonts w:hint="eastAsia" w:ascii="宋体" w:hAnsi="宋体" w:eastAsia="宋体" w:cs="宋体"/>
                <w:sz w:val="24"/>
                <w:szCs w:val="22"/>
                <w:highlight w:val="none"/>
              </w:rPr>
              <w:t>（粘贴处）</w:t>
            </w:r>
          </w:p>
        </w:tc>
        <w:tc>
          <w:tcPr>
            <w:tcW w:w="3711" w:type="dxa"/>
            <w:gridSpan w:val="2"/>
            <w:vAlign w:val="center"/>
          </w:tcPr>
          <w:p>
            <w:pPr>
              <w:pStyle w:val="106"/>
              <w:jc w:val="center"/>
              <w:rPr>
                <w:rFonts w:ascii="宋体" w:hAnsi="宋体" w:eastAsia="宋体" w:cs="宋体"/>
                <w:sz w:val="24"/>
                <w:szCs w:val="22"/>
                <w:highlight w:val="none"/>
              </w:rPr>
            </w:pPr>
            <w:r>
              <w:rPr>
                <w:rFonts w:hint="eastAsia" w:ascii="宋体" w:hAnsi="宋体" w:eastAsia="宋体" w:cs="宋体"/>
                <w:sz w:val="24"/>
                <w:szCs w:val="22"/>
                <w:highlight w:val="none"/>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ascii="宋体" w:hAnsi="宋体" w:cs="宋体"/>
                <w:sz w:val="2"/>
                <w:szCs w:val="2"/>
                <w:highlight w:val="none"/>
              </w:rPr>
            </w:pPr>
          </w:p>
        </w:tc>
        <w:tc>
          <w:tcPr>
            <w:tcW w:w="4127" w:type="dxa"/>
            <w:gridSpan w:val="2"/>
            <w:vMerge w:val="continue"/>
            <w:tcBorders>
              <w:top w:val="nil"/>
            </w:tcBorders>
            <w:vAlign w:val="center"/>
          </w:tcPr>
          <w:p>
            <w:pPr>
              <w:jc w:val="center"/>
              <w:rPr>
                <w:rFonts w:ascii="宋体" w:hAnsi="宋体" w:cs="宋体"/>
                <w:sz w:val="2"/>
                <w:szCs w:val="2"/>
                <w:highlight w:val="none"/>
              </w:rPr>
            </w:pPr>
          </w:p>
        </w:tc>
        <w:tc>
          <w:tcPr>
            <w:tcW w:w="3711" w:type="dxa"/>
            <w:gridSpan w:val="2"/>
            <w:vAlign w:val="center"/>
          </w:tcPr>
          <w:p>
            <w:pPr>
              <w:pStyle w:val="106"/>
              <w:tabs>
                <w:tab w:val="left" w:pos="2347"/>
                <w:tab w:val="left" w:pos="2908"/>
              </w:tabs>
              <w:jc w:val="center"/>
              <w:rPr>
                <w:rFonts w:ascii="宋体" w:hAnsi="宋体" w:eastAsia="宋体" w:cs="宋体"/>
                <w:sz w:val="24"/>
                <w:szCs w:val="22"/>
                <w:highlight w:val="none"/>
              </w:rPr>
            </w:pPr>
            <w:r>
              <w:rPr>
                <w:rFonts w:hint="eastAsia" w:ascii="宋体" w:hAnsi="宋体" w:eastAsia="宋体" w:cs="宋体"/>
                <w:sz w:val="24"/>
                <w:szCs w:val="22"/>
                <w:highlight w:val="none"/>
              </w:rPr>
              <w:t>（企业公章）</w:t>
            </w:r>
          </w:p>
          <w:p>
            <w:pPr>
              <w:pStyle w:val="106"/>
              <w:tabs>
                <w:tab w:val="left" w:pos="2347"/>
                <w:tab w:val="left" w:pos="2908"/>
              </w:tabs>
              <w:ind w:left="1787"/>
              <w:jc w:val="center"/>
              <w:rPr>
                <w:rFonts w:ascii="宋体" w:hAnsi="宋体" w:eastAsia="宋体" w:cs="宋体"/>
                <w:sz w:val="24"/>
                <w:szCs w:val="22"/>
                <w:highlight w:val="none"/>
              </w:rPr>
            </w:pPr>
          </w:p>
          <w:p>
            <w:pPr>
              <w:pStyle w:val="106"/>
              <w:tabs>
                <w:tab w:val="left" w:pos="2347"/>
                <w:tab w:val="left" w:pos="2908"/>
              </w:tabs>
              <w:ind w:left="1787"/>
              <w:jc w:val="center"/>
              <w:rPr>
                <w:rFonts w:ascii="宋体" w:hAnsi="宋体" w:eastAsia="宋体" w:cs="宋体"/>
                <w:sz w:val="24"/>
                <w:szCs w:val="22"/>
                <w:highlight w:val="none"/>
              </w:rPr>
            </w:pPr>
          </w:p>
          <w:p>
            <w:pPr>
              <w:pStyle w:val="106"/>
              <w:tabs>
                <w:tab w:val="left" w:pos="2347"/>
                <w:tab w:val="left" w:pos="2908"/>
              </w:tabs>
              <w:ind w:left="1787"/>
              <w:jc w:val="center"/>
              <w:rPr>
                <w:rFonts w:ascii="宋体" w:hAnsi="宋体" w:eastAsia="宋体" w:cs="宋体"/>
                <w:sz w:val="24"/>
                <w:szCs w:val="22"/>
                <w:highlight w:val="none"/>
              </w:rPr>
            </w:pPr>
            <w:r>
              <w:rPr>
                <w:rFonts w:hint="eastAsia" w:ascii="宋体" w:hAnsi="宋体" w:eastAsia="宋体" w:cs="宋体"/>
                <w:sz w:val="24"/>
                <w:szCs w:val="22"/>
                <w:highlight w:val="none"/>
              </w:rPr>
              <w:t>年</w:t>
            </w:r>
            <w:r>
              <w:rPr>
                <w:rFonts w:hint="eastAsia" w:ascii="宋体" w:hAnsi="宋体" w:eastAsia="宋体" w:cs="宋体"/>
                <w:sz w:val="24"/>
                <w:szCs w:val="22"/>
                <w:highlight w:val="none"/>
              </w:rPr>
              <w:tab/>
            </w:r>
            <w:r>
              <w:rPr>
                <w:rFonts w:hint="eastAsia" w:ascii="宋体" w:hAnsi="宋体" w:eastAsia="宋体" w:cs="宋体"/>
                <w:sz w:val="24"/>
                <w:szCs w:val="22"/>
                <w:highlight w:val="none"/>
              </w:rPr>
              <w:t>月</w:t>
            </w:r>
            <w:r>
              <w:rPr>
                <w:rFonts w:hint="eastAsia" w:ascii="宋体" w:hAnsi="宋体" w:eastAsia="宋体" w:cs="宋体"/>
                <w:sz w:val="24"/>
                <w:szCs w:val="22"/>
                <w:highlight w:val="none"/>
              </w:rPr>
              <w:tab/>
            </w:r>
            <w:r>
              <w:rPr>
                <w:rFonts w:hint="eastAsia" w:ascii="宋体" w:hAnsi="宋体" w:eastAsia="宋体" w:cs="宋体"/>
                <w:sz w:val="24"/>
                <w:szCs w:val="22"/>
                <w:highlight w:val="none"/>
              </w:rPr>
              <w:t>日</w:t>
            </w:r>
          </w:p>
        </w:tc>
      </w:tr>
    </w:tbl>
    <w:p>
      <w:pPr>
        <w:snapToGrid w:val="0"/>
        <w:spacing w:line="360" w:lineRule="auto"/>
        <w:jc w:val="center"/>
        <w:rPr>
          <w:rFonts w:ascii="宋体" w:hAnsi="宋体" w:cs="宋体"/>
          <w:b/>
          <w:bCs/>
          <w:sz w:val="24"/>
          <w:highlight w:val="none"/>
        </w:rPr>
      </w:pPr>
    </w:p>
    <w:p>
      <w:pPr>
        <w:snapToGrid w:val="0"/>
        <w:spacing w:line="360" w:lineRule="auto"/>
        <w:jc w:val="center"/>
        <w:rPr>
          <w:rFonts w:ascii="宋体" w:hAnsi="宋体" w:cs="宋体"/>
          <w:b/>
          <w:bCs/>
          <w:sz w:val="24"/>
          <w:highlight w:val="none"/>
        </w:rPr>
      </w:pPr>
      <w:r>
        <w:rPr>
          <w:rFonts w:hint="eastAsia" w:ascii="宋体" w:hAnsi="宋体" w:cs="宋体"/>
          <w:b/>
          <w:bCs/>
          <w:sz w:val="24"/>
          <w:highlight w:val="none"/>
        </w:rPr>
        <w:t>（一）法定代表人证明书格式（投标人为法定代表人时须出具）</w:t>
      </w:r>
      <w:r>
        <w:rPr>
          <w:rFonts w:hint="eastAsia" w:ascii="宋体" w:hAnsi="宋体" w:cs="宋体"/>
          <w:b/>
          <w:bCs/>
          <w:sz w:val="24"/>
          <w:highlight w:val="none"/>
        </w:rPr>
        <w:br w:type="page"/>
      </w:r>
      <w:r>
        <w:rPr>
          <w:rFonts w:hint="eastAsia" w:ascii="宋体" w:hAnsi="宋体" w:cs="宋体"/>
          <w:b/>
          <w:kern w:val="0"/>
          <w:sz w:val="28"/>
          <w:szCs w:val="28"/>
          <w:highlight w:val="none"/>
        </w:rPr>
        <w:t>（二）法定代表人授权书格式（投标人为授权代表时须出具）</w:t>
      </w:r>
    </w:p>
    <w:p>
      <w:pPr>
        <w:snapToGrid w:val="0"/>
        <w:spacing w:line="360" w:lineRule="auto"/>
        <w:jc w:val="center"/>
        <w:rPr>
          <w:rFonts w:ascii="宋体" w:hAnsi="宋体" w:cs="宋体"/>
          <w:b/>
          <w:bCs/>
          <w:sz w:val="24"/>
          <w:highlight w:val="none"/>
          <w:u w:val="single"/>
        </w:rPr>
      </w:pPr>
    </w:p>
    <w:p>
      <w:pPr>
        <w:snapToGrid w:val="0"/>
        <w:spacing w:line="360" w:lineRule="auto"/>
        <w:rPr>
          <w:rFonts w:ascii="宋体" w:hAnsi="宋体" w:cs="宋体"/>
          <w:b/>
          <w:bCs/>
          <w:sz w:val="24"/>
          <w:highlight w:val="none"/>
        </w:rPr>
      </w:pPr>
      <w:r>
        <w:rPr>
          <w:rFonts w:hint="eastAsia" w:ascii="宋体" w:hAnsi="宋体" w:cs="宋体"/>
          <w:b/>
          <w:bCs/>
          <w:sz w:val="24"/>
          <w:highlight w:val="none"/>
        </w:rPr>
        <w:t>致：陕西德信招标有限公司</w:t>
      </w:r>
    </w:p>
    <w:p>
      <w:pPr>
        <w:snapToGrid w:val="0"/>
        <w:spacing w:line="360" w:lineRule="auto"/>
        <w:ind w:firstLine="600"/>
        <w:rPr>
          <w:rFonts w:ascii="宋体" w:hAnsi="宋体" w:cs="宋体"/>
          <w:sz w:val="24"/>
          <w:highlight w:val="none"/>
          <w:u w:val="single"/>
        </w:rPr>
      </w:pPr>
      <w:r>
        <w:rPr>
          <w:rFonts w:hint="eastAsia" w:ascii="宋体" w:hAnsi="宋体" w:cs="宋体"/>
          <w:sz w:val="24"/>
          <w:highlight w:val="none"/>
        </w:rPr>
        <w:t>本授权书声明：注册于</w:t>
      </w:r>
      <w:r>
        <w:rPr>
          <w:rFonts w:hint="eastAsia" w:ascii="宋体" w:hAnsi="宋体" w:cs="宋体"/>
          <w:sz w:val="24"/>
          <w:highlight w:val="none"/>
          <w:u w:val="single"/>
        </w:rPr>
        <w:t xml:space="preserve">              </w:t>
      </w:r>
      <w:r>
        <w:rPr>
          <w:rFonts w:hint="eastAsia" w:ascii="宋体" w:hAnsi="宋体" w:cs="宋体"/>
          <w:sz w:val="24"/>
          <w:highlight w:val="none"/>
        </w:rPr>
        <w:t>（国家或地区）的</w:t>
      </w:r>
      <w:r>
        <w:rPr>
          <w:rFonts w:hint="eastAsia" w:ascii="宋体" w:hAnsi="宋体" w:cs="宋体"/>
          <w:sz w:val="24"/>
          <w:highlight w:val="none"/>
          <w:u w:val="single"/>
        </w:rPr>
        <w:t xml:space="preserve">               </w:t>
      </w:r>
    </w:p>
    <w:p>
      <w:pPr>
        <w:snapToGrid w:val="0"/>
        <w:spacing w:before="238" w:line="360" w:lineRule="auto"/>
        <w:rPr>
          <w:rFonts w:ascii="宋体" w:hAnsi="宋体" w:cs="宋体"/>
          <w:bCs/>
          <w:sz w:val="24"/>
          <w:highlight w:val="none"/>
        </w:rPr>
      </w:pPr>
      <w:r>
        <w:rPr>
          <w:rFonts w:hint="eastAsia" w:ascii="宋体" w:hAnsi="宋体" w:cs="宋体"/>
          <w:sz w:val="24"/>
          <w:highlight w:val="none"/>
        </w:rPr>
        <w:t>（投标人名称）的在下面签字的</w:t>
      </w:r>
      <w:r>
        <w:rPr>
          <w:rFonts w:hint="eastAsia" w:ascii="宋体" w:hAnsi="宋体" w:cs="宋体"/>
          <w:sz w:val="24"/>
          <w:highlight w:val="none"/>
          <w:u w:val="single"/>
        </w:rPr>
        <w:t xml:space="preserve">                         </w:t>
      </w:r>
      <w:r>
        <w:rPr>
          <w:rFonts w:hint="eastAsia" w:ascii="宋体" w:hAnsi="宋体" w:cs="宋体"/>
          <w:sz w:val="24"/>
          <w:highlight w:val="none"/>
        </w:rPr>
        <w:t>（法定代表人姓名、职务）代表本公司授权在下面签字的</w:t>
      </w:r>
      <w:r>
        <w:rPr>
          <w:rFonts w:hint="eastAsia" w:ascii="宋体" w:hAnsi="宋体" w:cs="宋体"/>
          <w:sz w:val="24"/>
          <w:highlight w:val="none"/>
          <w:u w:val="single"/>
        </w:rPr>
        <w:t xml:space="preserve">                  </w:t>
      </w:r>
      <w:r>
        <w:rPr>
          <w:rFonts w:hint="eastAsia" w:ascii="宋体" w:hAnsi="宋体" w:cs="宋体"/>
          <w:sz w:val="24"/>
          <w:highlight w:val="none"/>
        </w:rPr>
        <w:t>（被授权人的姓名、职务）为本公司的合法代表人，就</w:t>
      </w:r>
      <w:r>
        <w:rPr>
          <w:rFonts w:hint="eastAsia" w:ascii="宋体" w:hAnsi="宋体" w:cs="宋体"/>
          <w:b/>
          <w:sz w:val="24"/>
          <w:highlight w:val="none"/>
          <w:u w:val="single"/>
        </w:rPr>
        <w:t>陕西德信招标有限公司</w:t>
      </w:r>
      <w:r>
        <w:rPr>
          <w:rFonts w:hint="eastAsia" w:ascii="宋体" w:hAnsi="宋体" w:cs="宋体"/>
          <w:b/>
          <w:bCs/>
          <w:sz w:val="24"/>
          <w:highlight w:val="none"/>
        </w:rPr>
        <w:t>〔</w:t>
      </w:r>
      <w:r>
        <w:rPr>
          <w:rFonts w:hint="eastAsia" w:ascii="宋体" w:hAnsi="宋体" w:cs="宋体"/>
          <w:sz w:val="24"/>
          <w:highlight w:val="none"/>
        </w:rPr>
        <w:t>项目</w:t>
      </w:r>
      <w:r>
        <w:rPr>
          <w:rFonts w:hint="eastAsia" w:ascii="宋体" w:hAnsi="宋体" w:cs="宋体"/>
          <w:sz w:val="24"/>
          <w:highlight w:val="none"/>
          <w:lang w:eastAsia="zh-CN"/>
        </w:rPr>
        <w:t>名称、项目</w:t>
      </w:r>
      <w:r>
        <w:rPr>
          <w:rFonts w:hint="eastAsia" w:ascii="宋体" w:hAnsi="宋体" w:cs="宋体"/>
          <w:sz w:val="24"/>
          <w:highlight w:val="none"/>
        </w:rPr>
        <w:t>编号为</w:t>
      </w:r>
      <w:r>
        <w:rPr>
          <w:rFonts w:hint="eastAsia" w:ascii="宋体" w:hAnsi="宋体" w:cs="宋体"/>
          <w:b/>
          <w:bCs/>
          <w:sz w:val="24"/>
          <w:highlight w:val="none"/>
          <w:u w:val="single"/>
        </w:rPr>
        <w:t xml:space="preserve">              </w:t>
      </w:r>
      <w:r>
        <w:rPr>
          <w:rFonts w:hint="eastAsia" w:ascii="宋体" w:hAnsi="宋体" w:cs="宋体"/>
          <w:b/>
          <w:bCs/>
          <w:sz w:val="24"/>
          <w:highlight w:val="none"/>
        </w:rPr>
        <w:t>〕</w:t>
      </w:r>
      <w:r>
        <w:rPr>
          <w:rFonts w:hint="eastAsia" w:ascii="宋体" w:hAnsi="宋体" w:cs="宋体"/>
          <w:sz w:val="24"/>
          <w:highlight w:val="none"/>
        </w:rPr>
        <w:t>招标文件的投标和合同执行，以我方的名义处理一切与之有关的事宜。</w:t>
      </w:r>
    </w:p>
    <w:p>
      <w:pPr>
        <w:snapToGrid w:val="0"/>
        <w:spacing w:line="360" w:lineRule="auto"/>
        <w:ind w:firstLine="480"/>
        <w:rPr>
          <w:rFonts w:ascii="宋体" w:hAnsi="宋体" w:cs="宋体"/>
          <w:sz w:val="24"/>
          <w:highlight w:val="none"/>
        </w:rPr>
      </w:pPr>
      <w:r>
        <w:rPr>
          <w:rFonts w:hint="eastAsia" w:ascii="宋体" w:hAnsi="宋体" w:cs="宋体"/>
          <w:sz w:val="24"/>
          <w:highlight w:val="none"/>
        </w:rPr>
        <w:t>本授权书</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日至</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日签字生效，特此声明。</w:t>
      </w:r>
    </w:p>
    <w:p>
      <w:pPr>
        <w:snapToGrid w:val="0"/>
        <w:spacing w:line="360" w:lineRule="auto"/>
        <w:rPr>
          <w:rFonts w:ascii="宋体" w:hAnsi="宋体" w:cs="宋体"/>
          <w:sz w:val="24"/>
          <w:highlight w:val="none"/>
        </w:rPr>
      </w:pPr>
    </w:p>
    <w:p>
      <w:pPr>
        <w:snapToGrid w:val="0"/>
        <w:spacing w:line="360" w:lineRule="auto"/>
        <w:rPr>
          <w:rFonts w:ascii="宋体" w:hAnsi="宋体" w:cs="宋体"/>
          <w:sz w:val="24"/>
          <w:highlight w:val="none"/>
        </w:rPr>
      </w:pPr>
      <w:r>
        <w:rPr>
          <w:rFonts w:hint="eastAsia" w:ascii="宋体" w:hAnsi="宋体" w:cs="宋体"/>
          <w:sz w:val="24"/>
          <w:highlight w:val="none"/>
        </w:rPr>
        <w:t>投标人</w:t>
      </w:r>
      <w:r>
        <w:rPr>
          <w:rFonts w:hint="eastAsia" w:ascii="宋体" w:hAnsi="宋体" w:cs="宋体"/>
          <w:sz w:val="24"/>
          <w:highlight w:val="none"/>
          <w:lang w:eastAsia="zh-CN"/>
        </w:rPr>
        <w:t>名称</w:t>
      </w:r>
      <w:r>
        <w:rPr>
          <w:rFonts w:hint="eastAsia" w:ascii="宋体" w:hAnsi="宋体" w:cs="宋体"/>
          <w:sz w:val="24"/>
          <w:highlight w:val="none"/>
        </w:rPr>
        <w:t>：（公章）</w:t>
      </w:r>
    </w:p>
    <w:p>
      <w:pPr>
        <w:snapToGrid w:val="0"/>
        <w:spacing w:line="360" w:lineRule="auto"/>
        <w:rPr>
          <w:rFonts w:ascii="宋体" w:hAnsi="宋体" w:cs="宋体"/>
          <w:sz w:val="24"/>
          <w:highlight w:val="none"/>
        </w:rPr>
      </w:pPr>
      <w:r>
        <w:rPr>
          <w:rFonts w:hint="eastAsia" w:ascii="宋体" w:hAnsi="宋体" w:cs="宋体"/>
          <w:sz w:val="24"/>
          <w:highlight w:val="none"/>
        </w:rPr>
        <w:t>地址：</w:t>
      </w:r>
    </w:p>
    <w:p>
      <w:pPr>
        <w:snapToGrid w:val="0"/>
        <w:spacing w:line="360" w:lineRule="auto"/>
        <w:rPr>
          <w:rFonts w:ascii="宋体" w:hAnsi="宋体" w:cs="宋体"/>
          <w:sz w:val="24"/>
          <w:highlight w:val="none"/>
        </w:rPr>
      </w:pPr>
    </w:p>
    <w:p>
      <w:pPr>
        <w:snapToGrid w:val="0"/>
        <w:spacing w:line="360" w:lineRule="auto"/>
        <w:rPr>
          <w:rFonts w:ascii="宋体" w:hAnsi="宋体" w:cs="宋体"/>
          <w:sz w:val="24"/>
          <w:highlight w:val="none"/>
        </w:rPr>
      </w:pPr>
      <w:r>
        <w:rPr>
          <w:rFonts w:hint="eastAsia" w:ascii="宋体" w:hAnsi="宋体" w:cs="宋体"/>
          <w:sz w:val="24"/>
          <w:highlight w:val="none"/>
        </w:rPr>
        <w:t>法定代表人：（签名或盖章）</w:t>
      </w:r>
    </w:p>
    <w:p>
      <w:pPr>
        <w:snapToGrid w:val="0"/>
        <w:spacing w:line="360" w:lineRule="auto"/>
        <w:rPr>
          <w:rFonts w:ascii="宋体" w:hAnsi="宋体" w:cs="宋体"/>
          <w:sz w:val="24"/>
          <w:highlight w:val="none"/>
        </w:rPr>
      </w:pPr>
      <w:r>
        <w:rPr>
          <w:rFonts w:hint="eastAsia" w:ascii="宋体" w:hAnsi="宋体" w:cs="宋体"/>
          <w:sz w:val="24"/>
          <w:highlight w:val="none"/>
        </w:rPr>
        <w:t>职务：</w:t>
      </w:r>
    </w:p>
    <w:p>
      <w:pPr>
        <w:snapToGrid w:val="0"/>
        <w:spacing w:line="360" w:lineRule="auto"/>
        <w:rPr>
          <w:rFonts w:ascii="宋体" w:hAnsi="宋体" w:cs="宋体"/>
          <w:sz w:val="24"/>
          <w:highlight w:val="none"/>
        </w:rPr>
      </w:pPr>
    </w:p>
    <w:p>
      <w:pPr>
        <w:snapToGrid w:val="0"/>
        <w:spacing w:line="360" w:lineRule="auto"/>
        <w:rPr>
          <w:rFonts w:ascii="宋体" w:hAnsi="宋体" w:cs="宋体"/>
          <w:sz w:val="24"/>
          <w:highlight w:val="none"/>
        </w:rPr>
      </w:pPr>
      <w:r>
        <w:rPr>
          <w:rFonts w:hint="eastAsia" w:ascii="宋体" w:hAnsi="宋体" w:cs="宋体"/>
          <w:sz w:val="24"/>
          <w:highlight w:val="none"/>
        </w:rPr>
        <w:t>被授权人：（签名或盖章）</w:t>
      </w:r>
    </w:p>
    <w:p>
      <w:pPr>
        <w:snapToGrid w:val="0"/>
        <w:spacing w:line="360" w:lineRule="auto"/>
        <w:rPr>
          <w:rFonts w:ascii="宋体" w:hAnsi="宋体" w:cs="宋体"/>
          <w:sz w:val="24"/>
          <w:highlight w:val="none"/>
        </w:rPr>
      </w:pPr>
      <w:r>
        <w:rPr>
          <w:rFonts w:hint="eastAsia" w:ascii="宋体" w:hAnsi="宋体" w:cs="宋体"/>
          <w:sz w:val="24"/>
          <w:highlight w:val="none"/>
        </w:rPr>
        <w:t>职务：</w:t>
      </w:r>
    </w:p>
    <w:p>
      <w:pPr>
        <w:snapToGrid w:val="0"/>
        <w:spacing w:line="360" w:lineRule="auto"/>
        <w:rPr>
          <w:rFonts w:ascii="宋体" w:hAnsi="宋体" w:cs="宋体"/>
          <w:b/>
          <w:kern w:val="0"/>
          <w:sz w:val="24"/>
          <w:highlight w:val="none"/>
        </w:rPr>
      </w:pPr>
      <w:r>
        <w:rPr>
          <w:rFonts w:hint="eastAsia" w:ascii="宋体" w:hAnsi="宋体" w:cs="宋体"/>
          <w:b/>
          <w:kern w:val="0"/>
          <w:sz w:val="24"/>
          <w:highlight w:val="none"/>
        </w:rPr>
        <w:t>法人代表与被授权人身份证（复印件）需附在投标文件中。</w:t>
      </w:r>
    </w:p>
    <w:p>
      <w:pPr>
        <w:snapToGrid w:val="0"/>
        <w:spacing w:line="360" w:lineRule="auto"/>
        <w:rPr>
          <w:rFonts w:ascii="宋体" w:hAnsi="宋体" w:cs="宋体"/>
          <w:b/>
          <w:kern w:val="0"/>
          <w:sz w:val="24"/>
          <w:highlight w:val="none"/>
        </w:rPr>
      </w:pPr>
      <w:r>
        <w:rPr>
          <w:rFonts w:hint="eastAsia" w:ascii="宋体" w:hAnsi="宋体" w:cs="宋体"/>
          <w:b/>
          <w:kern w:val="0"/>
          <w:sz w:val="24"/>
          <w:highlight w:val="none"/>
        </w:rPr>
        <w:t>被授权人需携带身份证原件至开标现场。</w:t>
      </w:r>
    </w:p>
    <w:p>
      <w:pPr>
        <w:spacing w:line="360" w:lineRule="auto"/>
        <w:rPr>
          <w:rFonts w:ascii="宋体" w:hAnsi="宋体" w:cs="宋体"/>
          <w:sz w:val="24"/>
          <w:highlight w:val="none"/>
          <w:u w:val="single"/>
        </w:rPr>
      </w:pPr>
    </w:p>
    <w:p>
      <w:pPr>
        <w:spacing w:after="240" w:line="360" w:lineRule="auto"/>
        <w:jc w:val="center"/>
        <w:rPr>
          <w:rFonts w:ascii="宋体" w:hAnsi="宋体" w:cs="宋体"/>
          <w:highlight w:val="none"/>
        </w:rPr>
      </w:pPr>
    </w:p>
    <w:p>
      <w:pPr>
        <w:spacing w:after="240" w:line="360" w:lineRule="auto"/>
        <w:jc w:val="center"/>
        <w:rPr>
          <w:rFonts w:ascii="宋体" w:hAnsi="宋体" w:cs="宋体"/>
          <w:highlight w:val="none"/>
        </w:rPr>
      </w:pPr>
    </w:p>
    <w:p>
      <w:pPr>
        <w:spacing w:after="240" w:line="360" w:lineRule="auto"/>
        <w:jc w:val="center"/>
        <w:rPr>
          <w:rFonts w:ascii="宋体" w:hAnsi="宋体" w:cs="宋体"/>
          <w:highlight w:val="none"/>
        </w:rPr>
      </w:pPr>
    </w:p>
    <w:p>
      <w:pPr>
        <w:tabs>
          <w:tab w:val="left" w:pos="0"/>
        </w:tabs>
        <w:spacing w:line="360" w:lineRule="auto"/>
        <w:ind w:left="964" w:hanging="964" w:hangingChars="400"/>
        <w:outlineLvl w:val="1"/>
        <w:rPr>
          <w:rFonts w:ascii="宋体" w:hAnsi="宋体" w:cs="宋体"/>
          <w:b/>
          <w:sz w:val="24"/>
          <w:highlight w:val="none"/>
        </w:rPr>
      </w:pPr>
      <w:r>
        <w:rPr>
          <w:rFonts w:hint="eastAsia" w:ascii="新宋体" w:hAnsi="新宋体" w:eastAsia="新宋体"/>
          <w:b/>
          <w:sz w:val="24"/>
          <w:highlight w:val="none"/>
        </w:rPr>
        <w:br w:type="page"/>
      </w:r>
      <w:r>
        <w:rPr>
          <w:rFonts w:hint="eastAsia" w:ascii="宋体" w:hAnsi="宋体" w:cs="宋体"/>
          <w:b/>
          <w:kern w:val="0"/>
          <w:sz w:val="28"/>
          <w:szCs w:val="28"/>
          <w:highlight w:val="none"/>
        </w:rPr>
        <w:t>七、资格证明文件</w:t>
      </w:r>
    </w:p>
    <w:p>
      <w:pPr>
        <w:widowControl/>
        <w:spacing w:line="360" w:lineRule="auto"/>
        <w:ind w:firstLine="441" w:firstLineChars="184"/>
        <w:jc w:val="left"/>
        <w:rPr>
          <w:rFonts w:ascii="宋体" w:hAnsi="宋体" w:cs="宋体"/>
          <w:kern w:val="0"/>
          <w:sz w:val="24"/>
          <w:highlight w:val="none"/>
        </w:rPr>
      </w:pPr>
      <w:r>
        <w:rPr>
          <w:rFonts w:hint="eastAsia" w:ascii="宋体" w:hAnsi="宋体" w:cs="宋体"/>
          <w:kern w:val="0"/>
          <w:sz w:val="24"/>
          <w:highlight w:val="none"/>
        </w:rPr>
        <w:t>1、具有独立承担民事责任能力的法人或非法人组织或自然人，提供合法有效的统一社会信用代码的营业执照等证明文件；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kern w:val="0"/>
          <w:sz w:val="24"/>
          <w:szCs w:val="22"/>
          <w:highlight w:val="none"/>
        </w:rPr>
      </w:pPr>
      <w:r>
        <w:rPr>
          <w:rFonts w:hint="eastAsia" w:ascii="宋体" w:hAnsi="宋体" w:cs="宋体"/>
          <w:kern w:val="0"/>
          <w:sz w:val="24"/>
          <w:szCs w:val="22"/>
          <w:highlight w:val="none"/>
        </w:rPr>
        <w:t>2、提供2021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ascii="宋体" w:hAnsi="宋体" w:cs="宋体"/>
          <w:kern w:val="0"/>
          <w:sz w:val="24"/>
          <w:szCs w:val="22"/>
          <w:highlight w:val="none"/>
        </w:rPr>
      </w:pPr>
      <w:r>
        <w:rPr>
          <w:rFonts w:hint="eastAsia" w:ascii="宋体" w:hAnsi="宋体" w:cs="宋体"/>
          <w:kern w:val="0"/>
          <w:sz w:val="24"/>
          <w:szCs w:val="22"/>
          <w:highlight w:val="none"/>
        </w:rPr>
        <w:t>3、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ascii="宋体" w:hAnsi="宋体" w:cs="宋体"/>
          <w:kern w:val="0"/>
          <w:sz w:val="24"/>
          <w:szCs w:val="22"/>
          <w:highlight w:val="none"/>
        </w:rPr>
      </w:pPr>
      <w:r>
        <w:rPr>
          <w:rFonts w:hint="eastAsia" w:ascii="宋体" w:hAnsi="宋体" w:cs="宋体"/>
          <w:kern w:val="0"/>
          <w:sz w:val="24"/>
          <w:szCs w:val="22"/>
          <w:highlight w:val="none"/>
        </w:rPr>
        <w:t>4、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ascii="宋体" w:hAnsi="宋体" w:cs="宋体"/>
          <w:kern w:val="0"/>
          <w:sz w:val="24"/>
          <w:highlight w:val="none"/>
        </w:rPr>
      </w:pPr>
      <w:r>
        <w:rPr>
          <w:rFonts w:hint="eastAsia" w:ascii="宋体" w:hAnsi="宋体" w:cs="宋体"/>
          <w:kern w:val="0"/>
          <w:sz w:val="24"/>
          <w:highlight w:val="none"/>
        </w:rPr>
        <w:t>5、</w:t>
      </w:r>
      <w:r>
        <w:rPr>
          <w:rFonts w:hint="eastAsia" w:ascii="宋体" w:hAnsi="宋体" w:cs="宋体"/>
          <w:sz w:val="24"/>
          <w:highlight w:val="none"/>
        </w:rPr>
        <w:t>未被列入失信被执行人、税收违法黑名单、政府采购严重违法失信行为记录名单；以“信用中国”网站(www.creditchina.gov.cn)或中国政府采购网(www.ccgp.gov.cn) 查询结果为准；</w:t>
      </w:r>
    </w:p>
    <w:p>
      <w:pPr>
        <w:tabs>
          <w:tab w:val="left" w:pos="0"/>
        </w:tabs>
        <w:spacing w:line="360" w:lineRule="auto"/>
        <w:rPr>
          <w:rFonts w:ascii="宋体" w:hAnsi="宋体" w:cs="宋体"/>
          <w:b/>
          <w:sz w:val="24"/>
          <w:highlight w:val="none"/>
        </w:rPr>
      </w:pPr>
      <w:r>
        <w:rPr>
          <w:rFonts w:hint="eastAsia" w:ascii="宋体" w:hAnsi="宋体" w:cs="宋体"/>
          <w:kern w:val="0"/>
          <w:sz w:val="24"/>
          <w:highlight w:val="none"/>
        </w:rPr>
        <w:t>6、投标保证金付款凭证或投标担保函。</w:t>
      </w:r>
    </w:p>
    <w:p>
      <w:pPr>
        <w:spacing w:line="360" w:lineRule="auto"/>
        <w:rPr>
          <w:rFonts w:ascii="宋体" w:hAnsi="宋体" w:cs="宋体"/>
          <w:b/>
          <w:sz w:val="24"/>
          <w:highlight w:val="none"/>
        </w:rPr>
      </w:pPr>
    </w:p>
    <w:p>
      <w:pPr>
        <w:spacing w:afterLines="50" w:line="360" w:lineRule="auto"/>
        <w:ind w:left="1067" w:hanging="1067" w:hangingChars="443"/>
        <w:rPr>
          <w:rFonts w:ascii="宋体" w:hAnsi="宋体" w:cs="宋体"/>
          <w:b/>
          <w:sz w:val="24"/>
          <w:highlight w:val="none"/>
        </w:rPr>
      </w:pPr>
      <w:r>
        <w:rPr>
          <w:rFonts w:hint="eastAsia" w:ascii="宋体" w:hAnsi="宋体" w:cs="宋体"/>
          <w:b/>
          <w:sz w:val="24"/>
          <w:highlight w:val="none"/>
        </w:rPr>
        <w:br w:type="page"/>
      </w:r>
    </w:p>
    <w:p>
      <w:pPr>
        <w:spacing w:afterLines="50" w:line="360" w:lineRule="auto"/>
        <w:ind w:left="1245" w:hanging="1245" w:hangingChars="443"/>
        <w:outlineLvl w:val="1"/>
        <w:rPr>
          <w:rFonts w:ascii="宋体" w:hAnsi="宋体" w:cs="宋体"/>
          <w:b/>
          <w:sz w:val="28"/>
          <w:szCs w:val="28"/>
          <w:highlight w:val="none"/>
        </w:rPr>
      </w:pPr>
      <w:r>
        <w:rPr>
          <w:rFonts w:hint="eastAsia" w:ascii="宋体" w:hAnsi="宋体" w:cs="宋体"/>
          <w:b/>
          <w:sz w:val="28"/>
          <w:szCs w:val="28"/>
          <w:highlight w:val="none"/>
        </w:rPr>
        <w:t>八、具有履行合同所必需的设备和专业技术能力的书面声明</w:t>
      </w: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jc w:val="center"/>
        <w:rPr>
          <w:rFonts w:ascii="宋体" w:hAnsi="宋体" w:cs="宋体"/>
          <w:b/>
          <w:sz w:val="28"/>
          <w:szCs w:val="28"/>
          <w:highlight w:val="none"/>
        </w:rPr>
      </w:pPr>
      <w:r>
        <w:rPr>
          <w:rFonts w:hint="eastAsia" w:ascii="宋体" w:hAnsi="宋体" w:cs="宋体"/>
          <w:b/>
          <w:sz w:val="28"/>
          <w:szCs w:val="28"/>
          <w:highlight w:val="none"/>
        </w:rPr>
        <w:t>（格式自拟）</w:t>
      </w: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spacing w:afterLines="50" w:line="360" w:lineRule="auto"/>
        <w:ind w:left="1245" w:hanging="1245" w:hangingChars="443"/>
        <w:rPr>
          <w:rFonts w:ascii="宋体" w:hAnsi="宋体" w:cs="宋体"/>
          <w:b/>
          <w:sz w:val="28"/>
          <w:szCs w:val="28"/>
          <w:highlight w:val="none"/>
        </w:rPr>
      </w:pPr>
    </w:p>
    <w:p>
      <w:pPr>
        <w:rPr>
          <w:rFonts w:ascii="宋体" w:hAnsi="宋体" w:cs="宋体"/>
          <w:b/>
          <w:sz w:val="28"/>
          <w:szCs w:val="28"/>
          <w:highlight w:val="none"/>
        </w:rPr>
      </w:pPr>
      <w:r>
        <w:rPr>
          <w:rFonts w:hint="eastAsia" w:ascii="宋体" w:hAnsi="宋体" w:cs="宋体"/>
          <w:b/>
          <w:sz w:val="28"/>
          <w:szCs w:val="28"/>
          <w:highlight w:val="none"/>
        </w:rPr>
        <w:br w:type="page"/>
      </w:r>
    </w:p>
    <w:p>
      <w:pPr>
        <w:spacing w:afterLines="50" w:line="360" w:lineRule="auto"/>
        <w:outlineLvl w:val="1"/>
        <w:rPr>
          <w:rFonts w:ascii="宋体" w:hAnsi="宋体" w:cs="宋体"/>
          <w:b/>
          <w:sz w:val="24"/>
          <w:highlight w:val="none"/>
        </w:rPr>
      </w:pPr>
      <w:r>
        <w:rPr>
          <w:rFonts w:hint="eastAsia" w:ascii="宋体" w:hAnsi="宋体" w:cs="宋体"/>
          <w:b/>
          <w:sz w:val="28"/>
          <w:szCs w:val="28"/>
          <w:highlight w:val="none"/>
        </w:rPr>
        <w:t>九、提供参加政府采购活动前三年内，在经营活动中没有重大违法记录书面声明</w:t>
      </w:r>
    </w:p>
    <w:p>
      <w:pPr>
        <w:spacing w:line="480" w:lineRule="auto"/>
        <w:ind w:firstLine="482" w:firstLineChars="200"/>
        <w:jc w:val="center"/>
        <w:rPr>
          <w:rFonts w:ascii="宋体" w:hAnsi="宋体" w:cs="宋体"/>
          <w:b/>
          <w:sz w:val="24"/>
          <w:highlight w:val="none"/>
        </w:rPr>
      </w:pPr>
      <w:r>
        <w:rPr>
          <w:rFonts w:hint="eastAsia" w:ascii="宋体" w:hAnsi="宋体" w:cs="宋体"/>
          <w:b/>
          <w:sz w:val="24"/>
          <w:highlight w:val="none"/>
        </w:rPr>
        <w:t>无重大违法记录声明</w:t>
      </w:r>
    </w:p>
    <w:p>
      <w:pPr>
        <w:spacing w:line="480" w:lineRule="auto"/>
        <w:ind w:firstLine="482" w:firstLineChars="200"/>
        <w:jc w:val="center"/>
        <w:rPr>
          <w:rFonts w:ascii="宋体" w:hAnsi="宋体" w:cs="宋体"/>
          <w:b/>
          <w:sz w:val="24"/>
          <w:highlight w:val="none"/>
        </w:rPr>
      </w:pPr>
    </w:p>
    <w:p>
      <w:pPr>
        <w:spacing w:line="480" w:lineRule="auto"/>
        <w:ind w:firstLine="480" w:firstLineChars="200"/>
        <w:rPr>
          <w:rFonts w:ascii="宋体" w:hAnsi="宋体" w:cs="宋体"/>
          <w:sz w:val="24"/>
          <w:highlight w:val="none"/>
          <w:u w:val="single"/>
        </w:rPr>
      </w:pPr>
      <w:r>
        <w:rPr>
          <w:rFonts w:hint="eastAsia" w:ascii="宋体" w:hAnsi="宋体" w:cs="宋体"/>
          <w:sz w:val="24"/>
          <w:highlight w:val="none"/>
          <w:u w:val="single"/>
        </w:rPr>
        <w:t>陕西德信招标有限公司：</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 xml:space="preserve">    我</w:t>
      </w:r>
      <w:r>
        <w:rPr>
          <w:rFonts w:hint="eastAsia" w:ascii="宋体" w:hAnsi="宋体" w:cs="宋体"/>
          <w:sz w:val="24"/>
          <w:highlight w:val="none"/>
          <w:u w:val="single"/>
        </w:rPr>
        <w:t xml:space="preserve">                 </w:t>
      </w:r>
      <w:r>
        <w:rPr>
          <w:rFonts w:hint="eastAsia" w:ascii="宋体" w:hAnsi="宋体" w:cs="宋体"/>
          <w:i/>
          <w:sz w:val="24"/>
          <w:highlight w:val="none"/>
          <w:u w:val="single"/>
        </w:rPr>
        <w:t>（投标人名称）</w:t>
      </w:r>
      <w:r>
        <w:rPr>
          <w:rFonts w:hint="eastAsia" w:ascii="宋体" w:hAnsi="宋体" w:cs="宋体"/>
          <w:sz w:val="24"/>
          <w:highlight w:val="none"/>
        </w:rPr>
        <w:t>以下简称“我公司”参加项目编号为</w:t>
      </w:r>
      <w:r>
        <w:rPr>
          <w:rFonts w:hint="eastAsia" w:ascii="宋体" w:hAnsi="宋体" w:cs="宋体"/>
          <w:sz w:val="24"/>
          <w:highlight w:val="none"/>
          <w:u w:val="single"/>
        </w:rPr>
        <w:t xml:space="preserve">              </w:t>
      </w:r>
      <w:r>
        <w:rPr>
          <w:rFonts w:hint="eastAsia" w:ascii="宋体" w:hAnsi="宋体" w:cs="宋体"/>
          <w:i/>
          <w:sz w:val="24"/>
          <w:highlight w:val="none"/>
          <w:u w:val="single"/>
        </w:rPr>
        <w:t xml:space="preserve">（项目编号） </w:t>
      </w:r>
      <w:r>
        <w:rPr>
          <w:rFonts w:hint="eastAsia" w:ascii="宋体" w:hAnsi="宋体" w:cs="宋体"/>
          <w:sz w:val="24"/>
          <w:highlight w:val="none"/>
          <w:u w:val="single"/>
        </w:rPr>
        <w:t xml:space="preserve">                </w:t>
      </w:r>
      <w:r>
        <w:rPr>
          <w:rFonts w:hint="eastAsia" w:ascii="宋体" w:hAnsi="宋体" w:cs="宋体"/>
          <w:i/>
          <w:sz w:val="24"/>
          <w:highlight w:val="none"/>
          <w:u w:val="single"/>
        </w:rPr>
        <w:t>（项目名称）</w:t>
      </w:r>
      <w:r>
        <w:rPr>
          <w:rFonts w:hint="eastAsia" w:ascii="宋体" w:hAnsi="宋体" w:cs="宋体"/>
          <w:sz w:val="24"/>
          <w:highlight w:val="none"/>
        </w:rPr>
        <w:t>的投标，本公司郑重声明，我公司参加本项目招标活动前</w:t>
      </w:r>
      <w:r>
        <w:rPr>
          <w:rFonts w:hint="eastAsia" w:ascii="宋体" w:hAnsi="宋体" w:cs="宋体"/>
          <w:sz w:val="24"/>
          <w:highlight w:val="none"/>
          <w:u w:val="single"/>
        </w:rPr>
        <w:t xml:space="preserve">   </w:t>
      </w:r>
      <w:r>
        <w:rPr>
          <w:rFonts w:hint="eastAsia" w:ascii="宋体" w:hAnsi="宋体" w:cs="宋体"/>
          <w:sz w:val="24"/>
          <w:highlight w:val="none"/>
        </w:rPr>
        <w:t>年内</w:t>
      </w:r>
      <w:r>
        <w:rPr>
          <w:rFonts w:hint="eastAsia" w:ascii="宋体" w:hAnsi="宋体" w:cs="宋体"/>
          <w:sz w:val="24"/>
          <w:highlight w:val="none"/>
          <w:u w:val="single"/>
        </w:rPr>
        <w:t xml:space="preserve">   </w:t>
      </w:r>
      <w:r>
        <w:rPr>
          <w:rFonts w:hint="eastAsia" w:ascii="宋体" w:hAnsi="宋体" w:cs="宋体"/>
          <w:i/>
          <w:sz w:val="24"/>
          <w:highlight w:val="none"/>
          <w:u w:val="single"/>
        </w:rPr>
        <w:t>（如实填写有或无）</w:t>
      </w:r>
      <w:r>
        <w:rPr>
          <w:rFonts w:hint="eastAsia" w:ascii="宋体" w:hAnsi="宋体" w:cs="宋体"/>
          <w:sz w:val="24"/>
          <w:highlight w:val="none"/>
        </w:rPr>
        <w:t>重大违法记录，符合法律法规的有关规定，我公司对此声明负全部法律责任。</w:t>
      </w:r>
    </w:p>
    <w:p>
      <w:pPr>
        <w:spacing w:line="480" w:lineRule="auto"/>
        <w:ind w:firstLine="600" w:firstLineChars="250"/>
        <w:rPr>
          <w:rFonts w:ascii="宋体" w:hAnsi="宋体" w:cs="宋体"/>
          <w:sz w:val="24"/>
          <w:highlight w:val="none"/>
        </w:rPr>
      </w:pPr>
      <w:r>
        <w:rPr>
          <w:rFonts w:hint="eastAsia" w:ascii="宋体" w:hAnsi="宋体" w:cs="宋体"/>
          <w:sz w:val="24"/>
          <w:highlight w:val="none"/>
        </w:rPr>
        <w:t>特此声明！</w:t>
      </w:r>
    </w:p>
    <w:p>
      <w:pPr>
        <w:spacing w:line="480" w:lineRule="auto"/>
        <w:ind w:firstLine="480" w:firstLineChars="200"/>
        <w:rPr>
          <w:rFonts w:ascii="宋体" w:hAnsi="宋体" w:cs="宋体"/>
          <w:sz w:val="24"/>
          <w:highlight w:val="none"/>
          <w:u w:val="single"/>
        </w:rPr>
      </w:pPr>
    </w:p>
    <w:p>
      <w:pPr>
        <w:spacing w:line="480" w:lineRule="auto"/>
        <w:ind w:firstLine="480" w:firstLineChars="200"/>
        <w:rPr>
          <w:rFonts w:ascii="宋体" w:hAnsi="宋体" w:cs="宋体"/>
          <w:sz w:val="24"/>
          <w:highlight w:val="none"/>
          <w:u w:val="single"/>
        </w:rPr>
      </w:pPr>
    </w:p>
    <w:p>
      <w:pPr>
        <w:spacing w:line="48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投标人名称：</w:t>
      </w:r>
      <w:r>
        <w:rPr>
          <w:rFonts w:hint="eastAsia" w:ascii="宋体" w:hAnsi="宋体" w:cs="宋体"/>
          <w:sz w:val="24"/>
          <w:highlight w:val="none"/>
          <w:u w:val="single"/>
        </w:rPr>
        <w:t xml:space="preserve">                </w:t>
      </w:r>
      <w:r>
        <w:rPr>
          <w:rFonts w:hint="eastAsia" w:ascii="宋体" w:hAnsi="宋体" w:cs="宋体"/>
          <w:sz w:val="24"/>
          <w:highlight w:val="none"/>
        </w:rPr>
        <w:t>（公章）</w:t>
      </w:r>
      <w:r>
        <w:rPr>
          <w:rFonts w:hint="eastAsia" w:ascii="宋体" w:hAnsi="宋体" w:cs="宋体"/>
          <w:sz w:val="24"/>
          <w:highlight w:val="none"/>
          <w:u w:val="single"/>
        </w:rPr>
        <w:t xml:space="preserve"> </w:t>
      </w:r>
    </w:p>
    <w:p>
      <w:pPr>
        <w:spacing w:line="480" w:lineRule="auto"/>
        <w:ind w:firstLine="480" w:firstLineChars="200"/>
        <w:jc w:val="right"/>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56"/>
        <w:rPr>
          <w:highlight w:val="none"/>
        </w:rPr>
      </w:pPr>
    </w:p>
    <w:p>
      <w:pPr>
        <w:spacing w:afterLines="50"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新宋体" w:hAnsi="新宋体" w:eastAsia="新宋体"/>
          <w:b/>
          <w:sz w:val="24"/>
          <w:highlight w:val="none"/>
        </w:rPr>
      </w:pPr>
      <w:r>
        <w:rPr>
          <w:rFonts w:hint="eastAsia" w:ascii="新宋体" w:hAnsi="新宋体" w:eastAsia="新宋体"/>
          <w:b/>
          <w:sz w:val="24"/>
          <w:highlight w:val="none"/>
        </w:rPr>
        <w:br w:type="page"/>
      </w:r>
    </w:p>
    <w:p>
      <w:pPr>
        <w:outlineLvl w:val="1"/>
        <w:rPr>
          <w:rFonts w:ascii="宋体" w:hAnsi="宋体" w:cs="宋体"/>
          <w:b/>
          <w:sz w:val="28"/>
          <w:szCs w:val="28"/>
          <w:highlight w:val="none"/>
        </w:rPr>
      </w:pPr>
      <w:r>
        <w:rPr>
          <w:rFonts w:hint="eastAsia" w:ascii="宋体" w:hAnsi="宋体" w:cs="宋体"/>
          <w:b/>
          <w:sz w:val="28"/>
          <w:szCs w:val="28"/>
          <w:highlight w:val="none"/>
        </w:rPr>
        <w:t>十、</w:t>
      </w:r>
      <w:r>
        <w:rPr>
          <w:rFonts w:ascii="宋体" w:hAnsi="宋体" w:cs="宋体"/>
          <w:b/>
          <w:sz w:val="28"/>
          <w:szCs w:val="28"/>
          <w:highlight w:val="none"/>
        </w:rPr>
        <w:t>陕西省政府采购供应商拒绝政府采购领域商业贿赂承诺书</w:t>
      </w:r>
    </w:p>
    <w:p>
      <w:pPr>
        <w:widowControl/>
        <w:spacing w:line="408" w:lineRule="auto"/>
        <w:ind w:left="239" w:leftChars="114" w:firstLine="470" w:firstLineChars="196"/>
        <w:jc w:val="left"/>
        <w:rPr>
          <w:rFonts w:ascii="宋体" w:hAnsi="宋体" w:cs="宋体"/>
          <w:kern w:val="0"/>
          <w:sz w:val="24"/>
          <w:highlight w:val="none"/>
        </w:rPr>
      </w:pPr>
    </w:p>
    <w:p>
      <w:pPr>
        <w:widowControl/>
        <w:spacing w:line="408" w:lineRule="auto"/>
        <w:ind w:left="239" w:leftChars="114" w:firstLine="470" w:firstLineChars="196"/>
        <w:jc w:val="left"/>
        <w:rPr>
          <w:rFonts w:ascii="宋体" w:hAnsi="宋体" w:cs="宋体"/>
          <w:kern w:val="0"/>
          <w:sz w:val="24"/>
          <w:highlight w:val="none"/>
        </w:rPr>
      </w:pPr>
      <w:r>
        <w:rPr>
          <w:rFonts w:ascii="宋体" w:hAnsi="宋体" w:cs="宋体"/>
          <w:kern w:val="0"/>
          <w:sz w:val="24"/>
          <w:highlight w:val="none"/>
        </w:rPr>
        <w:t>为响应党中央、国务院关于治理政府采购领域商业贿赂行为的号召，我公司在此庄严承诺：</w:t>
      </w:r>
    </w:p>
    <w:p>
      <w:pPr>
        <w:widowControl/>
        <w:spacing w:line="408" w:lineRule="auto"/>
        <w:ind w:left="239" w:leftChars="114" w:firstLine="470" w:firstLineChars="196"/>
        <w:jc w:val="left"/>
        <w:rPr>
          <w:rFonts w:ascii="宋体" w:hAnsi="宋体" w:cs="宋体"/>
          <w:kern w:val="0"/>
          <w:sz w:val="24"/>
          <w:highlight w:val="none"/>
        </w:rPr>
      </w:pPr>
      <w:r>
        <w:rPr>
          <w:rFonts w:ascii="宋体" w:hAnsi="宋体" w:cs="宋体"/>
          <w:kern w:val="0"/>
          <w:sz w:val="24"/>
          <w:highlight w:val="none"/>
        </w:rPr>
        <w:t>1、在参与政府采购活动中遵纪守法、诚信经营、公平竞标。</w:t>
      </w:r>
    </w:p>
    <w:p>
      <w:pPr>
        <w:widowControl/>
        <w:spacing w:line="408" w:lineRule="auto"/>
        <w:ind w:left="239" w:leftChars="114" w:firstLine="470" w:firstLineChars="196"/>
        <w:jc w:val="left"/>
        <w:rPr>
          <w:rFonts w:ascii="宋体" w:hAnsi="宋体" w:cs="宋体"/>
          <w:kern w:val="0"/>
          <w:sz w:val="24"/>
          <w:highlight w:val="none"/>
        </w:rPr>
      </w:pPr>
      <w:r>
        <w:rPr>
          <w:rFonts w:ascii="宋体" w:hAnsi="宋体" w:cs="宋体"/>
          <w:kern w:val="0"/>
          <w:sz w:val="24"/>
          <w:highlight w:val="none"/>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ascii="宋体" w:hAnsi="宋体" w:cs="宋体"/>
          <w:kern w:val="0"/>
          <w:sz w:val="24"/>
          <w:highlight w:val="none"/>
        </w:rPr>
      </w:pPr>
      <w:r>
        <w:rPr>
          <w:rFonts w:ascii="宋体" w:hAnsi="宋体" w:cs="宋体"/>
          <w:kern w:val="0"/>
          <w:sz w:val="24"/>
          <w:highlight w:val="none"/>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ascii="宋体" w:hAnsi="宋体" w:cs="宋体"/>
          <w:kern w:val="0"/>
          <w:sz w:val="24"/>
          <w:highlight w:val="none"/>
        </w:rPr>
      </w:pPr>
      <w:r>
        <w:rPr>
          <w:rFonts w:ascii="宋体" w:hAnsi="宋体" w:cs="宋体"/>
          <w:kern w:val="0"/>
          <w:sz w:val="24"/>
          <w:highlight w:val="none"/>
        </w:rPr>
        <w:t>4、不采取“围标、陪标”等商业欺诈手段获得政府采购定单。</w:t>
      </w:r>
    </w:p>
    <w:p>
      <w:pPr>
        <w:widowControl/>
        <w:spacing w:line="408" w:lineRule="auto"/>
        <w:ind w:left="239" w:leftChars="114" w:firstLine="470" w:firstLineChars="196"/>
        <w:jc w:val="left"/>
        <w:rPr>
          <w:rFonts w:ascii="宋体" w:hAnsi="宋体" w:cs="宋体"/>
          <w:kern w:val="0"/>
          <w:sz w:val="24"/>
          <w:highlight w:val="none"/>
        </w:rPr>
      </w:pPr>
      <w:r>
        <w:rPr>
          <w:rFonts w:ascii="宋体" w:hAnsi="宋体" w:cs="宋体"/>
          <w:kern w:val="0"/>
          <w:sz w:val="24"/>
          <w:highlight w:val="none"/>
        </w:rPr>
        <w:t>5、不采取不正当手段诋毁、排挤其他供应商。</w:t>
      </w:r>
    </w:p>
    <w:p>
      <w:pPr>
        <w:widowControl/>
        <w:spacing w:line="408" w:lineRule="auto"/>
        <w:ind w:left="239" w:leftChars="114" w:firstLine="470" w:firstLineChars="196"/>
        <w:jc w:val="left"/>
        <w:rPr>
          <w:rFonts w:ascii="宋体" w:hAnsi="宋体" w:cs="宋体"/>
          <w:kern w:val="0"/>
          <w:sz w:val="24"/>
          <w:highlight w:val="none"/>
        </w:rPr>
      </w:pPr>
      <w:r>
        <w:rPr>
          <w:rFonts w:ascii="宋体" w:hAnsi="宋体" w:cs="宋体"/>
          <w:kern w:val="0"/>
          <w:sz w:val="24"/>
          <w:highlight w:val="none"/>
        </w:rPr>
        <w:t>6、不在提供商品和服务时“偷梁换柱、以次充好”损害采购人的合法权益。</w:t>
      </w:r>
    </w:p>
    <w:p>
      <w:pPr>
        <w:widowControl/>
        <w:spacing w:line="408" w:lineRule="auto"/>
        <w:ind w:left="239" w:leftChars="114" w:firstLine="470" w:firstLineChars="196"/>
        <w:jc w:val="left"/>
        <w:rPr>
          <w:rFonts w:ascii="宋体" w:hAnsi="宋体" w:cs="宋体"/>
          <w:kern w:val="0"/>
          <w:sz w:val="24"/>
          <w:highlight w:val="none"/>
        </w:rPr>
      </w:pPr>
      <w:r>
        <w:rPr>
          <w:rFonts w:ascii="宋体" w:hAnsi="宋体" w:cs="宋体"/>
          <w:kern w:val="0"/>
          <w:sz w:val="24"/>
          <w:highlight w:val="none"/>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ascii="宋体" w:hAnsi="宋体" w:cs="宋体"/>
          <w:kern w:val="0"/>
          <w:sz w:val="24"/>
          <w:highlight w:val="none"/>
        </w:rPr>
      </w:pPr>
      <w:r>
        <w:rPr>
          <w:rFonts w:ascii="宋体" w:hAnsi="宋体" w:cs="宋体"/>
          <w:kern w:val="0"/>
          <w:sz w:val="24"/>
          <w:highlight w:val="none"/>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ascii="宋体" w:hAnsi="宋体" w:cs="宋体"/>
          <w:kern w:val="0"/>
          <w:sz w:val="24"/>
          <w:highlight w:val="none"/>
        </w:rPr>
      </w:pPr>
      <w:r>
        <w:rPr>
          <w:rFonts w:ascii="宋体" w:hAnsi="宋体" w:cs="宋体"/>
          <w:kern w:val="0"/>
          <w:sz w:val="24"/>
          <w:highlight w:val="none"/>
        </w:rPr>
        <w:t>9、不发生其他有悖于政府采购公开、公平、公正和诚信原则的行为。</w:t>
      </w:r>
    </w:p>
    <w:p>
      <w:pPr>
        <w:pStyle w:val="15"/>
        <w:rPr>
          <w:highlight w:val="none"/>
        </w:rPr>
      </w:pPr>
    </w:p>
    <w:p>
      <w:pPr>
        <w:spacing w:line="360" w:lineRule="auto"/>
        <w:rPr>
          <w:rFonts w:ascii="宋体" w:hAnsi="宋体" w:cs="宋体"/>
          <w:kern w:val="0"/>
          <w:sz w:val="24"/>
          <w:highlight w:val="none"/>
        </w:rPr>
      </w:pPr>
      <w:r>
        <w:rPr>
          <w:rFonts w:hint="eastAsia" w:ascii="宋体" w:hAnsi="宋体" w:cs="宋体"/>
          <w:kern w:val="0"/>
          <w:sz w:val="24"/>
          <w:highlight w:val="none"/>
        </w:rPr>
        <w:t>投标人名称：</w:t>
      </w:r>
    </w:p>
    <w:p>
      <w:pPr>
        <w:spacing w:line="360" w:lineRule="auto"/>
        <w:rPr>
          <w:rFonts w:ascii="宋体" w:hAnsi="宋体" w:cs="宋体"/>
          <w:kern w:val="0"/>
          <w:sz w:val="24"/>
          <w:highlight w:val="none"/>
        </w:rPr>
      </w:pPr>
    </w:p>
    <w:p>
      <w:pPr>
        <w:spacing w:line="360" w:lineRule="auto"/>
        <w:rPr>
          <w:rFonts w:ascii="宋体" w:hAnsi="宋体" w:cs="宋体"/>
          <w:kern w:val="0"/>
          <w:sz w:val="24"/>
          <w:highlight w:val="none"/>
        </w:rPr>
      </w:pPr>
      <w:r>
        <w:rPr>
          <w:rFonts w:hint="eastAsia" w:ascii="宋体" w:hAnsi="宋体" w:cs="宋体"/>
          <w:kern w:val="0"/>
          <w:sz w:val="24"/>
          <w:highlight w:val="none"/>
        </w:rPr>
        <w:t>公</w:t>
      </w:r>
      <w:r>
        <w:rPr>
          <w:rFonts w:ascii="宋体" w:hAnsi="宋体" w:cs="宋体"/>
          <w:kern w:val="0"/>
          <w:sz w:val="24"/>
          <w:highlight w:val="none"/>
        </w:rPr>
        <w:t>章</w:t>
      </w:r>
      <w:r>
        <w:rPr>
          <w:rFonts w:hint="eastAsia" w:ascii="宋体" w:hAnsi="宋体" w:cs="宋体"/>
          <w:kern w:val="0"/>
          <w:sz w:val="24"/>
          <w:highlight w:val="none"/>
        </w:rPr>
        <w:t>：</w:t>
      </w:r>
    </w:p>
    <w:p>
      <w:pPr>
        <w:spacing w:line="360" w:lineRule="auto"/>
        <w:rPr>
          <w:rFonts w:ascii="宋体" w:hAnsi="宋体" w:cs="宋体"/>
          <w:kern w:val="0"/>
          <w:sz w:val="24"/>
          <w:highlight w:val="none"/>
        </w:rPr>
      </w:pPr>
    </w:p>
    <w:p>
      <w:pPr>
        <w:spacing w:line="360" w:lineRule="auto"/>
        <w:rPr>
          <w:rFonts w:ascii="宋体" w:hAnsi="宋体" w:cs="宋体"/>
          <w:kern w:val="0"/>
          <w:sz w:val="24"/>
          <w:highlight w:val="none"/>
        </w:rPr>
      </w:pPr>
      <w:r>
        <w:rPr>
          <w:rFonts w:hint="eastAsia" w:ascii="宋体" w:hAnsi="宋体" w:cs="宋体"/>
          <w:kern w:val="0"/>
          <w:sz w:val="24"/>
          <w:highlight w:val="none"/>
        </w:rPr>
        <w:t>授</w:t>
      </w:r>
      <w:r>
        <w:rPr>
          <w:rFonts w:ascii="宋体" w:hAnsi="宋体" w:cs="宋体"/>
          <w:kern w:val="0"/>
          <w:sz w:val="24"/>
          <w:highlight w:val="none"/>
        </w:rPr>
        <w:t>权代表签字：</w:t>
      </w:r>
    </w:p>
    <w:p>
      <w:pPr>
        <w:spacing w:line="360" w:lineRule="auto"/>
        <w:outlineLvl w:val="1"/>
        <w:rPr>
          <w:rFonts w:ascii="宋体" w:hAnsi="宋体" w:cs="宋体"/>
          <w:b/>
          <w:sz w:val="28"/>
          <w:szCs w:val="28"/>
          <w:highlight w:val="none"/>
        </w:rPr>
      </w:pPr>
      <w:r>
        <w:rPr>
          <w:rFonts w:ascii="宋体" w:hAnsi="宋体" w:cs="宋体"/>
          <w:kern w:val="0"/>
          <w:sz w:val="24"/>
          <w:highlight w:val="none"/>
        </w:rPr>
        <w:br w:type="page"/>
      </w:r>
      <w:r>
        <w:rPr>
          <w:rFonts w:hint="eastAsia" w:ascii="宋体" w:hAnsi="宋体" w:cs="宋体"/>
          <w:b/>
          <w:sz w:val="28"/>
          <w:szCs w:val="28"/>
          <w:highlight w:val="none"/>
        </w:rPr>
        <w:t>十一、中小企业声明函</w:t>
      </w:r>
    </w:p>
    <w:p>
      <w:pPr>
        <w:spacing w:line="360" w:lineRule="auto"/>
        <w:ind w:firstLine="496" w:firstLineChars="200"/>
        <w:jc w:val="left"/>
        <w:rPr>
          <w:rFonts w:ascii="宋体" w:hAnsi="宋体"/>
          <w:spacing w:val="4"/>
          <w:sz w:val="24"/>
          <w:highlight w:val="none"/>
        </w:rPr>
      </w:pPr>
    </w:p>
    <w:p>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请各位投标商根据实际情况提供，没有则不提供。投标人声明函将随结果公告一同公布，接受社会监督。</w:t>
      </w:r>
    </w:p>
    <w:p>
      <w:pPr>
        <w:spacing w:line="360" w:lineRule="auto"/>
        <w:ind w:firstLine="496" w:firstLineChars="200"/>
        <w:jc w:val="left"/>
        <w:rPr>
          <w:rFonts w:ascii="宋体" w:hAnsi="宋体"/>
          <w:spacing w:val="4"/>
          <w:sz w:val="24"/>
          <w:highlight w:val="none"/>
        </w:rPr>
      </w:pPr>
    </w:p>
    <w:p>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本公司郑重声明，根据《政府采购促进中小企业发展管理办法》（财库﹝2020﹞46号）的规定，本公司参加</w:t>
      </w:r>
      <w:r>
        <w:rPr>
          <w:rFonts w:hint="eastAsia" w:ascii="宋体" w:hAnsi="宋体"/>
          <w:i/>
          <w:spacing w:val="4"/>
          <w:sz w:val="24"/>
          <w:highlight w:val="none"/>
          <w:u w:val="single"/>
        </w:rPr>
        <w:t>（单位名称）</w:t>
      </w:r>
      <w:r>
        <w:rPr>
          <w:rFonts w:hint="eastAsia" w:ascii="宋体" w:hAnsi="宋体"/>
          <w:spacing w:val="4"/>
          <w:sz w:val="24"/>
          <w:highlight w:val="none"/>
        </w:rPr>
        <w:t>的</w:t>
      </w:r>
      <w:r>
        <w:rPr>
          <w:rFonts w:hint="eastAsia" w:ascii="宋体" w:hAnsi="宋体"/>
          <w:i/>
          <w:spacing w:val="4"/>
          <w:sz w:val="24"/>
          <w:highlight w:val="none"/>
          <w:u w:val="single"/>
        </w:rPr>
        <w:t>（项目名称）</w:t>
      </w:r>
      <w:r>
        <w:rPr>
          <w:rFonts w:hint="eastAsia" w:ascii="宋体" w:hAnsi="宋体"/>
          <w:spacing w:val="4"/>
          <w:sz w:val="24"/>
          <w:highlight w:val="none"/>
        </w:rPr>
        <w:t>采购活动，</w:t>
      </w:r>
      <w:r>
        <w:rPr>
          <w:rFonts w:hint="eastAsia" w:ascii="宋体" w:hAnsi="宋体" w:eastAsia="宋体" w:cs="宋体"/>
          <w:i w:val="0"/>
          <w:iCs w:val="0"/>
          <w:spacing w:val="6"/>
          <w:sz w:val="24"/>
          <w:szCs w:val="24"/>
          <w:highlight w:val="none"/>
        </w:rPr>
        <w:t>服务全部由符合政策要求的中小企业承接</w:t>
      </w:r>
      <w:r>
        <w:rPr>
          <w:rFonts w:hint="eastAsia" w:ascii="宋体" w:hAnsi="宋体"/>
          <w:spacing w:val="4"/>
          <w:sz w:val="24"/>
          <w:highlight w:val="none"/>
        </w:rPr>
        <w:t xml:space="preserve">相关企业的具体情况如下： </w:t>
      </w:r>
    </w:p>
    <w:p>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1.</w:t>
      </w:r>
      <w:r>
        <w:rPr>
          <w:rFonts w:hint="eastAsia" w:ascii="宋体" w:hAnsi="宋体"/>
          <w:i/>
          <w:spacing w:val="4"/>
          <w:sz w:val="24"/>
          <w:highlight w:val="none"/>
          <w:u w:val="single"/>
        </w:rPr>
        <w:t>（</w:t>
      </w:r>
      <w:r>
        <w:rPr>
          <w:rFonts w:hint="eastAsia" w:ascii="宋体" w:hAnsi="宋体" w:cs="宋体"/>
          <w:kern w:val="0"/>
          <w:sz w:val="24"/>
          <w:highlight w:val="none"/>
          <w:u w:val="single"/>
          <w:lang w:eastAsia="zh-CN"/>
        </w:rPr>
        <w:t>信息化升级建设</w:t>
      </w:r>
      <w:r>
        <w:rPr>
          <w:rFonts w:hint="eastAsia" w:ascii="宋体" w:hAnsi="宋体"/>
          <w:i/>
          <w:spacing w:val="4"/>
          <w:sz w:val="24"/>
          <w:highlight w:val="none"/>
          <w:u w:val="single"/>
        </w:rPr>
        <w:t>）</w:t>
      </w:r>
      <w:r>
        <w:rPr>
          <w:rFonts w:hint="eastAsia" w:ascii="宋体" w:hAnsi="宋体"/>
          <w:spacing w:val="4"/>
          <w:sz w:val="24"/>
          <w:highlight w:val="none"/>
        </w:rPr>
        <w:t>，属于</w:t>
      </w:r>
      <w:r>
        <w:rPr>
          <w:rFonts w:hint="eastAsia" w:ascii="宋体" w:hAnsi="宋体"/>
          <w:i/>
          <w:spacing w:val="4"/>
          <w:sz w:val="24"/>
          <w:highlight w:val="none"/>
          <w:u w:val="single"/>
        </w:rPr>
        <w:t>（</w:t>
      </w:r>
      <w:r>
        <w:rPr>
          <w:rFonts w:hint="eastAsia" w:ascii="宋体" w:hAnsi="宋体"/>
          <w:i w:val="0"/>
          <w:iCs/>
          <w:spacing w:val="4"/>
          <w:sz w:val="24"/>
          <w:highlight w:val="none"/>
          <w:u w:val="single"/>
          <w:lang w:val="en-US" w:eastAsia="zh-CN"/>
        </w:rPr>
        <w:t>软件和信息技术服务业</w:t>
      </w:r>
      <w:r>
        <w:rPr>
          <w:rFonts w:hint="eastAsia" w:ascii="宋体" w:hAnsi="宋体"/>
          <w:i/>
          <w:spacing w:val="4"/>
          <w:sz w:val="24"/>
          <w:highlight w:val="none"/>
          <w:u w:val="single"/>
        </w:rPr>
        <w:t>）</w:t>
      </w:r>
      <w:r>
        <w:rPr>
          <w:rFonts w:hint="eastAsia" w:ascii="宋体" w:hAnsi="宋体"/>
          <w:spacing w:val="4"/>
          <w:sz w:val="24"/>
          <w:highlight w:val="none"/>
        </w:rPr>
        <w:t>；</w:t>
      </w:r>
      <w:r>
        <w:rPr>
          <w:rFonts w:hint="eastAsia" w:ascii="宋体" w:hAnsi="宋体" w:eastAsia="宋体" w:cs="宋体"/>
          <w:i w:val="0"/>
          <w:iCs w:val="0"/>
          <w:spacing w:val="6"/>
          <w:sz w:val="24"/>
          <w:szCs w:val="24"/>
          <w:highlight w:val="none"/>
        </w:rPr>
        <w:t>承接企业</w:t>
      </w:r>
      <w:r>
        <w:rPr>
          <w:rFonts w:hint="eastAsia" w:ascii="宋体" w:hAnsi="宋体"/>
          <w:spacing w:val="4"/>
          <w:sz w:val="24"/>
          <w:highlight w:val="none"/>
        </w:rPr>
        <w:t>为</w:t>
      </w:r>
      <w:r>
        <w:rPr>
          <w:rFonts w:hint="eastAsia" w:ascii="宋体" w:hAnsi="宋体"/>
          <w:i/>
          <w:spacing w:val="4"/>
          <w:sz w:val="24"/>
          <w:highlight w:val="none"/>
          <w:u w:val="single"/>
        </w:rPr>
        <w:t>（企业名称）</w:t>
      </w:r>
      <w:r>
        <w:rPr>
          <w:rFonts w:hint="eastAsia" w:ascii="宋体" w:hAnsi="宋体"/>
          <w:spacing w:val="4"/>
          <w:sz w:val="24"/>
          <w:highlight w:val="none"/>
        </w:rPr>
        <w:t>，从业人员</w:t>
      </w:r>
      <w:r>
        <w:rPr>
          <w:rFonts w:hint="eastAsia" w:ascii="宋体" w:hAnsi="宋体"/>
          <w:spacing w:val="4"/>
          <w:sz w:val="24"/>
          <w:highlight w:val="none"/>
          <w:u w:val="single"/>
        </w:rPr>
        <w:t xml:space="preserve">    </w:t>
      </w:r>
      <w:r>
        <w:rPr>
          <w:rFonts w:hint="eastAsia" w:ascii="宋体" w:hAnsi="宋体"/>
          <w:spacing w:val="4"/>
          <w:sz w:val="24"/>
          <w:highlight w:val="none"/>
        </w:rPr>
        <w:t>人，营业收入为</w:t>
      </w:r>
      <w:r>
        <w:rPr>
          <w:rFonts w:hint="eastAsia" w:ascii="宋体" w:hAnsi="宋体"/>
          <w:spacing w:val="4"/>
          <w:sz w:val="24"/>
          <w:highlight w:val="none"/>
          <w:u w:val="single"/>
        </w:rPr>
        <w:t xml:space="preserve">    </w:t>
      </w:r>
      <w:r>
        <w:rPr>
          <w:rFonts w:hint="eastAsia" w:ascii="宋体" w:hAnsi="宋体"/>
          <w:spacing w:val="4"/>
          <w:sz w:val="24"/>
          <w:highlight w:val="none"/>
        </w:rPr>
        <w:t>万元，资产总额为</w:t>
      </w:r>
      <w:r>
        <w:rPr>
          <w:rFonts w:hint="eastAsia" w:ascii="宋体" w:hAnsi="宋体"/>
          <w:spacing w:val="4"/>
          <w:sz w:val="24"/>
          <w:highlight w:val="none"/>
          <w:u w:val="single"/>
        </w:rPr>
        <w:t xml:space="preserve">  </w:t>
      </w:r>
      <w:r>
        <w:rPr>
          <w:rFonts w:hint="eastAsia" w:ascii="宋体" w:hAnsi="宋体"/>
          <w:spacing w:val="4"/>
          <w:sz w:val="24"/>
          <w:highlight w:val="none"/>
        </w:rPr>
        <w:t>万元，属于</w:t>
      </w:r>
      <w:r>
        <w:rPr>
          <w:rFonts w:hint="eastAsia" w:ascii="宋体" w:hAnsi="宋体"/>
          <w:i/>
          <w:spacing w:val="4"/>
          <w:sz w:val="24"/>
          <w:highlight w:val="none"/>
          <w:u w:val="single"/>
        </w:rPr>
        <w:t>（中型企业、小型企业、微型企业）</w:t>
      </w:r>
      <w:r>
        <w:rPr>
          <w:rFonts w:hint="eastAsia" w:ascii="宋体" w:hAnsi="宋体"/>
          <w:spacing w:val="4"/>
          <w:sz w:val="24"/>
          <w:highlight w:val="none"/>
        </w:rPr>
        <w:t xml:space="preserve">； </w:t>
      </w:r>
    </w:p>
    <w:p>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2.</w:t>
      </w:r>
      <w:r>
        <w:rPr>
          <w:rFonts w:hint="eastAsia" w:ascii="宋体" w:hAnsi="宋体"/>
          <w:i/>
          <w:spacing w:val="4"/>
          <w:sz w:val="24"/>
          <w:highlight w:val="none"/>
          <w:u w:val="single"/>
        </w:rPr>
        <w:t>（标的名称）</w:t>
      </w:r>
      <w:r>
        <w:rPr>
          <w:rFonts w:hint="eastAsia" w:ascii="宋体" w:hAnsi="宋体"/>
          <w:spacing w:val="4"/>
          <w:sz w:val="24"/>
          <w:highlight w:val="none"/>
        </w:rPr>
        <w:t>，属于</w:t>
      </w:r>
      <w:r>
        <w:rPr>
          <w:rFonts w:hint="eastAsia" w:ascii="宋体" w:hAnsi="宋体"/>
          <w:i/>
          <w:spacing w:val="4"/>
          <w:sz w:val="24"/>
          <w:highlight w:val="none"/>
          <w:u w:val="single"/>
        </w:rPr>
        <w:t>（采购文件中明确的所属行业）</w:t>
      </w:r>
      <w:r>
        <w:rPr>
          <w:rFonts w:hint="eastAsia" w:ascii="宋体" w:hAnsi="宋体"/>
          <w:spacing w:val="4"/>
          <w:sz w:val="24"/>
          <w:highlight w:val="none"/>
        </w:rPr>
        <w:t>；</w:t>
      </w:r>
      <w:r>
        <w:rPr>
          <w:rFonts w:hint="eastAsia" w:ascii="宋体" w:hAnsi="宋体"/>
          <w:spacing w:val="4"/>
          <w:sz w:val="24"/>
          <w:highlight w:val="none"/>
          <w:lang w:eastAsia="zh-CN"/>
        </w:rPr>
        <w:t>承接企业</w:t>
      </w:r>
      <w:r>
        <w:rPr>
          <w:rFonts w:hint="eastAsia" w:ascii="宋体" w:hAnsi="宋体"/>
          <w:spacing w:val="4"/>
          <w:sz w:val="24"/>
          <w:highlight w:val="none"/>
        </w:rPr>
        <w:t>为</w:t>
      </w:r>
      <w:r>
        <w:rPr>
          <w:rFonts w:hint="eastAsia" w:ascii="宋体" w:hAnsi="宋体"/>
          <w:i/>
          <w:spacing w:val="4"/>
          <w:sz w:val="24"/>
          <w:highlight w:val="none"/>
          <w:u w:val="single"/>
        </w:rPr>
        <w:t>（企业名称）</w:t>
      </w:r>
      <w:r>
        <w:rPr>
          <w:rFonts w:hint="eastAsia" w:ascii="宋体" w:hAnsi="宋体"/>
          <w:spacing w:val="4"/>
          <w:sz w:val="24"/>
          <w:highlight w:val="none"/>
        </w:rPr>
        <w:t>，从业人员</w:t>
      </w:r>
      <w:r>
        <w:rPr>
          <w:rFonts w:hint="eastAsia" w:ascii="宋体" w:hAnsi="宋体"/>
          <w:spacing w:val="4"/>
          <w:sz w:val="24"/>
          <w:highlight w:val="none"/>
          <w:u w:val="single"/>
        </w:rPr>
        <w:t xml:space="preserve">    </w:t>
      </w:r>
      <w:r>
        <w:rPr>
          <w:rFonts w:hint="eastAsia" w:ascii="宋体" w:hAnsi="宋体"/>
          <w:spacing w:val="4"/>
          <w:sz w:val="24"/>
          <w:highlight w:val="none"/>
        </w:rPr>
        <w:t>人，营业收入为</w:t>
      </w:r>
      <w:r>
        <w:rPr>
          <w:rFonts w:hint="eastAsia" w:ascii="宋体" w:hAnsi="宋体"/>
          <w:spacing w:val="4"/>
          <w:sz w:val="24"/>
          <w:highlight w:val="none"/>
          <w:u w:val="single"/>
        </w:rPr>
        <w:t xml:space="preserve">    </w:t>
      </w:r>
      <w:r>
        <w:rPr>
          <w:rFonts w:hint="eastAsia" w:ascii="宋体" w:hAnsi="宋体"/>
          <w:spacing w:val="4"/>
          <w:sz w:val="24"/>
          <w:highlight w:val="none"/>
        </w:rPr>
        <w:t>万元，资产总额为</w:t>
      </w:r>
      <w:r>
        <w:rPr>
          <w:rFonts w:hint="eastAsia" w:ascii="宋体" w:hAnsi="宋体"/>
          <w:spacing w:val="4"/>
          <w:sz w:val="24"/>
          <w:highlight w:val="none"/>
          <w:u w:val="single"/>
        </w:rPr>
        <w:t xml:space="preserve">   </w:t>
      </w:r>
      <w:r>
        <w:rPr>
          <w:rFonts w:hint="eastAsia" w:ascii="宋体" w:hAnsi="宋体"/>
          <w:spacing w:val="4"/>
          <w:sz w:val="24"/>
          <w:highlight w:val="none"/>
        </w:rPr>
        <w:t>万元，属于</w:t>
      </w:r>
      <w:r>
        <w:rPr>
          <w:rFonts w:hint="eastAsia" w:ascii="宋体" w:hAnsi="宋体"/>
          <w:i/>
          <w:spacing w:val="4"/>
          <w:sz w:val="24"/>
          <w:highlight w:val="none"/>
          <w:u w:val="single"/>
        </w:rPr>
        <w:t>（中型企业、小型企业、微型企业）</w:t>
      </w:r>
      <w:r>
        <w:rPr>
          <w:rFonts w:hint="eastAsia" w:ascii="宋体" w:hAnsi="宋体"/>
          <w:spacing w:val="4"/>
          <w:sz w:val="24"/>
          <w:highlight w:val="none"/>
        </w:rPr>
        <w:t xml:space="preserve">；  </w:t>
      </w:r>
    </w:p>
    <w:p>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 xml:space="preserve">…… </w:t>
      </w:r>
    </w:p>
    <w:p>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highlight w:val="none"/>
        </w:rPr>
      </w:pPr>
    </w:p>
    <w:p>
      <w:pPr>
        <w:spacing w:line="360" w:lineRule="auto"/>
        <w:ind w:firstLine="4340" w:firstLineChars="1750"/>
        <w:jc w:val="left"/>
        <w:rPr>
          <w:rFonts w:ascii="宋体" w:hAnsi="宋体"/>
          <w:spacing w:val="4"/>
          <w:sz w:val="24"/>
          <w:highlight w:val="none"/>
        </w:rPr>
      </w:pPr>
    </w:p>
    <w:p>
      <w:pPr>
        <w:spacing w:line="360" w:lineRule="auto"/>
        <w:ind w:firstLine="5332" w:firstLineChars="2150"/>
        <w:jc w:val="left"/>
        <w:rPr>
          <w:rFonts w:ascii="宋体" w:hAnsi="宋体"/>
          <w:spacing w:val="4"/>
          <w:sz w:val="24"/>
          <w:highlight w:val="none"/>
        </w:rPr>
      </w:pPr>
      <w:r>
        <w:rPr>
          <w:rFonts w:hint="eastAsia" w:ascii="宋体" w:hAnsi="宋体"/>
          <w:spacing w:val="4"/>
          <w:sz w:val="24"/>
          <w:highlight w:val="none"/>
        </w:rPr>
        <w:t xml:space="preserve">企业名称（盖章）： </w:t>
      </w:r>
    </w:p>
    <w:p>
      <w:pPr>
        <w:spacing w:line="360" w:lineRule="auto"/>
        <w:ind w:firstLine="5332" w:firstLineChars="2150"/>
        <w:jc w:val="left"/>
        <w:rPr>
          <w:rFonts w:ascii="宋体" w:hAnsi="宋体"/>
          <w:spacing w:val="4"/>
          <w:sz w:val="24"/>
          <w:highlight w:val="none"/>
        </w:rPr>
      </w:pPr>
      <w:r>
        <w:rPr>
          <w:rFonts w:hint="eastAsia" w:ascii="宋体" w:hAnsi="宋体"/>
          <w:spacing w:val="4"/>
          <w:sz w:val="24"/>
          <w:highlight w:val="none"/>
        </w:rPr>
        <w:t xml:space="preserve">日    期： </w:t>
      </w:r>
    </w:p>
    <w:p>
      <w:pPr>
        <w:spacing w:line="360" w:lineRule="auto"/>
        <w:ind w:firstLine="4900" w:firstLineChars="1750"/>
        <w:jc w:val="left"/>
        <w:rPr>
          <w:rFonts w:ascii="仿宋_GB2312" w:eastAsia="仿宋_GB2312"/>
          <w:sz w:val="28"/>
          <w:szCs w:val="28"/>
          <w:highlight w:val="none"/>
        </w:rPr>
      </w:pPr>
    </w:p>
    <w:p>
      <w:pPr>
        <w:tabs>
          <w:tab w:val="left" w:pos="4380"/>
        </w:tabs>
        <w:spacing w:line="360" w:lineRule="auto"/>
        <w:jc w:val="left"/>
        <w:rPr>
          <w:rFonts w:ascii="宋体" w:hAnsi="宋体"/>
          <w:sz w:val="18"/>
          <w:szCs w:val="18"/>
          <w:highlight w:val="none"/>
        </w:rPr>
      </w:pPr>
      <w:r>
        <w:rPr>
          <w:rFonts w:ascii="宋体" w:hAnsi="宋体"/>
          <w:sz w:val="18"/>
          <w:szCs w:val="18"/>
          <w:highlight w:val="none"/>
        </w:rPr>
        <w:tab/>
      </w:r>
    </w:p>
    <w:p>
      <w:pPr>
        <w:spacing w:line="360" w:lineRule="auto"/>
        <w:jc w:val="left"/>
        <w:rPr>
          <w:rFonts w:ascii="宋体" w:hAnsi="宋体"/>
          <w:sz w:val="18"/>
          <w:szCs w:val="18"/>
          <w:highlight w:val="none"/>
        </w:rPr>
      </w:pPr>
      <w:r>
        <w:rPr>
          <w:rFonts w:hint="eastAsia" w:ascii="宋体" w:hAnsi="宋体"/>
          <w:sz w:val="18"/>
          <w:szCs w:val="18"/>
          <w:highlight w:val="none"/>
        </w:rPr>
        <w:t xml:space="preserve">1.从业人员、营业收入、资产总额填报上一年度数据，无上一年度数据的新成立企业可不填报。 </w:t>
      </w:r>
    </w:p>
    <w:p>
      <w:pPr>
        <w:spacing w:line="360" w:lineRule="auto"/>
        <w:jc w:val="left"/>
        <w:rPr>
          <w:rFonts w:ascii="宋体" w:hAnsi="宋体"/>
          <w:sz w:val="18"/>
          <w:szCs w:val="18"/>
          <w:highlight w:val="none"/>
        </w:rPr>
      </w:pPr>
      <w:r>
        <w:rPr>
          <w:rFonts w:hint="eastAsia" w:ascii="宋体" w:hAnsi="宋体"/>
          <w:sz w:val="18"/>
          <w:szCs w:val="18"/>
          <w:highlight w:val="none"/>
        </w:rPr>
        <w:t>2.填写前请认真阅读《工业和信息化部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rPr>
          <w:rFonts w:ascii="宋体" w:hAnsi="宋体" w:cs="宋体"/>
          <w:b/>
          <w:sz w:val="28"/>
          <w:szCs w:val="28"/>
          <w:highlight w:val="none"/>
        </w:rPr>
      </w:pPr>
      <w:r>
        <w:rPr>
          <w:rFonts w:hint="eastAsia" w:ascii="宋体" w:hAnsi="宋体" w:cs="宋体"/>
          <w:b/>
          <w:sz w:val="28"/>
          <w:szCs w:val="28"/>
          <w:highlight w:val="none"/>
        </w:rPr>
        <w:br w:type="page"/>
      </w:r>
    </w:p>
    <w:p>
      <w:pPr>
        <w:widowControl/>
        <w:jc w:val="left"/>
        <w:outlineLvl w:val="1"/>
        <w:rPr>
          <w:rFonts w:ascii="宋体" w:hAnsi="宋体" w:cs="宋体"/>
          <w:b/>
          <w:sz w:val="28"/>
          <w:szCs w:val="28"/>
          <w:highlight w:val="none"/>
        </w:rPr>
      </w:pPr>
      <w:r>
        <w:rPr>
          <w:rFonts w:hint="eastAsia" w:ascii="宋体" w:hAnsi="宋体" w:cs="宋体"/>
          <w:b/>
          <w:sz w:val="28"/>
          <w:szCs w:val="28"/>
          <w:highlight w:val="none"/>
        </w:rPr>
        <w:t>十二、残疾人福利性单位声明函（如有）</w:t>
      </w:r>
    </w:p>
    <w:p>
      <w:pPr>
        <w:spacing w:line="588" w:lineRule="exact"/>
        <w:rPr>
          <w:rFonts w:ascii="仿宋_GB2312" w:eastAsia="仿宋_GB2312"/>
          <w:b/>
          <w:spacing w:val="6"/>
          <w:sz w:val="30"/>
          <w:szCs w:val="30"/>
          <w:highlight w:val="none"/>
        </w:rPr>
      </w:pPr>
    </w:p>
    <w:p>
      <w:pPr>
        <w:pStyle w:val="112"/>
        <w:ind w:firstLine="360"/>
        <w:rPr>
          <w:rFonts w:ascii="宋体" w:hAnsi="宋体"/>
          <w:color w:val="000000"/>
          <w:sz w:val="18"/>
          <w:szCs w:val="18"/>
          <w:highlight w:val="none"/>
        </w:rPr>
      </w:pPr>
      <w:r>
        <w:rPr>
          <w:rFonts w:hint="eastAsia" w:ascii="宋体" w:hAnsi="宋体"/>
          <w:color w:val="000000"/>
          <w:sz w:val="18"/>
          <w:szCs w:val="18"/>
          <w:highlight w:val="none"/>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spacing w:val="6"/>
          <w:sz w:val="30"/>
          <w:szCs w:val="30"/>
          <w:highlight w:val="none"/>
        </w:rPr>
      </w:pPr>
    </w:p>
    <w:p>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highlight w:val="none"/>
          <w:u w:val="single"/>
        </w:rPr>
        <w:t xml:space="preserve">                        </w:t>
      </w:r>
      <w:r>
        <w:rPr>
          <w:rFonts w:hint="eastAsia" w:ascii="宋体" w:hAnsi="宋体"/>
          <w:spacing w:val="4"/>
          <w:sz w:val="24"/>
          <w:highlight w:val="none"/>
        </w:rPr>
        <w:t>单位的</w:t>
      </w:r>
      <w:r>
        <w:rPr>
          <w:rFonts w:hint="eastAsia" w:ascii="宋体" w:hAnsi="宋体"/>
          <w:spacing w:val="4"/>
          <w:sz w:val="24"/>
          <w:highlight w:val="none"/>
          <w:u w:val="single"/>
        </w:rPr>
        <w:t xml:space="preserve">                   </w:t>
      </w:r>
      <w:r>
        <w:rPr>
          <w:rFonts w:hint="eastAsia" w:ascii="宋体" w:hAnsi="宋体"/>
          <w:spacing w:val="4"/>
          <w:sz w:val="24"/>
          <w:highlight w:val="none"/>
        </w:rPr>
        <w:t>项目采购活动提供服务。</w:t>
      </w:r>
    </w:p>
    <w:p>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本单位对上述声明的真实性负责。如有虚假，将依法承担相应责任。</w:t>
      </w:r>
    </w:p>
    <w:p>
      <w:pPr>
        <w:spacing w:line="360" w:lineRule="auto"/>
        <w:ind w:firstLine="496" w:firstLineChars="200"/>
        <w:jc w:val="left"/>
        <w:rPr>
          <w:rFonts w:ascii="宋体" w:hAnsi="宋体"/>
          <w:spacing w:val="4"/>
          <w:sz w:val="24"/>
          <w:highlight w:val="none"/>
        </w:rPr>
      </w:pPr>
    </w:p>
    <w:p>
      <w:pPr>
        <w:spacing w:line="360" w:lineRule="auto"/>
        <w:ind w:firstLine="496" w:firstLineChars="200"/>
        <w:jc w:val="left"/>
        <w:rPr>
          <w:rFonts w:ascii="宋体" w:hAnsi="宋体"/>
          <w:spacing w:val="4"/>
          <w:sz w:val="24"/>
          <w:highlight w:val="none"/>
        </w:rPr>
      </w:pPr>
    </w:p>
    <w:p>
      <w:pPr>
        <w:spacing w:line="360" w:lineRule="auto"/>
        <w:ind w:firstLine="496" w:firstLineChars="200"/>
        <w:jc w:val="left"/>
        <w:rPr>
          <w:rFonts w:ascii="宋体" w:hAnsi="宋体"/>
          <w:spacing w:val="4"/>
          <w:sz w:val="24"/>
          <w:highlight w:val="none"/>
        </w:rPr>
      </w:pPr>
    </w:p>
    <w:p>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 xml:space="preserve">                                         单位名称（盖章）：</w:t>
      </w:r>
    </w:p>
    <w:p>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 xml:space="preserve">                                         日    期：</w:t>
      </w:r>
    </w:p>
    <w:p>
      <w:pPr>
        <w:rPr>
          <w:highlight w:val="none"/>
        </w:rPr>
      </w:pPr>
    </w:p>
    <w:p>
      <w:pPr>
        <w:widowControl/>
        <w:jc w:val="left"/>
        <w:rPr>
          <w:rFonts w:ascii="宋体" w:hAnsi="宋体" w:cs="宋体"/>
          <w:b/>
          <w:sz w:val="28"/>
          <w:szCs w:val="28"/>
          <w:highlight w:val="none"/>
        </w:rPr>
      </w:pPr>
      <w:r>
        <w:rPr>
          <w:rFonts w:ascii="宋体" w:hAnsi="宋体" w:cs="宋体"/>
          <w:b/>
          <w:sz w:val="28"/>
          <w:szCs w:val="28"/>
          <w:highlight w:val="none"/>
        </w:rPr>
        <w:br w:type="page"/>
      </w:r>
    </w:p>
    <w:p>
      <w:pPr>
        <w:widowControl/>
        <w:jc w:val="left"/>
        <w:outlineLvl w:val="1"/>
        <w:rPr>
          <w:rFonts w:ascii="宋体" w:hAnsi="宋体" w:cs="宋体"/>
          <w:b/>
          <w:sz w:val="28"/>
          <w:szCs w:val="28"/>
          <w:highlight w:val="none"/>
        </w:rPr>
      </w:pPr>
      <w:r>
        <w:rPr>
          <w:rFonts w:hint="eastAsia" w:ascii="宋体" w:hAnsi="宋体" w:cs="宋体"/>
          <w:b/>
          <w:sz w:val="28"/>
          <w:szCs w:val="28"/>
          <w:highlight w:val="none"/>
        </w:rPr>
        <w:t>十三、监狱企业证明文件（如有）</w:t>
      </w:r>
    </w:p>
    <w:p>
      <w:pPr>
        <w:pStyle w:val="15"/>
        <w:rPr>
          <w:color w:val="auto"/>
          <w:highlight w:val="none"/>
        </w:rPr>
      </w:pPr>
    </w:p>
    <w:p>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5"/>
        <w:rPr>
          <w:rFonts w:ascii="楷体" w:hAnsi="楷体" w:eastAsia="楷体" w:cs="楷体"/>
          <w:color w:val="0000FF"/>
          <w:spacing w:val="6"/>
          <w:sz w:val="28"/>
          <w:szCs w:val="36"/>
          <w:highlight w:val="none"/>
        </w:rPr>
      </w:pPr>
    </w:p>
    <w:p>
      <w:pPr>
        <w:pStyle w:val="113"/>
        <w:rPr>
          <w:rFonts w:ascii="楷体" w:hAnsi="楷体" w:eastAsia="楷体" w:cs="楷体"/>
          <w:color w:val="0000FF"/>
          <w:spacing w:val="6"/>
          <w:sz w:val="28"/>
          <w:szCs w:val="36"/>
          <w:highlight w:val="none"/>
        </w:rPr>
      </w:pPr>
    </w:p>
    <w:p>
      <w:pPr>
        <w:pStyle w:val="113"/>
        <w:rPr>
          <w:rFonts w:ascii="楷体" w:hAnsi="楷体" w:eastAsia="楷体" w:cs="楷体"/>
          <w:color w:val="0000FF"/>
          <w:spacing w:val="6"/>
          <w:sz w:val="28"/>
          <w:szCs w:val="36"/>
          <w:highlight w:val="none"/>
        </w:rPr>
      </w:pPr>
    </w:p>
    <w:p>
      <w:pPr>
        <w:pStyle w:val="113"/>
        <w:rPr>
          <w:rFonts w:ascii="楷体" w:hAnsi="楷体" w:eastAsia="楷体" w:cs="楷体"/>
          <w:color w:val="0000FF"/>
          <w:spacing w:val="6"/>
          <w:sz w:val="28"/>
          <w:szCs w:val="36"/>
          <w:highlight w:val="none"/>
        </w:rPr>
      </w:pPr>
    </w:p>
    <w:p>
      <w:pPr>
        <w:spacing w:line="360" w:lineRule="auto"/>
        <w:ind w:firstLine="496" w:firstLineChars="200"/>
        <w:jc w:val="left"/>
        <w:rPr>
          <w:rFonts w:ascii="宋体" w:hAnsi="宋体"/>
          <w:spacing w:val="4"/>
          <w:sz w:val="24"/>
          <w:highlight w:val="none"/>
        </w:rPr>
      </w:pPr>
    </w:p>
    <w:p>
      <w:pPr>
        <w:spacing w:line="360" w:lineRule="auto"/>
        <w:ind w:firstLine="496" w:firstLineChars="200"/>
        <w:jc w:val="right"/>
        <w:rPr>
          <w:rFonts w:ascii="宋体" w:hAnsi="宋体"/>
          <w:spacing w:val="4"/>
          <w:sz w:val="24"/>
          <w:highlight w:val="none"/>
        </w:rPr>
      </w:pPr>
      <w:r>
        <w:rPr>
          <w:rFonts w:hint="eastAsia" w:ascii="宋体" w:hAnsi="宋体"/>
          <w:spacing w:val="4"/>
          <w:sz w:val="24"/>
          <w:highlight w:val="none"/>
        </w:rPr>
        <w:t xml:space="preserve"> 单位名称（盖章）：</w:t>
      </w:r>
    </w:p>
    <w:p>
      <w:pPr>
        <w:spacing w:line="360" w:lineRule="auto"/>
        <w:ind w:firstLine="496" w:firstLineChars="200"/>
        <w:jc w:val="center"/>
        <w:rPr>
          <w:rFonts w:ascii="宋体" w:hAnsi="宋体"/>
          <w:spacing w:val="4"/>
          <w:sz w:val="24"/>
          <w:highlight w:val="none"/>
        </w:rPr>
      </w:pPr>
      <w:r>
        <w:rPr>
          <w:rFonts w:hint="eastAsia" w:ascii="宋体" w:hAnsi="宋体"/>
          <w:spacing w:val="4"/>
          <w:sz w:val="24"/>
          <w:highlight w:val="none"/>
          <w:lang w:val="en-US" w:eastAsia="zh-CN"/>
        </w:rPr>
        <w:t xml:space="preserve">                                          </w:t>
      </w:r>
      <w:r>
        <w:rPr>
          <w:rFonts w:hint="eastAsia" w:ascii="宋体" w:hAnsi="宋体"/>
          <w:spacing w:val="4"/>
          <w:sz w:val="24"/>
          <w:highlight w:val="none"/>
        </w:rPr>
        <w:t>日    期：</w:t>
      </w:r>
    </w:p>
    <w:p>
      <w:pPr>
        <w:pStyle w:val="15"/>
        <w:rPr>
          <w:rFonts w:ascii="楷体" w:hAnsi="楷体" w:eastAsia="楷体" w:cs="楷体"/>
          <w:color w:val="0000FF"/>
          <w:spacing w:val="6"/>
          <w:sz w:val="28"/>
          <w:szCs w:val="36"/>
          <w:highlight w:val="none"/>
        </w:rPr>
      </w:pPr>
    </w:p>
    <w:p>
      <w:pPr>
        <w:pStyle w:val="113"/>
        <w:rPr>
          <w:rFonts w:ascii="楷体" w:hAnsi="楷体" w:eastAsia="楷体" w:cs="楷体"/>
          <w:color w:val="0000FF"/>
          <w:spacing w:val="6"/>
          <w:sz w:val="28"/>
          <w:szCs w:val="36"/>
          <w:highlight w:val="none"/>
        </w:rPr>
      </w:pPr>
    </w:p>
    <w:p>
      <w:pPr>
        <w:pStyle w:val="113"/>
        <w:rPr>
          <w:rFonts w:ascii="楷体" w:hAnsi="楷体" w:eastAsia="楷体" w:cs="楷体"/>
          <w:color w:val="0000FF"/>
          <w:spacing w:val="6"/>
          <w:sz w:val="28"/>
          <w:szCs w:val="36"/>
          <w:highlight w:val="none"/>
        </w:rPr>
      </w:pPr>
    </w:p>
    <w:p>
      <w:pPr>
        <w:pStyle w:val="113"/>
        <w:rPr>
          <w:rFonts w:ascii="楷体" w:hAnsi="楷体" w:eastAsia="楷体" w:cs="楷体"/>
          <w:color w:val="0000FF"/>
          <w:spacing w:val="6"/>
          <w:sz w:val="28"/>
          <w:szCs w:val="36"/>
          <w:highlight w:val="none"/>
        </w:rPr>
      </w:pPr>
    </w:p>
    <w:p>
      <w:pPr>
        <w:widowControl/>
        <w:jc w:val="left"/>
        <w:rPr>
          <w:rFonts w:ascii="宋体" w:hAnsi="宋体" w:cs="宋体"/>
          <w:b/>
          <w:sz w:val="28"/>
          <w:szCs w:val="28"/>
          <w:highlight w:val="none"/>
        </w:rPr>
      </w:pPr>
    </w:p>
    <w:p>
      <w:pPr>
        <w:widowControl/>
        <w:jc w:val="left"/>
        <w:rPr>
          <w:rFonts w:ascii="宋体" w:hAnsi="宋体" w:cs="宋体"/>
          <w:b/>
          <w:sz w:val="28"/>
          <w:szCs w:val="28"/>
          <w:highlight w:val="none"/>
        </w:rPr>
      </w:pPr>
    </w:p>
    <w:p>
      <w:pPr>
        <w:widowControl/>
        <w:jc w:val="left"/>
        <w:rPr>
          <w:rFonts w:ascii="宋体" w:hAnsi="宋体" w:cs="宋体"/>
          <w:b/>
          <w:sz w:val="28"/>
          <w:szCs w:val="28"/>
          <w:highlight w:val="none"/>
        </w:rPr>
      </w:pPr>
    </w:p>
    <w:p>
      <w:pPr>
        <w:widowControl/>
        <w:jc w:val="left"/>
        <w:rPr>
          <w:rFonts w:ascii="宋体" w:hAnsi="宋体" w:cs="宋体"/>
          <w:b/>
          <w:sz w:val="28"/>
          <w:szCs w:val="28"/>
          <w:highlight w:val="none"/>
        </w:rPr>
      </w:pPr>
    </w:p>
    <w:p>
      <w:pPr>
        <w:widowControl/>
        <w:jc w:val="left"/>
        <w:rPr>
          <w:rFonts w:ascii="宋体" w:hAnsi="宋体" w:cs="宋体"/>
          <w:b/>
          <w:sz w:val="28"/>
          <w:szCs w:val="28"/>
          <w:highlight w:val="none"/>
        </w:rPr>
      </w:pPr>
    </w:p>
    <w:p>
      <w:pPr>
        <w:widowControl/>
        <w:jc w:val="left"/>
        <w:rPr>
          <w:rFonts w:ascii="宋体" w:hAnsi="宋体" w:cs="宋体"/>
          <w:b/>
          <w:sz w:val="28"/>
          <w:szCs w:val="28"/>
          <w:highlight w:val="none"/>
        </w:rPr>
      </w:pPr>
    </w:p>
    <w:p>
      <w:pPr>
        <w:widowControl/>
        <w:jc w:val="left"/>
        <w:rPr>
          <w:rFonts w:ascii="宋体" w:hAnsi="宋体" w:cs="宋体"/>
          <w:b/>
          <w:sz w:val="28"/>
          <w:szCs w:val="28"/>
          <w:highlight w:val="none"/>
        </w:rPr>
      </w:pPr>
    </w:p>
    <w:p>
      <w:pPr>
        <w:rPr>
          <w:rFonts w:ascii="宋体" w:hAnsi="宋体" w:cs="宋体"/>
          <w:b/>
          <w:sz w:val="28"/>
          <w:szCs w:val="28"/>
          <w:highlight w:val="none"/>
        </w:rPr>
      </w:pPr>
      <w:bookmarkStart w:id="16" w:name="_Toc24315"/>
      <w:bookmarkStart w:id="17" w:name="_Toc12828"/>
      <w:bookmarkStart w:id="18" w:name="_Toc23254"/>
      <w:bookmarkStart w:id="19" w:name="_Toc22336"/>
      <w:bookmarkStart w:id="20" w:name="_Toc31338"/>
      <w:bookmarkStart w:id="21" w:name="_Toc21834"/>
      <w:bookmarkStart w:id="22" w:name="_Toc14629"/>
      <w:bookmarkStart w:id="23" w:name="_Toc14693"/>
      <w:bookmarkStart w:id="24" w:name="_Toc4076"/>
      <w:bookmarkStart w:id="25" w:name="_Toc28873"/>
      <w:bookmarkStart w:id="26" w:name="_Toc13303"/>
      <w:bookmarkStart w:id="27" w:name="_Toc22428"/>
      <w:bookmarkStart w:id="28" w:name="_Toc810"/>
      <w:bookmarkStart w:id="29" w:name="_Toc5020"/>
      <w:bookmarkStart w:id="30" w:name="_Toc27326"/>
      <w:bookmarkStart w:id="31" w:name="_Toc19378"/>
      <w:bookmarkStart w:id="32" w:name="_Toc24197"/>
      <w:bookmarkStart w:id="33" w:name="_Toc29358"/>
      <w:r>
        <w:rPr>
          <w:rFonts w:hint="eastAsia" w:ascii="宋体" w:hAnsi="宋体" w:cs="宋体"/>
          <w:b/>
          <w:sz w:val="28"/>
          <w:szCs w:val="28"/>
          <w:highlight w:val="none"/>
        </w:rPr>
        <w:br w:type="page"/>
      </w:r>
    </w:p>
    <w:p>
      <w:pPr>
        <w:pStyle w:val="6"/>
        <w:numPr>
          <w:ilvl w:val="1"/>
          <w:numId w:val="0"/>
        </w:numPr>
        <w:spacing w:line="416" w:lineRule="atLeast"/>
        <w:jc w:val="both"/>
        <w:rPr>
          <w:rFonts w:ascii="宋体" w:hAnsi="宋体" w:eastAsia="宋体" w:cs="宋体"/>
          <w:kern w:val="2"/>
          <w:sz w:val="28"/>
          <w:szCs w:val="28"/>
          <w:highlight w:val="none"/>
        </w:rPr>
      </w:pPr>
      <w:r>
        <w:rPr>
          <w:rFonts w:hint="eastAsia" w:ascii="宋体" w:hAnsi="宋体" w:eastAsia="宋体" w:cs="宋体"/>
          <w:kern w:val="2"/>
          <w:sz w:val="28"/>
          <w:szCs w:val="28"/>
          <w:highlight w:val="none"/>
        </w:rPr>
        <w:t>十四、“节能产品”、“环境标志产品”证明材料</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eastAsia="宋体" w:cs="宋体"/>
          <w:kern w:val="2"/>
          <w:sz w:val="28"/>
          <w:szCs w:val="28"/>
          <w:highlight w:val="none"/>
        </w:rPr>
        <w:t>（如有）</w:t>
      </w:r>
    </w:p>
    <w:p>
      <w:pPr>
        <w:widowControl/>
        <w:spacing w:line="360" w:lineRule="auto"/>
        <w:ind w:firstLine="504" w:firstLineChars="200"/>
        <w:rPr>
          <w:rFonts w:ascii="宋体" w:hAnsi="宋体"/>
          <w:spacing w:val="6"/>
          <w:sz w:val="24"/>
          <w:highlight w:val="none"/>
        </w:rPr>
      </w:pPr>
    </w:p>
    <w:p>
      <w:pPr>
        <w:widowControl/>
        <w:spacing w:line="360" w:lineRule="auto"/>
        <w:ind w:firstLine="504" w:firstLineChars="200"/>
        <w:rPr>
          <w:rFonts w:ascii="宋体" w:hAnsi="宋体"/>
          <w:spacing w:val="6"/>
          <w:sz w:val="24"/>
          <w:highlight w:val="none"/>
        </w:rPr>
      </w:pPr>
    </w:p>
    <w:p>
      <w:pPr>
        <w:widowControl/>
        <w:spacing w:line="360" w:lineRule="auto"/>
        <w:ind w:firstLine="504" w:firstLineChars="200"/>
        <w:rPr>
          <w:rFonts w:ascii="宋体" w:hAnsi="宋体"/>
          <w:spacing w:val="6"/>
          <w:sz w:val="24"/>
          <w:highlight w:val="none"/>
        </w:rPr>
      </w:pPr>
      <w:r>
        <w:rPr>
          <w:rFonts w:hint="eastAsia" w:ascii="宋体" w:hAnsi="宋体"/>
          <w:spacing w:val="6"/>
          <w:sz w:val="24"/>
          <w:highlight w:val="none"/>
        </w:rPr>
        <w:t>供应商提供的产品属于下列情形的，提供产品列入“节能产品”、“环境标志产品”所在页的复印件（该页包含制造商或企业名称或申请单位名称、规格型号、有效期截止日期等内容），并加盖供应商单位公章。</w:t>
      </w:r>
    </w:p>
    <w:p>
      <w:pPr>
        <w:widowControl/>
        <w:spacing w:line="360" w:lineRule="auto"/>
        <w:ind w:firstLine="504" w:firstLineChars="200"/>
        <w:rPr>
          <w:rFonts w:ascii="宋体" w:hAnsi="宋体"/>
          <w:sz w:val="24"/>
          <w:highlight w:val="none"/>
        </w:rPr>
      </w:pPr>
      <w:r>
        <w:rPr>
          <w:rFonts w:hint="eastAsia" w:ascii="宋体" w:hAnsi="宋体"/>
          <w:spacing w:val="6"/>
          <w:sz w:val="24"/>
          <w:highlight w:val="none"/>
        </w:rPr>
        <w:t>（1）符合政府采购强制采购政策的</w:t>
      </w:r>
      <w:r>
        <w:rPr>
          <w:rFonts w:hint="eastAsia" w:ascii="宋体" w:hAnsi="宋体"/>
          <w:sz w:val="24"/>
          <w:highlight w:val="none"/>
        </w:rPr>
        <w:t>财政部、环境保护部发布的《节能产品政府采购清单》中标记的“强制采购节能产品”。</w:t>
      </w:r>
    </w:p>
    <w:p>
      <w:pPr>
        <w:widowControl/>
        <w:spacing w:line="360" w:lineRule="auto"/>
        <w:ind w:firstLine="504" w:firstLineChars="200"/>
        <w:rPr>
          <w:rFonts w:ascii="宋体" w:hAnsi="宋体"/>
          <w:sz w:val="24"/>
          <w:highlight w:val="none"/>
        </w:rPr>
      </w:pPr>
      <w:r>
        <w:rPr>
          <w:rFonts w:hint="eastAsia" w:ascii="宋体" w:hAnsi="宋体"/>
          <w:spacing w:val="6"/>
          <w:sz w:val="24"/>
          <w:highlight w:val="none"/>
        </w:rPr>
        <w:t>（2）符合政府采购强制采购政策的</w:t>
      </w:r>
      <w:r>
        <w:rPr>
          <w:rFonts w:hint="eastAsia" w:ascii="宋体" w:hAnsi="宋体"/>
          <w:sz w:val="24"/>
          <w:highlight w:val="none"/>
        </w:rPr>
        <w:t>财政部、环境保护部发布的《环境标志产品政府采购清单》中标记的的“环境标志产品”。</w:t>
      </w:r>
    </w:p>
    <w:p>
      <w:pPr>
        <w:widowControl/>
        <w:jc w:val="left"/>
        <w:rPr>
          <w:highlight w:val="none"/>
        </w:rPr>
      </w:pPr>
    </w:p>
    <w:p>
      <w:pPr>
        <w:pStyle w:val="15"/>
        <w:rPr>
          <w:color w:val="auto"/>
          <w:highlight w:val="none"/>
        </w:rPr>
      </w:pPr>
    </w:p>
    <w:p>
      <w:pPr>
        <w:rPr>
          <w:rFonts w:ascii="宋体" w:hAnsi="宋体"/>
          <w:spacing w:val="4"/>
          <w:sz w:val="24"/>
          <w:highlight w:val="none"/>
        </w:rPr>
      </w:pPr>
      <w:r>
        <w:rPr>
          <w:rFonts w:hint="eastAsia" w:ascii="宋体" w:hAnsi="宋体"/>
          <w:spacing w:val="4"/>
          <w:sz w:val="24"/>
          <w:highlight w:val="none"/>
        </w:rPr>
        <w:t>注：本单位对上述声明的真实性负责。如有虚假，将依法承担相应责任。</w:t>
      </w:r>
    </w:p>
    <w:p>
      <w:pPr>
        <w:pStyle w:val="15"/>
        <w:rPr>
          <w:rFonts w:ascii="宋体" w:hAnsi="宋体"/>
          <w:color w:val="auto"/>
          <w:spacing w:val="4"/>
          <w:highlight w:val="none"/>
        </w:rPr>
      </w:pPr>
    </w:p>
    <w:p>
      <w:pPr>
        <w:rPr>
          <w:rFonts w:ascii="宋体" w:hAnsi="宋体"/>
          <w:spacing w:val="4"/>
          <w:sz w:val="24"/>
          <w:highlight w:val="none"/>
        </w:rPr>
      </w:pPr>
    </w:p>
    <w:p>
      <w:pPr>
        <w:pStyle w:val="15"/>
        <w:rPr>
          <w:rFonts w:ascii="宋体" w:hAnsi="宋体"/>
          <w:color w:val="auto"/>
          <w:spacing w:val="4"/>
          <w:highlight w:val="none"/>
        </w:rPr>
      </w:pPr>
    </w:p>
    <w:p>
      <w:pPr>
        <w:rPr>
          <w:rFonts w:ascii="宋体" w:hAnsi="宋体"/>
          <w:spacing w:val="4"/>
          <w:sz w:val="24"/>
          <w:highlight w:val="none"/>
        </w:rPr>
      </w:pPr>
    </w:p>
    <w:p>
      <w:pPr>
        <w:spacing w:line="360" w:lineRule="auto"/>
        <w:ind w:firstLine="496" w:firstLineChars="200"/>
        <w:jc w:val="right"/>
        <w:rPr>
          <w:rFonts w:ascii="宋体" w:hAnsi="宋体"/>
          <w:spacing w:val="4"/>
          <w:sz w:val="24"/>
          <w:highlight w:val="none"/>
        </w:rPr>
      </w:pPr>
      <w:r>
        <w:rPr>
          <w:rFonts w:hint="eastAsia" w:ascii="宋体" w:hAnsi="宋体"/>
          <w:spacing w:val="4"/>
          <w:sz w:val="24"/>
          <w:highlight w:val="none"/>
        </w:rPr>
        <w:t>单位名称（盖章）：</w:t>
      </w:r>
    </w:p>
    <w:p>
      <w:pPr>
        <w:spacing w:line="360" w:lineRule="auto"/>
        <w:ind w:firstLine="496" w:firstLineChars="200"/>
        <w:jc w:val="center"/>
        <w:rPr>
          <w:rFonts w:ascii="宋体" w:hAnsi="宋体"/>
          <w:spacing w:val="4"/>
          <w:sz w:val="24"/>
          <w:highlight w:val="none"/>
        </w:rPr>
      </w:pPr>
      <w:r>
        <w:rPr>
          <w:rFonts w:hint="eastAsia" w:ascii="宋体" w:hAnsi="宋体"/>
          <w:spacing w:val="4"/>
          <w:sz w:val="24"/>
          <w:highlight w:val="none"/>
          <w:lang w:val="en-US" w:eastAsia="zh-CN"/>
        </w:rPr>
        <w:t xml:space="preserve">                                       </w:t>
      </w:r>
      <w:r>
        <w:rPr>
          <w:rFonts w:hint="eastAsia" w:ascii="宋体" w:hAnsi="宋体"/>
          <w:spacing w:val="4"/>
          <w:sz w:val="24"/>
          <w:highlight w:val="none"/>
        </w:rPr>
        <w:t>日    期：</w:t>
      </w:r>
    </w:p>
    <w:p>
      <w:pPr>
        <w:pStyle w:val="15"/>
        <w:rPr>
          <w:highlight w:val="none"/>
        </w:rPr>
      </w:pPr>
    </w:p>
    <w:p>
      <w:pPr>
        <w:rPr>
          <w:rFonts w:ascii="宋体" w:hAnsi="宋体" w:cs="宋体"/>
          <w:b/>
          <w:sz w:val="28"/>
          <w:szCs w:val="28"/>
          <w:highlight w:val="none"/>
        </w:rPr>
      </w:pPr>
      <w:r>
        <w:rPr>
          <w:rFonts w:hint="eastAsia" w:ascii="宋体" w:hAnsi="宋体" w:cs="宋体"/>
          <w:b/>
          <w:sz w:val="28"/>
          <w:szCs w:val="28"/>
          <w:highlight w:val="none"/>
        </w:rPr>
        <w:br w:type="page"/>
      </w:r>
    </w:p>
    <w:p>
      <w:pPr>
        <w:spacing w:line="360" w:lineRule="auto"/>
        <w:outlineLvl w:val="1"/>
        <w:rPr>
          <w:rFonts w:ascii="宋体" w:hAnsi="宋体" w:cs="宋体"/>
          <w:b/>
          <w:sz w:val="28"/>
          <w:szCs w:val="28"/>
          <w:highlight w:val="none"/>
        </w:rPr>
      </w:pPr>
      <w:r>
        <w:rPr>
          <w:rFonts w:hint="eastAsia" w:ascii="宋体" w:hAnsi="宋体" w:cs="宋体"/>
          <w:b/>
          <w:sz w:val="28"/>
          <w:szCs w:val="28"/>
          <w:highlight w:val="none"/>
        </w:rPr>
        <w:t>十五、项目业绩表</w:t>
      </w:r>
    </w:p>
    <w:p>
      <w:pPr>
        <w:spacing w:line="360" w:lineRule="auto"/>
        <w:jc w:val="center"/>
        <w:rPr>
          <w:rFonts w:ascii="新宋体" w:hAnsi="新宋体" w:eastAsia="新宋体"/>
          <w:b/>
          <w:sz w:val="22"/>
          <w:szCs w:val="22"/>
          <w:highlight w:val="none"/>
        </w:rPr>
      </w:pPr>
      <w:r>
        <w:rPr>
          <w:rFonts w:hint="eastAsia" w:ascii="宋体" w:hAnsi="宋体" w:cs="宋体"/>
          <w:b/>
          <w:sz w:val="24"/>
          <w:highlight w:val="none"/>
        </w:rPr>
        <w:t>提供</w:t>
      </w:r>
      <w:r>
        <w:rPr>
          <w:rFonts w:hint="eastAsia" w:ascii="宋体" w:hAnsi="宋体" w:cs="宋体"/>
          <w:b/>
          <w:sz w:val="24"/>
          <w:highlight w:val="none"/>
          <w:lang w:val="zh-CN"/>
        </w:rPr>
        <w:t>201</w:t>
      </w:r>
      <w:r>
        <w:rPr>
          <w:rFonts w:hint="eastAsia" w:ascii="宋体" w:hAnsi="宋体" w:cs="宋体"/>
          <w:b/>
          <w:sz w:val="24"/>
          <w:highlight w:val="none"/>
        </w:rPr>
        <w:t>9</w:t>
      </w:r>
      <w:r>
        <w:rPr>
          <w:rFonts w:hint="eastAsia" w:ascii="宋体" w:hAnsi="宋体" w:cs="宋体"/>
          <w:b/>
          <w:sz w:val="24"/>
          <w:highlight w:val="none"/>
          <w:lang w:val="zh-CN"/>
        </w:rPr>
        <w:t>年</w:t>
      </w:r>
      <w:r>
        <w:rPr>
          <w:rFonts w:hint="eastAsia" w:ascii="宋体" w:hAnsi="宋体" w:cs="宋体"/>
          <w:b/>
          <w:sz w:val="24"/>
          <w:highlight w:val="none"/>
        </w:rPr>
        <w:t>1月1日至今类似</w:t>
      </w:r>
      <w:r>
        <w:rPr>
          <w:rFonts w:hint="eastAsia" w:ascii="宋体" w:hAnsi="宋体" w:cs="宋体"/>
          <w:b/>
          <w:sz w:val="24"/>
          <w:highlight w:val="none"/>
          <w:lang w:val="zh-CN"/>
        </w:rPr>
        <w:t>业绩</w:t>
      </w:r>
    </w:p>
    <w:p>
      <w:pPr>
        <w:spacing w:line="360" w:lineRule="auto"/>
        <w:rPr>
          <w:rFonts w:ascii="宋体" w:hAnsi="宋体" w:cs="宋体"/>
          <w:b/>
          <w:bCs/>
          <w:sz w:val="10"/>
          <w:szCs w:val="10"/>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ascii="宋体" w:hAnsi="宋体" w:cs="宋体"/>
                <w:highlight w:val="none"/>
              </w:rPr>
            </w:pPr>
            <w:r>
              <w:rPr>
                <w:rFonts w:hint="eastAsia" w:ascii="宋体" w:hAnsi="宋体" w:cs="宋体"/>
                <w:highlight w:val="none"/>
              </w:rPr>
              <w:t>序号</w:t>
            </w:r>
          </w:p>
        </w:tc>
        <w:tc>
          <w:tcPr>
            <w:tcW w:w="1908" w:type="dxa"/>
            <w:vAlign w:val="center"/>
          </w:tcPr>
          <w:p>
            <w:pPr>
              <w:spacing w:beforeLines="50" w:line="360" w:lineRule="auto"/>
              <w:jc w:val="center"/>
              <w:rPr>
                <w:rFonts w:ascii="宋体" w:hAnsi="宋体" w:cs="宋体"/>
                <w:highlight w:val="none"/>
              </w:rPr>
            </w:pPr>
            <w:r>
              <w:rPr>
                <w:rFonts w:hint="eastAsia" w:ascii="宋体" w:hAnsi="宋体" w:cs="宋体"/>
                <w:highlight w:val="none"/>
              </w:rPr>
              <w:t>项目名称</w:t>
            </w:r>
          </w:p>
        </w:tc>
        <w:tc>
          <w:tcPr>
            <w:tcW w:w="2332" w:type="dxa"/>
            <w:vAlign w:val="center"/>
          </w:tcPr>
          <w:p>
            <w:pPr>
              <w:spacing w:beforeLines="50" w:line="360" w:lineRule="auto"/>
              <w:jc w:val="center"/>
              <w:rPr>
                <w:rFonts w:ascii="宋体" w:hAnsi="宋体" w:cs="宋体"/>
                <w:highlight w:val="none"/>
              </w:rPr>
            </w:pPr>
            <w:r>
              <w:rPr>
                <w:rFonts w:hint="eastAsia" w:ascii="宋体" w:hAnsi="宋体" w:cs="宋体"/>
                <w:highlight w:val="none"/>
              </w:rPr>
              <w:t>项目地址及电话</w:t>
            </w:r>
          </w:p>
        </w:tc>
        <w:tc>
          <w:tcPr>
            <w:tcW w:w="1696" w:type="dxa"/>
            <w:vAlign w:val="center"/>
          </w:tcPr>
          <w:p>
            <w:pPr>
              <w:spacing w:beforeLines="50" w:line="360" w:lineRule="auto"/>
              <w:jc w:val="center"/>
              <w:rPr>
                <w:rFonts w:ascii="宋体" w:hAnsi="宋体" w:cs="宋体"/>
                <w:highlight w:val="none"/>
              </w:rPr>
            </w:pPr>
            <w:r>
              <w:rPr>
                <w:rFonts w:hint="eastAsia" w:ascii="宋体" w:hAnsi="宋体" w:cs="宋体"/>
                <w:highlight w:val="none"/>
              </w:rPr>
              <w:t>合同内容</w:t>
            </w:r>
          </w:p>
        </w:tc>
        <w:tc>
          <w:tcPr>
            <w:tcW w:w="1430" w:type="dxa"/>
            <w:vAlign w:val="center"/>
          </w:tcPr>
          <w:p>
            <w:pPr>
              <w:spacing w:beforeLines="50" w:line="360" w:lineRule="auto"/>
              <w:jc w:val="center"/>
              <w:rPr>
                <w:rFonts w:ascii="宋体" w:hAnsi="宋体" w:cs="宋体"/>
                <w:highlight w:val="none"/>
              </w:rPr>
            </w:pPr>
            <w:r>
              <w:rPr>
                <w:rFonts w:hint="eastAsia" w:ascii="宋体" w:hAnsi="宋体" w:cs="宋体"/>
                <w:highlight w:val="none"/>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ascii="宋体" w:hAnsi="宋体" w:cs="宋体"/>
                <w:sz w:val="24"/>
                <w:highlight w:val="none"/>
              </w:rPr>
            </w:pPr>
          </w:p>
        </w:tc>
        <w:tc>
          <w:tcPr>
            <w:tcW w:w="1908" w:type="dxa"/>
          </w:tcPr>
          <w:p>
            <w:pPr>
              <w:spacing w:line="360" w:lineRule="auto"/>
              <w:jc w:val="center"/>
              <w:rPr>
                <w:rFonts w:ascii="宋体" w:hAnsi="宋体" w:cs="宋体"/>
                <w:sz w:val="24"/>
                <w:highlight w:val="none"/>
              </w:rPr>
            </w:pPr>
          </w:p>
        </w:tc>
        <w:tc>
          <w:tcPr>
            <w:tcW w:w="2332" w:type="dxa"/>
          </w:tcPr>
          <w:p>
            <w:pPr>
              <w:spacing w:line="360" w:lineRule="auto"/>
              <w:jc w:val="center"/>
              <w:rPr>
                <w:rFonts w:ascii="宋体" w:hAnsi="宋体" w:cs="宋体"/>
                <w:sz w:val="24"/>
                <w:highlight w:val="none"/>
              </w:rPr>
            </w:pPr>
          </w:p>
        </w:tc>
        <w:tc>
          <w:tcPr>
            <w:tcW w:w="1696" w:type="dxa"/>
          </w:tcPr>
          <w:p>
            <w:pPr>
              <w:spacing w:line="360" w:lineRule="auto"/>
              <w:jc w:val="center"/>
              <w:rPr>
                <w:rFonts w:ascii="宋体" w:hAnsi="宋体" w:cs="宋体"/>
                <w:sz w:val="24"/>
                <w:highlight w:val="none"/>
              </w:rPr>
            </w:pPr>
          </w:p>
        </w:tc>
        <w:tc>
          <w:tcPr>
            <w:tcW w:w="1430" w:type="dxa"/>
          </w:tcPr>
          <w:p>
            <w:pPr>
              <w:spacing w:line="360" w:lineRule="auto"/>
              <w:jc w:val="center"/>
              <w:rPr>
                <w:rFonts w:ascii="宋体" w:hAnsi="宋体" w:cs="宋体"/>
                <w:sz w:val="24"/>
                <w:highlight w:val="none"/>
              </w:rPr>
            </w:pPr>
          </w:p>
        </w:tc>
      </w:tr>
    </w:tbl>
    <w:p>
      <w:pPr>
        <w:spacing w:line="480" w:lineRule="auto"/>
        <w:rPr>
          <w:rFonts w:ascii="新宋体" w:hAnsi="新宋体" w:eastAsia="新宋体"/>
          <w:sz w:val="24"/>
          <w:highlight w:val="none"/>
        </w:rPr>
      </w:pPr>
      <w:r>
        <w:rPr>
          <w:rFonts w:hint="eastAsia" w:ascii="新宋体" w:hAnsi="新宋体" w:eastAsia="新宋体"/>
          <w:b/>
          <w:sz w:val="24"/>
          <w:highlight w:val="none"/>
        </w:rPr>
        <w:t>注：</w:t>
      </w:r>
      <w:r>
        <w:rPr>
          <w:rFonts w:hint="eastAsia" w:ascii="新宋体" w:hAnsi="新宋体" w:eastAsia="新宋体"/>
          <w:b/>
          <w:sz w:val="24"/>
          <w:highlight w:val="none"/>
          <w:lang w:val="zh-CN"/>
        </w:rPr>
        <w:t>业绩证明文件应为投标人与用户签订的购销合同复印件并加盖投标人公章。</w:t>
      </w:r>
    </w:p>
    <w:p>
      <w:pPr>
        <w:spacing w:line="360" w:lineRule="auto"/>
        <w:rPr>
          <w:rFonts w:ascii="宋体" w:hAnsi="宋体" w:cs="宋体"/>
          <w:sz w:val="24"/>
          <w:highlight w:val="none"/>
        </w:rPr>
      </w:pPr>
    </w:p>
    <w:p>
      <w:pPr>
        <w:spacing w:afterLines="50" w:line="360" w:lineRule="auto"/>
        <w:rPr>
          <w:rFonts w:ascii="宋体" w:hAnsi="宋体" w:cs="宋体"/>
          <w:b/>
          <w:sz w:val="28"/>
          <w:szCs w:val="28"/>
          <w:highlight w:val="none"/>
        </w:rPr>
      </w:pPr>
    </w:p>
    <w:p>
      <w:pPr>
        <w:spacing w:afterLines="50" w:line="360" w:lineRule="auto"/>
        <w:outlineLvl w:val="1"/>
        <w:rPr>
          <w:rFonts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十六、优惠、培训、售后服务承诺</w:t>
      </w:r>
    </w:p>
    <w:p>
      <w:pPr>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16</w:t>
      </w:r>
      <w:r>
        <w:rPr>
          <w:rFonts w:hint="eastAsia" w:ascii="宋体" w:hAnsi="宋体" w:cs="宋体"/>
          <w:b/>
          <w:bCs/>
          <w:sz w:val="24"/>
          <w:highlight w:val="none"/>
        </w:rPr>
        <w:t>.1优惠条件承诺书</w:t>
      </w:r>
    </w:p>
    <w:p>
      <w:pPr>
        <w:spacing w:line="360" w:lineRule="auto"/>
        <w:jc w:val="center"/>
        <w:rPr>
          <w:rFonts w:ascii="宋体" w:hAnsi="宋体" w:cs="宋体"/>
          <w:b/>
          <w:bCs/>
          <w:sz w:val="24"/>
          <w:highlight w:val="none"/>
        </w:rPr>
      </w:pPr>
    </w:p>
    <w:p>
      <w:pPr>
        <w:spacing w:line="360" w:lineRule="auto"/>
        <w:rPr>
          <w:rFonts w:ascii="宋体" w:hAnsi="宋体" w:cs="宋体"/>
          <w:sz w:val="24"/>
          <w:highlight w:val="none"/>
        </w:rPr>
      </w:pPr>
      <w:r>
        <w:rPr>
          <w:rFonts w:hint="eastAsia" w:ascii="宋体" w:hAnsi="宋体" w:cs="宋体"/>
          <w:sz w:val="24"/>
          <w:highlight w:val="none"/>
        </w:rPr>
        <w:t>致：</w:t>
      </w:r>
    </w:p>
    <w:p>
      <w:pPr>
        <w:spacing w:line="360" w:lineRule="auto"/>
        <w:rPr>
          <w:rFonts w:ascii="宋体" w:hAnsi="宋体" w:cs="宋体"/>
          <w:sz w:val="24"/>
          <w:highlight w:val="none"/>
        </w:rPr>
      </w:pPr>
      <w:r>
        <w:rPr>
          <w:rFonts w:hint="eastAsia" w:ascii="宋体" w:hAnsi="宋体" w:cs="宋体"/>
          <w:sz w:val="24"/>
          <w:highlight w:val="none"/>
        </w:rPr>
        <w:t xml:space="preserve">   经仔细阅读你们的招标文件，我们同意招标文件中有关优惠条件的要求，对所投标项目向贵单位特作如下优惠条件承诺：</w:t>
      </w:r>
    </w:p>
    <w:p>
      <w:pPr>
        <w:spacing w:line="360" w:lineRule="auto"/>
        <w:rPr>
          <w:rFonts w:ascii="宋体" w:hAnsi="宋体" w:cs="宋体"/>
          <w:sz w:val="24"/>
          <w:highlight w:val="none"/>
        </w:rPr>
      </w:pPr>
      <w:r>
        <w:rPr>
          <w:rFonts w:hint="eastAsia" w:ascii="宋体" w:hAnsi="宋体" w:cs="宋体"/>
          <w:sz w:val="24"/>
          <w:highlight w:val="none"/>
        </w:rPr>
        <w:t xml:space="preserve">  （1）…</w:t>
      </w:r>
    </w:p>
    <w:p>
      <w:pPr>
        <w:spacing w:line="360" w:lineRule="auto"/>
        <w:rPr>
          <w:rFonts w:ascii="宋体" w:hAnsi="宋体" w:cs="宋体"/>
          <w:sz w:val="24"/>
          <w:highlight w:val="none"/>
        </w:rPr>
      </w:pPr>
      <w:r>
        <w:rPr>
          <w:rFonts w:hint="eastAsia" w:ascii="宋体" w:hAnsi="宋体" w:cs="宋体"/>
          <w:sz w:val="24"/>
          <w:highlight w:val="none"/>
        </w:rPr>
        <w:t xml:space="preserve">  （2）…</w:t>
      </w:r>
    </w:p>
    <w:p>
      <w:pPr>
        <w:spacing w:line="360" w:lineRule="auto"/>
        <w:rPr>
          <w:rFonts w:ascii="宋体" w:hAnsi="宋体" w:cs="宋体"/>
          <w:sz w:val="24"/>
          <w:highlight w:val="none"/>
        </w:rPr>
      </w:pPr>
      <w:r>
        <w:rPr>
          <w:rFonts w:hint="eastAsia" w:ascii="宋体" w:hAnsi="宋体" w:cs="宋体"/>
          <w:sz w:val="24"/>
          <w:highlight w:val="none"/>
        </w:rPr>
        <w:t xml:space="preserve">  （3）…</w:t>
      </w:r>
    </w:p>
    <w:p>
      <w:pPr>
        <w:spacing w:line="360" w:lineRule="auto"/>
        <w:rPr>
          <w:rFonts w:ascii="宋体" w:hAnsi="宋体" w:cs="宋体"/>
          <w:sz w:val="24"/>
          <w:highlight w:val="none"/>
        </w:rPr>
      </w:pPr>
      <w:r>
        <w:rPr>
          <w:rFonts w:hint="eastAsia"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  特此承诺！</w:t>
      </w:r>
    </w:p>
    <w:p>
      <w:pPr>
        <w:spacing w:line="360" w:lineRule="auto"/>
        <w:rPr>
          <w:rFonts w:ascii="宋体" w:hAnsi="宋体" w:cs="宋体"/>
          <w:sz w:val="24"/>
          <w:highlight w:val="none"/>
          <w:u w:val="single"/>
        </w:rPr>
      </w:pPr>
      <w:r>
        <w:rPr>
          <w:rFonts w:hint="eastAsia" w:ascii="宋体" w:hAnsi="宋体" w:cs="宋体"/>
          <w:sz w:val="24"/>
          <w:highlight w:val="none"/>
        </w:rPr>
        <w:t xml:space="preserve">  承诺方授权代表签字：</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 xml:space="preserve">  职   务：</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 xml:space="preserve">  承诺方名称：</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 xml:space="preserve">  承诺方印章：</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 xml:space="preserve">  地址：</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  邮编：</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  电话：</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  传真：</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日期：  年   月   日</w:t>
      </w:r>
    </w:p>
    <w:p>
      <w:pPr>
        <w:spacing w:line="360" w:lineRule="auto"/>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b/>
          <w:bCs/>
          <w:sz w:val="24"/>
          <w:highlight w:val="none"/>
        </w:rPr>
      </w:pPr>
    </w:p>
    <w:p>
      <w:pPr>
        <w:spacing w:line="360" w:lineRule="auto"/>
        <w:rPr>
          <w:rFonts w:ascii="宋体" w:hAnsi="宋体" w:cs="宋体"/>
          <w:b/>
          <w:bCs/>
          <w:sz w:val="24"/>
          <w:highlight w:val="none"/>
        </w:rPr>
      </w:pPr>
    </w:p>
    <w:p>
      <w:pPr>
        <w:spacing w:line="360" w:lineRule="auto"/>
        <w:rPr>
          <w:rFonts w:ascii="宋体" w:hAnsi="宋体" w:cs="宋体"/>
          <w:b/>
          <w:bCs/>
          <w:sz w:val="24"/>
          <w:highlight w:val="none"/>
        </w:rPr>
      </w:pPr>
    </w:p>
    <w:p>
      <w:pPr>
        <w:spacing w:line="360" w:lineRule="auto"/>
        <w:rPr>
          <w:rFonts w:ascii="宋体" w:hAnsi="宋体" w:cs="宋体"/>
          <w:b/>
          <w:bCs/>
          <w:sz w:val="24"/>
          <w:highlight w:val="none"/>
        </w:rPr>
      </w:pPr>
    </w:p>
    <w:p>
      <w:pPr>
        <w:spacing w:line="360" w:lineRule="auto"/>
        <w:rPr>
          <w:rFonts w:ascii="宋体" w:hAnsi="宋体" w:cs="宋体"/>
          <w:b/>
          <w:bCs/>
          <w:sz w:val="24"/>
          <w:highlight w:val="none"/>
        </w:rPr>
      </w:pPr>
    </w:p>
    <w:p>
      <w:pPr>
        <w:spacing w:line="360" w:lineRule="auto"/>
        <w:jc w:val="center"/>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lang w:val="en-US" w:eastAsia="zh-CN"/>
        </w:rPr>
        <w:t>16</w:t>
      </w:r>
      <w:r>
        <w:rPr>
          <w:rFonts w:hint="eastAsia" w:ascii="宋体" w:hAnsi="宋体" w:cs="宋体"/>
          <w:b/>
          <w:bCs/>
          <w:sz w:val="24"/>
          <w:highlight w:val="none"/>
        </w:rPr>
        <w:t>.2培训计划承诺</w:t>
      </w:r>
    </w:p>
    <w:p>
      <w:pPr>
        <w:spacing w:line="360" w:lineRule="auto"/>
        <w:rPr>
          <w:rFonts w:ascii="宋体" w:hAnsi="宋体" w:cs="宋体"/>
          <w:b/>
          <w:bCs/>
          <w:sz w:val="24"/>
          <w:highlight w:val="none"/>
        </w:rPr>
      </w:pPr>
      <w:r>
        <w:rPr>
          <w:rFonts w:hint="eastAsia" w:ascii="宋体" w:hAnsi="宋体" w:cs="宋体"/>
          <w:b/>
          <w:bCs/>
          <w:sz w:val="24"/>
          <w:highlight w:val="none"/>
        </w:rPr>
        <w:t>致：</w:t>
      </w:r>
    </w:p>
    <w:p>
      <w:pPr>
        <w:spacing w:line="360" w:lineRule="auto"/>
        <w:rPr>
          <w:rFonts w:ascii="宋体" w:hAnsi="宋体" w:cs="宋体"/>
          <w:sz w:val="24"/>
          <w:highlight w:val="none"/>
        </w:rPr>
      </w:pPr>
      <w:r>
        <w:rPr>
          <w:rFonts w:hint="eastAsia" w:ascii="宋体" w:hAnsi="宋体" w:cs="宋体"/>
          <w:b/>
          <w:bCs/>
          <w:sz w:val="24"/>
          <w:highlight w:val="none"/>
        </w:rPr>
        <w:t xml:space="preserve">   </w:t>
      </w:r>
      <w:r>
        <w:rPr>
          <w:rFonts w:hint="eastAsia" w:ascii="宋体" w:hAnsi="宋体" w:cs="宋体"/>
          <w:sz w:val="24"/>
          <w:highlight w:val="none"/>
        </w:rPr>
        <w:t>经仔细阅读你们的招标文件，我们同意招标文件中有关培训计划的要求，对所投标项目向贵单位特作如下培训计划承诺：</w:t>
      </w:r>
    </w:p>
    <w:p>
      <w:pPr>
        <w:spacing w:line="360" w:lineRule="auto"/>
        <w:rPr>
          <w:rFonts w:ascii="宋体" w:hAnsi="宋体" w:cs="宋体"/>
          <w:sz w:val="24"/>
          <w:highlight w:val="none"/>
        </w:rPr>
      </w:pPr>
      <w:r>
        <w:rPr>
          <w:rFonts w:hint="eastAsia" w:ascii="宋体" w:hAnsi="宋体" w:cs="宋体"/>
          <w:sz w:val="24"/>
          <w:highlight w:val="none"/>
        </w:rPr>
        <w:t xml:space="preserve">   （1）…</w:t>
      </w:r>
    </w:p>
    <w:p>
      <w:pPr>
        <w:spacing w:line="360" w:lineRule="auto"/>
        <w:rPr>
          <w:rFonts w:ascii="宋体" w:hAnsi="宋体" w:cs="宋体"/>
          <w:sz w:val="24"/>
          <w:highlight w:val="none"/>
        </w:rPr>
      </w:pPr>
      <w:r>
        <w:rPr>
          <w:rFonts w:hint="eastAsia" w:ascii="宋体" w:hAnsi="宋体" w:cs="宋体"/>
          <w:sz w:val="24"/>
          <w:highlight w:val="none"/>
        </w:rPr>
        <w:t xml:space="preserve">   （2）…</w:t>
      </w:r>
    </w:p>
    <w:p>
      <w:pPr>
        <w:spacing w:line="360" w:lineRule="auto"/>
        <w:rPr>
          <w:rFonts w:ascii="宋体" w:hAnsi="宋体" w:cs="宋体"/>
          <w:sz w:val="24"/>
          <w:highlight w:val="none"/>
        </w:rPr>
      </w:pPr>
      <w:r>
        <w:rPr>
          <w:rFonts w:hint="eastAsia" w:ascii="宋体" w:hAnsi="宋体" w:cs="宋体"/>
          <w:sz w:val="24"/>
          <w:highlight w:val="none"/>
        </w:rPr>
        <w:t xml:space="preserve">   （3）…</w:t>
      </w:r>
    </w:p>
    <w:p>
      <w:pPr>
        <w:spacing w:line="360" w:lineRule="auto"/>
        <w:ind w:firstLine="720"/>
        <w:rPr>
          <w:rFonts w:ascii="宋体" w:hAnsi="宋体" w:cs="宋体"/>
          <w:sz w:val="24"/>
          <w:highlight w:val="none"/>
        </w:rPr>
      </w:pPr>
      <w:r>
        <w:rPr>
          <w:rFonts w:hint="eastAsia" w:ascii="宋体" w:hAnsi="宋体" w:cs="宋体"/>
          <w:sz w:val="24"/>
          <w:highlight w:val="none"/>
        </w:rPr>
        <w:t>…</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特此承诺！</w:t>
      </w:r>
    </w:p>
    <w:p>
      <w:pPr>
        <w:spacing w:line="360" w:lineRule="auto"/>
        <w:rPr>
          <w:rFonts w:ascii="宋体" w:hAnsi="宋体" w:cs="宋体"/>
          <w:sz w:val="24"/>
          <w:highlight w:val="none"/>
          <w:u w:val="single"/>
        </w:rPr>
      </w:pPr>
      <w:r>
        <w:rPr>
          <w:rFonts w:hint="eastAsia" w:ascii="宋体" w:hAnsi="宋体" w:cs="宋体"/>
          <w:sz w:val="24"/>
          <w:highlight w:val="none"/>
        </w:rPr>
        <w:t xml:space="preserve">  承诺方授权代表签字：</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 xml:space="preserve">  职   务：</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 xml:space="preserve">  承诺方名称：</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 xml:space="preserve">  承诺方印章：</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 xml:space="preserve">  地址：</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  邮编：</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  电话：</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  传真：</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日期：  年   月   日</w:t>
      </w:r>
    </w:p>
    <w:p>
      <w:pPr>
        <w:spacing w:line="360" w:lineRule="auto"/>
        <w:rPr>
          <w:rFonts w:ascii="宋体" w:hAnsi="宋体" w:cs="宋体"/>
          <w:sz w:val="24"/>
          <w:highlight w:val="none"/>
        </w:rPr>
      </w:pPr>
    </w:p>
    <w:p>
      <w:pPr>
        <w:spacing w:line="360" w:lineRule="auto"/>
        <w:jc w:val="center"/>
        <w:rPr>
          <w:rFonts w:ascii="宋体" w:hAnsi="宋体" w:cs="宋体"/>
          <w:b/>
          <w:bCs/>
          <w:sz w:val="24"/>
          <w:highlight w:val="none"/>
        </w:rPr>
      </w:pPr>
    </w:p>
    <w:p>
      <w:pPr>
        <w:spacing w:line="360" w:lineRule="auto"/>
        <w:jc w:val="center"/>
        <w:rPr>
          <w:rFonts w:ascii="宋体" w:hAnsi="宋体" w:cs="宋体"/>
          <w:b/>
          <w:bCs/>
          <w:sz w:val="24"/>
          <w:highlight w:val="none"/>
        </w:rPr>
      </w:pPr>
    </w:p>
    <w:p>
      <w:pPr>
        <w:spacing w:line="360" w:lineRule="auto"/>
        <w:jc w:val="center"/>
        <w:rPr>
          <w:rFonts w:ascii="宋体" w:hAnsi="宋体" w:cs="宋体"/>
          <w:b/>
          <w:bCs/>
          <w:sz w:val="24"/>
          <w:highlight w:val="none"/>
        </w:rPr>
      </w:pPr>
    </w:p>
    <w:p>
      <w:pPr>
        <w:spacing w:line="360" w:lineRule="auto"/>
        <w:jc w:val="center"/>
        <w:rPr>
          <w:rFonts w:ascii="宋体" w:hAnsi="宋体" w:cs="宋体"/>
          <w:b/>
          <w:bCs/>
          <w:sz w:val="24"/>
          <w:highlight w:val="none"/>
        </w:rPr>
      </w:pPr>
    </w:p>
    <w:p>
      <w:pPr>
        <w:spacing w:line="360" w:lineRule="auto"/>
        <w:jc w:val="center"/>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16.3售后服务承诺</w:t>
      </w:r>
    </w:p>
    <w:p>
      <w:pPr>
        <w:spacing w:line="360" w:lineRule="auto"/>
        <w:rPr>
          <w:rFonts w:ascii="宋体" w:hAnsi="宋体" w:cs="宋体"/>
          <w:sz w:val="24"/>
          <w:highlight w:val="none"/>
        </w:rPr>
      </w:pPr>
      <w:r>
        <w:rPr>
          <w:rFonts w:hint="eastAsia" w:ascii="宋体" w:hAnsi="宋体" w:cs="宋体"/>
          <w:sz w:val="24"/>
          <w:highlight w:val="none"/>
        </w:rPr>
        <w:t>报价人应详细说明售后服务保证内容，备品备件供应情况，出现故障响应时间及售后服务人员情况，并填写下表：</w:t>
      </w:r>
    </w:p>
    <w:p>
      <w:pPr>
        <w:spacing w:line="360" w:lineRule="auto"/>
        <w:jc w:val="center"/>
        <w:rPr>
          <w:rFonts w:ascii="宋体" w:hAnsi="宋体" w:cs="宋体"/>
          <w:b/>
          <w:bCs/>
          <w:sz w:val="24"/>
          <w:highlight w:val="none"/>
        </w:rPr>
      </w:pPr>
      <w:r>
        <w:rPr>
          <w:rFonts w:hint="eastAsia" w:ascii="宋体" w:hAnsi="宋体" w:cs="宋体"/>
          <w:b/>
          <w:bCs/>
          <w:sz w:val="24"/>
          <w:highlight w:val="none"/>
        </w:rPr>
        <w:t>售后服务承诺</w:t>
      </w:r>
    </w:p>
    <w:tbl>
      <w:tblPr>
        <w:tblStyle w:val="3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9" w:type="dxa"/>
          </w:tcPr>
          <w:p>
            <w:pPr>
              <w:spacing w:line="360" w:lineRule="auto"/>
              <w:rPr>
                <w:rFonts w:ascii="宋体" w:hAnsi="宋体" w:cs="宋体"/>
                <w:sz w:val="24"/>
                <w:highlight w:val="none"/>
              </w:rPr>
            </w:pPr>
            <w:r>
              <w:rPr>
                <w:rFonts w:hint="eastAsia" w:ascii="宋体" w:hAnsi="宋体" w:cs="宋体"/>
                <w:b/>
                <w:bCs/>
                <w:sz w:val="24"/>
                <w:highlight w:val="none"/>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ascii="宋体" w:hAnsi="宋体" w:cs="宋体"/>
                <w:sz w:val="24"/>
                <w:highlight w:val="none"/>
              </w:rPr>
            </w:pPr>
            <w:r>
              <w:rPr>
                <w:rFonts w:hint="eastAsia" w:ascii="宋体" w:hAnsi="宋体" w:cs="宋体"/>
                <w:sz w:val="24"/>
                <w:highlight w:val="none"/>
              </w:rPr>
              <w:t>现行售后服务的主要内容：（可附宣传材料）</w:t>
            </w:r>
          </w:p>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ascii="宋体" w:hAnsi="宋体" w:cs="宋体"/>
                <w:sz w:val="24"/>
                <w:highlight w:val="none"/>
              </w:rPr>
            </w:pPr>
            <w:r>
              <w:rPr>
                <w:rFonts w:hint="eastAsia" w:ascii="宋体" w:hAnsi="宋体" w:cs="宋体"/>
                <w:b/>
                <w:bCs/>
                <w:sz w:val="24"/>
                <w:highlight w:val="none"/>
              </w:rPr>
              <w:t>售后服务技术人员简历：</w:t>
            </w:r>
            <w:r>
              <w:rPr>
                <w:rFonts w:hint="eastAsia" w:ascii="宋体" w:hAnsi="宋体" w:cs="宋体"/>
                <w:sz w:val="24"/>
                <w:highlight w:val="none"/>
              </w:rPr>
              <w:t>（姓名，性别，年龄，身份证号，学历，毕业院校，专业，联系电话，资格或培训证明，从事与本次采购相关项目的售后服务技术工作经历）</w:t>
            </w:r>
          </w:p>
          <w:p>
            <w:pPr>
              <w:spacing w:line="360" w:lineRule="auto"/>
              <w:rPr>
                <w:rFonts w:ascii="宋体" w:hAnsi="宋体" w:cs="宋体"/>
                <w:b/>
                <w:bCs/>
                <w:sz w:val="24"/>
                <w:highlight w:val="none"/>
              </w:rPr>
            </w:pPr>
          </w:p>
        </w:tc>
      </w:tr>
    </w:tbl>
    <w:p>
      <w:pPr>
        <w:spacing w:line="360" w:lineRule="auto"/>
        <w:ind w:firstLine="480"/>
        <w:rPr>
          <w:rFonts w:ascii="宋体" w:hAnsi="宋体" w:cs="宋体"/>
          <w:sz w:val="24"/>
          <w:highlight w:val="none"/>
        </w:rPr>
      </w:pPr>
    </w:p>
    <w:p>
      <w:pPr>
        <w:spacing w:line="360" w:lineRule="auto"/>
        <w:ind w:firstLine="480"/>
        <w:rPr>
          <w:rFonts w:ascii="宋体" w:hAnsi="宋体" w:cs="宋体"/>
          <w:sz w:val="24"/>
          <w:highlight w:val="none"/>
        </w:rPr>
      </w:pPr>
    </w:p>
    <w:p>
      <w:pPr>
        <w:spacing w:line="360" w:lineRule="auto"/>
        <w:ind w:firstLine="480"/>
        <w:rPr>
          <w:rFonts w:ascii="宋体" w:hAnsi="宋体" w:cs="宋体"/>
          <w:sz w:val="24"/>
          <w:highlight w:val="none"/>
        </w:rPr>
      </w:pPr>
      <w:r>
        <w:rPr>
          <w:rFonts w:hint="eastAsia" w:ascii="宋体" w:hAnsi="宋体" w:cs="宋体"/>
          <w:sz w:val="24"/>
          <w:highlight w:val="none"/>
        </w:rPr>
        <w:t>特此承诺！</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承诺方授权代表签字：</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职   务：</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 xml:space="preserve">    承诺方名称（公章）：</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日期：  年   月   日</w:t>
      </w:r>
    </w:p>
    <w:p>
      <w:pPr>
        <w:spacing w:line="360" w:lineRule="auto"/>
        <w:outlineLvl w:val="1"/>
        <w:rPr>
          <w:rFonts w:ascii="宋体" w:hAnsi="宋体" w:cs="宋体"/>
          <w:b/>
          <w:sz w:val="28"/>
          <w:szCs w:val="28"/>
          <w:highlight w:val="none"/>
        </w:rPr>
      </w:pPr>
      <w:r>
        <w:rPr>
          <w:rFonts w:hint="eastAsia" w:ascii="宋体" w:hAnsi="宋体" w:cs="宋体"/>
          <w:sz w:val="24"/>
          <w:highlight w:val="none"/>
        </w:rPr>
        <w:br w:type="page"/>
      </w:r>
      <w:r>
        <w:rPr>
          <w:rFonts w:hint="eastAsia" w:ascii="宋体" w:hAnsi="宋体" w:cs="宋体"/>
          <w:b/>
          <w:sz w:val="28"/>
          <w:szCs w:val="28"/>
          <w:highlight w:val="none"/>
        </w:rPr>
        <w:t>十七、技术服务方案</w:t>
      </w:r>
    </w:p>
    <w:p>
      <w:pPr>
        <w:rPr>
          <w:rFonts w:ascii="宋体" w:hAnsi="宋体" w:cs="宋体"/>
          <w:b/>
          <w:sz w:val="28"/>
          <w:szCs w:val="28"/>
          <w:highlight w:val="none"/>
        </w:rPr>
      </w:pPr>
      <w:r>
        <w:rPr>
          <w:rFonts w:hint="eastAsia" w:ascii="宋体" w:hAnsi="宋体" w:cs="宋体"/>
          <w:b/>
          <w:sz w:val="28"/>
          <w:szCs w:val="28"/>
          <w:highlight w:val="none"/>
        </w:rPr>
        <w:br w:type="page"/>
      </w:r>
    </w:p>
    <w:p>
      <w:pPr>
        <w:spacing w:line="360" w:lineRule="auto"/>
        <w:outlineLvl w:val="1"/>
        <w:rPr>
          <w:rFonts w:ascii="宋体" w:hAnsi="宋体" w:cs="宋体"/>
          <w:b/>
          <w:bCs/>
          <w:sz w:val="44"/>
          <w:highlight w:val="none"/>
        </w:rPr>
      </w:pPr>
      <w:r>
        <w:rPr>
          <w:rFonts w:hint="eastAsia" w:ascii="宋体" w:hAnsi="宋体" w:cs="宋体"/>
          <w:b/>
          <w:sz w:val="28"/>
          <w:szCs w:val="28"/>
          <w:highlight w:val="none"/>
        </w:rPr>
        <w:t>十八、其他证明材料</w:t>
      </w:r>
    </w:p>
    <w:bookmarkEnd w:id="13"/>
    <w:p>
      <w:pPr>
        <w:spacing w:line="360" w:lineRule="auto"/>
        <w:rPr>
          <w:rFonts w:ascii="宋体" w:hAnsi="宋体" w:cs="宋体"/>
          <w:b/>
          <w:bCs/>
          <w:sz w:val="44"/>
          <w:highlight w:val="none"/>
        </w:rPr>
      </w:pPr>
    </w:p>
    <w:sectPr>
      <w:footerReference r:id="rId13"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2"/>
    </w:pPr>
    <w:r>
      <w:rPr>
        <w:rFonts w:hint="eastAsia" w:ascii="宋体" w:hAnsi="宋体" w:cs="宋体"/>
        <w:bCs/>
        <w:iCs/>
      </w:rPr>
      <w:t>陕西德信招标有限公司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8"/>
      <w:numPr>
        <w:ilvl w:val="3"/>
        <w:numId w:val="0"/>
      </w:numPr>
      <w:tabs>
        <w:tab w:val="left" w:pos="2160"/>
      </w:tabs>
      <w:spacing w:before="0" w:after="0" w:line="240" w:lineRule="auto"/>
    </w:pPr>
    <w:r>
      <w:rPr>
        <w:rFonts w:hint="eastAsia" w:ascii="宋体" w:hAnsi="宋体" w:eastAsia="宋体" w:cs="宋体"/>
        <w:b w:val="0"/>
        <w:bCs/>
        <w:iCs/>
        <w:sz w:val="18"/>
        <w:szCs w:val="18"/>
      </w:rPr>
      <w:t>陕西德信招标有限公司   地址：陕西省西安市雁塔区南二环东段凯森盛世A座五层</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2"/>
    </w:pPr>
    <w:r>
      <w:rPr>
        <w:sz w:val="21"/>
      </w:rPr>
      <mc:AlternateContent>
        <mc:Choice Requires="wps">
          <w:drawing>
            <wp:anchor distT="0" distB="0" distL="114300" distR="114300" simplePos="0" relativeHeight="251659264" behindDoc="0" locked="0" layoutInCell="1" allowOverlap="1">
              <wp:simplePos x="0" y="0"/>
              <wp:positionH relativeFrom="margin">
                <wp:posOffset>2563495</wp:posOffset>
              </wp:positionH>
              <wp:positionV relativeFrom="paragraph">
                <wp:posOffset>9525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1.85pt;margin-top:0.75pt;height:144pt;width:144pt;mso-position-horizontal-relative:margin;mso-wrap-style:none;z-index:251659264;mso-width-relative:page;mso-height-relative:page;" filled="f" stroked="f" coordsize="21600,21600" o:gfxdata="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NpZ+TWAAAACQEAAA8AAAAAAAAAAQAgAAAAIgAAAGRycy9kb3ducmV2LnhtbFBL&#10;AQIUABQAAAAIAIdO4kCpqK+VMQIAAGMEAAAOAAAAAAAAAAEAIAAAACUBAABkcnMvZTJvRG9jLnht&#10;bFBLBQYAAAAABgAGAFkBAADI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宋体" w:hAnsi="宋体" w:cs="宋体"/>
        <w:bCs/>
        <w:iCs/>
      </w:rPr>
      <w:t>陕西德信招标有限公司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2"/>
    </w:pPr>
    <w:r>
      <w:rPr>
        <w:sz w:val="21"/>
      </w:rPr>
      <mc:AlternateContent>
        <mc:Choice Requires="wps">
          <w:drawing>
            <wp:anchor distT="0" distB="0" distL="114300" distR="114300" simplePos="0" relativeHeight="251660288" behindDoc="0" locked="0" layoutInCell="1" allowOverlap="1">
              <wp:simplePos x="0" y="0"/>
              <wp:positionH relativeFrom="margin">
                <wp:posOffset>2576830</wp:posOffset>
              </wp:positionH>
              <wp:positionV relativeFrom="paragraph">
                <wp:posOffset>4445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9pt;margin-top:0.35pt;height:144pt;width:144pt;mso-position-horizontal-relative:margin;mso-wrap-style:none;z-index:251660288;mso-width-relative:page;mso-height-relative:page;" filled="f" stroked="f" coordsize="21600,21600" o:gfxdata="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8ljWzWAAAACA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- 38 -</w:t>
                    </w:r>
                    <w:r>
                      <w:fldChar w:fldCharType="end"/>
                    </w:r>
                  </w:p>
                </w:txbxContent>
              </v:textbox>
            </v:shape>
          </w:pict>
        </mc:Fallback>
      </mc:AlternateContent>
    </w:r>
    <w:r>
      <w:rPr>
        <w:rFonts w:hint="eastAsia" w:ascii="宋体" w:hAnsi="宋体" w:cs="宋体"/>
        <w:bCs/>
        <w:iCs/>
      </w:rPr>
      <w:t>陕西德信招标有限公司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thinThickSmallGap" w:color="622423" w:sz="24" w:space="1"/>
      </w:pBdr>
      <w:rPr>
        <w:rFonts w:ascii="Cambria" w:hAnsi="Cambria"/>
      </w:rPr>
    </w:pPr>
    <w:r>
      <w:rPr>
        <w:rFonts w:hint="eastAsia" w:ascii="Cambria" w:hAnsi="Cambria"/>
      </w:rPr>
      <w:t xml:space="preserve">安康市人民医院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2"/>
      <w:ind w:right="360" w:firstLine="1260" w:firstLineChars="70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4"/>
      </w:rPr>
    </w:pPr>
    <w:r>
      <w:fldChar w:fldCharType="begin"/>
    </w:r>
    <w:r>
      <w:rPr>
        <w:rStyle w:val="34"/>
      </w:rPr>
      <w:instrText xml:space="preserve">PAGE  </w:instrText>
    </w:r>
    <w: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rPr>
        <w:rFonts w:hint="eastAsia" w:ascii="宋体" w:hAnsi="宋体" w:cs="宋体"/>
        <w:iCs/>
        <w:sz w:val="18"/>
        <w:szCs w:val="18"/>
      </w:rPr>
    </w:pPr>
    <w:r>
      <w:rPr>
        <w:rFonts w:hint="eastAsia" w:ascii="宋体" w:hAnsi="宋体" w:cs="宋体"/>
        <w:iCs/>
        <w:sz w:val="18"/>
        <w:szCs w:val="18"/>
      </w:rPr>
      <w:t>项目名称：</w:t>
    </w:r>
    <w:r>
      <w:rPr>
        <w:rFonts w:hint="eastAsia" w:cs="宋体"/>
        <w:iCs/>
        <w:sz w:val="18"/>
        <w:szCs w:val="18"/>
        <w:lang w:eastAsia="zh-CN"/>
      </w:rPr>
      <w:t>商洛市妇幼保健院网络安全等级保护建设项目</w:t>
    </w:r>
    <w:r>
      <w:rPr>
        <w:rFonts w:hint="eastAsia" w:ascii="宋体" w:hAnsi="宋体" w:cs="宋体"/>
        <w:iCs/>
        <w:sz w:val="18"/>
        <w:szCs w:val="18"/>
      </w:rPr>
      <w:t xml:space="preserve">     </w:t>
    </w:r>
  </w:p>
  <w:p>
    <w:pPr>
      <w:pBdr>
        <w:bottom w:val="thickThinSmallGap" w:color="800000" w:sz="12" w:space="0"/>
      </w:pBdr>
      <w:spacing w:line="360" w:lineRule="auto"/>
    </w:pPr>
    <w:r>
      <w:rPr>
        <w:rFonts w:hint="eastAsia" w:ascii="宋体" w:hAnsi="宋体" w:cs="宋体"/>
        <w:iCs/>
        <w:sz w:val="18"/>
        <w:szCs w:val="18"/>
      </w:rPr>
      <w:t xml:space="preserve">项目编号： </w:t>
    </w:r>
    <w:r>
      <w:rPr>
        <w:rFonts w:hint="eastAsia" w:cs="宋体"/>
        <w:iCs/>
        <w:sz w:val="18"/>
        <w:szCs w:val="18"/>
        <w:lang w:eastAsia="zh-CN"/>
      </w:rPr>
      <w:t>DXZB-2022-0636</w:t>
    </w:r>
    <w:r>
      <w:rPr>
        <w:rFonts w:hint="eastAsia" w:ascii="宋体" w:hAnsi="宋体" w:cs="宋体"/>
        <w:iCs/>
        <w:sz w:val="18"/>
        <w:szCs w:val="18"/>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rPr>
        <w:rFonts w:hint="eastAsia" w:ascii="宋体" w:hAnsi="宋体" w:cs="宋体"/>
        <w:iCs/>
        <w:sz w:val="18"/>
        <w:szCs w:val="18"/>
      </w:rPr>
    </w:pPr>
    <w:r>
      <w:rPr>
        <w:rFonts w:hint="eastAsia" w:ascii="宋体" w:hAnsi="宋体" w:cs="宋体"/>
        <w:iCs/>
        <w:sz w:val="18"/>
        <w:szCs w:val="18"/>
      </w:rPr>
      <w:t>项目名称：</w:t>
    </w:r>
    <w:r>
      <w:rPr>
        <w:rFonts w:hint="eastAsia" w:cs="宋体"/>
        <w:iCs/>
        <w:sz w:val="18"/>
        <w:szCs w:val="18"/>
        <w:lang w:eastAsia="zh-CN"/>
      </w:rPr>
      <w:t>商洛市妇幼保健院网络安全等级保护建设项目</w:t>
    </w:r>
    <w:r>
      <w:rPr>
        <w:rFonts w:hint="eastAsia" w:ascii="宋体" w:hAnsi="宋体" w:cs="宋体"/>
        <w:iCs/>
        <w:sz w:val="18"/>
        <w:szCs w:val="18"/>
      </w:rPr>
      <w:t xml:space="preserve">     </w:t>
    </w:r>
  </w:p>
  <w:p>
    <w:pPr>
      <w:pBdr>
        <w:bottom w:val="thickThinSmallGap" w:color="800000" w:sz="12" w:space="0"/>
      </w:pBdr>
      <w:spacing w:line="360" w:lineRule="auto"/>
    </w:pPr>
    <w:r>
      <w:rPr>
        <w:rFonts w:hint="eastAsia" w:ascii="宋体" w:hAnsi="宋体" w:cs="宋体"/>
        <w:iCs/>
        <w:sz w:val="18"/>
        <w:szCs w:val="18"/>
      </w:rPr>
      <w:t>项目编号：</w:t>
    </w:r>
    <w:r>
      <w:rPr>
        <w:rFonts w:hint="eastAsia" w:cs="宋体"/>
        <w:iCs/>
        <w:sz w:val="18"/>
        <w:szCs w:val="18"/>
        <w:lang w:eastAsia="zh-CN"/>
      </w:rPr>
      <w:t>DXZB-2022-0636</w:t>
    </w:r>
    <w:r>
      <w:rPr>
        <w:rFonts w:hint="eastAsia" w:ascii="宋体" w:hAnsi="宋体" w:cs="宋体"/>
        <w:iCs/>
        <w:sz w:val="18"/>
        <w:szCs w:val="18"/>
      </w:rPr>
      <w: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3"/>
      <w:pBdr>
        <w:bottom w:val="thickThinSmallGap" w:color="622423" w:sz="24" w:space="1"/>
      </w:pBdr>
      <w:jc w:val="both"/>
      <w:rPr>
        <w:rFonts w:ascii="Cambria" w:hAnsi="Cambria"/>
        <w:sz w:val="2"/>
        <w:szCs w:val="32"/>
      </w:rPr>
    </w:pPr>
  </w:p>
  <w:p>
    <w:pPr>
      <w:pStyle w:val="23"/>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AE673"/>
    <w:multiLevelType w:val="singleLevel"/>
    <w:tmpl w:val="9C6AE673"/>
    <w:lvl w:ilvl="0" w:tentative="0">
      <w:start w:val="5"/>
      <w:numFmt w:val="chineseCounting"/>
      <w:suff w:val="nothing"/>
      <w:lvlText w:val="%1、"/>
      <w:lvlJc w:val="left"/>
      <w:rPr>
        <w:rFonts w:hint="eastAsia"/>
      </w:rPr>
    </w:lvl>
  </w:abstractNum>
  <w:abstractNum w:abstractNumId="1">
    <w:nsid w:val="CC3826D0"/>
    <w:multiLevelType w:val="singleLevel"/>
    <w:tmpl w:val="CC3826D0"/>
    <w:lvl w:ilvl="0" w:tentative="0">
      <w:start w:val="1"/>
      <w:numFmt w:val="chineseCounting"/>
      <w:suff w:val="nothing"/>
      <w:lvlText w:val="%1、"/>
      <w:lvlJc w:val="left"/>
      <w:rPr>
        <w:rFonts w:hint="eastAsia"/>
      </w:rPr>
    </w:lvl>
  </w:abstractNum>
  <w:abstractNum w:abstractNumId="2">
    <w:nsid w:val="093F5940"/>
    <w:multiLevelType w:val="multilevel"/>
    <w:tmpl w:val="093F5940"/>
    <w:lvl w:ilvl="0" w:tentative="0">
      <w:start w:val="1"/>
      <w:numFmt w:val="decimal"/>
      <w:lvlText w:val="%1．"/>
      <w:lvlJc w:val="left"/>
      <w:pPr>
        <w:tabs>
          <w:tab w:val="left" w:pos="840"/>
        </w:tabs>
        <w:ind w:left="840" w:hanging="36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AA5E6DA"/>
    <w:multiLevelType w:val="singleLevel"/>
    <w:tmpl w:val="0AA5E6DA"/>
    <w:lvl w:ilvl="0" w:tentative="0">
      <w:start w:val="1"/>
      <w:numFmt w:val="decimal"/>
      <w:lvlText w:val="(%1)"/>
      <w:lvlJc w:val="left"/>
      <w:pPr>
        <w:ind w:left="425" w:hanging="425"/>
      </w:pPr>
      <w:rPr>
        <w:rFonts w:hint="default"/>
      </w:rPr>
    </w:lvl>
  </w:abstractNum>
  <w:abstractNum w:abstractNumId="4">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6"/>
      <w:suff w:val="nothing"/>
      <w:lvlText w:val="%2. "/>
      <w:lvlJc w:val="left"/>
      <w:rPr>
        <w:rFonts w:hint="eastAsia"/>
        <w:b w:val="0"/>
        <w:i w:val="0"/>
        <w:sz w:val="24"/>
      </w:rPr>
    </w:lvl>
    <w:lvl w:ilvl="2" w:tentative="0">
      <w:start w:val="1"/>
      <w:numFmt w:val="none"/>
      <w:pStyle w:val="7"/>
      <w:suff w:val="nothing"/>
      <w:lvlText w:val=""/>
      <w:lvlJc w:val="left"/>
      <w:rPr>
        <w:rFonts w:hint="eastAsia"/>
      </w:rPr>
    </w:lvl>
    <w:lvl w:ilvl="3" w:tentative="0">
      <w:start w:val="1"/>
      <w:numFmt w:val="none"/>
      <w:pStyle w:val="8"/>
      <w:suff w:val="nothing"/>
      <w:lvlText w:val=""/>
      <w:lvlJc w:val="left"/>
      <w:rPr>
        <w:rFonts w:hint="eastAsia"/>
      </w:rPr>
    </w:lvl>
    <w:lvl w:ilvl="4" w:tentative="0">
      <w:start w:val="1"/>
      <w:numFmt w:val="none"/>
      <w:pStyle w:val="9"/>
      <w:suff w:val="nothing"/>
      <w:lvlText w:val=""/>
      <w:lvlJc w:val="left"/>
      <w:rPr>
        <w:rFonts w:hint="eastAsia"/>
      </w:rPr>
    </w:lvl>
    <w:lvl w:ilvl="5" w:tentative="0">
      <w:start w:val="1"/>
      <w:numFmt w:val="none"/>
      <w:pStyle w:val="10"/>
      <w:suff w:val="nothing"/>
      <w:lvlText w:val=""/>
      <w:lvlJc w:val="left"/>
      <w:rPr>
        <w:rFonts w:hint="eastAsia"/>
      </w:rPr>
    </w:lvl>
    <w:lvl w:ilvl="6" w:tentative="0">
      <w:start w:val="1"/>
      <w:numFmt w:val="none"/>
      <w:pStyle w:val="11"/>
      <w:suff w:val="nothing"/>
      <w:lvlText w:val=""/>
      <w:lvlJc w:val="left"/>
      <w:rPr>
        <w:rFonts w:hint="eastAsia"/>
      </w:rPr>
    </w:lvl>
    <w:lvl w:ilvl="7" w:tentative="0">
      <w:start w:val="1"/>
      <w:numFmt w:val="none"/>
      <w:pStyle w:val="12"/>
      <w:suff w:val="nothing"/>
      <w:lvlText w:val=""/>
      <w:lvlJc w:val="left"/>
      <w:rPr>
        <w:rFonts w:hint="eastAsia"/>
      </w:rPr>
    </w:lvl>
    <w:lvl w:ilvl="8" w:tentative="0">
      <w:start w:val="1"/>
      <w:numFmt w:val="none"/>
      <w:pStyle w:val="13"/>
      <w:suff w:val="nothing"/>
      <w:lvlText w:val=""/>
      <w:lvlJc w:val="left"/>
      <w:rPr>
        <w:rFonts w:hint="eastAsia"/>
      </w:rPr>
    </w:lvl>
  </w:abstractNum>
  <w:abstractNum w:abstractNumId="9">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7EEA8304"/>
    <w:multiLevelType w:val="singleLevel"/>
    <w:tmpl w:val="7EEA8304"/>
    <w:lvl w:ilvl="0" w:tentative="0">
      <w:start w:val="2"/>
      <w:numFmt w:val="chineseCounting"/>
      <w:suff w:val="nothing"/>
      <w:lvlText w:val="%1、"/>
      <w:lvlJc w:val="left"/>
      <w:rPr>
        <w:rFonts w:hint="eastAsia"/>
      </w:rPr>
    </w:lvl>
  </w:abstractNum>
  <w:num w:numId="1">
    <w:abstractNumId w:val="8"/>
  </w:num>
  <w:num w:numId="2">
    <w:abstractNumId w:val="1"/>
  </w:num>
  <w:num w:numId="3">
    <w:abstractNumId w:val="0"/>
  </w:num>
  <w:num w:numId="4">
    <w:abstractNumId w:val="3"/>
  </w:num>
  <w:num w:numId="5">
    <w:abstractNumId w:val="6"/>
  </w:num>
  <w:num w:numId="6">
    <w:abstractNumId w:val="4"/>
  </w:num>
  <w:num w:numId="7">
    <w:abstractNumId w:val="2"/>
  </w:num>
  <w:num w:numId="8">
    <w:abstractNumId w:val="10"/>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ZjRkODM4MWYzZjcwMjFlODUwMjIxNDdkOGQ4Njc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3738C"/>
    <w:rsid w:val="0004001D"/>
    <w:rsid w:val="00040DD9"/>
    <w:rsid w:val="00040E95"/>
    <w:rsid w:val="000441B8"/>
    <w:rsid w:val="00046D2B"/>
    <w:rsid w:val="00050ECC"/>
    <w:rsid w:val="0005680E"/>
    <w:rsid w:val="0006284D"/>
    <w:rsid w:val="0006414A"/>
    <w:rsid w:val="00065E9B"/>
    <w:rsid w:val="000667C7"/>
    <w:rsid w:val="00066E91"/>
    <w:rsid w:val="00070205"/>
    <w:rsid w:val="00070484"/>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1D77"/>
    <w:rsid w:val="000C7655"/>
    <w:rsid w:val="000D27B4"/>
    <w:rsid w:val="000D4303"/>
    <w:rsid w:val="000D4DAC"/>
    <w:rsid w:val="000D50FD"/>
    <w:rsid w:val="000E48C5"/>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94A"/>
    <w:rsid w:val="002253E2"/>
    <w:rsid w:val="00227943"/>
    <w:rsid w:val="00245F3C"/>
    <w:rsid w:val="002536A1"/>
    <w:rsid w:val="002536BF"/>
    <w:rsid w:val="002548D9"/>
    <w:rsid w:val="002655C1"/>
    <w:rsid w:val="00272618"/>
    <w:rsid w:val="0027321B"/>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575C2"/>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99E"/>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039B"/>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B71D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0D52"/>
    <w:rsid w:val="00556077"/>
    <w:rsid w:val="0057178F"/>
    <w:rsid w:val="00581AF0"/>
    <w:rsid w:val="00582B36"/>
    <w:rsid w:val="005847A2"/>
    <w:rsid w:val="00585A37"/>
    <w:rsid w:val="00590E91"/>
    <w:rsid w:val="005A35CC"/>
    <w:rsid w:val="005A66C1"/>
    <w:rsid w:val="005B02E9"/>
    <w:rsid w:val="005B2A43"/>
    <w:rsid w:val="005B4930"/>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3EAF"/>
    <w:rsid w:val="00634344"/>
    <w:rsid w:val="00635F2D"/>
    <w:rsid w:val="00644164"/>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E67B0"/>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0F"/>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3C69"/>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53E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C3B5A"/>
    <w:rsid w:val="009D1D58"/>
    <w:rsid w:val="009D1ECB"/>
    <w:rsid w:val="009D71CB"/>
    <w:rsid w:val="009E0A11"/>
    <w:rsid w:val="009E1C5D"/>
    <w:rsid w:val="009E2E7B"/>
    <w:rsid w:val="009F139E"/>
    <w:rsid w:val="009F6E04"/>
    <w:rsid w:val="00A0332C"/>
    <w:rsid w:val="00A05A86"/>
    <w:rsid w:val="00A06EC0"/>
    <w:rsid w:val="00A075E9"/>
    <w:rsid w:val="00A24665"/>
    <w:rsid w:val="00A259EB"/>
    <w:rsid w:val="00A33206"/>
    <w:rsid w:val="00A35C07"/>
    <w:rsid w:val="00A374C8"/>
    <w:rsid w:val="00A418E8"/>
    <w:rsid w:val="00A43598"/>
    <w:rsid w:val="00A437B8"/>
    <w:rsid w:val="00A4386D"/>
    <w:rsid w:val="00A45DB5"/>
    <w:rsid w:val="00A46E97"/>
    <w:rsid w:val="00A55D2A"/>
    <w:rsid w:val="00A63D55"/>
    <w:rsid w:val="00A67042"/>
    <w:rsid w:val="00A70EEF"/>
    <w:rsid w:val="00A7203D"/>
    <w:rsid w:val="00A803B6"/>
    <w:rsid w:val="00A82361"/>
    <w:rsid w:val="00A87420"/>
    <w:rsid w:val="00A92CF6"/>
    <w:rsid w:val="00AA262B"/>
    <w:rsid w:val="00AA390A"/>
    <w:rsid w:val="00AB21A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44A76"/>
    <w:rsid w:val="00B51CED"/>
    <w:rsid w:val="00B5241A"/>
    <w:rsid w:val="00B53971"/>
    <w:rsid w:val="00B60DD8"/>
    <w:rsid w:val="00B63F47"/>
    <w:rsid w:val="00B64A94"/>
    <w:rsid w:val="00B67F1C"/>
    <w:rsid w:val="00B764F1"/>
    <w:rsid w:val="00B846DF"/>
    <w:rsid w:val="00B86BD1"/>
    <w:rsid w:val="00B90F0C"/>
    <w:rsid w:val="00B934D9"/>
    <w:rsid w:val="00B97D95"/>
    <w:rsid w:val="00BA6F4E"/>
    <w:rsid w:val="00BB1BAC"/>
    <w:rsid w:val="00BB5B7B"/>
    <w:rsid w:val="00BB6B77"/>
    <w:rsid w:val="00BC0520"/>
    <w:rsid w:val="00BC0E84"/>
    <w:rsid w:val="00BC6060"/>
    <w:rsid w:val="00BD5E75"/>
    <w:rsid w:val="00BD6619"/>
    <w:rsid w:val="00BE0730"/>
    <w:rsid w:val="00BE4A8E"/>
    <w:rsid w:val="00BE77AB"/>
    <w:rsid w:val="00BF35CA"/>
    <w:rsid w:val="00BF5832"/>
    <w:rsid w:val="00C054E7"/>
    <w:rsid w:val="00C07B8A"/>
    <w:rsid w:val="00C12968"/>
    <w:rsid w:val="00C32E4B"/>
    <w:rsid w:val="00C36A77"/>
    <w:rsid w:val="00C371AD"/>
    <w:rsid w:val="00C42D35"/>
    <w:rsid w:val="00C45EEB"/>
    <w:rsid w:val="00C46CDF"/>
    <w:rsid w:val="00C52700"/>
    <w:rsid w:val="00C54A08"/>
    <w:rsid w:val="00C62A11"/>
    <w:rsid w:val="00C62CD6"/>
    <w:rsid w:val="00C650A8"/>
    <w:rsid w:val="00C65E87"/>
    <w:rsid w:val="00C666DF"/>
    <w:rsid w:val="00C7025E"/>
    <w:rsid w:val="00C76420"/>
    <w:rsid w:val="00C77ED3"/>
    <w:rsid w:val="00C80C14"/>
    <w:rsid w:val="00C81B84"/>
    <w:rsid w:val="00C86011"/>
    <w:rsid w:val="00C940C5"/>
    <w:rsid w:val="00C96281"/>
    <w:rsid w:val="00CA1329"/>
    <w:rsid w:val="00CA2F66"/>
    <w:rsid w:val="00CB0EF3"/>
    <w:rsid w:val="00CB583A"/>
    <w:rsid w:val="00CC2BA1"/>
    <w:rsid w:val="00CC5803"/>
    <w:rsid w:val="00CC6A11"/>
    <w:rsid w:val="00CC741D"/>
    <w:rsid w:val="00CC7C85"/>
    <w:rsid w:val="00CD36BB"/>
    <w:rsid w:val="00CD426A"/>
    <w:rsid w:val="00CD4F45"/>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2857"/>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57C0"/>
    <w:rsid w:val="00E871B3"/>
    <w:rsid w:val="00E87D32"/>
    <w:rsid w:val="00E9123C"/>
    <w:rsid w:val="00E9167E"/>
    <w:rsid w:val="00E921C1"/>
    <w:rsid w:val="00E96954"/>
    <w:rsid w:val="00EA7BA2"/>
    <w:rsid w:val="00EB775D"/>
    <w:rsid w:val="00EC1708"/>
    <w:rsid w:val="00ED4478"/>
    <w:rsid w:val="00EE44C4"/>
    <w:rsid w:val="00EF319E"/>
    <w:rsid w:val="00EF4B33"/>
    <w:rsid w:val="00EF6A73"/>
    <w:rsid w:val="00F0072B"/>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85137"/>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78220A"/>
    <w:rsid w:val="0189320A"/>
    <w:rsid w:val="01A56443"/>
    <w:rsid w:val="01AB3AA0"/>
    <w:rsid w:val="01C50DDC"/>
    <w:rsid w:val="01CD297D"/>
    <w:rsid w:val="01D65EFD"/>
    <w:rsid w:val="01E769E8"/>
    <w:rsid w:val="01EE30AA"/>
    <w:rsid w:val="01EE7A0F"/>
    <w:rsid w:val="01F651BC"/>
    <w:rsid w:val="0201126D"/>
    <w:rsid w:val="02347A1C"/>
    <w:rsid w:val="02397124"/>
    <w:rsid w:val="02647F5C"/>
    <w:rsid w:val="029244FB"/>
    <w:rsid w:val="02AD28D6"/>
    <w:rsid w:val="02CF418E"/>
    <w:rsid w:val="02D96825"/>
    <w:rsid w:val="02E2344D"/>
    <w:rsid w:val="02F74989"/>
    <w:rsid w:val="02F80F87"/>
    <w:rsid w:val="030003A8"/>
    <w:rsid w:val="03097C8D"/>
    <w:rsid w:val="030C49F8"/>
    <w:rsid w:val="03547B3F"/>
    <w:rsid w:val="037078B5"/>
    <w:rsid w:val="0380770F"/>
    <w:rsid w:val="03830013"/>
    <w:rsid w:val="03E54022"/>
    <w:rsid w:val="03FF1903"/>
    <w:rsid w:val="04037D8F"/>
    <w:rsid w:val="04071F1F"/>
    <w:rsid w:val="040D1833"/>
    <w:rsid w:val="041706DA"/>
    <w:rsid w:val="0417770D"/>
    <w:rsid w:val="041B757D"/>
    <w:rsid w:val="043320CC"/>
    <w:rsid w:val="045F14A6"/>
    <w:rsid w:val="0467278C"/>
    <w:rsid w:val="048064C5"/>
    <w:rsid w:val="048A0A75"/>
    <w:rsid w:val="04962A45"/>
    <w:rsid w:val="049B4799"/>
    <w:rsid w:val="04A2507E"/>
    <w:rsid w:val="04C17323"/>
    <w:rsid w:val="04D412D1"/>
    <w:rsid w:val="04E15220"/>
    <w:rsid w:val="04EC18F5"/>
    <w:rsid w:val="04F50A25"/>
    <w:rsid w:val="04FB5FAF"/>
    <w:rsid w:val="04FC2A6D"/>
    <w:rsid w:val="04FD3CA3"/>
    <w:rsid w:val="05044FA9"/>
    <w:rsid w:val="05156BD2"/>
    <w:rsid w:val="053E45F8"/>
    <w:rsid w:val="05444412"/>
    <w:rsid w:val="057562B2"/>
    <w:rsid w:val="05B8172D"/>
    <w:rsid w:val="05B90281"/>
    <w:rsid w:val="05ED4B25"/>
    <w:rsid w:val="06116529"/>
    <w:rsid w:val="064A6281"/>
    <w:rsid w:val="06627892"/>
    <w:rsid w:val="069D7875"/>
    <w:rsid w:val="07113257"/>
    <w:rsid w:val="07247731"/>
    <w:rsid w:val="07662BE0"/>
    <w:rsid w:val="07692B79"/>
    <w:rsid w:val="076F4832"/>
    <w:rsid w:val="0773193A"/>
    <w:rsid w:val="079D7A2D"/>
    <w:rsid w:val="07C80EC2"/>
    <w:rsid w:val="07D92266"/>
    <w:rsid w:val="07E01746"/>
    <w:rsid w:val="082D78E1"/>
    <w:rsid w:val="082E2CCD"/>
    <w:rsid w:val="08345422"/>
    <w:rsid w:val="08471964"/>
    <w:rsid w:val="084C03B9"/>
    <w:rsid w:val="085C3D93"/>
    <w:rsid w:val="085D1644"/>
    <w:rsid w:val="087267BF"/>
    <w:rsid w:val="08762B02"/>
    <w:rsid w:val="08AE3B2A"/>
    <w:rsid w:val="08B02EA7"/>
    <w:rsid w:val="08B30C78"/>
    <w:rsid w:val="08BC2723"/>
    <w:rsid w:val="094A6EEA"/>
    <w:rsid w:val="094D2245"/>
    <w:rsid w:val="095836BC"/>
    <w:rsid w:val="09590E34"/>
    <w:rsid w:val="09746041"/>
    <w:rsid w:val="09763233"/>
    <w:rsid w:val="097B5DCA"/>
    <w:rsid w:val="098E03C2"/>
    <w:rsid w:val="098F7770"/>
    <w:rsid w:val="099026D1"/>
    <w:rsid w:val="09905E50"/>
    <w:rsid w:val="09A54945"/>
    <w:rsid w:val="09B51C85"/>
    <w:rsid w:val="09C35057"/>
    <w:rsid w:val="09E77747"/>
    <w:rsid w:val="09E85817"/>
    <w:rsid w:val="09EA4B6E"/>
    <w:rsid w:val="0A2F518A"/>
    <w:rsid w:val="0A371A0E"/>
    <w:rsid w:val="0A3D2EAB"/>
    <w:rsid w:val="0A4A5A8D"/>
    <w:rsid w:val="0A8C2584"/>
    <w:rsid w:val="0A9C4FB3"/>
    <w:rsid w:val="0ACD7D47"/>
    <w:rsid w:val="0ACE4103"/>
    <w:rsid w:val="0ADB3FCA"/>
    <w:rsid w:val="0AE5751D"/>
    <w:rsid w:val="0AED05FA"/>
    <w:rsid w:val="0AFE07C5"/>
    <w:rsid w:val="0B0F109D"/>
    <w:rsid w:val="0B1124A5"/>
    <w:rsid w:val="0B226DDC"/>
    <w:rsid w:val="0B2F28DA"/>
    <w:rsid w:val="0B3C265F"/>
    <w:rsid w:val="0B5D0A9A"/>
    <w:rsid w:val="0B7B4CAA"/>
    <w:rsid w:val="0B845D3C"/>
    <w:rsid w:val="0B8E7C60"/>
    <w:rsid w:val="0BAE745B"/>
    <w:rsid w:val="0BB96288"/>
    <w:rsid w:val="0BDC1A52"/>
    <w:rsid w:val="0BF635D7"/>
    <w:rsid w:val="0C105FBA"/>
    <w:rsid w:val="0C1676BE"/>
    <w:rsid w:val="0C185372"/>
    <w:rsid w:val="0C293726"/>
    <w:rsid w:val="0C322DE7"/>
    <w:rsid w:val="0C342F3D"/>
    <w:rsid w:val="0C6C58BB"/>
    <w:rsid w:val="0C6D0317"/>
    <w:rsid w:val="0C8F7EB1"/>
    <w:rsid w:val="0CC21881"/>
    <w:rsid w:val="0CC82EB8"/>
    <w:rsid w:val="0CD6721B"/>
    <w:rsid w:val="0D58687D"/>
    <w:rsid w:val="0D7F6CC7"/>
    <w:rsid w:val="0D8C47DB"/>
    <w:rsid w:val="0DA66E0F"/>
    <w:rsid w:val="0DAC6FBF"/>
    <w:rsid w:val="0DB17CAD"/>
    <w:rsid w:val="0DD439AA"/>
    <w:rsid w:val="0DE63B48"/>
    <w:rsid w:val="0E1423CD"/>
    <w:rsid w:val="0E3C7156"/>
    <w:rsid w:val="0E50761D"/>
    <w:rsid w:val="0E5F1F06"/>
    <w:rsid w:val="0E63336D"/>
    <w:rsid w:val="0E69074A"/>
    <w:rsid w:val="0E782F8A"/>
    <w:rsid w:val="0E884F40"/>
    <w:rsid w:val="0E8C268B"/>
    <w:rsid w:val="0E8D0711"/>
    <w:rsid w:val="0E8E31F2"/>
    <w:rsid w:val="0E9031BA"/>
    <w:rsid w:val="0EBC4B74"/>
    <w:rsid w:val="0EC246B0"/>
    <w:rsid w:val="0ECB29A1"/>
    <w:rsid w:val="0ECE0FD1"/>
    <w:rsid w:val="0EE5425F"/>
    <w:rsid w:val="0EE64FA5"/>
    <w:rsid w:val="0F110754"/>
    <w:rsid w:val="0F140C49"/>
    <w:rsid w:val="0F186D50"/>
    <w:rsid w:val="0F613226"/>
    <w:rsid w:val="0F681502"/>
    <w:rsid w:val="0F8A505F"/>
    <w:rsid w:val="0F964006"/>
    <w:rsid w:val="0FC45D13"/>
    <w:rsid w:val="0FF83DDD"/>
    <w:rsid w:val="0FFD495E"/>
    <w:rsid w:val="10565096"/>
    <w:rsid w:val="10785F2D"/>
    <w:rsid w:val="10834931"/>
    <w:rsid w:val="10DE10F0"/>
    <w:rsid w:val="10E24776"/>
    <w:rsid w:val="10F44895"/>
    <w:rsid w:val="11751FF3"/>
    <w:rsid w:val="117B0B31"/>
    <w:rsid w:val="117F3220"/>
    <w:rsid w:val="11CA2DF2"/>
    <w:rsid w:val="11D0688F"/>
    <w:rsid w:val="11F05C6C"/>
    <w:rsid w:val="11F9567A"/>
    <w:rsid w:val="11FB2883"/>
    <w:rsid w:val="120435E2"/>
    <w:rsid w:val="1211491E"/>
    <w:rsid w:val="124C041F"/>
    <w:rsid w:val="12537217"/>
    <w:rsid w:val="127D1126"/>
    <w:rsid w:val="128F495D"/>
    <w:rsid w:val="12997611"/>
    <w:rsid w:val="129D0F6C"/>
    <w:rsid w:val="12A13910"/>
    <w:rsid w:val="12B72C37"/>
    <w:rsid w:val="12B85D4A"/>
    <w:rsid w:val="12C71F43"/>
    <w:rsid w:val="12DF36C1"/>
    <w:rsid w:val="131273BD"/>
    <w:rsid w:val="132E178F"/>
    <w:rsid w:val="1331619B"/>
    <w:rsid w:val="133D0486"/>
    <w:rsid w:val="135521CC"/>
    <w:rsid w:val="13665575"/>
    <w:rsid w:val="13A03BEF"/>
    <w:rsid w:val="13B72F45"/>
    <w:rsid w:val="13BA6C2D"/>
    <w:rsid w:val="13FE12A7"/>
    <w:rsid w:val="141E3339"/>
    <w:rsid w:val="144D5C93"/>
    <w:rsid w:val="145D10D1"/>
    <w:rsid w:val="146A25E3"/>
    <w:rsid w:val="146F6F4C"/>
    <w:rsid w:val="14DC5DA5"/>
    <w:rsid w:val="14DD26C3"/>
    <w:rsid w:val="14ED72D8"/>
    <w:rsid w:val="14F71FE3"/>
    <w:rsid w:val="1507427F"/>
    <w:rsid w:val="15194EDA"/>
    <w:rsid w:val="15256DF0"/>
    <w:rsid w:val="152E7217"/>
    <w:rsid w:val="154C71B8"/>
    <w:rsid w:val="15660E87"/>
    <w:rsid w:val="156F6372"/>
    <w:rsid w:val="159145AB"/>
    <w:rsid w:val="15972CCB"/>
    <w:rsid w:val="15A37ECF"/>
    <w:rsid w:val="15B14E3E"/>
    <w:rsid w:val="15C26EE4"/>
    <w:rsid w:val="15E76CF1"/>
    <w:rsid w:val="15EC611D"/>
    <w:rsid w:val="164A3BA7"/>
    <w:rsid w:val="165F2A2B"/>
    <w:rsid w:val="166D6FE3"/>
    <w:rsid w:val="16755F58"/>
    <w:rsid w:val="16821978"/>
    <w:rsid w:val="1682472E"/>
    <w:rsid w:val="16C62E8B"/>
    <w:rsid w:val="16DC2C5C"/>
    <w:rsid w:val="16E66743"/>
    <w:rsid w:val="16E853FD"/>
    <w:rsid w:val="16FF3FC1"/>
    <w:rsid w:val="174B5ECC"/>
    <w:rsid w:val="175B19F7"/>
    <w:rsid w:val="17691180"/>
    <w:rsid w:val="17790568"/>
    <w:rsid w:val="177F3AD4"/>
    <w:rsid w:val="17873B4F"/>
    <w:rsid w:val="17C75BA0"/>
    <w:rsid w:val="17E631DA"/>
    <w:rsid w:val="17ED059D"/>
    <w:rsid w:val="17EE075C"/>
    <w:rsid w:val="17F10BC4"/>
    <w:rsid w:val="18155AE0"/>
    <w:rsid w:val="182477B9"/>
    <w:rsid w:val="182A2FC2"/>
    <w:rsid w:val="18483087"/>
    <w:rsid w:val="185E67AF"/>
    <w:rsid w:val="18656C37"/>
    <w:rsid w:val="18993DB4"/>
    <w:rsid w:val="18C44C17"/>
    <w:rsid w:val="18CA4140"/>
    <w:rsid w:val="18CE00A4"/>
    <w:rsid w:val="18E641A6"/>
    <w:rsid w:val="18F0166E"/>
    <w:rsid w:val="18F5302E"/>
    <w:rsid w:val="192C7DCB"/>
    <w:rsid w:val="193A060D"/>
    <w:rsid w:val="19562ED3"/>
    <w:rsid w:val="19606CB7"/>
    <w:rsid w:val="196E3F5B"/>
    <w:rsid w:val="19703E43"/>
    <w:rsid w:val="197E4F2B"/>
    <w:rsid w:val="19995D57"/>
    <w:rsid w:val="199A2AE7"/>
    <w:rsid w:val="19B06EA1"/>
    <w:rsid w:val="19B85299"/>
    <w:rsid w:val="19E10FE6"/>
    <w:rsid w:val="19E44EC9"/>
    <w:rsid w:val="19EC42A3"/>
    <w:rsid w:val="19FF7BC8"/>
    <w:rsid w:val="1A1D13E3"/>
    <w:rsid w:val="1A330456"/>
    <w:rsid w:val="1A3C557B"/>
    <w:rsid w:val="1A42676E"/>
    <w:rsid w:val="1A8917D5"/>
    <w:rsid w:val="1A8B7D2B"/>
    <w:rsid w:val="1A9164AA"/>
    <w:rsid w:val="1A973062"/>
    <w:rsid w:val="1A9C75CB"/>
    <w:rsid w:val="1ADE304A"/>
    <w:rsid w:val="1AE70796"/>
    <w:rsid w:val="1AF66F95"/>
    <w:rsid w:val="1AFF1222"/>
    <w:rsid w:val="1B093549"/>
    <w:rsid w:val="1B1122E5"/>
    <w:rsid w:val="1B18039B"/>
    <w:rsid w:val="1B5C0261"/>
    <w:rsid w:val="1B5E75AD"/>
    <w:rsid w:val="1B6F20A6"/>
    <w:rsid w:val="1BC477DB"/>
    <w:rsid w:val="1BD24C1D"/>
    <w:rsid w:val="1BE15931"/>
    <w:rsid w:val="1BE76984"/>
    <w:rsid w:val="1BF5501A"/>
    <w:rsid w:val="1C15426E"/>
    <w:rsid w:val="1C2E4559"/>
    <w:rsid w:val="1C4E1C66"/>
    <w:rsid w:val="1C5003E5"/>
    <w:rsid w:val="1C6908B9"/>
    <w:rsid w:val="1CC10718"/>
    <w:rsid w:val="1CC80D14"/>
    <w:rsid w:val="1CD52D62"/>
    <w:rsid w:val="1CDA34AC"/>
    <w:rsid w:val="1CE10F52"/>
    <w:rsid w:val="1CED447E"/>
    <w:rsid w:val="1CF21D48"/>
    <w:rsid w:val="1CF6086D"/>
    <w:rsid w:val="1D010EE9"/>
    <w:rsid w:val="1D08202C"/>
    <w:rsid w:val="1D0E1572"/>
    <w:rsid w:val="1D244FD8"/>
    <w:rsid w:val="1D2C3B04"/>
    <w:rsid w:val="1D2D1CE8"/>
    <w:rsid w:val="1D500EB4"/>
    <w:rsid w:val="1D5839FB"/>
    <w:rsid w:val="1D6F5BD7"/>
    <w:rsid w:val="1D812150"/>
    <w:rsid w:val="1DB921C7"/>
    <w:rsid w:val="1DBA6E46"/>
    <w:rsid w:val="1DBD6AA7"/>
    <w:rsid w:val="1DC15F96"/>
    <w:rsid w:val="1DD12EB7"/>
    <w:rsid w:val="1DF41B51"/>
    <w:rsid w:val="1DF74B50"/>
    <w:rsid w:val="1E02187A"/>
    <w:rsid w:val="1E0667FA"/>
    <w:rsid w:val="1E3D5862"/>
    <w:rsid w:val="1E570CEF"/>
    <w:rsid w:val="1E73525A"/>
    <w:rsid w:val="1E952B1F"/>
    <w:rsid w:val="1EC703C2"/>
    <w:rsid w:val="1EC97423"/>
    <w:rsid w:val="1F2111C5"/>
    <w:rsid w:val="1F6E0F4A"/>
    <w:rsid w:val="1F94756D"/>
    <w:rsid w:val="1F9545C4"/>
    <w:rsid w:val="1F9A1FF2"/>
    <w:rsid w:val="1FFA3E3B"/>
    <w:rsid w:val="202C0826"/>
    <w:rsid w:val="20404D71"/>
    <w:rsid w:val="204103B1"/>
    <w:rsid w:val="206D4F8D"/>
    <w:rsid w:val="206F1250"/>
    <w:rsid w:val="206F688E"/>
    <w:rsid w:val="20847053"/>
    <w:rsid w:val="20971681"/>
    <w:rsid w:val="209D4AF5"/>
    <w:rsid w:val="20EF788A"/>
    <w:rsid w:val="20F41434"/>
    <w:rsid w:val="210819EE"/>
    <w:rsid w:val="2117195B"/>
    <w:rsid w:val="2129373F"/>
    <w:rsid w:val="213C63D8"/>
    <w:rsid w:val="21491F10"/>
    <w:rsid w:val="21583FA6"/>
    <w:rsid w:val="21636C1E"/>
    <w:rsid w:val="217A5C4D"/>
    <w:rsid w:val="217F190B"/>
    <w:rsid w:val="21934B72"/>
    <w:rsid w:val="21C45C8C"/>
    <w:rsid w:val="21E44418"/>
    <w:rsid w:val="21E57AB2"/>
    <w:rsid w:val="225E4AE5"/>
    <w:rsid w:val="226A624F"/>
    <w:rsid w:val="22833F45"/>
    <w:rsid w:val="22A24A50"/>
    <w:rsid w:val="22B16385"/>
    <w:rsid w:val="22D16A7A"/>
    <w:rsid w:val="230A2371"/>
    <w:rsid w:val="23265166"/>
    <w:rsid w:val="234609BC"/>
    <w:rsid w:val="23510B0B"/>
    <w:rsid w:val="235A6683"/>
    <w:rsid w:val="23A00ABD"/>
    <w:rsid w:val="23B54349"/>
    <w:rsid w:val="23B96FAA"/>
    <w:rsid w:val="23C04F69"/>
    <w:rsid w:val="23C84A29"/>
    <w:rsid w:val="23D254F1"/>
    <w:rsid w:val="23D70783"/>
    <w:rsid w:val="23EE069A"/>
    <w:rsid w:val="23F958D9"/>
    <w:rsid w:val="2405179C"/>
    <w:rsid w:val="241576B1"/>
    <w:rsid w:val="24191A47"/>
    <w:rsid w:val="241C0851"/>
    <w:rsid w:val="243E62BB"/>
    <w:rsid w:val="24647744"/>
    <w:rsid w:val="24690B75"/>
    <w:rsid w:val="246C05BE"/>
    <w:rsid w:val="247D735A"/>
    <w:rsid w:val="249906BE"/>
    <w:rsid w:val="24BB5514"/>
    <w:rsid w:val="24E74082"/>
    <w:rsid w:val="24E8320B"/>
    <w:rsid w:val="24FC0DE8"/>
    <w:rsid w:val="250F7D12"/>
    <w:rsid w:val="25165274"/>
    <w:rsid w:val="2522067A"/>
    <w:rsid w:val="25264516"/>
    <w:rsid w:val="253407EE"/>
    <w:rsid w:val="253E055F"/>
    <w:rsid w:val="2563054C"/>
    <w:rsid w:val="25671DC1"/>
    <w:rsid w:val="25787D54"/>
    <w:rsid w:val="257F263A"/>
    <w:rsid w:val="25A212E5"/>
    <w:rsid w:val="25A84A29"/>
    <w:rsid w:val="25CF50FA"/>
    <w:rsid w:val="25EB367F"/>
    <w:rsid w:val="25F6331E"/>
    <w:rsid w:val="25FE2C3F"/>
    <w:rsid w:val="2603303D"/>
    <w:rsid w:val="26087985"/>
    <w:rsid w:val="262127CB"/>
    <w:rsid w:val="264C7082"/>
    <w:rsid w:val="266C2B28"/>
    <w:rsid w:val="268930A8"/>
    <w:rsid w:val="26C97037"/>
    <w:rsid w:val="26D15C9F"/>
    <w:rsid w:val="26D45655"/>
    <w:rsid w:val="26E6480B"/>
    <w:rsid w:val="26F27C5A"/>
    <w:rsid w:val="270663AA"/>
    <w:rsid w:val="271670FF"/>
    <w:rsid w:val="27210691"/>
    <w:rsid w:val="273A7479"/>
    <w:rsid w:val="27490341"/>
    <w:rsid w:val="27500275"/>
    <w:rsid w:val="27556EC6"/>
    <w:rsid w:val="276D0D81"/>
    <w:rsid w:val="279E46E3"/>
    <w:rsid w:val="27A46096"/>
    <w:rsid w:val="27A75E71"/>
    <w:rsid w:val="27A95FBE"/>
    <w:rsid w:val="27C44DD4"/>
    <w:rsid w:val="27D86803"/>
    <w:rsid w:val="27DE0171"/>
    <w:rsid w:val="280621E8"/>
    <w:rsid w:val="280B0492"/>
    <w:rsid w:val="2811572E"/>
    <w:rsid w:val="281711C2"/>
    <w:rsid w:val="281A6B87"/>
    <w:rsid w:val="282711D5"/>
    <w:rsid w:val="28353772"/>
    <w:rsid w:val="285942FF"/>
    <w:rsid w:val="287A0447"/>
    <w:rsid w:val="288E76DA"/>
    <w:rsid w:val="28A25D16"/>
    <w:rsid w:val="28AE2B9D"/>
    <w:rsid w:val="28C0664B"/>
    <w:rsid w:val="28C211BC"/>
    <w:rsid w:val="28C349EC"/>
    <w:rsid w:val="28C95F26"/>
    <w:rsid w:val="28E15AC8"/>
    <w:rsid w:val="28EB12E8"/>
    <w:rsid w:val="290D7719"/>
    <w:rsid w:val="2920604A"/>
    <w:rsid w:val="29325800"/>
    <w:rsid w:val="293D5F14"/>
    <w:rsid w:val="295F099F"/>
    <w:rsid w:val="296916E0"/>
    <w:rsid w:val="296C5D77"/>
    <w:rsid w:val="297209C2"/>
    <w:rsid w:val="29730B7A"/>
    <w:rsid w:val="298B5187"/>
    <w:rsid w:val="29CA1018"/>
    <w:rsid w:val="29D3353D"/>
    <w:rsid w:val="29E0402F"/>
    <w:rsid w:val="29F34945"/>
    <w:rsid w:val="29F43279"/>
    <w:rsid w:val="29FB50E1"/>
    <w:rsid w:val="2A5B5061"/>
    <w:rsid w:val="2AAC0C9A"/>
    <w:rsid w:val="2AD2475E"/>
    <w:rsid w:val="2AD75985"/>
    <w:rsid w:val="2AE2464F"/>
    <w:rsid w:val="2B006133"/>
    <w:rsid w:val="2B0375F6"/>
    <w:rsid w:val="2B0E58B3"/>
    <w:rsid w:val="2B19388A"/>
    <w:rsid w:val="2B1D4881"/>
    <w:rsid w:val="2B460DBC"/>
    <w:rsid w:val="2B947512"/>
    <w:rsid w:val="2BA84E42"/>
    <w:rsid w:val="2BCF1DC4"/>
    <w:rsid w:val="2BFA3D4C"/>
    <w:rsid w:val="2C151392"/>
    <w:rsid w:val="2C183CF0"/>
    <w:rsid w:val="2C240068"/>
    <w:rsid w:val="2C3541D9"/>
    <w:rsid w:val="2C451BCC"/>
    <w:rsid w:val="2C474CBB"/>
    <w:rsid w:val="2C56051E"/>
    <w:rsid w:val="2C7824F5"/>
    <w:rsid w:val="2CB832AE"/>
    <w:rsid w:val="2CC358D1"/>
    <w:rsid w:val="2CDF3BD8"/>
    <w:rsid w:val="2CE35D7E"/>
    <w:rsid w:val="2D1C700A"/>
    <w:rsid w:val="2D266144"/>
    <w:rsid w:val="2D271B45"/>
    <w:rsid w:val="2D365D86"/>
    <w:rsid w:val="2D5E2490"/>
    <w:rsid w:val="2D6F2ACB"/>
    <w:rsid w:val="2D714A87"/>
    <w:rsid w:val="2D8C1D3A"/>
    <w:rsid w:val="2D8D0DE1"/>
    <w:rsid w:val="2D92255C"/>
    <w:rsid w:val="2DA042DD"/>
    <w:rsid w:val="2DB52C7E"/>
    <w:rsid w:val="2DD446D4"/>
    <w:rsid w:val="2DDF0140"/>
    <w:rsid w:val="2DFF0077"/>
    <w:rsid w:val="2E1F28B1"/>
    <w:rsid w:val="2E297FC5"/>
    <w:rsid w:val="2EBC2EE1"/>
    <w:rsid w:val="2ECD7FC9"/>
    <w:rsid w:val="2EFE1EC6"/>
    <w:rsid w:val="2F063D04"/>
    <w:rsid w:val="2F1347B6"/>
    <w:rsid w:val="2F237FB7"/>
    <w:rsid w:val="2F392C66"/>
    <w:rsid w:val="2F5844A0"/>
    <w:rsid w:val="2F5A7F21"/>
    <w:rsid w:val="2F78035F"/>
    <w:rsid w:val="2F7C18E7"/>
    <w:rsid w:val="2F8E1AD6"/>
    <w:rsid w:val="2FDA74C5"/>
    <w:rsid w:val="2FE06616"/>
    <w:rsid w:val="2FED0A8D"/>
    <w:rsid w:val="30002592"/>
    <w:rsid w:val="30053242"/>
    <w:rsid w:val="300E62A2"/>
    <w:rsid w:val="302F5817"/>
    <w:rsid w:val="30525E31"/>
    <w:rsid w:val="305F12FF"/>
    <w:rsid w:val="307A2015"/>
    <w:rsid w:val="308158B5"/>
    <w:rsid w:val="3087288E"/>
    <w:rsid w:val="30933E6E"/>
    <w:rsid w:val="309A7DC8"/>
    <w:rsid w:val="30A61A30"/>
    <w:rsid w:val="30D82079"/>
    <w:rsid w:val="30F751F7"/>
    <w:rsid w:val="310C53FF"/>
    <w:rsid w:val="31293084"/>
    <w:rsid w:val="31587237"/>
    <w:rsid w:val="316134D7"/>
    <w:rsid w:val="316B6BD3"/>
    <w:rsid w:val="317B744E"/>
    <w:rsid w:val="31A35604"/>
    <w:rsid w:val="31A737AC"/>
    <w:rsid w:val="31AB0892"/>
    <w:rsid w:val="31B431CE"/>
    <w:rsid w:val="31BB7B0A"/>
    <w:rsid w:val="31BB7CC9"/>
    <w:rsid w:val="31F91DFD"/>
    <w:rsid w:val="320D33A1"/>
    <w:rsid w:val="32282643"/>
    <w:rsid w:val="322C5BA3"/>
    <w:rsid w:val="322E250A"/>
    <w:rsid w:val="3248769B"/>
    <w:rsid w:val="32635A33"/>
    <w:rsid w:val="3268180D"/>
    <w:rsid w:val="327878BE"/>
    <w:rsid w:val="32866574"/>
    <w:rsid w:val="329F7C39"/>
    <w:rsid w:val="32C138A6"/>
    <w:rsid w:val="32C95857"/>
    <w:rsid w:val="32D035C6"/>
    <w:rsid w:val="32D66BD5"/>
    <w:rsid w:val="32E739BA"/>
    <w:rsid w:val="3318037B"/>
    <w:rsid w:val="332863EC"/>
    <w:rsid w:val="3344160E"/>
    <w:rsid w:val="335D46C1"/>
    <w:rsid w:val="33846E74"/>
    <w:rsid w:val="339539B4"/>
    <w:rsid w:val="33A36381"/>
    <w:rsid w:val="33B200D0"/>
    <w:rsid w:val="33D67874"/>
    <w:rsid w:val="33DC25A1"/>
    <w:rsid w:val="33E271F8"/>
    <w:rsid w:val="33EA3694"/>
    <w:rsid w:val="33EE0CD6"/>
    <w:rsid w:val="33F5326F"/>
    <w:rsid w:val="33FB716D"/>
    <w:rsid w:val="3405682B"/>
    <w:rsid w:val="343407E0"/>
    <w:rsid w:val="347B63DA"/>
    <w:rsid w:val="347D73B7"/>
    <w:rsid w:val="347E631A"/>
    <w:rsid w:val="348C47B5"/>
    <w:rsid w:val="34964305"/>
    <w:rsid w:val="34A54C67"/>
    <w:rsid w:val="34A87987"/>
    <w:rsid w:val="34C47575"/>
    <w:rsid w:val="34CF5FF3"/>
    <w:rsid w:val="34D00287"/>
    <w:rsid w:val="34D938B2"/>
    <w:rsid w:val="34F657B1"/>
    <w:rsid w:val="350212F4"/>
    <w:rsid w:val="350907A7"/>
    <w:rsid w:val="352003F6"/>
    <w:rsid w:val="35283069"/>
    <w:rsid w:val="352D4838"/>
    <w:rsid w:val="35324C13"/>
    <w:rsid w:val="35A6188F"/>
    <w:rsid w:val="35BC4CF1"/>
    <w:rsid w:val="35BD3DEC"/>
    <w:rsid w:val="35C24B69"/>
    <w:rsid w:val="35D47D1A"/>
    <w:rsid w:val="35EE619B"/>
    <w:rsid w:val="360419A0"/>
    <w:rsid w:val="360675F3"/>
    <w:rsid w:val="361606CD"/>
    <w:rsid w:val="36353673"/>
    <w:rsid w:val="367E091C"/>
    <w:rsid w:val="36907CCF"/>
    <w:rsid w:val="36936A58"/>
    <w:rsid w:val="36B222A9"/>
    <w:rsid w:val="36B424C7"/>
    <w:rsid w:val="36B86E1B"/>
    <w:rsid w:val="36C957DE"/>
    <w:rsid w:val="36CD11CC"/>
    <w:rsid w:val="36D323BD"/>
    <w:rsid w:val="36E53270"/>
    <w:rsid w:val="370A06AE"/>
    <w:rsid w:val="371F5EF5"/>
    <w:rsid w:val="37216E7D"/>
    <w:rsid w:val="372D7DEA"/>
    <w:rsid w:val="37354518"/>
    <w:rsid w:val="37370275"/>
    <w:rsid w:val="373E4B0B"/>
    <w:rsid w:val="375E1A97"/>
    <w:rsid w:val="37826F11"/>
    <w:rsid w:val="37870CFF"/>
    <w:rsid w:val="378931C1"/>
    <w:rsid w:val="37912D9D"/>
    <w:rsid w:val="37D770F4"/>
    <w:rsid w:val="37EE12D0"/>
    <w:rsid w:val="37F901BB"/>
    <w:rsid w:val="37FD4709"/>
    <w:rsid w:val="37FD6B5E"/>
    <w:rsid w:val="3847008E"/>
    <w:rsid w:val="38567C7A"/>
    <w:rsid w:val="38672A40"/>
    <w:rsid w:val="387255F4"/>
    <w:rsid w:val="388F5AA3"/>
    <w:rsid w:val="389D6824"/>
    <w:rsid w:val="38B301EF"/>
    <w:rsid w:val="38BE79DD"/>
    <w:rsid w:val="38E26D81"/>
    <w:rsid w:val="390514B0"/>
    <w:rsid w:val="39246422"/>
    <w:rsid w:val="39393DB6"/>
    <w:rsid w:val="3954687B"/>
    <w:rsid w:val="39590ED9"/>
    <w:rsid w:val="39725E1E"/>
    <w:rsid w:val="398A128C"/>
    <w:rsid w:val="39B86B75"/>
    <w:rsid w:val="39BD2D13"/>
    <w:rsid w:val="39EE5513"/>
    <w:rsid w:val="3A112AC6"/>
    <w:rsid w:val="3A1C285D"/>
    <w:rsid w:val="3A3D2CAA"/>
    <w:rsid w:val="3A44395F"/>
    <w:rsid w:val="3A5E4B31"/>
    <w:rsid w:val="3A5F55FF"/>
    <w:rsid w:val="3A6D2CBA"/>
    <w:rsid w:val="3A7A4330"/>
    <w:rsid w:val="3AA7155D"/>
    <w:rsid w:val="3AAB0C1A"/>
    <w:rsid w:val="3AAB6B7C"/>
    <w:rsid w:val="3AAD77ED"/>
    <w:rsid w:val="3AB71F19"/>
    <w:rsid w:val="3ACD67FD"/>
    <w:rsid w:val="3AFC2084"/>
    <w:rsid w:val="3B0614A9"/>
    <w:rsid w:val="3B47451A"/>
    <w:rsid w:val="3B5B760B"/>
    <w:rsid w:val="3B7A0D44"/>
    <w:rsid w:val="3B805C48"/>
    <w:rsid w:val="3B8138A9"/>
    <w:rsid w:val="3B902CEE"/>
    <w:rsid w:val="3BAE2224"/>
    <w:rsid w:val="3BC62434"/>
    <w:rsid w:val="3BD25128"/>
    <w:rsid w:val="3BDD7049"/>
    <w:rsid w:val="3C0841C8"/>
    <w:rsid w:val="3C206EFA"/>
    <w:rsid w:val="3C2831AD"/>
    <w:rsid w:val="3C2C50E2"/>
    <w:rsid w:val="3C344E00"/>
    <w:rsid w:val="3C5E37CB"/>
    <w:rsid w:val="3C8D3ACB"/>
    <w:rsid w:val="3CA42BD9"/>
    <w:rsid w:val="3CA755A8"/>
    <w:rsid w:val="3CAC0152"/>
    <w:rsid w:val="3CB76A9A"/>
    <w:rsid w:val="3CBC2E1F"/>
    <w:rsid w:val="3CE05B35"/>
    <w:rsid w:val="3D204024"/>
    <w:rsid w:val="3D27601A"/>
    <w:rsid w:val="3D3052DC"/>
    <w:rsid w:val="3D457F3A"/>
    <w:rsid w:val="3D55100F"/>
    <w:rsid w:val="3D7656D9"/>
    <w:rsid w:val="3D803D82"/>
    <w:rsid w:val="3D9377F8"/>
    <w:rsid w:val="3DBE6731"/>
    <w:rsid w:val="3DC37F90"/>
    <w:rsid w:val="3DC967BA"/>
    <w:rsid w:val="3DD53891"/>
    <w:rsid w:val="3DE82128"/>
    <w:rsid w:val="3DE96A54"/>
    <w:rsid w:val="3DF00FEC"/>
    <w:rsid w:val="3DF227B7"/>
    <w:rsid w:val="3E013831"/>
    <w:rsid w:val="3E156A42"/>
    <w:rsid w:val="3E1E5769"/>
    <w:rsid w:val="3E342D80"/>
    <w:rsid w:val="3E584ABA"/>
    <w:rsid w:val="3E7415D7"/>
    <w:rsid w:val="3E820DB2"/>
    <w:rsid w:val="3E9D3A11"/>
    <w:rsid w:val="3EC15A35"/>
    <w:rsid w:val="3EC611E0"/>
    <w:rsid w:val="3EC622E3"/>
    <w:rsid w:val="3EE148D3"/>
    <w:rsid w:val="3EF847AF"/>
    <w:rsid w:val="3F0B0B41"/>
    <w:rsid w:val="3F12305D"/>
    <w:rsid w:val="3F2145EC"/>
    <w:rsid w:val="3F487967"/>
    <w:rsid w:val="3F6E16BB"/>
    <w:rsid w:val="3F8C679B"/>
    <w:rsid w:val="3FB65F27"/>
    <w:rsid w:val="3FC27446"/>
    <w:rsid w:val="3FC76CF5"/>
    <w:rsid w:val="3FD14240"/>
    <w:rsid w:val="3FF44801"/>
    <w:rsid w:val="402A143E"/>
    <w:rsid w:val="40531C74"/>
    <w:rsid w:val="405B4D9A"/>
    <w:rsid w:val="406F3E28"/>
    <w:rsid w:val="4075060A"/>
    <w:rsid w:val="40846297"/>
    <w:rsid w:val="408C0D11"/>
    <w:rsid w:val="40915176"/>
    <w:rsid w:val="40985057"/>
    <w:rsid w:val="40B80F3C"/>
    <w:rsid w:val="40BB4C06"/>
    <w:rsid w:val="40C67BD8"/>
    <w:rsid w:val="41291E8A"/>
    <w:rsid w:val="4135777E"/>
    <w:rsid w:val="415C1DF5"/>
    <w:rsid w:val="41742BFC"/>
    <w:rsid w:val="417A6D7C"/>
    <w:rsid w:val="419418DC"/>
    <w:rsid w:val="41966FAC"/>
    <w:rsid w:val="419D6F9A"/>
    <w:rsid w:val="41B30D83"/>
    <w:rsid w:val="41D72648"/>
    <w:rsid w:val="41F7386E"/>
    <w:rsid w:val="421307E3"/>
    <w:rsid w:val="4223559C"/>
    <w:rsid w:val="4241564C"/>
    <w:rsid w:val="42533355"/>
    <w:rsid w:val="42712732"/>
    <w:rsid w:val="428C5BE4"/>
    <w:rsid w:val="42E37EE4"/>
    <w:rsid w:val="430B7913"/>
    <w:rsid w:val="4351051B"/>
    <w:rsid w:val="435D3D5C"/>
    <w:rsid w:val="4376017C"/>
    <w:rsid w:val="43824B82"/>
    <w:rsid w:val="43AC3377"/>
    <w:rsid w:val="43B21BBB"/>
    <w:rsid w:val="43B661E3"/>
    <w:rsid w:val="43CE7B4E"/>
    <w:rsid w:val="43DA61E3"/>
    <w:rsid w:val="43F32FCA"/>
    <w:rsid w:val="43F40918"/>
    <w:rsid w:val="446B6B0F"/>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E571E5"/>
    <w:rsid w:val="460B4774"/>
    <w:rsid w:val="46136DEA"/>
    <w:rsid w:val="46146DED"/>
    <w:rsid w:val="461C7E22"/>
    <w:rsid w:val="461D481E"/>
    <w:rsid w:val="46375285"/>
    <w:rsid w:val="464921BB"/>
    <w:rsid w:val="465033EE"/>
    <w:rsid w:val="46540DC0"/>
    <w:rsid w:val="465D3512"/>
    <w:rsid w:val="468201D9"/>
    <w:rsid w:val="468D3F85"/>
    <w:rsid w:val="46926CF1"/>
    <w:rsid w:val="46A54342"/>
    <w:rsid w:val="46AA408A"/>
    <w:rsid w:val="46E140DF"/>
    <w:rsid w:val="46EB5ECE"/>
    <w:rsid w:val="46F74E94"/>
    <w:rsid w:val="470352C5"/>
    <w:rsid w:val="47162A4F"/>
    <w:rsid w:val="47411DB3"/>
    <w:rsid w:val="4779112E"/>
    <w:rsid w:val="477A52BA"/>
    <w:rsid w:val="477F0E83"/>
    <w:rsid w:val="47812787"/>
    <w:rsid w:val="47995FDA"/>
    <w:rsid w:val="479961CF"/>
    <w:rsid w:val="47A02506"/>
    <w:rsid w:val="47A34BB5"/>
    <w:rsid w:val="47AD2D46"/>
    <w:rsid w:val="47CD4372"/>
    <w:rsid w:val="47DE36A7"/>
    <w:rsid w:val="48023EBE"/>
    <w:rsid w:val="4830054F"/>
    <w:rsid w:val="4833531A"/>
    <w:rsid w:val="48434699"/>
    <w:rsid w:val="484B27A8"/>
    <w:rsid w:val="487F0E97"/>
    <w:rsid w:val="488A0D9C"/>
    <w:rsid w:val="48942741"/>
    <w:rsid w:val="48947260"/>
    <w:rsid w:val="48960287"/>
    <w:rsid w:val="48BC6C96"/>
    <w:rsid w:val="48C7748D"/>
    <w:rsid w:val="48D15FE3"/>
    <w:rsid w:val="48E4423C"/>
    <w:rsid w:val="48F76599"/>
    <w:rsid w:val="492B7F13"/>
    <w:rsid w:val="49446DEB"/>
    <w:rsid w:val="494F04C4"/>
    <w:rsid w:val="495139DB"/>
    <w:rsid w:val="499C3FAD"/>
    <w:rsid w:val="49B17ECF"/>
    <w:rsid w:val="49C622ED"/>
    <w:rsid w:val="4A021E42"/>
    <w:rsid w:val="4A2A744B"/>
    <w:rsid w:val="4A394D65"/>
    <w:rsid w:val="4A397837"/>
    <w:rsid w:val="4A486187"/>
    <w:rsid w:val="4A515890"/>
    <w:rsid w:val="4A5B7158"/>
    <w:rsid w:val="4A7B712C"/>
    <w:rsid w:val="4ABE15A0"/>
    <w:rsid w:val="4AD02A60"/>
    <w:rsid w:val="4AF22177"/>
    <w:rsid w:val="4AF97644"/>
    <w:rsid w:val="4B212424"/>
    <w:rsid w:val="4B2B09DF"/>
    <w:rsid w:val="4B483853"/>
    <w:rsid w:val="4B62209A"/>
    <w:rsid w:val="4B7B7DCD"/>
    <w:rsid w:val="4B7E438E"/>
    <w:rsid w:val="4B9E25BD"/>
    <w:rsid w:val="4BA01FD7"/>
    <w:rsid w:val="4BB216BC"/>
    <w:rsid w:val="4BB96F76"/>
    <w:rsid w:val="4BBC4086"/>
    <w:rsid w:val="4BC67BA7"/>
    <w:rsid w:val="4BD80A1F"/>
    <w:rsid w:val="4BE52275"/>
    <w:rsid w:val="4BFA5A8E"/>
    <w:rsid w:val="4C1E23C0"/>
    <w:rsid w:val="4C226560"/>
    <w:rsid w:val="4C240E82"/>
    <w:rsid w:val="4C397B43"/>
    <w:rsid w:val="4C461880"/>
    <w:rsid w:val="4C4654C1"/>
    <w:rsid w:val="4C50379A"/>
    <w:rsid w:val="4C5B625B"/>
    <w:rsid w:val="4C6D6510"/>
    <w:rsid w:val="4C82250D"/>
    <w:rsid w:val="4C8A421D"/>
    <w:rsid w:val="4CAD632C"/>
    <w:rsid w:val="4CB81A6B"/>
    <w:rsid w:val="4CBC36F3"/>
    <w:rsid w:val="4CCC6FD2"/>
    <w:rsid w:val="4CED7BC2"/>
    <w:rsid w:val="4CFA5ECF"/>
    <w:rsid w:val="4D08325D"/>
    <w:rsid w:val="4D0C293F"/>
    <w:rsid w:val="4D33120C"/>
    <w:rsid w:val="4D482672"/>
    <w:rsid w:val="4D4C3A12"/>
    <w:rsid w:val="4D521395"/>
    <w:rsid w:val="4D643819"/>
    <w:rsid w:val="4D721DDA"/>
    <w:rsid w:val="4D7B3B01"/>
    <w:rsid w:val="4D7F793B"/>
    <w:rsid w:val="4D904908"/>
    <w:rsid w:val="4DD5406B"/>
    <w:rsid w:val="4DD905CC"/>
    <w:rsid w:val="4DFC6CB8"/>
    <w:rsid w:val="4E191CCE"/>
    <w:rsid w:val="4E3B532F"/>
    <w:rsid w:val="4E63426A"/>
    <w:rsid w:val="4EAF55C9"/>
    <w:rsid w:val="4EDA5417"/>
    <w:rsid w:val="4F0B73F3"/>
    <w:rsid w:val="4F1267D4"/>
    <w:rsid w:val="4F201983"/>
    <w:rsid w:val="4F2B07DB"/>
    <w:rsid w:val="4F2C01D1"/>
    <w:rsid w:val="4F3B61A8"/>
    <w:rsid w:val="4F3D1580"/>
    <w:rsid w:val="4F6A0722"/>
    <w:rsid w:val="4F6C32E8"/>
    <w:rsid w:val="4FA773E6"/>
    <w:rsid w:val="4FB8185C"/>
    <w:rsid w:val="4FD63F0B"/>
    <w:rsid w:val="4FE150D4"/>
    <w:rsid w:val="4FEF4EEF"/>
    <w:rsid w:val="4FEF7418"/>
    <w:rsid w:val="50011E81"/>
    <w:rsid w:val="5011000D"/>
    <w:rsid w:val="50180794"/>
    <w:rsid w:val="5023550E"/>
    <w:rsid w:val="50383314"/>
    <w:rsid w:val="50385F5F"/>
    <w:rsid w:val="5047580A"/>
    <w:rsid w:val="50762BD2"/>
    <w:rsid w:val="50960E85"/>
    <w:rsid w:val="5096168B"/>
    <w:rsid w:val="509A3133"/>
    <w:rsid w:val="50A3529E"/>
    <w:rsid w:val="50B642D5"/>
    <w:rsid w:val="50B91AF1"/>
    <w:rsid w:val="50E160B0"/>
    <w:rsid w:val="50E50DA5"/>
    <w:rsid w:val="50E577CD"/>
    <w:rsid w:val="50E97CDE"/>
    <w:rsid w:val="510E2D59"/>
    <w:rsid w:val="5119481F"/>
    <w:rsid w:val="513217FB"/>
    <w:rsid w:val="51615D37"/>
    <w:rsid w:val="51754EFE"/>
    <w:rsid w:val="5185301A"/>
    <w:rsid w:val="51A5585D"/>
    <w:rsid w:val="51B1695C"/>
    <w:rsid w:val="51C6320C"/>
    <w:rsid w:val="51C80BB3"/>
    <w:rsid w:val="520A5CAE"/>
    <w:rsid w:val="521D4BF5"/>
    <w:rsid w:val="52390DFB"/>
    <w:rsid w:val="525B41E6"/>
    <w:rsid w:val="5268549B"/>
    <w:rsid w:val="52695BFF"/>
    <w:rsid w:val="52726628"/>
    <w:rsid w:val="527F7F2C"/>
    <w:rsid w:val="52AB0A18"/>
    <w:rsid w:val="52CC40AA"/>
    <w:rsid w:val="52D70D98"/>
    <w:rsid w:val="52E85377"/>
    <w:rsid w:val="52F70A9D"/>
    <w:rsid w:val="53026ED9"/>
    <w:rsid w:val="53062D20"/>
    <w:rsid w:val="533A73C6"/>
    <w:rsid w:val="537445CB"/>
    <w:rsid w:val="53B14973"/>
    <w:rsid w:val="53BC5013"/>
    <w:rsid w:val="53D108EE"/>
    <w:rsid w:val="53DE6DBA"/>
    <w:rsid w:val="53ED6670"/>
    <w:rsid w:val="53EF22E7"/>
    <w:rsid w:val="54663CB2"/>
    <w:rsid w:val="547D011C"/>
    <w:rsid w:val="548B4818"/>
    <w:rsid w:val="54A46679"/>
    <w:rsid w:val="54D472CB"/>
    <w:rsid w:val="54E60DFC"/>
    <w:rsid w:val="550A3C5C"/>
    <w:rsid w:val="551E53AC"/>
    <w:rsid w:val="55362AB0"/>
    <w:rsid w:val="55414BCA"/>
    <w:rsid w:val="55522F5B"/>
    <w:rsid w:val="555E7F5E"/>
    <w:rsid w:val="556079C8"/>
    <w:rsid w:val="55755B1C"/>
    <w:rsid w:val="55783A96"/>
    <w:rsid w:val="558E28F8"/>
    <w:rsid w:val="559F20A0"/>
    <w:rsid w:val="55A26A73"/>
    <w:rsid w:val="55BB33CB"/>
    <w:rsid w:val="55BE6DED"/>
    <w:rsid w:val="55DB58DE"/>
    <w:rsid w:val="56037348"/>
    <w:rsid w:val="56314133"/>
    <w:rsid w:val="56446DD6"/>
    <w:rsid w:val="56466090"/>
    <w:rsid w:val="56783AD1"/>
    <w:rsid w:val="568227BB"/>
    <w:rsid w:val="56A3578C"/>
    <w:rsid w:val="56A83153"/>
    <w:rsid w:val="56AA70D6"/>
    <w:rsid w:val="56C03888"/>
    <w:rsid w:val="56C36182"/>
    <w:rsid w:val="56C5655E"/>
    <w:rsid w:val="56DF218D"/>
    <w:rsid w:val="56E13883"/>
    <w:rsid w:val="57050FCE"/>
    <w:rsid w:val="571060D5"/>
    <w:rsid w:val="575E0361"/>
    <w:rsid w:val="57663D8B"/>
    <w:rsid w:val="57697795"/>
    <w:rsid w:val="577B076B"/>
    <w:rsid w:val="57D21C82"/>
    <w:rsid w:val="57DB7AA8"/>
    <w:rsid w:val="58102FA2"/>
    <w:rsid w:val="58286246"/>
    <w:rsid w:val="585A4A50"/>
    <w:rsid w:val="58703490"/>
    <w:rsid w:val="589C4975"/>
    <w:rsid w:val="58A359A6"/>
    <w:rsid w:val="58AD446A"/>
    <w:rsid w:val="58B70171"/>
    <w:rsid w:val="58D422D6"/>
    <w:rsid w:val="58DE77A8"/>
    <w:rsid w:val="58F7054B"/>
    <w:rsid w:val="590914E6"/>
    <w:rsid w:val="592C0476"/>
    <w:rsid w:val="593B7E95"/>
    <w:rsid w:val="59BC5F52"/>
    <w:rsid w:val="59CD2ADF"/>
    <w:rsid w:val="59D72AD0"/>
    <w:rsid w:val="59E13CEA"/>
    <w:rsid w:val="59E903B5"/>
    <w:rsid w:val="5A082615"/>
    <w:rsid w:val="5A1B0EDF"/>
    <w:rsid w:val="5A2824A2"/>
    <w:rsid w:val="5A2A27A7"/>
    <w:rsid w:val="5A560D57"/>
    <w:rsid w:val="5A644CB6"/>
    <w:rsid w:val="5A7E7AC1"/>
    <w:rsid w:val="5A896774"/>
    <w:rsid w:val="5AAF34E0"/>
    <w:rsid w:val="5ABA2F5C"/>
    <w:rsid w:val="5AD752B2"/>
    <w:rsid w:val="5AEA6396"/>
    <w:rsid w:val="5AFA2BA2"/>
    <w:rsid w:val="5B163EC2"/>
    <w:rsid w:val="5B181566"/>
    <w:rsid w:val="5B1818A6"/>
    <w:rsid w:val="5B200550"/>
    <w:rsid w:val="5B255FC4"/>
    <w:rsid w:val="5B287E5A"/>
    <w:rsid w:val="5B3E2DDB"/>
    <w:rsid w:val="5B531A3B"/>
    <w:rsid w:val="5B6070C0"/>
    <w:rsid w:val="5B6F53CF"/>
    <w:rsid w:val="5B8054E4"/>
    <w:rsid w:val="5B930FEF"/>
    <w:rsid w:val="5BBC3CDD"/>
    <w:rsid w:val="5BE4688D"/>
    <w:rsid w:val="5BF22E98"/>
    <w:rsid w:val="5C0F1CA6"/>
    <w:rsid w:val="5C3453EA"/>
    <w:rsid w:val="5C403D31"/>
    <w:rsid w:val="5C580ABC"/>
    <w:rsid w:val="5C635E58"/>
    <w:rsid w:val="5C6D14DF"/>
    <w:rsid w:val="5C727AEC"/>
    <w:rsid w:val="5C7E485A"/>
    <w:rsid w:val="5C8049FF"/>
    <w:rsid w:val="5C8413EA"/>
    <w:rsid w:val="5C910787"/>
    <w:rsid w:val="5CA00701"/>
    <w:rsid w:val="5CA01738"/>
    <w:rsid w:val="5CA874EC"/>
    <w:rsid w:val="5CB17F92"/>
    <w:rsid w:val="5CB851B9"/>
    <w:rsid w:val="5CEC1F16"/>
    <w:rsid w:val="5CF30065"/>
    <w:rsid w:val="5CF721AA"/>
    <w:rsid w:val="5CF817F7"/>
    <w:rsid w:val="5D084744"/>
    <w:rsid w:val="5D192F00"/>
    <w:rsid w:val="5D2B2121"/>
    <w:rsid w:val="5D321A2E"/>
    <w:rsid w:val="5D3F00EF"/>
    <w:rsid w:val="5D4505BB"/>
    <w:rsid w:val="5D6364B7"/>
    <w:rsid w:val="5D672BD7"/>
    <w:rsid w:val="5D7A2F63"/>
    <w:rsid w:val="5D851DCA"/>
    <w:rsid w:val="5D9778C1"/>
    <w:rsid w:val="5D9B3A71"/>
    <w:rsid w:val="5DA80850"/>
    <w:rsid w:val="5DAE5E6D"/>
    <w:rsid w:val="5DC6522A"/>
    <w:rsid w:val="5DF468EB"/>
    <w:rsid w:val="5E0A25BF"/>
    <w:rsid w:val="5E154C93"/>
    <w:rsid w:val="5E1A0DEF"/>
    <w:rsid w:val="5E364DAA"/>
    <w:rsid w:val="5E494553"/>
    <w:rsid w:val="5E517E96"/>
    <w:rsid w:val="5E5403A5"/>
    <w:rsid w:val="5E7A7237"/>
    <w:rsid w:val="5E907070"/>
    <w:rsid w:val="5ECC58AD"/>
    <w:rsid w:val="5EE0181C"/>
    <w:rsid w:val="5EE56E66"/>
    <w:rsid w:val="5F0C745A"/>
    <w:rsid w:val="5F184C35"/>
    <w:rsid w:val="5F2446F4"/>
    <w:rsid w:val="5F2E4E97"/>
    <w:rsid w:val="5F561125"/>
    <w:rsid w:val="5F870B60"/>
    <w:rsid w:val="5F934743"/>
    <w:rsid w:val="5F9F792C"/>
    <w:rsid w:val="5FC82E57"/>
    <w:rsid w:val="5FCC02E3"/>
    <w:rsid w:val="5FE36F8F"/>
    <w:rsid w:val="5FE94FF0"/>
    <w:rsid w:val="5FF5214D"/>
    <w:rsid w:val="5FFA4A89"/>
    <w:rsid w:val="5FFC0A03"/>
    <w:rsid w:val="600D72A1"/>
    <w:rsid w:val="603E3B94"/>
    <w:rsid w:val="604509CE"/>
    <w:rsid w:val="604A4312"/>
    <w:rsid w:val="604C0EF7"/>
    <w:rsid w:val="605641D8"/>
    <w:rsid w:val="60576E0A"/>
    <w:rsid w:val="605803D3"/>
    <w:rsid w:val="6074762F"/>
    <w:rsid w:val="6075247C"/>
    <w:rsid w:val="60794B8C"/>
    <w:rsid w:val="607C1A60"/>
    <w:rsid w:val="60874C03"/>
    <w:rsid w:val="60964BF0"/>
    <w:rsid w:val="60B413DB"/>
    <w:rsid w:val="60C90386"/>
    <w:rsid w:val="60CA6DB6"/>
    <w:rsid w:val="60D029F7"/>
    <w:rsid w:val="60DD06B0"/>
    <w:rsid w:val="60F0452F"/>
    <w:rsid w:val="610921F8"/>
    <w:rsid w:val="611D411F"/>
    <w:rsid w:val="613B0ED7"/>
    <w:rsid w:val="614C5AEB"/>
    <w:rsid w:val="6163152F"/>
    <w:rsid w:val="617918B9"/>
    <w:rsid w:val="618A3BC0"/>
    <w:rsid w:val="61912B55"/>
    <w:rsid w:val="619C3DF9"/>
    <w:rsid w:val="61AF5B28"/>
    <w:rsid w:val="61B04329"/>
    <w:rsid w:val="61B44815"/>
    <w:rsid w:val="61C65787"/>
    <w:rsid w:val="61D61DF4"/>
    <w:rsid w:val="61F10C8E"/>
    <w:rsid w:val="61F807EB"/>
    <w:rsid w:val="62077A1A"/>
    <w:rsid w:val="6212295C"/>
    <w:rsid w:val="621C6B59"/>
    <w:rsid w:val="62331D42"/>
    <w:rsid w:val="624C15AE"/>
    <w:rsid w:val="6250415A"/>
    <w:rsid w:val="625635D9"/>
    <w:rsid w:val="62583026"/>
    <w:rsid w:val="626527EC"/>
    <w:rsid w:val="627D1C6A"/>
    <w:rsid w:val="62AD4596"/>
    <w:rsid w:val="62C92CD3"/>
    <w:rsid w:val="63126FD2"/>
    <w:rsid w:val="632041FA"/>
    <w:rsid w:val="632C74F0"/>
    <w:rsid w:val="6331781D"/>
    <w:rsid w:val="637E1771"/>
    <w:rsid w:val="63804559"/>
    <w:rsid w:val="638D66B2"/>
    <w:rsid w:val="63C5256A"/>
    <w:rsid w:val="63DB615E"/>
    <w:rsid w:val="63EC4B2A"/>
    <w:rsid w:val="63F94C25"/>
    <w:rsid w:val="63FD5229"/>
    <w:rsid w:val="6428453C"/>
    <w:rsid w:val="64494C5F"/>
    <w:rsid w:val="64687EA9"/>
    <w:rsid w:val="647028C4"/>
    <w:rsid w:val="648611DB"/>
    <w:rsid w:val="648B0C1C"/>
    <w:rsid w:val="64B44148"/>
    <w:rsid w:val="64C72D1E"/>
    <w:rsid w:val="64D379FB"/>
    <w:rsid w:val="64E57DC9"/>
    <w:rsid w:val="64F843B9"/>
    <w:rsid w:val="65007553"/>
    <w:rsid w:val="650B18FE"/>
    <w:rsid w:val="65127E61"/>
    <w:rsid w:val="651720C1"/>
    <w:rsid w:val="653573AF"/>
    <w:rsid w:val="65495C8A"/>
    <w:rsid w:val="654E1042"/>
    <w:rsid w:val="65533B5B"/>
    <w:rsid w:val="655C7D24"/>
    <w:rsid w:val="657B79F3"/>
    <w:rsid w:val="65A478BB"/>
    <w:rsid w:val="65C36ED6"/>
    <w:rsid w:val="65CC1829"/>
    <w:rsid w:val="65CF741B"/>
    <w:rsid w:val="65D13CA6"/>
    <w:rsid w:val="65DA7950"/>
    <w:rsid w:val="65E545EA"/>
    <w:rsid w:val="660859F7"/>
    <w:rsid w:val="662C58B5"/>
    <w:rsid w:val="66415ED5"/>
    <w:rsid w:val="66471579"/>
    <w:rsid w:val="6658393F"/>
    <w:rsid w:val="66592197"/>
    <w:rsid w:val="665C1B54"/>
    <w:rsid w:val="666C3F3C"/>
    <w:rsid w:val="667A48BA"/>
    <w:rsid w:val="668A2E23"/>
    <w:rsid w:val="66AB640C"/>
    <w:rsid w:val="66C73137"/>
    <w:rsid w:val="66CF0420"/>
    <w:rsid w:val="66D52BC8"/>
    <w:rsid w:val="66E10984"/>
    <w:rsid w:val="66F127F8"/>
    <w:rsid w:val="66FC3C24"/>
    <w:rsid w:val="674322FA"/>
    <w:rsid w:val="6746313D"/>
    <w:rsid w:val="674B5A46"/>
    <w:rsid w:val="67587A9F"/>
    <w:rsid w:val="67620C51"/>
    <w:rsid w:val="676B4ACC"/>
    <w:rsid w:val="67731AE5"/>
    <w:rsid w:val="67784F70"/>
    <w:rsid w:val="67B04210"/>
    <w:rsid w:val="67C01AE8"/>
    <w:rsid w:val="67C23B73"/>
    <w:rsid w:val="67C70EB6"/>
    <w:rsid w:val="67FA148D"/>
    <w:rsid w:val="67FF2C20"/>
    <w:rsid w:val="68285E00"/>
    <w:rsid w:val="682A4E35"/>
    <w:rsid w:val="682B0B5D"/>
    <w:rsid w:val="68547404"/>
    <w:rsid w:val="68745956"/>
    <w:rsid w:val="688C417B"/>
    <w:rsid w:val="68B97A63"/>
    <w:rsid w:val="68ED0B58"/>
    <w:rsid w:val="68F67394"/>
    <w:rsid w:val="69236CB9"/>
    <w:rsid w:val="693A2F47"/>
    <w:rsid w:val="694A5646"/>
    <w:rsid w:val="695F389A"/>
    <w:rsid w:val="696619B5"/>
    <w:rsid w:val="69AD7EDC"/>
    <w:rsid w:val="69C17022"/>
    <w:rsid w:val="69CF4947"/>
    <w:rsid w:val="69F412BF"/>
    <w:rsid w:val="69F543EA"/>
    <w:rsid w:val="6A011A2C"/>
    <w:rsid w:val="6A0F36D3"/>
    <w:rsid w:val="6A132DCE"/>
    <w:rsid w:val="6A261ADD"/>
    <w:rsid w:val="6A322BD9"/>
    <w:rsid w:val="6A4042A8"/>
    <w:rsid w:val="6A691465"/>
    <w:rsid w:val="6A69297B"/>
    <w:rsid w:val="6A75097C"/>
    <w:rsid w:val="6A815213"/>
    <w:rsid w:val="6A8A4058"/>
    <w:rsid w:val="6A9A11CB"/>
    <w:rsid w:val="6AA50CB5"/>
    <w:rsid w:val="6AE728C7"/>
    <w:rsid w:val="6AE73A60"/>
    <w:rsid w:val="6AE95F89"/>
    <w:rsid w:val="6B2417E8"/>
    <w:rsid w:val="6B3376AE"/>
    <w:rsid w:val="6B3902A0"/>
    <w:rsid w:val="6B3C682C"/>
    <w:rsid w:val="6B3E2286"/>
    <w:rsid w:val="6B4D62D2"/>
    <w:rsid w:val="6B625297"/>
    <w:rsid w:val="6B703C28"/>
    <w:rsid w:val="6B750178"/>
    <w:rsid w:val="6B786A14"/>
    <w:rsid w:val="6B8377C4"/>
    <w:rsid w:val="6B841D82"/>
    <w:rsid w:val="6B8A321B"/>
    <w:rsid w:val="6B9052D6"/>
    <w:rsid w:val="6BB6785C"/>
    <w:rsid w:val="6BC309B6"/>
    <w:rsid w:val="6BDB3BFE"/>
    <w:rsid w:val="6C231648"/>
    <w:rsid w:val="6C6071B3"/>
    <w:rsid w:val="6C7234EF"/>
    <w:rsid w:val="6C7634A4"/>
    <w:rsid w:val="6CA43BA8"/>
    <w:rsid w:val="6CD152EC"/>
    <w:rsid w:val="6CEF7C33"/>
    <w:rsid w:val="6CFF6CA2"/>
    <w:rsid w:val="6D056787"/>
    <w:rsid w:val="6D082CBC"/>
    <w:rsid w:val="6D317F9F"/>
    <w:rsid w:val="6D7F1E30"/>
    <w:rsid w:val="6D850D24"/>
    <w:rsid w:val="6D850F9C"/>
    <w:rsid w:val="6DAD0B9D"/>
    <w:rsid w:val="6DB173B9"/>
    <w:rsid w:val="6DB30805"/>
    <w:rsid w:val="6DB96AEA"/>
    <w:rsid w:val="6DC26897"/>
    <w:rsid w:val="6DD038F8"/>
    <w:rsid w:val="6E1E7827"/>
    <w:rsid w:val="6E3107CB"/>
    <w:rsid w:val="6E3F7161"/>
    <w:rsid w:val="6E8D241B"/>
    <w:rsid w:val="6EA52C64"/>
    <w:rsid w:val="6EBE68FB"/>
    <w:rsid w:val="6EC93353"/>
    <w:rsid w:val="6EDB5775"/>
    <w:rsid w:val="6F122BB4"/>
    <w:rsid w:val="6F5D66D1"/>
    <w:rsid w:val="6F87583E"/>
    <w:rsid w:val="6FA560EB"/>
    <w:rsid w:val="6FB1771C"/>
    <w:rsid w:val="6FBA1905"/>
    <w:rsid w:val="6FDA62D1"/>
    <w:rsid w:val="6FE7551B"/>
    <w:rsid w:val="6FE87B54"/>
    <w:rsid w:val="6FEE60B1"/>
    <w:rsid w:val="700B55BE"/>
    <w:rsid w:val="70182BA3"/>
    <w:rsid w:val="7032466F"/>
    <w:rsid w:val="703E7A7E"/>
    <w:rsid w:val="70415FDC"/>
    <w:rsid w:val="7052498B"/>
    <w:rsid w:val="70525FDC"/>
    <w:rsid w:val="7090281C"/>
    <w:rsid w:val="709240D4"/>
    <w:rsid w:val="70934C8C"/>
    <w:rsid w:val="70A23490"/>
    <w:rsid w:val="70A61A6C"/>
    <w:rsid w:val="70C96096"/>
    <w:rsid w:val="70D008F8"/>
    <w:rsid w:val="70EB71D0"/>
    <w:rsid w:val="712B3A40"/>
    <w:rsid w:val="712E12C8"/>
    <w:rsid w:val="71483F49"/>
    <w:rsid w:val="715514EE"/>
    <w:rsid w:val="71692A52"/>
    <w:rsid w:val="717B6972"/>
    <w:rsid w:val="718D53D7"/>
    <w:rsid w:val="719B7525"/>
    <w:rsid w:val="71B03733"/>
    <w:rsid w:val="723615F2"/>
    <w:rsid w:val="723F5AD6"/>
    <w:rsid w:val="7254662F"/>
    <w:rsid w:val="73164A96"/>
    <w:rsid w:val="735429B3"/>
    <w:rsid w:val="7362595B"/>
    <w:rsid w:val="73626870"/>
    <w:rsid w:val="737360E1"/>
    <w:rsid w:val="73B45595"/>
    <w:rsid w:val="73D569E4"/>
    <w:rsid w:val="73DD1382"/>
    <w:rsid w:val="73E56950"/>
    <w:rsid w:val="74390B41"/>
    <w:rsid w:val="7444539E"/>
    <w:rsid w:val="744626BD"/>
    <w:rsid w:val="746D4DD9"/>
    <w:rsid w:val="749C4AD7"/>
    <w:rsid w:val="74E215E9"/>
    <w:rsid w:val="7505710F"/>
    <w:rsid w:val="751E6173"/>
    <w:rsid w:val="753F2773"/>
    <w:rsid w:val="756100FF"/>
    <w:rsid w:val="757D3216"/>
    <w:rsid w:val="75850755"/>
    <w:rsid w:val="7586723E"/>
    <w:rsid w:val="75AB5FDB"/>
    <w:rsid w:val="75B771D6"/>
    <w:rsid w:val="75BE705E"/>
    <w:rsid w:val="75C745F9"/>
    <w:rsid w:val="75D71B85"/>
    <w:rsid w:val="75F30F3B"/>
    <w:rsid w:val="760309F9"/>
    <w:rsid w:val="762515BE"/>
    <w:rsid w:val="762536F2"/>
    <w:rsid w:val="762811E0"/>
    <w:rsid w:val="762849B5"/>
    <w:rsid w:val="763B5C99"/>
    <w:rsid w:val="767D488A"/>
    <w:rsid w:val="76885CD2"/>
    <w:rsid w:val="76AF5B95"/>
    <w:rsid w:val="76D9045A"/>
    <w:rsid w:val="76DC0E83"/>
    <w:rsid w:val="76DE5837"/>
    <w:rsid w:val="76E1670B"/>
    <w:rsid w:val="7733088E"/>
    <w:rsid w:val="773E76F4"/>
    <w:rsid w:val="77810771"/>
    <w:rsid w:val="778503F0"/>
    <w:rsid w:val="778546E7"/>
    <w:rsid w:val="77953890"/>
    <w:rsid w:val="77B35B99"/>
    <w:rsid w:val="77B75398"/>
    <w:rsid w:val="77BB4279"/>
    <w:rsid w:val="77BC22EF"/>
    <w:rsid w:val="77C60CA0"/>
    <w:rsid w:val="77E96145"/>
    <w:rsid w:val="77FB5186"/>
    <w:rsid w:val="780A5A0D"/>
    <w:rsid w:val="78131A12"/>
    <w:rsid w:val="781444DE"/>
    <w:rsid w:val="78157A47"/>
    <w:rsid w:val="7826642F"/>
    <w:rsid w:val="78533492"/>
    <w:rsid w:val="78594118"/>
    <w:rsid w:val="785E33E4"/>
    <w:rsid w:val="7862475A"/>
    <w:rsid w:val="788E38C4"/>
    <w:rsid w:val="78C50E10"/>
    <w:rsid w:val="78DC2A6F"/>
    <w:rsid w:val="78EB0DA8"/>
    <w:rsid w:val="78FD4590"/>
    <w:rsid w:val="79172DBB"/>
    <w:rsid w:val="791F04FE"/>
    <w:rsid w:val="79343EC8"/>
    <w:rsid w:val="793D7124"/>
    <w:rsid w:val="7943528D"/>
    <w:rsid w:val="79465B30"/>
    <w:rsid w:val="7952267C"/>
    <w:rsid w:val="795412F6"/>
    <w:rsid w:val="799B657F"/>
    <w:rsid w:val="799F2907"/>
    <w:rsid w:val="79EE5925"/>
    <w:rsid w:val="7A0B6F82"/>
    <w:rsid w:val="7A1563A6"/>
    <w:rsid w:val="7A4B4237"/>
    <w:rsid w:val="7A667B62"/>
    <w:rsid w:val="7A8109C9"/>
    <w:rsid w:val="7AF7223C"/>
    <w:rsid w:val="7B0B5354"/>
    <w:rsid w:val="7B1A345C"/>
    <w:rsid w:val="7B2A2C5D"/>
    <w:rsid w:val="7B49111B"/>
    <w:rsid w:val="7B625E6A"/>
    <w:rsid w:val="7BCF079C"/>
    <w:rsid w:val="7BD0720D"/>
    <w:rsid w:val="7BDC113C"/>
    <w:rsid w:val="7BF26896"/>
    <w:rsid w:val="7C0B3AE7"/>
    <w:rsid w:val="7C0E6909"/>
    <w:rsid w:val="7C2653F9"/>
    <w:rsid w:val="7C340FEB"/>
    <w:rsid w:val="7C40570C"/>
    <w:rsid w:val="7C4539D6"/>
    <w:rsid w:val="7C470082"/>
    <w:rsid w:val="7C513C33"/>
    <w:rsid w:val="7C536237"/>
    <w:rsid w:val="7C5F1D4A"/>
    <w:rsid w:val="7C6A26B4"/>
    <w:rsid w:val="7C784488"/>
    <w:rsid w:val="7C9B7EBE"/>
    <w:rsid w:val="7CB71BDB"/>
    <w:rsid w:val="7CBA6C45"/>
    <w:rsid w:val="7CC87868"/>
    <w:rsid w:val="7CD268CC"/>
    <w:rsid w:val="7CF37B76"/>
    <w:rsid w:val="7CFA00F3"/>
    <w:rsid w:val="7CFB1007"/>
    <w:rsid w:val="7CFC5009"/>
    <w:rsid w:val="7CFF3848"/>
    <w:rsid w:val="7D231A44"/>
    <w:rsid w:val="7D293C12"/>
    <w:rsid w:val="7D356D08"/>
    <w:rsid w:val="7D3716CA"/>
    <w:rsid w:val="7D403DB7"/>
    <w:rsid w:val="7D60638C"/>
    <w:rsid w:val="7D767733"/>
    <w:rsid w:val="7D9D0DFB"/>
    <w:rsid w:val="7D9E118B"/>
    <w:rsid w:val="7DA154F2"/>
    <w:rsid w:val="7DA25B1E"/>
    <w:rsid w:val="7DB03F8A"/>
    <w:rsid w:val="7DD93532"/>
    <w:rsid w:val="7DE124ED"/>
    <w:rsid w:val="7DE7575A"/>
    <w:rsid w:val="7DF13281"/>
    <w:rsid w:val="7E003301"/>
    <w:rsid w:val="7E026B1B"/>
    <w:rsid w:val="7E095037"/>
    <w:rsid w:val="7E134BDE"/>
    <w:rsid w:val="7E1B59FB"/>
    <w:rsid w:val="7E4319BC"/>
    <w:rsid w:val="7E535EDB"/>
    <w:rsid w:val="7E592ED1"/>
    <w:rsid w:val="7E627E9E"/>
    <w:rsid w:val="7E6C318A"/>
    <w:rsid w:val="7E712956"/>
    <w:rsid w:val="7E7E785F"/>
    <w:rsid w:val="7E822A6C"/>
    <w:rsid w:val="7E957358"/>
    <w:rsid w:val="7E9B09E3"/>
    <w:rsid w:val="7EA62615"/>
    <w:rsid w:val="7EAE4CFC"/>
    <w:rsid w:val="7EB270D9"/>
    <w:rsid w:val="7ECF3957"/>
    <w:rsid w:val="7EF67331"/>
    <w:rsid w:val="7F255E4D"/>
    <w:rsid w:val="7F453FC4"/>
    <w:rsid w:val="7F4A20B3"/>
    <w:rsid w:val="7F6C08EC"/>
    <w:rsid w:val="7FA41C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4"/>
      <w:lang w:val="en-US" w:eastAsia="zh-CN" w:bidi="ar-SA"/>
    </w:rPr>
  </w:style>
  <w:style w:type="paragraph" w:styleId="5">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0"/>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7">
    <w:name w:val="heading 3"/>
    <w:basedOn w:val="1"/>
    <w:next w:val="1"/>
    <w:link w:val="51"/>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8">
    <w:name w:val="heading 4"/>
    <w:basedOn w:val="1"/>
    <w:next w:val="1"/>
    <w:link w:val="48"/>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9">
    <w:name w:val="heading 5"/>
    <w:basedOn w:val="1"/>
    <w:next w:val="2"/>
    <w:link w:val="52"/>
    <w:qFormat/>
    <w:uiPriority w:val="0"/>
    <w:pPr>
      <w:keepNext/>
      <w:keepLines/>
      <w:numPr>
        <w:ilvl w:val="4"/>
        <w:numId w:val="1"/>
      </w:numPr>
      <w:spacing w:before="280" w:after="290" w:line="376" w:lineRule="auto"/>
      <w:outlineLvl w:val="4"/>
    </w:pPr>
    <w:rPr>
      <w:b/>
      <w:sz w:val="28"/>
      <w:szCs w:val="20"/>
    </w:rPr>
  </w:style>
  <w:style w:type="paragraph" w:styleId="10">
    <w:name w:val="heading 6"/>
    <w:basedOn w:val="1"/>
    <w:next w:val="1"/>
    <w:link w:val="53"/>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1">
    <w:name w:val="heading 7"/>
    <w:basedOn w:val="1"/>
    <w:next w:val="2"/>
    <w:link w:val="88"/>
    <w:qFormat/>
    <w:uiPriority w:val="0"/>
    <w:pPr>
      <w:keepNext/>
      <w:keepLines/>
      <w:numPr>
        <w:ilvl w:val="6"/>
        <w:numId w:val="1"/>
      </w:numPr>
      <w:spacing w:before="240" w:after="64" w:line="320" w:lineRule="auto"/>
      <w:outlineLvl w:val="6"/>
    </w:pPr>
    <w:rPr>
      <w:b/>
      <w:sz w:val="24"/>
      <w:szCs w:val="20"/>
    </w:rPr>
  </w:style>
  <w:style w:type="paragraph" w:styleId="12">
    <w:name w:val="heading 8"/>
    <w:basedOn w:val="1"/>
    <w:next w:val="2"/>
    <w:link w:val="9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3">
    <w:name w:val="heading 9"/>
    <w:basedOn w:val="1"/>
    <w:next w:val="2"/>
    <w:link w:val="90"/>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First Indent 2"/>
    <w:basedOn w:val="4"/>
    <w:next w:val="1"/>
    <w:qFormat/>
    <w:uiPriority w:val="0"/>
    <w:pPr>
      <w:ind w:left="0"/>
    </w:pPr>
    <w:rPr>
      <w:rFonts w:ascii="仿宋" w:hAnsi="仿宋"/>
    </w:rPr>
  </w:style>
  <w:style w:type="paragraph" w:styleId="4">
    <w:name w:val="Body Text Indent"/>
    <w:basedOn w:val="1"/>
    <w:next w:val="3"/>
    <w:link w:val="85"/>
    <w:qFormat/>
    <w:uiPriority w:val="0"/>
    <w:pPr>
      <w:spacing w:line="400" w:lineRule="exact"/>
      <w:ind w:left="360"/>
    </w:pPr>
    <w:rPr>
      <w:rFonts w:ascii="华文中宋" w:hAnsi="华文中宋" w:eastAsia="华文中宋"/>
      <w:color w:val="FF6600"/>
      <w:sz w:val="24"/>
    </w:rPr>
  </w:style>
  <w:style w:type="paragraph" w:styleId="14">
    <w:name w:val="annotation text"/>
    <w:basedOn w:val="1"/>
    <w:link w:val="89"/>
    <w:qFormat/>
    <w:uiPriority w:val="0"/>
    <w:pPr>
      <w:jc w:val="left"/>
    </w:pPr>
  </w:style>
  <w:style w:type="paragraph" w:styleId="15">
    <w:name w:val="Body Text"/>
    <w:basedOn w:val="1"/>
    <w:next w:val="1"/>
    <w:link w:val="91"/>
    <w:qFormat/>
    <w:uiPriority w:val="0"/>
    <w:pPr>
      <w:spacing w:line="480" w:lineRule="auto"/>
    </w:pPr>
    <w:rPr>
      <w:color w:val="000000"/>
      <w:sz w:val="24"/>
    </w:rPr>
  </w:style>
  <w:style w:type="paragraph" w:styleId="16">
    <w:name w:val="Block Text"/>
    <w:basedOn w:val="1"/>
    <w:next w:val="1"/>
    <w:qFormat/>
    <w:uiPriority w:val="0"/>
    <w:pPr>
      <w:spacing w:line="360" w:lineRule="auto"/>
      <w:ind w:firstLine="480" w:firstLineChars="200"/>
    </w:pPr>
    <w:rPr>
      <w:rFonts w:ascii="宋体" w:hAnsi="宋体"/>
      <w:i/>
      <w:iCs/>
      <w:color w:val="000000"/>
      <w:kern w:val="0"/>
    </w:rPr>
  </w:style>
  <w:style w:type="paragraph" w:styleId="17">
    <w:name w:val="toc 3"/>
    <w:basedOn w:val="1"/>
    <w:next w:val="1"/>
    <w:qFormat/>
    <w:uiPriority w:val="0"/>
    <w:pPr>
      <w:ind w:left="840" w:leftChars="400"/>
    </w:pPr>
  </w:style>
  <w:style w:type="paragraph" w:styleId="18">
    <w:name w:val="Plain Text"/>
    <w:basedOn w:val="1"/>
    <w:link w:val="77"/>
    <w:qFormat/>
    <w:uiPriority w:val="99"/>
    <w:rPr>
      <w:rFonts w:ascii="宋体" w:hAnsi="Courier New"/>
      <w:szCs w:val="20"/>
    </w:rPr>
  </w:style>
  <w:style w:type="paragraph" w:styleId="19">
    <w:name w:val="Date"/>
    <w:basedOn w:val="1"/>
    <w:next w:val="1"/>
    <w:link w:val="79"/>
    <w:qFormat/>
    <w:uiPriority w:val="0"/>
    <w:rPr>
      <w:sz w:val="24"/>
      <w:szCs w:val="20"/>
    </w:rPr>
  </w:style>
  <w:style w:type="paragraph" w:styleId="20">
    <w:name w:val="Body Text Indent 2"/>
    <w:basedOn w:val="1"/>
    <w:link w:val="86"/>
    <w:qFormat/>
    <w:uiPriority w:val="0"/>
    <w:pPr>
      <w:spacing w:before="240" w:line="560" w:lineRule="exact"/>
      <w:ind w:firstLine="480" w:firstLineChars="200"/>
    </w:pPr>
    <w:rPr>
      <w:sz w:val="24"/>
      <w:szCs w:val="32"/>
    </w:rPr>
  </w:style>
  <w:style w:type="paragraph" w:styleId="21">
    <w:name w:val="Balloon Text"/>
    <w:basedOn w:val="1"/>
    <w:link w:val="93"/>
    <w:semiHidden/>
    <w:qFormat/>
    <w:uiPriority w:val="0"/>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Body Text Indent 3"/>
    <w:basedOn w:val="1"/>
    <w:link w:val="83"/>
    <w:qFormat/>
    <w:uiPriority w:val="0"/>
    <w:pPr>
      <w:spacing w:after="120"/>
      <w:ind w:left="420" w:leftChars="200"/>
    </w:pPr>
    <w:rPr>
      <w:rFonts w:eastAsia="仿宋_GB2312"/>
      <w:sz w:val="16"/>
      <w:szCs w:val="16"/>
    </w:rPr>
  </w:style>
  <w:style w:type="paragraph" w:styleId="26">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7">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8">
    <w:name w:val="annotation subject"/>
    <w:basedOn w:val="14"/>
    <w:next w:val="14"/>
    <w:link w:val="81"/>
    <w:qFormat/>
    <w:uiPriority w:val="0"/>
    <w:rPr>
      <w:b/>
      <w:bCs/>
    </w:rPr>
  </w:style>
  <w:style w:type="paragraph" w:styleId="29">
    <w:name w:val="Body Text First Indent"/>
    <w:basedOn w:val="15"/>
    <w:next w:val="3"/>
    <w:qFormat/>
    <w:uiPriority w:val="0"/>
    <w:pPr>
      <w:spacing w:line="312" w:lineRule="auto"/>
      <w:ind w:firstLine="420"/>
    </w:pPr>
  </w:style>
  <w:style w:type="table" w:styleId="31">
    <w:name w:val="Table Grid"/>
    <w:basedOn w:val="30"/>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333333"/>
      <w:u w:val="none"/>
    </w:rPr>
  </w:style>
  <w:style w:type="character" w:styleId="36">
    <w:name w:val="Emphasis"/>
    <w:basedOn w:val="32"/>
    <w:qFormat/>
    <w:uiPriority w:val="0"/>
  </w:style>
  <w:style w:type="character" w:styleId="37">
    <w:name w:val="HTML Definition"/>
    <w:basedOn w:val="32"/>
    <w:qFormat/>
    <w:uiPriority w:val="0"/>
    <w:rPr>
      <w:i/>
      <w:shd w:val="clear" w:color="auto" w:fill="F5F5F5"/>
    </w:rPr>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333333"/>
      <w:u w:val="none"/>
    </w:rPr>
  </w:style>
  <w:style w:type="character" w:styleId="42">
    <w:name w:val="HTML Code"/>
    <w:basedOn w:val="32"/>
    <w:qFormat/>
    <w:uiPriority w:val="0"/>
    <w:rPr>
      <w:rFonts w:hint="default" w:ascii="Consolas" w:hAnsi="Consolas" w:eastAsia="Consolas" w:cs="Consolas"/>
      <w:color w:val="C7254E"/>
      <w:sz w:val="21"/>
      <w:szCs w:val="21"/>
      <w:shd w:val="clear" w:color="auto" w:fill="F9F2F4"/>
    </w:rPr>
  </w:style>
  <w:style w:type="character" w:styleId="43">
    <w:name w:val="annotation reference"/>
    <w:qFormat/>
    <w:uiPriority w:val="0"/>
    <w:rPr>
      <w:sz w:val="21"/>
      <w:szCs w:val="21"/>
    </w:rPr>
  </w:style>
  <w:style w:type="character" w:styleId="44">
    <w:name w:val="HTML Cite"/>
    <w:basedOn w:val="32"/>
    <w:qFormat/>
    <w:uiPriority w:val="0"/>
  </w:style>
  <w:style w:type="character" w:styleId="45">
    <w:name w:val="HTML Keyboard"/>
    <w:basedOn w:val="32"/>
    <w:qFormat/>
    <w:uiPriority w:val="0"/>
    <w:rPr>
      <w:rFonts w:hint="default" w:ascii="Consolas" w:hAnsi="Consolas" w:eastAsia="Consolas" w:cs="Consolas"/>
      <w:color w:val="FFFFFF"/>
      <w:sz w:val="21"/>
      <w:szCs w:val="21"/>
      <w:shd w:val="clear" w:color="auto" w:fill="333333"/>
    </w:rPr>
  </w:style>
  <w:style w:type="character" w:styleId="46">
    <w:name w:val="HTML Sample"/>
    <w:basedOn w:val="32"/>
    <w:qFormat/>
    <w:uiPriority w:val="0"/>
    <w:rPr>
      <w:rFonts w:ascii="Consolas" w:hAnsi="Consolas" w:eastAsia="Consolas" w:cs="Consolas"/>
      <w:sz w:val="21"/>
      <w:szCs w:val="21"/>
    </w:rPr>
  </w:style>
  <w:style w:type="paragraph" w:customStyle="1" w:styleId="47">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标题 4 Char"/>
    <w:link w:val="8"/>
    <w:qFormat/>
    <w:uiPriority w:val="0"/>
    <w:rPr>
      <w:rFonts w:ascii="Arial" w:hAnsi="Arial" w:eastAsia="黑体"/>
      <w:b/>
      <w:kern w:val="2"/>
      <w:sz w:val="28"/>
    </w:rPr>
  </w:style>
  <w:style w:type="character" w:customStyle="1" w:styleId="49">
    <w:name w:val="标题 1 Char"/>
    <w:link w:val="5"/>
    <w:qFormat/>
    <w:uiPriority w:val="0"/>
    <w:rPr>
      <w:rFonts w:eastAsia="宋体"/>
      <w:b/>
      <w:bCs/>
      <w:kern w:val="44"/>
      <w:sz w:val="44"/>
      <w:szCs w:val="44"/>
      <w:lang w:val="en-US" w:eastAsia="zh-CN" w:bidi="ar-SA"/>
    </w:rPr>
  </w:style>
  <w:style w:type="character" w:customStyle="1" w:styleId="50">
    <w:name w:val="标题 2 Char"/>
    <w:link w:val="6"/>
    <w:qFormat/>
    <w:uiPriority w:val="0"/>
    <w:rPr>
      <w:rFonts w:ascii="Arial" w:hAnsi="Arial" w:eastAsia="黑体"/>
      <w:b/>
      <w:sz w:val="30"/>
    </w:rPr>
  </w:style>
  <w:style w:type="character" w:customStyle="1" w:styleId="51">
    <w:name w:val="标题 3 Char"/>
    <w:link w:val="7"/>
    <w:qFormat/>
    <w:uiPriority w:val="0"/>
    <w:rPr>
      <w:b/>
      <w:sz w:val="21"/>
    </w:rPr>
  </w:style>
  <w:style w:type="character" w:customStyle="1" w:styleId="52">
    <w:name w:val="标题 5 Char"/>
    <w:link w:val="9"/>
    <w:qFormat/>
    <w:uiPriority w:val="0"/>
    <w:rPr>
      <w:b/>
      <w:kern w:val="2"/>
      <w:sz w:val="28"/>
    </w:rPr>
  </w:style>
  <w:style w:type="character" w:customStyle="1" w:styleId="53">
    <w:name w:val="标题 6 Char"/>
    <w:link w:val="10"/>
    <w:qFormat/>
    <w:uiPriority w:val="0"/>
    <w:rPr>
      <w:rFonts w:ascii="Arial" w:hAnsi="Arial" w:eastAsia="黑体"/>
      <w:b/>
      <w:kern w:val="2"/>
      <w:sz w:val="24"/>
    </w:rPr>
  </w:style>
  <w:style w:type="character" w:customStyle="1" w:styleId="54">
    <w:name w:val="页脚 Char"/>
    <w:link w:val="22"/>
    <w:qFormat/>
    <w:uiPriority w:val="99"/>
    <w:rPr>
      <w:kern w:val="2"/>
      <w:sz w:val="18"/>
      <w:szCs w:val="18"/>
    </w:rPr>
  </w:style>
  <w:style w:type="paragraph" w:customStyle="1" w:styleId="5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无间隔1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61">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62">
    <w:name w:val="p0"/>
    <w:basedOn w:val="1"/>
    <w:qFormat/>
    <w:uiPriority w:val="0"/>
    <w:pPr>
      <w:widowControl/>
    </w:pPr>
    <w:rPr>
      <w:color w:val="000000"/>
      <w:kern w:val="0"/>
      <w:szCs w:val="21"/>
    </w:rPr>
  </w:style>
  <w:style w:type="paragraph" w:customStyle="1" w:styleId="6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64">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6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6">
    <w:name w:val="List Paragraph"/>
    <w:basedOn w:val="1"/>
    <w:qFormat/>
    <w:uiPriority w:val="34"/>
    <w:pPr>
      <w:ind w:firstLine="420" w:firstLineChars="200"/>
    </w:pPr>
    <w:rPr>
      <w:rFonts w:ascii="Calibri" w:hAnsi="Calibri"/>
      <w:szCs w:val="22"/>
    </w:rPr>
  </w:style>
  <w:style w:type="paragraph" w:customStyle="1" w:styleId="67">
    <w:name w:val="信-正文"/>
    <w:basedOn w:val="1"/>
    <w:qFormat/>
    <w:uiPriority w:val="0"/>
    <w:pPr>
      <w:spacing w:line="360" w:lineRule="auto"/>
      <w:ind w:firstLine="800" w:firstLineChars="200"/>
    </w:pPr>
    <w:rPr>
      <w:rFonts w:eastAsia="仿宋"/>
      <w:sz w:val="24"/>
    </w:rPr>
  </w:style>
  <w:style w:type="paragraph" w:customStyle="1" w:styleId="68">
    <w:name w:val="List Paragraph1"/>
    <w:basedOn w:val="1"/>
    <w:qFormat/>
    <w:uiPriority w:val="99"/>
    <w:pPr>
      <w:ind w:firstLine="420" w:firstLineChars="200"/>
    </w:pPr>
  </w:style>
  <w:style w:type="paragraph" w:customStyle="1" w:styleId="69">
    <w:name w:val="列出段落1"/>
    <w:basedOn w:val="1"/>
    <w:qFormat/>
    <w:uiPriority w:val="0"/>
    <w:pPr>
      <w:ind w:firstLine="420" w:firstLineChars="200"/>
    </w:pPr>
  </w:style>
  <w:style w:type="paragraph" w:customStyle="1" w:styleId="70">
    <w:name w:val="论文正文"/>
    <w:basedOn w:val="2"/>
    <w:qFormat/>
    <w:uiPriority w:val="0"/>
    <w:pPr>
      <w:ind w:firstLine="480"/>
    </w:pPr>
    <w:rPr>
      <w:bCs/>
    </w:rPr>
  </w:style>
  <w:style w:type="paragraph" w:customStyle="1" w:styleId="71">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2">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74">
    <w:name w:val="表格"/>
    <w:basedOn w:val="1"/>
    <w:qFormat/>
    <w:uiPriority w:val="0"/>
    <w:pPr>
      <w:adjustRightInd w:val="0"/>
      <w:snapToGrid w:val="0"/>
      <w:jc w:val="center"/>
    </w:pPr>
    <w:rPr>
      <w:bCs/>
      <w:u w:color="FFFFFF"/>
    </w:rPr>
  </w:style>
  <w:style w:type="paragraph" w:customStyle="1" w:styleId="75">
    <w:name w:val="列表段落2"/>
    <w:basedOn w:val="1"/>
    <w:qFormat/>
    <w:uiPriority w:val="99"/>
    <w:pPr>
      <w:ind w:firstLine="420" w:firstLineChars="200"/>
    </w:pPr>
  </w:style>
  <w:style w:type="paragraph" w:customStyle="1" w:styleId="76">
    <w:name w:val="Absatz2AL"/>
    <w:basedOn w:val="15"/>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77">
    <w:name w:val="纯文本 Char"/>
    <w:link w:val="18"/>
    <w:qFormat/>
    <w:uiPriority w:val="99"/>
    <w:rPr>
      <w:rFonts w:ascii="宋体" w:hAnsi="Courier New"/>
      <w:kern w:val="2"/>
      <w:sz w:val="21"/>
    </w:rPr>
  </w:style>
  <w:style w:type="character" w:customStyle="1" w:styleId="78">
    <w:name w:val="c lh15"/>
    <w:basedOn w:val="32"/>
    <w:qFormat/>
    <w:uiPriority w:val="0"/>
  </w:style>
  <w:style w:type="character" w:customStyle="1" w:styleId="79">
    <w:name w:val="日期 Char"/>
    <w:link w:val="19"/>
    <w:qFormat/>
    <w:uiPriority w:val="0"/>
    <w:rPr>
      <w:kern w:val="2"/>
      <w:sz w:val="24"/>
    </w:rPr>
  </w:style>
  <w:style w:type="character" w:customStyle="1" w:styleId="80">
    <w:name w:val="apple-style-span"/>
    <w:basedOn w:val="32"/>
    <w:qFormat/>
    <w:uiPriority w:val="0"/>
  </w:style>
  <w:style w:type="character" w:customStyle="1" w:styleId="81">
    <w:name w:val="批注主题 Char"/>
    <w:link w:val="28"/>
    <w:qFormat/>
    <w:uiPriority w:val="0"/>
    <w:rPr>
      <w:b/>
      <w:bCs/>
      <w:kern w:val="2"/>
      <w:sz w:val="21"/>
      <w:szCs w:val="24"/>
    </w:rPr>
  </w:style>
  <w:style w:type="character" w:customStyle="1" w:styleId="82">
    <w:name w:val="apple-converted-space"/>
    <w:basedOn w:val="32"/>
    <w:qFormat/>
    <w:uiPriority w:val="0"/>
  </w:style>
  <w:style w:type="character" w:customStyle="1" w:styleId="83">
    <w:name w:val="正文文本缩进 3 Char"/>
    <w:link w:val="25"/>
    <w:qFormat/>
    <w:uiPriority w:val="0"/>
    <w:rPr>
      <w:rFonts w:eastAsia="仿宋_GB2312"/>
      <w:kern w:val="2"/>
      <w:sz w:val="16"/>
      <w:szCs w:val="16"/>
    </w:rPr>
  </w:style>
  <w:style w:type="character" w:customStyle="1" w:styleId="84">
    <w:name w:val="页眉 Char"/>
    <w:link w:val="23"/>
    <w:qFormat/>
    <w:uiPriority w:val="99"/>
    <w:rPr>
      <w:kern w:val="2"/>
      <w:sz w:val="18"/>
      <w:szCs w:val="18"/>
    </w:rPr>
  </w:style>
  <w:style w:type="character" w:customStyle="1" w:styleId="85">
    <w:name w:val="正文文本缩进 Char"/>
    <w:link w:val="4"/>
    <w:qFormat/>
    <w:uiPriority w:val="0"/>
    <w:rPr>
      <w:rFonts w:ascii="华文中宋" w:hAnsi="华文中宋" w:eastAsia="华文中宋"/>
      <w:color w:val="FF6600"/>
      <w:kern w:val="2"/>
      <w:sz w:val="24"/>
      <w:szCs w:val="24"/>
    </w:rPr>
  </w:style>
  <w:style w:type="character" w:customStyle="1" w:styleId="86">
    <w:name w:val="正文文本缩进 2 Char"/>
    <w:link w:val="20"/>
    <w:qFormat/>
    <w:uiPriority w:val="0"/>
    <w:rPr>
      <w:kern w:val="2"/>
      <w:sz w:val="24"/>
      <w:szCs w:val="32"/>
    </w:rPr>
  </w:style>
  <w:style w:type="character" w:customStyle="1" w:styleId="87">
    <w:name w:val="ca-1"/>
    <w:basedOn w:val="32"/>
    <w:qFormat/>
    <w:uiPriority w:val="0"/>
  </w:style>
  <w:style w:type="character" w:customStyle="1" w:styleId="88">
    <w:name w:val="标题 7 Char"/>
    <w:link w:val="11"/>
    <w:qFormat/>
    <w:uiPriority w:val="0"/>
    <w:rPr>
      <w:b/>
      <w:kern w:val="2"/>
      <w:sz w:val="24"/>
    </w:rPr>
  </w:style>
  <w:style w:type="character" w:customStyle="1" w:styleId="89">
    <w:name w:val="批注文字 Char"/>
    <w:link w:val="14"/>
    <w:qFormat/>
    <w:uiPriority w:val="0"/>
    <w:rPr>
      <w:kern w:val="2"/>
      <w:sz w:val="21"/>
      <w:szCs w:val="24"/>
    </w:rPr>
  </w:style>
  <w:style w:type="character" w:customStyle="1" w:styleId="90">
    <w:name w:val="标题 9 Char"/>
    <w:link w:val="13"/>
    <w:qFormat/>
    <w:uiPriority w:val="0"/>
    <w:rPr>
      <w:rFonts w:ascii="Arial" w:hAnsi="Arial" w:eastAsia="黑体"/>
      <w:kern w:val="2"/>
      <w:sz w:val="21"/>
    </w:rPr>
  </w:style>
  <w:style w:type="character" w:customStyle="1" w:styleId="91">
    <w:name w:val="正文文本 Char"/>
    <w:link w:val="15"/>
    <w:qFormat/>
    <w:uiPriority w:val="0"/>
    <w:rPr>
      <w:color w:val="000000"/>
      <w:kern w:val="2"/>
      <w:sz w:val="24"/>
      <w:szCs w:val="24"/>
    </w:rPr>
  </w:style>
  <w:style w:type="character" w:customStyle="1" w:styleId="92">
    <w:name w:val="标题 8 Char"/>
    <w:link w:val="12"/>
    <w:qFormat/>
    <w:uiPriority w:val="0"/>
    <w:rPr>
      <w:rFonts w:ascii="Arial" w:hAnsi="Arial" w:eastAsia="黑体"/>
      <w:kern w:val="2"/>
      <w:sz w:val="24"/>
    </w:rPr>
  </w:style>
  <w:style w:type="character" w:customStyle="1" w:styleId="93">
    <w:name w:val="批注框文本 Char"/>
    <w:link w:val="21"/>
    <w:semiHidden/>
    <w:qFormat/>
    <w:uiPriority w:val="0"/>
    <w:rPr>
      <w:kern w:val="2"/>
      <w:sz w:val="18"/>
      <w:szCs w:val="18"/>
    </w:rPr>
  </w:style>
  <w:style w:type="character" w:customStyle="1" w:styleId="94">
    <w:name w:val="old"/>
    <w:basedOn w:val="32"/>
    <w:qFormat/>
    <w:uiPriority w:val="0"/>
    <w:rPr>
      <w:color w:val="999999"/>
    </w:rPr>
  </w:style>
  <w:style w:type="character" w:customStyle="1" w:styleId="95">
    <w:name w:val="hover3"/>
    <w:basedOn w:val="32"/>
    <w:qFormat/>
    <w:uiPriority w:val="0"/>
    <w:rPr>
      <w:shd w:val="clear" w:color="auto" w:fill="EEEEEE"/>
    </w:rPr>
  </w:style>
  <w:style w:type="character" w:customStyle="1" w:styleId="96">
    <w:name w:val="hour_am"/>
    <w:basedOn w:val="32"/>
    <w:qFormat/>
    <w:uiPriority w:val="0"/>
  </w:style>
  <w:style w:type="character" w:customStyle="1" w:styleId="97">
    <w:name w:val="hour_pm"/>
    <w:basedOn w:val="32"/>
    <w:qFormat/>
    <w:uiPriority w:val="0"/>
  </w:style>
  <w:style w:type="character" w:customStyle="1" w:styleId="98">
    <w:name w:val="glyphicon4"/>
    <w:basedOn w:val="32"/>
    <w:qFormat/>
    <w:uiPriority w:val="0"/>
  </w:style>
  <w:style w:type="character" w:customStyle="1" w:styleId="99">
    <w:name w:val="indent"/>
    <w:basedOn w:val="32"/>
    <w:qFormat/>
    <w:uiPriority w:val="0"/>
  </w:style>
  <w:style w:type="character" w:customStyle="1" w:styleId="100">
    <w:name w:val="button"/>
    <w:basedOn w:val="32"/>
    <w:qFormat/>
    <w:uiPriority w:val="0"/>
  </w:style>
  <w:style w:type="character" w:customStyle="1" w:styleId="101">
    <w:name w:val="tmpztreemove_arrow"/>
    <w:basedOn w:val="32"/>
    <w:qFormat/>
    <w:uiPriority w:val="0"/>
    <w:rPr>
      <w:shd w:val="clear" w:color="auto" w:fill="FFFFFF"/>
    </w:rPr>
  </w:style>
  <w:style w:type="character" w:customStyle="1" w:styleId="102">
    <w:name w:val="blue"/>
    <w:basedOn w:val="32"/>
    <w:qFormat/>
    <w:uiPriority w:val="0"/>
  </w:style>
  <w:style w:type="paragraph" w:customStyle="1" w:styleId="103">
    <w:name w:val="title12"/>
    <w:basedOn w:val="1"/>
    <w:qFormat/>
    <w:uiPriority w:val="0"/>
    <w:pPr>
      <w:spacing w:before="150"/>
      <w:jc w:val="left"/>
    </w:pPr>
    <w:rPr>
      <w:b/>
      <w:kern w:val="0"/>
      <w:sz w:val="22"/>
      <w:szCs w:val="22"/>
    </w:rPr>
  </w:style>
  <w:style w:type="paragraph" w:customStyle="1" w:styleId="104">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5">
    <w:name w:val="列出段落2"/>
    <w:basedOn w:val="1"/>
    <w:qFormat/>
    <w:uiPriority w:val="34"/>
    <w:pPr>
      <w:ind w:firstLine="420" w:firstLineChars="200"/>
    </w:pPr>
    <w:rPr>
      <w:kern w:val="0"/>
      <w:sz w:val="20"/>
    </w:rPr>
  </w:style>
  <w:style w:type="paragraph" w:customStyle="1" w:styleId="106">
    <w:name w:val="Table Paragraph"/>
    <w:basedOn w:val="1"/>
    <w:qFormat/>
    <w:uiPriority w:val="1"/>
    <w:rPr>
      <w:rFonts w:ascii="楷体" w:hAnsi="楷体" w:eastAsia="楷体" w:cs="楷体"/>
      <w:lang w:val="zh-CN" w:bidi="zh-CN"/>
    </w:rPr>
  </w:style>
  <w:style w:type="character" w:customStyle="1" w:styleId="107">
    <w:name w:val="font51"/>
    <w:basedOn w:val="32"/>
    <w:qFormat/>
    <w:uiPriority w:val="0"/>
    <w:rPr>
      <w:rFonts w:hint="eastAsia" w:ascii="宋体" w:hAnsi="宋体" w:eastAsia="宋体" w:cs="宋体"/>
      <w:color w:val="000000"/>
      <w:sz w:val="22"/>
      <w:szCs w:val="22"/>
      <w:u w:val="none"/>
    </w:rPr>
  </w:style>
  <w:style w:type="character" w:customStyle="1" w:styleId="108">
    <w:name w:val="font01"/>
    <w:basedOn w:val="32"/>
    <w:qFormat/>
    <w:uiPriority w:val="0"/>
    <w:rPr>
      <w:rFonts w:hint="eastAsia" w:ascii="宋体" w:hAnsi="宋体" w:eastAsia="宋体" w:cs="宋体"/>
      <w:color w:val="000000"/>
      <w:sz w:val="22"/>
      <w:szCs w:val="22"/>
      <w:u w:val="none"/>
    </w:rPr>
  </w:style>
  <w:style w:type="character" w:customStyle="1" w:styleId="109">
    <w:name w:val="font71"/>
    <w:basedOn w:val="32"/>
    <w:qFormat/>
    <w:uiPriority w:val="0"/>
    <w:rPr>
      <w:rFonts w:hint="eastAsia" w:ascii="宋体" w:hAnsi="宋体" w:eastAsia="宋体" w:cs="宋体"/>
      <w:color w:val="000000"/>
      <w:sz w:val="22"/>
      <w:szCs w:val="22"/>
      <w:u w:val="none"/>
      <w:vertAlign w:val="superscript"/>
    </w:rPr>
  </w:style>
  <w:style w:type="character" w:customStyle="1" w:styleId="110">
    <w:name w:val="font11"/>
    <w:basedOn w:val="32"/>
    <w:qFormat/>
    <w:uiPriority w:val="0"/>
    <w:rPr>
      <w:rFonts w:hint="eastAsia" w:ascii="宋体" w:hAnsi="宋体" w:eastAsia="宋体" w:cs="宋体"/>
      <w:color w:val="000000"/>
      <w:sz w:val="22"/>
      <w:szCs w:val="22"/>
      <w:u w:val="none"/>
    </w:rPr>
  </w:style>
  <w:style w:type="paragraph" w:customStyle="1" w:styleId="11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3">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4">
    <w:name w:val="@正文"/>
    <w:basedOn w:val="115"/>
    <w:qFormat/>
    <w:uiPriority w:val="0"/>
    <w:pPr>
      <w:wordWrap/>
      <w:spacing w:line="240" w:lineRule="auto"/>
      <w:ind w:firstLine="200" w:firstLineChars="200"/>
    </w:pPr>
    <w:rPr>
      <w:rFonts w:ascii="Calibri" w:hAnsi="Calibri" w:eastAsia="宋体" w:cs="Calibri"/>
      <w:color w:val="000000"/>
      <w:kern w:val="24"/>
      <w:sz w:val="24"/>
      <w:szCs w:val="24"/>
    </w:rPr>
  </w:style>
  <w:style w:type="paragraph" w:customStyle="1" w:styleId="115">
    <w:name w:val="※正文"/>
    <w:basedOn w:val="1"/>
    <w:next w:val="1"/>
    <w:qFormat/>
    <w:uiPriority w:val="0"/>
    <w:pPr>
      <w:wordWrap w:val="0"/>
      <w:spacing w:line="400" w:lineRule="exact"/>
    </w:pPr>
    <w:rPr>
      <w:rFonts w:ascii="Calibri Light" w:hAnsi="Calibri Light" w:eastAsia="华文仿宋"/>
      <w:sz w:val="28"/>
      <w:szCs w:val="28"/>
    </w:rPr>
  </w:style>
  <w:style w:type="character" w:customStyle="1" w:styleId="116">
    <w:name w:val="fontstyle01"/>
    <w:basedOn w:val="32"/>
    <w:qFormat/>
    <w:uiPriority w:val="0"/>
    <w:rPr>
      <w:rFonts w:hint="default" w:ascii="仿宋" w:hAnsi="仿宋"/>
      <w:color w:val="000000"/>
      <w:sz w:val="24"/>
      <w:szCs w:val="24"/>
    </w:rPr>
  </w:style>
  <w:style w:type="character" w:customStyle="1" w:styleId="117">
    <w:name w:val="font21"/>
    <w:basedOn w:val="32"/>
    <w:qFormat/>
    <w:uiPriority w:val="0"/>
    <w:rPr>
      <w:rFonts w:hint="eastAsia" w:ascii="宋体" w:hAnsi="宋体" w:eastAsia="宋体" w:cs="宋体"/>
      <w:color w:val="000000"/>
      <w:sz w:val="20"/>
      <w:szCs w:val="20"/>
      <w:u w:val="none"/>
    </w:rPr>
  </w:style>
  <w:style w:type="character" w:customStyle="1" w:styleId="118">
    <w:name w:val="font31"/>
    <w:basedOn w:val="3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80C4A-9923-474F-A2C8-F1C738EFD3F9}">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90</Pages>
  <Words>37448</Words>
  <Characters>40418</Characters>
  <Lines>631</Lines>
  <Paragraphs>177</Paragraphs>
  <TotalTime>0</TotalTime>
  <ScaleCrop>false</ScaleCrop>
  <LinksUpToDate>false</LinksUpToDate>
  <CharactersWithSpaces>43793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2022-10-20T08:43:00Z</dcterms:created>
  <dc:creator>lj</dc:creator>
  <cp:lastModifiedBy>李栎淳</cp:lastModifiedBy>
  <cp:lastPrinted>2022-11-28T06:09:00Z</cp:lastPrinted>
  <dcterms:modified xsi:type="dcterms:W3CDTF">2022-12-05T02:54:10Z</dcterms:modified>
  <dc:title>陕西省康陕西省康复医院医疗设备采购项目COCITC-ZSKF-150708</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EB3441CD3D054645A5FA8C34A9C2D138</vt:lpwstr>
  </property>
</Properties>
</file>