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HZGH-2022-064</w:t>
      </w:r>
    </w:p>
    <w:p>
      <w:pPr>
        <w:pStyle w:val="11"/>
        <w:rPr>
          <w:rFonts w:hint="eastAsia"/>
        </w:rPr>
      </w:pP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000000" w:themeColor="text1"/>
          <w:spacing w:val="20"/>
          <w:kern w:val="0"/>
          <w:sz w:val="48"/>
          <w:szCs w:val="48"/>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8"/>
          <w:szCs w:val="48"/>
          <w:highlight w:val="none"/>
          <w:lang w:val="en-US" w:eastAsia="zh-CN" w:bidi="ar-SA"/>
          <w14:textFill>
            <w14:solidFill>
              <w14:schemeClr w14:val="tx1"/>
            </w14:solidFill>
          </w14:textFill>
        </w:rPr>
        <w:t>陕西洛南文旅集团（筹）咨询顾问</w:t>
      </w:r>
    </w:p>
    <w:p>
      <w:pPr>
        <w:pStyle w:val="11"/>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000000" w:themeColor="text1"/>
          <w:spacing w:val="20"/>
          <w:kern w:val="0"/>
          <w:sz w:val="48"/>
          <w:szCs w:val="48"/>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8"/>
          <w:szCs w:val="48"/>
          <w:highlight w:val="none"/>
          <w:lang w:val="en-US" w:eastAsia="zh-CN" w:bidi="ar-SA"/>
          <w14:textFill>
            <w14:solidFill>
              <w14:schemeClr w14:val="tx1"/>
            </w14:solidFill>
          </w14:textFill>
        </w:rPr>
        <w:t>服务项目</w:t>
      </w:r>
    </w:p>
    <w:p>
      <w:pPr>
        <w:rPr>
          <w:rFonts w:hint="eastAsia"/>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pStyle w:val="11"/>
        <w:jc w:val="center"/>
        <w:rPr>
          <w:rFonts w:hint="eastAsia" w:ascii="仿宋" w:hAnsi="仿宋" w:eastAsia="仿宋" w:cs="仿宋"/>
          <w:b/>
          <w:bCs/>
          <w:color w:val="000000" w:themeColor="text1"/>
          <w:spacing w:val="20"/>
          <w:kern w:val="0"/>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20"/>
          <w:kern w:val="0"/>
          <w:sz w:val="36"/>
          <w:szCs w:val="36"/>
          <w:highlight w:val="none"/>
          <w:lang w:val="en-US" w:eastAsia="zh-CN"/>
          <w14:textFill>
            <w14:solidFill>
              <w14:schemeClr w14:val="tx1"/>
            </w14:solidFill>
          </w14:textFill>
        </w:rPr>
        <w:t>（专门面向中小企业项目）</w:t>
      </w:r>
    </w:p>
    <w:p>
      <w:pPr>
        <w:jc w:val="both"/>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drawing>
          <wp:anchor distT="0" distB="0" distL="114300" distR="114300" simplePos="0" relativeHeight="251660288" behindDoc="1" locked="0" layoutInCell="1" allowOverlap="1">
            <wp:simplePos x="0" y="0"/>
            <wp:positionH relativeFrom="column">
              <wp:posOffset>2101215</wp:posOffset>
            </wp:positionH>
            <wp:positionV relativeFrom="paragraph">
              <wp:posOffset>467360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6"/>
        <w:rPr>
          <w:rFonts w:hint="eastAsia" w:ascii="仿宋" w:hAnsi="仿宋" w:eastAsia="仿宋" w:cs="仿宋"/>
          <w:b/>
          <w:color w:val="000000" w:themeColor="text1"/>
          <w:sz w:val="32"/>
          <w:szCs w:val="32"/>
          <w:highlight w:val="none"/>
          <w14:textFill>
            <w14:solidFill>
              <w14:schemeClr w14:val="tx1"/>
            </w14:solidFill>
          </w14:textFill>
        </w:rPr>
      </w:pPr>
    </w:p>
    <w:p>
      <w:pPr>
        <w:pStyle w:val="36"/>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洛南县文化和旅游局</w:t>
      </w:r>
    </w:p>
    <w:p>
      <w:pPr>
        <w:spacing w:line="560" w:lineRule="exact"/>
        <w:ind w:firstLine="1606" w:firstLineChars="5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eastAsia="zh-CN"/>
          <w14:textFill>
            <w14:solidFill>
              <w14:schemeClr w14:val="tx1"/>
            </w14:solidFill>
          </w14:textFill>
        </w:rPr>
        <w:t>二</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5、请于购买竞争性磋商文件后按照规定及时递交磋商保证金。</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21</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只需拟派1人参与本项目招标会议，须注册西安市“一码通”且为绿码，现场测量体温不得超过37℃，参与招标会议的人员均需佩戴口罩。</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8"/>
        <w:tabs>
          <w:tab w:val="right" w:leader="dot" w:pos="9070"/>
        </w:tabs>
        <w:spacing w:line="480" w:lineRule="auto"/>
        <w:rPr>
          <w:sz w:val="22"/>
          <w:szCs w:val="28"/>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rPr>
        <w:tab/>
      </w:r>
      <w:r>
        <w:rPr>
          <w:sz w:val="22"/>
          <w:szCs w:val="28"/>
        </w:rPr>
        <w:fldChar w:fldCharType="begin"/>
      </w:r>
      <w:r>
        <w:rPr>
          <w:sz w:val="22"/>
          <w:szCs w:val="28"/>
        </w:rPr>
        <w:instrText xml:space="preserve"> PAGEREF _Toc20848 \h </w:instrText>
      </w:r>
      <w:r>
        <w:rPr>
          <w:sz w:val="22"/>
          <w:szCs w:val="28"/>
        </w:rPr>
        <w:fldChar w:fldCharType="separate"/>
      </w:r>
      <w:r>
        <w:rPr>
          <w:sz w:val="22"/>
          <w:szCs w:val="28"/>
        </w:rPr>
        <w:t>2</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rPr>
        <w:tab/>
      </w:r>
      <w:r>
        <w:rPr>
          <w:sz w:val="22"/>
          <w:szCs w:val="28"/>
        </w:rPr>
        <w:fldChar w:fldCharType="begin"/>
      </w:r>
      <w:r>
        <w:rPr>
          <w:sz w:val="22"/>
          <w:szCs w:val="28"/>
        </w:rPr>
        <w:instrText xml:space="preserve"> PAGEREF _Toc19749 \h </w:instrText>
      </w:r>
      <w:r>
        <w:rPr>
          <w:sz w:val="22"/>
          <w:szCs w:val="28"/>
        </w:rPr>
        <w:fldChar w:fldCharType="separate"/>
      </w:r>
      <w:r>
        <w:rPr>
          <w:sz w:val="22"/>
          <w:szCs w:val="28"/>
        </w:rPr>
        <w:t>7</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rPr>
        <w:tab/>
      </w:r>
      <w:r>
        <w:rPr>
          <w:sz w:val="22"/>
          <w:szCs w:val="28"/>
        </w:rPr>
        <w:fldChar w:fldCharType="begin"/>
      </w:r>
      <w:r>
        <w:rPr>
          <w:sz w:val="22"/>
          <w:szCs w:val="28"/>
        </w:rPr>
        <w:instrText xml:space="preserve"> PAGEREF _Toc1739 \h </w:instrText>
      </w:r>
      <w:r>
        <w:rPr>
          <w:sz w:val="22"/>
          <w:szCs w:val="28"/>
        </w:rPr>
        <w:fldChar w:fldCharType="separate"/>
      </w:r>
      <w:r>
        <w:rPr>
          <w:sz w:val="22"/>
          <w:szCs w:val="28"/>
        </w:rPr>
        <w:t>7</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rPr>
        <w:tab/>
      </w:r>
      <w:r>
        <w:rPr>
          <w:sz w:val="22"/>
          <w:szCs w:val="28"/>
        </w:rPr>
        <w:fldChar w:fldCharType="begin"/>
      </w:r>
      <w:r>
        <w:rPr>
          <w:sz w:val="22"/>
          <w:szCs w:val="28"/>
        </w:rPr>
        <w:instrText xml:space="preserve"> PAGEREF _Toc12152 \h </w:instrText>
      </w:r>
      <w:r>
        <w:rPr>
          <w:sz w:val="22"/>
          <w:szCs w:val="28"/>
        </w:rPr>
        <w:fldChar w:fldCharType="separate"/>
      </w:r>
      <w:r>
        <w:rPr>
          <w:sz w:val="22"/>
          <w:szCs w:val="28"/>
        </w:rPr>
        <w:t>13</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rPr>
        <w:tab/>
      </w:r>
      <w:r>
        <w:rPr>
          <w:sz w:val="22"/>
          <w:szCs w:val="28"/>
        </w:rPr>
        <w:fldChar w:fldCharType="begin"/>
      </w:r>
      <w:r>
        <w:rPr>
          <w:sz w:val="22"/>
          <w:szCs w:val="28"/>
        </w:rPr>
        <w:instrText xml:space="preserve"> PAGEREF _Toc24776 \h </w:instrText>
      </w:r>
      <w:r>
        <w:rPr>
          <w:sz w:val="22"/>
          <w:szCs w:val="28"/>
        </w:rPr>
        <w:fldChar w:fldCharType="separate"/>
      </w:r>
      <w:r>
        <w:rPr>
          <w:sz w:val="22"/>
          <w:szCs w:val="28"/>
        </w:rPr>
        <w:t>13</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rPr>
        <w:tab/>
      </w:r>
      <w:r>
        <w:rPr>
          <w:sz w:val="22"/>
          <w:szCs w:val="28"/>
        </w:rPr>
        <w:fldChar w:fldCharType="begin"/>
      </w:r>
      <w:r>
        <w:rPr>
          <w:sz w:val="22"/>
          <w:szCs w:val="28"/>
        </w:rPr>
        <w:instrText xml:space="preserve"> PAGEREF _Toc1600 \h </w:instrText>
      </w:r>
      <w:r>
        <w:rPr>
          <w:sz w:val="22"/>
          <w:szCs w:val="28"/>
        </w:rPr>
        <w:fldChar w:fldCharType="separate"/>
      </w:r>
      <w:r>
        <w:rPr>
          <w:sz w:val="22"/>
          <w:szCs w:val="28"/>
        </w:rPr>
        <w:t>14</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五</w:t>
      </w:r>
      <w:r>
        <w:rPr>
          <w:rFonts w:hint="eastAsia" w:ascii="仿宋" w:hAnsi="仿宋" w:eastAsia="仿宋" w:cs="仿宋"/>
          <w:kern w:val="0"/>
          <w:sz w:val="22"/>
          <w:szCs w:val="32"/>
          <w:highlight w:val="none"/>
        </w:rPr>
        <w:t>、磋商响应</w:t>
      </w:r>
      <w:r>
        <w:rPr>
          <w:sz w:val="22"/>
          <w:szCs w:val="28"/>
        </w:rPr>
        <w:tab/>
      </w:r>
      <w:r>
        <w:rPr>
          <w:sz w:val="22"/>
          <w:szCs w:val="28"/>
        </w:rPr>
        <w:fldChar w:fldCharType="begin"/>
      </w:r>
      <w:r>
        <w:rPr>
          <w:sz w:val="22"/>
          <w:szCs w:val="28"/>
        </w:rPr>
        <w:instrText xml:space="preserve"> PAGEREF _Toc5793 \h </w:instrText>
      </w:r>
      <w:r>
        <w:rPr>
          <w:sz w:val="22"/>
          <w:szCs w:val="28"/>
        </w:rPr>
        <w:fldChar w:fldCharType="separate"/>
      </w:r>
      <w:r>
        <w:rPr>
          <w:sz w:val="22"/>
          <w:szCs w:val="28"/>
        </w:rPr>
        <w:t>19</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六</w:t>
      </w:r>
      <w:r>
        <w:rPr>
          <w:rFonts w:hint="eastAsia" w:ascii="仿宋" w:hAnsi="仿宋" w:eastAsia="仿宋" w:cs="仿宋"/>
          <w:bCs/>
          <w:sz w:val="22"/>
          <w:szCs w:val="32"/>
          <w:highlight w:val="none"/>
        </w:rPr>
        <w:t>、磋商、评审及定标</w:t>
      </w:r>
      <w:r>
        <w:rPr>
          <w:sz w:val="22"/>
          <w:szCs w:val="28"/>
        </w:rPr>
        <w:tab/>
      </w:r>
      <w:r>
        <w:rPr>
          <w:sz w:val="22"/>
          <w:szCs w:val="28"/>
        </w:rPr>
        <w:fldChar w:fldCharType="begin"/>
      </w:r>
      <w:r>
        <w:rPr>
          <w:sz w:val="22"/>
          <w:szCs w:val="28"/>
        </w:rPr>
        <w:instrText xml:space="preserve"> PAGEREF _Toc23636 \h </w:instrText>
      </w:r>
      <w:r>
        <w:rPr>
          <w:sz w:val="22"/>
          <w:szCs w:val="28"/>
        </w:rPr>
        <w:fldChar w:fldCharType="separate"/>
      </w:r>
      <w:r>
        <w:rPr>
          <w:sz w:val="22"/>
          <w:szCs w:val="28"/>
        </w:rPr>
        <w:t>22</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七</w:t>
      </w:r>
      <w:r>
        <w:rPr>
          <w:rFonts w:hint="eastAsia" w:ascii="仿宋" w:hAnsi="仿宋" w:eastAsia="仿宋" w:cs="仿宋"/>
          <w:sz w:val="22"/>
          <w:szCs w:val="32"/>
          <w:highlight w:val="none"/>
        </w:rPr>
        <w:t>、合同</w:t>
      </w:r>
      <w:r>
        <w:rPr>
          <w:sz w:val="22"/>
          <w:szCs w:val="28"/>
        </w:rPr>
        <w:tab/>
      </w:r>
      <w:r>
        <w:rPr>
          <w:sz w:val="22"/>
          <w:szCs w:val="28"/>
        </w:rPr>
        <w:fldChar w:fldCharType="begin"/>
      </w:r>
      <w:r>
        <w:rPr>
          <w:sz w:val="22"/>
          <w:szCs w:val="28"/>
        </w:rPr>
        <w:instrText xml:space="preserve"> PAGEREF _Toc28361 \h </w:instrText>
      </w:r>
      <w:r>
        <w:rPr>
          <w:sz w:val="22"/>
          <w:szCs w:val="28"/>
        </w:rPr>
        <w:fldChar w:fldCharType="separate"/>
      </w:r>
      <w:r>
        <w:rPr>
          <w:sz w:val="22"/>
          <w:szCs w:val="28"/>
        </w:rPr>
        <w:t>34</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、合同的履约验收</w:t>
      </w:r>
      <w:r>
        <w:rPr>
          <w:sz w:val="22"/>
          <w:szCs w:val="28"/>
        </w:rPr>
        <w:tab/>
      </w:r>
      <w:r>
        <w:rPr>
          <w:sz w:val="22"/>
          <w:szCs w:val="28"/>
        </w:rPr>
        <w:fldChar w:fldCharType="begin"/>
      </w:r>
      <w:r>
        <w:rPr>
          <w:sz w:val="22"/>
          <w:szCs w:val="28"/>
        </w:rPr>
        <w:instrText xml:space="preserve"> PAGEREF _Toc24945 \h </w:instrText>
      </w:r>
      <w:r>
        <w:rPr>
          <w:sz w:val="22"/>
          <w:szCs w:val="28"/>
        </w:rPr>
        <w:fldChar w:fldCharType="separate"/>
      </w:r>
      <w:r>
        <w:rPr>
          <w:sz w:val="22"/>
          <w:szCs w:val="28"/>
        </w:rPr>
        <w:t>35</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、招标服务费</w:t>
      </w:r>
      <w:r>
        <w:rPr>
          <w:sz w:val="22"/>
          <w:szCs w:val="28"/>
        </w:rPr>
        <w:tab/>
      </w:r>
      <w:r>
        <w:rPr>
          <w:sz w:val="22"/>
          <w:szCs w:val="28"/>
        </w:rPr>
        <w:fldChar w:fldCharType="begin"/>
      </w:r>
      <w:r>
        <w:rPr>
          <w:sz w:val="22"/>
          <w:szCs w:val="28"/>
        </w:rPr>
        <w:instrText xml:space="preserve"> PAGEREF _Toc19792 \h </w:instrText>
      </w:r>
      <w:r>
        <w:rPr>
          <w:sz w:val="22"/>
          <w:szCs w:val="28"/>
        </w:rPr>
        <w:fldChar w:fldCharType="separate"/>
      </w:r>
      <w:r>
        <w:rPr>
          <w:sz w:val="22"/>
          <w:szCs w:val="28"/>
        </w:rPr>
        <w:t>35</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十、重新组织采购活动</w:t>
      </w:r>
      <w:r>
        <w:rPr>
          <w:sz w:val="22"/>
          <w:szCs w:val="28"/>
        </w:rPr>
        <w:tab/>
      </w:r>
      <w:r>
        <w:rPr>
          <w:sz w:val="22"/>
          <w:szCs w:val="28"/>
        </w:rPr>
        <w:fldChar w:fldCharType="begin"/>
      </w:r>
      <w:r>
        <w:rPr>
          <w:sz w:val="22"/>
          <w:szCs w:val="28"/>
        </w:rPr>
        <w:instrText xml:space="preserve"> PAGEREF _Toc14425 \h </w:instrText>
      </w:r>
      <w:r>
        <w:rPr>
          <w:sz w:val="22"/>
          <w:szCs w:val="28"/>
        </w:rPr>
        <w:fldChar w:fldCharType="separate"/>
      </w:r>
      <w:r>
        <w:rPr>
          <w:sz w:val="22"/>
          <w:szCs w:val="28"/>
        </w:rPr>
        <w:t>35</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、询问、质疑与投诉</w:t>
      </w:r>
      <w:r>
        <w:rPr>
          <w:sz w:val="22"/>
          <w:szCs w:val="28"/>
        </w:rPr>
        <w:tab/>
      </w:r>
      <w:r>
        <w:rPr>
          <w:sz w:val="22"/>
          <w:szCs w:val="28"/>
        </w:rPr>
        <w:fldChar w:fldCharType="begin"/>
      </w:r>
      <w:r>
        <w:rPr>
          <w:sz w:val="22"/>
          <w:szCs w:val="28"/>
        </w:rPr>
        <w:instrText xml:space="preserve"> PAGEREF _Toc15549 \h </w:instrText>
      </w:r>
      <w:r>
        <w:rPr>
          <w:sz w:val="22"/>
          <w:szCs w:val="28"/>
        </w:rPr>
        <w:fldChar w:fldCharType="separate"/>
      </w:r>
      <w:r>
        <w:rPr>
          <w:sz w:val="22"/>
          <w:szCs w:val="28"/>
        </w:rPr>
        <w:t>35</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二</w:t>
      </w:r>
      <w:r>
        <w:rPr>
          <w:rFonts w:hint="eastAsia" w:ascii="仿宋" w:hAnsi="仿宋" w:eastAsia="仿宋" w:cs="仿宋"/>
          <w:sz w:val="22"/>
          <w:szCs w:val="32"/>
          <w:highlight w:val="none"/>
        </w:rPr>
        <w:t>、拒绝商业贿赂</w:t>
      </w:r>
      <w:r>
        <w:rPr>
          <w:sz w:val="22"/>
          <w:szCs w:val="28"/>
        </w:rPr>
        <w:tab/>
      </w:r>
      <w:r>
        <w:rPr>
          <w:sz w:val="22"/>
          <w:szCs w:val="28"/>
        </w:rPr>
        <w:fldChar w:fldCharType="begin"/>
      </w:r>
      <w:r>
        <w:rPr>
          <w:sz w:val="22"/>
          <w:szCs w:val="28"/>
        </w:rPr>
        <w:instrText xml:space="preserve"> PAGEREF _Toc19464 \h </w:instrText>
      </w:r>
      <w:r>
        <w:rPr>
          <w:sz w:val="22"/>
          <w:szCs w:val="28"/>
        </w:rPr>
        <w:fldChar w:fldCharType="separate"/>
      </w:r>
      <w:r>
        <w:rPr>
          <w:sz w:val="22"/>
          <w:szCs w:val="28"/>
        </w:rPr>
        <w:t>37</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rPr>
        <w:tab/>
      </w:r>
      <w:r>
        <w:rPr>
          <w:sz w:val="22"/>
          <w:szCs w:val="28"/>
        </w:rPr>
        <w:fldChar w:fldCharType="begin"/>
      </w:r>
      <w:r>
        <w:rPr>
          <w:sz w:val="22"/>
          <w:szCs w:val="28"/>
        </w:rPr>
        <w:instrText xml:space="preserve"> PAGEREF _Toc20324 \h </w:instrText>
      </w:r>
      <w:r>
        <w:rPr>
          <w:sz w:val="22"/>
          <w:szCs w:val="28"/>
        </w:rPr>
        <w:fldChar w:fldCharType="separate"/>
      </w:r>
      <w:r>
        <w:rPr>
          <w:sz w:val="22"/>
          <w:szCs w:val="28"/>
        </w:rPr>
        <w:t>38</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rPr>
        <w:tab/>
      </w:r>
      <w:r>
        <w:rPr>
          <w:sz w:val="22"/>
          <w:szCs w:val="28"/>
        </w:rPr>
        <w:fldChar w:fldCharType="begin"/>
      </w:r>
      <w:r>
        <w:rPr>
          <w:sz w:val="22"/>
          <w:szCs w:val="28"/>
        </w:rPr>
        <w:instrText xml:space="preserve"> PAGEREF _Toc21581 \h </w:instrText>
      </w:r>
      <w:r>
        <w:rPr>
          <w:sz w:val="22"/>
          <w:szCs w:val="28"/>
        </w:rPr>
        <w:fldChar w:fldCharType="separate"/>
      </w:r>
      <w:r>
        <w:rPr>
          <w:sz w:val="22"/>
          <w:szCs w:val="28"/>
        </w:rPr>
        <w:t>39</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rPr>
        <w:tab/>
      </w:r>
      <w:r>
        <w:rPr>
          <w:sz w:val="22"/>
          <w:szCs w:val="28"/>
        </w:rPr>
        <w:fldChar w:fldCharType="begin"/>
      </w:r>
      <w:r>
        <w:rPr>
          <w:sz w:val="22"/>
          <w:szCs w:val="28"/>
        </w:rPr>
        <w:instrText xml:space="preserve"> PAGEREF _Toc2890 \h </w:instrText>
      </w:r>
      <w:r>
        <w:rPr>
          <w:sz w:val="22"/>
          <w:szCs w:val="28"/>
        </w:rPr>
        <w:fldChar w:fldCharType="separate"/>
      </w:r>
      <w:r>
        <w:rPr>
          <w:sz w:val="22"/>
          <w:szCs w:val="28"/>
        </w:rPr>
        <w:t>40</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rPr>
        <w:t>第六章  竞争性磋商响应文件格式</w:t>
      </w:r>
      <w:r>
        <w:rPr>
          <w:sz w:val="22"/>
          <w:szCs w:val="28"/>
        </w:rPr>
        <w:tab/>
      </w:r>
      <w:r>
        <w:rPr>
          <w:sz w:val="22"/>
          <w:szCs w:val="28"/>
        </w:rPr>
        <w:fldChar w:fldCharType="begin"/>
      </w:r>
      <w:r>
        <w:rPr>
          <w:sz w:val="22"/>
          <w:szCs w:val="28"/>
        </w:rPr>
        <w:instrText xml:space="preserve"> PAGEREF _Toc32022 \h </w:instrText>
      </w:r>
      <w:r>
        <w:rPr>
          <w:sz w:val="22"/>
          <w:szCs w:val="28"/>
        </w:rPr>
        <w:fldChar w:fldCharType="separate"/>
      </w:r>
      <w:r>
        <w:rPr>
          <w:sz w:val="22"/>
          <w:szCs w:val="28"/>
        </w:rPr>
        <w:t>45</w:t>
      </w:r>
      <w:r>
        <w:rPr>
          <w:sz w:val="22"/>
          <w:szCs w:val="28"/>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sz w:val="24"/>
          <w:szCs w:val="24"/>
        </w:rPr>
      </w:pPr>
      <w:r>
        <w:rPr>
          <w:rStyle w:val="26"/>
          <w:rFonts w:hint="eastAsia" w:ascii="仿宋" w:hAnsi="仿宋" w:eastAsia="仿宋" w:cs="仿宋"/>
          <w:b/>
          <w:bCs/>
          <w:i w:val="0"/>
          <w:iCs w:val="0"/>
          <w:caps w:val="0"/>
          <w:color w:val="333333"/>
          <w:spacing w:val="0"/>
          <w:sz w:val="24"/>
          <w:szCs w:val="24"/>
          <w:shd w:val="clear"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陕西洛南文旅集团（筹）咨询顾问服务项目采购项目的潜在供应商应在西安市朱雀大街南段1号汇成天玺C座18层1812室获取采购文件，并于 2022年09月</w:t>
      </w:r>
      <w:r>
        <w:rPr>
          <w:rFonts w:hint="eastAsia" w:ascii="仿宋" w:hAnsi="仿宋" w:eastAsia="仿宋" w:cs="仿宋"/>
          <w:i w:val="0"/>
          <w:iCs w:val="0"/>
          <w:caps w:val="0"/>
          <w:color w:val="auto"/>
          <w:spacing w:val="0"/>
          <w:sz w:val="24"/>
          <w:szCs w:val="24"/>
          <w:shd w:val="clear" w:fill="FFFFFF"/>
          <w:lang w:val="en-US" w:eastAsia="zh-CN"/>
        </w:rPr>
        <w:t>21</w:t>
      </w:r>
      <w:r>
        <w:rPr>
          <w:rFonts w:hint="eastAsia" w:ascii="仿宋" w:hAnsi="仿宋" w:eastAsia="仿宋" w:cs="仿宋"/>
          <w:i w:val="0"/>
          <w:iCs w:val="0"/>
          <w:caps w:val="0"/>
          <w:color w:val="auto"/>
          <w:spacing w:val="0"/>
          <w:sz w:val="24"/>
          <w:szCs w:val="24"/>
          <w:shd w:val="clear" w:fill="FFFFFF"/>
        </w:rPr>
        <w:t>日 14时30分 （北京时间）前提交响应文件。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项目编号：HZGH-2022-064</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项目名称：陕西洛南文旅集团（筹）咨询顾问服务项目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预算金额：1,480,000.00元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合同包1(咨询顾问服务):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合同包预算金额：1,480,000.00元</w:t>
      </w:r>
    </w:p>
    <w:tbl>
      <w:tblPr>
        <w:tblStyle w:val="23"/>
        <w:tblW w:w="99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2197"/>
        <w:gridCol w:w="1892"/>
        <w:gridCol w:w="1104"/>
        <w:gridCol w:w="1513"/>
        <w:gridCol w:w="1680"/>
        <w:gridCol w:w="9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8" w:hRule="atLeast"/>
          <w:tblHeader/>
          <w:jc w:val="center"/>
        </w:trPr>
        <w:tc>
          <w:tcPr>
            <w:tcW w:w="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2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9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5" w:hRule="atLeast"/>
          <w:jc w:val="center"/>
        </w:trPr>
        <w:tc>
          <w:tcPr>
            <w:tcW w:w="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2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其他专业技术服务</w:t>
            </w:r>
          </w:p>
        </w:tc>
        <w:tc>
          <w:tcPr>
            <w:tcW w:w="1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咨询顾问服务</w:t>
            </w:r>
          </w:p>
        </w:tc>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1,480,000.00</w:t>
            </w:r>
          </w:p>
        </w:tc>
        <w:tc>
          <w:tcPr>
            <w:tcW w:w="9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合同履行期限：无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合同包1(咨询顾问服务)落实政府采购政策需满足的资格要求如下: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（1）、《政府采购促进中小企业发展管理办法》的通知--财库[2020]46号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（2）、陕西省财政厅关于印发《陕西省中小企业政府采购信用融资办法》--(陕财办采[2018]23号)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（3）、《陕西省财政厅关于加快推进我省中小企业政府采购信用融资工作的通知》（陕财办采〔2020〕15号）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（4）、财政部司法部关于政府采购支持监狱企业发展有关问题的通知--财库〔2014〕68号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（5）、《国务院办公厅关于建立政府强制采购节能产品制度的通知》--国办发〔2007〕51号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（6）、《节能产品政府采购实施意见》（财库[2004]185号）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（7）、《环境标志产品政府采购实施的意见》（财库[2006]90号）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（8）、《财政部发展改革委生态环境部市场监督总局关于调整优化节能产品、环境标志产品政府采购执行机制的通知》--（财库[2019]9号）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（9）、《市场监督总局关于发布参与实施政府采购节能产品、环境标志产品认证机构名录的公告》--2019年第16号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（10）、《财政部民政部中国残疾人联合会关于促进残疾人就业政府采购政策的通知》--（财库〔2017〕141号）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（11）、《财政部国务院扶贫办关于运用政府采购政策支持脱贫攻坚的通知》（财库〔2019〕27号）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（12）、《关于进一步加强政府绿色采购有关问题的通知》（陕财办采〔2021〕29号）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（13）、其他需要落实的政府采购政策。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合同包1(咨询顾问服务)特定资格要求如下:</w:t>
      </w:r>
    </w:p>
    <w:p>
      <w:pPr>
        <w:pStyle w:val="2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、基本资格条件：符合《中华人民共和国政府采购法》第二十二条的规定；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财务状况报告：提供具有财务审计资质单位出具的2020年度或2021年度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3、税收缴纳证明：提供2022年1月1日至今任意一个月的缴费凭据；（依法免税的供应商应提供相关文件证明）。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4、社会保障资金缴纳证明：提供2022年1月1日至今任意一个月的社保缴费凭据或社保机构开具的社会保险参保缴费情况证明；（依法不需要缴纳社会保障资金的供应商应提供相关证明）。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5、提供具有履行本合同所必需的设备和专业技术能力的说明及承诺；（格式自拟，加盖供应商公章）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6、提供参加政府采购活动前三年内在经营活动中没有重大违法记录的书面声明。（格式自拟，加盖供应商公章）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（2）、特定资格条件：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3、磋商保证金交纳凭证；（保证金交纳凭证复印件加盖公章）；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0" w:firstLineChars="200"/>
        <w:jc w:val="both"/>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rPr>
        <w:t>、本项目不接受联合体磋商。</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right="0" w:rightChars="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333333"/>
          <w:spacing w:val="0"/>
          <w:sz w:val="24"/>
          <w:szCs w:val="24"/>
          <w:shd w:val="clear" w:fill="FFFFFF"/>
        </w:rPr>
        <w:t>时间：</w:t>
      </w:r>
      <w:r>
        <w:rPr>
          <w:rFonts w:hint="eastAsia" w:ascii="仿宋" w:hAnsi="仿宋" w:eastAsia="仿宋" w:cs="仿宋"/>
          <w:i w:val="0"/>
          <w:iCs w:val="0"/>
          <w:caps w:val="0"/>
          <w:color w:val="auto"/>
          <w:spacing w:val="0"/>
          <w:sz w:val="24"/>
          <w:szCs w:val="24"/>
          <w:shd w:val="clear" w:fill="FFFFFF"/>
        </w:rPr>
        <w:t> 2022年09月0</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rPr>
        <w:t>日 至 2022年09月</w:t>
      </w:r>
      <w:r>
        <w:rPr>
          <w:rFonts w:hint="eastAsia" w:ascii="仿宋" w:hAnsi="仿宋" w:eastAsia="仿宋" w:cs="仿宋"/>
          <w:i w:val="0"/>
          <w:iCs w:val="0"/>
          <w:caps w:val="0"/>
          <w:color w:val="auto"/>
          <w:spacing w:val="0"/>
          <w:sz w:val="24"/>
          <w:szCs w:val="24"/>
          <w:shd w:val="clear" w:fill="FFFFFF"/>
          <w:lang w:val="en-US" w:eastAsia="zh-CN"/>
        </w:rPr>
        <w:t>16</w:t>
      </w:r>
      <w:r>
        <w:rPr>
          <w:rFonts w:hint="eastAsia" w:ascii="仿宋" w:hAnsi="仿宋" w:eastAsia="仿宋" w:cs="仿宋"/>
          <w:i w:val="0"/>
          <w:iCs w:val="0"/>
          <w:caps w:val="0"/>
          <w:color w:val="auto"/>
          <w:spacing w:val="0"/>
          <w:sz w:val="24"/>
          <w:szCs w:val="24"/>
          <w:shd w:val="clear" w:fill="FFFFFF"/>
        </w:rPr>
        <w:t>日 ，每天上午 09:00:00 至 12:00:00 ，下午 14:00:00 至 17:00:00 （北京时间,法定节假日除外）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地点：西安市朱雀大街南段1号汇成天玺C座18层1812室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售价： 500元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2022年09月</w:t>
      </w:r>
      <w:r>
        <w:rPr>
          <w:rFonts w:hint="eastAsia" w:ascii="仿宋" w:hAnsi="仿宋" w:eastAsia="仿宋" w:cs="仿宋"/>
          <w:i w:val="0"/>
          <w:iCs w:val="0"/>
          <w:caps w:val="0"/>
          <w:color w:val="auto"/>
          <w:spacing w:val="0"/>
          <w:sz w:val="24"/>
          <w:szCs w:val="24"/>
          <w:shd w:val="clear" w:fill="FFFFFF"/>
          <w:lang w:val="en-US" w:eastAsia="zh-CN"/>
        </w:rPr>
        <w:t>21</w:t>
      </w:r>
      <w:r>
        <w:rPr>
          <w:rFonts w:hint="eastAsia" w:ascii="仿宋" w:hAnsi="仿宋" w:eastAsia="仿宋" w:cs="仿宋"/>
          <w:i w:val="0"/>
          <w:iCs w:val="0"/>
          <w:caps w:val="0"/>
          <w:color w:val="auto"/>
          <w:spacing w:val="0"/>
          <w:sz w:val="24"/>
          <w:szCs w:val="24"/>
          <w:shd w:val="clear" w:fill="FFFFFF"/>
        </w:rPr>
        <w:t>日 14时30分00秒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地点：西安市朱雀大街南段1号汇成天玺C座18层1818室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auto"/>
          <w:spacing w:val="0"/>
          <w:sz w:val="24"/>
          <w:szCs w:val="24"/>
        </w:rPr>
      </w:pPr>
      <w:r>
        <w:rPr>
          <w:rStyle w:val="26"/>
          <w:rFonts w:hint="eastAsia" w:ascii="仿宋" w:hAnsi="仿宋" w:eastAsia="仿宋" w:cs="仿宋"/>
          <w:b/>
          <w:bCs/>
          <w:i w:val="0"/>
          <w:iCs w:val="0"/>
          <w:caps w:val="0"/>
          <w:color w:val="auto"/>
          <w:spacing w:val="0"/>
          <w:sz w:val="24"/>
          <w:szCs w:val="24"/>
          <w:shd w:val="clear"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2022年09月</w:t>
      </w:r>
      <w:r>
        <w:rPr>
          <w:rFonts w:hint="eastAsia" w:ascii="仿宋" w:hAnsi="仿宋" w:eastAsia="仿宋" w:cs="仿宋"/>
          <w:i w:val="0"/>
          <w:iCs w:val="0"/>
          <w:caps w:val="0"/>
          <w:color w:val="auto"/>
          <w:spacing w:val="0"/>
          <w:sz w:val="24"/>
          <w:szCs w:val="24"/>
          <w:shd w:val="clear" w:fill="FFFFFF"/>
          <w:lang w:val="en-US" w:eastAsia="zh-CN"/>
        </w:rPr>
        <w:t>21</w:t>
      </w:r>
      <w:r>
        <w:rPr>
          <w:rFonts w:hint="eastAsia" w:ascii="仿宋" w:hAnsi="仿宋" w:eastAsia="仿宋" w:cs="仿宋"/>
          <w:i w:val="0"/>
          <w:iCs w:val="0"/>
          <w:caps w:val="0"/>
          <w:color w:val="auto"/>
          <w:spacing w:val="0"/>
          <w:sz w:val="24"/>
          <w:szCs w:val="24"/>
          <w:shd w:val="clear" w:fill="FFFFFF"/>
        </w:rPr>
        <w:t>日 14时30分00秒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地点：西安市朱雀大街南段1号汇成天玺C座18层1818室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自本公</w:t>
      </w:r>
      <w:r>
        <w:rPr>
          <w:rFonts w:hint="eastAsia" w:ascii="仿宋" w:hAnsi="仿宋" w:eastAsia="仿宋" w:cs="仿宋"/>
          <w:i w:val="0"/>
          <w:iCs w:val="0"/>
          <w:caps w:val="0"/>
          <w:color w:val="auto"/>
          <w:spacing w:val="0"/>
          <w:sz w:val="24"/>
          <w:szCs w:val="24"/>
          <w:shd w:val="clear" w:fill="FFFFFF"/>
        </w:rPr>
        <w:t>告发布之日起3个工作日。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196" w:firstLine="480" w:firstLineChars="200"/>
        <w:jc w:val="left"/>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注：</w:t>
      </w:r>
      <w:r>
        <w:rPr>
          <w:rFonts w:hint="eastAsia" w:ascii="仿宋" w:hAnsi="仿宋" w:eastAsia="仿宋" w:cs="仿宋"/>
          <w:b w:val="0"/>
          <w:bCs w:val="0"/>
          <w:color w:val="000000"/>
          <w:sz w:val="24"/>
          <w:highlight w:val="none"/>
          <w:lang w:val="en-US" w:eastAsia="zh-CN"/>
        </w:rPr>
        <w:t>本项目仅对中小企业发售。</w:t>
      </w:r>
      <w:r>
        <w:rPr>
          <w:rFonts w:hint="eastAsia" w:ascii="仿宋" w:hAnsi="仿宋" w:eastAsia="仿宋" w:cs="仿宋"/>
          <w:i w:val="0"/>
          <w:iCs w:val="0"/>
          <w:caps w:val="0"/>
          <w:color w:val="000000"/>
          <w:spacing w:val="0"/>
          <w:sz w:val="24"/>
          <w:szCs w:val="24"/>
          <w:shd w:val="clear" w:fill="FFFFFF"/>
        </w:rPr>
        <w:t>获取磋商文件时（9：00-12：00，14：00-17：00（节假日除外））请携带有效的单位介绍信及被介绍人身份证复印件，加盖供应商公章（鲜章）,可自带 U 盘拷贝电子文件（本项目仅支持现场报名获取，谢绝邮寄）。</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196"/>
        <w:jc w:val="left"/>
        <w:rPr>
          <w:rFonts w:hint="eastAsia" w:ascii="仿宋" w:hAnsi="仿宋" w:eastAsia="仿宋" w:cs="仿宋"/>
          <w:b w:val="0"/>
          <w:bCs w:val="0"/>
          <w:i w:val="0"/>
          <w:iCs w:val="0"/>
          <w:caps w:val="0"/>
          <w:color w:val="333333"/>
          <w:spacing w:val="0"/>
          <w:sz w:val="24"/>
          <w:szCs w:val="24"/>
        </w:rPr>
      </w:pPr>
      <w:r>
        <w:rPr>
          <w:rStyle w:val="26"/>
          <w:rFonts w:hint="eastAsia" w:ascii="仿宋" w:hAnsi="仿宋" w:eastAsia="仿宋" w:cs="仿宋"/>
          <w:b/>
          <w:bCs/>
          <w:i w:val="0"/>
          <w:iCs w:val="0"/>
          <w:caps w:val="0"/>
          <w:color w:val="333333"/>
          <w:spacing w:val="0"/>
          <w:sz w:val="24"/>
          <w:szCs w:val="24"/>
          <w:shd w:val="clear" w:fill="FFFFFF"/>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333333"/>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名称：洛南县文化和旅游局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地址：</w:t>
      </w:r>
      <w:r>
        <w:rPr>
          <w:rFonts w:hint="eastAsia" w:ascii="仿宋" w:hAnsi="仿宋" w:eastAsia="仿宋" w:cs="仿宋"/>
          <w:color w:val="auto"/>
          <w:kern w:val="2"/>
          <w:sz w:val="24"/>
          <w:szCs w:val="24"/>
          <w:highlight w:val="none"/>
          <w:lang w:val="en-US" w:eastAsia="zh-CN" w:bidi="ar-SA"/>
        </w:rPr>
        <w:t>河滨北路人民广场东南角</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联系方式：0914-7322273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auto"/>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名称：华招广和项目管理有限公司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地址：西安市朱雀大街南段1号汇成天玺C座18层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联系方式：029-87592321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auto"/>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项目联系人：成工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电话：029-87592321</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113665</wp:posOffset>
                </wp:positionH>
                <wp:positionV relativeFrom="paragraph">
                  <wp:posOffset>121285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8.95pt;margin-top:9.55pt;height:57.95pt;width:468.75pt;mso-wrap-distance-bottom:0pt;mso-wrap-distance-left:9pt;mso-wrap-distance-right:9pt;mso-wrap-distance-top:0pt;mso-wrap-style:none;z-index:251667456;mso-width-relative:page;mso-height-relative:page;" fillcolor="#FFFFFF" filled="t" stroked="t" coordsize="21600,21600" o:gfxdata="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LspDZAAAACQEA&#10;AA8AAAAAAAAAAQAgAAAAIgAAAGRycy9kb3ducmV2LnhtbFBLAQIUABQAAAAIAIdO4kDZlqSkGQIA&#10;AFwEAAAOAAAAAAAAAAEAIAAAACgBAABkcnMvZTJvRG9jLnhtbFBLBQYAAAAABgAGAFkBAACzBQAA&#10;A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4"/>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3"/>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洛南县文化和旅游局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联系地址：河滨北路人民广场东南角</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联系电话：0914-7322273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成工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陕西洛南文旅集团（筹）咨询顾问服务项目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咨询顾问服务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eastAsia="zh-CN"/>
              </w:rPr>
              <w:t>对洛南文旅集团筹备、组建、资产剥离及重组、法人治理结构的完善、组织架构的设立、职能优化以及成立后集团的经营管理、战略发展等方面提供相关咨询顾问服务</w:t>
            </w:r>
            <w:r>
              <w:rPr>
                <w:rFonts w:hint="eastAsia" w:ascii="仿宋" w:hAnsi="仿宋" w:eastAsia="仿宋" w:cs="仿宋"/>
                <w:i w:val="0"/>
                <w:iCs w:val="0"/>
                <w:caps w:val="0"/>
                <w:color w:val="auto"/>
                <w:spacing w:val="0"/>
                <w:sz w:val="24"/>
                <w:szCs w:val="24"/>
                <w:highlight w:val="none"/>
                <w:shd w:val="clear" w:fill="FFFFFF"/>
                <w:lang w:val="en-US" w:eastAsia="zh-CN"/>
              </w:rPr>
              <w:t>（具体详见磋商文件第三章服务内容及要求）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iCs w:val="0"/>
                <w:caps w:val="0"/>
                <w:color w:val="auto"/>
                <w:spacing w:val="0"/>
                <w:sz w:val="24"/>
                <w:szCs w:val="24"/>
                <w:shd w:val="clear" w:fill="FFFFFF"/>
                <w:lang w:val="en-US" w:eastAsia="zh-CN"/>
              </w:rPr>
              <w:t>7</w:t>
            </w:r>
            <w:r>
              <w:rPr>
                <w:rFonts w:hint="eastAsia" w:ascii="仿宋" w:hAnsi="仿宋" w:eastAsia="仿宋" w:cs="仿宋"/>
                <w:b w:val="0"/>
                <w:bCs/>
                <w:i w:val="0"/>
                <w:iCs w:val="0"/>
                <w:caps w:val="0"/>
                <w:color w:val="auto"/>
                <w:spacing w:val="0"/>
                <w:sz w:val="24"/>
                <w:szCs w:val="24"/>
                <w:shd w:val="clear" w:fill="FFFFFF"/>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40"/>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w:t>
            </w:r>
            <w:r>
              <w:rPr>
                <w:rFonts w:hint="eastAsia" w:ascii="仿宋" w:hAnsi="仿宋" w:eastAsia="仿宋" w:cs="仿宋"/>
                <w:color w:val="000000" w:themeColor="text1"/>
                <w:sz w:val="24"/>
                <w:highlight w:val="none"/>
                <w14:textFill>
                  <w14:solidFill>
                    <w14:schemeClr w14:val="tx1"/>
                  </w14:solidFill>
                </w14:textFill>
              </w:rPr>
              <w:t>至2023年12月31日止</w:t>
            </w:r>
            <w:r>
              <w:rPr>
                <w:rFonts w:hint="eastAsia" w:ascii="仿宋" w:hAnsi="仿宋" w:eastAsia="仿宋" w:cs="仿宋"/>
                <w:color w:val="auto"/>
                <w:kern w:val="2"/>
                <w:sz w:val="24"/>
                <w:szCs w:val="24"/>
                <w:highlight w:val="none"/>
                <w:lang w:val="en-US" w:eastAsia="zh-CN" w:bidi="ar-SA"/>
              </w:rPr>
              <w:t>。</w:t>
            </w:r>
          </w:p>
          <w:p>
            <w:pPr>
              <w:pStyle w:val="40"/>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日上午9:00-12:00，下午2:00-5:00时止（节假日除外）。</w:t>
            </w:r>
          </w:p>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2"/>
              <w:keepNext w:val="0"/>
              <w:keepLines w:val="0"/>
              <w:pageBreakBefore w:val="0"/>
              <w:numPr>
                <w:ilvl w:val="0"/>
                <w:numId w:val="2"/>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2"/>
              <w:keepNext w:val="0"/>
              <w:keepLines w:val="0"/>
              <w:pageBreakBefore w:val="0"/>
              <w:numPr>
                <w:ilvl w:val="0"/>
                <w:numId w:val="2"/>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3、磋商地点：华招广和项目管理有限公司会议室（西安市朱雀大街南段1号汇成天玺C座18层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1、磋商保证金：</w:t>
            </w:r>
            <w:r>
              <w:rPr>
                <w:rFonts w:hint="eastAsia" w:ascii="仿宋" w:hAnsi="仿宋" w:eastAsia="仿宋" w:cs="仿宋"/>
                <w:b/>
                <w:bCs w:val="0"/>
                <w:sz w:val="24"/>
                <w:highlight w:val="none"/>
              </w:rPr>
              <w:t>人民币</w:t>
            </w:r>
            <w:r>
              <w:rPr>
                <w:rFonts w:hint="eastAsia" w:ascii="仿宋" w:hAnsi="仿宋" w:eastAsia="仿宋" w:cs="仿宋"/>
                <w:b/>
                <w:bCs w:val="0"/>
                <w:sz w:val="24"/>
                <w:highlight w:val="none"/>
                <w:lang w:val="en-US" w:eastAsia="zh-CN"/>
              </w:rPr>
              <w:t>贰万玖仟元</w:t>
            </w:r>
            <w:r>
              <w:rPr>
                <w:rFonts w:hint="eastAsia" w:ascii="仿宋" w:hAnsi="仿宋" w:eastAsia="仿宋" w:cs="仿宋"/>
                <w:b/>
                <w:bCs w:val="0"/>
                <w:sz w:val="24"/>
                <w:highlight w:val="none"/>
              </w:rPr>
              <w:t>整</w:t>
            </w:r>
            <w:r>
              <w:rPr>
                <w:rFonts w:hint="eastAsia" w:ascii="仿宋" w:hAnsi="仿宋" w:eastAsia="仿宋" w:cs="仿宋"/>
                <w:b w:val="0"/>
                <w:bCs/>
                <w:sz w:val="24"/>
                <w:highlight w:val="none"/>
              </w:rPr>
              <w:t>。</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2、磋商保证金交纳方式：供应商可自主选择以银行网银转账、支票、汇票、本票、保函等非现金形式交纳或提交磋商保证金。</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3、请供应商按规定时间</w:t>
            </w:r>
            <w:r>
              <w:rPr>
                <w:rFonts w:hint="eastAsia" w:ascii="仿宋" w:hAnsi="仿宋" w:eastAsia="仿宋" w:cs="仿宋"/>
                <w:b w:val="0"/>
                <w:bCs/>
                <w:color w:val="auto"/>
                <w:sz w:val="24"/>
                <w:highlight w:val="none"/>
              </w:rPr>
              <w:t>（202</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lang w:val="en-US" w:eastAsia="zh-CN"/>
              </w:rPr>
              <w:t>9</w:t>
            </w:r>
            <w:r>
              <w:rPr>
                <w:rFonts w:hint="eastAsia" w:ascii="仿宋" w:hAnsi="仿宋" w:eastAsia="仿宋" w:cs="仿宋"/>
                <w:b w:val="0"/>
                <w:bCs/>
                <w:color w:val="auto"/>
                <w:sz w:val="24"/>
                <w:highlight w:val="none"/>
              </w:rPr>
              <w:t>月</w:t>
            </w:r>
            <w:r>
              <w:rPr>
                <w:rFonts w:hint="eastAsia" w:ascii="仿宋" w:hAnsi="仿宋" w:eastAsia="仿宋" w:cs="仿宋"/>
                <w:b w:val="0"/>
                <w:bCs/>
                <w:color w:val="auto"/>
                <w:sz w:val="24"/>
                <w:highlight w:val="none"/>
                <w:lang w:val="en-US" w:eastAsia="zh-CN"/>
              </w:rPr>
              <w:t>21</w:t>
            </w:r>
            <w:r>
              <w:rPr>
                <w:rFonts w:hint="eastAsia" w:ascii="仿宋" w:hAnsi="仿宋" w:eastAsia="仿宋" w:cs="仿宋"/>
                <w:b w:val="0"/>
                <w:bCs/>
                <w:color w:val="auto"/>
                <w:sz w:val="24"/>
                <w:highlight w:val="none"/>
              </w:rPr>
              <w:t>日</w:t>
            </w:r>
            <w:r>
              <w:rPr>
                <w:rFonts w:hint="eastAsia" w:ascii="仿宋" w:hAnsi="仿宋" w:eastAsia="仿宋" w:cs="仿宋"/>
                <w:b w:val="0"/>
                <w:bCs/>
                <w:color w:val="auto"/>
                <w:sz w:val="24"/>
                <w:highlight w:val="none"/>
                <w:lang w:eastAsia="zh-CN"/>
              </w:rPr>
              <w:t>下</w:t>
            </w:r>
            <w:r>
              <w:rPr>
                <w:rFonts w:hint="eastAsia" w:ascii="仿宋" w:hAnsi="仿宋" w:eastAsia="仿宋" w:cs="仿宋"/>
                <w:b w:val="0"/>
                <w:bCs/>
                <w:color w:val="auto"/>
                <w:sz w:val="24"/>
                <w:highlight w:val="none"/>
              </w:rPr>
              <w:t>午</w:t>
            </w:r>
            <w:r>
              <w:rPr>
                <w:rFonts w:hint="eastAsia" w:ascii="仿宋" w:hAnsi="仿宋" w:eastAsia="仿宋" w:cs="仿宋"/>
                <w:b w:val="0"/>
                <w:bCs/>
                <w:color w:val="auto"/>
                <w:sz w:val="24"/>
                <w:highlight w:val="none"/>
                <w:lang w:val="en-US" w:eastAsia="zh-CN"/>
              </w:rPr>
              <w:t>14</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0前）</w:t>
            </w:r>
            <w:r>
              <w:rPr>
                <w:rFonts w:hint="eastAsia" w:ascii="仿宋" w:hAnsi="仿宋" w:eastAsia="仿宋" w:cs="仿宋"/>
                <w:b w:val="0"/>
                <w:bCs/>
                <w:sz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4、供应商未按照竞争性磋商文件要求提交保证金的，磋商响应文件无效。磋商保证金提交以到账时间为准。</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rPr>
            </w:pPr>
            <w:r>
              <w:rPr>
                <w:rFonts w:hint="eastAsia" w:ascii="仿宋" w:hAnsi="仿宋" w:eastAsia="仿宋" w:cs="仿宋"/>
                <w:b/>
                <w:bCs w:val="0"/>
                <w:sz w:val="24"/>
                <w:highlight w:val="none"/>
              </w:rPr>
              <w:t>备注：以保函形式提交</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保证金的，</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40"/>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40"/>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40"/>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40"/>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40"/>
              <w:spacing w:line="560" w:lineRule="exact"/>
              <w:ind w:firstLine="0" w:firstLineChars="0"/>
              <w:rPr>
                <w:rFonts w:hint="eastAsia" w:ascii="楷体" w:hAnsi="楷体" w:eastAsia="楷体" w:cs="楷体"/>
                <w:sz w:val="24"/>
                <w:szCs w:val="24"/>
                <w:highlight w:val="none"/>
                <w:lang w:val="en-US" w:eastAsia="zh-CN"/>
              </w:rPr>
            </w:pPr>
          </w:p>
          <w:p>
            <w:pPr>
              <w:pStyle w:val="40"/>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中信</w:t>
            </w:r>
            <w:r>
              <w:rPr>
                <w:rFonts w:hint="eastAsia" w:ascii="仿宋" w:hAnsi="仿宋" w:eastAsia="仿宋" w:cs="仿宋"/>
                <w:sz w:val="24"/>
                <w:szCs w:val="24"/>
                <w:highlight w:val="none"/>
              </w:rPr>
              <w:t>银行：</w:t>
            </w:r>
            <w:r>
              <w:rPr>
                <w:rFonts w:hint="eastAsia" w:ascii="仿宋" w:hAnsi="仿宋" w:eastAsia="仿宋" w:cs="仿宋"/>
                <w:b/>
                <w:bCs/>
                <w:sz w:val="24"/>
                <w:szCs w:val="24"/>
                <w:highlight w:val="none"/>
              </w:rPr>
              <w:t>磋商保证金</w:t>
            </w:r>
            <w:r>
              <w:rPr>
                <w:rFonts w:hint="eastAsia" w:ascii="仿宋" w:hAnsi="仿宋" w:eastAsia="仿宋" w:cs="仿宋"/>
                <w:sz w:val="24"/>
                <w:szCs w:val="24"/>
                <w:highlight w:val="none"/>
              </w:rPr>
              <w:t>（交纳专户）</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账号：8111701011900609835</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40"/>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注:标书费、招标服务费可以采用转账、现金形式交纳；保证金仅限于通过对公账户以转账形式交纳。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其他未列明行业</w:t>
            </w:r>
          </w:p>
        </w:tc>
      </w:tr>
    </w:tbl>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458848734"/>
      <w:bookmarkStart w:id="5" w:name="_Toc24776"/>
      <w:bookmarkStart w:id="6" w:name="_Toc458848967"/>
      <w:bookmarkStart w:id="7" w:name="_Toc458848819"/>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1600"/>
      <w:bookmarkStart w:id="9" w:name="_Toc458848735"/>
      <w:bookmarkStart w:id="10" w:name="_Toc458848968"/>
      <w:bookmarkStart w:id="11" w:name="_Toc458848820"/>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rPr>
        <w:t>、本项目不接受联合体磋商。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r>
        <w:rPr>
          <w:rFonts w:hint="eastAsia" w:ascii="仿宋" w:hAnsi="仿宋" w:eastAsia="仿宋" w:cs="仿宋"/>
          <w:color w:val="000000" w:themeColor="text1"/>
          <w:sz w:val="24"/>
          <w:highlight w:val="none"/>
          <w:lang w:val="en-US" w:eastAsia="zh-CN"/>
          <w14:textFill>
            <w14:solidFill>
              <w14:schemeClr w14:val="tx1"/>
            </w14:solidFill>
          </w14:textFill>
        </w:rPr>
        <w:t>自拟</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服务方案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4-9、人员与设备配备（格式）</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4-10、售后服务承诺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8-1、磋商报价=服务费+保险费+人员费+其他相关伴随费用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4"/>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458848969"/>
      <w:bookmarkStart w:id="14" w:name="_Toc458848821"/>
      <w:bookmarkStart w:id="15" w:name="_Toc458848736"/>
      <w:bookmarkStart w:id="16" w:name="_Toc3854"/>
      <w:bookmarkStart w:id="17" w:name="_Toc14492"/>
      <w:bookmarkStart w:id="18" w:name="_Toc5793"/>
      <w:bookmarkStart w:id="19" w:name="_Toc458848970"/>
      <w:bookmarkStart w:id="20" w:name="_Toc458848822"/>
      <w:bookmarkStart w:id="21" w:name="_Toc458848737"/>
      <w:r>
        <w:rPr>
          <w:rFonts w:hint="eastAsia" w:ascii="仿宋" w:hAnsi="仿宋" w:eastAsia="仿宋" w:cs="仿宋"/>
          <w:color w:val="auto"/>
          <w:kern w:val="0"/>
          <w:sz w:val="28"/>
          <w:szCs w:val="28"/>
          <w:highlight w:val="none"/>
        </w:rPr>
        <w:t>五、磋商担保</w:t>
      </w:r>
      <w:bookmarkEnd w:id="13"/>
      <w:bookmarkEnd w:id="14"/>
      <w:bookmarkEnd w:id="15"/>
      <w:bookmarkEnd w:id="16"/>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未在磋商担保递交截止时间收到足额磋商保证金或有效磋商担保函的，或未在磋商响应文件中附磋商担保凭证的，其磋商响应文件无效。</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磋商响应</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书面撤回通知之日起5个工作日内退还（无息）。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通知书发出后5个工作日内退还（无息）。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保证金，将在签订合同后5个工作日内执合同予以退还（无息）。（</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）若招标终止，采购代理机构将在发布招标终止公告后5个工作日内退还</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保证金（无息）。</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u w:val="single"/>
        </w:rPr>
        <w:t>供应商提供虚假资质谋取成交的；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u w:val="single"/>
        </w:rPr>
        <w:t>供应商有围标、串标现象，经查证属实的；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u w:val="single"/>
        </w:rPr>
        <w:t>供应商在竞争性磋商文件规定的磋商响应有效期内撤回磋商响应文件的；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u w:val="single"/>
        </w:rPr>
        <w:t>供应商自行放弃磋商资格而未在磋商会议前一天以书面形式告知采购代理机构的；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u w:val="single"/>
        </w:rPr>
        <w:t>供应商自行放弃成交资格的；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u w:val="single"/>
        </w:rPr>
        <w:t>成交供应商不在规定的时效内领取《成交通知书》的；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u w:val="single"/>
        </w:rPr>
        <w:t>成交供应商不按规定支付招标服务费的；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auto"/>
          <w:sz w:val="24"/>
          <w:highlight w:val="none"/>
        </w:rPr>
        <w:t>5-8、</w:t>
      </w:r>
      <w:r>
        <w:rPr>
          <w:rFonts w:hint="eastAsia" w:ascii="仿宋" w:hAnsi="仿宋" w:eastAsia="仿宋" w:cs="仿宋"/>
          <w:color w:val="auto"/>
          <w:sz w:val="24"/>
          <w:highlight w:val="none"/>
          <w:u w:val="single"/>
        </w:rPr>
        <w:t>成交供应商因自身原因未能在规定期限内与采购人签订合同的；</w:t>
      </w:r>
      <w:bookmarkEnd w:id="17"/>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1-1、供应商应按规定的时间、地点，于磋商截止时间前递交竞争性磋商响应文件、必备资质文件；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、供应商在规定的磋商截止时间后递交磋商响应文件、必备资质文件，将被拒收。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40"/>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40"/>
        <w:spacing w:line="560" w:lineRule="exact"/>
        <w:ind w:firstLine="48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kern w:val="2"/>
          <w:sz w:val="24"/>
          <w:szCs w:val="24"/>
          <w:highlight w:val="none"/>
        </w:rPr>
        <w:t>5-6、不同供应商的磋商保证金从同一单位或者个人的账户转出。</w:t>
      </w:r>
    </w:p>
    <w:p>
      <w:pPr>
        <w:pStyle w:val="40"/>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458848823"/>
      <w:bookmarkStart w:id="23" w:name="_Toc23636"/>
      <w:bookmarkStart w:id="24" w:name="_Toc458848738"/>
      <w:bookmarkStart w:id="25" w:name="_Toc10685"/>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bookmarkStart w:id="94" w:name="_GoBack"/>
      <w:bookmarkEnd w:id="94"/>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磋商会议结束后，</w:t>
      </w:r>
      <w:r>
        <w:rPr>
          <w:rFonts w:hint="eastAsia" w:ascii="仿宋" w:hAnsi="仿宋" w:eastAsia="仿宋" w:cs="仿宋"/>
          <w:b/>
          <w:color w:val="000000" w:themeColor="text1"/>
          <w:sz w:val="24"/>
          <w:highlight w:val="none"/>
          <w:lang w:eastAsia="zh-CN"/>
          <w14:textFill>
            <w14:solidFill>
              <w14:schemeClr w14:val="tx1"/>
            </w14:solidFill>
          </w14:textFill>
        </w:rPr>
        <w:t>由采购人</w:t>
      </w:r>
      <w:r>
        <w:rPr>
          <w:rFonts w:hint="eastAsia" w:ascii="仿宋" w:hAnsi="仿宋" w:eastAsia="仿宋" w:cs="仿宋"/>
          <w:b/>
          <w:color w:val="000000" w:themeColor="text1"/>
          <w:sz w:val="24"/>
          <w:highlight w:val="none"/>
          <w14:textFill>
            <w14:solidFill>
              <w14:schemeClr w14:val="tx1"/>
            </w14:solidFill>
          </w14:textFill>
        </w:rPr>
        <w:t>依法对供应商的资格进行审查，缺项或一项不符合要求即不合格，不合格的供应商其响应无效。供应商须在提交磋商响应文件截止时</w:t>
      </w:r>
      <w:r>
        <w:rPr>
          <w:rFonts w:hint="eastAsia" w:ascii="仿宋" w:hAnsi="仿宋" w:eastAsia="仿宋" w:cs="仿宋"/>
          <w:b/>
          <w:color w:val="auto"/>
          <w:sz w:val="24"/>
          <w:highlight w:val="none"/>
        </w:rPr>
        <w:t>间前单独提交</w:t>
      </w:r>
      <w:r>
        <w:rPr>
          <w:rFonts w:hint="eastAsia" w:ascii="仿宋" w:hAnsi="仿宋" w:eastAsia="仿宋" w:cs="仿宋"/>
          <w:b/>
          <w:color w:val="000000" w:themeColor="text1"/>
          <w:sz w:val="24"/>
          <w:highlight w:val="none"/>
          <w14:textFill>
            <w14:solidFill>
              <w14:schemeClr w14:val="tx1"/>
            </w14:solidFill>
          </w14:textFill>
        </w:rPr>
        <w:t>下述资质证明材料原件</w:t>
      </w:r>
      <w:r>
        <w:rPr>
          <w:rFonts w:hint="eastAsia" w:ascii="仿宋" w:hAnsi="仿宋" w:eastAsia="仿宋" w:cs="仿宋"/>
          <w:b/>
          <w:color w:val="000000" w:themeColor="text1"/>
          <w:sz w:val="24"/>
          <w:highlight w:val="none"/>
          <w:lang w:eastAsia="zh-CN"/>
          <w14:textFill>
            <w14:solidFill>
              <w14:schemeClr w14:val="tx1"/>
            </w14:solidFill>
          </w14:textFill>
        </w:rPr>
        <w:t>或加盖鲜章的复印件</w:t>
      </w:r>
      <w:r>
        <w:rPr>
          <w:rFonts w:hint="eastAsia" w:ascii="仿宋" w:hAnsi="仿宋" w:eastAsia="仿宋" w:cs="仿宋"/>
          <w:b/>
          <w:color w:val="000000" w:themeColor="text1"/>
          <w:sz w:val="24"/>
          <w:highlight w:val="none"/>
          <w14:textFill>
            <w14:solidFill>
              <w14:schemeClr w14:val="tx1"/>
            </w14:solidFill>
          </w14:textFill>
        </w:rPr>
        <w:t>，逾期不接受任何补充资料：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（因落实政府采购政策进行价格调整的，以调整后的价格计算评标基准价和磋商报价，详见2-7-1至2-7-3）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项目实施方案</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根据项目特点提出实施方案大纲，思路清晰，点面结合。全面得(10-15]分，较为全面得(5-10]分，一般得[1-5]分，未提供不得分；</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进度计划安排合理，实施进度保证措施需满足采购人需求，接到工作任务委托后能够尽快启动相关工作，并按期完成受委托工作内容。</w:t>
            </w:r>
            <w:r>
              <w:rPr>
                <w:rFonts w:hint="eastAsia" w:ascii="仿宋" w:hAnsi="仿宋" w:eastAsia="仿宋" w:cs="仿宋"/>
                <w:sz w:val="24"/>
                <w:szCs w:val="24"/>
                <w:highlight w:val="none"/>
                <w:lang w:val="en-US" w:eastAsia="zh-CN"/>
              </w:rPr>
              <w:t>全</w:t>
            </w:r>
            <w:r>
              <w:rPr>
                <w:rFonts w:hint="eastAsia" w:ascii="仿宋" w:hAnsi="仿宋" w:eastAsia="仿宋" w:cs="仿宋"/>
                <w:color w:val="auto"/>
                <w:sz w:val="24"/>
                <w:szCs w:val="24"/>
                <w:highlight w:val="none"/>
                <w:lang w:val="en-US" w:eastAsia="zh-CN"/>
              </w:rPr>
              <w:t>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较为全面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、项目组的机构设置健全，职责分工明确，管理制度和考核体系完善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较为全面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、有规范的、合理的服务流程，每个流程环节有质量控制办法，对项目执行过程中的服务质量、技术保证、沟通途径有明确说明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同时承诺及时有效地配合采购人对本项目相关事项提供必要协助</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与设备配备</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1、对供应商配置的项目组负责人和其他人员专业学历背景、相关经验等进行综合评分。配置合理得（6-10]分，配置较为合理得（3-6]分，配置一般得[1-3]分，未提供不得分；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注：提供拟投入人员2022年1月1日以来供应商为其缴纳的任意一个月社保证明材料，未提供的在统计时不予计入。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2019年1月1日至今类似</w:t>
            </w:r>
            <w:r>
              <w:rPr>
                <w:rFonts w:hint="eastAsia" w:ascii="仿宋" w:hAnsi="仿宋" w:eastAsia="仿宋" w:cs="仿宋"/>
                <w:color w:val="auto"/>
                <w:sz w:val="24"/>
                <w:szCs w:val="24"/>
                <w:highlight w:val="none"/>
              </w:rPr>
              <w:t>项目业绩，每份计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分，计满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分为止</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需提供采购合同（含首页、服务内容、签字盖章页）复印件，否则业绩不予认可。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承诺</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1、有具体可行的服务承诺，出现问题有可行性方案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2、有其他实质性承诺和合理化建议，评委认为有利于提高项目管理水平或降低项目实施成本的，根据其可行性和可信程度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后期服务配合计划完备、可行性强、可提供驻地服务的得（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p>
          <w:p>
            <w:pPr>
              <w:pStyle w:val="8"/>
              <w:rPr>
                <w:rFonts w:hint="eastAsia"/>
              </w:rPr>
            </w:pP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a、若出现综合得分相同的，最后磋商报价得分高者为第一成交候选供应商，若综合评分和最后磋商报价的得分均相同的，服务</w:t>
      </w:r>
      <w:r>
        <w:rPr>
          <w:rFonts w:hint="eastAsia" w:ascii="仿宋" w:hAnsi="仿宋" w:eastAsia="仿宋" w:cs="仿宋"/>
          <w:color w:val="000000" w:themeColor="text1"/>
          <w:sz w:val="24"/>
          <w:highlight w:val="none"/>
          <w:lang w:eastAsia="zh-CN"/>
          <w14:textFill>
            <w14:solidFill>
              <w14:schemeClr w14:val="tx1"/>
            </w14:solidFill>
          </w14:textFill>
        </w:rPr>
        <w:t>方案</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22138"/>
      <w:bookmarkStart w:id="30" w:name="_Toc14886425"/>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493074178"/>
      <w:bookmarkStart w:id="33" w:name="_Toc24945"/>
      <w:bookmarkStart w:id="34" w:name="_Toc494556650"/>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rPr>
      </w:pPr>
      <w:bookmarkStart w:id="36" w:name="_Toc458848826"/>
      <w:bookmarkStart w:id="37" w:name="_Toc458848974"/>
      <w:bookmarkStart w:id="38" w:name="_Toc458848741"/>
      <w:r>
        <w:rPr>
          <w:rFonts w:hint="eastAsia" w:ascii="仿宋" w:hAnsi="仿宋" w:eastAsia="仿宋" w:cs="仿宋"/>
          <w:sz w:val="24"/>
        </w:rPr>
        <w:t>1、《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tabs>
          <w:tab w:val="left" w:pos="270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2、招标服务费应采用转账、现金形式交纳。</w:t>
      </w:r>
    </w:p>
    <w:p>
      <w:pPr>
        <w:tabs>
          <w:tab w:val="left" w:pos="2700"/>
        </w:tabs>
        <w:spacing w:line="560" w:lineRule="exact"/>
        <w:ind w:firstLine="480" w:firstLineChars="200"/>
        <w:rPr>
          <w:rFonts w:hint="eastAsia"/>
        </w:rPr>
      </w:pPr>
      <w:r>
        <w:rPr>
          <w:rFonts w:hint="eastAsia" w:ascii="仿宋" w:hAnsi="仿宋" w:eastAsia="仿宋" w:cs="仿宋"/>
          <w:sz w:val="24"/>
          <w:highlight w:val="none"/>
        </w:rPr>
        <w:t>3、成交供应商如未按上述第1条规定办理，采购代理机构将没收其磋商保证金。提供</w:t>
      </w:r>
      <w:r>
        <w:rPr>
          <w:rFonts w:hint="eastAsia" w:ascii="仿宋" w:hAnsi="仿宋" w:eastAsia="仿宋" w:cs="仿宋"/>
          <w:sz w:val="24"/>
          <w:highlight w:val="none"/>
          <w:lang w:eastAsia="zh-CN"/>
        </w:rPr>
        <w:t>磋商</w:t>
      </w:r>
      <w:r>
        <w:rPr>
          <w:rFonts w:hint="eastAsia" w:ascii="仿宋" w:hAnsi="仿宋" w:eastAsia="仿宋" w:cs="仿宋"/>
          <w:sz w:val="24"/>
          <w:highlight w:val="none"/>
        </w:rPr>
        <w:t>担保的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将由专业担保机构先行偿付采购代理机构损失。</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742"/>
      <w:bookmarkStart w:id="41" w:name="_Toc458848827"/>
      <w:bookmarkStart w:id="42" w:name="_Toc458848975"/>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3" w:name="_Toc15549"/>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3"/>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4" w:name="_Toc458848743"/>
      <w:bookmarkStart w:id="45" w:name="_Toc458848976"/>
      <w:bookmarkStart w:id="46" w:name="_Toc458848828"/>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成工</w:t>
      </w:r>
      <w:r>
        <w:rPr>
          <w:rFonts w:hint="eastAsia" w:ascii="仿宋" w:hAnsi="仿宋" w:eastAsia="仿宋" w:cs="仿宋"/>
          <w:color w:val="000000" w:themeColor="text1"/>
          <w:sz w:val="24"/>
          <w:highlight w:val="none"/>
          <w14:textFill>
            <w14:solidFill>
              <w14:schemeClr w14:val="tx1"/>
            </w14:solidFill>
          </w14:textFill>
        </w:rPr>
        <w:t>，联系方式：029-87592321，地址：华招广和项目管理有限公司（西安市朱雀大街南段1号汇成天玺C座18层1812室）。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40"/>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洛南县财政局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7"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4"/>
      <w:bookmarkEnd w:id="45"/>
      <w:bookmarkEnd w:id="46"/>
      <w:bookmarkEnd w:id="47"/>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3"/>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8"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8"/>
    </w:p>
    <w:p>
      <w:pPr>
        <w:spacing w:line="480" w:lineRule="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一、服务内容</w:t>
      </w:r>
    </w:p>
    <w:p>
      <w:pPr>
        <w:spacing w:line="480" w:lineRule="auto"/>
        <w:ind w:firstLine="482" w:firstLineChars="200"/>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1、洛南文旅集团筹建阶段</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成立文旅集团筹建办，梳理整体资产质量，整合产业资源，找准市场定位进行重组。建立健全法人治理结构，设立组织架构，确定岗位职责和人力资源编制，制定流程制度，设立财务、审计、预算机构，优化职能、协调高效地按照现代企业运转提供咨询服务。</w:t>
      </w:r>
    </w:p>
    <w:p>
      <w:pPr>
        <w:spacing w:line="480" w:lineRule="auto"/>
        <w:ind w:firstLine="482" w:firstLineChars="200"/>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2、洛南文旅集团运营管理阶段</w:t>
      </w:r>
    </w:p>
    <w:p>
      <w:pPr>
        <w:spacing w:line="480" w:lineRule="auto"/>
        <w:ind w:firstLine="480" w:firstLineChars="200"/>
        <w:outlineLvl w:val="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文旅集团落地后，明确</w:t>
      </w:r>
      <w:r>
        <w:rPr>
          <w:rFonts w:hint="eastAsia" w:ascii="仿宋" w:hAnsi="仿宋" w:eastAsia="仿宋" w:cs="仿宋"/>
          <w:b w:val="0"/>
          <w:bCs w:val="0"/>
          <w:sz w:val="24"/>
          <w:szCs w:val="24"/>
          <w:highlight w:val="none"/>
          <w:lang w:val="en-US" w:eastAsia="zh-CN"/>
        </w:rPr>
        <w:t>集团</w:t>
      </w:r>
      <w:r>
        <w:rPr>
          <w:rFonts w:hint="eastAsia" w:ascii="仿宋" w:hAnsi="仿宋" w:eastAsia="仿宋" w:cs="仿宋"/>
          <w:sz w:val="24"/>
          <w:szCs w:val="24"/>
          <w:highlight w:val="none"/>
          <w:lang w:val="en-US" w:eastAsia="zh-CN"/>
        </w:rPr>
        <w:t>发展思路，设定经济目标，财务预算管理、投融资发展、KPI考核，队伍培养，企业文化建设，品牌宣传，文旅项目的提档升级、规划设计，人力资源培训</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不限于</w:t>
      </w:r>
      <w:r>
        <w:rPr>
          <w:rFonts w:hint="eastAsia" w:ascii="仿宋" w:hAnsi="仿宋" w:eastAsia="仿宋" w:cs="仿宋"/>
          <w:sz w:val="24"/>
          <w:szCs w:val="24"/>
          <w:highlight w:val="none"/>
        </w:rPr>
        <w:t>高级管理</w:t>
      </w:r>
      <w:r>
        <w:rPr>
          <w:rFonts w:hint="eastAsia" w:ascii="仿宋" w:hAnsi="仿宋" w:eastAsia="仿宋" w:cs="仿宋"/>
          <w:sz w:val="24"/>
          <w:szCs w:val="24"/>
          <w:highlight w:val="none"/>
          <w:lang w:val="en-US" w:eastAsia="zh-CN"/>
        </w:rPr>
        <w:t>人员</w:t>
      </w:r>
      <w:r>
        <w:rPr>
          <w:rFonts w:hint="eastAsia" w:ascii="仿宋" w:hAnsi="仿宋" w:eastAsia="仿宋" w:cs="仿宋"/>
          <w:sz w:val="24"/>
          <w:szCs w:val="24"/>
          <w:highlight w:val="none"/>
        </w:rPr>
        <w:t>、景区运营</w:t>
      </w:r>
      <w:r>
        <w:rPr>
          <w:rFonts w:hint="eastAsia" w:ascii="仿宋" w:hAnsi="仿宋" w:eastAsia="仿宋" w:cs="仿宋"/>
          <w:sz w:val="24"/>
          <w:szCs w:val="24"/>
          <w:highlight w:val="none"/>
          <w:lang w:val="en-US" w:eastAsia="zh-CN"/>
        </w:rPr>
        <w:t>人员</w:t>
      </w:r>
      <w:r>
        <w:rPr>
          <w:rFonts w:hint="eastAsia" w:ascii="仿宋" w:hAnsi="仿宋" w:eastAsia="仿宋" w:cs="仿宋"/>
          <w:sz w:val="24"/>
          <w:szCs w:val="24"/>
          <w:highlight w:val="none"/>
        </w:rPr>
        <w:t>、营销推广、财务管理、文旅规划、文化演出、乡村振兴、三产融合、智慧文旅）</w:t>
      </w:r>
      <w:r>
        <w:rPr>
          <w:rFonts w:hint="eastAsia" w:ascii="仿宋" w:hAnsi="仿宋" w:eastAsia="仿宋" w:cs="仿宋"/>
          <w:sz w:val="24"/>
          <w:szCs w:val="24"/>
          <w:highlight w:val="none"/>
          <w:lang w:val="en-US" w:eastAsia="zh-CN"/>
        </w:rPr>
        <w:t>等方面提供咨询服务和培训。</w:t>
      </w:r>
    </w:p>
    <w:p>
      <w:pPr>
        <w:spacing w:line="480" w:lineRule="auto"/>
        <w:ind w:firstLine="482" w:firstLineChars="200"/>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3、洛南文旅集团发展阶段</w:t>
      </w:r>
    </w:p>
    <w:p>
      <w:pPr>
        <w:spacing w:line="480" w:lineRule="auto"/>
        <w:ind w:firstLine="480" w:firstLineChars="200"/>
        <w:outlineLvl w:val="1"/>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根据国家“十四五”旅游规划结合省市文旅主管部门政策的指导方针，制定未来三年洛南文旅集团的发展定位，结合文旅集团产业布局、资产状况、经营收入、发展规模、目标管理等确定未来的发展战略。在目的地的整体策划规划、营销推广、IP打造、景区运营、业态招商、酒店运营、演艺会展活动、渠道导流等提供全过程的支持和服务。</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针对三个阶段，供应商将指派专业管理团队不定期在洛南驻地开展工作，以实现效率最大化。</w:t>
      </w:r>
    </w:p>
    <w:p>
      <w:pPr>
        <w:keepNext/>
        <w:keepLines/>
        <w:pageBreakBefore w:val="0"/>
        <w:widowControl w:val="0"/>
        <w:kinsoku/>
        <w:wordWrap/>
        <w:overflowPunct/>
        <w:topLinePunct w:val="0"/>
        <w:autoSpaceDE/>
        <w:autoSpaceDN/>
        <w:bidi w:val="0"/>
        <w:adjustRightInd/>
        <w:snapToGrid/>
        <w:spacing w:before="0" w:after="0" w:line="560" w:lineRule="exact"/>
        <w:ind w:firstLine="420" w:firstLineChars="200"/>
        <w:jc w:val="both"/>
        <w:textAlignment w:val="auto"/>
        <w:outlineLvl w:val="9"/>
        <w:rPr>
          <w:rFonts w:hint="eastAsia" w:ascii="仿宋" w:hAnsi="仿宋" w:eastAsia="仿宋" w:cs="仿宋"/>
          <w:color w:val="000000" w:themeColor="text1"/>
          <w:kern w:val="0"/>
          <w:highlight w:val="none"/>
          <w14:textFill>
            <w14:solidFill>
              <w14:schemeClr w14:val="tx1"/>
            </w14:solidFill>
          </w14:textFill>
        </w:rPr>
      </w:pPr>
    </w:p>
    <w:p>
      <w:pPr>
        <w:pStyle w:val="2"/>
        <w:rPr>
          <w:rFonts w:hint="eastAsia" w:ascii="仿宋" w:hAnsi="仿宋" w:eastAsia="仿宋" w:cs="仿宋"/>
          <w:color w:val="000000" w:themeColor="text1"/>
          <w:kern w:val="0"/>
          <w:highlight w:val="none"/>
          <w14:textFill>
            <w14:solidFill>
              <w14:schemeClr w14:val="tx1"/>
            </w14:solidFill>
          </w14:textFill>
        </w:rPr>
      </w:pPr>
    </w:p>
    <w:p>
      <w:pPr>
        <w:pStyle w:val="2"/>
        <w:rPr>
          <w:rFonts w:hint="eastAsia" w:ascii="仿宋" w:hAnsi="仿宋" w:eastAsia="仿宋" w:cs="仿宋"/>
          <w:color w:val="000000" w:themeColor="text1"/>
          <w:kern w:val="0"/>
          <w:highlight w:val="none"/>
          <w14:textFill>
            <w14:solidFill>
              <w14:schemeClr w14:val="tx1"/>
            </w14:solidFill>
          </w14:textFill>
        </w:rPr>
      </w:pPr>
    </w:p>
    <w:p>
      <w:pPr>
        <w:pStyle w:val="22"/>
        <w:rPr>
          <w:rFonts w:hint="eastAsia"/>
        </w:rPr>
      </w:pPr>
    </w:p>
    <w:p>
      <w:pPr>
        <w:pStyle w:val="3"/>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bookmarkStart w:id="49" w:name="_Toc21581"/>
      <w:r>
        <w:rPr>
          <w:rFonts w:hint="eastAsia" w:ascii="仿宋" w:hAnsi="仿宋" w:eastAsia="仿宋" w:cs="仿宋"/>
          <w:color w:val="000000" w:themeColor="text1"/>
          <w:kern w:val="0"/>
          <w:highlight w:val="none"/>
          <w14:textFill>
            <w14:solidFill>
              <w14:schemeClr w14:val="tx1"/>
            </w14:solidFill>
          </w14:textFill>
        </w:rPr>
        <w:t>第四章   商务要求</w:t>
      </w:r>
      <w:bookmarkEnd w:id="49"/>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0" w:name="_Toc167715234"/>
      <w:bookmarkStart w:id="51" w:name="_Toc167714037"/>
      <w:bookmarkStart w:id="52" w:name="_Toc167712839"/>
    </w:p>
    <w:bookmarkEnd w:id="50"/>
    <w:bookmarkEnd w:id="51"/>
    <w:bookmarkEnd w:id="52"/>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w:t>
      </w:r>
      <w:r>
        <w:rPr>
          <w:rFonts w:hint="eastAsia" w:ascii="仿宋" w:hAnsi="仿宋" w:eastAsia="仿宋" w:cs="仿宋"/>
          <w:color w:val="000000" w:themeColor="text1"/>
          <w:sz w:val="24"/>
          <w:highlight w:val="none"/>
          <w14:textFill>
            <w14:solidFill>
              <w14:schemeClr w14:val="tx1"/>
            </w14:solidFill>
          </w14:textFill>
        </w:rPr>
        <w:t>至2023年12月31日止。</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bookmarkStart w:id="53" w:name="_Toc167712843"/>
      <w:bookmarkStart w:id="54" w:name="_Toc167714041"/>
      <w:bookmarkStart w:id="55" w:name="_Toc167715238"/>
      <w:r>
        <w:rPr>
          <w:rFonts w:hint="eastAsia" w:ascii="仿宋" w:hAnsi="仿宋" w:eastAsia="仿宋" w:cs="仿宋"/>
          <w:b w:val="0"/>
          <w:bCs/>
          <w:color w:val="000000" w:themeColor="text1"/>
          <w:sz w:val="24"/>
          <w:highlight w:val="none"/>
          <w:lang w:val="en-US" w:eastAsia="zh-CN"/>
          <w14:textFill>
            <w14:solidFill>
              <w14:schemeClr w14:val="tx1"/>
            </w14:solidFill>
          </w14:textFill>
        </w:rPr>
        <w:t>甲乙双方自行协商。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6" w:name="_Toc167712869"/>
      <w:bookmarkStart w:id="57" w:name="_Toc167714067"/>
      <w:bookmarkStart w:id="58" w:name="_Toc167715264"/>
    </w:p>
    <w:bookmarkEnd w:id="56"/>
    <w:bookmarkEnd w:id="57"/>
    <w:bookmarkEnd w:id="58"/>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3"/>
      <w:bookmarkEnd w:id="54"/>
      <w:bookmarkEnd w:id="55"/>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59264;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59" w:name="_Toc2890"/>
      <w:r>
        <w:rPr>
          <w:rStyle w:val="56"/>
          <w:rFonts w:hint="eastAsia" w:ascii="仿宋" w:hAnsi="仿宋" w:eastAsia="仿宋" w:cs="仿宋"/>
          <w:color w:val="000000" w:themeColor="text1"/>
          <w:highlight w:val="none"/>
          <w14:textFill>
            <w14:solidFill>
              <w14:schemeClr w14:val="tx1"/>
            </w14:solidFill>
          </w14:textFill>
        </w:rPr>
        <w:t>第五章  合同条款</w:t>
      </w:r>
      <w:bookmarkEnd w:id="59"/>
      <w:r>
        <w:rPr>
          <w:rStyle w:val="56"/>
          <w:rFonts w:hint="eastAsia" w:ascii="仿宋" w:hAnsi="仿宋" w:eastAsia="仿宋" w:cs="仿宋"/>
          <w:color w:val="000000" w:themeColor="text1"/>
          <w:highlight w:val="none"/>
          <w:lang w:eastAsia="zh-CN"/>
          <w14:textFill>
            <w14:solidFill>
              <w14:schemeClr w14:val="tx1"/>
            </w14:solidFill>
          </w14:textFill>
        </w:rPr>
        <w:t>（</w:t>
      </w:r>
      <w:r>
        <w:rPr>
          <w:rStyle w:val="56"/>
          <w:rFonts w:hint="eastAsia" w:ascii="仿宋" w:hAnsi="仿宋" w:eastAsia="仿宋" w:cs="仿宋"/>
          <w:color w:val="000000" w:themeColor="text1"/>
          <w:highlight w:val="none"/>
          <w:lang w:val="en-US" w:eastAsia="zh-CN"/>
          <w14:textFill>
            <w14:solidFill>
              <w14:schemeClr w14:val="tx1"/>
            </w14:solidFill>
          </w14:textFill>
        </w:rPr>
        <w:t>参考格式</w:t>
      </w:r>
      <w:r>
        <w:rPr>
          <w:rStyle w:val="56"/>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陕西洛南文旅集团（筹）咨询顾问服务项目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：HZGH-2022-064</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洛南县财政局</w:t>
      </w:r>
      <w:r>
        <w:rPr>
          <w:rFonts w:hint="eastAsia" w:ascii="仿宋" w:hAnsi="仿宋" w:eastAsia="仿宋" w:cs="仿宋"/>
          <w:color w:val="000000" w:themeColor="text1"/>
          <w:sz w:val="24"/>
          <w:highlight w:val="none"/>
          <w14:textFill>
            <w14:solidFill>
              <w14:schemeClr w14:val="tx1"/>
            </w14:solidFill>
          </w14:textFill>
        </w:rPr>
        <w:t>的监督管理下，由华招广和项目管理有限公司组织竞争性磋商。</w:t>
      </w:r>
      <w:r>
        <w:rPr>
          <w:rFonts w:hint="eastAsia" w:ascii="仿宋" w:hAnsi="仿宋" w:eastAsia="仿宋" w:cs="仿宋"/>
          <w:color w:val="000000" w:themeColor="text1"/>
          <w:sz w:val="24"/>
          <w:highlight w:val="none"/>
          <w:lang w:eastAsia="zh-CN"/>
          <w14:textFill>
            <w14:solidFill>
              <w14:schemeClr w14:val="tx1"/>
            </w14:solidFill>
          </w14:textFill>
        </w:rPr>
        <w:t>洛南县文化和旅游局</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0" w:name="_Toc188808831"/>
      <w:bookmarkStart w:id="61" w:name="_Toc194663916"/>
      <w:bookmarkStart w:id="62" w:name="_Toc193187095"/>
      <w:bookmarkStart w:id="63"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附件1—服务方案</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附件2—服务质量保证承诺</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甲乙双方自行协商。</w:t>
      </w:r>
    </w:p>
    <w:p>
      <w:pPr>
        <w:numPr>
          <w:ilvl w:val="0"/>
          <w:numId w:val="4"/>
        </w:num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3"/>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0"/>
      <w:bookmarkEnd w:id="61"/>
      <w:bookmarkEnd w:id="62"/>
      <w:bookmarkEnd w:id="63"/>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pStyle w:val="3"/>
        <w:bidi w:val="0"/>
        <w:jc w:val="center"/>
        <w:rPr>
          <w:rFonts w:hint="eastAsia" w:ascii="仿宋" w:hAnsi="仿宋" w:eastAsia="仿宋" w:cs="仿宋"/>
        </w:rPr>
      </w:pPr>
      <w:bookmarkStart w:id="64" w:name="_Toc32022"/>
      <w:r>
        <w:rPr>
          <w:rFonts w:hint="eastAsia" w:ascii="仿宋" w:hAnsi="仿宋" w:eastAsia="仿宋" w:cs="仿宋"/>
        </w:rPr>
        <w:t>第六章  竞争性磋商响应文件格式</w:t>
      </w:r>
      <w:bookmarkEnd w:id="64"/>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560" w:lineRule="exact"/>
        <w:jc w:val="both"/>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HZGH-2022-064</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陕西洛南文旅集团（筹）咨询顾问服务项目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.服务方案</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9.人员与设备配备（格式）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售后</w:t>
      </w:r>
      <w:r>
        <w:rPr>
          <w:rFonts w:hint="eastAsia" w:ascii="仿宋" w:hAnsi="仿宋" w:eastAsia="仿宋" w:cs="仿宋"/>
          <w:color w:val="000000" w:themeColor="text1"/>
          <w:sz w:val="24"/>
          <w:highlight w:val="none"/>
          <w14:textFill>
            <w14:solidFill>
              <w14:schemeClr w14:val="tx1"/>
            </w14:solidFill>
          </w14:textFill>
        </w:rPr>
        <w:t>服务承诺</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.《中小企业声明函》（格式）</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15.《监狱、戒毒企业声明函》（格式，若有）</w:t>
      </w:r>
    </w:p>
    <w:p>
      <w:pPr>
        <w:spacing w:line="480" w:lineRule="auto"/>
        <w:ind w:firstLine="2551" w:firstLineChars="1063"/>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16.封袋正面标识式样</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40"/>
        <w:ind w:firstLine="562"/>
        <w:rPr>
          <w:rFonts w:hint="eastAsia" w:ascii="仿宋" w:hAnsi="仿宋" w:eastAsia="仿宋" w:cs="仿宋"/>
          <w:b/>
          <w:color w:val="000000" w:themeColor="text1"/>
          <w:highlight w:val="none"/>
          <w14:textFill>
            <w14:solidFill>
              <w14:schemeClr w14:val="tx1"/>
            </w14:solidFill>
          </w14:textFill>
        </w:rPr>
      </w:pPr>
      <w:bookmarkStart w:id="65" w:name="_Toc188808834"/>
      <w:bookmarkStart w:id="66" w:name="_Toc193187098"/>
      <w:bookmarkStart w:id="67" w:name="_Toc193126882"/>
      <w:bookmarkStart w:id="68" w:name="_Toc194663919"/>
      <w:r>
        <w:rPr>
          <w:rFonts w:hint="eastAsia" w:ascii="仿宋" w:hAnsi="仿宋" w:eastAsia="仿宋" w:cs="仿宋"/>
          <w:b/>
          <w:color w:val="000000" w:themeColor="text1"/>
          <w:highlight w:val="none"/>
          <w14:textFill>
            <w14:solidFill>
              <w14:schemeClr w14:val="tx1"/>
            </w14:solidFill>
          </w14:textFill>
        </w:rPr>
        <w:t>2.磋商报价一览表</w:t>
      </w:r>
      <w:bookmarkEnd w:id="65"/>
      <w:bookmarkEnd w:id="66"/>
      <w:bookmarkEnd w:id="67"/>
      <w:bookmarkEnd w:id="68"/>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3"/>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2"/>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分项报价表（格式自拟）</w:t>
      </w:r>
    </w:p>
    <w:p>
      <w:pPr>
        <w:spacing w:line="300" w:lineRule="exact"/>
        <w:jc w:val="center"/>
        <w:rPr>
          <w:rFonts w:hint="eastAsia" w:ascii="仿宋" w:hAnsi="仿宋" w:eastAsia="仿宋" w:cs="仿宋"/>
          <w:b/>
          <w:bCs/>
          <w:color w:val="auto"/>
          <w:sz w:val="24"/>
          <w:highlight w:val="none"/>
          <w:lang w:val="en-US" w:eastAsia="zh-CN"/>
        </w:rPr>
      </w:pPr>
    </w:p>
    <w:p>
      <w:pPr>
        <w:spacing w:line="300" w:lineRule="exact"/>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格式自拟</w:t>
      </w:r>
    </w:p>
    <w:p>
      <w:pPr>
        <w:spacing w:line="440" w:lineRule="exact"/>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p>
    <w:p>
      <w:pPr>
        <w:pStyle w:val="11"/>
        <w:rPr>
          <w:rFonts w:hint="eastAsia" w:ascii="仿宋" w:hAnsi="仿宋" w:eastAsia="仿宋" w:cs="仿宋"/>
          <w:sz w:val="24"/>
          <w:szCs w:val="24"/>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p>
    <w:p>
      <w:pPr>
        <w:pStyle w:val="40"/>
        <w:ind w:firstLine="562"/>
        <w:rPr>
          <w:rFonts w:hint="eastAsia" w:ascii="仿宋" w:hAnsi="仿宋" w:eastAsia="仿宋" w:cs="仿宋"/>
          <w:b/>
          <w:color w:val="000000" w:themeColor="text1"/>
          <w:szCs w:val="28"/>
          <w:highlight w:val="none"/>
          <w14:textFill>
            <w14:solidFill>
              <w14:schemeClr w14:val="tx1"/>
            </w14:solidFill>
          </w14:textFill>
        </w:rPr>
      </w:pPr>
      <w:bookmarkStart w:id="69" w:name="_Toc49019236"/>
      <w:bookmarkStart w:id="70" w:name="_Toc47418938"/>
      <w:bookmarkStart w:id="71" w:name="_Toc47418731"/>
      <w:bookmarkStart w:id="72" w:name="_Toc47262069"/>
      <w:bookmarkStart w:id="73" w:name="_Toc194663925"/>
      <w:bookmarkStart w:id="74" w:name="_Toc13908"/>
      <w:bookmarkStart w:id="75" w:name="_Toc188808839"/>
      <w:bookmarkStart w:id="76" w:name="_Toc193126888"/>
      <w:bookmarkStart w:id="77" w:name="_Toc47261690"/>
      <w:bookmarkStart w:id="78" w:name="_Toc49019497"/>
      <w:bookmarkStart w:id="79" w:name="_Toc458617477"/>
      <w:bookmarkStart w:id="80" w:name="_Toc237"/>
      <w:bookmarkStart w:id="81" w:name="_Toc48791235"/>
      <w:bookmarkStart w:id="82" w:name="_Toc193187104"/>
      <w:bookmarkStart w:id="83" w:name="_Toc47418255"/>
      <w:bookmarkStart w:id="84" w:name="_Toc48995851"/>
      <w:bookmarkStart w:id="85" w:name="_Toc47261885"/>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3"/>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40"/>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3"/>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40"/>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86" w:name="_Toc193126891"/>
      <w:bookmarkStart w:id="87" w:name="_Toc188808842"/>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widowControl/>
        <w:spacing w:line="560" w:lineRule="exact"/>
        <w:ind w:right="-197" w:rightChars="-94" w:firstLine="482" w:firstLineChars="200"/>
        <w:jc w:val="left"/>
        <w:rPr>
          <w:rFonts w:hint="eastAsia" w:ascii="仿宋" w:hAnsi="仿宋" w:eastAsia="仿宋" w:cs="仿宋"/>
          <w:b/>
          <w:bCs/>
          <w:color w:val="000000"/>
          <w:sz w:val="24"/>
          <w:highlight w:val="none"/>
          <w:lang w:val="en-US" w:eastAsia="zh-CN"/>
        </w:rPr>
      </w:pPr>
    </w:p>
    <w:p>
      <w:pPr>
        <w:widowControl/>
        <w:spacing w:line="560" w:lineRule="exact"/>
        <w:ind w:right="-197" w:rightChars="-94" w:firstLine="482" w:firstLineChars="200"/>
        <w:jc w:val="left"/>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特别提醒：中标人提供的《中小企业声明函》将随中标结果公告一同公布，接受社会监督。</w:t>
      </w: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3"/>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40"/>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40"/>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40"/>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40"/>
        <w:ind w:firstLine="562"/>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b/>
          <w:color w:val="000000" w:themeColor="text1"/>
          <w:highlight w:val="none"/>
          <w14:textFill>
            <w14:solidFill>
              <w14:schemeClr w14:val="tx1"/>
            </w14:solidFill>
          </w14:textFill>
        </w:rPr>
        <w:t>201</w:t>
      </w:r>
      <w:r>
        <w:rPr>
          <w:rFonts w:hint="eastAsia" w:ascii="仿宋" w:hAnsi="仿宋" w:eastAsia="仿宋" w:cs="仿宋"/>
          <w:b/>
          <w:color w:val="000000" w:themeColor="text1"/>
          <w:highlight w:val="none"/>
          <w:lang w:val="en-US" w:eastAsia="zh-CN"/>
          <w14:textFill>
            <w14:solidFill>
              <w14:schemeClr w14:val="tx1"/>
            </w14:solidFill>
          </w14:textFill>
        </w:rPr>
        <w:t>9</w:t>
      </w:r>
      <w:r>
        <w:rPr>
          <w:rFonts w:hint="eastAsia" w:ascii="仿宋" w:hAnsi="仿宋" w:eastAsia="仿宋" w:cs="仿宋"/>
          <w:b/>
          <w:color w:val="000000" w:themeColor="text1"/>
          <w:highlight w:val="none"/>
          <w14:textFill>
            <w14:solidFill>
              <w14:schemeClr w14:val="tx1"/>
            </w14:solidFill>
          </w14:textFill>
        </w:rPr>
        <w:t>年1月1日至今</w:t>
      </w:r>
      <w:r>
        <w:rPr>
          <w:rFonts w:hint="eastAsia" w:ascii="仿宋" w:hAnsi="仿宋" w:eastAsia="仿宋" w:cs="仿宋"/>
          <w:b/>
          <w:color w:val="000000" w:themeColor="text1"/>
          <w:highlight w:val="none"/>
          <w:lang w:val="en-US" w:eastAsia="zh-CN"/>
          <w14:textFill>
            <w14:solidFill>
              <w14:schemeClr w14:val="tx1"/>
            </w14:solidFill>
          </w14:textFill>
        </w:rPr>
        <w:t>类似</w:t>
      </w:r>
      <w:r>
        <w:rPr>
          <w:rFonts w:hint="eastAsia" w:ascii="仿宋" w:hAnsi="仿宋" w:eastAsia="仿宋" w:cs="仿宋"/>
          <w:b/>
          <w:color w:val="000000" w:themeColor="text1"/>
          <w:highlight w:val="none"/>
          <w14:textFill>
            <w14:solidFill>
              <w14:schemeClr w14:val="tx1"/>
            </w14:solidFill>
          </w14:textFill>
        </w:rPr>
        <w:t>项目业绩（提供合同复印件加盖公章）</w:t>
      </w: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w:t>
      </w:r>
      <w:r>
        <w:rPr>
          <w:rFonts w:hint="eastAsia" w:ascii="仿宋" w:hAnsi="仿宋" w:eastAsia="仿宋" w:cs="仿宋"/>
          <w:b/>
          <w:color w:val="000000" w:themeColor="text1"/>
          <w:highlight w:val="none"/>
          <w14:textFill>
            <w14:solidFill>
              <w14:schemeClr w14:val="tx1"/>
            </w14:solidFill>
          </w14:textFill>
        </w:rPr>
        <w:t>、服务方案</w:t>
      </w:r>
    </w:p>
    <w:p>
      <w:pPr>
        <w:pStyle w:val="40"/>
        <w:ind w:firstLine="480"/>
        <w:rPr>
          <w:rFonts w:hint="eastAsia" w:ascii="仿宋" w:hAnsi="仿宋" w:eastAsia="仿宋" w:cs="仿宋"/>
          <w:b/>
          <w:color w:val="000000" w:themeColor="text1"/>
          <w:sz w:val="24"/>
          <w:szCs w:val="24"/>
          <w:highlight w:val="none"/>
          <w14:textFill>
            <w14:solidFill>
              <w14:schemeClr w14:val="tx1"/>
            </w14:solidFill>
          </w14:textFill>
        </w:rPr>
      </w:pPr>
      <w:bookmarkStart w:id="88" w:name="_Toc408785221"/>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40"/>
        <w:ind w:firstLine="482"/>
        <w:rPr>
          <w:rFonts w:hint="eastAsia" w:ascii="仿宋" w:hAnsi="仿宋" w:eastAsia="仿宋" w:cs="仿宋"/>
          <w:b/>
          <w:color w:val="000000" w:themeColor="text1"/>
          <w:sz w:val="24"/>
          <w:szCs w:val="24"/>
          <w:highlight w:val="none"/>
          <w14:textFill>
            <w14:solidFill>
              <w14:schemeClr w14:val="tx1"/>
            </w14:solidFill>
          </w14:textFill>
        </w:rPr>
      </w:pPr>
    </w:p>
    <w:bookmarkEnd w:id="88"/>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bidi w:val="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9、人员与设备配备（格式）</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bookmarkStart w:id="89" w:name="_Toc193126905"/>
      <w:bookmarkStart w:id="90" w:name="_Toc188808855"/>
      <w:bookmarkStart w:id="91" w:name="_Toc194663942"/>
      <w:bookmarkStart w:id="92" w:name="_Toc193187111"/>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10.售后服务承诺</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pStyle w:val="37"/>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40"/>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2</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40"/>
        <w:ind w:firstLine="174"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3</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3" w:name="OLE_LINK19"/>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p>
    <w:bookmarkEnd w:id="93"/>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40"/>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lang w:val="zh-CN"/>
        </w:rPr>
      </w:pPr>
      <w:r>
        <w:rPr>
          <w:rFonts w:hint="eastAsia" w:ascii="仿宋" w:hAnsi="仿宋" w:eastAsia="仿宋" w:cs="仿宋"/>
          <w:b/>
          <w:kern w:val="0"/>
          <w:sz w:val="21"/>
          <w:szCs w:val="20"/>
          <w:lang w:val="zh-CN"/>
        </w:rPr>
        <w:t>备注：</w:t>
      </w:r>
      <w:r>
        <w:rPr>
          <w:rFonts w:hint="eastAsia" w:ascii="仿宋" w:hAnsi="仿宋" w:eastAsia="仿宋" w:cs="仿宋"/>
          <w:b/>
          <w:kern w:val="0"/>
          <w:sz w:val="21"/>
          <w:szCs w:val="20"/>
          <w:lang w:val="en-US" w:eastAsia="zh-CN"/>
        </w:rPr>
        <w:t>供应商</w:t>
      </w:r>
      <w:r>
        <w:rPr>
          <w:rFonts w:hint="eastAsia" w:ascii="仿宋" w:hAnsi="仿宋" w:eastAsia="仿宋" w:cs="仿宋"/>
          <w:b/>
          <w:kern w:val="0"/>
          <w:sz w:val="21"/>
          <w:szCs w:val="20"/>
          <w:lang w:val="zh-CN"/>
        </w:rPr>
        <w:t>提供的《残疾人福利性单位声明函》必须真实有效，如果被举报经查实出具虚假声明函的，将被取消投标资格，并按有关规定予以处理。</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40"/>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15.</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40"/>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16、</w:t>
      </w:r>
      <w:r>
        <w:rPr>
          <w:rFonts w:hint="eastAsia" w:ascii="仿宋" w:hAnsi="仿宋" w:eastAsia="仿宋" w:cs="仿宋"/>
          <w:b/>
          <w:bCs/>
          <w:color w:val="000000" w:themeColor="text1"/>
          <w:szCs w:val="28"/>
          <w:highlight w:val="none"/>
          <w:lang w:eastAsia="zh-CN"/>
          <w14:textFill>
            <w14:solidFill>
              <w14:schemeClr w14:val="tx1"/>
            </w14:solidFill>
          </w14:textFill>
        </w:rPr>
        <w:t>封袋正面标识式样</w:t>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5408;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资质证明材料正面标识式样</w:t>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158115</wp:posOffset>
                </wp:positionH>
                <wp:positionV relativeFrom="paragraph">
                  <wp:posOffset>196215</wp:posOffset>
                </wp:positionV>
                <wp:extent cx="5299075" cy="7872095"/>
                <wp:effectExtent l="5080" t="4445" r="10795" b="10160"/>
                <wp:wrapNone/>
                <wp:docPr id="4" name="文本框 4"/>
                <wp:cNvGraphicFramePr/>
                <a:graphic xmlns:a="http://schemas.openxmlformats.org/drawingml/2006/main">
                  <a:graphicData uri="http://schemas.microsoft.com/office/word/2010/wordprocessingShape">
                    <wps:wsp>
                      <wps:cNvSpPr txBox="1"/>
                      <wps:spPr>
                        <a:xfrm>
                          <a:off x="0" y="0"/>
                          <a:ext cx="5299075" cy="787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11"/>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2.45pt;margin-top:15.45pt;height:619.85pt;width:417.25pt;z-index:251666432;mso-width-relative:page;mso-height-relative:page;" fillcolor="#FFFFFF" filled="t" stroked="t" coordsize="21600,21600" o:gfxdata="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PDbKtkAAAAKAQAADwAAAAAAAAABACAA&#10;AAAiAAAAZHJzL2Rvd25yZXYueG1sUEsBAhQAFAAAAAgAh07iQDrfFPEMAgAANwQAAA4AAAAAAAAA&#10;AQAgAAAAKAEAAGRycy9lMm9Eb2MueG1sUEsFBgAAAAAGAAYAWQEAAKYFA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11"/>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bookmarkEnd w:id="86"/>
    <w:bookmarkEnd w:id="87"/>
    <w:bookmarkEnd w:id="89"/>
    <w:bookmarkEnd w:id="90"/>
    <w:bookmarkEnd w:id="91"/>
    <w:bookmarkEnd w:id="92"/>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6"/>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Consolas">
    <w:panose1 w:val="020B0609020204030204"/>
    <w:charset w:val="00"/>
    <w:family w:val="auto"/>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7"/>
        <w:szCs w:val="21"/>
      </w:rPr>
      <w:instrText xml:space="preserve"> PAGE </w:instrText>
    </w:r>
    <w:r>
      <w:rPr>
        <w:szCs w:val="21"/>
      </w:rPr>
      <w:fldChar w:fldCharType="separate"/>
    </w:r>
    <w:r>
      <w:rPr>
        <w:rStyle w:val="27"/>
        <w:szCs w:val="21"/>
      </w:rPr>
      <w:t>41</w:t>
    </w:r>
    <w:r>
      <w:rPr>
        <w:szCs w:val="21"/>
      </w:rPr>
      <w:fldChar w:fldCharType="end"/>
    </w:r>
    <w:r>
      <w:rPr>
        <w:rStyle w:val="27"/>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7"/>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3360;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0288;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1312"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1312;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rPr>
        <w:rStyle w:val="27"/>
      </w:rPr>
    </w:pPr>
    <w:r>
      <w:rPr>
        <w:rStyle w:val="27"/>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2336"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2336;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4384"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4384;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陕西洛南文旅集团（筹）咨询顾问服务项目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r>
      <w:rPr>
        <w:rFonts w:hint="eastAsia" w:ascii="仿宋" w:hAnsi="仿宋" w:eastAsia="仿宋" w:cs="仿宋"/>
        <w:b/>
        <w:u w:val="single"/>
        <w:lang w:val="en-US" w:eastAsia="zh-CN"/>
      </w:rPr>
      <w:t>陕西洛南文旅集团（筹）咨询顾问服务项目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陕西洛南文旅集团（筹）咨询顾问服务项目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21"/>
        <w:shd w:val="pct10" w:color="auto" w:fill="FFFFFF"/>
      </w:rPr>
    </w:pPr>
    <w:r>
      <w:rPr>
        <w:rFonts w:hint="eastAsia" w:ascii="宋体" w:hAnsi="宋体"/>
        <w:b/>
        <w:lang w:eastAsia="zh-CN"/>
      </w:rPr>
      <w:t>洛南县文化和旅游局关于武功县设施农业用地上图入库第二阶段采购项目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陕西洛南文旅集团（筹）咨询顾问服务项目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abstractNum w:abstractNumId="1">
    <w:nsid w:val="D4FB13CE"/>
    <w:multiLevelType w:val="singleLevel"/>
    <w:tmpl w:val="D4FB13CE"/>
    <w:lvl w:ilvl="0" w:tentative="0">
      <w:start w:val="1"/>
      <w:numFmt w:val="decimal"/>
      <w:suff w:val="nothing"/>
      <w:lvlText w:val="（%1）"/>
      <w:lvlJc w:val="left"/>
    </w:lvl>
  </w:abstractNum>
  <w:abstractNum w:abstractNumId="2">
    <w:nsid w:val="E694AC80"/>
    <w:multiLevelType w:val="singleLevel"/>
    <w:tmpl w:val="E694AC80"/>
    <w:lvl w:ilvl="0" w:tentative="0">
      <w:start w:val="1"/>
      <w:numFmt w:val="decimal"/>
      <w:suff w:val="nothing"/>
      <w:lvlText w:val="%1、"/>
      <w:lvlJc w:val="left"/>
    </w:lvl>
  </w:abstractNum>
  <w:abstractNum w:abstractNumId="3">
    <w:nsid w:val="F4519637"/>
    <w:multiLevelType w:val="singleLevel"/>
    <w:tmpl w:val="F4519637"/>
    <w:lvl w:ilvl="0" w:tentative="0">
      <w:start w:val="6"/>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5CA52231"/>
    <w:rsid w:val="000B0673"/>
    <w:rsid w:val="00295C4C"/>
    <w:rsid w:val="00314C9C"/>
    <w:rsid w:val="004006FE"/>
    <w:rsid w:val="004E284B"/>
    <w:rsid w:val="00574C91"/>
    <w:rsid w:val="00605C8A"/>
    <w:rsid w:val="00716A3F"/>
    <w:rsid w:val="0099218B"/>
    <w:rsid w:val="00AE2E12"/>
    <w:rsid w:val="00C56673"/>
    <w:rsid w:val="016D4D4A"/>
    <w:rsid w:val="018848B9"/>
    <w:rsid w:val="01AF53D2"/>
    <w:rsid w:val="01E01AFA"/>
    <w:rsid w:val="026F22F1"/>
    <w:rsid w:val="02AA1D26"/>
    <w:rsid w:val="02D33E38"/>
    <w:rsid w:val="030C1D6D"/>
    <w:rsid w:val="037759E0"/>
    <w:rsid w:val="03AC6219"/>
    <w:rsid w:val="04083177"/>
    <w:rsid w:val="04596EB0"/>
    <w:rsid w:val="046907DC"/>
    <w:rsid w:val="046B31A0"/>
    <w:rsid w:val="04740EAB"/>
    <w:rsid w:val="0580326D"/>
    <w:rsid w:val="065027ED"/>
    <w:rsid w:val="065838EC"/>
    <w:rsid w:val="06707460"/>
    <w:rsid w:val="067F0181"/>
    <w:rsid w:val="06AC3D9C"/>
    <w:rsid w:val="06E36671"/>
    <w:rsid w:val="06F9692F"/>
    <w:rsid w:val="06FD58FA"/>
    <w:rsid w:val="0708446E"/>
    <w:rsid w:val="071E7D6B"/>
    <w:rsid w:val="0768488C"/>
    <w:rsid w:val="07826662"/>
    <w:rsid w:val="07F208D7"/>
    <w:rsid w:val="07FA3B8F"/>
    <w:rsid w:val="094B7E72"/>
    <w:rsid w:val="09783466"/>
    <w:rsid w:val="09C126F0"/>
    <w:rsid w:val="09F0034F"/>
    <w:rsid w:val="0A441C29"/>
    <w:rsid w:val="0A462C8E"/>
    <w:rsid w:val="0A47098D"/>
    <w:rsid w:val="0A782F46"/>
    <w:rsid w:val="0AC611DC"/>
    <w:rsid w:val="0AE35538"/>
    <w:rsid w:val="0B5F7256"/>
    <w:rsid w:val="0B6E1EE8"/>
    <w:rsid w:val="0B7432FA"/>
    <w:rsid w:val="0BAD28E2"/>
    <w:rsid w:val="0BB05F2E"/>
    <w:rsid w:val="0BC3359E"/>
    <w:rsid w:val="0BCE259C"/>
    <w:rsid w:val="0C04209F"/>
    <w:rsid w:val="0C654222"/>
    <w:rsid w:val="0C993304"/>
    <w:rsid w:val="0CA26AF9"/>
    <w:rsid w:val="0CAD7162"/>
    <w:rsid w:val="0D046532"/>
    <w:rsid w:val="0D1B42EE"/>
    <w:rsid w:val="0D2378B7"/>
    <w:rsid w:val="0DC74ACF"/>
    <w:rsid w:val="0E2F54AF"/>
    <w:rsid w:val="0E535B99"/>
    <w:rsid w:val="0E9852F9"/>
    <w:rsid w:val="0E9D2DA8"/>
    <w:rsid w:val="0EB9746D"/>
    <w:rsid w:val="0EDD4F9F"/>
    <w:rsid w:val="0EF84A2E"/>
    <w:rsid w:val="0F160CF9"/>
    <w:rsid w:val="0FE65E5D"/>
    <w:rsid w:val="11290813"/>
    <w:rsid w:val="118A69CA"/>
    <w:rsid w:val="12D77F2E"/>
    <w:rsid w:val="13134FCF"/>
    <w:rsid w:val="13532ADC"/>
    <w:rsid w:val="138A771E"/>
    <w:rsid w:val="13C705E7"/>
    <w:rsid w:val="13D50BD8"/>
    <w:rsid w:val="142F3033"/>
    <w:rsid w:val="14685C58"/>
    <w:rsid w:val="14FE0622"/>
    <w:rsid w:val="150154C3"/>
    <w:rsid w:val="150729CC"/>
    <w:rsid w:val="1545594D"/>
    <w:rsid w:val="159E5B20"/>
    <w:rsid w:val="15EF74ED"/>
    <w:rsid w:val="163B5862"/>
    <w:rsid w:val="16666A8E"/>
    <w:rsid w:val="166925C4"/>
    <w:rsid w:val="167960C4"/>
    <w:rsid w:val="16A10FD1"/>
    <w:rsid w:val="17033CFE"/>
    <w:rsid w:val="186B0445"/>
    <w:rsid w:val="188341B0"/>
    <w:rsid w:val="19521B57"/>
    <w:rsid w:val="1958524A"/>
    <w:rsid w:val="196873D3"/>
    <w:rsid w:val="19764F21"/>
    <w:rsid w:val="197D4F2E"/>
    <w:rsid w:val="19925274"/>
    <w:rsid w:val="1A554870"/>
    <w:rsid w:val="1B2E333A"/>
    <w:rsid w:val="1B5D5967"/>
    <w:rsid w:val="1B762CE2"/>
    <w:rsid w:val="1B8018F0"/>
    <w:rsid w:val="1B8B6FB4"/>
    <w:rsid w:val="1C2C6107"/>
    <w:rsid w:val="1C3F3B57"/>
    <w:rsid w:val="1C704310"/>
    <w:rsid w:val="1C8A0D7E"/>
    <w:rsid w:val="1CBD2782"/>
    <w:rsid w:val="1CC058E0"/>
    <w:rsid w:val="1CE9176D"/>
    <w:rsid w:val="1CEF3C8D"/>
    <w:rsid w:val="1DAD3A24"/>
    <w:rsid w:val="1DAE3C1B"/>
    <w:rsid w:val="1DBF1167"/>
    <w:rsid w:val="1DFA6949"/>
    <w:rsid w:val="1E0D2086"/>
    <w:rsid w:val="1EC5245F"/>
    <w:rsid w:val="1EE018EF"/>
    <w:rsid w:val="1F193AD6"/>
    <w:rsid w:val="2090323C"/>
    <w:rsid w:val="20D13F45"/>
    <w:rsid w:val="210851CD"/>
    <w:rsid w:val="211B2A9E"/>
    <w:rsid w:val="219D3ACF"/>
    <w:rsid w:val="224729DE"/>
    <w:rsid w:val="228D72CD"/>
    <w:rsid w:val="22AA45D0"/>
    <w:rsid w:val="22BA54EF"/>
    <w:rsid w:val="22FB4A29"/>
    <w:rsid w:val="23214339"/>
    <w:rsid w:val="233B6B95"/>
    <w:rsid w:val="234C60E3"/>
    <w:rsid w:val="23667A8F"/>
    <w:rsid w:val="237972CB"/>
    <w:rsid w:val="238460C9"/>
    <w:rsid w:val="2387409E"/>
    <w:rsid w:val="23BD364C"/>
    <w:rsid w:val="243F7A48"/>
    <w:rsid w:val="2498323C"/>
    <w:rsid w:val="24AD6618"/>
    <w:rsid w:val="24D24F1B"/>
    <w:rsid w:val="24EB35BF"/>
    <w:rsid w:val="252178FB"/>
    <w:rsid w:val="25255D5C"/>
    <w:rsid w:val="253C5361"/>
    <w:rsid w:val="254B7584"/>
    <w:rsid w:val="25D62632"/>
    <w:rsid w:val="261C10D2"/>
    <w:rsid w:val="26B00013"/>
    <w:rsid w:val="26D23436"/>
    <w:rsid w:val="26E01831"/>
    <w:rsid w:val="270200AF"/>
    <w:rsid w:val="27222C9B"/>
    <w:rsid w:val="272B144E"/>
    <w:rsid w:val="27323271"/>
    <w:rsid w:val="281A1E64"/>
    <w:rsid w:val="282B61D0"/>
    <w:rsid w:val="283930FA"/>
    <w:rsid w:val="284A0F2F"/>
    <w:rsid w:val="285F3C13"/>
    <w:rsid w:val="2884639A"/>
    <w:rsid w:val="28D322DB"/>
    <w:rsid w:val="28EB2A8B"/>
    <w:rsid w:val="28FB2A87"/>
    <w:rsid w:val="294962CA"/>
    <w:rsid w:val="296F5970"/>
    <w:rsid w:val="29C075C6"/>
    <w:rsid w:val="29C165FD"/>
    <w:rsid w:val="29C673A2"/>
    <w:rsid w:val="29F41216"/>
    <w:rsid w:val="29F51CDA"/>
    <w:rsid w:val="2A4C49A4"/>
    <w:rsid w:val="2A51745D"/>
    <w:rsid w:val="2B6927F8"/>
    <w:rsid w:val="2BCD3D86"/>
    <w:rsid w:val="2C2B4E88"/>
    <w:rsid w:val="2C4B7EAE"/>
    <w:rsid w:val="2E55254F"/>
    <w:rsid w:val="2E98219C"/>
    <w:rsid w:val="2EC30FD3"/>
    <w:rsid w:val="2F3D365B"/>
    <w:rsid w:val="2FFD6A02"/>
    <w:rsid w:val="307D1B7F"/>
    <w:rsid w:val="308121AA"/>
    <w:rsid w:val="30882EF9"/>
    <w:rsid w:val="30D6704C"/>
    <w:rsid w:val="30E42811"/>
    <w:rsid w:val="312D5C40"/>
    <w:rsid w:val="31442AF1"/>
    <w:rsid w:val="3179279B"/>
    <w:rsid w:val="318F07B1"/>
    <w:rsid w:val="321A765E"/>
    <w:rsid w:val="322F33E6"/>
    <w:rsid w:val="324A6E8E"/>
    <w:rsid w:val="324C4540"/>
    <w:rsid w:val="3285675A"/>
    <w:rsid w:val="3306189B"/>
    <w:rsid w:val="33441EEA"/>
    <w:rsid w:val="33C8035F"/>
    <w:rsid w:val="34285437"/>
    <w:rsid w:val="347253F1"/>
    <w:rsid w:val="34B67359"/>
    <w:rsid w:val="34BD6422"/>
    <w:rsid w:val="35474D1B"/>
    <w:rsid w:val="35635AE6"/>
    <w:rsid w:val="358D2CB9"/>
    <w:rsid w:val="35FC0885"/>
    <w:rsid w:val="36607BFC"/>
    <w:rsid w:val="36647515"/>
    <w:rsid w:val="366B68D7"/>
    <w:rsid w:val="36754531"/>
    <w:rsid w:val="36960592"/>
    <w:rsid w:val="36C86E67"/>
    <w:rsid w:val="36CF2484"/>
    <w:rsid w:val="36D45F5B"/>
    <w:rsid w:val="36E765D4"/>
    <w:rsid w:val="36E81B47"/>
    <w:rsid w:val="37015A67"/>
    <w:rsid w:val="37696A12"/>
    <w:rsid w:val="37C07CD2"/>
    <w:rsid w:val="37D672E5"/>
    <w:rsid w:val="37D82BA9"/>
    <w:rsid w:val="385B7D01"/>
    <w:rsid w:val="3A0C2363"/>
    <w:rsid w:val="3A612FFC"/>
    <w:rsid w:val="3AAD0891"/>
    <w:rsid w:val="3B0648C2"/>
    <w:rsid w:val="3B2A69F2"/>
    <w:rsid w:val="3BF0451E"/>
    <w:rsid w:val="3C0C0C6E"/>
    <w:rsid w:val="3C337684"/>
    <w:rsid w:val="3CF66938"/>
    <w:rsid w:val="3CFA113A"/>
    <w:rsid w:val="3D474C33"/>
    <w:rsid w:val="3D5F716B"/>
    <w:rsid w:val="3DAA35EA"/>
    <w:rsid w:val="3DAB59FE"/>
    <w:rsid w:val="3DBB3A26"/>
    <w:rsid w:val="3E072A46"/>
    <w:rsid w:val="3E1168FA"/>
    <w:rsid w:val="3E59316B"/>
    <w:rsid w:val="3E7A5E78"/>
    <w:rsid w:val="3E8F35BB"/>
    <w:rsid w:val="3EA96557"/>
    <w:rsid w:val="3EB218A7"/>
    <w:rsid w:val="3EE06A33"/>
    <w:rsid w:val="3EFA6BAE"/>
    <w:rsid w:val="3F7A43AD"/>
    <w:rsid w:val="3F8E5C59"/>
    <w:rsid w:val="3FC815F4"/>
    <w:rsid w:val="40287CFB"/>
    <w:rsid w:val="40AF73C0"/>
    <w:rsid w:val="41F07ECA"/>
    <w:rsid w:val="420B00B0"/>
    <w:rsid w:val="425D4330"/>
    <w:rsid w:val="427101FB"/>
    <w:rsid w:val="427136EC"/>
    <w:rsid w:val="42B36D52"/>
    <w:rsid w:val="43211C22"/>
    <w:rsid w:val="43537423"/>
    <w:rsid w:val="4360708A"/>
    <w:rsid w:val="43BB4E95"/>
    <w:rsid w:val="43BB7949"/>
    <w:rsid w:val="44AC45F6"/>
    <w:rsid w:val="44C0719C"/>
    <w:rsid w:val="44DB0AFB"/>
    <w:rsid w:val="44FA19ED"/>
    <w:rsid w:val="45283340"/>
    <w:rsid w:val="45612478"/>
    <w:rsid w:val="45BF1A3F"/>
    <w:rsid w:val="45D4091B"/>
    <w:rsid w:val="45FC0156"/>
    <w:rsid w:val="46322C1D"/>
    <w:rsid w:val="46D2182F"/>
    <w:rsid w:val="474536FB"/>
    <w:rsid w:val="478B389E"/>
    <w:rsid w:val="485F6737"/>
    <w:rsid w:val="48962D4B"/>
    <w:rsid w:val="48D93BC9"/>
    <w:rsid w:val="48F3112A"/>
    <w:rsid w:val="493004E9"/>
    <w:rsid w:val="49350D52"/>
    <w:rsid w:val="49D768C0"/>
    <w:rsid w:val="4A03006A"/>
    <w:rsid w:val="4AA519CD"/>
    <w:rsid w:val="4AF10388"/>
    <w:rsid w:val="4AF94070"/>
    <w:rsid w:val="4AFB5E63"/>
    <w:rsid w:val="4B965FB0"/>
    <w:rsid w:val="4BEB02E1"/>
    <w:rsid w:val="4C256914"/>
    <w:rsid w:val="4C3D20FC"/>
    <w:rsid w:val="4C5A1013"/>
    <w:rsid w:val="4CAD74C4"/>
    <w:rsid w:val="4CC674CA"/>
    <w:rsid w:val="4CCA0DF3"/>
    <w:rsid w:val="4D3944DB"/>
    <w:rsid w:val="4D3D1756"/>
    <w:rsid w:val="4D49565B"/>
    <w:rsid w:val="4D677669"/>
    <w:rsid w:val="4E0C743C"/>
    <w:rsid w:val="4E93715A"/>
    <w:rsid w:val="4E9F6F1B"/>
    <w:rsid w:val="4EC14B14"/>
    <w:rsid w:val="4F141B05"/>
    <w:rsid w:val="4F1B0161"/>
    <w:rsid w:val="4F7810D0"/>
    <w:rsid w:val="4F8A7B60"/>
    <w:rsid w:val="50CC1400"/>
    <w:rsid w:val="514345C9"/>
    <w:rsid w:val="518270C9"/>
    <w:rsid w:val="519266B2"/>
    <w:rsid w:val="519C1B26"/>
    <w:rsid w:val="51E27AE8"/>
    <w:rsid w:val="52242BD3"/>
    <w:rsid w:val="527E492B"/>
    <w:rsid w:val="52BD596D"/>
    <w:rsid w:val="52DE7D41"/>
    <w:rsid w:val="531D2DA5"/>
    <w:rsid w:val="535A5075"/>
    <w:rsid w:val="53774E9B"/>
    <w:rsid w:val="537E7625"/>
    <w:rsid w:val="53B94DB8"/>
    <w:rsid w:val="54075DCC"/>
    <w:rsid w:val="5447089E"/>
    <w:rsid w:val="545F1F94"/>
    <w:rsid w:val="548D5DC1"/>
    <w:rsid w:val="54BA1808"/>
    <w:rsid w:val="54EB6E03"/>
    <w:rsid w:val="550601C8"/>
    <w:rsid w:val="55146E5E"/>
    <w:rsid w:val="553B5415"/>
    <w:rsid w:val="553C5232"/>
    <w:rsid w:val="554372DB"/>
    <w:rsid w:val="554B2CF1"/>
    <w:rsid w:val="55C43442"/>
    <w:rsid w:val="569B3AE2"/>
    <w:rsid w:val="57945CD1"/>
    <w:rsid w:val="5812279B"/>
    <w:rsid w:val="5814296E"/>
    <w:rsid w:val="585554B6"/>
    <w:rsid w:val="586A0E03"/>
    <w:rsid w:val="58862037"/>
    <w:rsid w:val="58AF1A95"/>
    <w:rsid w:val="58E805C8"/>
    <w:rsid w:val="58F61C6D"/>
    <w:rsid w:val="59047ECD"/>
    <w:rsid w:val="592D49A0"/>
    <w:rsid w:val="59AC7E01"/>
    <w:rsid w:val="5A2F12C4"/>
    <w:rsid w:val="5A351EEE"/>
    <w:rsid w:val="5A521346"/>
    <w:rsid w:val="5B191112"/>
    <w:rsid w:val="5B6F2075"/>
    <w:rsid w:val="5B8155F3"/>
    <w:rsid w:val="5BA31738"/>
    <w:rsid w:val="5BA6792C"/>
    <w:rsid w:val="5BD25514"/>
    <w:rsid w:val="5BDE576D"/>
    <w:rsid w:val="5C0974B2"/>
    <w:rsid w:val="5C186F88"/>
    <w:rsid w:val="5C7922E1"/>
    <w:rsid w:val="5CA52231"/>
    <w:rsid w:val="5CB315BE"/>
    <w:rsid w:val="5CD05EC4"/>
    <w:rsid w:val="5CEE67CC"/>
    <w:rsid w:val="5D4C017A"/>
    <w:rsid w:val="5D9C44BA"/>
    <w:rsid w:val="5DD3719E"/>
    <w:rsid w:val="5DEC5D6F"/>
    <w:rsid w:val="5DF32237"/>
    <w:rsid w:val="5E1B365D"/>
    <w:rsid w:val="5E245395"/>
    <w:rsid w:val="5E68355E"/>
    <w:rsid w:val="5E693E0B"/>
    <w:rsid w:val="5EF51B46"/>
    <w:rsid w:val="5F716DD1"/>
    <w:rsid w:val="5F9A1C0C"/>
    <w:rsid w:val="60EF7936"/>
    <w:rsid w:val="615D15B4"/>
    <w:rsid w:val="619C3FB1"/>
    <w:rsid w:val="61B77CE2"/>
    <w:rsid w:val="61BE4845"/>
    <w:rsid w:val="62014DE8"/>
    <w:rsid w:val="626003B8"/>
    <w:rsid w:val="62954FBF"/>
    <w:rsid w:val="63245663"/>
    <w:rsid w:val="63420DA4"/>
    <w:rsid w:val="637D74E4"/>
    <w:rsid w:val="63AA64AA"/>
    <w:rsid w:val="63DD2A68"/>
    <w:rsid w:val="64166B12"/>
    <w:rsid w:val="642F125B"/>
    <w:rsid w:val="64725A90"/>
    <w:rsid w:val="64790CD8"/>
    <w:rsid w:val="64EC4D35"/>
    <w:rsid w:val="651265B7"/>
    <w:rsid w:val="6517248E"/>
    <w:rsid w:val="653918E3"/>
    <w:rsid w:val="65EE67B8"/>
    <w:rsid w:val="66B824B7"/>
    <w:rsid w:val="66E43193"/>
    <w:rsid w:val="67267CB5"/>
    <w:rsid w:val="67341171"/>
    <w:rsid w:val="674F3DFC"/>
    <w:rsid w:val="677775CA"/>
    <w:rsid w:val="67F26828"/>
    <w:rsid w:val="681F1432"/>
    <w:rsid w:val="68384664"/>
    <w:rsid w:val="683E40AC"/>
    <w:rsid w:val="6894063F"/>
    <w:rsid w:val="68AA0374"/>
    <w:rsid w:val="690C3C0F"/>
    <w:rsid w:val="692E1D1F"/>
    <w:rsid w:val="698915CD"/>
    <w:rsid w:val="69C87321"/>
    <w:rsid w:val="69E7087D"/>
    <w:rsid w:val="69F92CBD"/>
    <w:rsid w:val="6A06154D"/>
    <w:rsid w:val="6A1A76FF"/>
    <w:rsid w:val="6A6804B7"/>
    <w:rsid w:val="6A8F6A6C"/>
    <w:rsid w:val="6A9D515D"/>
    <w:rsid w:val="6A9E130D"/>
    <w:rsid w:val="6AE575ED"/>
    <w:rsid w:val="6AEE00B8"/>
    <w:rsid w:val="6B3468AC"/>
    <w:rsid w:val="6B587443"/>
    <w:rsid w:val="6B6B0DB4"/>
    <w:rsid w:val="6B894DA7"/>
    <w:rsid w:val="6B8B20B8"/>
    <w:rsid w:val="6B8B218D"/>
    <w:rsid w:val="6BC9216C"/>
    <w:rsid w:val="6C3D0FAE"/>
    <w:rsid w:val="6CF03323"/>
    <w:rsid w:val="6D165605"/>
    <w:rsid w:val="6D226F33"/>
    <w:rsid w:val="6D616FB5"/>
    <w:rsid w:val="6DB31991"/>
    <w:rsid w:val="6DCE340F"/>
    <w:rsid w:val="6E356103"/>
    <w:rsid w:val="6E8F55C7"/>
    <w:rsid w:val="6E910FE5"/>
    <w:rsid w:val="6E9B76DB"/>
    <w:rsid w:val="6EFE55DA"/>
    <w:rsid w:val="6F03756C"/>
    <w:rsid w:val="6F5A0AAF"/>
    <w:rsid w:val="6F8932E6"/>
    <w:rsid w:val="701D3C4D"/>
    <w:rsid w:val="70200256"/>
    <w:rsid w:val="70441100"/>
    <w:rsid w:val="705B5D23"/>
    <w:rsid w:val="70865CFA"/>
    <w:rsid w:val="70E919C6"/>
    <w:rsid w:val="71427881"/>
    <w:rsid w:val="725A52FD"/>
    <w:rsid w:val="729E0707"/>
    <w:rsid w:val="72D33A44"/>
    <w:rsid w:val="736A2FD2"/>
    <w:rsid w:val="73B26F4B"/>
    <w:rsid w:val="73DF1469"/>
    <w:rsid w:val="741F373C"/>
    <w:rsid w:val="74B17D02"/>
    <w:rsid w:val="74E06AEF"/>
    <w:rsid w:val="75384BC5"/>
    <w:rsid w:val="753A012B"/>
    <w:rsid w:val="75661286"/>
    <w:rsid w:val="75B46528"/>
    <w:rsid w:val="75D648AF"/>
    <w:rsid w:val="75ED55FA"/>
    <w:rsid w:val="75FB2DFF"/>
    <w:rsid w:val="764B713D"/>
    <w:rsid w:val="76895E06"/>
    <w:rsid w:val="77312EA9"/>
    <w:rsid w:val="77371E97"/>
    <w:rsid w:val="778C38DC"/>
    <w:rsid w:val="77B455D4"/>
    <w:rsid w:val="77B6365C"/>
    <w:rsid w:val="77C117B8"/>
    <w:rsid w:val="77D63E3F"/>
    <w:rsid w:val="7815335E"/>
    <w:rsid w:val="78361EBF"/>
    <w:rsid w:val="784349DE"/>
    <w:rsid w:val="78867CF8"/>
    <w:rsid w:val="78B83176"/>
    <w:rsid w:val="78C2451D"/>
    <w:rsid w:val="78E8619D"/>
    <w:rsid w:val="78F22302"/>
    <w:rsid w:val="79083935"/>
    <w:rsid w:val="790C3251"/>
    <w:rsid w:val="79616F10"/>
    <w:rsid w:val="799500C0"/>
    <w:rsid w:val="7A476702"/>
    <w:rsid w:val="7A537FDD"/>
    <w:rsid w:val="7AD216C8"/>
    <w:rsid w:val="7B005BEC"/>
    <w:rsid w:val="7C15026F"/>
    <w:rsid w:val="7D0D1638"/>
    <w:rsid w:val="7D144297"/>
    <w:rsid w:val="7D163F2E"/>
    <w:rsid w:val="7D43638A"/>
    <w:rsid w:val="7D636A70"/>
    <w:rsid w:val="7D891CD5"/>
    <w:rsid w:val="7DC35135"/>
    <w:rsid w:val="7E190276"/>
    <w:rsid w:val="7E532D12"/>
    <w:rsid w:val="7EB03176"/>
    <w:rsid w:val="7F23573B"/>
    <w:rsid w:val="7F54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rPr>
  </w:style>
  <w:style w:type="paragraph" w:styleId="7">
    <w:name w:val="Note Heading"/>
    <w:basedOn w:val="1"/>
    <w:next w:val="1"/>
    <w:qFormat/>
    <w:uiPriority w:val="0"/>
    <w:pPr>
      <w:jc w:val="center"/>
    </w:pPr>
  </w:style>
  <w:style w:type="paragraph" w:styleId="8">
    <w:name w:val="Normal Indent"/>
    <w:basedOn w:val="1"/>
    <w:next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2"/>
    <w:qFormat/>
    <w:uiPriority w:val="0"/>
    <w:pPr>
      <w:jc w:val="left"/>
    </w:pPr>
  </w:style>
  <w:style w:type="paragraph" w:styleId="11">
    <w:name w:val="Body Text"/>
    <w:basedOn w:val="1"/>
    <w:next w:val="1"/>
    <w:unhideWhenUsed/>
    <w:qFormat/>
    <w:uiPriority w:val="99"/>
    <w:pPr>
      <w:spacing w:after="120"/>
    </w:pPr>
    <w:rPr>
      <w:rFonts w:eastAsia="Times New Roman"/>
    </w:rPr>
  </w:style>
  <w:style w:type="paragraph" w:styleId="12">
    <w:name w:val="Body Text Indent"/>
    <w:basedOn w:val="1"/>
    <w:qFormat/>
    <w:uiPriority w:val="0"/>
    <w:pPr>
      <w:spacing w:after="120" w:afterLines="0"/>
      <w:ind w:left="420" w:left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宋体" w:hAnsi="Courier New"/>
      <w:szCs w:val="20"/>
    </w:rPr>
  </w:style>
  <w:style w:type="paragraph" w:styleId="15">
    <w:name w:val="Balloon Text"/>
    <w:basedOn w:val="1"/>
    <w:link w:val="54"/>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next w:val="1"/>
    <w:qFormat/>
    <w:uiPriority w:val="0"/>
    <w:pPr>
      <w:spacing w:beforeAutospacing="1" w:afterAutospacing="1"/>
      <w:jc w:val="left"/>
    </w:pPr>
    <w:rPr>
      <w:kern w:val="0"/>
      <w:sz w:val="24"/>
    </w:rPr>
  </w:style>
  <w:style w:type="paragraph" w:styleId="21">
    <w:name w:val="annotation subject"/>
    <w:basedOn w:val="10"/>
    <w:next w:val="10"/>
    <w:link w:val="53"/>
    <w:qFormat/>
    <w:uiPriority w:val="0"/>
    <w:rPr>
      <w:b/>
      <w:bCs/>
    </w:rPr>
  </w:style>
  <w:style w:type="paragraph" w:styleId="22">
    <w:name w:val="Body Text First Indent 2"/>
    <w:basedOn w:val="12"/>
    <w:qFormat/>
    <w:uiPriority w:val="99"/>
    <w:pPr>
      <w:ind w:firstLine="420" w:firstLineChars="200"/>
    </w:pPr>
    <w:rPr>
      <w:szCs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color w:val="0000FF"/>
      <w:u w:val="none"/>
    </w:rPr>
  </w:style>
  <w:style w:type="character" w:styleId="32">
    <w:name w:val="HTML Code"/>
    <w:basedOn w:val="25"/>
    <w:qFormat/>
    <w:uiPriority w:val="0"/>
    <w:rPr>
      <w:rFonts w:ascii="Consolas" w:hAnsi="Consolas" w:eastAsia="Consolas" w:cs="Consolas"/>
      <w:color w:val="C7254E"/>
      <w:sz w:val="21"/>
      <w:szCs w:val="21"/>
      <w:shd w:val="clear" w:fill="F9F2F4"/>
    </w:rPr>
  </w:style>
  <w:style w:type="character" w:styleId="33">
    <w:name w:val="annotation reference"/>
    <w:basedOn w:val="25"/>
    <w:qFormat/>
    <w:uiPriority w:val="0"/>
    <w:rPr>
      <w:sz w:val="21"/>
      <w:szCs w:val="21"/>
    </w:rPr>
  </w:style>
  <w:style w:type="character" w:styleId="34">
    <w:name w:val="HTML Keyboard"/>
    <w:basedOn w:val="25"/>
    <w:qFormat/>
    <w:uiPriority w:val="0"/>
    <w:rPr>
      <w:rFonts w:hint="default" w:ascii="Consolas" w:hAnsi="Consolas" w:eastAsia="Consolas" w:cs="Consolas"/>
      <w:color w:val="FFFFFF"/>
      <w:sz w:val="21"/>
      <w:szCs w:val="21"/>
      <w:shd w:val="clear" w:fill="333333"/>
    </w:rPr>
  </w:style>
  <w:style w:type="character" w:styleId="35">
    <w:name w:val="HTML Sample"/>
    <w:basedOn w:val="25"/>
    <w:qFormat/>
    <w:uiPriority w:val="0"/>
    <w:rPr>
      <w:rFonts w:hint="default" w:ascii="Consolas" w:hAnsi="Consolas" w:eastAsia="Consolas" w:cs="Consolas"/>
      <w:sz w:val="21"/>
      <w:szCs w:val="21"/>
    </w:rPr>
  </w:style>
  <w:style w:type="paragraph" w:customStyle="1" w:styleId="36">
    <w:name w:val="No Spacing1"/>
    <w:qFormat/>
    <w:uiPriority w:val="0"/>
    <w:rPr>
      <w:rFonts w:ascii="Calibri" w:hAnsi="Calibri" w:eastAsia="宋体" w:cs="Calibri"/>
      <w:sz w:val="22"/>
      <w:szCs w:val="22"/>
      <w:lang w:val="en-US" w:eastAsia="zh-CN" w:bidi="ar-SA"/>
    </w:rPr>
  </w:style>
  <w:style w:type="paragraph" w:customStyle="1" w:styleId="37">
    <w:name w:val="Normal Indent1"/>
    <w:basedOn w:val="1"/>
    <w:qFormat/>
    <w:uiPriority w:val="0"/>
    <w:pPr>
      <w:ind w:firstLine="420"/>
    </w:pPr>
    <w:rPr>
      <w:sz w:val="21"/>
    </w:rPr>
  </w:style>
  <w:style w:type="paragraph" w:customStyle="1" w:styleId="38">
    <w:name w:val="正文缩进1"/>
    <w:basedOn w:val="1"/>
    <w:qFormat/>
    <w:uiPriority w:val="0"/>
    <w:pPr>
      <w:autoSpaceDE w:val="0"/>
      <w:autoSpaceDN w:val="0"/>
      <w:adjustRightInd w:val="0"/>
      <w:ind w:firstLine="420"/>
      <w:jc w:val="left"/>
    </w:pPr>
    <w:rPr>
      <w:rFonts w:ascii="宋体"/>
      <w:kern w:val="0"/>
      <w:sz w:val="24"/>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1">
    <w:name w:val="title1"/>
    <w:basedOn w:val="1"/>
    <w:qFormat/>
    <w:uiPriority w:val="0"/>
    <w:pPr>
      <w:spacing w:before="150" w:line="450" w:lineRule="atLeast"/>
      <w:jc w:val="left"/>
    </w:pPr>
    <w:rPr>
      <w:b/>
      <w:kern w:val="0"/>
      <w:sz w:val="24"/>
    </w:rPr>
  </w:style>
  <w:style w:type="paragraph" w:customStyle="1" w:styleId="42">
    <w:name w:val="p15"/>
    <w:basedOn w:val="1"/>
    <w:qFormat/>
    <w:uiPriority w:val="99"/>
    <w:pPr>
      <w:widowControl/>
    </w:pPr>
    <w:rPr>
      <w:kern w:val="0"/>
      <w:szCs w:val="21"/>
    </w:rPr>
  </w:style>
  <w:style w:type="character" w:customStyle="1" w:styleId="43">
    <w:name w:val="font21"/>
    <w:basedOn w:val="25"/>
    <w:qFormat/>
    <w:uiPriority w:val="99"/>
    <w:rPr>
      <w:rFonts w:ascii="宋体" w:hAnsi="宋体" w:eastAsia="宋体"/>
      <w:color w:val="000000"/>
      <w:sz w:val="20"/>
      <w:u w:val="none"/>
    </w:rPr>
  </w:style>
  <w:style w:type="paragraph" w:customStyle="1" w:styleId="44">
    <w:name w:val="List Paragraph"/>
    <w:basedOn w:val="1"/>
    <w:qFormat/>
    <w:uiPriority w:val="34"/>
    <w:pPr>
      <w:ind w:firstLine="420" w:firstLineChars="200"/>
    </w:pPr>
    <w:rPr>
      <w:rFonts w:ascii="Calibri" w:hAnsi="Calibri"/>
      <w:szCs w:val="22"/>
    </w:rPr>
  </w:style>
  <w:style w:type="paragraph" w:customStyle="1" w:styleId="45">
    <w:name w:val="title11"/>
    <w:basedOn w:val="1"/>
    <w:qFormat/>
    <w:uiPriority w:val="0"/>
    <w:pPr>
      <w:spacing w:before="100"/>
      <w:jc w:val="left"/>
    </w:pPr>
    <w:rPr>
      <w:b/>
      <w:kern w:val="0"/>
      <w:sz w:val="15"/>
      <w:szCs w:val="15"/>
    </w:rPr>
  </w:style>
  <w:style w:type="paragraph" w:customStyle="1" w:styleId="46">
    <w:name w:val="title13"/>
    <w:basedOn w:val="1"/>
    <w:qFormat/>
    <w:uiPriority w:val="0"/>
    <w:pPr>
      <w:spacing w:before="100"/>
      <w:jc w:val="left"/>
    </w:pPr>
    <w:rPr>
      <w:b/>
      <w:kern w:val="0"/>
      <w:sz w:val="15"/>
      <w:szCs w:val="15"/>
    </w:rPr>
  </w:style>
  <w:style w:type="character" w:customStyle="1" w:styleId="47">
    <w:name w:val="phone"/>
    <w:basedOn w:val="25"/>
    <w:qFormat/>
    <w:uiPriority w:val="0"/>
    <w:rPr>
      <w:color w:val="FF8833"/>
      <w:sz w:val="12"/>
      <w:szCs w:val="12"/>
    </w:rPr>
  </w:style>
  <w:style w:type="character" w:customStyle="1" w:styleId="48">
    <w:name w:val="number"/>
    <w:basedOn w:val="25"/>
    <w:qFormat/>
    <w:uiPriority w:val="0"/>
    <w:rPr>
      <w:color w:val="FF8833"/>
      <w:sz w:val="12"/>
      <w:szCs w:val="12"/>
    </w:rPr>
  </w:style>
  <w:style w:type="character" w:customStyle="1" w:styleId="49">
    <w:name w:val="stclosebtn"/>
    <w:basedOn w:val="25"/>
    <w:qFormat/>
    <w:uiPriority w:val="0"/>
  </w:style>
  <w:style w:type="character" w:customStyle="1" w:styleId="50">
    <w:name w:val="proollist"/>
    <w:basedOn w:val="25"/>
    <w:qFormat/>
    <w:uiPriority w:val="0"/>
  </w:style>
  <w:style w:type="character" w:customStyle="1" w:styleId="51">
    <w:name w:val="beforeinfotext"/>
    <w:basedOn w:val="25"/>
    <w:qFormat/>
    <w:uiPriority w:val="0"/>
    <w:rPr>
      <w:color w:val="666666"/>
    </w:rPr>
  </w:style>
  <w:style w:type="character" w:customStyle="1" w:styleId="52">
    <w:name w:val="批注文字 Char"/>
    <w:basedOn w:val="25"/>
    <w:link w:val="10"/>
    <w:qFormat/>
    <w:uiPriority w:val="0"/>
    <w:rPr>
      <w:kern w:val="2"/>
      <w:sz w:val="21"/>
      <w:szCs w:val="24"/>
    </w:rPr>
  </w:style>
  <w:style w:type="character" w:customStyle="1" w:styleId="53">
    <w:name w:val="批注主题 Char"/>
    <w:basedOn w:val="52"/>
    <w:link w:val="21"/>
    <w:qFormat/>
    <w:uiPriority w:val="0"/>
    <w:rPr>
      <w:b/>
      <w:bCs/>
      <w:kern w:val="2"/>
      <w:sz w:val="21"/>
      <w:szCs w:val="24"/>
    </w:rPr>
  </w:style>
  <w:style w:type="character" w:customStyle="1" w:styleId="54">
    <w:name w:val="批注框文本 Char"/>
    <w:basedOn w:val="25"/>
    <w:link w:val="15"/>
    <w:qFormat/>
    <w:uiPriority w:val="0"/>
    <w:rPr>
      <w:kern w:val="2"/>
      <w:sz w:val="18"/>
      <w:szCs w:val="18"/>
    </w:rPr>
  </w:style>
  <w:style w:type="paragraph" w:customStyle="1" w:styleId="55">
    <w:name w:val="正文首行缩进两字符"/>
    <w:basedOn w:val="1"/>
    <w:qFormat/>
    <w:uiPriority w:val="0"/>
    <w:pPr>
      <w:spacing w:line="360" w:lineRule="auto"/>
      <w:ind w:firstLine="200" w:firstLineChars="200"/>
    </w:pPr>
    <w:rPr>
      <w:rFonts w:ascii="Times New Roman" w:hAnsi="Times New Roman"/>
    </w:rPr>
  </w:style>
  <w:style w:type="character" w:customStyle="1" w:styleId="56">
    <w:name w:val="标题 1 Char"/>
    <w:link w:val="3"/>
    <w:qFormat/>
    <w:uiPriority w:val="99"/>
    <w:rPr>
      <w:b/>
      <w:bCs/>
      <w:kern w:val="44"/>
      <w:sz w:val="44"/>
      <w:szCs w:val="44"/>
    </w:rPr>
  </w:style>
  <w:style w:type="paragraph" w:customStyle="1" w:styleId="57">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8">
    <w:name w:val="Table Paragraph"/>
    <w:basedOn w:val="1"/>
    <w:qFormat/>
    <w:uiPriority w:val="1"/>
    <w:pPr>
      <w:adjustRightInd/>
    </w:pPr>
    <w:rPr>
      <w:rFonts w:ascii="宋体" w:hAnsi="宋体" w:cs="宋体"/>
      <w:sz w:val="22"/>
      <w:szCs w:val="22"/>
      <w:lang w:val="zh-CN" w:bidi="zh-CN"/>
    </w:rPr>
  </w:style>
  <w:style w:type="table" w:customStyle="1" w:styleId="59">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60">
    <w:name w:val="hover25"/>
    <w:basedOn w:val="25"/>
    <w:qFormat/>
    <w:uiPriority w:val="0"/>
    <w:rPr>
      <w:color w:val="167AE0"/>
    </w:rPr>
  </w:style>
  <w:style w:type="character" w:customStyle="1" w:styleId="61">
    <w:name w:val="nth-of-type(5)"/>
    <w:basedOn w:val="25"/>
    <w:qFormat/>
    <w:uiPriority w:val="0"/>
  </w:style>
  <w:style w:type="character" w:customStyle="1" w:styleId="62">
    <w:name w:val="nth-child(2)"/>
    <w:basedOn w:val="25"/>
    <w:qFormat/>
    <w:uiPriority w:val="0"/>
  </w:style>
  <w:style w:type="character" w:customStyle="1" w:styleId="63">
    <w:name w:val="layui-this"/>
    <w:basedOn w:val="25"/>
    <w:qFormat/>
    <w:uiPriority w:val="0"/>
    <w:rPr>
      <w:bdr w:val="single" w:color="EEEEEE" w:sz="6" w:space="0"/>
      <w:shd w:val="clear" w:fill="FFFFFF"/>
    </w:rPr>
  </w:style>
  <w:style w:type="character" w:customStyle="1" w:styleId="64">
    <w:name w:val="first-child"/>
    <w:basedOn w:val="25"/>
    <w:qFormat/>
    <w:uiPriority w:val="0"/>
  </w:style>
  <w:style w:type="character" w:customStyle="1" w:styleId="65">
    <w:name w:val="first-child1"/>
    <w:basedOn w:val="25"/>
    <w:qFormat/>
    <w:uiPriority w:val="0"/>
  </w:style>
  <w:style w:type="character" w:customStyle="1" w:styleId="66">
    <w:name w:val="first-child2"/>
    <w:basedOn w:val="25"/>
    <w:qFormat/>
    <w:uiPriority w:val="0"/>
  </w:style>
  <w:style w:type="character" w:customStyle="1" w:styleId="67">
    <w:name w:val="first-child3"/>
    <w:basedOn w:val="25"/>
    <w:qFormat/>
    <w:uiPriority w:val="0"/>
  </w:style>
  <w:style w:type="character" w:customStyle="1" w:styleId="68">
    <w:name w:val="nth-of-type(8)"/>
    <w:basedOn w:val="25"/>
    <w:qFormat/>
    <w:uiPriority w:val="0"/>
  </w:style>
  <w:style w:type="character" w:customStyle="1" w:styleId="69">
    <w:name w:val="layui-laypage-curr"/>
    <w:basedOn w:val="25"/>
    <w:qFormat/>
    <w:uiPriority w:val="0"/>
  </w:style>
  <w:style w:type="character" w:customStyle="1" w:styleId="70">
    <w:name w:val="nth-of-type(7)"/>
    <w:basedOn w:val="25"/>
    <w:qFormat/>
    <w:uiPriority w:val="0"/>
  </w:style>
  <w:style w:type="character" w:customStyle="1" w:styleId="71">
    <w:name w:val="nth-of-type(7)1"/>
    <w:basedOn w:val="25"/>
    <w:qFormat/>
    <w:uiPriority w:val="0"/>
  </w:style>
  <w:style w:type="character" w:customStyle="1" w:styleId="72">
    <w:name w:val="nth-of-type(7)2"/>
    <w:basedOn w:val="25"/>
    <w:qFormat/>
    <w:uiPriority w:val="0"/>
  </w:style>
  <w:style w:type="character" w:customStyle="1" w:styleId="73">
    <w:name w:val="nth-of-type(6)"/>
    <w:basedOn w:val="25"/>
    <w:qFormat/>
    <w:uiPriority w:val="0"/>
  </w:style>
  <w:style w:type="character" w:customStyle="1" w:styleId="74">
    <w:name w:val="lineshow"/>
    <w:basedOn w:val="25"/>
    <w:qFormat/>
    <w:uiPriority w:val="0"/>
  </w:style>
  <w:style w:type="character" w:customStyle="1" w:styleId="75">
    <w:name w:val="lineshow1"/>
    <w:basedOn w:val="25"/>
    <w:qFormat/>
    <w:uiPriority w:val="0"/>
  </w:style>
  <w:style w:type="character" w:customStyle="1" w:styleId="76">
    <w:name w:val="nth-of-type(9)"/>
    <w:basedOn w:val="25"/>
    <w:qFormat/>
    <w:uiPriority w:val="0"/>
  </w:style>
  <w:style w:type="character" w:customStyle="1" w:styleId="77">
    <w:name w:val="nth-of-type(3)"/>
    <w:basedOn w:val="25"/>
    <w:qFormat/>
    <w:uiPriority w:val="0"/>
  </w:style>
  <w:style w:type="character" w:customStyle="1" w:styleId="78">
    <w:name w:val="nth-of-type(4)"/>
    <w:basedOn w:val="25"/>
    <w:qFormat/>
    <w:uiPriority w:val="0"/>
  </w:style>
  <w:style w:type="character" w:customStyle="1" w:styleId="79">
    <w:name w:val="nth-of-type(1)"/>
    <w:basedOn w:val="25"/>
    <w:qFormat/>
    <w:uiPriority w:val="0"/>
  </w:style>
  <w:style w:type="character" w:customStyle="1" w:styleId="80">
    <w:name w:val="nth-of-type(1)1"/>
    <w:basedOn w:val="25"/>
    <w:qFormat/>
    <w:uiPriority w:val="0"/>
  </w:style>
  <w:style w:type="character" w:customStyle="1" w:styleId="81">
    <w:name w:val="nth-of-type(1)2"/>
    <w:basedOn w:val="25"/>
    <w:qFormat/>
    <w:uiPriority w:val="0"/>
  </w:style>
  <w:style w:type="character" w:customStyle="1" w:styleId="82">
    <w:name w:val="nth-of-type(1)3"/>
    <w:basedOn w:val="25"/>
    <w:qFormat/>
    <w:uiPriority w:val="0"/>
  </w:style>
  <w:style w:type="character" w:customStyle="1" w:styleId="83">
    <w:name w:val="nth-of-type(1)4"/>
    <w:basedOn w:val="25"/>
    <w:qFormat/>
    <w:uiPriority w:val="0"/>
  </w:style>
  <w:style w:type="character" w:customStyle="1" w:styleId="84">
    <w:name w:val="nth-of-type(1)5"/>
    <w:basedOn w:val="25"/>
    <w:qFormat/>
    <w:uiPriority w:val="0"/>
  </w:style>
  <w:style w:type="character" w:customStyle="1" w:styleId="85">
    <w:name w:val="nth-of-type(1)6"/>
    <w:basedOn w:val="25"/>
    <w:qFormat/>
    <w:uiPriority w:val="0"/>
  </w:style>
  <w:style w:type="character" w:customStyle="1" w:styleId="86">
    <w:name w:val="nth-of-type(1)7"/>
    <w:basedOn w:val="25"/>
    <w:qFormat/>
    <w:uiPriority w:val="0"/>
    <w:rPr>
      <w:rFonts w:ascii="SourceHanSansCN-Regular" w:hAnsi="SourceHanSansCN-Regular" w:eastAsia="SourceHanSansCN-Regular" w:cs="SourceHanSansCN-Regular"/>
      <w:color w:val="FB560A"/>
      <w:sz w:val="21"/>
      <w:szCs w:val="21"/>
    </w:rPr>
  </w:style>
  <w:style w:type="character" w:customStyle="1" w:styleId="87">
    <w:name w:val="nth-of-type(1)8"/>
    <w:basedOn w:val="25"/>
    <w:qFormat/>
    <w:uiPriority w:val="0"/>
  </w:style>
  <w:style w:type="character" w:customStyle="1" w:styleId="88">
    <w:name w:val="nth-of-type(1)9"/>
    <w:basedOn w:val="25"/>
    <w:qFormat/>
    <w:uiPriority w:val="0"/>
  </w:style>
  <w:style w:type="character" w:customStyle="1" w:styleId="89">
    <w:name w:val="nth-of-type(1)10"/>
    <w:basedOn w:val="25"/>
    <w:qFormat/>
    <w:uiPriority w:val="0"/>
  </w:style>
  <w:style w:type="character" w:customStyle="1" w:styleId="90">
    <w:name w:val="nth-of-type(1)11"/>
    <w:basedOn w:val="25"/>
    <w:qFormat/>
    <w:uiPriority w:val="0"/>
  </w:style>
  <w:style w:type="character" w:customStyle="1" w:styleId="91">
    <w:name w:val="nth-of-type(1)12"/>
    <w:basedOn w:val="25"/>
    <w:qFormat/>
    <w:uiPriority w:val="0"/>
  </w:style>
  <w:style w:type="character" w:customStyle="1" w:styleId="92">
    <w:name w:val="nth-of-type(1)13"/>
    <w:basedOn w:val="25"/>
    <w:qFormat/>
    <w:uiPriority w:val="0"/>
  </w:style>
  <w:style w:type="character" w:customStyle="1" w:styleId="93">
    <w:name w:val="nth-of-type(1)14"/>
    <w:basedOn w:val="25"/>
    <w:qFormat/>
    <w:uiPriority w:val="0"/>
  </w:style>
  <w:style w:type="character" w:customStyle="1" w:styleId="94">
    <w:name w:val="nth-of-type(1)15"/>
    <w:basedOn w:val="25"/>
    <w:qFormat/>
    <w:uiPriority w:val="0"/>
    <w:rPr>
      <w:color w:val="0082DF"/>
    </w:rPr>
  </w:style>
  <w:style w:type="character" w:customStyle="1" w:styleId="95">
    <w:name w:val="nth-of-type(1)16"/>
    <w:basedOn w:val="25"/>
    <w:qFormat/>
    <w:uiPriority w:val="0"/>
  </w:style>
  <w:style w:type="character" w:customStyle="1" w:styleId="96">
    <w:name w:val="nth-of-type(1)17"/>
    <w:basedOn w:val="25"/>
    <w:qFormat/>
    <w:uiPriority w:val="0"/>
    <w:rPr>
      <w:sz w:val="21"/>
      <w:szCs w:val="21"/>
    </w:rPr>
  </w:style>
  <w:style w:type="character" w:customStyle="1" w:styleId="97">
    <w:name w:val="last-child1"/>
    <w:basedOn w:val="25"/>
    <w:qFormat/>
    <w:uiPriority w:val="0"/>
    <w:rPr>
      <w:color w:val="FFFFFF"/>
    </w:rPr>
  </w:style>
  <w:style w:type="character" w:customStyle="1" w:styleId="98">
    <w:name w:val="last-child2"/>
    <w:basedOn w:val="25"/>
    <w:qFormat/>
    <w:uiPriority w:val="0"/>
  </w:style>
  <w:style w:type="character" w:customStyle="1" w:styleId="99">
    <w:name w:val="last-child3"/>
    <w:basedOn w:val="25"/>
    <w:qFormat/>
    <w:uiPriority w:val="0"/>
  </w:style>
  <w:style w:type="character" w:customStyle="1" w:styleId="100">
    <w:name w:val="nth-of-type(2)"/>
    <w:basedOn w:val="25"/>
    <w:qFormat/>
    <w:uiPriority w:val="0"/>
  </w:style>
  <w:style w:type="character" w:customStyle="1" w:styleId="101">
    <w:name w:val="nth-of-type(2)1"/>
    <w:basedOn w:val="25"/>
    <w:qFormat/>
    <w:uiPriority w:val="0"/>
  </w:style>
  <w:style w:type="character" w:customStyle="1" w:styleId="102">
    <w:name w:val="nth-of-type(2)2"/>
    <w:basedOn w:val="25"/>
    <w:qFormat/>
    <w:uiPriority w:val="0"/>
  </w:style>
  <w:style w:type="character" w:customStyle="1" w:styleId="103">
    <w:name w:val="nth-of-type(2)3"/>
    <w:basedOn w:val="25"/>
    <w:qFormat/>
    <w:uiPriority w:val="0"/>
  </w:style>
  <w:style w:type="character" w:customStyle="1" w:styleId="104">
    <w:name w:val="nth-of-type(2)4"/>
    <w:basedOn w:val="25"/>
    <w:qFormat/>
    <w:uiPriority w:val="0"/>
  </w:style>
  <w:style w:type="character" w:customStyle="1" w:styleId="105">
    <w:name w:val="nth-of-type(2)5"/>
    <w:basedOn w:val="25"/>
    <w:qFormat/>
    <w:uiPriority w:val="0"/>
  </w:style>
  <w:style w:type="character" w:customStyle="1" w:styleId="106">
    <w:name w:val="nth-of-type(2)6"/>
    <w:basedOn w:val="25"/>
    <w:qFormat/>
    <w:uiPriority w:val="0"/>
  </w:style>
  <w:style w:type="character" w:customStyle="1" w:styleId="107">
    <w:name w:val="nth-of-type(2)7"/>
    <w:basedOn w:val="25"/>
    <w:qFormat/>
    <w:uiPriority w:val="0"/>
  </w:style>
  <w:style w:type="character" w:customStyle="1" w:styleId="108">
    <w:name w:val="nth-of-type(2)8"/>
    <w:basedOn w:val="25"/>
    <w:qFormat/>
    <w:uiPriority w:val="0"/>
  </w:style>
  <w:style w:type="character" w:customStyle="1" w:styleId="109">
    <w:name w:val="nth-of-type(2)9"/>
    <w:basedOn w:val="25"/>
    <w:qFormat/>
    <w:uiPriority w:val="0"/>
  </w:style>
  <w:style w:type="character" w:customStyle="1" w:styleId="110">
    <w:name w:val="nth-of-type(2)10"/>
    <w:basedOn w:val="25"/>
    <w:qFormat/>
    <w:uiPriority w:val="0"/>
  </w:style>
  <w:style w:type="character" w:customStyle="1" w:styleId="111">
    <w:name w:val="nth-of-type(2)11"/>
    <w:basedOn w:val="25"/>
    <w:qFormat/>
    <w:uiPriority w:val="0"/>
  </w:style>
  <w:style w:type="character" w:customStyle="1" w:styleId="112">
    <w:name w:val="nth-of-type(2)12"/>
    <w:basedOn w:val="25"/>
    <w:qFormat/>
    <w:uiPriority w:val="0"/>
  </w:style>
  <w:style w:type="character" w:customStyle="1" w:styleId="113">
    <w:name w:val="nth-of-type(2)13"/>
    <w:basedOn w:val="25"/>
    <w:qFormat/>
    <w:uiPriority w:val="0"/>
    <w:rPr>
      <w:sz w:val="21"/>
      <w:szCs w:val="21"/>
    </w:rPr>
  </w:style>
  <w:style w:type="character" w:customStyle="1" w:styleId="114">
    <w:name w:val="nth-child(1)"/>
    <w:basedOn w:val="25"/>
    <w:qFormat/>
    <w:uiPriority w:val="0"/>
  </w:style>
  <w:style w:type="character" w:customStyle="1" w:styleId="115">
    <w:name w:val="nth-of-type(10)"/>
    <w:basedOn w:val="25"/>
    <w:qFormat/>
    <w:uiPriority w:val="0"/>
  </w:style>
  <w:style w:type="character" w:customStyle="1" w:styleId="116">
    <w:name w:val="nth-child(3)"/>
    <w:basedOn w:val="25"/>
    <w:qFormat/>
    <w:uiPriority w:val="0"/>
  </w:style>
  <w:style w:type="character" w:customStyle="1" w:styleId="117">
    <w:name w:val="titleshow"/>
    <w:basedOn w:val="25"/>
    <w:qFormat/>
    <w:uiPriority w:val="0"/>
    <w:rPr>
      <w:color w:val="3E464C"/>
    </w:rPr>
  </w:style>
  <w:style w:type="character" w:customStyle="1" w:styleId="118">
    <w:name w:val="before2"/>
    <w:basedOn w:val="25"/>
    <w:qFormat/>
    <w:uiPriority w:val="0"/>
    <w:rPr>
      <w:shd w:val="clear" w:fill="C20E0C"/>
    </w:rPr>
  </w:style>
  <w:style w:type="character" w:customStyle="1" w:styleId="119">
    <w:name w:val="nth-of-type(6)1"/>
    <w:basedOn w:val="25"/>
    <w:qFormat/>
    <w:uiPriority w:val="0"/>
  </w:style>
  <w:style w:type="character" w:customStyle="1" w:styleId="120">
    <w:name w:val="nth-of-type(6)2"/>
    <w:basedOn w:val="25"/>
    <w:qFormat/>
    <w:uiPriority w:val="0"/>
    <w:rPr>
      <w:color w:val="0082DF"/>
    </w:rPr>
  </w:style>
  <w:style w:type="character" w:customStyle="1" w:styleId="121">
    <w:name w:val="nth-of-type(6)3"/>
    <w:basedOn w:val="25"/>
    <w:qFormat/>
    <w:uiPriority w:val="0"/>
  </w:style>
  <w:style w:type="character" w:customStyle="1" w:styleId="122">
    <w:name w:val="nth-of-type(6)4"/>
    <w:basedOn w:val="25"/>
    <w:qFormat/>
    <w:uiPriority w:val="0"/>
  </w:style>
  <w:style w:type="character" w:customStyle="1" w:styleId="123">
    <w:name w:val="nth-of-type(6)5"/>
    <w:basedOn w:val="25"/>
    <w:qFormat/>
    <w:uiPriority w:val="0"/>
  </w:style>
  <w:style w:type="character" w:customStyle="1" w:styleId="124">
    <w:name w:val="nth-of-type(3)1"/>
    <w:basedOn w:val="25"/>
    <w:qFormat/>
    <w:uiPriority w:val="0"/>
  </w:style>
  <w:style w:type="character" w:customStyle="1" w:styleId="125">
    <w:name w:val="nth-of-type(3)2"/>
    <w:basedOn w:val="25"/>
    <w:qFormat/>
    <w:uiPriority w:val="0"/>
  </w:style>
  <w:style w:type="character" w:customStyle="1" w:styleId="126">
    <w:name w:val="nth-of-type(3)3"/>
    <w:basedOn w:val="25"/>
    <w:qFormat/>
    <w:uiPriority w:val="0"/>
  </w:style>
  <w:style w:type="character" w:customStyle="1" w:styleId="127">
    <w:name w:val="nth-of-type(3)4"/>
    <w:basedOn w:val="25"/>
    <w:qFormat/>
    <w:uiPriority w:val="0"/>
  </w:style>
  <w:style w:type="character" w:customStyle="1" w:styleId="128">
    <w:name w:val="nth-of-type(3)5"/>
    <w:basedOn w:val="25"/>
    <w:qFormat/>
    <w:uiPriority w:val="0"/>
  </w:style>
  <w:style w:type="character" w:customStyle="1" w:styleId="129">
    <w:name w:val="nth-of-type(3)6"/>
    <w:basedOn w:val="25"/>
    <w:qFormat/>
    <w:uiPriority w:val="0"/>
  </w:style>
  <w:style w:type="character" w:customStyle="1" w:styleId="130">
    <w:name w:val="nth-of-type(3)7"/>
    <w:basedOn w:val="25"/>
    <w:qFormat/>
    <w:uiPriority w:val="0"/>
    <w:rPr>
      <w:sz w:val="21"/>
      <w:szCs w:val="21"/>
    </w:rPr>
  </w:style>
  <w:style w:type="character" w:customStyle="1" w:styleId="131">
    <w:name w:val="nth-of-type(4)1"/>
    <w:basedOn w:val="25"/>
    <w:qFormat/>
    <w:uiPriority w:val="0"/>
  </w:style>
  <w:style w:type="character" w:customStyle="1" w:styleId="132">
    <w:name w:val="nth-of-type(4)2"/>
    <w:basedOn w:val="25"/>
    <w:qFormat/>
    <w:uiPriority w:val="0"/>
  </w:style>
  <w:style w:type="character" w:customStyle="1" w:styleId="133">
    <w:name w:val="nth-of-type(4)3"/>
    <w:basedOn w:val="25"/>
    <w:qFormat/>
    <w:uiPriority w:val="0"/>
  </w:style>
  <w:style w:type="character" w:customStyle="1" w:styleId="134">
    <w:name w:val="nth-of-type(4)4"/>
    <w:basedOn w:val="25"/>
    <w:qFormat/>
    <w:uiPriority w:val="0"/>
  </w:style>
  <w:style w:type="character" w:customStyle="1" w:styleId="135">
    <w:name w:val="nth-of-type(4)5"/>
    <w:basedOn w:val="25"/>
    <w:qFormat/>
    <w:uiPriority w:val="0"/>
  </w:style>
  <w:style w:type="character" w:customStyle="1" w:styleId="136">
    <w:name w:val="nth-of-type(4)6"/>
    <w:basedOn w:val="25"/>
    <w:qFormat/>
    <w:uiPriority w:val="0"/>
  </w:style>
  <w:style w:type="character" w:customStyle="1" w:styleId="137">
    <w:name w:val="nth-of-type(4)7"/>
    <w:basedOn w:val="25"/>
    <w:qFormat/>
    <w:uiPriority w:val="0"/>
  </w:style>
  <w:style w:type="character" w:customStyle="1" w:styleId="138">
    <w:name w:val="nth-of-type(4)8"/>
    <w:basedOn w:val="25"/>
    <w:qFormat/>
    <w:uiPriority w:val="0"/>
    <w:rPr>
      <w:sz w:val="21"/>
      <w:szCs w:val="21"/>
    </w:rPr>
  </w:style>
  <w:style w:type="character" w:customStyle="1" w:styleId="139">
    <w:name w:val="layui-this4"/>
    <w:basedOn w:val="25"/>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30757</Words>
  <Characters>32153</Characters>
  <Lines>289</Lines>
  <Paragraphs>81</Paragraphs>
  <TotalTime>150</TotalTime>
  <ScaleCrop>false</ScaleCrop>
  <LinksUpToDate>false</LinksUpToDate>
  <CharactersWithSpaces>34181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cp:lastPrinted>2022-05-10T07:51:00Z</cp:lastPrinted>
  <dcterms:modified xsi:type="dcterms:W3CDTF">2022-09-07T06:15:20Z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D2D16B882E4A40DF96511E49F7A19AF6</vt:lpwstr>
  </property>
</Properties>
</file>