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bookmarkStart w:id="0" w:name="_GoBack"/>
      <w:r>
        <w:rPr>
          <w:rFonts w:ascii="宋体" w:hAnsi="宋体" w:eastAsia="宋体" w:cs="宋体"/>
          <w:b/>
          <w:bCs/>
          <w:color w:val="0A82E5"/>
          <w:kern w:val="0"/>
          <w:sz w:val="36"/>
          <w:szCs w:val="36"/>
          <w:bdr w:val="none" w:color="auto" w:sz="0" w:space="0"/>
          <w:lang w:val="en-US" w:eastAsia="zh-CN" w:bidi="ar"/>
        </w:rPr>
        <w:t>丹凤县老年养护院项目设计方案、初步设计、施工图采购招标公告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丹凤县老年养护院项目设计方案、初步设计、施工图采购</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商洛市商州区商郡城4号楼1单元601室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2023年03月15日 15时00分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项目编号：HRCZB20230072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项目名称：丹凤县老年养护院项目设计方案、初步设计、施工图采购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预算金额：1,920,000.00元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合同包1(丹凤县老年养护院项目设计方案、初步设计、施工图采购):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合同包预算金额：1,920,000.00元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合同包最高限价：1,920,000.00元</w:t>
      </w:r>
    </w:p>
    <w:tbl>
      <w:tblPr>
        <w:tblW w:w="89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9"/>
        <w:gridCol w:w="1685"/>
        <w:gridCol w:w="1685"/>
        <w:gridCol w:w="739"/>
        <w:gridCol w:w="1290"/>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47" w:hRule="atLeast"/>
          <w:tblHeader/>
        </w:trPr>
        <w:tc>
          <w:tcPr>
            <w:tcW w:w="5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0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0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8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8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52"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其他工程管理服务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1920000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1(套)</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1,920,000.00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1,920,000.00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合同履行期限：详见采购文件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合同包1(丹凤县老年养护院项目设计方案、初步设计、施工图采购)落实政府采购政策需满足的资格要求如下: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为专门面向中小企业项目，供应商应为中型企业、小型企业、微型企业或监狱企业或残疾人福利性单位。供应商为中小企业的，提供《中小企业声明函》；供应商为监狱企业的，应提供监狱企业的证明文件；供应商为残疾人福利性单位的，应提供《残疾人福利性单位声明函》（监狱企业或残疾人福利性单位视同小型、微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合同包1(丹凤县老年养护院项目设计方案、初步设计、施工图采购)特定资格要求如下: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3.1提供合格有效的法人或者其他组织的营业执照等证明文件，自然人的身份证明；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3.2具备【工程设计综合资质丙级】及以上,或【建筑行业（建筑工程）专业设计乙级】或【建筑行业工程设计乙级】及以上资质，并在人员、设备、资金等方面具备相应的设计能力；</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3.3拟派项目负责人具备工程师及以上资格；</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3.4须提供（1）无重大违法记录声明原件（政府采购活动前3年内在经营活动中没有重大违法声明） （2）供应商应在信用中国（www.creditchina.gov.cn）未被列入失信被执行人、重大违法税收失信主体及在中国政府采购（www.ccgp.gov.cn）未被列入政府采购严重违法失信行为记录名单（处罚期限届满的除外，如相关失信记录已失效，供应商需提供相关证明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2023年02月20日 至 2023年02月24日 ，每天上午 09:00:00 至 11:00:00 ，下午 15:00:00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商洛市商州区商郡城4号楼1单元601室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2023年03月15日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商洛市商州区商郡城4号楼1单元601室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商洛市商州区商郡城4号楼1单元601室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（1）供应商应当在要求的投标文件递交截止时间前，将投标文件密封送达指定地点。在截止时间后送达的投标文件将拒绝。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（2）请供应商按照陕西省财政厅关于政府采购供应商注册登记有关事项的通知中的要求，通过陕西省政府采购网（http://www.ccgp-shaanxi.gov.cn/）注册登记加入陕西省政府采购供应商库。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left"/>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注：获取文件时需携带单位介绍信原件、授权委托书原件（授权委托书应包含法定代表人身份证复印件及委托代理人身份证复印件）、经办人身份证原件及加盖公章的上述资料复印件（节假日除外，谢绝邮寄）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丹凤县民政局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建设路3号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09143322712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华睿诚项目管理有限公司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商洛市商州区商郡城4号楼1单元601室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0914-2317369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杨女士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0914-2317369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华睿诚项目管理有限公司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pPr>
        <w:spacing w:line="240" w:lineRule="auto"/>
      </w:pP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MTk5YTJhYjQ3MTIwZjUwZjYzNGU2ZDA2MTA5NWQifQ=="/>
  </w:docVars>
  <w:rsids>
    <w:rsidRoot w:val="54CC2EA6"/>
    <w:rsid w:val="54CC2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2023-02-17T07:24:00Z</dcterms:created>
  <dc:creator>Alisa</dc:creator>
  <cp:lastModifiedBy>Alisa</cp:lastModifiedBy>
  <dcterms:modified xsi:type="dcterms:W3CDTF">2023-02-17T07:27:43Z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DF1BE432BA224F8FBC454A7E6FD7979D</vt:lpwstr>
  </property>
</Properties>
</file>