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项目编号：</w:t>
      </w:r>
      <w:r>
        <w:rPr>
          <w:rFonts w:hint="eastAsia" w:asciiTheme="minorEastAsia" w:hAnsiTheme="minorEastAsia" w:eastAsiaTheme="minorEastAsia" w:cstheme="minorEastAsia"/>
          <w:b/>
          <w:bCs/>
          <w:sz w:val="32"/>
          <w:szCs w:val="32"/>
          <w:lang w:val="en-US" w:eastAsia="zh-CN"/>
        </w:rPr>
        <w:t>SNTH-2022-1102</w:t>
      </w:r>
    </w:p>
    <w:p>
      <w:pPr>
        <w:jc w:val="center"/>
        <w:rPr>
          <w:rFonts w:asciiTheme="minorEastAsia" w:hAnsiTheme="minorEastAsia" w:eastAsiaTheme="minorEastAsia" w:cstheme="minorEastAsia"/>
          <w:b/>
          <w:sz w:val="36"/>
        </w:rPr>
      </w:pPr>
      <w:bookmarkStart w:id="142" w:name="_GoBack"/>
      <w:bookmarkEnd w:id="142"/>
    </w:p>
    <w:p>
      <w:pPr>
        <w:jc w:val="center"/>
        <w:rPr>
          <w:rFonts w:asciiTheme="minorEastAsia" w:hAnsiTheme="minorEastAsia" w:eastAsiaTheme="minorEastAsia" w:cstheme="minorEastAsia"/>
          <w:b/>
          <w:sz w:val="36"/>
        </w:rPr>
      </w:pPr>
    </w:p>
    <w:p>
      <w:pPr>
        <w:jc w:val="center"/>
        <w:rPr>
          <w:rFonts w:asciiTheme="minorEastAsia" w:hAnsiTheme="minorEastAsia" w:eastAsiaTheme="minorEastAsia" w:cstheme="minorEastAsia"/>
          <w:b/>
          <w:sz w:val="36"/>
        </w:rPr>
      </w:pPr>
    </w:p>
    <w:p>
      <w:pPr>
        <w:pStyle w:val="11"/>
      </w:pPr>
    </w:p>
    <w:p>
      <w:pPr>
        <w:jc w:val="center"/>
        <w:rPr>
          <w:rFonts w:asciiTheme="minorEastAsia" w:hAnsiTheme="minorEastAsia" w:eastAsiaTheme="minorEastAsia" w:cstheme="minorEastAsia"/>
          <w:b/>
          <w:sz w:val="36"/>
          <w:szCs w:val="36"/>
        </w:rPr>
      </w:pPr>
      <w:r>
        <w:rPr>
          <w:rFonts w:asciiTheme="minorEastAsia" w:hAnsiTheme="minorEastAsia" w:eastAsiaTheme="minorEastAsia" w:cstheme="minorEastAsia"/>
          <w:b/>
          <w:sz w:val="36"/>
          <w:szCs w:val="36"/>
        </w:rPr>
        <w:t>商洛市秦岭中段（南麓）水源涵养与生物多样性保护</w:t>
      </w:r>
    </w:p>
    <w:p>
      <w:pPr>
        <w:jc w:val="center"/>
        <w:rPr>
          <w:rFonts w:asciiTheme="minorEastAsia" w:hAnsiTheme="minorEastAsia" w:eastAsiaTheme="minorEastAsia" w:cstheme="minorEastAsia"/>
          <w:b/>
          <w:sz w:val="36"/>
          <w:szCs w:val="36"/>
        </w:rPr>
      </w:pPr>
      <w:r>
        <w:rPr>
          <w:rFonts w:asciiTheme="minorEastAsia" w:hAnsiTheme="minorEastAsia" w:eastAsiaTheme="minorEastAsia" w:cstheme="minorEastAsia"/>
          <w:b/>
          <w:sz w:val="36"/>
          <w:szCs w:val="36"/>
        </w:rPr>
        <w:t>恢复项目(商南县2022年退化林修复）</w:t>
      </w:r>
    </w:p>
    <w:p>
      <w:pPr>
        <w:jc w:val="center"/>
        <w:rPr>
          <w:rFonts w:asciiTheme="minorEastAsia" w:hAnsiTheme="minorEastAsia" w:eastAsiaTheme="minorEastAsia" w:cstheme="minorEastAsia"/>
          <w:b/>
          <w:sz w:val="36"/>
          <w:szCs w:val="36"/>
        </w:rPr>
      </w:pPr>
    </w:p>
    <w:p>
      <w:pPr>
        <w:pStyle w:val="11"/>
      </w:pPr>
    </w:p>
    <w:p>
      <w:pPr>
        <w:pStyle w:val="11"/>
      </w:pPr>
    </w:p>
    <w:p>
      <w:pPr>
        <w:jc w:val="center"/>
        <w:rPr>
          <w:rFonts w:asciiTheme="minorEastAsia" w:hAnsiTheme="minorEastAsia" w:eastAsiaTheme="minorEastAsia" w:cstheme="minorEastAsia"/>
          <w:b/>
          <w:sz w:val="36"/>
          <w:szCs w:val="36"/>
        </w:rPr>
      </w:pPr>
    </w:p>
    <w:p>
      <w:pPr>
        <w:pStyle w:val="11"/>
        <w:rPr>
          <w:rFonts w:asciiTheme="minorEastAsia" w:hAnsiTheme="minorEastAsia" w:eastAsiaTheme="minorEastAsia" w:cstheme="minorEastAsia"/>
          <w:b/>
          <w:sz w:val="36"/>
          <w:szCs w:val="36"/>
        </w:rPr>
      </w:pPr>
    </w:p>
    <w:p>
      <w:pPr>
        <w:pStyle w:val="11"/>
        <w:rPr>
          <w:rFonts w:asciiTheme="minorEastAsia" w:hAnsiTheme="minorEastAsia" w:eastAsiaTheme="minorEastAsia" w:cstheme="minorEastAsia"/>
          <w:b/>
          <w:sz w:val="36"/>
          <w:szCs w:val="36"/>
        </w:rPr>
      </w:pPr>
    </w:p>
    <w:p>
      <w:pPr>
        <w:spacing w:line="780" w:lineRule="auto"/>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rPr>
          <w:rFonts w:asciiTheme="minorEastAsia" w:hAnsiTheme="minorEastAsia" w:eastAsiaTheme="minorEastAsia" w:cstheme="minorEastAsia"/>
        </w:rPr>
      </w:pPr>
      <w:bookmarkStart w:id="0" w:name="_Toc363463325"/>
    </w:p>
    <w:p>
      <w:pPr>
        <w:rPr>
          <w:rFonts w:asciiTheme="minorEastAsia" w:hAnsiTheme="minorEastAsia" w:eastAsiaTheme="minorEastAsia" w:cstheme="minorEastAsia"/>
        </w:rPr>
      </w:pPr>
    </w:p>
    <w:bookmarkEnd w:id="0"/>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sz w:val="36"/>
          <w:szCs w:val="36"/>
        </w:rPr>
      </w:pPr>
    </w:p>
    <w:p>
      <w:pPr>
        <w:jc w:val="center"/>
        <w:rPr>
          <w:rFonts w:asciiTheme="minorEastAsia" w:hAnsiTheme="minorEastAsia" w:eastAsiaTheme="minorEastAsia" w:cstheme="minorEastAsia"/>
          <w:sz w:val="36"/>
          <w:szCs w:val="36"/>
        </w:rPr>
      </w:pPr>
    </w:p>
    <w:p>
      <w:pPr>
        <w:pStyle w:val="11"/>
      </w:pPr>
    </w:p>
    <w:p>
      <w:pPr>
        <w:pStyle w:val="11"/>
      </w:pPr>
    </w:p>
    <w:p>
      <w:pPr>
        <w:rPr>
          <w:rFonts w:asciiTheme="minorEastAsia" w:hAnsiTheme="minorEastAsia" w:eastAsiaTheme="minorEastAsia" w:cstheme="minorEastAsia"/>
          <w:sz w:val="18"/>
          <w:szCs w:val="18"/>
        </w:rPr>
      </w:pPr>
    </w:p>
    <w:p>
      <w:pPr>
        <w:rPr>
          <w:rFonts w:asciiTheme="minorEastAsia" w:hAnsiTheme="minorEastAsia" w:eastAsiaTheme="minorEastAsia" w:cstheme="minorEastAsia"/>
          <w:sz w:val="18"/>
          <w:szCs w:val="18"/>
        </w:rPr>
      </w:pPr>
    </w:p>
    <w:p>
      <w:pPr>
        <w:tabs>
          <w:tab w:val="left" w:pos="525"/>
        </w:tabs>
        <w:ind w:left="-2" w:leftChars="-1" w:firstLine="1"/>
        <w:jc w:val="center"/>
        <w:rPr>
          <w:rFonts w:asciiTheme="minorEastAsia" w:hAnsiTheme="minorEastAsia" w:eastAsiaTheme="minorEastAsia" w:cstheme="minorEastAsia"/>
          <w:b/>
          <w:bCs/>
          <w:sz w:val="32"/>
          <w:szCs w:val="32"/>
        </w:rPr>
      </w:pPr>
      <w:r>
        <w:rPr>
          <w:rFonts w:hint="eastAsia" w:hAnsi="宋体"/>
          <w:b/>
          <w:bCs/>
          <w:sz w:val="32"/>
          <w:szCs w:val="32"/>
          <w:lang w:eastAsia="zh-CN"/>
        </w:rPr>
        <w:t>西安天合建设</w:t>
      </w:r>
      <w:r>
        <w:rPr>
          <w:rFonts w:hint="eastAsia" w:hAnsi="宋体"/>
          <w:b/>
          <w:bCs/>
          <w:sz w:val="32"/>
          <w:szCs w:val="32"/>
        </w:rPr>
        <w:t>项目管理有限公司</w:t>
      </w:r>
    </w:p>
    <w:p>
      <w:pPr>
        <w:tabs>
          <w:tab w:val="left" w:pos="525"/>
        </w:tabs>
        <w:ind w:left="-2" w:leftChars="-1" w:firstLine="1"/>
        <w:jc w:val="center"/>
        <w:rPr>
          <w:rFonts w:asciiTheme="minorEastAsia" w:hAnsiTheme="minorEastAsia" w:eastAsiaTheme="minorEastAsia" w:cstheme="minorEastAsia"/>
          <w:b/>
          <w:sz w:val="44"/>
          <w:szCs w:val="44"/>
        </w:rPr>
        <w:sectPr>
          <w:headerReference r:id="rId3" w:type="first"/>
          <w:footerReference r:id="rId4" w:type="default"/>
          <w:pgSz w:w="11906" w:h="16838"/>
          <w:pgMar w:top="1418" w:right="1418" w:bottom="1418" w:left="1701" w:header="851" w:footer="992" w:gutter="0"/>
          <w:pgNumType w:start="1"/>
          <w:cols w:space="720" w:num="1"/>
          <w:titlePg/>
          <w:docGrid w:type="lines" w:linePitch="312" w:charSpace="0"/>
        </w:sectPr>
      </w:pPr>
      <w:r>
        <w:rPr>
          <w:rFonts w:hint="eastAsia" w:asciiTheme="minorEastAsia" w:hAnsiTheme="minorEastAsia" w:eastAsiaTheme="minorEastAsia" w:cstheme="minorEastAsia"/>
          <w:b/>
          <w:bCs/>
          <w:sz w:val="32"/>
          <w:szCs w:val="32"/>
        </w:rPr>
        <w:t>二〇二</w:t>
      </w:r>
      <w:r>
        <w:rPr>
          <w:rFonts w:hint="eastAsia" w:asciiTheme="minorEastAsia" w:hAnsiTheme="minorEastAsia" w:eastAsiaTheme="minorEastAsia" w:cstheme="minorEastAsia"/>
          <w:b/>
          <w:bCs/>
          <w:sz w:val="32"/>
          <w:szCs w:val="32"/>
          <w:lang w:eastAsia="zh-CN"/>
        </w:rPr>
        <w:t>二</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eastAsia="zh-CN"/>
        </w:rPr>
        <w:t>十一</w:t>
      </w:r>
      <w:r>
        <w:rPr>
          <w:rFonts w:hint="eastAsia" w:asciiTheme="minorEastAsia" w:hAnsiTheme="minorEastAsia" w:eastAsiaTheme="minorEastAsia" w:cstheme="minorEastAsia"/>
          <w:b/>
          <w:bCs/>
          <w:sz w:val="32"/>
          <w:szCs w:val="32"/>
        </w:rPr>
        <w:t>月</w:t>
      </w: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目录</w:t>
      </w:r>
    </w:p>
    <w:p>
      <w:pPr>
        <w:pStyle w:val="19"/>
        <w:tabs>
          <w:tab w:val="right" w:leader="dot" w:pos="8788"/>
        </w:tabs>
        <w:spacing w:line="480" w:lineRule="auto"/>
        <w:rPr>
          <w:sz w:val="28"/>
          <w:szCs w:val="32"/>
        </w:rPr>
      </w:pPr>
      <w:r>
        <w:rPr>
          <w:rFonts w:hint="eastAsia" w:asciiTheme="minorEastAsia" w:hAnsiTheme="minorEastAsia" w:eastAsiaTheme="minorEastAsia" w:cstheme="minorEastAsia"/>
          <w:sz w:val="40"/>
          <w:szCs w:val="40"/>
        </w:rPr>
        <w:fldChar w:fldCharType="begin"/>
      </w:r>
      <w:r>
        <w:rPr>
          <w:rFonts w:hint="eastAsia" w:asciiTheme="minorEastAsia" w:hAnsiTheme="minorEastAsia" w:eastAsiaTheme="minorEastAsia" w:cstheme="minorEastAsia"/>
          <w:sz w:val="40"/>
          <w:szCs w:val="40"/>
        </w:rPr>
        <w:instrText xml:space="preserve">TOC \o "1-4" \h \u </w:instrText>
      </w:r>
      <w:r>
        <w:rPr>
          <w:rFonts w:hint="eastAsia" w:asciiTheme="minorEastAsia" w:hAnsiTheme="minorEastAsia" w:eastAsiaTheme="minorEastAsia" w:cstheme="minorEastAsia"/>
          <w:sz w:val="40"/>
          <w:szCs w:val="40"/>
        </w:rPr>
        <w:fldChar w:fldCharType="separate"/>
      </w:r>
      <w:r>
        <w:fldChar w:fldCharType="begin"/>
      </w:r>
      <w:r>
        <w:instrText xml:space="preserve"> HYPERLINK \l "_Toc5949" </w:instrText>
      </w:r>
      <w:r>
        <w:fldChar w:fldCharType="separate"/>
      </w:r>
      <w:r>
        <w:rPr>
          <w:rFonts w:hint="eastAsia" w:asciiTheme="minorEastAsia" w:hAnsiTheme="minorEastAsia" w:eastAsiaTheme="minorEastAsia" w:cstheme="minorEastAsia"/>
          <w:sz w:val="28"/>
          <w:szCs w:val="32"/>
        </w:rPr>
        <w:t>第一章招标公告</w:t>
      </w:r>
      <w:r>
        <w:rPr>
          <w:sz w:val="28"/>
          <w:szCs w:val="32"/>
        </w:rPr>
        <w:tab/>
      </w:r>
      <w:r>
        <w:rPr>
          <w:sz w:val="28"/>
          <w:szCs w:val="32"/>
        </w:rPr>
        <w:t>3</w:t>
      </w:r>
      <w:r>
        <w:rPr>
          <w:sz w:val="28"/>
          <w:szCs w:val="32"/>
        </w:rPr>
        <w:fldChar w:fldCharType="end"/>
      </w:r>
    </w:p>
    <w:p>
      <w:pPr>
        <w:pStyle w:val="19"/>
        <w:tabs>
          <w:tab w:val="right" w:leader="dot" w:pos="8788"/>
        </w:tabs>
        <w:spacing w:line="480" w:lineRule="auto"/>
        <w:rPr>
          <w:rFonts w:hint="eastAsia" w:eastAsia="宋体"/>
          <w:sz w:val="28"/>
          <w:szCs w:val="32"/>
          <w:lang w:val="en-US" w:eastAsia="zh-CN"/>
        </w:rPr>
      </w:pPr>
      <w:r>
        <w:fldChar w:fldCharType="begin"/>
      </w:r>
      <w:r>
        <w:instrText xml:space="preserve"> HYPERLINK \l "_Toc23658" </w:instrText>
      </w:r>
      <w:r>
        <w:fldChar w:fldCharType="separate"/>
      </w:r>
      <w:r>
        <w:rPr>
          <w:rFonts w:hint="eastAsia" w:asciiTheme="minorEastAsia" w:hAnsiTheme="minorEastAsia" w:eastAsiaTheme="minorEastAsia" w:cstheme="minorEastAsia"/>
          <w:sz w:val="28"/>
          <w:szCs w:val="32"/>
        </w:rPr>
        <w:t>第二章投标人须知</w:t>
      </w:r>
      <w:r>
        <w:rPr>
          <w:sz w:val="28"/>
          <w:szCs w:val="32"/>
        </w:rPr>
        <w:tab/>
      </w:r>
      <w:r>
        <w:rPr>
          <w:rFonts w:hint="eastAsia"/>
          <w:sz w:val="28"/>
          <w:szCs w:val="32"/>
          <w:lang w:val="en-US" w:eastAsia="zh-CN"/>
        </w:rPr>
        <w:t>1</w:t>
      </w:r>
      <w:r>
        <w:rPr>
          <w:sz w:val="28"/>
          <w:szCs w:val="32"/>
        </w:rPr>
        <w:fldChar w:fldCharType="end"/>
      </w:r>
      <w:r>
        <w:rPr>
          <w:rFonts w:hint="eastAsia"/>
          <w:sz w:val="28"/>
          <w:szCs w:val="32"/>
          <w:lang w:val="en-US" w:eastAsia="zh-CN"/>
        </w:rPr>
        <w:t>4</w:t>
      </w:r>
    </w:p>
    <w:p>
      <w:pPr>
        <w:pStyle w:val="22"/>
        <w:tabs>
          <w:tab w:val="right" w:leader="dot" w:pos="8788"/>
        </w:tabs>
        <w:spacing w:line="480" w:lineRule="auto"/>
        <w:rPr>
          <w:sz w:val="28"/>
          <w:szCs w:val="32"/>
        </w:rPr>
      </w:pPr>
      <w:r>
        <w:fldChar w:fldCharType="begin"/>
      </w:r>
      <w:r>
        <w:instrText xml:space="preserve"> HYPERLINK \l "_Toc29034" </w:instrText>
      </w:r>
      <w:r>
        <w:fldChar w:fldCharType="separate"/>
      </w:r>
      <w:r>
        <w:rPr>
          <w:rFonts w:hint="eastAsia" w:asciiTheme="minorEastAsia" w:hAnsiTheme="minorEastAsia" w:eastAsiaTheme="minorEastAsia" w:cstheme="minorEastAsia"/>
          <w:bCs/>
          <w:sz w:val="28"/>
          <w:szCs w:val="40"/>
        </w:rPr>
        <w:t>投标人须知前附表</w:t>
      </w:r>
      <w:r>
        <w:rPr>
          <w:sz w:val="28"/>
          <w:szCs w:val="32"/>
        </w:rPr>
        <w:tab/>
      </w:r>
      <w:r>
        <w:rPr>
          <w:sz w:val="28"/>
          <w:szCs w:val="32"/>
        </w:rPr>
        <w:fldChar w:fldCharType="begin"/>
      </w:r>
      <w:r>
        <w:rPr>
          <w:sz w:val="28"/>
          <w:szCs w:val="32"/>
        </w:rPr>
        <w:instrText xml:space="preserve"> PAGEREF _Toc29034 </w:instrText>
      </w:r>
      <w:r>
        <w:rPr>
          <w:sz w:val="28"/>
          <w:szCs w:val="32"/>
        </w:rPr>
        <w:fldChar w:fldCharType="separate"/>
      </w:r>
      <w:r>
        <w:rPr>
          <w:sz w:val="28"/>
          <w:szCs w:val="32"/>
        </w:rPr>
        <w:t>14</w:t>
      </w:r>
      <w:r>
        <w:rPr>
          <w:sz w:val="28"/>
          <w:szCs w:val="32"/>
        </w:rPr>
        <w:fldChar w:fldCharType="end"/>
      </w:r>
      <w:r>
        <w:rPr>
          <w:sz w:val="28"/>
          <w:szCs w:val="32"/>
        </w:rPr>
        <w:fldChar w:fldCharType="end"/>
      </w:r>
    </w:p>
    <w:p>
      <w:pPr>
        <w:pStyle w:val="19"/>
        <w:tabs>
          <w:tab w:val="right" w:leader="dot" w:pos="8788"/>
        </w:tabs>
        <w:spacing w:line="480" w:lineRule="auto"/>
        <w:rPr>
          <w:sz w:val="28"/>
          <w:szCs w:val="32"/>
        </w:rPr>
      </w:pPr>
      <w:r>
        <w:fldChar w:fldCharType="begin"/>
      </w:r>
      <w:r>
        <w:instrText xml:space="preserve"> HYPERLINK \l "_Toc14086" </w:instrText>
      </w:r>
      <w:r>
        <w:fldChar w:fldCharType="separate"/>
      </w:r>
      <w:r>
        <w:rPr>
          <w:rFonts w:hint="eastAsia" w:asciiTheme="minorEastAsia" w:hAnsiTheme="minorEastAsia" w:eastAsiaTheme="minorEastAsia" w:cstheme="minorEastAsia"/>
          <w:bCs/>
          <w:sz w:val="28"/>
          <w:szCs w:val="48"/>
        </w:rPr>
        <w:t>第三章评审方法</w:t>
      </w:r>
      <w:r>
        <w:rPr>
          <w:sz w:val="28"/>
          <w:szCs w:val="32"/>
        </w:rPr>
        <w:tab/>
      </w:r>
      <w:r>
        <w:rPr>
          <w:sz w:val="28"/>
          <w:szCs w:val="32"/>
        </w:rPr>
        <w:fldChar w:fldCharType="begin"/>
      </w:r>
      <w:r>
        <w:rPr>
          <w:sz w:val="28"/>
          <w:szCs w:val="32"/>
        </w:rPr>
        <w:instrText xml:space="preserve"> PAGEREF _Toc14086 </w:instrText>
      </w:r>
      <w:r>
        <w:rPr>
          <w:sz w:val="28"/>
          <w:szCs w:val="32"/>
        </w:rPr>
        <w:fldChar w:fldCharType="separate"/>
      </w:r>
      <w:r>
        <w:rPr>
          <w:sz w:val="28"/>
          <w:szCs w:val="32"/>
        </w:rPr>
        <w:t>33</w:t>
      </w:r>
      <w:r>
        <w:rPr>
          <w:sz w:val="28"/>
          <w:szCs w:val="32"/>
        </w:rPr>
        <w:fldChar w:fldCharType="end"/>
      </w:r>
      <w:r>
        <w:rPr>
          <w:sz w:val="28"/>
          <w:szCs w:val="32"/>
        </w:rPr>
        <w:fldChar w:fldCharType="end"/>
      </w:r>
    </w:p>
    <w:p>
      <w:pPr>
        <w:pStyle w:val="19"/>
        <w:tabs>
          <w:tab w:val="right" w:leader="dot" w:pos="8788"/>
        </w:tabs>
        <w:spacing w:line="480" w:lineRule="auto"/>
        <w:rPr>
          <w:sz w:val="28"/>
          <w:szCs w:val="32"/>
        </w:rPr>
      </w:pPr>
      <w:r>
        <w:fldChar w:fldCharType="begin"/>
      </w:r>
      <w:r>
        <w:instrText xml:space="preserve"> HYPERLINK \l "_Toc463" </w:instrText>
      </w:r>
      <w:r>
        <w:fldChar w:fldCharType="separate"/>
      </w:r>
      <w:r>
        <w:rPr>
          <w:rFonts w:hint="eastAsia" w:asciiTheme="minorEastAsia" w:hAnsiTheme="minorEastAsia" w:eastAsiaTheme="minorEastAsia" w:cstheme="minorEastAsia"/>
          <w:sz w:val="28"/>
          <w:szCs w:val="48"/>
        </w:rPr>
        <w:t>第四章</w:t>
      </w:r>
      <w:r>
        <w:rPr>
          <w:rFonts w:hint="eastAsia" w:asciiTheme="minorEastAsia" w:hAnsiTheme="minorEastAsia" w:eastAsiaTheme="minorEastAsia" w:cstheme="minorEastAsia"/>
          <w:bCs/>
          <w:sz w:val="28"/>
          <w:szCs w:val="48"/>
        </w:rPr>
        <w:t>合同条款及格式</w:t>
      </w:r>
      <w:r>
        <w:rPr>
          <w:sz w:val="28"/>
          <w:szCs w:val="32"/>
        </w:rPr>
        <w:tab/>
      </w:r>
      <w:r>
        <w:rPr>
          <w:sz w:val="28"/>
          <w:szCs w:val="32"/>
        </w:rPr>
        <w:fldChar w:fldCharType="begin"/>
      </w:r>
      <w:r>
        <w:rPr>
          <w:sz w:val="28"/>
          <w:szCs w:val="32"/>
        </w:rPr>
        <w:instrText xml:space="preserve"> PAGEREF _Toc463 </w:instrText>
      </w:r>
      <w:r>
        <w:rPr>
          <w:sz w:val="28"/>
          <w:szCs w:val="32"/>
        </w:rPr>
        <w:fldChar w:fldCharType="separate"/>
      </w:r>
      <w:r>
        <w:rPr>
          <w:sz w:val="28"/>
          <w:szCs w:val="32"/>
        </w:rPr>
        <w:t>41</w:t>
      </w:r>
      <w:r>
        <w:rPr>
          <w:sz w:val="28"/>
          <w:szCs w:val="32"/>
        </w:rPr>
        <w:fldChar w:fldCharType="end"/>
      </w:r>
      <w:r>
        <w:rPr>
          <w:sz w:val="28"/>
          <w:szCs w:val="32"/>
        </w:rPr>
        <w:fldChar w:fldCharType="end"/>
      </w:r>
    </w:p>
    <w:p>
      <w:pPr>
        <w:pStyle w:val="22"/>
        <w:tabs>
          <w:tab w:val="right" w:leader="dot" w:pos="8788"/>
        </w:tabs>
        <w:spacing w:line="480" w:lineRule="auto"/>
        <w:rPr>
          <w:sz w:val="28"/>
          <w:szCs w:val="32"/>
        </w:rPr>
      </w:pPr>
      <w:r>
        <w:fldChar w:fldCharType="begin"/>
      </w:r>
      <w:r>
        <w:instrText xml:space="preserve"> HYPERLINK \l "_Toc4684" </w:instrText>
      </w:r>
      <w:r>
        <w:fldChar w:fldCharType="separate"/>
      </w:r>
      <w:r>
        <w:rPr>
          <w:rFonts w:hint="eastAsia" w:asciiTheme="minorEastAsia" w:hAnsiTheme="minorEastAsia" w:eastAsiaTheme="minorEastAsia" w:cstheme="minorEastAsia"/>
          <w:sz w:val="28"/>
          <w:szCs w:val="32"/>
        </w:rPr>
        <w:t>合同条款及格式前附表</w:t>
      </w:r>
      <w:r>
        <w:rPr>
          <w:sz w:val="28"/>
          <w:szCs w:val="32"/>
        </w:rPr>
        <w:tab/>
      </w:r>
      <w:r>
        <w:rPr>
          <w:sz w:val="28"/>
          <w:szCs w:val="32"/>
        </w:rPr>
        <w:fldChar w:fldCharType="begin"/>
      </w:r>
      <w:r>
        <w:rPr>
          <w:sz w:val="28"/>
          <w:szCs w:val="32"/>
        </w:rPr>
        <w:instrText xml:space="preserve"> PAGEREF _Toc4684 </w:instrText>
      </w:r>
      <w:r>
        <w:rPr>
          <w:sz w:val="28"/>
          <w:szCs w:val="32"/>
        </w:rPr>
        <w:fldChar w:fldCharType="separate"/>
      </w:r>
      <w:r>
        <w:rPr>
          <w:sz w:val="28"/>
          <w:szCs w:val="32"/>
        </w:rPr>
        <w:t>41</w:t>
      </w:r>
      <w:r>
        <w:rPr>
          <w:sz w:val="28"/>
          <w:szCs w:val="32"/>
        </w:rPr>
        <w:fldChar w:fldCharType="end"/>
      </w:r>
      <w:r>
        <w:rPr>
          <w:sz w:val="28"/>
          <w:szCs w:val="32"/>
        </w:rPr>
        <w:fldChar w:fldCharType="end"/>
      </w:r>
    </w:p>
    <w:p>
      <w:pPr>
        <w:pStyle w:val="19"/>
        <w:tabs>
          <w:tab w:val="right" w:leader="dot" w:pos="8788"/>
        </w:tabs>
        <w:spacing w:line="480" w:lineRule="auto"/>
        <w:rPr>
          <w:sz w:val="28"/>
          <w:szCs w:val="32"/>
        </w:rPr>
      </w:pPr>
      <w:r>
        <w:fldChar w:fldCharType="begin"/>
      </w:r>
      <w:r>
        <w:instrText xml:space="preserve"> HYPERLINK \l "_Toc10860" </w:instrText>
      </w:r>
      <w:r>
        <w:fldChar w:fldCharType="separate"/>
      </w:r>
      <w:r>
        <w:rPr>
          <w:rFonts w:hint="eastAsia" w:asciiTheme="minorEastAsia" w:hAnsiTheme="minorEastAsia" w:eastAsiaTheme="minorEastAsia" w:cstheme="minorEastAsia"/>
          <w:sz w:val="28"/>
          <w:szCs w:val="48"/>
        </w:rPr>
        <w:t>第五章项目概况及技术要求</w:t>
      </w:r>
      <w:r>
        <w:rPr>
          <w:sz w:val="28"/>
          <w:szCs w:val="32"/>
        </w:rPr>
        <w:tab/>
      </w:r>
      <w:r>
        <w:rPr>
          <w:sz w:val="28"/>
          <w:szCs w:val="32"/>
        </w:rPr>
        <w:fldChar w:fldCharType="begin"/>
      </w:r>
      <w:r>
        <w:rPr>
          <w:sz w:val="28"/>
          <w:szCs w:val="32"/>
        </w:rPr>
        <w:instrText xml:space="preserve"> PAGEREF _Toc10860 </w:instrText>
      </w:r>
      <w:r>
        <w:rPr>
          <w:sz w:val="28"/>
          <w:szCs w:val="32"/>
        </w:rPr>
        <w:fldChar w:fldCharType="separate"/>
      </w:r>
      <w:r>
        <w:rPr>
          <w:sz w:val="28"/>
          <w:szCs w:val="32"/>
        </w:rPr>
        <w:t>57</w:t>
      </w:r>
      <w:r>
        <w:rPr>
          <w:sz w:val="28"/>
          <w:szCs w:val="32"/>
        </w:rPr>
        <w:fldChar w:fldCharType="end"/>
      </w:r>
      <w:r>
        <w:rPr>
          <w:sz w:val="28"/>
          <w:szCs w:val="32"/>
        </w:rPr>
        <w:fldChar w:fldCharType="end"/>
      </w:r>
    </w:p>
    <w:p>
      <w:pPr>
        <w:pStyle w:val="19"/>
        <w:tabs>
          <w:tab w:val="right" w:leader="dot" w:pos="8788"/>
        </w:tabs>
        <w:spacing w:line="480" w:lineRule="auto"/>
        <w:rPr>
          <w:sz w:val="28"/>
          <w:szCs w:val="32"/>
        </w:rPr>
      </w:pPr>
      <w:r>
        <w:fldChar w:fldCharType="begin"/>
      </w:r>
      <w:r>
        <w:instrText xml:space="preserve"> HYPERLINK \l "_Toc10341" </w:instrText>
      </w:r>
      <w:r>
        <w:fldChar w:fldCharType="separate"/>
      </w:r>
      <w:r>
        <w:rPr>
          <w:rFonts w:hint="eastAsia" w:asciiTheme="minorEastAsia" w:hAnsiTheme="minorEastAsia" w:eastAsiaTheme="minorEastAsia" w:cstheme="minorEastAsia"/>
          <w:bCs/>
          <w:sz w:val="28"/>
          <w:szCs w:val="48"/>
        </w:rPr>
        <w:t>第六章投标文件构成及格式</w:t>
      </w:r>
      <w:r>
        <w:rPr>
          <w:sz w:val="28"/>
          <w:szCs w:val="32"/>
        </w:rPr>
        <w:tab/>
      </w:r>
      <w:r>
        <w:rPr>
          <w:sz w:val="28"/>
          <w:szCs w:val="32"/>
        </w:rPr>
        <w:fldChar w:fldCharType="begin"/>
      </w:r>
      <w:r>
        <w:rPr>
          <w:sz w:val="28"/>
          <w:szCs w:val="32"/>
        </w:rPr>
        <w:instrText xml:space="preserve"> PAGEREF _Toc10341 </w:instrText>
      </w:r>
      <w:r>
        <w:rPr>
          <w:sz w:val="28"/>
          <w:szCs w:val="32"/>
        </w:rPr>
        <w:fldChar w:fldCharType="separate"/>
      </w:r>
      <w:r>
        <w:rPr>
          <w:sz w:val="28"/>
          <w:szCs w:val="32"/>
        </w:rPr>
        <w:t>67</w:t>
      </w:r>
      <w:r>
        <w:rPr>
          <w:sz w:val="28"/>
          <w:szCs w:val="32"/>
        </w:rPr>
        <w:fldChar w:fldCharType="end"/>
      </w:r>
      <w:r>
        <w:rPr>
          <w:sz w:val="28"/>
          <w:szCs w:val="32"/>
        </w:rPr>
        <w:fldChar w:fldCharType="end"/>
      </w:r>
    </w:p>
    <w:p>
      <w:pPr>
        <w:spacing w:line="480" w:lineRule="auto"/>
        <w:ind w:firstLine="56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40"/>
        </w:rPr>
        <w:fldChar w:fldCharType="end"/>
      </w:r>
    </w:p>
    <w:p>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bookmarkStart w:id="1" w:name="_Toc23658"/>
      <w:bookmarkStart w:id="2" w:name="_Toc18593"/>
      <w:bookmarkStart w:id="3" w:name="_Toc421778363"/>
      <w:r>
        <w:rPr>
          <w:rFonts w:hint="eastAsia" w:ascii="宋体" w:hAnsi="宋体" w:eastAsia="宋体" w:cs="宋体"/>
          <w:b/>
          <w:bCs/>
          <w:color w:val="auto"/>
          <w:kern w:val="0"/>
          <w:sz w:val="36"/>
          <w:szCs w:val="36"/>
          <w:lang w:val="en-US" w:eastAsia="zh-CN" w:bidi="ar"/>
        </w:rPr>
        <w:t>第一章</w:t>
      </w:r>
      <w:r>
        <w:rPr>
          <w:rFonts w:ascii="宋体" w:hAnsi="宋体" w:eastAsia="宋体" w:cs="宋体"/>
          <w:b/>
          <w:bCs/>
          <w:color w:val="auto"/>
          <w:kern w:val="0"/>
          <w:sz w:val="36"/>
          <w:szCs w:val="36"/>
          <w:lang w:val="en-US" w:eastAsia="zh-CN" w:bidi="ar"/>
        </w:rPr>
        <w:t>招标公告</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Style w:val="30"/>
          <w:b/>
          <w:bCs/>
          <w:i w:val="0"/>
          <w:iCs w:val="0"/>
          <w:caps w:val="0"/>
          <w:color w:val="333333"/>
          <w:spacing w:val="0"/>
          <w:sz w:val="21"/>
          <w:szCs w:val="21"/>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30"/>
          <w:b/>
          <w:bCs/>
          <w:i w:val="0"/>
          <w:iCs w:val="0"/>
          <w:caps w:val="0"/>
          <w:color w:val="333333"/>
          <w:spacing w:val="0"/>
          <w:sz w:val="21"/>
          <w:szCs w:val="21"/>
          <w:shd w:val="clear" w:fill="FFFFFF"/>
        </w:rPr>
        <w:t>项目概况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商洛市秦岭中段（南麓）水源涵养与生物多样性保护恢复项目(商南县2022年退化林修复）</w:t>
      </w:r>
      <w:r>
        <w:rPr>
          <w:rFonts w:hint="eastAsia" w:ascii="微软雅黑" w:hAnsi="微软雅黑" w:eastAsia="微软雅黑" w:cs="微软雅黑"/>
          <w:i w:val="0"/>
          <w:iCs w:val="0"/>
          <w:caps w:val="0"/>
          <w:color w:val="333333"/>
          <w:spacing w:val="0"/>
          <w:sz w:val="21"/>
          <w:szCs w:val="21"/>
          <w:shd w:val="clear" w:fill="FFFFFF"/>
        </w:rPr>
        <w:t>招标项目的潜在投标人应在陕西省商南县幸福路口46栋4层获取招标文件，并于 2022年11月28日 09时30分 （北京时间）前递交投标文件。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30"/>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项目编号：SNTH-2022-1102</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项目名称：商洛市秦岭中段（南麓）水源涵养与生物多样性保护恢复项目(商南县2022年退化林修复）</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预算金额：8,650,584.00元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合同包预算金额：717,710.00元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合同包最高限价：717,710.00元</w:t>
      </w:r>
    </w:p>
    <w:tbl>
      <w:tblPr>
        <w:tblStyle w:val="27"/>
        <w:tblW w:w="95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7"/>
        <w:gridCol w:w="2060"/>
        <w:gridCol w:w="2060"/>
        <w:gridCol w:w="762"/>
        <w:gridCol w:w="1428"/>
        <w:gridCol w:w="1335"/>
        <w:gridCol w:w="1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53" w:hRule="atLeast"/>
          <w:tblHeader/>
        </w:trPr>
        <w:tc>
          <w:tcPr>
            <w:tcW w:w="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14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717,710.00</w:t>
            </w:r>
          </w:p>
        </w:tc>
        <w:tc>
          <w:tcPr>
            <w:tcW w:w="1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717,710.00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合同包2(二标段):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合同包预算金额：585,801.00元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合同包最高限价：585,801.00元</w:t>
      </w:r>
    </w:p>
    <w:tbl>
      <w:tblPr>
        <w:tblStyle w:val="27"/>
        <w:tblW w:w="95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7"/>
        <w:gridCol w:w="2060"/>
        <w:gridCol w:w="2060"/>
        <w:gridCol w:w="762"/>
        <w:gridCol w:w="1428"/>
        <w:gridCol w:w="1335"/>
        <w:gridCol w:w="1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53" w:hRule="atLeast"/>
          <w:tblHeader/>
        </w:trPr>
        <w:tc>
          <w:tcPr>
            <w:tcW w:w="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hint="eastAsia" w:ascii="宋体" w:hAnsi="宋体" w:cs="宋体"/>
                <w:kern w:val="0"/>
                <w:sz w:val="21"/>
                <w:szCs w:val="21"/>
                <w:lang w:val="en-US" w:eastAsia="zh-CN" w:bidi="ar"/>
              </w:rPr>
              <w:t>2</w:t>
            </w:r>
            <w:r>
              <w:rPr>
                <w:rFonts w:ascii="宋体" w:hAnsi="宋体" w:eastAsia="宋体" w:cs="宋体"/>
                <w:kern w:val="0"/>
                <w:sz w:val="21"/>
                <w:szCs w:val="21"/>
                <w:lang w:val="en-US" w:eastAsia="zh-CN" w:bidi="ar"/>
              </w:rPr>
              <w:t>-1</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20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14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hint="eastAsia" w:ascii="宋体" w:hAnsi="宋体" w:cs="宋体"/>
                <w:kern w:val="0"/>
                <w:sz w:val="21"/>
                <w:szCs w:val="21"/>
                <w:lang w:val="en-US" w:eastAsia="zh-CN" w:bidi="ar"/>
              </w:rPr>
              <w:t>585</w:t>
            </w:r>
            <w:r>
              <w:rPr>
                <w:rFonts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801</w:t>
            </w:r>
            <w:r>
              <w:rPr>
                <w:rFonts w:ascii="宋体" w:hAnsi="宋体" w:eastAsia="宋体" w:cs="宋体"/>
                <w:kern w:val="0"/>
                <w:sz w:val="21"/>
                <w:szCs w:val="21"/>
                <w:lang w:val="en-US" w:eastAsia="zh-CN" w:bidi="ar"/>
              </w:rPr>
              <w:t>.00</w:t>
            </w:r>
          </w:p>
        </w:tc>
        <w:tc>
          <w:tcPr>
            <w:tcW w:w="1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hint="eastAsia" w:ascii="宋体" w:hAnsi="宋体" w:cs="宋体"/>
                <w:kern w:val="0"/>
                <w:sz w:val="21"/>
                <w:szCs w:val="21"/>
                <w:lang w:val="en-US" w:eastAsia="zh-CN" w:bidi="ar"/>
              </w:rPr>
              <w:t>585</w:t>
            </w:r>
            <w:r>
              <w:rPr>
                <w:rFonts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801</w:t>
            </w:r>
            <w:r>
              <w:rPr>
                <w:rFonts w:ascii="宋体" w:hAnsi="宋体" w:eastAsia="宋体" w:cs="宋体"/>
                <w:kern w:val="0"/>
                <w:sz w:val="21"/>
                <w:szCs w:val="21"/>
                <w:lang w:val="en-US" w:eastAsia="zh-CN" w:bidi="ar"/>
              </w:rPr>
              <w:t>.00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合同包3(三标段):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合同包预算金额：464,393.00元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合同包最高限价：464,393.00元</w:t>
      </w:r>
    </w:p>
    <w:tbl>
      <w:tblPr>
        <w:tblStyle w:val="27"/>
        <w:tblW w:w="97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1"/>
        <w:gridCol w:w="2017"/>
        <w:gridCol w:w="2354"/>
        <w:gridCol w:w="772"/>
        <w:gridCol w:w="141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6" w:hRule="atLeast"/>
          <w:tblHeader/>
        </w:trPr>
        <w:tc>
          <w:tcPr>
            <w:tcW w:w="6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9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464,393.00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464,393.00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合同包4(四标段):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合同包预算金额：738,843.00元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合同包最高限价：738,843.00元</w:t>
      </w:r>
    </w:p>
    <w:tbl>
      <w:tblPr>
        <w:tblStyle w:val="27"/>
        <w:tblW w:w="98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6"/>
        <w:gridCol w:w="1822"/>
        <w:gridCol w:w="2655"/>
        <w:gridCol w:w="758"/>
        <w:gridCol w:w="1444"/>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9" w:hRule="atLeast"/>
          <w:tblHeader/>
        </w:trPr>
        <w:tc>
          <w:tcPr>
            <w:tcW w:w="5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6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738,843.00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738,843.00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合同包5(五标段):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合同包预算金额：457,348.00元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合同包最高限价：457,348.00元</w:t>
      </w:r>
    </w:p>
    <w:tbl>
      <w:tblPr>
        <w:tblStyle w:val="27"/>
        <w:tblW w:w="99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1983"/>
        <w:gridCol w:w="2579"/>
        <w:gridCol w:w="776"/>
        <w:gridCol w:w="141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8" w:hRule="atLeast"/>
          <w:tblHeader/>
        </w:trPr>
        <w:tc>
          <w:tcPr>
            <w:tcW w:w="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3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457,348.00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457,348.00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合同包6(六标段):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合同包预算金额：631,607.00元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合同包最高限价：631,607.00元</w:t>
      </w:r>
    </w:p>
    <w:tbl>
      <w:tblPr>
        <w:tblStyle w:val="27"/>
        <w:tblW w:w="99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1959"/>
        <w:gridCol w:w="2612"/>
        <w:gridCol w:w="779"/>
        <w:gridCol w:w="1429"/>
        <w:gridCol w:w="1297"/>
        <w:gridCol w:w="12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53" w:hRule="atLeast"/>
          <w:tblHeader/>
        </w:trPr>
        <w:tc>
          <w:tcPr>
            <w:tcW w:w="6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1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6-1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631,607.00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631,607.00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合同包7(七标段):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合同包预算金额：449,443.00元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合同包最高限价：449,443.00元</w:t>
      </w:r>
    </w:p>
    <w:tbl>
      <w:tblPr>
        <w:tblStyle w:val="27"/>
        <w:tblW w:w="100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6"/>
        <w:gridCol w:w="2149"/>
        <w:gridCol w:w="2430"/>
        <w:gridCol w:w="799"/>
        <w:gridCol w:w="1491"/>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7" w:hRule="atLeast"/>
          <w:tblHeader/>
        </w:trPr>
        <w:tc>
          <w:tcPr>
            <w:tcW w:w="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6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9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7-1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449,443.00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449,443.00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合同包8(八标段):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合同包预算金额：738,563.00元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合同包最高限价：738,563.00元</w:t>
      </w:r>
    </w:p>
    <w:tbl>
      <w:tblPr>
        <w:tblStyle w:val="27"/>
        <w:tblW w:w="101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2"/>
        <w:gridCol w:w="2004"/>
        <w:gridCol w:w="2696"/>
        <w:gridCol w:w="787"/>
        <w:gridCol w:w="145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62" w:hRule="atLeast"/>
          <w:tblHeader/>
        </w:trPr>
        <w:tc>
          <w:tcPr>
            <w:tcW w:w="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0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6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8-1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738,563.00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738,563.00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合同包9(九标段):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合同包预算金额：525,289.00元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合同包最高限价：525,289.00元</w:t>
      </w:r>
    </w:p>
    <w:tbl>
      <w:tblPr>
        <w:tblStyle w:val="27"/>
        <w:tblW w:w="101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4"/>
        <w:gridCol w:w="2189"/>
        <w:gridCol w:w="2452"/>
        <w:gridCol w:w="808"/>
        <w:gridCol w:w="1515"/>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9" w:hRule="atLeast"/>
          <w:tblHeader/>
        </w:trPr>
        <w:tc>
          <w:tcPr>
            <w:tcW w:w="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5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5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9-1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525,289.00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525,289.00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合同包10(十标段):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合同包预算金额：742,136.00元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合同包最高限价：742,136.00元</w:t>
      </w:r>
    </w:p>
    <w:tbl>
      <w:tblPr>
        <w:tblStyle w:val="27"/>
        <w:tblW w:w="100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2"/>
        <w:gridCol w:w="2038"/>
        <w:gridCol w:w="2608"/>
        <w:gridCol w:w="790"/>
        <w:gridCol w:w="1437"/>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0" w:hRule="atLeast"/>
          <w:tblHeader/>
        </w:trPr>
        <w:tc>
          <w:tcPr>
            <w:tcW w:w="6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1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4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10-1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742,136.00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742,136.00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合同包11(十一标段):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合同包预算金额：469,885.00元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合同包最高限价：469,885.00元</w:t>
      </w:r>
    </w:p>
    <w:tbl>
      <w:tblPr>
        <w:tblStyle w:val="27"/>
        <w:tblW w:w="101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4"/>
        <w:gridCol w:w="2189"/>
        <w:gridCol w:w="2452"/>
        <w:gridCol w:w="808"/>
        <w:gridCol w:w="1515"/>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00" w:hRule="atLeast"/>
          <w:tblHeader/>
        </w:trPr>
        <w:tc>
          <w:tcPr>
            <w:tcW w:w="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5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5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469,885.00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469,885.00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合同包12(十二标段):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合同包预算金额：616,375.00元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合同包最高限价：616,375.00元</w:t>
      </w:r>
    </w:p>
    <w:tbl>
      <w:tblPr>
        <w:tblStyle w:val="27"/>
        <w:tblW w:w="102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6"/>
        <w:gridCol w:w="2205"/>
        <w:gridCol w:w="2461"/>
        <w:gridCol w:w="811"/>
        <w:gridCol w:w="152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7" w:hRule="atLeast"/>
          <w:tblHeader/>
        </w:trPr>
        <w:tc>
          <w:tcPr>
            <w:tcW w:w="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6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616,375.00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616,375.00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合同包13(十三标段):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合同包预算金额：724,952.00元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合同包最高限价：724,952.00元</w:t>
      </w:r>
    </w:p>
    <w:tbl>
      <w:tblPr>
        <w:tblStyle w:val="27"/>
        <w:tblW w:w="102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6"/>
        <w:gridCol w:w="2205"/>
        <w:gridCol w:w="2461"/>
        <w:gridCol w:w="811"/>
        <w:gridCol w:w="152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0" w:hRule="atLeast"/>
          <w:tblHeader/>
        </w:trPr>
        <w:tc>
          <w:tcPr>
            <w:tcW w:w="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6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2022年退化林修复项目采购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724,952.00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724,952.00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合同包14(十四标段):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合同包预算金额：788,239.00元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合同包最高限价：788,239.00元</w:t>
      </w:r>
    </w:p>
    <w:tbl>
      <w:tblPr>
        <w:tblStyle w:val="27"/>
        <w:tblW w:w="103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8"/>
        <w:gridCol w:w="2343"/>
        <w:gridCol w:w="2385"/>
        <w:gridCol w:w="833"/>
        <w:gridCol w:w="159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4" w:hRule="atLeast"/>
          <w:tblHeader/>
        </w:trPr>
        <w:tc>
          <w:tcPr>
            <w:tcW w:w="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7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荒山绿化工程施工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2022年退化修复项目采购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788,239.00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788,239.00</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30"/>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合同包1(一标段)落实政府采购政策需满足的资格要求如下: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 号）；（2）《财政部司法部关于政府采购支持监狱企业发展有关问题的通知》（财库〔2014〕68号）；（3）《三部门联合发布关于促进残疾人就业政府采购政策的通知》（财库〔2017〕141号）；（4）《节能产品政府采购实施意见》（财库[2004]185号）；（5）《财政部环保总局关于环境标志产品政府采购实施的意见》（财库〔2006〕90号）；（6）《国务院办公厅关于建立政府强制采购节能产品制度的通知》（国办发〔2007〕51号）；（7）《财政部 发展改革委 生态环境部 市场监管总局关于调整优化节能产品、环境标志产品政府采购执行机制的通知》》（财库〔2019〕9号）；（8）陕西省财政厅关于印发《陕西省中小企业政府采购信用融资办法》（陕财办采〔2018〕23号）；（9）《关于运用政府采购政策支持乡村产业振兴的通知》（财库〔2021〕19号）；（10）《关于进一步加大政府采购支持中小企业力度的通知》（财库〔2022〕19号）；（11）陕西省财政厅《关于进一步加强政府绿色采购有关问题的通知》陕财办采〔2021〕29号；（12）本项目专门面向中小企业采购（提供中小企业声明函）；（13）其他需落实的政府采购政策。</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合同包2(二标段)落实政府采购政策需满足的资格要求如下: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合同包3(三标段)落实政府采购政策需满足的资格要求如下: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合同包4(四标段)落实政府采购政策需满足的资格要求如下: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合同包5(五标段)落实政府采购政策需满足的资格要求如下: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合同包6(六标段)落实政府采购政策需满足的资格要求如下: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合同包7(七标段)落实政府采购政策需满足的资格要求如下: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合同包8(八标段)落实政府采购政策需满足的资格要求如下: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合同包9(九标段)落实政府采购政策需满足的资格要求如下: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合同包10(十标段)落实政府采购政策需满足的资格要求如下: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合同包11(十一标段)落实政府采购政策需满足的资格要求如下: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合同包12(十二标段)落实政府采购政策需满足的资格要求如下: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合同包13(十三标段)落实政府采购政策需满足的资格要求如下: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合同包14(十四标段)落实政府采购政策需满足的资格要求如下: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合同包1(一标段)特定资格要求如下: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1、提供合格有效的法人或者其他组织的营业执照等证明文件，自然人的身份证明； 2、提供法定代表人授权书（附法定代表人、被授权人身份证复印件）及被授权人身份证原件（法定代表人直接参加投标，须提供法定代表人身份证明及身份证原件）； 3、财务状况：提供2021年度的财务审计报告（至少包括资产负债表和利润表，成立时间至提交投标文件截止时间不足一年的可提供成立后任意时段的资产负债表）或开标时间前六个月内银行出具的资信证明及基本存款账户开户许可证； 4、税收缴纳证明：提供投标截止日前近一年内任意一个月的纳税证明或完税证明（任意税种），依法免税的单位应提供相关证明材料； 5、社会保障资金缴纳证明：提供投标截止日前近一年内任意一个月的社会保障资金缴存单据或社保机构开具的社会保险参保缴费情况证明，依法不需要缴纳社会保障资金的单位应提供相关证明材料；6、供应商需提供林木种子生产经营许可证；7、供应商应在招标文件发售期至投标截止时间前通过“信用中国”网站(www.creditchina.gov.cn)、中国政府采购网(www.ccgp.gov.cn) 查询相关主体信用记录； 8、参加政府采购活动前3年内，在经营活动中没有重大违法记录的书面声明； 9、提供具有履行合同所必需的设备和专业技术能力的书面承诺； 10、投标保证金缴纳凭证或担保机构出具的保函；11、本项目专门面向中小企业采购（提供中小企业声明函）。注：单位负责人为同一人或者存在控股、管理关系的不同单位，不得同时参加本项目的投标。为本项目提供整体设计、规范编制或者项目管理、监理、检测等服务的投标人，不得再参加本项目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合同包2(二标段)特定资格要求如下: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合同包3(三标段)特定资格要求如下: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合同包4(四标段)特定资格要求如下: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合同包5(五标段)特定资格要求如下: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合同包6(六标段)特定资格要求如下: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合同包7(七标段)特定资格要求如下: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合同包8(八标段)特定资格要求如下: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合同包9(九标段)特定资格要求如下: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合同包10(十标段)特定资格要求如下: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合同包11(十一标段)特定资格要求如下: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合同包12(十二标段)特定资格要求如下: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合同包13(十三标段)特定资格要求如下: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合同包14(十四标段)特定资格要求如下: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同合同包1（一标段）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30"/>
          <w:rFonts w:hint="eastAsia" w:ascii="微软雅黑" w:hAnsi="微软雅黑" w:eastAsia="微软雅黑" w:cs="微软雅黑"/>
          <w:b/>
          <w:bCs/>
          <w:i w:val="0"/>
          <w:iCs w:val="0"/>
          <w:caps w:val="0"/>
          <w:color w:val="333333"/>
          <w:spacing w:val="0"/>
          <w:sz w:val="21"/>
          <w:szCs w:val="21"/>
          <w:shd w:val="clear" w:fill="FFFFFF"/>
        </w:rPr>
        <w:t>三、获取招标文件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w:t>
      </w:r>
      <w:r>
        <w:rPr>
          <w:rFonts w:hint="eastAsia" w:ascii="微软雅黑" w:hAnsi="微软雅黑" w:eastAsia="微软雅黑" w:cs="微软雅黑"/>
          <w:i w:val="0"/>
          <w:iCs w:val="0"/>
          <w:caps w:val="0"/>
          <w:color w:val="auto"/>
          <w:spacing w:val="0"/>
          <w:sz w:val="21"/>
          <w:szCs w:val="21"/>
          <w:shd w:val="clear" w:fill="FFFFFF"/>
        </w:rPr>
        <w:t>2022年11月08日 至 2022年11月14日 ，每天上午 08:00:00 至 12:00:00 ，下午 12:00:00 至 18:00:00 （北京时间）</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途径：陕西省商南县幸福路口46栋4层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 300元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30"/>
          <w:rFonts w:hint="eastAsia" w:ascii="微软雅黑" w:hAnsi="微软雅黑" w:eastAsia="微软雅黑" w:cs="微软雅黑"/>
          <w:b/>
          <w:bCs/>
          <w:i w:val="0"/>
          <w:iCs w:val="0"/>
          <w:caps w:val="0"/>
          <w:color w:val="333333"/>
          <w:spacing w:val="0"/>
          <w:sz w:val="21"/>
          <w:szCs w:val="21"/>
          <w:shd w:val="clear" w:fill="FFFFFF"/>
        </w:rPr>
        <w:t>四、提交投标文件截止时间、开标时间和地点</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2022年11月28日 09时30分00秒 （北京时间）</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提交投标文件地点：陕西省商南县幸福路口46栋5楼会议室</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开标地点：陕西省商南县幸福路口46栋5楼会议室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30"/>
          <w:rFonts w:hint="eastAsia" w:ascii="微软雅黑" w:hAnsi="微软雅黑" w:eastAsia="微软雅黑" w:cs="微软雅黑"/>
          <w:b/>
          <w:bCs/>
          <w:i w:val="0"/>
          <w:iCs w:val="0"/>
          <w:caps w:val="0"/>
          <w:color w:val="333333"/>
          <w:spacing w:val="0"/>
          <w:sz w:val="21"/>
          <w:szCs w:val="21"/>
          <w:shd w:val="clear" w:fill="FFFFFF"/>
        </w:rPr>
        <w:t>五、公告期限</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30"/>
          <w:rFonts w:hint="eastAsia" w:ascii="微软雅黑" w:hAnsi="微软雅黑" w:eastAsia="微软雅黑" w:cs="微软雅黑"/>
          <w:b/>
          <w:bCs/>
          <w:i w:val="0"/>
          <w:iCs w:val="0"/>
          <w:caps w:val="0"/>
          <w:color w:val="333333"/>
          <w:spacing w:val="0"/>
          <w:sz w:val="21"/>
          <w:szCs w:val="21"/>
          <w:shd w:val="clear" w:fill="FFFFFF"/>
        </w:rPr>
        <w:t>六、其他补充事宜</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1"/>
          <w:szCs w:val="21"/>
        </w:rPr>
      </w:pPr>
      <w:r>
        <w:rPr>
          <w:rFonts w:hint="eastAsia" w:ascii="宋体" w:hAnsi="宋体" w:eastAsia="宋体" w:cs="宋体"/>
          <w:i w:val="0"/>
          <w:iCs w:val="0"/>
          <w:caps w:val="0"/>
          <w:color w:val="333333"/>
          <w:spacing w:val="0"/>
          <w:sz w:val="21"/>
          <w:szCs w:val="21"/>
          <w:shd w:val="clear" w:fill="FFFFFF"/>
        </w:rPr>
        <w:t>1、获取招标文件时，请携带单位介绍信原件、经办人身份证原件及加盖公章复印件3份，本项目仅支持现场报名获取，谢绝邮寄。</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2、请供应商按照陕西省财政厅《关于政府采购供应商注册登记有关事项的通知》中的要求，通过陕西省政府采购网（http://www.ccgp-shaanxi.gov.cn/）注册登记加入陕西省政府采购供应商库。</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宋体" w:hAnsi="宋体" w:eastAsia="宋体" w:cs="宋体"/>
          <w:i w:val="0"/>
          <w:iCs w:val="0"/>
          <w:caps w:val="0"/>
          <w:color w:val="333333"/>
          <w:spacing w:val="0"/>
          <w:sz w:val="21"/>
          <w:szCs w:val="21"/>
          <w:shd w:val="clear" w:fill="FFFFFF"/>
        </w:rPr>
        <w:t>3、投标供应商只能中其中一个标段。</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fill="FFFFFF"/>
        </w:rPr>
        <w:t>4、</w:t>
      </w:r>
      <w:r>
        <w:rPr>
          <w:rFonts w:ascii="宋体" w:hAnsi="宋体" w:eastAsia="宋体" w:cs="宋体"/>
          <w:b w:val="0"/>
          <w:bCs w:val="0"/>
          <w:i w:val="0"/>
          <w:iCs w:val="0"/>
          <w:caps w:val="0"/>
          <w:color w:val="auto"/>
          <w:spacing w:val="0"/>
          <w:sz w:val="21"/>
          <w:szCs w:val="21"/>
          <w:shd w:val="clear" w:fill="FFFFFF"/>
        </w:rPr>
        <w:t>严格遵守国家防疫政策、报名及开标做好个人防护。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48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30"/>
          <w:rFonts w:hint="eastAsia" w:ascii="微软雅黑" w:hAnsi="微软雅黑" w:eastAsia="微软雅黑" w:cs="微软雅黑"/>
          <w:b/>
          <w:bCs/>
          <w:i w:val="0"/>
          <w:iCs w:val="0"/>
          <w:caps w:val="0"/>
          <w:color w:val="333333"/>
          <w:spacing w:val="0"/>
          <w:sz w:val="21"/>
          <w:szCs w:val="21"/>
          <w:shd w:val="clear" w:fill="FFFFFF"/>
        </w:rPr>
        <w:t>七、对本次招标提出询问，请按以下方式联系。</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名称：商南县退耕还林还草中心</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地址：商南县城关街道办事处育才路2号</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联系方式：13891406700</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名称：西安天合建设项目管理有限公司</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地址：陕西省商南县幸福路46栋4层</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联系方式：18791593177</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项目联系人：王工</w:t>
      </w:r>
    </w:p>
    <w:p>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电话：18791593177</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uto"/>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西安天合建设项目管理有限公司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p>
      <w:pPr>
        <w:pStyle w:val="5"/>
        <w:keepNext w:val="0"/>
        <w:pageBreakBefore/>
        <w:spacing w:line="35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第二章投标人须知</w:t>
      </w:r>
      <w:bookmarkEnd w:id="1"/>
      <w:bookmarkEnd w:id="2"/>
      <w:bookmarkEnd w:id="3"/>
    </w:p>
    <w:p>
      <w:pPr>
        <w:spacing w:line="360" w:lineRule="auto"/>
        <w:jc w:val="center"/>
        <w:outlineLvl w:val="1"/>
        <w:rPr>
          <w:rFonts w:asciiTheme="minorEastAsia" w:hAnsiTheme="minorEastAsia" w:eastAsiaTheme="minorEastAsia" w:cstheme="minorEastAsia"/>
          <w:b/>
          <w:bCs/>
          <w:sz w:val="28"/>
          <w:szCs w:val="28"/>
        </w:rPr>
      </w:pPr>
      <w:bookmarkStart w:id="4" w:name="_Toc19675"/>
      <w:bookmarkStart w:id="5" w:name="_Toc420591642"/>
      <w:bookmarkStart w:id="6" w:name="_Toc421778364"/>
      <w:bookmarkStart w:id="7" w:name="_Toc29034"/>
      <w:r>
        <w:rPr>
          <w:rFonts w:hint="eastAsia" w:asciiTheme="minorEastAsia" w:hAnsiTheme="minorEastAsia" w:eastAsiaTheme="minorEastAsia" w:cstheme="minorEastAsia"/>
          <w:b/>
          <w:bCs/>
          <w:sz w:val="28"/>
          <w:szCs w:val="28"/>
        </w:rPr>
        <w:t>投标人须知前附表</w:t>
      </w:r>
      <w:bookmarkEnd w:id="4"/>
      <w:bookmarkEnd w:id="5"/>
      <w:bookmarkEnd w:id="6"/>
      <w:bookmarkEnd w:id="7"/>
    </w:p>
    <w:tbl>
      <w:tblPr>
        <w:tblStyle w:val="2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966"/>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条款号</w:t>
            </w:r>
          </w:p>
        </w:tc>
        <w:tc>
          <w:tcPr>
            <w:tcW w:w="1966"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条款名称</w:t>
            </w:r>
          </w:p>
        </w:tc>
        <w:tc>
          <w:tcPr>
            <w:tcW w:w="6053"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1.1.2</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采购人</w:t>
            </w:r>
          </w:p>
        </w:tc>
        <w:tc>
          <w:tcPr>
            <w:tcW w:w="6053" w:type="dxa"/>
            <w:vAlign w:val="center"/>
          </w:tcPr>
          <w:p>
            <w:pPr>
              <w:spacing w:line="360" w:lineRule="auto"/>
              <w:rPr>
                <w:rFonts w:hint="eastAsia" w:ascii="宋体" w:hAnsi="宋体" w:cs="宋体"/>
                <w:sz w:val="24"/>
                <w:szCs w:val="24"/>
                <w:lang w:eastAsia="zh-CN"/>
              </w:rPr>
            </w:pPr>
            <w:r>
              <w:rPr>
                <w:rFonts w:hint="eastAsia" w:ascii="宋体" w:hAnsi="宋体" w:cs="宋体"/>
                <w:sz w:val="24"/>
                <w:szCs w:val="24"/>
              </w:rPr>
              <w:t>采购人：</w:t>
            </w:r>
            <w:r>
              <w:rPr>
                <w:rFonts w:hint="eastAsia" w:ascii="宋体" w:hAnsi="宋体" w:cs="宋体"/>
                <w:sz w:val="24"/>
                <w:szCs w:val="24"/>
                <w:lang w:eastAsia="zh-CN"/>
              </w:rPr>
              <w:t>商南县退耕还林还草中心</w:t>
            </w:r>
          </w:p>
          <w:p>
            <w:pPr>
              <w:spacing w:line="360" w:lineRule="auto"/>
              <w:rPr>
                <w:rFonts w:hint="eastAsia" w:ascii="宋体" w:hAnsi="宋体" w:cs="宋体"/>
                <w:sz w:val="24"/>
                <w:szCs w:val="24"/>
              </w:rPr>
            </w:pPr>
            <w:r>
              <w:rPr>
                <w:rFonts w:hint="eastAsia" w:ascii="宋体" w:hAnsi="宋体" w:cs="宋体"/>
                <w:sz w:val="24"/>
                <w:szCs w:val="24"/>
              </w:rPr>
              <w:t>地址：商南县城关街道办事处育才路2号</w:t>
            </w:r>
          </w:p>
          <w:p>
            <w:pPr>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eastAsia="zh-CN"/>
              </w:rPr>
              <w:t>商南县退耕还林还草中心</w:t>
            </w:r>
            <w:r>
              <w:rPr>
                <w:rFonts w:hint="eastAsia" w:ascii="宋体" w:hAnsi="宋体" w:cs="宋体"/>
                <w:sz w:val="24"/>
                <w:szCs w:val="24"/>
              </w:rPr>
              <w:t>经办</w:t>
            </w:r>
          </w:p>
          <w:p>
            <w:pPr>
              <w:spacing w:line="360" w:lineRule="auto"/>
              <w:rPr>
                <w:rFonts w:hint="default" w:ascii="宋体" w:hAnsi="宋体" w:eastAsia="宋体" w:cs="宋体"/>
                <w:sz w:val="24"/>
                <w:szCs w:val="24"/>
                <w:lang w:val="en-US" w:eastAsia="zh-CN"/>
              </w:rPr>
            </w:pPr>
            <w:r>
              <w:rPr>
                <w:rFonts w:hint="eastAsia" w:ascii="宋体" w:hAnsi="宋体" w:cs="宋体"/>
                <w:sz w:val="24"/>
                <w:szCs w:val="24"/>
              </w:rPr>
              <w:t>电话：</w:t>
            </w:r>
            <w:r>
              <w:rPr>
                <w:rFonts w:hint="eastAsia" w:ascii="宋体" w:hAnsi="宋体" w:cs="宋体"/>
                <w:sz w:val="24"/>
                <w:szCs w:val="24"/>
                <w:lang w:val="en-US" w:eastAsia="zh-CN"/>
              </w:rPr>
              <w:t>13891406700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1.1.3</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采购代理机构</w:t>
            </w:r>
          </w:p>
        </w:tc>
        <w:tc>
          <w:tcPr>
            <w:tcW w:w="6053" w:type="dxa"/>
            <w:vAlign w:val="center"/>
          </w:tcPr>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名称：</w:t>
            </w:r>
            <w:r>
              <w:rPr>
                <w:rFonts w:hint="eastAsia" w:asciiTheme="minorEastAsia" w:hAnsiTheme="minorEastAsia" w:eastAsiaTheme="minorEastAsia"/>
                <w:sz w:val="24"/>
                <w:szCs w:val="24"/>
                <w:lang w:val="zh-CN"/>
              </w:rPr>
              <w:t>西安天合建设项目管理有限公司</w:t>
            </w:r>
          </w:p>
          <w:p>
            <w:pPr>
              <w:spacing w:line="360" w:lineRule="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地址：</w:t>
            </w:r>
            <w:r>
              <w:rPr>
                <w:rFonts w:hint="eastAsia" w:cs="宋体" w:asciiTheme="minorEastAsia" w:hAnsiTheme="minorEastAsia" w:eastAsiaTheme="minorEastAsia"/>
                <w:sz w:val="24"/>
                <w:szCs w:val="24"/>
                <w:lang w:eastAsia="zh-CN"/>
              </w:rPr>
              <w:t>陕西省商南县幸福路口</w:t>
            </w:r>
            <w:r>
              <w:rPr>
                <w:rFonts w:hint="eastAsia" w:cs="宋体" w:asciiTheme="minorEastAsia" w:hAnsiTheme="minorEastAsia" w:eastAsiaTheme="minorEastAsia"/>
                <w:sz w:val="24"/>
                <w:szCs w:val="24"/>
                <w:lang w:val="en-US" w:eastAsia="zh-CN"/>
              </w:rPr>
              <w:t>46栋4层</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w:t>
            </w:r>
            <w:r>
              <w:rPr>
                <w:rFonts w:hint="eastAsia" w:cs="宋体" w:asciiTheme="minorEastAsia" w:hAnsiTheme="minorEastAsia" w:eastAsiaTheme="minorEastAsia"/>
                <w:sz w:val="24"/>
                <w:szCs w:val="24"/>
                <w:lang w:eastAsia="zh-CN"/>
              </w:rPr>
              <w:t>王</w:t>
            </w:r>
            <w:r>
              <w:rPr>
                <w:rFonts w:hint="eastAsia" w:cs="宋体" w:asciiTheme="minorEastAsia" w:hAnsiTheme="minorEastAsia" w:eastAsiaTheme="minorEastAsia"/>
                <w:sz w:val="24"/>
                <w:szCs w:val="24"/>
              </w:rPr>
              <w:t>工</w:t>
            </w:r>
          </w:p>
          <w:p>
            <w:pPr>
              <w:spacing w:line="360" w:lineRule="auto"/>
              <w:rPr>
                <w:rFonts w:hint="default" w:ascii="宋体" w:hAnsi="宋体" w:cs="宋体" w:eastAsiaTheme="minorEastAsia"/>
                <w:sz w:val="24"/>
                <w:szCs w:val="24"/>
                <w:lang w:val="en-US" w:eastAsia="zh-CN"/>
              </w:rPr>
            </w:pPr>
            <w:r>
              <w:rPr>
                <w:rFonts w:hint="eastAsia" w:cs="宋体" w:asciiTheme="minorEastAsia" w:hAnsiTheme="minorEastAsia" w:eastAsiaTheme="minorEastAsia"/>
                <w:sz w:val="24"/>
                <w:szCs w:val="24"/>
              </w:rPr>
              <w:t>电话：</w:t>
            </w:r>
            <w:r>
              <w:rPr>
                <w:rFonts w:hint="eastAsia" w:asciiTheme="minorEastAsia" w:hAnsiTheme="minorEastAsia" w:eastAsiaTheme="minorEastAsia"/>
                <w:sz w:val="24"/>
                <w:szCs w:val="24"/>
                <w:lang w:val="en-US" w:eastAsia="zh-CN"/>
              </w:rPr>
              <w:t>18791593177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r>
              <w:rPr>
                <w:rFonts w:ascii="宋体" w:hAnsi="宋体" w:cs="宋体"/>
                <w:sz w:val="24"/>
                <w:szCs w:val="24"/>
              </w:rPr>
              <w:t>4</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项目</w:t>
            </w:r>
            <w:r>
              <w:rPr>
                <w:rFonts w:ascii="宋体" w:hAnsi="宋体" w:cs="宋体"/>
                <w:sz w:val="24"/>
                <w:szCs w:val="24"/>
              </w:rPr>
              <w:t>名称</w:t>
            </w:r>
          </w:p>
        </w:tc>
        <w:tc>
          <w:tcPr>
            <w:tcW w:w="6053" w:type="dxa"/>
            <w:vAlign w:val="center"/>
          </w:tcPr>
          <w:p>
            <w:pPr>
              <w:spacing w:line="360" w:lineRule="auto"/>
              <w:rPr>
                <w:rFonts w:cs="宋体" w:asciiTheme="minorEastAsia" w:hAnsiTheme="minorEastAsia" w:eastAsiaTheme="minorEastAsia"/>
                <w:sz w:val="24"/>
                <w:szCs w:val="24"/>
              </w:rPr>
            </w:pPr>
            <w:r>
              <w:rPr>
                <w:rFonts w:cs="宋体" w:asciiTheme="minorEastAsia" w:hAnsiTheme="minorEastAsia" w:eastAsiaTheme="minorEastAsia"/>
                <w:sz w:val="24"/>
                <w:szCs w:val="24"/>
              </w:rPr>
              <w:t>商洛市秦岭中段（南麓）水源涵养与生物多样性保护恢复项目(商南县2022年退化林修复）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1.1.5</w:t>
            </w:r>
          </w:p>
        </w:tc>
        <w:tc>
          <w:tcPr>
            <w:tcW w:w="1966"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作业区域及内容</w:t>
            </w:r>
          </w:p>
        </w:tc>
        <w:tc>
          <w:tcPr>
            <w:tcW w:w="6053" w:type="dxa"/>
            <w:vAlign w:val="center"/>
          </w:tcPr>
          <w:p>
            <w:pPr>
              <w:pStyle w:val="24"/>
              <w:spacing w:line="360" w:lineRule="auto"/>
              <w:rPr>
                <w:rFonts w:hint="eastAsia"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合同包一（一标段）：城关街道办捉马沟村</w:t>
            </w:r>
            <w:r>
              <w:rPr>
                <w:rFonts w:hint="eastAsia" w:asciiTheme="minorEastAsia" w:hAnsiTheme="minorEastAsia" w:eastAsiaTheme="minorEastAsia"/>
                <w:color w:val="auto"/>
                <w:spacing w:val="-6"/>
                <w:kern w:val="2"/>
                <w:szCs w:val="24"/>
                <w:lang w:val="en-US" w:eastAsia="zh-CN"/>
              </w:rPr>
              <w:t>1-6号小班，作业面积1400亩</w:t>
            </w:r>
          </w:p>
          <w:p>
            <w:pPr>
              <w:pStyle w:val="24"/>
              <w:spacing w:line="360" w:lineRule="auto"/>
              <w:rPr>
                <w:rFonts w:hint="default"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合同包二（二标段）：试马镇荆家河村</w:t>
            </w:r>
            <w:r>
              <w:rPr>
                <w:rFonts w:hint="eastAsia" w:asciiTheme="minorEastAsia" w:hAnsiTheme="minorEastAsia" w:eastAsiaTheme="minorEastAsia"/>
                <w:color w:val="auto"/>
                <w:spacing w:val="-6"/>
                <w:kern w:val="2"/>
                <w:szCs w:val="24"/>
                <w:lang w:val="en-US" w:eastAsia="zh-CN"/>
              </w:rPr>
              <w:t>1-7号小班</w:t>
            </w:r>
            <w:r>
              <w:rPr>
                <w:rFonts w:hint="eastAsia" w:asciiTheme="minorEastAsia" w:hAnsiTheme="minorEastAsia" w:eastAsiaTheme="minorEastAsia"/>
                <w:color w:val="auto"/>
                <w:spacing w:val="-6"/>
                <w:kern w:val="2"/>
                <w:szCs w:val="24"/>
                <w:lang w:val="zh-CN"/>
              </w:rPr>
              <w:t>，作业面积</w:t>
            </w:r>
            <w:r>
              <w:rPr>
                <w:rFonts w:hint="eastAsia" w:asciiTheme="minorEastAsia" w:hAnsiTheme="minorEastAsia" w:eastAsiaTheme="minorEastAsia"/>
                <w:color w:val="auto"/>
                <w:spacing w:val="-6"/>
                <w:kern w:val="2"/>
                <w:szCs w:val="24"/>
                <w:lang w:val="en-US" w:eastAsia="zh-CN"/>
              </w:rPr>
              <w:t>1400亩</w:t>
            </w:r>
          </w:p>
          <w:p>
            <w:pPr>
              <w:pStyle w:val="24"/>
              <w:spacing w:line="360" w:lineRule="auto"/>
              <w:rPr>
                <w:rFonts w:hint="eastAsia"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合同包三（三标段）：试马镇大坪村</w:t>
            </w:r>
            <w:r>
              <w:rPr>
                <w:rFonts w:hint="eastAsia" w:asciiTheme="minorEastAsia" w:hAnsiTheme="minorEastAsia" w:eastAsiaTheme="minorEastAsia"/>
                <w:color w:val="auto"/>
                <w:spacing w:val="-6"/>
                <w:kern w:val="2"/>
                <w:szCs w:val="24"/>
                <w:lang w:val="en-US" w:eastAsia="zh-CN"/>
              </w:rPr>
              <w:t>1-5号小班</w:t>
            </w:r>
            <w:r>
              <w:rPr>
                <w:rFonts w:hint="eastAsia" w:asciiTheme="minorEastAsia" w:hAnsiTheme="minorEastAsia" w:eastAsiaTheme="minorEastAsia"/>
                <w:color w:val="auto"/>
                <w:spacing w:val="-6"/>
                <w:kern w:val="2"/>
                <w:szCs w:val="24"/>
                <w:lang w:val="zh-CN"/>
              </w:rPr>
              <w:t>，作业面积</w:t>
            </w:r>
            <w:r>
              <w:rPr>
                <w:rFonts w:hint="eastAsia" w:asciiTheme="minorEastAsia" w:hAnsiTheme="minorEastAsia" w:eastAsiaTheme="minorEastAsia"/>
                <w:color w:val="auto"/>
                <w:spacing w:val="-6"/>
                <w:kern w:val="2"/>
                <w:szCs w:val="24"/>
                <w:lang w:val="en-US" w:eastAsia="zh-CN"/>
              </w:rPr>
              <w:t>740亩</w:t>
            </w:r>
          </w:p>
          <w:p>
            <w:pPr>
              <w:pStyle w:val="24"/>
              <w:spacing w:line="360" w:lineRule="auto"/>
              <w:rPr>
                <w:rFonts w:asciiTheme="minorEastAsia" w:hAnsiTheme="minorEastAsia" w:eastAsiaTheme="minorEastAsia"/>
                <w:color w:val="auto"/>
                <w:spacing w:val="-6"/>
                <w:kern w:val="2"/>
                <w:szCs w:val="24"/>
                <w:lang w:val="zh-CN"/>
              </w:rPr>
            </w:pPr>
            <w:r>
              <w:rPr>
                <w:rFonts w:hint="eastAsia" w:asciiTheme="minorEastAsia" w:hAnsiTheme="minorEastAsia" w:eastAsiaTheme="minorEastAsia"/>
                <w:color w:val="auto"/>
                <w:spacing w:val="-6"/>
                <w:kern w:val="2"/>
                <w:szCs w:val="24"/>
                <w:lang w:val="zh-CN"/>
              </w:rPr>
              <w:t>合同包四（四标段）：过风楼镇徐家店社区</w:t>
            </w:r>
            <w:r>
              <w:rPr>
                <w:rFonts w:hint="eastAsia" w:asciiTheme="minorEastAsia" w:hAnsiTheme="minorEastAsia" w:eastAsiaTheme="minorEastAsia"/>
                <w:color w:val="auto"/>
                <w:spacing w:val="-6"/>
                <w:kern w:val="2"/>
                <w:szCs w:val="24"/>
                <w:lang w:val="en-US" w:eastAsia="zh-CN"/>
              </w:rPr>
              <w:t>1、2、10、11号小班</w:t>
            </w:r>
            <w:r>
              <w:rPr>
                <w:rFonts w:hint="eastAsia" w:asciiTheme="minorEastAsia" w:hAnsiTheme="minorEastAsia" w:eastAsiaTheme="minorEastAsia"/>
                <w:color w:val="auto"/>
                <w:spacing w:val="-6"/>
                <w:kern w:val="2"/>
                <w:szCs w:val="24"/>
                <w:lang w:val="zh-CN"/>
              </w:rPr>
              <w:t>，作业面积</w:t>
            </w:r>
            <w:r>
              <w:rPr>
                <w:rFonts w:hint="eastAsia" w:asciiTheme="minorEastAsia" w:hAnsiTheme="minorEastAsia" w:eastAsiaTheme="minorEastAsia"/>
                <w:color w:val="auto"/>
                <w:spacing w:val="-6"/>
                <w:kern w:val="2"/>
                <w:szCs w:val="24"/>
                <w:lang w:val="en-US" w:eastAsia="zh-CN"/>
              </w:rPr>
              <w:t>1195亩</w:t>
            </w:r>
          </w:p>
          <w:p>
            <w:pPr>
              <w:pStyle w:val="24"/>
              <w:spacing w:line="360" w:lineRule="auto"/>
              <w:rPr>
                <w:rFonts w:hint="default"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合同包五（五标段）：过风楼镇徐家店社区</w:t>
            </w:r>
            <w:r>
              <w:rPr>
                <w:rFonts w:hint="eastAsia" w:asciiTheme="minorEastAsia" w:hAnsiTheme="minorEastAsia" w:eastAsiaTheme="minorEastAsia"/>
                <w:color w:val="auto"/>
                <w:spacing w:val="-6"/>
                <w:kern w:val="2"/>
                <w:szCs w:val="24"/>
                <w:lang w:val="en-US" w:eastAsia="zh-CN"/>
              </w:rPr>
              <w:t>3、5、12号小班</w:t>
            </w:r>
            <w:r>
              <w:rPr>
                <w:rFonts w:hint="eastAsia" w:asciiTheme="minorEastAsia" w:hAnsiTheme="minorEastAsia" w:eastAsiaTheme="minorEastAsia"/>
                <w:color w:val="auto"/>
                <w:spacing w:val="-6"/>
                <w:kern w:val="2"/>
                <w:szCs w:val="24"/>
                <w:lang w:val="zh-CN"/>
              </w:rPr>
              <w:t>，作业面积</w:t>
            </w:r>
            <w:r>
              <w:rPr>
                <w:rFonts w:hint="eastAsia" w:asciiTheme="minorEastAsia" w:hAnsiTheme="minorEastAsia" w:eastAsiaTheme="minorEastAsia"/>
                <w:color w:val="auto"/>
                <w:spacing w:val="-6"/>
                <w:kern w:val="2"/>
                <w:szCs w:val="24"/>
                <w:lang w:val="en-US" w:eastAsia="zh-CN"/>
              </w:rPr>
              <w:t>740亩</w:t>
            </w:r>
          </w:p>
          <w:p>
            <w:pPr>
              <w:pStyle w:val="24"/>
              <w:spacing w:line="360" w:lineRule="auto"/>
              <w:rPr>
                <w:rFonts w:hint="default"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合同包六（六标段）：过风楼镇徐家店社区</w:t>
            </w:r>
            <w:r>
              <w:rPr>
                <w:rFonts w:hint="eastAsia" w:asciiTheme="minorEastAsia" w:hAnsiTheme="minorEastAsia" w:eastAsiaTheme="minorEastAsia"/>
                <w:color w:val="auto"/>
                <w:spacing w:val="-6"/>
                <w:kern w:val="2"/>
                <w:szCs w:val="24"/>
                <w:lang w:val="en-US" w:eastAsia="zh-CN"/>
              </w:rPr>
              <w:t>4、6、7、8、9号小班</w:t>
            </w:r>
            <w:r>
              <w:rPr>
                <w:rFonts w:hint="eastAsia" w:asciiTheme="minorEastAsia" w:hAnsiTheme="minorEastAsia" w:eastAsiaTheme="minorEastAsia"/>
                <w:color w:val="auto"/>
                <w:spacing w:val="-6"/>
                <w:kern w:val="2"/>
                <w:szCs w:val="24"/>
                <w:lang w:val="zh-CN"/>
              </w:rPr>
              <w:t>，作业面积</w:t>
            </w:r>
            <w:r>
              <w:rPr>
                <w:rFonts w:hint="eastAsia" w:asciiTheme="minorEastAsia" w:hAnsiTheme="minorEastAsia" w:eastAsiaTheme="minorEastAsia"/>
                <w:color w:val="auto"/>
                <w:spacing w:val="-6"/>
                <w:kern w:val="2"/>
                <w:szCs w:val="24"/>
                <w:lang w:val="en-US" w:eastAsia="zh-CN"/>
              </w:rPr>
              <w:t>1015亩</w:t>
            </w:r>
          </w:p>
          <w:p>
            <w:pPr>
              <w:pStyle w:val="24"/>
              <w:spacing w:line="360" w:lineRule="auto"/>
              <w:rPr>
                <w:rFonts w:hint="eastAsia"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合同包七（七标段）：过风楼镇炭沟村</w:t>
            </w:r>
            <w:r>
              <w:rPr>
                <w:rFonts w:hint="eastAsia" w:asciiTheme="minorEastAsia" w:hAnsiTheme="minorEastAsia" w:eastAsiaTheme="minorEastAsia"/>
                <w:color w:val="auto"/>
                <w:spacing w:val="-6"/>
                <w:kern w:val="2"/>
                <w:szCs w:val="24"/>
                <w:lang w:val="en-US" w:eastAsia="zh-CN"/>
              </w:rPr>
              <w:t>1、2、3、4、7、8、9、12号小班</w:t>
            </w:r>
            <w:r>
              <w:rPr>
                <w:rFonts w:hint="eastAsia" w:asciiTheme="minorEastAsia" w:hAnsiTheme="minorEastAsia" w:eastAsiaTheme="minorEastAsia"/>
                <w:color w:val="auto"/>
                <w:spacing w:val="-6"/>
                <w:kern w:val="2"/>
                <w:szCs w:val="24"/>
                <w:lang w:val="zh-CN"/>
              </w:rPr>
              <w:t>，作业面积</w:t>
            </w:r>
            <w:r>
              <w:rPr>
                <w:rFonts w:hint="eastAsia" w:asciiTheme="minorEastAsia" w:hAnsiTheme="minorEastAsia" w:eastAsiaTheme="minorEastAsia"/>
                <w:color w:val="auto"/>
                <w:spacing w:val="-6"/>
                <w:kern w:val="2"/>
                <w:szCs w:val="24"/>
                <w:lang w:val="en-US" w:eastAsia="zh-CN"/>
              </w:rPr>
              <w:t>1010亩</w:t>
            </w:r>
          </w:p>
          <w:p>
            <w:pPr>
              <w:pStyle w:val="24"/>
              <w:spacing w:line="360" w:lineRule="auto"/>
              <w:rPr>
                <w:rFonts w:hint="default"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合同包八（八标段）：过风楼镇炭沟村</w:t>
            </w:r>
            <w:r>
              <w:rPr>
                <w:rFonts w:hint="eastAsia" w:asciiTheme="minorEastAsia" w:hAnsiTheme="minorEastAsia" w:eastAsiaTheme="minorEastAsia"/>
                <w:color w:val="auto"/>
                <w:spacing w:val="-6"/>
                <w:kern w:val="2"/>
                <w:szCs w:val="24"/>
                <w:lang w:val="en-US" w:eastAsia="zh-CN"/>
              </w:rPr>
              <w:t>5、6、10、11、13、14、15号小班</w:t>
            </w:r>
            <w:r>
              <w:rPr>
                <w:rFonts w:hint="eastAsia" w:asciiTheme="minorEastAsia" w:hAnsiTheme="minorEastAsia" w:eastAsiaTheme="minorEastAsia"/>
                <w:color w:val="auto"/>
                <w:spacing w:val="-6"/>
                <w:kern w:val="2"/>
                <w:szCs w:val="24"/>
                <w:lang w:val="zh-CN"/>
              </w:rPr>
              <w:t>，作业面积</w:t>
            </w:r>
            <w:r>
              <w:rPr>
                <w:rFonts w:hint="eastAsia" w:asciiTheme="minorEastAsia" w:hAnsiTheme="minorEastAsia" w:eastAsiaTheme="minorEastAsia"/>
                <w:color w:val="auto"/>
                <w:spacing w:val="-6"/>
                <w:kern w:val="2"/>
                <w:szCs w:val="24"/>
                <w:lang w:val="en-US" w:eastAsia="zh-CN"/>
              </w:rPr>
              <w:t>1190亩</w:t>
            </w:r>
          </w:p>
          <w:p>
            <w:pPr>
              <w:pStyle w:val="24"/>
              <w:spacing w:line="360" w:lineRule="auto"/>
              <w:rPr>
                <w:rFonts w:hint="eastAsia"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合同包九（九标段）：金丝峡镇梁家湾村</w:t>
            </w:r>
            <w:r>
              <w:rPr>
                <w:rFonts w:hint="eastAsia" w:asciiTheme="minorEastAsia" w:hAnsiTheme="minorEastAsia" w:eastAsiaTheme="minorEastAsia"/>
                <w:color w:val="auto"/>
                <w:spacing w:val="-6"/>
                <w:kern w:val="2"/>
                <w:szCs w:val="24"/>
                <w:lang w:val="en-US" w:eastAsia="zh-CN"/>
              </w:rPr>
              <w:t>1-4号小班</w:t>
            </w:r>
            <w:r>
              <w:rPr>
                <w:rFonts w:hint="eastAsia" w:asciiTheme="minorEastAsia" w:hAnsiTheme="minorEastAsia" w:eastAsiaTheme="minorEastAsia"/>
                <w:color w:val="auto"/>
                <w:spacing w:val="-6"/>
                <w:kern w:val="2"/>
                <w:szCs w:val="24"/>
                <w:lang w:val="zh-CN"/>
              </w:rPr>
              <w:t>，作业面积</w:t>
            </w:r>
            <w:r>
              <w:rPr>
                <w:rFonts w:hint="eastAsia" w:asciiTheme="minorEastAsia" w:hAnsiTheme="minorEastAsia" w:eastAsiaTheme="minorEastAsia"/>
                <w:color w:val="auto"/>
                <w:spacing w:val="-6"/>
                <w:kern w:val="2"/>
                <w:szCs w:val="24"/>
                <w:lang w:val="en-US" w:eastAsia="zh-CN"/>
              </w:rPr>
              <w:t>1000亩</w:t>
            </w:r>
          </w:p>
          <w:p>
            <w:pPr>
              <w:pStyle w:val="24"/>
              <w:spacing w:line="360" w:lineRule="auto"/>
              <w:rPr>
                <w:rFonts w:hint="eastAsia"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合同包十（十标段）：赵川镇后川村</w:t>
            </w:r>
            <w:r>
              <w:rPr>
                <w:rFonts w:hint="eastAsia" w:asciiTheme="minorEastAsia" w:hAnsiTheme="minorEastAsia" w:eastAsiaTheme="minorEastAsia"/>
                <w:color w:val="auto"/>
                <w:spacing w:val="-6"/>
                <w:kern w:val="2"/>
                <w:szCs w:val="24"/>
                <w:lang w:val="en-US" w:eastAsia="zh-CN"/>
              </w:rPr>
              <w:t>1-10号小班</w:t>
            </w:r>
            <w:r>
              <w:rPr>
                <w:rFonts w:hint="eastAsia" w:asciiTheme="minorEastAsia" w:hAnsiTheme="minorEastAsia" w:eastAsiaTheme="minorEastAsia"/>
                <w:color w:val="auto"/>
                <w:spacing w:val="-6"/>
                <w:kern w:val="2"/>
                <w:szCs w:val="24"/>
                <w:lang w:val="zh-CN"/>
              </w:rPr>
              <w:t>，作业面积</w:t>
            </w:r>
            <w:r>
              <w:rPr>
                <w:rFonts w:hint="eastAsia" w:asciiTheme="minorEastAsia" w:hAnsiTheme="minorEastAsia" w:eastAsiaTheme="minorEastAsia"/>
                <w:color w:val="auto"/>
                <w:spacing w:val="-6"/>
                <w:kern w:val="2"/>
                <w:szCs w:val="24"/>
                <w:lang w:val="en-US" w:eastAsia="zh-CN"/>
              </w:rPr>
              <w:t>1760亩</w:t>
            </w:r>
          </w:p>
          <w:p>
            <w:pPr>
              <w:pStyle w:val="24"/>
              <w:spacing w:line="360" w:lineRule="auto"/>
              <w:rPr>
                <w:rFonts w:hint="eastAsia"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合同包十一（十一标段）：赵川镇后川村</w:t>
            </w:r>
            <w:r>
              <w:rPr>
                <w:rFonts w:hint="eastAsia" w:asciiTheme="minorEastAsia" w:hAnsiTheme="minorEastAsia" w:eastAsiaTheme="minorEastAsia"/>
                <w:color w:val="auto"/>
                <w:spacing w:val="-6"/>
                <w:kern w:val="2"/>
                <w:szCs w:val="24"/>
                <w:lang w:val="en-US" w:eastAsia="zh-CN"/>
              </w:rPr>
              <w:t>11-15号小班</w:t>
            </w:r>
            <w:r>
              <w:rPr>
                <w:rFonts w:hint="eastAsia" w:asciiTheme="minorEastAsia" w:hAnsiTheme="minorEastAsia" w:eastAsiaTheme="minorEastAsia"/>
                <w:color w:val="auto"/>
                <w:spacing w:val="-6"/>
                <w:kern w:val="2"/>
                <w:szCs w:val="24"/>
                <w:lang w:val="zh-CN"/>
              </w:rPr>
              <w:t>，作业面积</w:t>
            </w:r>
            <w:r>
              <w:rPr>
                <w:rFonts w:hint="eastAsia" w:asciiTheme="minorEastAsia" w:hAnsiTheme="minorEastAsia" w:eastAsiaTheme="minorEastAsia"/>
                <w:color w:val="auto"/>
                <w:spacing w:val="-6"/>
                <w:kern w:val="2"/>
                <w:szCs w:val="24"/>
                <w:lang w:val="en-US" w:eastAsia="zh-CN"/>
              </w:rPr>
              <w:t>1110亩</w:t>
            </w:r>
          </w:p>
          <w:p>
            <w:pPr>
              <w:pStyle w:val="24"/>
              <w:spacing w:line="360" w:lineRule="auto"/>
              <w:rPr>
                <w:rFonts w:hint="default"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合同包十二（十二标段）：赵川镇前川村</w:t>
            </w:r>
            <w:r>
              <w:rPr>
                <w:rFonts w:hint="eastAsia" w:asciiTheme="minorEastAsia" w:hAnsiTheme="minorEastAsia" w:eastAsiaTheme="minorEastAsia"/>
                <w:color w:val="auto"/>
                <w:spacing w:val="-6"/>
                <w:kern w:val="2"/>
                <w:szCs w:val="24"/>
                <w:lang w:val="en-US" w:eastAsia="zh-CN"/>
              </w:rPr>
              <w:t>1号小班</w:t>
            </w:r>
            <w:r>
              <w:rPr>
                <w:rFonts w:hint="eastAsia" w:asciiTheme="minorEastAsia" w:hAnsiTheme="minorEastAsia" w:eastAsiaTheme="minorEastAsia"/>
                <w:color w:val="auto"/>
                <w:spacing w:val="-6"/>
                <w:kern w:val="2"/>
                <w:szCs w:val="24"/>
                <w:lang w:val="zh-CN"/>
              </w:rPr>
              <w:t>，作业面积</w:t>
            </w:r>
            <w:r>
              <w:rPr>
                <w:rFonts w:hint="eastAsia" w:asciiTheme="minorEastAsia" w:hAnsiTheme="minorEastAsia" w:eastAsiaTheme="minorEastAsia"/>
                <w:color w:val="auto"/>
                <w:spacing w:val="-6"/>
                <w:kern w:val="2"/>
                <w:szCs w:val="24"/>
                <w:lang w:val="en-US" w:eastAsia="zh-CN"/>
              </w:rPr>
              <w:t>270亩</w:t>
            </w:r>
          </w:p>
          <w:p>
            <w:pPr>
              <w:pStyle w:val="24"/>
              <w:spacing w:line="360" w:lineRule="auto"/>
              <w:rPr>
                <w:rFonts w:hint="eastAsia"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合同包十三（十三标段）</w:t>
            </w:r>
            <w:r>
              <w:rPr>
                <w:rFonts w:hint="eastAsia" w:asciiTheme="minorEastAsia" w:hAnsiTheme="minorEastAsia" w:eastAsiaTheme="minorEastAsia"/>
                <w:color w:val="auto"/>
                <w:spacing w:val="-6"/>
                <w:kern w:val="2"/>
                <w:szCs w:val="24"/>
                <w:lang w:val="en-US" w:eastAsia="zh-CN"/>
              </w:rPr>
              <w:t>：</w:t>
            </w:r>
            <w:r>
              <w:rPr>
                <w:rFonts w:hint="eastAsia" w:asciiTheme="minorEastAsia" w:hAnsiTheme="minorEastAsia" w:eastAsiaTheme="minorEastAsia"/>
                <w:color w:val="auto"/>
                <w:spacing w:val="-6"/>
                <w:kern w:val="2"/>
                <w:szCs w:val="24"/>
                <w:lang w:val="zh-CN"/>
              </w:rPr>
              <w:t>赵川镇前川村</w:t>
            </w:r>
            <w:r>
              <w:rPr>
                <w:rFonts w:hint="eastAsia" w:asciiTheme="minorEastAsia" w:hAnsiTheme="minorEastAsia" w:eastAsiaTheme="minorEastAsia"/>
                <w:color w:val="auto"/>
                <w:spacing w:val="-6"/>
                <w:kern w:val="2"/>
                <w:szCs w:val="24"/>
                <w:lang w:val="en-US" w:eastAsia="zh-CN"/>
              </w:rPr>
              <w:t>2号小班，作业面积310亩</w:t>
            </w:r>
          </w:p>
          <w:p>
            <w:pPr>
              <w:pStyle w:val="24"/>
              <w:spacing w:line="360" w:lineRule="auto"/>
              <w:rPr>
                <w:rFonts w:hint="default" w:asciiTheme="minorEastAsia" w:hAnsiTheme="minorEastAsia" w:eastAsiaTheme="minorEastAsia"/>
                <w:color w:val="auto"/>
                <w:spacing w:val="-6"/>
                <w:kern w:val="2"/>
                <w:szCs w:val="24"/>
                <w:lang w:val="en-US" w:eastAsia="zh-CN"/>
              </w:rPr>
            </w:pPr>
            <w:r>
              <w:rPr>
                <w:rFonts w:hint="eastAsia" w:asciiTheme="minorEastAsia" w:hAnsiTheme="minorEastAsia" w:eastAsiaTheme="minorEastAsia"/>
                <w:color w:val="auto"/>
                <w:spacing w:val="-6"/>
                <w:kern w:val="2"/>
                <w:szCs w:val="24"/>
                <w:lang w:val="zh-CN"/>
              </w:rPr>
              <w:t>合同包十四（十四标段）：赵川镇前川村</w:t>
            </w:r>
            <w:r>
              <w:rPr>
                <w:rFonts w:hint="eastAsia" w:asciiTheme="minorEastAsia" w:hAnsiTheme="minorEastAsia" w:eastAsiaTheme="minorEastAsia"/>
                <w:color w:val="auto"/>
                <w:spacing w:val="-6"/>
                <w:kern w:val="2"/>
                <w:szCs w:val="24"/>
                <w:lang w:val="en-US" w:eastAsia="zh-CN"/>
              </w:rPr>
              <w:t>3-10号小班，作业面积1860亩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1.2.1</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资金来源</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1.2.2</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资金落实情况</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1.3.1</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招标范围</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本项目招标文件所包含的所有施工内容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1.3.2</w:t>
            </w:r>
          </w:p>
        </w:tc>
        <w:tc>
          <w:tcPr>
            <w:tcW w:w="1966"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工期</w:t>
            </w:r>
          </w:p>
        </w:tc>
        <w:tc>
          <w:tcPr>
            <w:tcW w:w="6053" w:type="dxa"/>
            <w:vAlign w:val="center"/>
          </w:tcPr>
          <w:p>
            <w:pPr>
              <w:spacing w:line="360" w:lineRule="auto"/>
              <w:rPr>
                <w:rFonts w:ascii="宋体" w:hAnsi="宋体" w:cs="宋体"/>
                <w:b/>
                <w:bCs/>
                <w:sz w:val="24"/>
                <w:szCs w:val="24"/>
              </w:rPr>
            </w:pPr>
            <w:r>
              <w:rPr>
                <w:rFonts w:hint="eastAsia" w:ascii="宋体" w:hAnsi="宋体" w:cs="宋体"/>
                <w:b/>
                <w:bCs/>
                <w:sz w:val="24"/>
                <w:szCs w:val="24"/>
              </w:rPr>
              <w:t>自合同签订之日起</w:t>
            </w:r>
            <w:r>
              <w:rPr>
                <w:rFonts w:hint="eastAsia" w:ascii="宋体" w:hAnsi="宋体" w:cs="宋体"/>
                <w:b/>
                <w:bCs/>
                <w:sz w:val="24"/>
                <w:szCs w:val="24"/>
                <w:lang w:val="en-US" w:eastAsia="zh-CN"/>
              </w:rPr>
              <w:t>150</w:t>
            </w:r>
            <w:r>
              <w:rPr>
                <w:rFonts w:hint="eastAsia" w:ascii="宋体" w:hAnsi="宋体" w:cs="宋体"/>
                <w:b/>
                <w:bCs/>
                <w:sz w:val="24"/>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1.3.</w:t>
            </w:r>
            <w:r>
              <w:rPr>
                <w:rFonts w:hint="eastAsia" w:ascii="宋体" w:hAnsi="宋体" w:cs="宋体"/>
                <w:sz w:val="24"/>
                <w:szCs w:val="24"/>
                <w:lang w:val="en-US" w:eastAsia="zh-CN"/>
              </w:rPr>
              <w:t>3</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质量标准</w:t>
            </w:r>
          </w:p>
        </w:tc>
        <w:tc>
          <w:tcPr>
            <w:tcW w:w="6053" w:type="dxa"/>
            <w:vAlign w:val="center"/>
          </w:tcPr>
          <w:p>
            <w:pPr>
              <w:spacing w:line="360" w:lineRule="auto"/>
              <w:rPr>
                <w:rFonts w:ascii="宋体" w:hAnsi="宋体" w:cs="宋体"/>
                <w:sz w:val="24"/>
                <w:szCs w:val="24"/>
              </w:rPr>
            </w:pPr>
            <w:bookmarkStart w:id="8" w:name="OLE_LINK18"/>
            <w:bookmarkStart w:id="9" w:name="OLE_LINK34"/>
            <w:r>
              <w:rPr>
                <w:rFonts w:hint="eastAsia" w:ascii="宋体" w:hAnsi="宋体" w:cs="宋体"/>
                <w:kern w:val="0"/>
                <w:sz w:val="24"/>
                <w:szCs w:val="24"/>
              </w:rPr>
              <w:t>符合国家现行有关质量验收规范“合格”要求。</w:t>
            </w:r>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1.4.1</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资格审查条件</w:t>
            </w:r>
          </w:p>
          <w:p>
            <w:pPr>
              <w:spacing w:line="360" w:lineRule="auto"/>
              <w:jc w:val="center"/>
              <w:rPr>
                <w:rFonts w:ascii="宋体" w:hAnsi="宋体" w:cs="宋体"/>
                <w:sz w:val="24"/>
                <w:szCs w:val="24"/>
              </w:rPr>
            </w:pP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资格证明文件：</w:t>
            </w:r>
          </w:p>
          <w:p>
            <w:pPr>
              <w:pStyle w:val="11"/>
              <w:numPr>
                <w:ilvl w:val="0"/>
                <w:numId w:val="1"/>
              </w:numPr>
              <w:spacing w:line="360" w:lineRule="auto"/>
              <w:ind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提供合格有效的法人或者其他组织的营业执照等证明文件，自然人的身份证明；</w:t>
            </w:r>
          </w:p>
          <w:p>
            <w:pPr>
              <w:pStyle w:val="11"/>
              <w:numPr>
                <w:ilvl w:val="0"/>
                <w:numId w:val="1"/>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提供法定代表人授权书（附法定代表人、被授权人身份证复印件）及被授权人身份证原件（法定代表人直接参加投标，须提供法定代表人身份证明及身份证原件）；</w:t>
            </w:r>
          </w:p>
          <w:p>
            <w:pPr>
              <w:pStyle w:val="11"/>
              <w:numPr>
                <w:ilvl w:val="0"/>
                <w:numId w:val="1"/>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财务状况：提供2021年度的财务审计报告（至少包括资产负债表和利润表，成立时间至提交投标文件截止时间不足一年的可提供成立后任意时段的资产负债表）或开标时间前六个月内银行出具的资信证明及基本存款账户开户许可证；</w:t>
            </w:r>
          </w:p>
          <w:p>
            <w:pPr>
              <w:pStyle w:val="11"/>
              <w:numPr>
                <w:ilvl w:val="0"/>
                <w:numId w:val="1"/>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税收缴纳证明：提供投标截止日前近一年内任意一个月的纳税证明或完税证明（任意税种），依法免税的单位应提供相关证明材料；</w:t>
            </w:r>
          </w:p>
          <w:p>
            <w:pPr>
              <w:pStyle w:val="11"/>
              <w:numPr>
                <w:ilvl w:val="0"/>
                <w:numId w:val="1"/>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社会保障资金缴纳证明：提供投标截止日前近一年内任意一个月的社会保障资金缴存单据或社保机构开具的社会保险参保缴费情况证明，依法不需要缴纳社会保障资金的单位应提供相关证明材料；</w:t>
            </w:r>
          </w:p>
          <w:p>
            <w:pPr>
              <w:pStyle w:val="11"/>
              <w:numPr>
                <w:ilvl w:val="0"/>
                <w:numId w:val="1"/>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供应商需提供林木种子生产经营许可证；</w:t>
            </w:r>
          </w:p>
          <w:p>
            <w:pPr>
              <w:pStyle w:val="11"/>
              <w:numPr>
                <w:ilvl w:val="0"/>
                <w:numId w:val="1"/>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供应商应在招标文件发售期至投标截止时间前通过“信用中国”网站(www.creditchina.gov.cn)、中国政府采购网(www.ccgp.gov.cn) 查询相关主体信用记录； </w:t>
            </w:r>
          </w:p>
          <w:p>
            <w:pPr>
              <w:pStyle w:val="11"/>
              <w:numPr>
                <w:ilvl w:val="0"/>
                <w:numId w:val="1"/>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参加政府采购活动前3年内，在经营活动中没有重大违法记录的书面声明； </w:t>
            </w:r>
          </w:p>
          <w:p>
            <w:pPr>
              <w:pStyle w:val="11"/>
              <w:numPr>
                <w:ilvl w:val="0"/>
                <w:numId w:val="1"/>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提供具有履行合同所必需的设备和专业技术能力的书面承诺；</w:t>
            </w:r>
          </w:p>
          <w:p>
            <w:pPr>
              <w:pStyle w:val="11"/>
              <w:numPr>
                <w:ilvl w:val="0"/>
                <w:numId w:val="0"/>
              </w:numPr>
              <w:spacing w:line="360" w:lineRule="auto"/>
              <w:ind w:left="479" w:leftChars="114" w:hanging="240" w:hanging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 10、投标保证金缴纳凭证或担保机构出具的保函；11、本项目专门面向中小企业采购（提供中小企业声明函）</w:t>
            </w:r>
          </w:p>
          <w:p>
            <w:pPr>
              <w:pStyle w:val="11"/>
              <w:spacing w:line="360" w:lineRule="auto"/>
              <w:ind w:firstLine="482" w:firstLineChars="200"/>
            </w:pPr>
            <w:r>
              <w:rPr>
                <w:rFonts w:hint="eastAsia" w:ascii="宋体" w:hAnsi="宋体" w:cs="宋体"/>
                <w:b/>
                <w:bCs/>
                <w:sz w:val="24"/>
                <w:szCs w:val="24"/>
              </w:rPr>
              <w:t>以上（1-</w:t>
            </w:r>
            <w:r>
              <w:rPr>
                <w:rFonts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）为必备资质，缺一项或某项达不到要求，按无效投标处理。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1.4.2</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招标文件发售时间</w:t>
            </w:r>
          </w:p>
        </w:tc>
        <w:tc>
          <w:tcPr>
            <w:tcW w:w="6053" w:type="dxa"/>
            <w:vAlign w:val="center"/>
          </w:tcPr>
          <w:p>
            <w:pPr>
              <w:spacing w:line="420" w:lineRule="exact"/>
              <w:rPr>
                <w:rFonts w:ascii="宋体" w:hAnsi="宋体" w:cs="宋体"/>
                <w:sz w:val="24"/>
                <w:szCs w:val="24"/>
              </w:rPr>
            </w:pPr>
            <w:r>
              <w:rPr>
                <w:rFonts w:hint="eastAsia" w:ascii="宋体" w:hAnsi="宋体" w:cs="宋体"/>
                <w:color w:val="auto"/>
                <w:sz w:val="24"/>
                <w:szCs w:val="24"/>
                <w:shd w:val="clear"/>
              </w:rPr>
              <w:t>202</w:t>
            </w:r>
            <w:r>
              <w:rPr>
                <w:rFonts w:hint="eastAsia" w:ascii="宋体" w:hAnsi="宋体" w:cs="宋体"/>
                <w:color w:val="auto"/>
                <w:sz w:val="24"/>
                <w:szCs w:val="24"/>
                <w:shd w:val="clear"/>
                <w:lang w:val="en-US" w:eastAsia="zh-CN"/>
              </w:rPr>
              <w:t>2</w:t>
            </w:r>
            <w:r>
              <w:rPr>
                <w:rFonts w:ascii="宋体" w:hAnsi="宋体" w:cs="宋体"/>
                <w:color w:val="auto"/>
                <w:sz w:val="24"/>
                <w:szCs w:val="24"/>
                <w:shd w:val="clear"/>
              </w:rPr>
              <w:t>-</w:t>
            </w:r>
            <w:r>
              <w:rPr>
                <w:rFonts w:hint="eastAsia" w:ascii="宋体" w:hAnsi="宋体" w:cs="宋体"/>
                <w:color w:val="auto"/>
                <w:sz w:val="24"/>
                <w:szCs w:val="24"/>
                <w:shd w:val="clear"/>
                <w:lang w:val="en-US" w:eastAsia="zh-CN"/>
              </w:rPr>
              <w:t>11</w:t>
            </w:r>
            <w:r>
              <w:rPr>
                <w:rFonts w:ascii="宋体" w:hAnsi="宋体" w:cs="宋体"/>
                <w:color w:val="auto"/>
                <w:sz w:val="24"/>
                <w:szCs w:val="24"/>
                <w:shd w:val="clear"/>
              </w:rPr>
              <w:t>-</w:t>
            </w:r>
            <w:r>
              <w:rPr>
                <w:rFonts w:hint="eastAsia" w:ascii="宋体" w:hAnsi="宋体" w:cs="宋体"/>
                <w:color w:val="auto"/>
                <w:sz w:val="24"/>
                <w:szCs w:val="24"/>
                <w:shd w:val="clear"/>
                <w:lang w:val="en-US" w:eastAsia="zh-CN"/>
              </w:rPr>
              <w:t>08</w:t>
            </w:r>
            <w:r>
              <w:rPr>
                <w:rFonts w:hint="eastAsia" w:ascii="宋体" w:hAnsi="宋体" w:cs="宋体"/>
                <w:color w:val="auto"/>
                <w:sz w:val="24"/>
                <w:szCs w:val="24"/>
                <w:shd w:val="clear"/>
              </w:rPr>
              <w:t>至202</w:t>
            </w:r>
            <w:r>
              <w:rPr>
                <w:rFonts w:hint="eastAsia" w:ascii="宋体" w:hAnsi="宋体" w:cs="宋体"/>
                <w:color w:val="auto"/>
                <w:sz w:val="24"/>
                <w:szCs w:val="24"/>
                <w:shd w:val="clear"/>
                <w:lang w:val="en-US" w:eastAsia="zh-CN"/>
              </w:rPr>
              <w:t>2</w:t>
            </w:r>
            <w:r>
              <w:rPr>
                <w:rFonts w:hint="eastAsia" w:ascii="宋体" w:hAnsi="宋体" w:cs="宋体"/>
                <w:color w:val="auto"/>
                <w:sz w:val="24"/>
                <w:szCs w:val="24"/>
                <w:shd w:val="clear"/>
              </w:rPr>
              <w:t>-</w:t>
            </w:r>
            <w:r>
              <w:rPr>
                <w:rFonts w:hint="eastAsia" w:ascii="宋体" w:hAnsi="宋体" w:cs="宋体"/>
                <w:color w:val="auto"/>
                <w:sz w:val="24"/>
                <w:szCs w:val="24"/>
                <w:shd w:val="clear"/>
                <w:lang w:val="en-US" w:eastAsia="zh-CN"/>
              </w:rPr>
              <w:t>11</w:t>
            </w:r>
            <w:r>
              <w:rPr>
                <w:rFonts w:hint="eastAsia" w:ascii="宋体" w:hAnsi="宋体" w:cs="宋体"/>
                <w:color w:val="auto"/>
                <w:sz w:val="24"/>
                <w:szCs w:val="24"/>
                <w:shd w:val="clear"/>
              </w:rPr>
              <w:t>-</w:t>
            </w:r>
            <w:r>
              <w:rPr>
                <w:rFonts w:hint="eastAsia" w:ascii="宋体" w:hAnsi="宋体" w:cs="宋体"/>
                <w:color w:val="auto"/>
                <w:sz w:val="24"/>
                <w:szCs w:val="24"/>
                <w:shd w:val="clear"/>
                <w:lang w:val="en-US" w:eastAsia="zh-CN"/>
              </w:rPr>
              <w:t>14 08</w:t>
            </w:r>
            <w:r>
              <w:rPr>
                <w:rFonts w:hint="eastAsia" w:ascii="宋体" w:hAnsi="宋体" w:cs="宋体"/>
                <w:color w:val="auto"/>
                <w:sz w:val="24"/>
                <w:szCs w:val="24"/>
                <w:shd w:val="clear"/>
              </w:rPr>
              <w:t>:00:00</w:t>
            </w:r>
            <w:r>
              <w:rPr>
                <w:rFonts w:hint="eastAsia" w:ascii="宋体" w:hAnsi="宋体" w:cs="宋体"/>
                <w:color w:val="auto"/>
                <w:sz w:val="24"/>
                <w:szCs w:val="24"/>
                <w:shd w:val="clear"/>
                <w:lang w:val="en-US" w:eastAsia="zh-CN"/>
              </w:rPr>
              <w:t>-</w:t>
            </w:r>
            <w:r>
              <w:rPr>
                <w:rFonts w:hint="eastAsia" w:ascii="宋体" w:hAnsi="宋体" w:cs="宋体"/>
                <w:color w:val="auto"/>
                <w:sz w:val="24"/>
                <w:szCs w:val="24"/>
                <w:shd w:val="clear"/>
              </w:rPr>
              <w:t>1</w:t>
            </w:r>
            <w:r>
              <w:rPr>
                <w:rFonts w:hint="eastAsia" w:ascii="宋体" w:hAnsi="宋体" w:cs="宋体"/>
                <w:color w:val="auto"/>
                <w:sz w:val="24"/>
                <w:szCs w:val="24"/>
                <w:shd w:val="clear"/>
                <w:lang w:val="en-US" w:eastAsia="zh-CN"/>
              </w:rPr>
              <w:t>8</w:t>
            </w:r>
            <w:r>
              <w:rPr>
                <w:rFonts w:hint="eastAsia" w:ascii="宋体" w:hAnsi="宋体" w:cs="宋体"/>
                <w:color w:val="auto"/>
                <w:sz w:val="24"/>
                <w:szCs w:val="24"/>
                <w:shd w:val="clear"/>
              </w:rPr>
              <w:t>:00:00（双休日及法定节假日除外</w:t>
            </w:r>
            <w:r>
              <w:rPr>
                <w:rFonts w:hint="eastAsia" w:ascii="宋体" w:hAnsi="宋体" w:cs="宋体"/>
                <w:color w:val="auto"/>
                <w:sz w:val="24"/>
                <w:szCs w:val="24"/>
                <w:shd w:val="clear"/>
                <w:lang w:val="en-US" w:eastAsia="zh-CN"/>
              </w:rPr>
              <w:t>)</w:t>
            </w:r>
            <w:r>
              <w:rPr>
                <w:rFonts w:hint="eastAsia" w:ascii="宋体" w:hAnsi="宋体" w:cs="宋体"/>
                <w:color w:val="auto"/>
                <w:sz w:val="24"/>
                <w:szCs w:val="24"/>
                <w:shd w:val="cle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踏勘现场</w:t>
            </w:r>
          </w:p>
        </w:tc>
        <w:tc>
          <w:tcPr>
            <w:tcW w:w="6053" w:type="dxa"/>
            <w:vAlign w:val="center"/>
          </w:tcPr>
          <w:p>
            <w:pPr>
              <w:spacing w:line="420" w:lineRule="exact"/>
              <w:rPr>
                <w:rFonts w:ascii="宋体" w:hAnsi="宋体" w:cs="宋体"/>
                <w:kern w:val="0"/>
                <w:sz w:val="24"/>
                <w:szCs w:val="24"/>
              </w:rPr>
            </w:pPr>
            <w:r>
              <w:rPr>
                <w:rFonts w:hint="eastAsia" w:ascii="宋体" w:hAnsi="宋体" w:cs="宋体"/>
                <w:kern w:val="0"/>
                <w:sz w:val="24"/>
                <w:szCs w:val="24"/>
              </w:rPr>
              <w:t>1）</w:t>
            </w:r>
            <w:r>
              <w:rPr>
                <w:rFonts w:hint="eastAsia" w:asciiTheme="minorEastAsia" w:hAnsiTheme="minorEastAsia" w:eastAsiaTheme="minorEastAsia" w:cstheme="minorEastAsia"/>
                <w:sz w:val="24"/>
                <w:szCs w:val="24"/>
              </w:rPr>
              <w:t>采购</w:t>
            </w:r>
            <w:r>
              <w:rPr>
                <w:rFonts w:hint="eastAsia" w:ascii="宋体" w:hAnsi="宋体" w:cs="宋体"/>
                <w:kern w:val="0"/>
                <w:sz w:val="24"/>
                <w:szCs w:val="24"/>
              </w:rPr>
              <w:t>代理机构不组织统一踏勘，各投标人自行踏勘，相关费用及安全由投标人自行承担，踏勘时遵守相关规定，不得扰民。</w:t>
            </w:r>
          </w:p>
          <w:p>
            <w:pPr>
              <w:spacing w:line="420" w:lineRule="exact"/>
              <w:rPr>
                <w:rFonts w:ascii="宋体" w:hAnsi="宋体" w:cs="宋体"/>
                <w:kern w:val="0"/>
                <w:sz w:val="24"/>
                <w:szCs w:val="24"/>
              </w:rPr>
            </w:pPr>
            <w:r>
              <w:rPr>
                <w:rFonts w:hint="eastAsia" w:ascii="宋体" w:hAnsi="宋体" w:cs="宋体"/>
                <w:kern w:val="0"/>
                <w:sz w:val="24"/>
                <w:szCs w:val="24"/>
              </w:rPr>
              <w:t>2）踏勘内容包含：完成本次招标所需要的现场工况及周围环境等资料。</w:t>
            </w:r>
          </w:p>
          <w:p>
            <w:pPr>
              <w:pStyle w:val="24"/>
              <w:spacing w:line="42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联系人：商南县退耕还草中心中心经办</w:t>
            </w:r>
          </w:p>
          <w:p>
            <w:pPr>
              <w:pStyle w:val="24"/>
              <w:spacing w:line="420" w:lineRule="exact"/>
              <w:rPr>
                <w:rFonts w:hint="default" w:cs="宋体" w:asciiTheme="minorEastAsia" w:hAnsiTheme="minorEastAsia" w:eastAsiaTheme="minorEastAsia"/>
                <w:color w:val="333333"/>
                <w:szCs w:val="24"/>
                <w:shd w:val="clear" w:color="auto" w:fill="FFFFFF"/>
                <w:lang w:val="en-US"/>
              </w:rPr>
            </w:pPr>
            <w:r>
              <w:rPr>
                <w:rFonts w:hint="eastAsia" w:ascii="宋体" w:hAnsi="宋体" w:eastAsia="宋体" w:cs="宋体"/>
                <w:color w:val="auto"/>
                <w:kern w:val="0"/>
                <w:sz w:val="24"/>
                <w:szCs w:val="24"/>
                <w:lang w:val="en-US" w:eastAsia="zh-CN" w:bidi="ar-SA"/>
              </w:rPr>
              <w:t>电话：</w:t>
            </w:r>
            <w:r>
              <w:rPr>
                <w:rFonts w:hint="eastAsia" w:ascii="宋体" w:hAnsi="宋体" w:cs="宋体"/>
                <w:color w:val="auto"/>
                <w:kern w:val="0"/>
                <w:sz w:val="24"/>
                <w:szCs w:val="24"/>
                <w:lang w:val="en-US" w:eastAsia="zh-CN" w:bidi="ar-SA"/>
              </w:rPr>
              <w:t>13891406700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1.10</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投标答疑会</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不召开；若有疑问，均应在购买招标文件后7个工作日内以书面形式向采购代理机构提出。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1.11</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分包</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3.</w:t>
            </w:r>
            <w:r>
              <w:rPr>
                <w:rFonts w:ascii="宋体" w:hAnsi="宋体" w:cs="宋体"/>
                <w:sz w:val="24"/>
                <w:szCs w:val="24"/>
              </w:rPr>
              <w:t>2</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构成投标文件的其他材料</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投标人按照招标文件的要求认为有利于投标的材料。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3.4.1</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投标报价</w:t>
            </w:r>
          </w:p>
        </w:tc>
        <w:tc>
          <w:tcPr>
            <w:tcW w:w="6053" w:type="dxa"/>
            <w:vAlign w:val="center"/>
          </w:tcPr>
          <w:p>
            <w:pPr>
              <w:spacing w:line="360" w:lineRule="auto"/>
            </w:pPr>
            <w:r>
              <w:rPr>
                <w:rFonts w:hint="eastAsia" w:ascii="宋体" w:hAnsi="宋体" w:cs="宋体"/>
                <w:sz w:val="24"/>
                <w:szCs w:val="24"/>
              </w:rPr>
              <w:t>以中标价为依据签订总价合同。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.1</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投标有效期</w:t>
            </w:r>
          </w:p>
        </w:tc>
        <w:tc>
          <w:tcPr>
            <w:tcW w:w="6053" w:type="dxa"/>
            <w:vAlign w:val="center"/>
          </w:tcPr>
          <w:p>
            <w:pPr>
              <w:spacing w:line="360" w:lineRule="auto"/>
              <w:jc w:val="left"/>
              <w:rPr>
                <w:rFonts w:ascii="宋体" w:hAnsi="宋体" w:cs="宋体"/>
                <w:sz w:val="24"/>
                <w:szCs w:val="24"/>
              </w:rPr>
            </w:pPr>
            <w:r>
              <w:rPr>
                <w:rFonts w:hint="eastAsia" w:ascii="宋体" w:hAnsi="宋体" w:cs="宋体"/>
                <w:sz w:val="24"/>
                <w:szCs w:val="24"/>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3.</w:t>
            </w:r>
            <w:r>
              <w:rPr>
                <w:rFonts w:ascii="宋体" w:hAnsi="宋体" w:cs="宋体"/>
                <w:sz w:val="24"/>
                <w:szCs w:val="24"/>
              </w:rPr>
              <w:t>6</w:t>
            </w:r>
            <w:r>
              <w:rPr>
                <w:rFonts w:hint="eastAsia" w:ascii="宋体" w:hAnsi="宋体" w:cs="宋体"/>
                <w:sz w:val="24"/>
                <w:szCs w:val="24"/>
              </w:rPr>
              <w:t>.1</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投标保证金</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本次投标活动投标人需交纳投标保证金为:</w:t>
            </w:r>
          </w:p>
          <w:p>
            <w:pPr>
              <w:spacing w:line="360" w:lineRule="auto"/>
              <w:rPr>
                <w:rFonts w:ascii="宋体" w:hAnsi="宋体" w:cs="宋体"/>
                <w:sz w:val="24"/>
                <w:szCs w:val="24"/>
              </w:rPr>
            </w:pPr>
            <w:r>
              <w:rPr>
                <w:rFonts w:hint="eastAsia" w:ascii="宋体" w:hAnsi="宋体" w:cs="宋体"/>
                <w:b/>
                <w:bCs/>
                <w:sz w:val="24"/>
                <w:szCs w:val="24"/>
                <w:lang w:eastAsia="zh-CN"/>
              </w:rPr>
              <w:t>合同包一</w:t>
            </w:r>
            <w:r>
              <w:rPr>
                <w:rFonts w:hint="eastAsia" w:ascii="宋体" w:hAnsi="宋体" w:cs="宋体"/>
                <w:b/>
                <w:bCs/>
                <w:sz w:val="24"/>
                <w:szCs w:val="24"/>
              </w:rPr>
              <w:t>至</w:t>
            </w:r>
            <w:r>
              <w:rPr>
                <w:rFonts w:hint="eastAsia" w:ascii="宋体" w:hAnsi="宋体" w:cs="宋体"/>
                <w:b/>
                <w:bCs/>
                <w:sz w:val="24"/>
                <w:szCs w:val="24"/>
                <w:lang w:eastAsia="zh-CN"/>
              </w:rPr>
              <w:t>合同包十四</w:t>
            </w:r>
            <w:r>
              <w:rPr>
                <w:rFonts w:hint="eastAsia" w:ascii="宋体" w:hAnsi="宋体" w:cs="宋体"/>
                <w:b/>
                <w:bCs/>
                <w:sz w:val="24"/>
                <w:szCs w:val="24"/>
              </w:rPr>
              <w:t>每</w:t>
            </w:r>
            <w:r>
              <w:rPr>
                <w:rFonts w:ascii="宋体" w:hAnsi="宋体" w:cs="宋体"/>
                <w:b/>
                <w:bCs/>
                <w:sz w:val="24"/>
                <w:szCs w:val="24"/>
              </w:rPr>
              <w:t>包</w:t>
            </w:r>
            <w:r>
              <w:rPr>
                <w:rFonts w:hint="eastAsia" w:ascii="宋体" w:hAnsi="宋体" w:cs="宋体"/>
                <w:b/>
                <w:bCs/>
                <w:sz w:val="24"/>
                <w:szCs w:val="24"/>
              </w:rPr>
              <w:t>：人民币</w:t>
            </w:r>
            <w:r>
              <w:rPr>
                <w:rFonts w:hint="eastAsia" w:ascii="宋体" w:hAnsi="宋体" w:cs="宋体"/>
                <w:b/>
                <w:bCs/>
                <w:sz w:val="24"/>
                <w:szCs w:val="24"/>
                <w:lang w:eastAsia="zh-CN"/>
              </w:rPr>
              <w:t>捌</w:t>
            </w:r>
            <w:r>
              <w:rPr>
                <w:rFonts w:hint="eastAsia" w:ascii="宋体" w:hAnsi="宋体" w:cs="宋体"/>
                <w:b/>
                <w:bCs/>
                <w:sz w:val="24"/>
                <w:szCs w:val="24"/>
              </w:rPr>
              <w:t>仟元整（￥</w:t>
            </w:r>
            <w:r>
              <w:rPr>
                <w:rFonts w:hint="eastAsia" w:ascii="宋体" w:hAnsi="宋体" w:cs="宋体"/>
                <w:b/>
                <w:bCs/>
                <w:sz w:val="24"/>
                <w:szCs w:val="24"/>
                <w:lang w:val="en-US" w:eastAsia="zh-CN"/>
              </w:rPr>
              <w:t>8</w:t>
            </w:r>
            <w:r>
              <w:rPr>
                <w:rFonts w:hint="eastAsia" w:ascii="宋体" w:hAnsi="宋体" w:cs="宋体"/>
                <w:b/>
                <w:bCs/>
                <w:sz w:val="24"/>
                <w:szCs w:val="24"/>
              </w:rPr>
              <w:t>000.00）</w:t>
            </w:r>
          </w:p>
          <w:p>
            <w:pPr>
              <w:spacing w:line="360" w:lineRule="auto"/>
              <w:rPr>
                <w:rFonts w:ascii="宋体" w:hAnsi="宋体" w:cs="宋体"/>
                <w:sz w:val="24"/>
                <w:szCs w:val="24"/>
              </w:rPr>
            </w:pPr>
            <w:r>
              <w:rPr>
                <w:rFonts w:hint="eastAsia" w:ascii="宋体" w:hAnsi="宋体" w:cs="宋体"/>
                <w:sz w:val="24"/>
                <w:szCs w:val="24"/>
              </w:rPr>
              <w:t>投标保证金的交纳形式：转账、电汇、担保机构保函。投标人以银行转账、电汇形式交纳投标保证金的(</w:t>
            </w:r>
            <w:r>
              <w:rPr>
                <w:rFonts w:hint="eastAsia" w:ascii="宋体" w:hAnsi="宋体" w:cs="宋体"/>
                <w:b/>
                <w:sz w:val="24"/>
                <w:szCs w:val="24"/>
              </w:rPr>
              <w:t>转账时请注明所投</w:t>
            </w:r>
            <w:r>
              <w:rPr>
                <w:rFonts w:hint="eastAsia" w:ascii="宋体" w:hAnsi="宋体" w:cs="宋体"/>
                <w:b/>
                <w:bCs/>
                <w:sz w:val="24"/>
                <w:szCs w:val="24"/>
              </w:rPr>
              <w:t>项目编号、</w:t>
            </w:r>
            <w:r>
              <w:rPr>
                <w:rFonts w:hint="eastAsia" w:ascii="宋体" w:hAnsi="宋体" w:cs="宋体"/>
                <w:b/>
                <w:bCs/>
                <w:sz w:val="24"/>
                <w:szCs w:val="24"/>
                <w:lang w:eastAsia="zh-CN"/>
              </w:rPr>
              <w:t>合同</w:t>
            </w:r>
            <w:r>
              <w:rPr>
                <w:rFonts w:hint="eastAsia" w:ascii="宋体" w:hAnsi="宋体" w:cs="宋体"/>
                <w:b/>
                <w:bCs/>
                <w:sz w:val="24"/>
                <w:szCs w:val="24"/>
              </w:rPr>
              <w:t>包号)</w:t>
            </w:r>
            <w:r>
              <w:rPr>
                <w:rFonts w:hint="eastAsia" w:ascii="宋体" w:hAnsi="宋体" w:cs="宋体"/>
                <w:sz w:val="24"/>
                <w:szCs w:val="24"/>
              </w:rPr>
              <w:t>，招标结束之后以转账形式退到投标人的基本账户。投标人以保函形式缴纳投标保证金的，在投标文件递交截止时间前须将担保机构保函</w:t>
            </w:r>
            <w:r>
              <w:rPr>
                <w:rFonts w:hint="eastAsia" w:ascii="宋体" w:hAnsi="宋体" w:cs="宋体"/>
                <w:b/>
                <w:bCs/>
                <w:sz w:val="24"/>
                <w:szCs w:val="24"/>
              </w:rPr>
              <w:t>正本原件</w:t>
            </w:r>
            <w:r>
              <w:rPr>
                <w:rFonts w:hint="eastAsia" w:ascii="宋体" w:hAnsi="宋体" w:cs="宋体"/>
                <w:sz w:val="24"/>
                <w:szCs w:val="24"/>
              </w:rPr>
              <w:t>提交至采购代理机构备案，招标结束之后在规定时间内将保函正本原件退回。</w:t>
            </w:r>
          </w:p>
          <w:p>
            <w:pPr>
              <w:spacing w:line="360" w:lineRule="auto"/>
              <w:rPr>
                <w:rFonts w:ascii="宋体" w:hAnsi="宋体" w:cs="宋体"/>
                <w:sz w:val="24"/>
                <w:szCs w:val="24"/>
              </w:rPr>
            </w:pPr>
            <w:r>
              <w:rPr>
                <w:rFonts w:hint="eastAsia" w:ascii="宋体" w:hAnsi="宋体" w:cs="宋体"/>
                <w:sz w:val="24"/>
                <w:szCs w:val="24"/>
              </w:rPr>
              <w:t>投标人以银行转账、电汇形式缴纳投标保证金的截止时间：</w:t>
            </w:r>
          </w:p>
          <w:p>
            <w:pPr>
              <w:spacing w:line="360" w:lineRule="auto"/>
              <w:rPr>
                <w:rFonts w:ascii="宋体" w:hAnsi="宋体" w:cs="宋体"/>
                <w:b/>
                <w:bCs/>
                <w:sz w:val="24"/>
                <w:szCs w:val="24"/>
              </w:rPr>
            </w:pPr>
            <w:r>
              <w:rPr>
                <w:rFonts w:hint="eastAsia" w:ascii="宋体" w:hAnsi="宋体" w:cs="宋体"/>
                <w:sz w:val="24"/>
                <w:szCs w:val="24"/>
              </w:rPr>
              <w:t>须在投标文件递交截止前到达以下帐户。</w:t>
            </w:r>
            <w:r>
              <w:rPr>
                <w:rFonts w:hint="eastAsia" w:ascii="宋体" w:hAnsi="宋体" w:cs="宋体"/>
                <w:b/>
                <w:bCs/>
                <w:sz w:val="24"/>
                <w:szCs w:val="24"/>
              </w:rPr>
              <w:t>由于转账当天不一定能够到账，为避免因保证金未到账而导致投标被拒绝，建议至少提前</w:t>
            </w:r>
            <w:r>
              <w:rPr>
                <w:rFonts w:hint="eastAsia" w:ascii="宋体" w:hAnsi="宋体" w:cs="宋体"/>
                <w:b/>
                <w:bCs/>
                <w:sz w:val="24"/>
                <w:szCs w:val="24"/>
                <w:lang w:val="en-US" w:eastAsia="zh-CN"/>
              </w:rPr>
              <w:t>2</w:t>
            </w:r>
            <w:r>
              <w:rPr>
                <w:rFonts w:hint="eastAsia" w:ascii="宋体" w:hAnsi="宋体" w:cs="宋体"/>
                <w:b/>
                <w:bCs/>
                <w:sz w:val="24"/>
                <w:szCs w:val="24"/>
              </w:rPr>
              <w:t>个工作日转账。</w:t>
            </w:r>
          </w:p>
          <w:p>
            <w:pPr>
              <w:spacing w:line="360" w:lineRule="auto"/>
              <w:rPr>
                <w:rFonts w:hint="eastAsia" w:ascii="宋体" w:hAnsi="宋体" w:cs="宋体"/>
                <w:b/>
                <w:sz w:val="24"/>
                <w:szCs w:val="24"/>
                <w:lang w:eastAsia="zh-CN"/>
              </w:rPr>
            </w:pPr>
            <w:r>
              <w:rPr>
                <w:rFonts w:hint="eastAsia" w:ascii="宋体" w:hAnsi="宋体" w:cs="宋体"/>
                <w:b/>
                <w:sz w:val="24"/>
                <w:szCs w:val="24"/>
              </w:rPr>
              <w:t>户名：</w:t>
            </w:r>
            <w:r>
              <w:rPr>
                <w:rFonts w:hint="eastAsia" w:ascii="宋体" w:hAnsi="宋体" w:cs="宋体"/>
                <w:b/>
                <w:sz w:val="24"/>
                <w:szCs w:val="24"/>
                <w:lang w:eastAsia="zh-CN"/>
              </w:rPr>
              <w:t>西安天合建设项目管理有限公司商南分公司</w:t>
            </w:r>
          </w:p>
          <w:p>
            <w:pPr>
              <w:spacing w:line="360" w:lineRule="auto"/>
              <w:rPr>
                <w:rFonts w:hint="eastAsia" w:ascii="宋体" w:hAnsi="宋体" w:cs="宋体"/>
                <w:b/>
                <w:sz w:val="24"/>
                <w:szCs w:val="24"/>
                <w:lang w:eastAsia="zh-CN"/>
              </w:rPr>
            </w:pPr>
            <w:r>
              <w:rPr>
                <w:rFonts w:hint="eastAsia" w:ascii="宋体" w:hAnsi="宋体" w:cs="宋体"/>
                <w:b/>
                <w:sz w:val="24"/>
                <w:szCs w:val="24"/>
              </w:rPr>
              <w:t>开户银行：</w:t>
            </w:r>
            <w:r>
              <w:rPr>
                <w:rFonts w:hint="eastAsia" w:ascii="宋体" w:hAnsi="宋体" w:cs="宋体"/>
                <w:b/>
                <w:sz w:val="24"/>
                <w:szCs w:val="24"/>
                <w:lang w:eastAsia="zh-CN"/>
              </w:rPr>
              <w:t>中国农业银行股份有限公司商南工业园支行</w:t>
            </w:r>
          </w:p>
          <w:p>
            <w:pPr>
              <w:spacing w:line="360" w:lineRule="auto"/>
              <w:rPr>
                <w:rFonts w:ascii="宋体" w:hAnsi="宋体" w:cs="宋体"/>
                <w:b/>
                <w:sz w:val="24"/>
                <w:szCs w:val="24"/>
              </w:rPr>
            </w:pPr>
            <w:r>
              <w:rPr>
                <w:rFonts w:hint="eastAsia" w:ascii="宋体" w:hAnsi="宋体" w:cs="宋体"/>
                <w:b/>
                <w:sz w:val="24"/>
                <w:szCs w:val="24"/>
              </w:rPr>
              <w:t>账号：</w:t>
            </w:r>
            <w:r>
              <w:rPr>
                <w:rFonts w:hint="eastAsia" w:ascii="宋体" w:hAnsi="宋体" w:cs="宋体"/>
                <w:b/>
                <w:sz w:val="24"/>
                <w:szCs w:val="24"/>
                <w:lang w:val="en-US" w:eastAsia="zh-CN"/>
              </w:rPr>
              <w:t>26825201040005909</w:t>
            </w:r>
          </w:p>
          <w:p>
            <w:pPr>
              <w:spacing w:line="360" w:lineRule="auto"/>
              <w:rPr>
                <w:rFonts w:ascii="宋体" w:hAnsi="宋体" w:cs="宋体"/>
                <w:sz w:val="24"/>
                <w:szCs w:val="24"/>
              </w:rPr>
            </w:pPr>
            <w:r>
              <w:rPr>
                <w:rFonts w:hint="eastAsia" w:ascii="宋体" w:hAnsi="宋体" w:cs="宋体"/>
                <w:sz w:val="24"/>
                <w:szCs w:val="24"/>
              </w:rPr>
              <w:t>投标保证金到达采购代理机构指定账户后，投标人须与采购代理机构联系确认，确认到帐后请将</w:t>
            </w:r>
            <w:r>
              <w:rPr>
                <w:rFonts w:hint="eastAsia" w:ascii="宋体" w:hAnsi="宋体" w:cs="宋体"/>
                <w:b/>
                <w:bCs/>
                <w:sz w:val="24"/>
                <w:szCs w:val="24"/>
              </w:rPr>
              <w:t>投标保证金缴纳凭证复印件</w:t>
            </w:r>
            <w:r>
              <w:rPr>
                <w:rFonts w:hint="eastAsia" w:ascii="宋体" w:hAnsi="宋体" w:cs="宋体"/>
                <w:sz w:val="24"/>
                <w:szCs w:val="24"/>
              </w:rPr>
              <w:t>粘贴于招标文件规定处。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pPr>
              <w:spacing w:line="360" w:lineRule="auto"/>
              <w:jc w:val="center"/>
              <w:rPr>
                <w:rFonts w:ascii="宋体" w:hAnsi="宋体" w:cs="宋体"/>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.7</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6053" w:type="dxa"/>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1.收费标准：按国家计委颁发的《招标代理服务收费管理暂行办法》（计价格[2002]1980号）和国家发展改革委员会办公厅颁发的《关于招标代理服务收费有关问题的通知》（发改办价格[2003]857号）的有关标准执行</w:t>
            </w:r>
            <w:r>
              <w:rPr>
                <w:rFonts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2.代理服务费由中标单位承担，中标单位在领取中标通知书前，须向采购代理机构一次性支付招标代理服务费。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3.</w:t>
            </w:r>
            <w:r>
              <w:rPr>
                <w:rFonts w:ascii="宋体" w:hAnsi="宋体" w:cs="宋体"/>
                <w:sz w:val="24"/>
                <w:szCs w:val="24"/>
              </w:rPr>
              <w:t>7</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是否允许递交</w:t>
            </w:r>
          </w:p>
          <w:p>
            <w:pPr>
              <w:spacing w:line="360" w:lineRule="auto"/>
              <w:jc w:val="center"/>
              <w:rPr>
                <w:rFonts w:ascii="宋体" w:hAnsi="宋体" w:cs="宋体"/>
                <w:sz w:val="24"/>
                <w:szCs w:val="24"/>
              </w:rPr>
            </w:pPr>
            <w:r>
              <w:rPr>
                <w:rFonts w:hint="eastAsia" w:ascii="宋体" w:hAnsi="宋体" w:cs="宋体"/>
                <w:sz w:val="24"/>
                <w:szCs w:val="24"/>
              </w:rPr>
              <w:t>备选投标方案</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3.</w:t>
            </w:r>
            <w:r>
              <w:rPr>
                <w:rFonts w:ascii="宋体" w:hAnsi="宋体" w:cs="宋体"/>
                <w:sz w:val="24"/>
                <w:szCs w:val="24"/>
              </w:rPr>
              <w:t>8</w:t>
            </w:r>
            <w:r>
              <w:rPr>
                <w:rFonts w:hint="eastAsia" w:ascii="宋体" w:hAnsi="宋体" w:cs="宋体"/>
                <w:sz w:val="24"/>
                <w:szCs w:val="24"/>
              </w:rPr>
              <w:t>.3</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签字或盖章要求</w:t>
            </w:r>
          </w:p>
        </w:tc>
        <w:tc>
          <w:tcPr>
            <w:tcW w:w="6053" w:type="dxa"/>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投标文件封面、投标函及其它有要求处必须加盖投标人公章并经法定代表人或其委托代理人签字或盖章。</w:t>
            </w:r>
            <w:bookmarkStart w:id="10" w:name="_Toc343511347"/>
          </w:p>
          <w:p>
            <w:pPr>
              <w:spacing w:line="360" w:lineRule="auto"/>
              <w:ind w:firstLine="480" w:firstLineChars="200"/>
              <w:rPr>
                <w:rFonts w:ascii="宋体" w:hAnsi="宋体" w:cs="宋体"/>
                <w:sz w:val="24"/>
                <w:szCs w:val="24"/>
              </w:rPr>
            </w:pPr>
            <w:r>
              <w:rPr>
                <w:rFonts w:hint="eastAsia" w:ascii="宋体" w:hAnsi="宋体" w:cs="宋体"/>
                <w:sz w:val="24"/>
                <w:szCs w:val="24"/>
              </w:rPr>
              <w:t>投标文件应无涂改或行间插字和增删。如确需修改，修改处必须由投标人加盖投标人公章并经法定代表人或其委托代理人签字或盖章。</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3.</w:t>
            </w:r>
            <w:r>
              <w:rPr>
                <w:rFonts w:ascii="宋体" w:hAnsi="宋体" w:cs="宋体"/>
                <w:sz w:val="24"/>
                <w:szCs w:val="24"/>
              </w:rPr>
              <w:t>8</w:t>
            </w:r>
            <w:r>
              <w:rPr>
                <w:rFonts w:hint="eastAsia" w:ascii="宋体" w:hAnsi="宋体" w:cs="宋体"/>
                <w:sz w:val="24"/>
                <w:szCs w:val="24"/>
              </w:rPr>
              <w:t>.4</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投标文件份数</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投标文件正本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贰</w:t>
            </w:r>
            <w:r>
              <w:rPr>
                <w:rFonts w:hint="eastAsia" w:ascii="宋体" w:hAnsi="宋体" w:cs="宋体"/>
                <w:sz w:val="24"/>
                <w:szCs w:val="24"/>
              </w:rPr>
              <w:t>份,投标文件电子版</w:t>
            </w:r>
            <w:r>
              <w:rPr>
                <w:rFonts w:hint="eastAsia" w:ascii="宋体" w:hAnsi="宋体" w:cs="宋体"/>
                <w:sz w:val="24"/>
                <w:szCs w:val="24"/>
                <w:u w:val="single"/>
                <w:lang w:eastAsia="zh-CN"/>
              </w:rPr>
              <w:t>壹</w:t>
            </w:r>
            <w:r>
              <w:rPr>
                <w:rFonts w:hint="eastAsia" w:ascii="宋体" w:hAnsi="宋体" w:cs="宋体"/>
                <w:sz w:val="24"/>
                <w:szCs w:val="24"/>
              </w:rPr>
              <w:t>份（U盘</w:t>
            </w:r>
            <w:r>
              <w:rPr>
                <w:rFonts w:hint="eastAsia" w:ascii="宋体" w:hAnsi="宋体" w:cs="宋体"/>
                <w:sz w:val="24"/>
                <w:szCs w:val="24"/>
                <w:lang w:val="en-US" w:eastAsia="zh-CN"/>
              </w:rPr>
              <w:t>+word版本</w:t>
            </w:r>
            <w:r>
              <w:rPr>
                <w:rFonts w:hint="eastAsia" w:ascii="宋体" w:hAnsi="宋体" w:cs="宋体"/>
                <w:sz w:val="24"/>
                <w:szCs w:val="24"/>
              </w:rPr>
              <w:t>），开标一览表</w:t>
            </w:r>
            <w:r>
              <w:rPr>
                <w:rFonts w:hint="eastAsia" w:ascii="宋体" w:hAnsi="宋体" w:cs="宋体"/>
                <w:sz w:val="24"/>
                <w:szCs w:val="24"/>
                <w:u w:val="single"/>
              </w:rPr>
              <w:t>壹</w:t>
            </w:r>
            <w:r>
              <w:rPr>
                <w:rFonts w:hint="eastAsia" w:ascii="宋体" w:hAnsi="宋体" w:cs="宋体"/>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4.1.2</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投标文件密封</w:t>
            </w:r>
          </w:p>
        </w:tc>
        <w:tc>
          <w:tcPr>
            <w:tcW w:w="6053" w:type="dxa"/>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1、投标文件正、副本应分别装订成册，装订应牢固、不易拆散和换页，不得采用活页装订。封袋应加贴封条，并在封线处由法定代表人或委托代理人签字盖章后加盖投标人公章。</w:t>
            </w:r>
          </w:p>
          <w:p>
            <w:pPr>
              <w:spacing w:line="360" w:lineRule="auto"/>
              <w:rPr>
                <w:rFonts w:ascii="宋体" w:hAnsi="宋体" w:cs="宋体"/>
                <w:sz w:val="24"/>
                <w:szCs w:val="24"/>
              </w:rPr>
            </w:pPr>
            <w:r>
              <w:rPr>
                <w:rFonts w:hint="eastAsia" w:ascii="宋体" w:hAnsi="宋体" w:cs="宋体"/>
                <w:sz w:val="24"/>
                <w:szCs w:val="24"/>
              </w:rPr>
              <w:t>2、密封包装方式：</w:t>
            </w:r>
          </w:p>
          <w:p>
            <w:pPr>
              <w:spacing w:line="360" w:lineRule="auto"/>
              <w:ind w:firstLine="240" w:firstLineChars="100"/>
              <w:rPr>
                <w:rFonts w:ascii="宋体" w:hAnsi="宋体" w:cs="宋体"/>
                <w:sz w:val="24"/>
                <w:szCs w:val="24"/>
              </w:rPr>
            </w:pPr>
            <w:r>
              <w:rPr>
                <w:rFonts w:hint="eastAsia" w:ascii="宋体" w:hAnsi="宋体" w:cs="宋体"/>
                <w:sz w:val="24"/>
                <w:szCs w:val="24"/>
              </w:rPr>
              <w:t>（1）投标文件正本一包密封。</w:t>
            </w:r>
          </w:p>
          <w:p>
            <w:pPr>
              <w:spacing w:line="360" w:lineRule="auto"/>
              <w:ind w:firstLine="240" w:firstLineChars="100"/>
              <w:rPr>
                <w:rFonts w:ascii="宋体" w:hAnsi="宋体" w:cs="宋体"/>
                <w:sz w:val="24"/>
                <w:szCs w:val="24"/>
              </w:rPr>
            </w:pPr>
            <w:r>
              <w:rPr>
                <w:rFonts w:hint="eastAsia" w:ascii="宋体" w:hAnsi="宋体" w:cs="宋体"/>
                <w:sz w:val="24"/>
                <w:szCs w:val="24"/>
              </w:rPr>
              <w:t>（2）投标文件所有副本一包密封。</w:t>
            </w:r>
          </w:p>
          <w:p>
            <w:pPr>
              <w:spacing w:line="360" w:lineRule="auto"/>
              <w:ind w:firstLine="240" w:firstLineChars="100"/>
              <w:rPr>
                <w:rFonts w:ascii="宋体" w:hAnsi="宋体" w:cs="宋体"/>
                <w:sz w:val="24"/>
                <w:szCs w:val="24"/>
              </w:rPr>
            </w:pPr>
            <w:r>
              <w:rPr>
                <w:rFonts w:hint="eastAsia" w:ascii="宋体" w:hAnsi="宋体" w:cs="宋体"/>
                <w:sz w:val="24"/>
                <w:szCs w:val="24"/>
              </w:rPr>
              <w:t>（3）投标文件电子版一包密封</w:t>
            </w:r>
          </w:p>
          <w:p>
            <w:pPr>
              <w:spacing w:line="360" w:lineRule="auto"/>
              <w:ind w:firstLine="240" w:firstLineChars="100"/>
              <w:rPr>
                <w:rFonts w:ascii="宋体" w:hAnsi="宋体" w:cs="宋体"/>
                <w:sz w:val="24"/>
                <w:szCs w:val="24"/>
              </w:rPr>
            </w:pPr>
            <w:r>
              <w:rPr>
                <w:rFonts w:hint="eastAsia" w:ascii="宋体" w:hAnsi="宋体" w:cs="宋体"/>
                <w:sz w:val="24"/>
                <w:szCs w:val="24"/>
              </w:rPr>
              <w:t>（4）开标一览表一包密封。</w:t>
            </w:r>
          </w:p>
          <w:p>
            <w:pPr>
              <w:spacing w:line="360" w:lineRule="auto"/>
              <w:rPr>
                <w:rFonts w:ascii="宋体" w:hAnsi="宋体" w:cs="宋体"/>
                <w:sz w:val="24"/>
                <w:szCs w:val="24"/>
              </w:rPr>
            </w:pPr>
            <w:r>
              <w:rPr>
                <w:rFonts w:hint="eastAsia" w:ascii="宋体" w:hAnsi="宋体" w:cs="宋体"/>
                <w:sz w:val="24"/>
                <w:szCs w:val="24"/>
              </w:rPr>
              <w:t>3、外层包装请按以下要求标记：</w:t>
            </w:r>
          </w:p>
          <w:p>
            <w:pPr>
              <w:spacing w:line="360" w:lineRule="auto"/>
              <w:ind w:firstLine="360" w:firstLineChars="150"/>
              <w:rPr>
                <w:rFonts w:ascii="宋体" w:hAnsi="宋体" w:cs="宋体"/>
                <w:sz w:val="24"/>
                <w:szCs w:val="24"/>
              </w:rPr>
            </w:pPr>
            <w:r>
              <w:rPr>
                <w:rFonts w:hint="eastAsia" w:ascii="宋体" w:hAnsi="宋体" w:cs="宋体"/>
                <w:sz w:val="24"/>
                <w:szCs w:val="24"/>
              </w:rPr>
              <w:t>项目名称：</w:t>
            </w:r>
          </w:p>
          <w:p>
            <w:pPr>
              <w:spacing w:line="360" w:lineRule="auto"/>
              <w:ind w:firstLine="360" w:firstLineChars="150"/>
              <w:rPr>
                <w:rFonts w:ascii="宋体" w:hAnsi="宋体" w:cs="宋体"/>
                <w:sz w:val="24"/>
                <w:szCs w:val="24"/>
              </w:rPr>
            </w:pPr>
            <w:r>
              <w:rPr>
                <w:rFonts w:hint="eastAsia" w:ascii="宋体" w:hAnsi="宋体" w:cs="宋体"/>
                <w:sz w:val="24"/>
                <w:szCs w:val="24"/>
              </w:rPr>
              <w:t>项目编号、包号：</w:t>
            </w:r>
          </w:p>
          <w:p>
            <w:pPr>
              <w:spacing w:line="360" w:lineRule="auto"/>
              <w:ind w:firstLine="360" w:firstLineChars="150"/>
              <w:rPr>
                <w:rFonts w:ascii="宋体" w:hAnsi="宋体" w:cs="宋体"/>
                <w:sz w:val="24"/>
                <w:szCs w:val="24"/>
              </w:rPr>
            </w:pPr>
            <w:r>
              <w:rPr>
                <w:rFonts w:hint="eastAsia" w:ascii="宋体" w:hAnsi="宋体" w:cs="宋体"/>
                <w:sz w:val="24"/>
                <w:szCs w:val="24"/>
              </w:rPr>
              <w:t>投标人名称：</w:t>
            </w:r>
          </w:p>
          <w:p>
            <w:pPr>
              <w:spacing w:line="360" w:lineRule="auto"/>
              <w:ind w:firstLine="360" w:firstLineChars="150"/>
              <w:rPr>
                <w:rFonts w:ascii="宋体" w:hAnsi="宋体" w:cs="宋体"/>
                <w:sz w:val="24"/>
                <w:szCs w:val="24"/>
              </w:rPr>
            </w:pPr>
            <w:r>
              <w:rPr>
                <w:rFonts w:hint="eastAsia" w:ascii="宋体" w:hAnsi="宋体" w:cs="宋体"/>
                <w:sz w:val="24"/>
                <w:szCs w:val="24"/>
              </w:rPr>
              <w:t>内容：“正本”或“副本”或“开标一览表”“电子版”</w:t>
            </w:r>
          </w:p>
          <w:p>
            <w:pPr>
              <w:spacing w:line="360" w:lineRule="auto"/>
              <w:rPr>
                <w:rFonts w:ascii="宋体" w:hAnsi="宋体" w:cs="宋体"/>
                <w:sz w:val="24"/>
                <w:szCs w:val="24"/>
              </w:rPr>
            </w:pPr>
            <w:r>
              <w:rPr>
                <w:rFonts w:hint="eastAsia" w:ascii="宋体" w:hAnsi="宋体" w:cs="宋体"/>
                <w:sz w:val="24"/>
                <w:szCs w:val="24"/>
              </w:rPr>
              <w:t>投标文件在</w:t>
            </w:r>
            <w:r>
              <w:rPr>
                <w:rFonts w:hint="eastAsia" w:ascii="宋体" w:hAnsi="宋体" w:cs="宋体"/>
                <w:sz w:val="24"/>
                <w:szCs w:val="24"/>
                <w:u w:val="single"/>
              </w:rPr>
              <w:t xml:space="preserve"> 202</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4.2.2</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递交投标文件截止时间、地点</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时间：202</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28</w:t>
            </w:r>
            <w:r>
              <w:rPr>
                <w:rFonts w:hint="eastAsia" w:ascii="宋体" w:hAnsi="宋体" w:cs="宋体"/>
                <w:sz w:val="24"/>
                <w:szCs w:val="24"/>
              </w:rPr>
              <w:t xml:space="preserve"> 09:30:00</w:t>
            </w:r>
          </w:p>
          <w:p>
            <w:pPr>
              <w:spacing w:line="360" w:lineRule="auto"/>
              <w:rPr>
                <w:rFonts w:hint="default" w:ascii="宋体" w:hAnsi="宋体" w:cs="宋体"/>
                <w:sz w:val="24"/>
                <w:szCs w:val="24"/>
                <w:lang w:val="en-US"/>
              </w:rPr>
            </w:pPr>
            <w:r>
              <w:rPr>
                <w:rFonts w:hint="eastAsia" w:ascii="宋体" w:hAnsi="宋体" w:cs="宋体"/>
                <w:sz w:val="24"/>
                <w:szCs w:val="24"/>
              </w:rPr>
              <w:t>地点：</w:t>
            </w:r>
            <w:r>
              <w:rPr>
                <w:rFonts w:hint="eastAsia" w:ascii="宋体" w:hAnsi="宋体" w:cs="宋体"/>
                <w:sz w:val="24"/>
                <w:szCs w:val="24"/>
                <w:lang w:eastAsia="zh-CN"/>
              </w:rPr>
              <w:t>陕西省商南县幸福路口</w:t>
            </w:r>
            <w:r>
              <w:rPr>
                <w:rFonts w:hint="eastAsia" w:ascii="宋体" w:hAnsi="宋体" w:cs="宋体"/>
                <w:sz w:val="24"/>
                <w:szCs w:val="24"/>
                <w:lang w:val="en-US" w:eastAsia="zh-CN"/>
              </w:rPr>
              <w:t>46栋5楼会议室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4.2.3</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是否退还投标文件</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5.1</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开标时间和地点</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开标时间：202</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28</w:t>
            </w:r>
            <w:r>
              <w:rPr>
                <w:rFonts w:hint="eastAsia" w:ascii="宋体" w:hAnsi="宋体" w:cs="宋体"/>
                <w:sz w:val="24"/>
                <w:szCs w:val="24"/>
              </w:rPr>
              <w:t xml:space="preserve"> 09:30:00</w:t>
            </w:r>
          </w:p>
          <w:p>
            <w:pPr>
              <w:pStyle w:val="11"/>
              <w:spacing w:line="360" w:lineRule="auto"/>
            </w:pPr>
            <w:r>
              <w:rPr>
                <w:rFonts w:hint="eastAsia" w:ascii="宋体" w:hAnsi="宋体" w:cs="宋体"/>
                <w:sz w:val="24"/>
                <w:szCs w:val="24"/>
              </w:rPr>
              <w:t xml:space="preserve">开标地点: </w:t>
            </w:r>
            <w:r>
              <w:rPr>
                <w:rFonts w:hint="eastAsia" w:ascii="宋体" w:hAnsi="宋体" w:cs="宋体"/>
                <w:sz w:val="24"/>
                <w:szCs w:val="24"/>
                <w:lang w:eastAsia="zh-CN"/>
              </w:rPr>
              <w:t>陕西省商南县幸福路口</w:t>
            </w:r>
            <w:r>
              <w:rPr>
                <w:rFonts w:hint="eastAsia" w:ascii="宋体" w:hAnsi="宋体" w:cs="宋体"/>
                <w:sz w:val="24"/>
                <w:szCs w:val="24"/>
                <w:lang w:val="en-US" w:eastAsia="zh-CN"/>
              </w:rPr>
              <w:t>46栋5楼会议室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7.1</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是否授权评标委员会确定中标人</w:t>
            </w:r>
          </w:p>
        </w:tc>
        <w:tc>
          <w:tcPr>
            <w:tcW w:w="6053" w:type="dxa"/>
            <w:vAlign w:val="center"/>
          </w:tcPr>
          <w:p>
            <w:pPr>
              <w:spacing w:line="360" w:lineRule="auto"/>
              <w:rPr>
                <w:rFonts w:ascii="宋体" w:hAnsi="宋体" w:cs="宋体"/>
                <w:sz w:val="24"/>
                <w:szCs w:val="24"/>
              </w:rPr>
            </w:pPr>
            <w:r>
              <w:rPr>
                <w:rFonts w:hint="eastAsia" w:ascii="宋体" w:hAnsi="宋体" w:cs="宋体"/>
                <w:sz w:val="24"/>
                <w:szCs w:val="24"/>
              </w:rPr>
              <w:t>否,</w:t>
            </w:r>
            <w:bookmarkStart w:id="11" w:name="OLE_LINK6"/>
            <w:r>
              <w:rPr>
                <w:rFonts w:hint="eastAsia" w:ascii="宋体" w:hAnsi="宋体" w:cs="宋体"/>
                <w:sz w:val="24"/>
                <w:szCs w:val="24"/>
              </w:rPr>
              <w:t>每包推荐3名中标候选人</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pPr>
              <w:spacing w:line="360" w:lineRule="auto"/>
              <w:jc w:val="center"/>
              <w:rPr>
                <w:rFonts w:ascii="宋体" w:hAnsi="宋体" w:cs="宋体"/>
                <w:sz w:val="24"/>
                <w:szCs w:val="24"/>
              </w:rPr>
            </w:pPr>
            <w:r>
              <w:rPr>
                <w:rFonts w:hint="eastAsia" w:ascii="宋体" w:hAnsi="宋体" w:cs="宋体"/>
                <w:sz w:val="24"/>
                <w:szCs w:val="24"/>
              </w:rPr>
              <w:t>7.3.1</w:t>
            </w:r>
          </w:p>
        </w:tc>
        <w:tc>
          <w:tcPr>
            <w:tcW w:w="1966" w:type="dxa"/>
            <w:vAlign w:val="center"/>
          </w:tcPr>
          <w:p>
            <w:pPr>
              <w:spacing w:line="360" w:lineRule="auto"/>
              <w:jc w:val="center"/>
              <w:rPr>
                <w:rFonts w:ascii="宋体" w:hAnsi="宋体" w:cs="宋体"/>
                <w:sz w:val="24"/>
                <w:szCs w:val="24"/>
              </w:rPr>
            </w:pPr>
            <w:r>
              <w:rPr>
                <w:rFonts w:hint="eastAsia" w:ascii="宋体" w:hAnsi="宋体" w:cs="宋体"/>
                <w:sz w:val="24"/>
                <w:szCs w:val="24"/>
              </w:rPr>
              <w:t>履约担保</w:t>
            </w:r>
          </w:p>
        </w:tc>
        <w:tc>
          <w:tcPr>
            <w:tcW w:w="6053" w:type="dxa"/>
            <w:vAlign w:val="center"/>
          </w:tcPr>
          <w:p>
            <w:pPr>
              <w:spacing w:line="360" w:lineRule="auto"/>
              <w:rPr>
                <w:rFonts w:ascii="宋体" w:hAnsi="宋体" w:cs="宋体"/>
                <w:sz w:val="24"/>
                <w:szCs w:val="24"/>
              </w:rPr>
            </w:pPr>
            <w:bookmarkStart w:id="12" w:name="OLE_LINK97"/>
            <w:r>
              <w:rPr>
                <w:rFonts w:hint="eastAsia" w:ascii="宋体" w:hAnsi="宋体" w:cs="宋体"/>
                <w:sz w:val="24"/>
                <w:szCs w:val="24"/>
              </w:rPr>
              <w:t>履约保证金的形式：电汇、转账、支票</w:t>
            </w:r>
          </w:p>
          <w:bookmarkEnd w:id="12"/>
          <w:p>
            <w:pPr>
              <w:spacing w:line="360" w:lineRule="auto"/>
              <w:rPr>
                <w:rFonts w:ascii="宋体" w:hAnsi="宋体" w:cs="宋体"/>
                <w:sz w:val="24"/>
                <w:szCs w:val="24"/>
              </w:rPr>
            </w:pPr>
            <w:bookmarkStart w:id="13" w:name="OLE_LINK2"/>
            <w:r>
              <w:rPr>
                <w:rFonts w:hint="eastAsia" w:ascii="宋体" w:hAnsi="宋体" w:cs="宋体"/>
                <w:sz w:val="24"/>
                <w:szCs w:val="24"/>
              </w:rPr>
              <w:t>履约保证金</w:t>
            </w:r>
            <w:bookmarkEnd w:id="13"/>
            <w:r>
              <w:rPr>
                <w:rFonts w:hint="eastAsia" w:ascii="宋体" w:hAnsi="宋体" w:cs="宋体"/>
                <w:sz w:val="24"/>
                <w:szCs w:val="24"/>
              </w:rPr>
              <w:t>的金额：/</w:t>
            </w:r>
          </w:p>
          <w:p>
            <w:pPr>
              <w:spacing w:line="360" w:lineRule="auto"/>
              <w:rPr>
                <w:rFonts w:ascii="宋体" w:hAnsi="宋体" w:cs="宋体"/>
                <w:sz w:val="24"/>
                <w:szCs w:val="24"/>
              </w:rPr>
            </w:pPr>
            <w:bookmarkStart w:id="14" w:name="OLE_LINK98"/>
            <w:r>
              <w:rPr>
                <w:rFonts w:hint="eastAsia" w:ascii="宋体" w:hAnsi="宋体" w:cs="宋体"/>
                <w:sz w:val="24"/>
                <w:szCs w:val="24"/>
              </w:rPr>
              <w:t>履约保证金的退还：/</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pPr>
              <w:spacing w:line="360" w:lineRule="auto"/>
              <w:ind w:left="110" w:leftChars="52" w:hanging="1"/>
              <w:rPr>
                <w:rFonts w:ascii="宋体" w:hAnsi="宋体" w:cs="宋体"/>
                <w:sz w:val="24"/>
                <w:szCs w:val="24"/>
              </w:rPr>
            </w:pPr>
            <w:r>
              <w:rPr>
                <w:rFonts w:hint="eastAsia" w:ascii="宋体" w:hAnsi="宋体" w:cs="宋体"/>
                <w:sz w:val="24"/>
                <w:szCs w:val="24"/>
              </w:rPr>
              <w:t>10.1知识产权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pPr>
              <w:spacing w:line="360" w:lineRule="auto"/>
              <w:ind w:left="110" w:leftChars="52" w:hanging="1"/>
              <w:rPr>
                <w:rFonts w:ascii="宋体" w:hAnsi="宋体" w:cs="宋体"/>
                <w:sz w:val="24"/>
                <w:szCs w:val="24"/>
              </w:rPr>
            </w:pPr>
            <w:r>
              <w:rPr>
                <w:rFonts w:hint="eastAsia" w:ascii="宋体" w:hAnsi="宋体" w:cs="宋体"/>
                <w:sz w:val="24"/>
                <w:szCs w:val="24"/>
              </w:rPr>
              <w:t>构成本招标文件各个组成部分的文件，未经采购人书面同意，投标人不得擅自复印和用于非本招标项目所需的其他目的。采购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pPr>
              <w:spacing w:line="360" w:lineRule="auto"/>
              <w:ind w:left="110" w:leftChars="52" w:hanging="1"/>
              <w:rPr>
                <w:rFonts w:ascii="宋体" w:hAnsi="宋体" w:cs="宋体"/>
                <w:sz w:val="24"/>
                <w:szCs w:val="24"/>
              </w:rPr>
            </w:pPr>
            <w:r>
              <w:rPr>
                <w:rFonts w:hint="eastAsia" w:ascii="宋体" w:hAnsi="宋体" w:cs="宋体"/>
                <w:sz w:val="24"/>
                <w:szCs w:val="24"/>
              </w:rPr>
              <w:t>10.2重新招标的其他情形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pPr>
              <w:spacing w:line="360" w:lineRule="auto"/>
              <w:ind w:left="110" w:leftChars="52" w:hanging="1"/>
              <w:rPr>
                <w:rFonts w:ascii="宋体" w:hAnsi="宋体" w:cs="宋体"/>
                <w:sz w:val="24"/>
                <w:szCs w:val="24"/>
              </w:rPr>
            </w:pPr>
            <w:r>
              <w:rPr>
                <w:rFonts w:hint="eastAsia" w:ascii="宋体" w:hAnsi="宋体" w:cs="宋体"/>
                <w:sz w:val="24"/>
                <w:szCs w:val="24"/>
              </w:rPr>
              <w:t>除投标人须知正文第8条规定的情形外，除非已经产生中标候选人，在投标有效期内同意延长投标有效期的投标人少于三个的，采购人应当依法重新招标。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pPr>
              <w:spacing w:line="360" w:lineRule="auto"/>
              <w:ind w:left="110" w:leftChars="52" w:hanging="1"/>
              <w:rPr>
                <w:rFonts w:ascii="宋体" w:hAnsi="宋体" w:cs="宋体"/>
                <w:sz w:val="24"/>
                <w:szCs w:val="24"/>
              </w:rPr>
            </w:pPr>
            <w:r>
              <w:rPr>
                <w:rFonts w:hint="eastAsia" w:ascii="宋体" w:hAnsi="宋体" w:cs="宋体"/>
                <w:sz w:val="24"/>
                <w:szCs w:val="24"/>
              </w:rPr>
              <w:t>10.3同义词语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04" w:type="dxa"/>
            <w:gridSpan w:val="3"/>
            <w:vAlign w:val="center"/>
          </w:tcPr>
          <w:p>
            <w:pPr>
              <w:spacing w:line="360" w:lineRule="auto"/>
              <w:ind w:left="110" w:leftChars="52" w:hanging="1"/>
              <w:rPr>
                <w:rFonts w:ascii="宋体" w:hAnsi="宋体" w:cs="宋体"/>
                <w:sz w:val="24"/>
                <w:szCs w:val="24"/>
              </w:rPr>
            </w:pPr>
            <w:r>
              <w:rPr>
                <w:rFonts w:hint="eastAsia" w:ascii="宋体" w:hAnsi="宋体" w:cs="宋体"/>
                <w:sz w:val="24"/>
                <w:szCs w:val="24"/>
              </w:rPr>
              <w:t>构成招标文件组成部分的“通用合同条款”、“专用合同条款”、“技术标准和要求”等章节中出现的措辞“发包人”和“承包人”，在招标投标阶段应当分别按“</w:t>
            </w:r>
            <w:r>
              <w:rPr>
                <w:rFonts w:hint="eastAsia" w:asciiTheme="minorEastAsia" w:hAnsiTheme="minorEastAsia" w:eastAsiaTheme="minorEastAsia" w:cstheme="minorEastAsia"/>
                <w:sz w:val="24"/>
                <w:szCs w:val="24"/>
              </w:rPr>
              <w:t>采购人</w:t>
            </w:r>
            <w:r>
              <w:rPr>
                <w:rFonts w:hint="eastAsia" w:ascii="宋体" w:hAnsi="宋体" w:cs="宋体"/>
                <w:sz w:val="24"/>
                <w:szCs w:val="24"/>
              </w:rPr>
              <w:t>”和“投标人”进行理解。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004" w:type="dxa"/>
            <w:gridSpan w:val="3"/>
            <w:vAlign w:val="center"/>
          </w:tcPr>
          <w:p>
            <w:pPr>
              <w:spacing w:line="360" w:lineRule="auto"/>
              <w:ind w:left="68" w:leftChars="-2" w:hanging="72" w:hangingChars="30"/>
              <w:rPr>
                <w:rFonts w:ascii="宋体" w:hAnsi="宋体" w:cs="宋体"/>
                <w:sz w:val="24"/>
                <w:szCs w:val="24"/>
              </w:rPr>
            </w:pPr>
            <w:r>
              <w:rPr>
                <w:rFonts w:hint="eastAsia" w:ascii="宋体" w:hAnsi="宋体" w:cs="宋体"/>
                <w:sz w:val="24"/>
                <w:szCs w:val="24"/>
              </w:rPr>
              <w:t>10.4解释权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9004" w:type="dxa"/>
            <w:gridSpan w:val="3"/>
            <w:vAlign w:val="center"/>
          </w:tcPr>
          <w:p>
            <w:pPr>
              <w:spacing w:line="360" w:lineRule="auto"/>
              <w:ind w:left="68" w:leftChars="-2" w:hanging="72" w:hangingChars="30"/>
              <w:rPr>
                <w:rFonts w:ascii="宋体" w:hAnsi="宋体" w:cs="宋体"/>
                <w:sz w:val="24"/>
                <w:szCs w:val="24"/>
              </w:rPr>
            </w:pPr>
            <w:r>
              <w:rPr>
                <w:rFonts w:hint="eastAsia" w:ascii="宋体" w:hAnsi="宋体" w:cs="宋体"/>
                <w:sz w:val="24"/>
                <w:szCs w:val="24"/>
              </w:rPr>
              <w:t>本招标文件由采购人和采购代理机构负责解释。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exact"/>
          <w:jc w:val="center"/>
        </w:trPr>
        <w:tc>
          <w:tcPr>
            <w:tcW w:w="9004" w:type="dxa"/>
            <w:gridSpan w:val="3"/>
            <w:vAlign w:val="center"/>
          </w:tcPr>
          <w:p>
            <w:pPr>
              <w:spacing w:line="500" w:lineRule="exact"/>
              <w:rPr>
                <w:rFonts w:ascii="宋体" w:hAnsi="宋体" w:cs="宋体"/>
                <w:b/>
                <w:bCs/>
                <w:sz w:val="24"/>
                <w:szCs w:val="24"/>
              </w:rPr>
            </w:pPr>
            <w:r>
              <w:rPr>
                <w:rFonts w:hint="eastAsia" w:ascii="宋体" w:hAnsi="宋体" w:cs="宋体"/>
                <w:b/>
                <w:bCs/>
                <w:sz w:val="24"/>
                <w:szCs w:val="24"/>
              </w:rPr>
              <w:t>备注：供应商注册登记提醒：</w:t>
            </w:r>
          </w:p>
          <w:p>
            <w:pPr>
              <w:spacing w:line="360" w:lineRule="auto"/>
              <w:ind w:left="68" w:leftChars="-2" w:hanging="72" w:hangingChars="30"/>
              <w:jc w:val="left"/>
              <w:rPr>
                <w:rFonts w:ascii="宋体" w:hAnsi="宋体" w:cs="宋体"/>
                <w:sz w:val="24"/>
                <w:szCs w:val="24"/>
              </w:rPr>
            </w:pPr>
            <w:r>
              <w:rPr>
                <w:rFonts w:hint="eastAsia" w:ascii="宋体" w:hAnsi="宋体" w:cs="宋体"/>
                <w:b/>
                <w:bCs/>
                <w:sz w:val="24"/>
                <w:szCs w:val="24"/>
              </w:rPr>
              <w:t>根据陕西省财政厅关于政府采购供应商注册登记有关事项的通知，如所投本项目的供应商未在陕西省政府采购网（</w:t>
            </w:r>
            <w:r>
              <w:fldChar w:fldCharType="begin"/>
            </w:r>
            <w:r>
              <w:instrText xml:space="preserve"> HYPERLINK "http://www.ccgp-shaanxi.gov.cn/information/informationDetail.do?informationguid=8a85be3567ed23460167ed36804d0009" </w:instrText>
            </w:r>
            <w:r>
              <w:fldChar w:fldCharType="separate"/>
            </w:r>
            <w:r>
              <w:rPr>
                <w:rFonts w:hint="eastAsia" w:ascii="宋体" w:hAnsi="宋体" w:cs="宋体"/>
                <w:b/>
                <w:bCs/>
                <w:sz w:val="24"/>
                <w:szCs w:val="24"/>
              </w:rPr>
              <w:t>http://www.ccgp-shaanxi.gov.cn/information/informationDetail.do?informationguid=8a85be3567ed23460167ed36804d0009</w:t>
            </w:r>
            <w:r>
              <w:rPr>
                <w:rFonts w:hint="eastAsia" w:ascii="宋体" w:hAnsi="宋体" w:cs="宋体"/>
                <w:b/>
                <w:bCs/>
                <w:sz w:val="24"/>
                <w:szCs w:val="24"/>
              </w:rPr>
              <w:fldChar w:fldCharType="end"/>
            </w:r>
            <w:r>
              <w:rPr>
                <w:rFonts w:hint="eastAsia" w:ascii="宋体" w:hAnsi="宋体" w:cs="宋体"/>
                <w:b/>
                <w:bCs/>
                <w:sz w:val="24"/>
                <w:szCs w:val="24"/>
              </w:rPr>
              <w:t>）注册登记加入陕西省政府采购供应商库的，应按要求及时办理注册登记，并接受财政部门监督管理。</w:t>
            </w:r>
          </w:p>
        </w:tc>
      </w:tr>
    </w:tbl>
    <w:p>
      <w:pPr>
        <w:rPr>
          <w:rFonts w:asciiTheme="minorEastAsia" w:hAnsiTheme="minorEastAsia" w:eastAsiaTheme="minorEastAsia" w:cstheme="minorEastAsia"/>
          <w:sz w:val="30"/>
          <w:szCs w:val="30"/>
        </w:rPr>
      </w:pPr>
      <w:bookmarkStart w:id="15" w:name="_Toc363474017"/>
      <w:bookmarkStart w:id="16" w:name="_Toc403077639"/>
      <w:bookmarkStart w:id="17" w:name="_Toc363473972"/>
      <w:bookmarkStart w:id="18" w:name="_Toc29568"/>
      <w:bookmarkStart w:id="19" w:name="_Toc8072"/>
      <w:r>
        <w:rPr>
          <w:rFonts w:hint="eastAsia" w:asciiTheme="minorEastAsia" w:hAnsiTheme="minorEastAsia" w:eastAsiaTheme="minorEastAsia" w:cstheme="minorEastAsia"/>
          <w:sz w:val="30"/>
          <w:szCs w:val="30"/>
        </w:rPr>
        <w:br w:type="page"/>
      </w:r>
    </w:p>
    <w:bookmarkEnd w:id="15"/>
    <w:bookmarkEnd w:id="16"/>
    <w:bookmarkEnd w:id="17"/>
    <w:p>
      <w:pPr>
        <w:jc w:val="center"/>
        <w:rPr>
          <w:rFonts w:asciiTheme="minorEastAsia" w:hAnsiTheme="minorEastAsia" w:eastAsiaTheme="minorEastAsia" w:cstheme="minorEastAsia"/>
        </w:rPr>
      </w:pPr>
      <w:r>
        <w:rPr>
          <w:rFonts w:hint="eastAsia"/>
          <w:b/>
          <w:bCs/>
          <w:sz w:val="28"/>
          <w:szCs w:val="28"/>
        </w:rPr>
        <w:t>投标人须知</w:t>
      </w:r>
      <w:bookmarkEnd w:id="18"/>
      <w:bookmarkEnd w:id="19"/>
    </w:p>
    <w:p>
      <w:pPr>
        <w:spacing w:before="120" w:beforeLines="50" w:after="120" w:afterLines="50" w:line="360" w:lineRule="auto"/>
        <w:rPr>
          <w:rFonts w:asciiTheme="minorEastAsia" w:hAnsiTheme="minorEastAsia" w:eastAsiaTheme="minorEastAsia" w:cstheme="minorEastAsia"/>
          <w:b/>
          <w:bCs/>
          <w:sz w:val="24"/>
          <w:szCs w:val="24"/>
        </w:rPr>
      </w:pPr>
      <w:bookmarkStart w:id="20" w:name="_Toc421778365"/>
      <w:bookmarkStart w:id="21" w:name="_Toc420591643"/>
      <w:bookmarkStart w:id="22" w:name="_Toc425240464"/>
      <w:r>
        <w:rPr>
          <w:rFonts w:hint="eastAsia" w:asciiTheme="minorEastAsia" w:hAnsiTheme="minorEastAsia" w:eastAsiaTheme="minorEastAsia" w:cstheme="minorEastAsia"/>
          <w:b/>
          <w:bCs/>
          <w:sz w:val="24"/>
          <w:szCs w:val="24"/>
        </w:rPr>
        <w:t>1</w:t>
      </w:r>
      <w:bookmarkEnd w:id="20"/>
      <w:bookmarkEnd w:id="21"/>
      <w:bookmarkEnd w:id="22"/>
      <w:r>
        <w:rPr>
          <w:rFonts w:hint="eastAsia" w:asciiTheme="minorEastAsia" w:hAnsiTheme="minorEastAsia" w:eastAsiaTheme="minorEastAsia" w:cstheme="minorEastAsia"/>
          <w:b/>
          <w:bCs/>
          <w:sz w:val="24"/>
          <w:szCs w:val="24"/>
        </w:rPr>
        <w:t>．总则</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 项目概况</w:t>
      </w:r>
    </w:p>
    <w:p>
      <w:pPr>
        <w:pStyle w:val="1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根据《中华人民共和国政府采购法》、《中华人民共和国招标投标法》等有关法律、法规和规章的规定，本招标项目己具备招标条件，现对本招标项目施工进行招标。</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本招标项目采购人：见投标人须知前附表。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本招标项目采购代理机构：见投标人须知前附表。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1.1.4本招标项目名称：见投标人须知前附表。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1.1.5本招标项目</w:t>
      </w:r>
      <w:r>
        <w:rPr>
          <w:rFonts w:hint="eastAsia" w:asciiTheme="minorEastAsia" w:hAnsiTheme="minorEastAsia" w:eastAsiaTheme="minorEastAsia" w:cstheme="minorEastAsia"/>
          <w:sz w:val="24"/>
          <w:szCs w:val="24"/>
          <w:lang w:eastAsia="zh-CN"/>
        </w:rPr>
        <w:t>作业区域及内容</w:t>
      </w:r>
      <w:r>
        <w:rPr>
          <w:rFonts w:hint="eastAsia" w:asciiTheme="minorEastAsia" w:hAnsiTheme="minorEastAsia" w:eastAsiaTheme="minorEastAsia" w:cstheme="minorEastAsia"/>
          <w:sz w:val="24"/>
          <w:szCs w:val="24"/>
        </w:rPr>
        <w:t>：见投标人须知前附表。</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 资金来源和落实情况</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本招标项目的资金来源：见投标人须知前附表。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本招标项目的资金落实情况：见投标人须知前附表。</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 招标范围、计划工期和质量要求</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 本次招标范围：见投标人须知前附表。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 本招标项目的计划工期：</w:t>
      </w:r>
      <w:bookmarkStart w:id="23" w:name="OLE_LINK8"/>
      <w:r>
        <w:rPr>
          <w:rFonts w:hint="eastAsia" w:asciiTheme="minorEastAsia" w:hAnsiTheme="minorEastAsia" w:eastAsiaTheme="minorEastAsia" w:cstheme="minorEastAsia"/>
          <w:sz w:val="24"/>
          <w:szCs w:val="24"/>
        </w:rPr>
        <w:t>见投标人须知前附表。</w:t>
      </w:r>
      <w:bookmarkEnd w:id="23"/>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本招标项目的质量要求：见投标人须知前附表。</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 投标人资格要求及招标文件发售时间</w:t>
      </w:r>
    </w:p>
    <w:p>
      <w:pPr>
        <w:pStyle w:val="1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1.4.1资格审查条件：见投标人须知前附表。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1.4.2招标文件发售时间：见投标人须知前附表。</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1.5 费用承担</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投标人准备和参加投标活动发生的费用自理。</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 保密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参与招标投标活动的各方应对招标文件和投标文件中的商业和技术等秘密保密，违者应对由此造成的后果承担法律责任。</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1.7 语言文字</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除专用术语外，与招标投标有关的语言均使用中文。必要时专用术语应附有中文注释。</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1.8 计量单位</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1.9 踏勘现场</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1.9.1见投标人须知前附表。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 投标人踏勘现场发生的费用自理，并自行负责在踏勘现场中所发生的人员伤亡和财产损失。</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 投标人应对工程现场及周围环境进行踏勘，充分了解现场环境、总体布置情况、工程地形地貌、工程现场道路、工程储存空间、运输、装卸等限制条件及其它任何足以影响投标报价的情况，以便各投标人获取须自主考虑的有关投标文件编制和合同签署所需的相关资料和数据，任何因忽视或误解工地情况而导致的索赔或工期延长申请将不获批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1.9.4 采购人在踏勘现场中介绍的工程场地和相关的周边环境情况，供投标人在编制投标文件时参考，采购人不对投标人据此作出的判断和决策负责。</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1.10 投标答疑会</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不召开；若有疑问，均应在购买招标文件后7个工作日内以书面形式向采购代理机构提出。</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1.11 分包</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1.12 偏离</w:t>
      </w:r>
    </w:p>
    <w:p>
      <w:pPr>
        <w:spacing w:before="120" w:beforeLines="50" w:after="120" w:afterLines="50" w:line="360" w:lineRule="auto"/>
        <w:ind w:firstLine="480" w:firstLineChars="200"/>
        <w:rPr>
          <w:rFonts w:asciiTheme="minorEastAsia" w:hAnsiTheme="minorEastAsia" w:eastAsiaTheme="minorEastAsia" w:cstheme="minorEastAsia"/>
          <w:sz w:val="24"/>
          <w:szCs w:val="24"/>
        </w:rPr>
      </w:pPr>
      <w:bookmarkStart w:id="24" w:name="_Toc420591644"/>
      <w:bookmarkStart w:id="25" w:name="_Toc421778366"/>
      <w:bookmarkStart w:id="26" w:name="_Toc425240465"/>
      <w:r>
        <w:rPr>
          <w:rFonts w:hint="eastAsia" w:asciiTheme="minorEastAsia" w:hAnsiTheme="minorEastAsia" w:eastAsiaTheme="minorEastAsia" w:cstheme="minorEastAsia"/>
          <w:sz w:val="24"/>
          <w:szCs w:val="24"/>
        </w:rPr>
        <w:t>不满足评标办法中初步评审标准的，视为发生重大偏离，其投标被否决。其余偏离视为细微偏离，评标委员会将通过澄清方式对细微偏离进行澄清或修改。</w:t>
      </w:r>
    </w:p>
    <w:p>
      <w:pPr>
        <w:spacing w:before="120" w:beforeLines="50" w:after="120" w:afterLines="50"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2．招标文件</w:t>
      </w:r>
      <w:bookmarkEnd w:id="24"/>
      <w:bookmarkEnd w:id="25"/>
      <w:bookmarkEnd w:id="26"/>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2.1 招标文件的组成</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本招标文件包括：</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(1）招标公告；</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(2）投标人须知前附表及投标人须知；</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(3）评标办法；</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(4）合同条款及格式；</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(5）项目概况及技术要求;</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(6）投标文件格式。</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根据本章第1.10 款、第2.2 款对招标文件所作的澄清、修改，构成招标文件的组成部分。</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2.2 招标文件的澄清及修改</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2.2.1在投标文件递交截止时间三个工作日前，采购代理机构可以视采购具体情况，延长投标截止时间和开标时间并在财政部门指定的媒体上发布变更公告，同时将变更时间书面通知所有招标文件收受人。</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采购代理机构如果对已发出的招标文件进行修改，将在招标文件要求提交投标文件截止时间十五日前，在发布招标公告的财政部门指定媒体上发布更正公告，并以书面形式通知所有招标文件收受人。该澄清或者修改的内容为招标文件的组成部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2.2.3已经购买招标文件的投标人对招标文件有疑问的，均应在购买招标文件后7个工作日内以书面形式向采购代理机构提出。采购代理机构视情况必要时将书面答复传送给所有招标文件收受人。</w:t>
      </w:r>
    </w:p>
    <w:p>
      <w:pPr>
        <w:spacing w:line="360" w:lineRule="auto"/>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2.2.4投标人在收到上述通知后，应立即向采购代理机构回函确认。</w:t>
      </w:r>
    </w:p>
    <w:p>
      <w:pPr>
        <w:spacing w:before="120" w:beforeLines="50" w:after="120" w:afterLines="50" w:line="360" w:lineRule="auto"/>
        <w:rPr>
          <w:rFonts w:asciiTheme="minorEastAsia" w:hAnsiTheme="minorEastAsia" w:eastAsiaTheme="minorEastAsia" w:cstheme="minorEastAsia"/>
          <w:b/>
          <w:bCs/>
          <w:sz w:val="24"/>
          <w:szCs w:val="24"/>
        </w:rPr>
      </w:pPr>
      <w:bookmarkStart w:id="27" w:name="_Toc421778367"/>
      <w:bookmarkStart w:id="28" w:name="_Toc420591645"/>
      <w:bookmarkStart w:id="29" w:name="_Toc425240466"/>
      <w:r>
        <w:rPr>
          <w:rFonts w:hint="eastAsia" w:asciiTheme="minorEastAsia" w:hAnsiTheme="minorEastAsia" w:eastAsiaTheme="minorEastAsia" w:cstheme="minorEastAsia"/>
          <w:b/>
          <w:bCs/>
          <w:sz w:val="24"/>
          <w:szCs w:val="24"/>
        </w:rPr>
        <w:t>3．投标文件</w:t>
      </w:r>
      <w:bookmarkEnd w:id="27"/>
      <w:bookmarkEnd w:id="28"/>
      <w:bookmarkEnd w:id="29"/>
    </w:p>
    <w:p>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3.1. 投标语言和投标货币</w:t>
      </w:r>
    </w:p>
    <w:p>
      <w:pPr>
        <w:spacing w:line="360" w:lineRule="auto"/>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3.1.1投标人提交的投标文件以及投标人与采购代理机构就有关投标的所有来往函电均应使用中文。</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3.1.2投标应以人民币报价。任何包含非人民币报价的投标将按无效投标处理。</w:t>
      </w:r>
    </w:p>
    <w:p>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3.2.投标文件的构成</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投标人提交的投标文件应包含下列部分的内容：</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1）按照投标人须知的要求和招标文件规定格式填写的投标函、开标一览表、法定代表人授权委托书。</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2）按照招标文件的要求编制的投标方案说明书。</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3）按照招标文件投标人须知前附表的要求提交的资格证明文件。</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4）按照本须知第3.6条要求提交的投标保证金。</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5）招标文件中要求的其他证明文件。</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如果在招标文件中没有允许提供备选方案，则每个投标人只允许提交一个投标方案，否则，其投标将被作无效响应处理。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本次投标的最小单元为“包”</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kern w:val="0"/>
          <w:sz w:val="24"/>
          <w:szCs w:val="24"/>
        </w:rPr>
        <w:t>可根据自身的资质情况和经营范围对本次项目进行投标，不得将其子目再行分解或进行不完全投标，任何不完全的响应将会被拒绝。</w:t>
      </w:r>
    </w:p>
    <w:p>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3.3.投标文件格式</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投标人应按照招标文件中第六章“投标文件构成及格式”所提供的格式和要求制作投标文件，明确表达投标意愿，详细说明投标方案、承诺及价格。</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3.3.2按招标文件第六章提供的格式和要求编写其投标文件，投标人不得缺少或留空任何招标文件要求填写的表格或提交的资料。</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3.4 投标报价</w:t>
      </w:r>
    </w:p>
    <w:p>
      <w:pPr>
        <w:spacing w:line="360" w:lineRule="auto"/>
        <w:ind w:firstLine="496" w:firstLineChars="207"/>
        <w:rPr>
          <w:rFonts w:ascii="宋体" w:hAnsi="宋体" w:cs="宋体"/>
          <w:sz w:val="24"/>
          <w:szCs w:val="24"/>
        </w:rPr>
      </w:pPr>
      <w:r>
        <w:rPr>
          <w:rFonts w:hint="eastAsia" w:ascii="宋体" w:hAnsi="宋体" w:cs="宋体"/>
          <w:sz w:val="24"/>
          <w:szCs w:val="24"/>
        </w:rPr>
        <w:t>3.4.1以中标固定总价为依据签订合同。</w:t>
      </w:r>
    </w:p>
    <w:p>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2</w:t>
      </w:r>
      <w:bookmarkStart w:id="30" w:name="OLE_LINK44"/>
      <w:r>
        <w:rPr>
          <w:rFonts w:hint="eastAsia" w:ascii="宋体" w:hAnsi="宋体" w:cs="宋体"/>
          <w:sz w:val="24"/>
          <w:szCs w:val="24"/>
        </w:rPr>
        <w:t>本工程投标组价时应妥善考虑，正式施工时固定总价不因国家法律、行政法规和国家政策变化及原材料市场价发生变化等进行调整。</w:t>
      </w:r>
    </w:p>
    <w:bookmarkEnd w:id="30"/>
    <w:p>
      <w:pPr>
        <w:spacing w:line="360" w:lineRule="auto"/>
        <w:ind w:firstLine="480" w:firstLineChars="200"/>
        <w:rPr>
          <w:rFonts w:ascii="宋体"/>
          <w:sz w:val="24"/>
          <w:szCs w:val="24"/>
        </w:rPr>
      </w:pPr>
      <w:r>
        <w:rPr>
          <w:rFonts w:ascii="宋体" w:hAnsi="宋体" w:cs="宋体"/>
          <w:sz w:val="24"/>
          <w:szCs w:val="24"/>
        </w:rPr>
        <w:t>3.4.3</w:t>
      </w:r>
      <w:r>
        <w:rPr>
          <w:rFonts w:hint="eastAsia" w:ascii="宋体" w:hAnsi="宋体" w:cs="宋体"/>
          <w:sz w:val="24"/>
          <w:szCs w:val="24"/>
        </w:rPr>
        <w:t>投标人应先到工地踏勘以充分了解工地位置、情况、道路、储存空间、装卸限制及任何其他足以影响投标价的情况，任何因投标人忽视或误解工地情况而导致的其提出的任何索赔或工期延长申请将不被批准。凡因投标人对招标文件阅读疏忽或误解，或因对施工现场、施工环境、市场行情等了解不清而造成的后果和风险，均由投标人负责。</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编制投标报价的其他约定</w:t>
      </w:r>
    </w:p>
    <w:p>
      <w:pPr>
        <w:spacing w:line="360" w:lineRule="auto"/>
        <w:ind w:firstLine="480" w:firstLineChars="200"/>
        <w:rPr>
          <w:rFonts w:asciiTheme="minorEastAsia" w:hAnsiTheme="minorEastAsia" w:eastAsiaTheme="minorEastAsia" w:cstheme="minorEastAsia"/>
          <w:sz w:val="24"/>
          <w:szCs w:val="24"/>
        </w:rPr>
      </w:pPr>
      <w:bookmarkStart w:id="31" w:name="OLE_LINK21"/>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bookmarkEnd w:id="31"/>
      <w:r>
        <w:rPr>
          <w:rFonts w:hint="eastAsia" w:asciiTheme="minorEastAsia" w:hAnsiTheme="minorEastAsia" w:eastAsiaTheme="minorEastAsia" w:cstheme="minorEastAsia"/>
          <w:sz w:val="24"/>
          <w:szCs w:val="24"/>
        </w:rPr>
        <w:t>1投标人根据自行确定的施工组织设计或施工方案进行自主报价。投标总价包含修枝割灌除草综合抚育及其他一切费用；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.2投标人应针对拟建工程编制保证安全施工、文明施工和环境保护的技术措施方案。</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.3投标人因承包本合同工程需缴纳的一切税费均由投标人承担，并包含在所报的单价或总额价内。</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4投标人应为建设工程和施工场地内自有人员及第三方人员生命财产及运至施工场地内用于工程的材料办理保险，投标人的投标价中应含的保险费，承包人装备险和承包人职工的（人身）事故险由投标人在其他项目清单保险费栏内自主列报，中标后包干使用。施工期间在施工区域内因非采购人原因发生的设备、材料、人员等的损害、伤害，采购人不再承担任何责任和费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.5投标报价中的总价要与综合单价相对应。</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6投标函中的投标报价应与“投标总价”表中的投标总价数字相符，不允许在投标文件中出现两个报价。任何有选择的报价将不予接受，如“若我方中标，愿在中标价基础上再优惠或下浮多少”等类似报价方法,否则按无效投标处理。</w:t>
      </w:r>
      <w:bookmarkStart w:id="32" w:name="OLE_LINK20"/>
      <w:bookmarkStart w:id="33" w:name="OLE_LINK74"/>
      <w:bookmarkStart w:id="34" w:name="OLE_LINK64"/>
      <w:bookmarkStart w:id="35" w:name="OLE_LINK114"/>
      <w:bookmarkStart w:id="36" w:name="OLE_LINK63"/>
      <w:bookmarkStart w:id="37" w:name="OLE_LINK113"/>
    </w:p>
    <w:bookmarkEnd w:id="32"/>
    <w:bookmarkEnd w:id="33"/>
    <w:bookmarkEnd w:id="34"/>
    <w:bookmarkEnd w:id="35"/>
    <w:bookmarkEnd w:id="36"/>
    <w:bookmarkEnd w:id="37"/>
    <w:p>
      <w:pPr>
        <w:spacing w:line="360" w:lineRule="auto"/>
        <w:ind w:firstLine="480" w:firstLineChars="200"/>
        <w:rPr>
          <w:rFonts w:ascii="宋体" w:hAnsi="宋体" w:cs="宋体"/>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7服务费收费标准：按国家计委颁发的《招标代理服务收费管理暂行办法》（计价格[2002]1980号）和国家发展改革委员会办公厅颁发的《关于招标代理服务收费有关问题的通知》（发改办价格[2003]857号）的有关标准执行，</w:t>
      </w:r>
      <w:r>
        <w:rPr>
          <w:rFonts w:hint="eastAsia" w:ascii="宋体" w:hAnsi="宋体" w:cs="宋体"/>
          <w:sz w:val="24"/>
          <w:szCs w:val="24"/>
        </w:rPr>
        <w:t>不足5000元</w:t>
      </w:r>
      <w:r>
        <w:rPr>
          <w:rFonts w:ascii="宋体" w:hAnsi="宋体" w:cs="宋体"/>
          <w:sz w:val="24"/>
          <w:szCs w:val="24"/>
        </w:rPr>
        <w:t>按</w:t>
      </w:r>
      <w:r>
        <w:rPr>
          <w:rFonts w:hint="eastAsia" w:ascii="宋体" w:hAnsi="宋体" w:cs="宋体"/>
          <w:sz w:val="24"/>
          <w:szCs w:val="24"/>
        </w:rPr>
        <w:t>5000元</w:t>
      </w:r>
      <w:r>
        <w:rPr>
          <w:rFonts w:ascii="宋体" w:hAnsi="宋体" w:cs="宋体"/>
          <w:sz w:val="24"/>
          <w:szCs w:val="24"/>
        </w:rPr>
        <w:t>收取。</w:t>
      </w:r>
      <w:r>
        <w:rPr>
          <w:rFonts w:hint="eastAsia" w:ascii="宋体" w:hAnsi="宋体" w:cs="宋体"/>
          <w:sz w:val="24"/>
          <w:szCs w:val="24"/>
        </w:rPr>
        <w:t>代理服务费由中标单位承担，中标单位在领取中标通知书前，须向采购代理机构一次性支付招标代理服务费。</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rPr>
        <w:t>.</w:t>
      </w:r>
      <w:r>
        <w:rPr>
          <w:rFonts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rPr>
        <w:t>本项目招标最高限价即采购预算。</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rPr>
        <w:t>投标有效期</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.1 在投标人须知前附表规定的投标有效期内，投标人不得要求撤销或修改其投标文件。</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.2 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asciiTheme="minorEastAsia" w:hAnsiTheme="minorEastAsia" w:eastAsiaTheme="minorEastAsia" w:cstheme="minorEastAsia"/>
          <w:b/>
          <w:bCs/>
          <w:sz w:val="24"/>
          <w:szCs w:val="24"/>
        </w:rPr>
        <w:t>6</w:t>
      </w:r>
      <w:r>
        <w:rPr>
          <w:rFonts w:hint="eastAsia" w:asciiTheme="minorEastAsia" w:hAnsiTheme="minorEastAsia" w:eastAsiaTheme="minorEastAsia" w:cstheme="minorEastAsia"/>
          <w:b/>
          <w:bCs/>
          <w:sz w:val="24"/>
          <w:szCs w:val="24"/>
        </w:rPr>
        <w:t>投标保证金</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.1投标人在投标时应向</w:t>
      </w:r>
      <w:r>
        <w:rPr>
          <w:rFonts w:hint="eastAsia" w:asciiTheme="minorEastAsia" w:hAnsiTheme="minorEastAsia" w:eastAsiaTheme="minorEastAsia" w:cstheme="minorEastAsia"/>
          <w:b/>
          <w:bCs/>
          <w:sz w:val="24"/>
          <w:szCs w:val="24"/>
          <w:lang w:eastAsia="zh-CN"/>
        </w:rPr>
        <w:t>西安天合建设项目管理有限公司商南分公司</w:t>
      </w:r>
      <w:r>
        <w:rPr>
          <w:rFonts w:hint="eastAsia" w:asciiTheme="minorEastAsia" w:hAnsiTheme="minorEastAsia" w:eastAsiaTheme="minorEastAsia" w:cstheme="minorEastAsia"/>
          <w:sz w:val="24"/>
          <w:szCs w:val="24"/>
        </w:rPr>
        <w:t>提交“投标人须知前附表”规定数额的投标保证金,并作为其投标的一部分。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.2投标保证金是为了保护采购人和采购代理机构免遭因投标人的行为而蒙受损失。采购人和采购代理机构在因投标人的行为受到损害时可根据本须知的规定第3.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条没收投标人的投标保证金。</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.3投标保证金的缴纳形式：转账、电汇、担保机构保函</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.4投标保证金必须按照招标文件“投标人须知前附表”中规定的缴纳金额及方式办理。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.5开标后经审查，未提交投标保证金、未按时间提交投标保证金、投标保证金金额不足或投标保证金缴纳凭证未附在投标文件内的投标将按无效投标处理。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.6未中标人的投标保证金，将在中标通知书发出后五个工作日内退还；中标人的投标保证金，在施工合同签订后五个工作日内退还</w:t>
      </w:r>
      <w:r>
        <w:rPr>
          <w:rFonts w:hint="eastAsia" w:asciiTheme="minorEastAsia" w:hAnsiTheme="minorEastAsia" w:eastAsiaTheme="minorEastAsia" w:cstheme="minorEastAsia"/>
          <w:b/>
          <w:bCs/>
          <w:sz w:val="24"/>
          <w:szCs w:val="24"/>
        </w:rPr>
        <w:t>（退还时，须向采购代理机构提供采购合同原件壹份）</w:t>
      </w:r>
      <w:r>
        <w:rPr>
          <w:rFonts w:hint="eastAsia" w:asciiTheme="minorEastAsia" w:hAnsiTheme="minorEastAsia" w:eastAsiaTheme="minorEastAsia" w:cstheme="minorEastAsia"/>
          <w:sz w:val="24"/>
          <w:szCs w:val="24"/>
        </w:rPr>
        <w:t>。</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.7投标人以担保机构保函形式缴纳投标保证金的，招标结束之后将担保机构保函原件退回（退换时间参照3.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.6条款）；</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.8下列任何情况发生时，视为投标人违约，其投标保证金将被没收：</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投标人在投标有效期内撤回其投标；</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投标人中标后放弃成交、未能按规定签订合同</w:t>
      </w:r>
      <w:bookmarkStart w:id="38" w:name="OLE_LINK3"/>
      <w:r>
        <w:rPr>
          <w:rFonts w:hint="eastAsia" w:asciiTheme="minorEastAsia" w:hAnsiTheme="minorEastAsia" w:eastAsiaTheme="minorEastAsia" w:cstheme="minorEastAsia"/>
          <w:sz w:val="24"/>
          <w:szCs w:val="24"/>
        </w:rPr>
        <w:t>、</w:t>
      </w:r>
      <w:bookmarkEnd w:id="38"/>
      <w:r>
        <w:rPr>
          <w:rFonts w:hint="eastAsia" w:asciiTheme="minorEastAsia" w:hAnsiTheme="minorEastAsia" w:eastAsiaTheme="minorEastAsia" w:cstheme="minorEastAsia"/>
          <w:sz w:val="24"/>
          <w:szCs w:val="24"/>
        </w:rPr>
        <w:t>未按招标文件规定提交履约担保；</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3）投标人中标后将中标项目转让给他人，或者在投标文件中未说明，且未经采购人同意，将中标项目分包给他人的；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4）投标人事先未通告无故不参加投标活动的；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5）投标人在投标文件中提供伪造、套改、虚假资料参加投标的；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6）投标人不按法定程序进行质疑和投诉,捏造事实，查无实据，造成恶劣影响</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导致采购活动无法正常进行的；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.9投标保证金的有</w:t>
      </w:r>
      <w:bookmarkStart w:id="39" w:name="OLE_LINK47"/>
      <w:r>
        <w:rPr>
          <w:rFonts w:hint="eastAsia" w:asciiTheme="minorEastAsia" w:hAnsiTheme="minorEastAsia" w:eastAsiaTheme="minorEastAsia" w:cstheme="minorEastAsia"/>
          <w:sz w:val="24"/>
          <w:szCs w:val="24"/>
        </w:rPr>
        <w:t>效</w:t>
      </w:r>
      <w:bookmarkEnd w:id="39"/>
      <w:r>
        <w:rPr>
          <w:rFonts w:hint="eastAsia" w:asciiTheme="minorEastAsia" w:hAnsiTheme="minorEastAsia" w:eastAsiaTheme="minorEastAsia" w:cstheme="minorEastAsia"/>
          <w:sz w:val="24"/>
          <w:szCs w:val="24"/>
        </w:rPr>
        <w:t>期与投标有效期一致。投标保函有效期为投标有效期后30天，如果投标日期发生变更，投标保函有效期自动顺延，招标方无需为此专门通知担保方。</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asciiTheme="minorEastAsia" w:hAnsiTheme="minorEastAsia" w:eastAsiaTheme="minorEastAsia" w:cstheme="minorEastAsia"/>
          <w:b/>
          <w:bCs/>
          <w:sz w:val="24"/>
          <w:szCs w:val="24"/>
        </w:rPr>
        <w:t>7</w:t>
      </w:r>
      <w:r>
        <w:rPr>
          <w:rFonts w:hint="eastAsia" w:asciiTheme="minorEastAsia" w:hAnsiTheme="minorEastAsia" w:eastAsiaTheme="minorEastAsia" w:cstheme="minorEastAsia"/>
          <w:b/>
          <w:bCs/>
          <w:sz w:val="24"/>
          <w:szCs w:val="24"/>
        </w:rPr>
        <w:t>备选投标方案</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除投标人须知前附表另有规定外，投标人不得递交备选投标方案。</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asciiTheme="minorEastAsia" w:hAnsiTheme="minorEastAsia" w:eastAsiaTheme="minorEastAsia" w:cstheme="minorEastAsia"/>
          <w:b/>
          <w:bCs/>
          <w:sz w:val="24"/>
          <w:szCs w:val="24"/>
        </w:rPr>
        <w:t>8</w:t>
      </w:r>
      <w:r>
        <w:rPr>
          <w:rFonts w:hint="eastAsia" w:asciiTheme="minorEastAsia" w:hAnsiTheme="minorEastAsia" w:eastAsiaTheme="minorEastAsia" w:cstheme="minorEastAsia"/>
          <w:b/>
          <w:bCs/>
          <w:sz w:val="24"/>
          <w:szCs w:val="24"/>
        </w:rPr>
        <w:t>投标文件的编制</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.1 投标文件应按“投标文件格式”进行编写，如有必要，可以增加附页，作为投标文件的组成部分。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.2 投标文件应当对招标文件有关工期、投标有效期、质量要求、技术标准和要求、招标范围等实质性内容作出响应。</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.3 投标文件需打印或用不褪色的蓝(黑)色墨水(汁)书写,并由投标人法定代表人或经法定代表人正式授权的代表签字。投标文件若由授权代表签署，须按招标文件规定的格式出具的“法定代表人授权委托书”原件附在投标文件中。所有要求签字（名）处，均须由签字（名）者本人用不褪色的蓝(黑)色墨水(汁)书写，不得用任何形式的图章代替。</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.4 投标文件正本、副本份数见投标人须知前附表。正本和副本的封面上应清楚地标记“正本”或“副本”的字样。当副本和正本不一致时，以正本为准。电子版投标文件内容包括投标文件的所有内容。</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.5 所有投标文件正本和副本须按第六章规定的顺序编排、编制目录、</w:t>
      </w:r>
      <w:r>
        <w:rPr>
          <w:rFonts w:hint="eastAsia" w:asciiTheme="minorEastAsia" w:hAnsiTheme="minorEastAsia" w:eastAsiaTheme="minorEastAsia" w:cstheme="minorEastAsia"/>
          <w:b/>
          <w:bCs/>
          <w:sz w:val="24"/>
          <w:szCs w:val="24"/>
        </w:rPr>
        <w:t>投标文件正本需逐页加盖投标人公章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每一页的正下方清楚标第几页、共几页等字样</w:t>
      </w:r>
      <w:r>
        <w:rPr>
          <w:rFonts w:hint="eastAsia" w:asciiTheme="minorEastAsia" w:hAnsiTheme="minorEastAsia" w:eastAsiaTheme="minorEastAsia" w:cstheme="minorEastAsia"/>
          <w:sz w:val="24"/>
          <w:szCs w:val="24"/>
        </w:rPr>
        <w:t>，并分别胶装成册。否则按无效标处理。</w:t>
      </w:r>
    </w:p>
    <w:p>
      <w:pPr>
        <w:spacing w:before="120" w:beforeLines="50" w:after="120" w:afterLines="50" w:line="360" w:lineRule="auto"/>
        <w:rPr>
          <w:rFonts w:asciiTheme="minorEastAsia" w:hAnsiTheme="minorEastAsia" w:eastAsiaTheme="minorEastAsia" w:cstheme="minorEastAsia"/>
          <w:b/>
          <w:bCs/>
          <w:sz w:val="24"/>
          <w:szCs w:val="24"/>
        </w:rPr>
      </w:pPr>
      <w:bookmarkStart w:id="40" w:name="_Toc425240467"/>
      <w:bookmarkStart w:id="41" w:name="_Toc421778368"/>
      <w:bookmarkStart w:id="42" w:name="_Toc420591646"/>
      <w:r>
        <w:rPr>
          <w:rFonts w:hint="eastAsia" w:asciiTheme="minorEastAsia" w:hAnsiTheme="minorEastAsia" w:eastAsiaTheme="minorEastAsia" w:cstheme="minorEastAsia"/>
          <w:b/>
          <w:bCs/>
          <w:sz w:val="24"/>
          <w:szCs w:val="24"/>
        </w:rPr>
        <w:t>4．投标</w:t>
      </w:r>
      <w:bookmarkEnd w:id="40"/>
      <w:bookmarkEnd w:id="41"/>
      <w:bookmarkEnd w:id="42"/>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4.1 投标文件的密封和标记</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投标文件的密封：投标文件须胶装成套且须用密封袋密封，包括投标文件正本、副本、投标文件电子版，开标一览表（投标人需另外单独准备一份与正本内容一致的开标一览表），若与正本内容不一致，则按单独密封的开标一览表为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4.1.2投标文件的封套上应清楚地标记“正本”、“副本”、“开标一览表”“电子版”字样，封套上应写明的其他内容见投标人须知前附表。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4.1.3未按本章第4.1.1项要求密封的投标文件，采购人将予以拒绝。</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4.2 投标文件的递交</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 投标人应在投标人须知前附表第4.2.2 项规定的投标截止时间前递交投标文件。</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投标人递交投标文件的地点：见投标人须知前附表。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 投标人所递交的投标文件不予退还。</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4.2.4逾期送达的或者未送达指定地点的投标文件，</w:t>
      </w:r>
      <w:bookmarkStart w:id="43" w:name="OLE_LINK50"/>
      <w:r>
        <w:rPr>
          <w:rFonts w:hint="eastAsia" w:asciiTheme="minorEastAsia" w:hAnsiTheme="minorEastAsia" w:eastAsiaTheme="minorEastAsia" w:cstheme="minorEastAsia"/>
          <w:sz w:val="24"/>
          <w:szCs w:val="24"/>
        </w:rPr>
        <w:t>采购代理机构</w:t>
      </w:r>
      <w:bookmarkEnd w:id="43"/>
      <w:r>
        <w:rPr>
          <w:rFonts w:hint="eastAsia" w:asciiTheme="minorEastAsia" w:hAnsiTheme="minorEastAsia" w:eastAsiaTheme="minorEastAsia" w:cstheme="minorEastAsia"/>
          <w:sz w:val="24"/>
          <w:szCs w:val="24"/>
        </w:rPr>
        <w:t>不予受理。</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4.3 投标文件的修改与撤回</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4.3.1 在投标人须知前附表第4.2.2 项规定的投标截止时间前，投标人可以修改或撤回已递交的投标文件，但应以书面形式通知采购人。</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投标人修改或撤回已递交投标文件的书面通知应按照本章第3.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.3项的要求签字和盖章。</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4.3.3 修改的内容为投标文件的组成部分。修改的投标文件应按照本章第3条、第4条规定进行编制、密封、标记和递交，并标明“修改”字样。</w:t>
      </w:r>
    </w:p>
    <w:p>
      <w:pPr>
        <w:spacing w:before="120" w:beforeLines="50" w:after="120" w:afterLines="50" w:line="360" w:lineRule="auto"/>
        <w:rPr>
          <w:rFonts w:asciiTheme="minorEastAsia" w:hAnsiTheme="minorEastAsia" w:eastAsiaTheme="minorEastAsia" w:cstheme="minorEastAsia"/>
          <w:b/>
          <w:bCs/>
          <w:sz w:val="24"/>
          <w:szCs w:val="24"/>
        </w:rPr>
      </w:pPr>
      <w:bookmarkStart w:id="44" w:name="_Toc421778369"/>
      <w:bookmarkStart w:id="45" w:name="_Toc420591647"/>
      <w:bookmarkStart w:id="46" w:name="_Toc425240468"/>
      <w:r>
        <w:rPr>
          <w:rFonts w:hint="eastAsia" w:asciiTheme="minorEastAsia" w:hAnsiTheme="minorEastAsia" w:eastAsiaTheme="minorEastAsia" w:cstheme="minorEastAsia"/>
          <w:b/>
          <w:bCs/>
          <w:sz w:val="24"/>
          <w:szCs w:val="24"/>
        </w:rPr>
        <w:t>5．开标</w:t>
      </w:r>
      <w:bookmarkEnd w:id="44"/>
      <w:bookmarkEnd w:id="45"/>
      <w:bookmarkEnd w:id="46"/>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5.1 开标时间和地点</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见投标人须知前附表。</w:t>
      </w:r>
    </w:p>
    <w:p>
      <w:pPr>
        <w:spacing w:before="120" w:beforeLines="50" w:after="120" w:afterLines="50" w:line="360" w:lineRule="auto"/>
        <w:rPr>
          <w:rFonts w:asciiTheme="minorEastAsia" w:hAnsiTheme="minorEastAsia" w:eastAsiaTheme="minorEastAsia" w:cstheme="minorEastAsia"/>
          <w:b/>
          <w:bCs/>
          <w:sz w:val="24"/>
          <w:szCs w:val="24"/>
        </w:rPr>
      </w:pPr>
      <w:bookmarkStart w:id="47" w:name="_Toc421778370"/>
      <w:bookmarkStart w:id="48" w:name="_Toc425240469"/>
      <w:bookmarkStart w:id="49" w:name="_Toc420591648"/>
      <w:r>
        <w:rPr>
          <w:rFonts w:hint="eastAsia" w:asciiTheme="minorEastAsia" w:hAnsiTheme="minorEastAsia" w:eastAsiaTheme="minorEastAsia" w:cstheme="minorEastAsia"/>
          <w:b/>
          <w:bCs/>
          <w:sz w:val="24"/>
          <w:szCs w:val="24"/>
        </w:rPr>
        <w:t>6．评标</w:t>
      </w:r>
      <w:bookmarkEnd w:id="47"/>
      <w:bookmarkEnd w:id="48"/>
      <w:bookmarkEnd w:id="49"/>
    </w:p>
    <w:p>
      <w:pPr>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6.1 评标委员会</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 评标由采购人依法组建的评标委员会负责。评标委员会由采购人代表和具备相关专业的专家等5人以上单数组成评标委员会；</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 评标委员会成员有下列情形之一的，应当回避：</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(1）投标人或投标人的主要负责人的近亲属；</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(2）与投标人有经济利益关系，可能影响对投标公正评审的；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(3）曾因在招标、评标以及其他与招标投标有关活动中从事违法行为而受过行政处罚或刑事处罚的。</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6.2 评标原则</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评标活动遵循公平、公正、科学和择优的原则。</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6.3 评标</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6.3.2评标过程的保密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（1）开标后，直至授予中标人合同为止，凡属于对投标文件的审查、补遗、评价和比较的有关资料以及中标候选人的推荐情况等均严格保密。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（2）在投标文件的评审、中标候选人推荐以及授予合同的过程中，投标人向采购人和评标委员会施加影响的任何行为，都将会导致其投标被拒绝直至取消其中标资格。</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（3）中标人确定后，采购人不对未中标人就评标过程以及未能中标原因作出任何解释。未中标人不得向评标委员会组成人员或其他有关人员索问评标过程的情况和材料。</w:t>
      </w:r>
    </w:p>
    <w:p>
      <w:pPr>
        <w:spacing w:before="120" w:beforeLines="50" w:after="120" w:afterLines="50" w:line="360" w:lineRule="auto"/>
        <w:rPr>
          <w:rFonts w:asciiTheme="minorEastAsia" w:hAnsiTheme="minorEastAsia" w:eastAsiaTheme="minorEastAsia" w:cstheme="minorEastAsia"/>
          <w:b/>
          <w:bCs/>
          <w:sz w:val="24"/>
          <w:szCs w:val="24"/>
        </w:rPr>
      </w:pPr>
      <w:bookmarkStart w:id="50" w:name="_Toc421778371"/>
      <w:bookmarkStart w:id="51" w:name="_Toc420591649"/>
      <w:bookmarkStart w:id="52" w:name="_Toc425240470"/>
      <w:r>
        <w:rPr>
          <w:rFonts w:hint="eastAsia" w:asciiTheme="minorEastAsia" w:hAnsiTheme="minorEastAsia" w:eastAsiaTheme="minorEastAsia" w:cstheme="minorEastAsia"/>
          <w:b/>
          <w:bCs/>
          <w:sz w:val="24"/>
          <w:szCs w:val="24"/>
        </w:rPr>
        <w:t>7．合同授予</w:t>
      </w:r>
      <w:bookmarkEnd w:id="50"/>
      <w:bookmarkEnd w:id="51"/>
      <w:bookmarkEnd w:id="52"/>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7.1 定标方式</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评标委员会推荐3名中标候选人，并标明推荐顺序，采购人依据评标委员会推荐的中标候选人确定中标人。</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7.2 中标通知</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在本章规定的投标有效期内，经采购人同意由采购代理机构以书面形式向中标人发出中标通知书。</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7.3 履约担保</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7.3.1在签订合同前，中标人应按投标人须知前附表规定的金额、担保形式和招标文件第二章“投标人须知前附表”规定的履约担保格式向采购人提交履约担保。联合体中标的，其履约担保由牵头人递交，并应符合投标人须知前附表规定的金额、担保形式按招标文件第二章“投标人须知前附表”规定的履约担保格式要求。</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7.3.2 中标人不能按本章第7.3.1项要求提交履约担保的，视为放弃中标，其投标保证金不予退还，给采购人造成的损失超过投标保证金数额的，中标人还应当对超过部分予以赔偿。</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7.4 签订合同</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采购人和中标人应当自中标通知书发出之日起30天内，根据招标文件和中标人的投标文件订立书面合同；中标人无正当理由拒签合同的，采购人取消其中标资格，其投标保证金不予退还；给采购人和采购代理机构造成的损失超过投标保证金数额的，中标人还应当对超过部分予以赔偿。</w:t>
      </w:r>
    </w:p>
    <w:p>
      <w:pPr>
        <w:spacing w:before="120" w:beforeLines="50" w:after="120" w:afterLines="50" w:line="360" w:lineRule="auto"/>
        <w:rPr>
          <w:rFonts w:asciiTheme="minorEastAsia" w:hAnsiTheme="minorEastAsia" w:eastAsiaTheme="minorEastAsia" w:cstheme="minorEastAsia"/>
          <w:b/>
          <w:bCs/>
          <w:sz w:val="24"/>
          <w:szCs w:val="24"/>
        </w:rPr>
      </w:pPr>
      <w:bookmarkStart w:id="53" w:name="_Toc420591650"/>
      <w:bookmarkStart w:id="54" w:name="_Toc421778372"/>
      <w:bookmarkStart w:id="55" w:name="_Toc425240471"/>
      <w:r>
        <w:rPr>
          <w:rFonts w:hint="eastAsia" w:asciiTheme="minorEastAsia" w:hAnsiTheme="minorEastAsia" w:eastAsiaTheme="minorEastAsia" w:cstheme="minorEastAsia"/>
          <w:b/>
          <w:bCs/>
          <w:sz w:val="24"/>
          <w:szCs w:val="24"/>
        </w:rPr>
        <w:t>8．重新招标和不再招标</w:t>
      </w:r>
      <w:bookmarkEnd w:id="53"/>
      <w:bookmarkEnd w:id="54"/>
      <w:bookmarkEnd w:id="55"/>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8.1 重新招标</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有下列情形之一的，采购人将重新招标：</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（l）投标截止时间止，投标人少于3个的；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（2）经评标委员会评审后否决所有投标的。</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8.2 不再招标</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重新招标后投标人仍少于3个或者所有投标被否决的，属于必须审批或核准的工程建设项目，经原审批或核准部门批准后不再进行招标。</w:t>
      </w:r>
    </w:p>
    <w:p>
      <w:pPr>
        <w:spacing w:before="120" w:beforeLines="50" w:after="120" w:afterLines="50" w:line="360" w:lineRule="auto"/>
        <w:rPr>
          <w:rFonts w:asciiTheme="minorEastAsia" w:hAnsiTheme="minorEastAsia" w:eastAsiaTheme="minorEastAsia" w:cstheme="minorEastAsia"/>
          <w:b/>
          <w:bCs/>
          <w:sz w:val="24"/>
          <w:szCs w:val="24"/>
        </w:rPr>
      </w:pPr>
      <w:bookmarkStart w:id="56" w:name="_Toc420591651"/>
      <w:bookmarkStart w:id="57" w:name="_Toc421778373"/>
      <w:bookmarkStart w:id="58" w:name="_Toc425240472"/>
      <w:r>
        <w:rPr>
          <w:rFonts w:hint="eastAsia" w:asciiTheme="minorEastAsia" w:hAnsiTheme="minorEastAsia" w:eastAsiaTheme="minorEastAsia" w:cstheme="minorEastAsia"/>
          <w:b/>
          <w:bCs/>
          <w:sz w:val="24"/>
          <w:szCs w:val="24"/>
        </w:rPr>
        <w:t>9．纪律和监督</w:t>
      </w:r>
      <w:bookmarkEnd w:id="56"/>
      <w:bookmarkEnd w:id="57"/>
      <w:bookmarkEnd w:id="58"/>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9.1 对采购人的纪律要求</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采购人不得泄漏招标投标活动中应当保密的情况和资料，不得与投标人串通损害国家利益、社会公共利益或者他人合法权益。</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9.2 对投标人的纪律要求</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9.3 对评标委员会成员的纪律要求</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9.4 对与评标活动有关的工作人员的纪律要求</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9.5 投诉</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投标人和其他利害关系人认为本次招标活动违反法律、法规和规章规定的，有权向有关行政监督部门投诉。</w:t>
      </w:r>
    </w:p>
    <w:p>
      <w:pPr>
        <w:spacing w:before="120" w:beforeLines="50" w:after="120" w:afterLines="50" w:line="360" w:lineRule="auto"/>
        <w:rPr>
          <w:rFonts w:asciiTheme="minorEastAsia" w:hAnsiTheme="minorEastAsia" w:eastAsiaTheme="minorEastAsia" w:cstheme="minorEastAsia"/>
          <w:b/>
          <w:bCs/>
          <w:sz w:val="24"/>
          <w:szCs w:val="24"/>
        </w:rPr>
      </w:pPr>
      <w:bookmarkStart w:id="59" w:name="_Toc425240473"/>
      <w:bookmarkStart w:id="60" w:name="_Toc421778374"/>
      <w:bookmarkStart w:id="61" w:name="_Toc420591652"/>
      <w:r>
        <w:rPr>
          <w:rFonts w:hint="eastAsia" w:asciiTheme="minorEastAsia" w:hAnsiTheme="minorEastAsia" w:eastAsiaTheme="minorEastAsia" w:cstheme="minorEastAsia"/>
          <w:b/>
          <w:bCs/>
          <w:sz w:val="24"/>
          <w:szCs w:val="24"/>
        </w:rPr>
        <w:t>10、需要补充的其他内容：</w:t>
      </w:r>
      <w:bookmarkStart w:id="62" w:name="_Toc356305901"/>
      <w:r>
        <w:rPr>
          <w:rFonts w:hint="eastAsia" w:asciiTheme="minorEastAsia" w:hAnsiTheme="minorEastAsia" w:eastAsiaTheme="minorEastAsia" w:cstheme="minorEastAsia"/>
          <w:b/>
          <w:bCs/>
          <w:sz w:val="24"/>
          <w:szCs w:val="24"/>
        </w:rPr>
        <w:t>详见投标人须知前附表</w:t>
      </w:r>
      <w:bookmarkEnd w:id="62"/>
      <w:r>
        <w:rPr>
          <w:rFonts w:hint="eastAsia" w:asciiTheme="minorEastAsia" w:hAnsiTheme="minorEastAsia" w:eastAsiaTheme="minorEastAsia" w:cstheme="minorEastAsia"/>
          <w:b/>
          <w:bCs/>
          <w:sz w:val="24"/>
          <w:szCs w:val="24"/>
        </w:rPr>
        <w:t>。</w:t>
      </w:r>
      <w:bookmarkEnd w:id="59"/>
      <w:bookmarkEnd w:id="60"/>
      <w:bookmarkEnd w:id="61"/>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rPr>
        <w:t>.质疑</w:t>
      </w:r>
    </w:p>
    <w:p>
      <w:pPr>
        <w:spacing w:line="360" w:lineRule="auto"/>
        <w:ind w:right="12"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.1投标人认为招标文件、招标过程、中标结果使自己的权益受到损害的，可以在知道或者应知其权益受到损害之日起7个工作日内，以书面形式向采购人、采购代理机构提出质疑。</w:t>
      </w:r>
    </w:p>
    <w:p>
      <w:pPr>
        <w:spacing w:line="360" w:lineRule="auto"/>
        <w:ind w:right="12" w:firstLine="480"/>
        <w:rPr>
          <w:rStyle w:val="30"/>
          <w:rFonts w:asciiTheme="minorEastAsia" w:hAnsiTheme="minorEastAsia" w:eastAsiaTheme="minorEastAsia" w:cstheme="minorEastAsia"/>
          <w:bCs w:val="0"/>
          <w:sz w:val="24"/>
          <w:szCs w:val="24"/>
          <w:shd w:val="clear" w:color="auto" w:fill="FFFFFF"/>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.2投标人必须在法定质疑期内一次性提出针对同一采购程序环节的质疑。</w:t>
      </w:r>
    </w:p>
    <w:p>
      <w:pPr>
        <w:spacing w:line="360" w:lineRule="auto"/>
        <w:ind w:left="3" w:firstLine="518" w:firstLineChars="216"/>
        <w:rPr>
          <w:rStyle w:val="30"/>
          <w:rFonts w:asciiTheme="minorEastAsia" w:hAnsiTheme="minorEastAsia" w:eastAsiaTheme="minorEastAsia" w:cstheme="minorEastAsia"/>
          <w:sz w:val="24"/>
          <w:szCs w:val="24"/>
          <w:shd w:val="clear" w:color="auto" w:fill="FFFFFF"/>
        </w:rPr>
      </w:pPr>
      <w:r>
        <w:rPr>
          <w:rStyle w:val="30"/>
          <w:rFonts w:hint="eastAsia" w:asciiTheme="minorEastAsia" w:hAnsiTheme="minorEastAsia" w:eastAsiaTheme="minorEastAsia" w:cstheme="minorEastAsia"/>
          <w:sz w:val="24"/>
          <w:szCs w:val="24"/>
          <w:shd w:val="clear" w:color="auto" w:fill="FFFFFF"/>
        </w:rPr>
        <w:t>1</w:t>
      </w:r>
      <w:r>
        <w:rPr>
          <w:rStyle w:val="30"/>
          <w:rFonts w:asciiTheme="minorEastAsia" w:hAnsiTheme="minorEastAsia" w:eastAsiaTheme="minorEastAsia" w:cstheme="minorEastAsia"/>
          <w:sz w:val="24"/>
          <w:szCs w:val="24"/>
          <w:shd w:val="clear" w:color="auto" w:fill="FFFFFF"/>
        </w:rPr>
        <w:t>1</w:t>
      </w:r>
      <w:r>
        <w:rPr>
          <w:rStyle w:val="30"/>
          <w:rFonts w:hint="eastAsia" w:asciiTheme="minorEastAsia" w:hAnsiTheme="minorEastAsia" w:eastAsiaTheme="minorEastAsia" w:cstheme="minorEastAsia"/>
          <w:sz w:val="24"/>
          <w:szCs w:val="24"/>
          <w:shd w:val="clear" w:color="auto" w:fill="FFFFFF"/>
        </w:rPr>
        <w:t>.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spacing w:line="360" w:lineRule="auto"/>
        <w:ind w:left="3" w:firstLine="518" w:firstLineChars="216"/>
        <w:rPr>
          <w:rStyle w:val="30"/>
          <w:rFonts w:asciiTheme="minorEastAsia" w:hAnsiTheme="minorEastAsia" w:eastAsiaTheme="minorEastAsia" w:cstheme="minorEastAsia"/>
          <w:sz w:val="24"/>
          <w:szCs w:val="24"/>
          <w:shd w:val="clear" w:color="auto" w:fill="FFFFFF"/>
        </w:rPr>
      </w:pPr>
      <w:r>
        <w:rPr>
          <w:rStyle w:val="30"/>
          <w:rFonts w:hint="eastAsia" w:asciiTheme="minorEastAsia" w:hAnsiTheme="minorEastAsia" w:eastAsiaTheme="minorEastAsia" w:cstheme="minorEastAsia"/>
          <w:sz w:val="24"/>
          <w:szCs w:val="24"/>
          <w:shd w:val="clear" w:color="auto" w:fill="FFFFFF"/>
        </w:rPr>
        <w:t>1</w:t>
      </w:r>
      <w:r>
        <w:rPr>
          <w:rStyle w:val="30"/>
          <w:rFonts w:asciiTheme="minorEastAsia" w:hAnsiTheme="minorEastAsia" w:eastAsiaTheme="minorEastAsia" w:cstheme="minorEastAsia"/>
          <w:sz w:val="24"/>
          <w:szCs w:val="24"/>
          <w:shd w:val="clear" w:color="auto" w:fill="FFFFFF"/>
        </w:rPr>
        <w:t>1</w:t>
      </w:r>
      <w:r>
        <w:rPr>
          <w:rStyle w:val="30"/>
          <w:rFonts w:hint="eastAsia" w:asciiTheme="minorEastAsia" w:hAnsiTheme="minorEastAsia" w:eastAsiaTheme="minorEastAsia" w:cstheme="minorEastAsia"/>
          <w:sz w:val="24"/>
          <w:szCs w:val="24"/>
          <w:shd w:val="clear" w:color="auto" w:fill="FFFFFF"/>
        </w:rPr>
        <w:t>.4以联合体形式参加政府采购活动的，其质疑应当由组成联合体的所有投标人共同提出。</w:t>
      </w:r>
    </w:p>
    <w:p>
      <w:pPr>
        <w:spacing w:line="360" w:lineRule="auto"/>
        <w:ind w:right="12" w:firstLine="480" w:firstLineChars="200"/>
        <w:rPr>
          <w:rFonts w:asciiTheme="minorEastAsia" w:hAnsiTheme="minorEastAsia" w:eastAsiaTheme="minorEastAsia" w:cstheme="minorEastAsia"/>
          <w:sz w:val="24"/>
          <w:szCs w:val="24"/>
        </w:rPr>
      </w:pPr>
      <w:r>
        <w:rPr>
          <w:rStyle w:val="30"/>
          <w:rFonts w:hint="eastAsia" w:asciiTheme="minorEastAsia" w:hAnsiTheme="minorEastAsia" w:eastAsiaTheme="minorEastAsia" w:cstheme="minorEastAsia"/>
          <w:sz w:val="24"/>
          <w:szCs w:val="24"/>
          <w:shd w:val="clear" w:color="auto" w:fill="FFFFFF"/>
        </w:rPr>
        <w:t>1</w:t>
      </w:r>
      <w:r>
        <w:rPr>
          <w:rStyle w:val="30"/>
          <w:rFonts w:asciiTheme="minorEastAsia" w:hAnsiTheme="minorEastAsia" w:eastAsiaTheme="minorEastAsia" w:cstheme="minorEastAsia"/>
          <w:sz w:val="24"/>
          <w:szCs w:val="24"/>
          <w:shd w:val="clear" w:color="auto" w:fill="FFFFFF"/>
        </w:rPr>
        <w:t>1</w:t>
      </w:r>
      <w:r>
        <w:rPr>
          <w:rFonts w:hint="eastAsia" w:asciiTheme="minorEastAsia" w:hAnsiTheme="minorEastAsia" w:eastAsiaTheme="minorEastAsia" w:cstheme="minorEastAsia"/>
          <w:sz w:val="24"/>
          <w:szCs w:val="24"/>
        </w:rPr>
        <w:t>.5投标人提出质疑应当提交质疑函和必要的证明材料。质疑函应当包括下列内容：</w:t>
      </w:r>
    </w:p>
    <w:p>
      <w:pPr>
        <w:spacing w:line="360" w:lineRule="auto"/>
        <w:ind w:right="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.5.1投标人的姓名或者名称、地址、邮编、联系人及联系电话；</w:t>
      </w:r>
    </w:p>
    <w:p>
      <w:pPr>
        <w:spacing w:line="360" w:lineRule="auto"/>
        <w:ind w:right="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.5.2质疑项目的名称、编号；</w:t>
      </w:r>
    </w:p>
    <w:p>
      <w:pPr>
        <w:spacing w:line="360" w:lineRule="auto"/>
        <w:ind w:right="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.5.3具体、明确的质疑事项和与质疑事项相关的请求；</w:t>
      </w:r>
    </w:p>
    <w:p>
      <w:pPr>
        <w:spacing w:line="360" w:lineRule="auto"/>
        <w:ind w:right="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.5.4事实依据；</w:t>
      </w:r>
    </w:p>
    <w:p>
      <w:pPr>
        <w:spacing w:line="360" w:lineRule="auto"/>
        <w:ind w:right="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.5.5必要的法律依据；</w:t>
      </w:r>
    </w:p>
    <w:p>
      <w:pPr>
        <w:spacing w:line="360" w:lineRule="auto"/>
        <w:ind w:right="12" w:firstLine="480" w:firstLineChars="200"/>
        <w:rPr>
          <w:rStyle w:val="30"/>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.5.6提出质疑的日期。</w:t>
      </w:r>
    </w:p>
    <w:p>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.6有下列情形之一的，属于无效质疑，采购代理机构和采购人不予受理：</w:t>
      </w:r>
    </w:p>
    <w:p>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.6.1质疑投标人不是参与本次政府采购项目的投标人；</w:t>
      </w:r>
    </w:p>
    <w:p>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.6.2质疑投标人与质疑事项不存在利害关系的；</w:t>
      </w:r>
    </w:p>
    <w:p>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2.6.3未在法定期限内提出质疑的；</w:t>
      </w:r>
    </w:p>
    <w:p>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.6.4质疑未以书面形式提出，或质疑函主要内容构成不完整的；</w:t>
      </w:r>
    </w:p>
    <w:p>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.6.5应当提交授权书而未提交的；</w:t>
      </w:r>
    </w:p>
    <w:p>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.6.6以非法手段取得证据、材料的；</w:t>
      </w:r>
    </w:p>
    <w:p>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.6.7质疑答复后，同一质疑人就同一事项或同一采购程序环节再次提出质疑的；</w:t>
      </w:r>
    </w:p>
    <w:p>
      <w:pPr>
        <w:widowControl/>
        <w:spacing w:line="360" w:lineRule="auto"/>
        <w:ind w:firstLine="480" w:firstLineChars="200"/>
        <w:rPr>
          <w:rStyle w:val="30"/>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.6.8不符合法律、法规、规章和政府采购监管机构规定的其他条件的。</w:t>
      </w:r>
    </w:p>
    <w:p>
      <w:pPr>
        <w:spacing w:line="360" w:lineRule="auto"/>
        <w:ind w:right="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.7质疑答复</w:t>
      </w:r>
    </w:p>
    <w:p>
      <w:pPr>
        <w:pStyle w:val="37"/>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.7.1采购人或采购代理机构在收到质疑函后7个工作日内作出答复，并以书面形式通知质疑投标人和其他有关投标人。</w:t>
      </w:r>
    </w:p>
    <w:p>
      <w:pPr>
        <w:pStyle w:val="37"/>
        <w:spacing w:line="360" w:lineRule="auto"/>
        <w:ind w:firstLine="48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.7.2质疑投标人对采购人、采购代理机构的答复不满意，或者采购人、采购代理机构未在规定时间内作出答复的，可以在答复期满后15个工作日内向项目主管财政部门提起投诉。</w:t>
      </w:r>
    </w:p>
    <w:p>
      <w:pPr>
        <w:pStyle w:val="37"/>
        <w:spacing w:line="360" w:lineRule="auto"/>
        <w:ind w:firstLine="48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8质疑函须按财政部《质疑函范本》给定的格式进行填写，范本下载详见【财政部国库司（gks.mof.gov.cn）】网站〖首页·政府采购管理〗栏目中的《政府采购供应商质疑函范本》。《政府采购供应商质疑函范本》链接地址：</w:t>
      </w:r>
    </w:p>
    <w:p>
      <w:pPr>
        <w:pStyle w:val="37"/>
        <w:spacing w:line="360" w:lineRule="auto"/>
        <w:ind w:firstLine="48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http://gks.mof.gov.cn/zhengfucaigouguanli/201802/t20180201_2804589.html</w:t>
      </w:r>
    </w:p>
    <w:p>
      <w:pPr>
        <w:pStyle w:val="37"/>
        <w:spacing w:line="360" w:lineRule="auto"/>
        <w:ind w:firstLine="48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.8.</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接收质疑函的方式：书面形式</w:t>
      </w:r>
    </w:p>
    <w:p>
      <w:pPr>
        <w:pStyle w:val="37"/>
        <w:spacing w:line="360" w:lineRule="auto"/>
        <w:ind w:firstLine="480" w:firstLineChar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.8.</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联系部门：</w:t>
      </w:r>
      <w:r>
        <w:rPr>
          <w:rFonts w:hint="eastAsia" w:asciiTheme="minorEastAsia" w:hAnsiTheme="minorEastAsia" w:eastAsiaTheme="minorEastAsia" w:cstheme="minorEastAsia"/>
          <w:sz w:val="24"/>
          <w:szCs w:val="24"/>
          <w:lang w:eastAsia="zh-CN"/>
        </w:rPr>
        <w:t>西安天合建设项目管理有限公司商南分公司</w:t>
      </w:r>
    </w:p>
    <w:p>
      <w:pPr>
        <w:pStyle w:val="37"/>
        <w:spacing w:line="360" w:lineRule="auto"/>
        <w:ind w:firstLine="48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.8.</w:t>
      </w: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18791593177</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t>.8.</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通讯地址：</w:t>
      </w:r>
      <w:r>
        <w:rPr>
          <w:rFonts w:hint="eastAsia" w:asciiTheme="minorEastAsia" w:hAnsiTheme="minorEastAsia" w:eastAsiaTheme="minorEastAsia" w:cstheme="minorEastAsia"/>
          <w:sz w:val="24"/>
          <w:szCs w:val="24"/>
          <w:lang w:eastAsia="zh-CN"/>
        </w:rPr>
        <w:t>陕西省商南县幸福路口</w:t>
      </w:r>
      <w:r>
        <w:rPr>
          <w:rFonts w:hint="eastAsia" w:asciiTheme="minorEastAsia" w:hAnsiTheme="minorEastAsia" w:eastAsiaTheme="minorEastAsia" w:cstheme="minorEastAsia"/>
          <w:sz w:val="24"/>
          <w:szCs w:val="24"/>
          <w:lang w:val="en-US" w:eastAsia="zh-CN"/>
        </w:rPr>
        <w:t>46栋4层</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w:t>
      </w:r>
      <w:r>
        <w:rPr>
          <w:rFonts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t>.其他</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.1 废标的情形</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.1.1招标采购中，出现下列情形之一的，应予以废标：</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（1）符合专业条件的投标人或者对招标文件作实质响应的投标人不足3家的；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（2）出现影响采购公正的违法、违规行为的；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（3）投标人的报价均超过了采购预算，采购人不能支付的；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（4）因重大变故，采购任务取消的。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.1.2废标后，采购代理机构应在财政部门指定采购网上公告，并公告废标的详细理由。</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.2变更采购方式</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.2.1存在下列情形之一的，除采购任务取消情形外，采购人经同级财政部门同意后，可按《政府采购货物和服务招标投标管理办法》（财政部87号令）第四十三条规定的方式处理：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（1）投标截止后参加投标的人不足3家的；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（2）通过资格审查的投标人不足3家的；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（3）通过符合性审查的投标人不足3家的。</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.2.2通过符合性审查的投标人只有2家时，采购人经同级财政部门同意后，可以按《政府采购非招标采购方式管理办法》（财政部第74号令）的规定与该2家投标人进行竞争性谈判采购。</w:t>
      </w:r>
    </w:p>
    <w:p>
      <w:pPr>
        <w:pStyle w:val="12"/>
        <w:spacing w:line="360" w:lineRule="auto"/>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rPr>
        <w:t>.信用担保</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（一）陕西省信用担保及信用融资政策</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5"/>
        <w:keepNext w:val="0"/>
        <w:pageBreakBefore/>
        <w:numPr>
          <w:ilvl w:val="0"/>
          <w:numId w:val="2"/>
        </w:numPr>
        <w:spacing w:before="120" w:beforeLines="50" w:after="120" w:afterLines="50"/>
        <w:jc w:val="center"/>
        <w:rPr>
          <w:rFonts w:asciiTheme="minorEastAsia" w:hAnsiTheme="minorEastAsia" w:eastAsiaTheme="minorEastAsia" w:cstheme="minorEastAsia"/>
          <w:bCs/>
          <w:sz w:val="36"/>
          <w:szCs w:val="36"/>
        </w:rPr>
      </w:pPr>
      <w:bookmarkStart w:id="63" w:name="_Toc14086"/>
      <w:bookmarkStart w:id="64" w:name="_Toc8864"/>
      <w:bookmarkStart w:id="65" w:name="_Toc30469"/>
      <w:bookmarkStart w:id="66" w:name="_Toc13146"/>
      <w:bookmarkStart w:id="67" w:name="_Toc11450"/>
      <w:bookmarkStart w:id="68" w:name="_Toc23856"/>
      <w:bookmarkStart w:id="69" w:name="_Toc389582038"/>
      <w:bookmarkStart w:id="70" w:name="_Toc1025"/>
      <w:bookmarkStart w:id="71" w:name="_Toc20481"/>
      <w:bookmarkStart w:id="72" w:name="_Toc4053"/>
      <w:bookmarkStart w:id="73" w:name="_Toc2711"/>
      <w:bookmarkStart w:id="74" w:name="_Toc19346"/>
      <w:bookmarkStart w:id="75" w:name="_Toc221523521"/>
      <w:bookmarkStart w:id="76" w:name="_Toc351989128"/>
      <w:bookmarkStart w:id="77" w:name="_Toc421778377"/>
      <w:bookmarkStart w:id="78" w:name="_Toc9479"/>
      <w:r>
        <w:rPr>
          <w:rFonts w:hint="eastAsia" w:asciiTheme="minorEastAsia" w:hAnsiTheme="minorEastAsia" w:eastAsiaTheme="minorEastAsia" w:cstheme="minorEastAsia"/>
          <w:bCs/>
          <w:sz w:val="36"/>
          <w:szCs w:val="36"/>
        </w:rPr>
        <w:t>评审方法</w:t>
      </w:r>
      <w:bookmarkEnd w:id="63"/>
      <w:bookmarkEnd w:id="64"/>
      <w:bookmarkEnd w:id="65"/>
      <w:bookmarkEnd w:id="66"/>
    </w:p>
    <w:bookmarkEnd w:id="67"/>
    <w:bookmarkEnd w:id="68"/>
    <w:bookmarkEnd w:id="69"/>
    <w:bookmarkEnd w:id="70"/>
    <w:bookmarkEnd w:id="71"/>
    <w:bookmarkEnd w:id="72"/>
    <w:bookmarkEnd w:id="73"/>
    <w:p>
      <w:pPr>
        <w:spacing w:before="120" w:beforeLines="50" w:line="360" w:lineRule="auto"/>
        <w:rPr>
          <w:rFonts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rPr>
        <w:t>一．评标方法</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政府采购法》及实施条例和中华人民共和国财政部令第87号--《政府采购货物和服务招标投标管理办法》、《中华人民共和国招标投标法》及其实施条例的规定，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pPr>
        <w:spacing w:before="120" w:beforeLines="50" w:line="360" w:lineRule="auto"/>
        <w:rPr>
          <w:rFonts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rPr>
        <w:t>二．评标委员会负责具体评标事务，并独立履行下列职责：</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（一）审查、评价投标文件是否符合招标文件的商务、技术等实质性要求；</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（二）要求投标人对投标文件有关事项作出澄清或者说明；</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（三）对投标文件进行比较和评价；</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（四）确定中标候选人名单，以及根据采购人委托直接确定中标人；</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（五）向采购人、采购代理机构或者有关部门报告评标中发现的违法行为。</w:t>
      </w:r>
    </w:p>
    <w:p>
      <w:pPr>
        <w:spacing w:before="120" w:beforeLines="50" w:line="360" w:lineRule="auto"/>
        <w:rPr>
          <w:rFonts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rPr>
        <w:t>三.投标人存在下列情况之一的，投标无效：</w:t>
      </w:r>
    </w:p>
    <w:p>
      <w:pPr>
        <w:tabs>
          <w:tab w:val="left" w:pos="1260"/>
        </w:tabs>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1）没有按照招标文件要求提供的投标文件或投标文件构成有重大缺项；</w:t>
      </w:r>
    </w:p>
    <w:p>
      <w:pPr>
        <w:kinsoku w:val="0"/>
        <w:spacing w:line="360" w:lineRule="auto"/>
        <w:ind w:firstLine="482" w:firstLineChars="200"/>
        <w:rPr>
          <w:rFonts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z w:val="24"/>
          <w:szCs w:val="24"/>
        </w:rPr>
        <w:t>2）投标</w:t>
      </w:r>
      <w:r>
        <w:rPr>
          <w:rFonts w:hint="eastAsia" w:asciiTheme="minorEastAsia" w:hAnsiTheme="minorEastAsia" w:eastAsiaTheme="minorEastAsia" w:cstheme="minorEastAsia"/>
          <w:b/>
          <w:bCs/>
          <w:spacing w:val="-6"/>
          <w:sz w:val="24"/>
          <w:szCs w:val="24"/>
        </w:rPr>
        <w:t>文件</w:t>
      </w:r>
      <w:r>
        <w:rPr>
          <w:rFonts w:hint="eastAsia" w:asciiTheme="minorEastAsia" w:hAnsiTheme="minorEastAsia" w:eastAsiaTheme="minorEastAsia" w:cstheme="minorEastAsia"/>
          <w:b/>
          <w:bCs/>
          <w:sz w:val="24"/>
          <w:szCs w:val="24"/>
        </w:rPr>
        <w:t>未按招标文件要求密封、签署、盖章的；</w:t>
      </w:r>
    </w:p>
    <w:p>
      <w:pPr>
        <w:tabs>
          <w:tab w:val="left" w:pos="1260"/>
        </w:tabs>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3）投标人未提交有效的投标保证金或金额不足的、投标保证金形式不符合招标文件要求的；</w:t>
      </w:r>
    </w:p>
    <w:p>
      <w:pPr>
        <w:tabs>
          <w:tab w:val="left" w:pos="1260"/>
        </w:tabs>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）资格证明文件不全的或无效的，或不符合国家规定的；</w:t>
      </w:r>
    </w:p>
    <w:p>
      <w:pPr>
        <w:tabs>
          <w:tab w:val="left" w:pos="1260"/>
        </w:tabs>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）投标文件无投标人公章、无法定代表人或授权人签章或签章人无法定代表人有效委托书的；</w:t>
      </w:r>
    </w:p>
    <w:p>
      <w:pPr>
        <w:tabs>
          <w:tab w:val="left" w:pos="1260"/>
        </w:tabs>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pacing w:val="-6"/>
          <w:sz w:val="24"/>
          <w:szCs w:val="24"/>
        </w:rPr>
        <w:t>无投标有效期或有效期达不到招标文件要求的</w:t>
      </w:r>
      <w:r>
        <w:rPr>
          <w:rFonts w:hint="eastAsia" w:asciiTheme="minorEastAsia" w:hAnsiTheme="minorEastAsia" w:eastAsiaTheme="minorEastAsia" w:cstheme="minorEastAsia"/>
          <w:b/>
          <w:bCs/>
          <w:sz w:val="24"/>
          <w:szCs w:val="24"/>
        </w:rPr>
        <w:t>；</w:t>
      </w:r>
    </w:p>
    <w:p>
      <w:pPr>
        <w:tabs>
          <w:tab w:val="left" w:pos="1260"/>
        </w:tabs>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t>）投标人在同一份投标文件中，对同一招标产品报有两个或多个报价的；</w:t>
      </w:r>
    </w:p>
    <w:p>
      <w:pPr>
        <w:tabs>
          <w:tab w:val="left" w:pos="1260"/>
        </w:tabs>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）存在有重大缺漏项和重大技术偏离的投标产品；</w:t>
      </w:r>
    </w:p>
    <w:p>
      <w:pPr>
        <w:tabs>
          <w:tab w:val="left" w:pos="1260"/>
        </w:tabs>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）投标人有串通投标、以他人名义投标、弄虚作假、行贿等违法行为的；</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）投标总报价低于成本或者高于招标文件公布的采购预算的。</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）提供虚假投标文件和资料的。</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13）法律、法规和招标文件规定的其他无效情形；</w:t>
      </w:r>
    </w:p>
    <w:p>
      <w:pPr>
        <w:spacing w:before="120" w:beforeLines="50" w:line="360" w:lineRule="auto"/>
        <w:rPr>
          <w:rFonts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rPr>
        <w:t>四.投标人有下列情形之一的，视为投标人串通投标，其投标无效：</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（一）不同投标人的投标文件由同一单位或者个人编制；</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（二）不同投标人委托同一单位或者个人办理投标事宜；</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（三）不同投标人的投标文件载明的项目管理成员或者联系人员为同一人；</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（四）不同投标人的投标文件异常一致或者投标报价呈规律性差异；</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（五）不同投标人的投标文件相互混装；</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（六）不同投标人的投标保证金从同一单位或者个人的账户转出。</w:t>
      </w:r>
    </w:p>
    <w:p>
      <w:pPr>
        <w:spacing w:before="120" w:beforeLines="50" w:line="360" w:lineRule="auto"/>
        <w:rPr>
          <w:rFonts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rPr>
        <w:t>五. 评标程序</w:t>
      </w:r>
    </w:p>
    <w:p>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1、投标文件的资格性审查：</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评标委员会</w:t>
      </w:r>
      <w:r>
        <w:rPr>
          <w:rFonts w:hint="eastAsia" w:asciiTheme="minorEastAsia" w:hAnsiTheme="minorEastAsia" w:eastAsiaTheme="minorEastAsia" w:cstheme="minorEastAsia"/>
          <w:sz w:val="24"/>
          <w:szCs w:val="24"/>
        </w:rPr>
        <w:t>对投标人的投标文件进行资格性审查，以确定其是否满足招标文件的资格要求。</w:t>
      </w:r>
    </w:p>
    <w:p>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2、投标文件的符合性审查：</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评标委员会对符合资格的投标人的投标文件进行符合性审查，以确定其是否满足招标文件的商务、技术等实质性要求。</w:t>
      </w:r>
    </w:p>
    <w:p>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3、评标委员会对报价明显偏低的审查：</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4、澄清有关问题：</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4.2投标文件报价出现前后不一致的，按照下列规定修正：</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（一）大写金额和小写金额不一致的，以大写金额为准；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（二）单价金额小数点或者百分比有明显错位的，以开标一览表的总价为准，并修改单价；</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（三）总价金额与按单价汇总金额不一致的，以单价金额计算结果为准。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同时出现两种以上不一致的，按照前款规定的顺序修正。修正后的报价经投标人书面确认后产生约束力，投标人不确认的，其投标无效。</w:t>
      </w:r>
    </w:p>
    <w:p>
      <w:pPr>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5、需要落实的政府采购政策</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投标企业政府采购政策</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5.1.1中小企业落实政府采购政策</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（1）中小企业应符合工信部联企业[2011]300号文件规定，采购活动执行《政府采购促进中小企业发展暂行办法》的规定。</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（2）投标供应商出具《中小企业声明函》，由评委会审定，符合条件的企业享受政府采购政策。</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5.1.2监狱和戒毒企业应符合《财政部司法部关于政府采购支持监狱企业发展有关问题的通知》--财库〔2014〕68号，并提供由省级以上监狱管理局、戒毒管理局(含新疆生产建设兵团)出具的属于监狱企业的证明。</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5.1.3投标供应商应如实提供以上证明文件，如存在虚假应标，将取消其投标资格。</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5.2投标产品政府采购政策</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5.2.1节能产品根据《国务院办公厅关于建立政府强制采购节能产品制度的通知》（国办发〔2007〕51号）的规定，以中国政府采购网（http://www.ccgp.gov.cn/）公布的最新一期节能产品政府采购清单为准。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5.2.2环境标志产品根据《环境标志产品政府采购实施的意见》（财库[2006]90号）的规定，以中国政府采购网（http://www.ccgp.gov.cn/）公布的最新一期环境标志产品政府采购清单为准。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投标单位在投标文件中对所投标产品为节能、环保、环境标志产品清单中的产品，在投标总报价时必须对此类产品单独分项报价，计算出小计及占投标总报价总金额的百分比，并提供属于清单内产品的证明资料（从中国政府采购网上下载的网页公告等），未提供节能、环保、环境标志产品计分明细表及属于清单内产品的证明资料的不给予计分。</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5.2.4若节能、环保、环境标志清单内的产品仅是构成投标产品的部件、组件或零件的，则该投标产品不享受鼓励优惠政策。</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5.2.5同一标段的节能、环保、环境标志产品部分计分只对属于清单内的非强制类产品进行计分，强制类产品不给予计分。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5.2.6节能、环保、环境标志产品不重复计分；同时列入国家级清单和省级清单的产品不重复计分。</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5.2.7获得上述认证的产品在投标时应提供有效证明材料。以上所有证明文件复印件须加盖投标供应商公章并注明“与原件一致”，否则不予计分。</w:t>
      </w:r>
    </w:p>
    <w:p>
      <w:pPr>
        <w:spacing w:before="120" w:beforeLines="50" w:line="360" w:lineRule="auto"/>
        <w:rPr>
          <w:rFonts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rPr>
        <w:t>6、比较与评价：</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评委会各成员按照《评审因素量化赋分表》规定的内容，独立进行综合比较、评价打分。</w:t>
      </w:r>
    </w:p>
    <w:p>
      <w:pPr>
        <w:spacing w:before="120" w:beforeLines="50" w:line="360" w:lineRule="auto"/>
        <w:rPr>
          <w:rFonts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rPr>
        <w:t>7、推荐中标候选人名单：</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7.1汇总全体评委对每个投标人的赋分，计算出每个投标人的综合得分，按标段得分从高到低顺序排列，推荐前1～3名为中标候选人。</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7.2得分相同的，按投标报价由低到高顺序排列。得分且投标报价相同的并列。</w:t>
      </w:r>
    </w:p>
    <w:p>
      <w:pPr>
        <w:spacing w:line="360" w:lineRule="auto"/>
        <w:ind w:right="40" w:rightChars="19" w:firstLine="42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Cs w:val="28"/>
        </w:rPr>
        <w:br w:type="page"/>
      </w:r>
    </w:p>
    <w:p>
      <w:pPr>
        <w:pStyle w:val="12"/>
        <w:rPr>
          <w:rFonts w:asciiTheme="minorEastAsia" w:hAnsiTheme="minorEastAsia" w:eastAsiaTheme="minorEastAsia" w:cstheme="minorEastAsia"/>
          <w:szCs w:val="24"/>
        </w:rPr>
      </w:pPr>
      <w:r>
        <w:rPr>
          <w:rFonts w:hint="eastAsia" w:asciiTheme="minorEastAsia" w:hAnsiTheme="minorEastAsia" w:eastAsiaTheme="minorEastAsia" w:cstheme="minorEastAsia"/>
          <w:b/>
          <w:bCs/>
          <w:szCs w:val="28"/>
        </w:rPr>
        <w:t>附件1：</w:t>
      </w:r>
    </w:p>
    <w:p>
      <w:pPr>
        <w:pStyle w:val="12"/>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初步审查要素表</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578"/>
        <w:gridCol w:w="537"/>
        <w:gridCol w:w="2251"/>
        <w:gridCol w:w="5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57" w:type="pct"/>
            <w:gridSpan w:val="2"/>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条款号</w:t>
            </w:r>
          </w:p>
        </w:tc>
        <w:tc>
          <w:tcPr>
            <w:tcW w:w="1458" w:type="pct"/>
            <w:gridSpan w:val="2"/>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评审因素</w:t>
            </w:r>
          </w:p>
        </w:tc>
        <w:tc>
          <w:tcPr>
            <w:tcW w:w="2783" w:type="pct"/>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restart"/>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2.1.1</w:t>
            </w:r>
          </w:p>
        </w:tc>
        <w:tc>
          <w:tcPr>
            <w:tcW w:w="302" w:type="pct"/>
            <w:vMerge w:val="restart"/>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资格评审</w:t>
            </w:r>
          </w:p>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标准</w:t>
            </w:r>
          </w:p>
        </w:tc>
        <w:tc>
          <w:tcPr>
            <w:tcW w:w="1458" w:type="pct"/>
            <w:gridSpan w:val="2"/>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营业执照等主体资格证明文件</w:t>
            </w:r>
          </w:p>
        </w:tc>
        <w:tc>
          <w:tcPr>
            <w:tcW w:w="2783" w:type="pct"/>
            <w:vAlign w:val="center"/>
          </w:tcPr>
          <w:p>
            <w:pPr>
              <w:tabs>
                <w:tab w:val="left" w:pos="0"/>
              </w:tabs>
              <w:adjustRightInd w:val="0"/>
              <w:snapToGrid w:val="0"/>
              <w:jc w:val="center"/>
              <w:rPr>
                <w:rFonts w:ascii="宋体" w:hAnsi="宋体" w:cs="宋体"/>
                <w:sz w:val="24"/>
                <w:szCs w:val="24"/>
              </w:rPr>
            </w:pPr>
            <w:r>
              <w:rPr>
                <w:rFonts w:hint="eastAsia" w:ascii="宋体" w:hAnsi="宋体" w:cs="宋体"/>
                <w:sz w:val="24"/>
                <w:szCs w:val="24"/>
              </w:rPr>
              <w:t>提供合格有效的法人或者其他组织的营业执照等证明文件，自然人的身份证明；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pPr>
              <w:tabs>
                <w:tab w:val="left" w:pos="0"/>
              </w:tabs>
              <w:adjustRightInd w:val="0"/>
              <w:snapToGrid w:val="0"/>
              <w:jc w:val="center"/>
              <w:rPr>
                <w:rFonts w:ascii="宋体" w:hAnsi="宋体" w:cs="宋体"/>
                <w:b/>
                <w:sz w:val="24"/>
                <w:szCs w:val="24"/>
              </w:rPr>
            </w:pPr>
          </w:p>
        </w:tc>
        <w:tc>
          <w:tcPr>
            <w:tcW w:w="302" w:type="pct"/>
            <w:vMerge w:val="continue"/>
            <w:vAlign w:val="center"/>
          </w:tcPr>
          <w:p>
            <w:pPr>
              <w:tabs>
                <w:tab w:val="left" w:pos="0"/>
              </w:tabs>
              <w:adjustRightInd w:val="0"/>
              <w:snapToGrid w:val="0"/>
              <w:jc w:val="center"/>
              <w:rPr>
                <w:rFonts w:ascii="宋体" w:hAnsi="宋体" w:cs="宋体"/>
                <w:b/>
                <w:sz w:val="24"/>
                <w:szCs w:val="24"/>
              </w:rPr>
            </w:pPr>
          </w:p>
        </w:tc>
        <w:tc>
          <w:tcPr>
            <w:tcW w:w="1458" w:type="pct"/>
            <w:gridSpan w:val="2"/>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法定代表人授权书/法定</w:t>
            </w:r>
          </w:p>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代表人身份证明</w:t>
            </w:r>
          </w:p>
        </w:tc>
        <w:tc>
          <w:tcPr>
            <w:tcW w:w="2783" w:type="pct"/>
            <w:vAlign w:val="center"/>
          </w:tcPr>
          <w:p>
            <w:pPr>
              <w:tabs>
                <w:tab w:val="left" w:pos="0"/>
              </w:tabs>
              <w:adjustRightInd w:val="0"/>
              <w:snapToGrid w:val="0"/>
              <w:jc w:val="center"/>
              <w:rPr>
                <w:rFonts w:ascii="宋体" w:hAnsi="宋体" w:cs="宋体"/>
                <w:sz w:val="24"/>
                <w:szCs w:val="24"/>
              </w:rPr>
            </w:pPr>
            <w:r>
              <w:rPr>
                <w:rFonts w:hint="eastAsia" w:ascii="宋体" w:hAnsi="宋体" w:cs="宋体"/>
                <w:sz w:val="24"/>
                <w:szCs w:val="24"/>
              </w:rPr>
              <w:t>法定代表人授权书（附法定代表人、被授权人身份证复印件）及被授权人身份证原件（法定代表人直接参加投标，须提供法定代表人身份证明及身份证原件）；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pPr>
              <w:tabs>
                <w:tab w:val="left" w:pos="0"/>
              </w:tabs>
              <w:adjustRightInd w:val="0"/>
              <w:snapToGrid w:val="0"/>
              <w:jc w:val="center"/>
              <w:rPr>
                <w:rFonts w:ascii="宋体" w:hAnsi="宋体" w:cs="宋体"/>
                <w:b/>
                <w:sz w:val="24"/>
                <w:szCs w:val="24"/>
              </w:rPr>
            </w:pPr>
          </w:p>
        </w:tc>
        <w:tc>
          <w:tcPr>
            <w:tcW w:w="302" w:type="pct"/>
            <w:vMerge w:val="continue"/>
            <w:vAlign w:val="center"/>
          </w:tcPr>
          <w:p>
            <w:pPr>
              <w:tabs>
                <w:tab w:val="left" w:pos="0"/>
              </w:tabs>
              <w:adjustRightInd w:val="0"/>
              <w:snapToGrid w:val="0"/>
              <w:jc w:val="center"/>
              <w:rPr>
                <w:rFonts w:ascii="宋体" w:hAnsi="宋体" w:cs="宋体"/>
                <w:b/>
                <w:sz w:val="24"/>
                <w:szCs w:val="24"/>
              </w:rPr>
            </w:pPr>
          </w:p>
        </w:tc>
        <w:tc>
          <w:tcPr>
            <w:tcW w:w="1458" w:type="pct"/>
            <w:gridSpan w:val="2"/>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财务状况</w:t>
            </w:r>
          </w:p>
        </w:tc>
        <w:tc>
          <w:tcPr>
            <w:tcW w:w="2783" w:type="pct"/>
            <w:vAlign w:val="center"/>
          </w:tcPr>
          <w:p>
            <w:pPr>
              <w:pStyle w:val="11"/>
            </w:pPr>
            <w:r>
              <w:rPr>
                <w:rFonts w:hint="eastAsia" w:ascii="宋体" w:hAnsi="宋体" w:cs="宋体"/>
                <w:kern w:val="0"/>
                <w:sz w:val="24"/>
                <w:szCs w:val="24"/>
              </w:rPr>
              <w:t>提供202</w:t>
            </w:r>
            <w:r>
              <w:rPr>
                <w:rFonts w:hint="eastAsia" w:ascii="宋体" w:hAnsi="宋体" w:cs="宋体"/>
                <w:kern w:val="0"/>
                <w:sz w:val="24"/>
                <w:szCs w:val="24"/>
                <w:lang w:val="en-US" w:eastAsia="zh-CN"/>
              </w:rPr>
              <w:t>1</w:t>
            </w:r>
            <w:r>
              <w:rPr>
                <w:rFonts w:hint="eastAsia" w:ascii="宋体" w:hAnsi="宋体" w:cs="宋体"/>
                <w:kern w:val="0"/>
                <w:sz w:val="24"/>
                <w:szCs w:val="24"/>
              </w:rPr>
              <w:t>年度的财务审计报告（至少包括资产负债表和利润表，成立时间至提交投标文件截止时间不足一年的可提供成立后任意时段的资产负债表），或其基本存款账户开户银行出具的资信证明及基本存款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pPr>
              <w:tabs>
                <w:tab w:val="left" w:pos="0"/>
              </w:tabs>
              <w:adjustRightInd w:val="0"/>
              <w:snapToGrid w:val="0"/>
              <w:jc w:val="center"/>
              <w:rPr>
                <w:rFonts w:ascii="宋体" w:hAnsi="宋体" w:cs="宋体"/>
                <w:b/>
                <w:sz w:val="24"/>
                <w:szCs w:val="24"/>
              </w:rPr>
            </w:pPr>
          </w:p>
        </w:tc>
        <w:tc>
          <w:tcPr>
            <w:tcW w:w="302" w:type="pct"/>
            <w:vMerge w:val="continue"/>
            <w:vAlign w:val="center"/>
          </w:tcPr>
          <w:p>
            <w:pPr>
              <w:tabs>
                <w:tab w:val="left" w:pos="0"/>
              </w:tabs>
              <w:adjustRightInd w:val="0"/>
              <w:snapToGrid w:val="0"/>
              <w:jc w:val="center"/>
              <w:rPr>
                <w:rFonts w:ascii="宋体" w:hAnsi="宋体" w:cs="宋体"/>
                <w:b/>
                <w:sz w:val="24"/>
                <w:szCs w:val="24"/>
              </w:rPr>
            </w:pPr>
          </w:p>
        </w:tc>
        <w:tc>
          <w:tcPr>
            <w:tcW w:w="1458" w:type="pct"/>
            <w:gridSpan w:val="2"/>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税收缴纳证明</w:t>
            </w:r>
          </w:p>
        </w:tc>
        <w:tc>
          <w:tcPr>
            <w:tcW w:w="2783" w:type="pct"/>
            <w:vAlign w:val="center"/>
          </w:tcPr>
          <w:p>
            <w:pPr>
              <w:tabs>
                <w:tab w:val="left" w:pos="0"/>
              </w:tabs>
              <w:adjustRightInd w:val="0"/>
              <w:snapToGrid w:val="0"/>
              <w:jc w:val="center"/>
              <w:rPr>
                <w:rFonts w:ascii="宋体" w:hAnsi="宋体" w:cs="宋体"/>
                <w:kern w:val="0"/>
                <w:sz w:val="24"/>
                <w:szCs w:val="24"/>
              </w:rPr>
            </w:pPr>
            <w:r>
              <w:rPr>
                <w:rFonts w:hint="eastAsia" w:ascii="宋体" w:hAnsi="宋体" w:cs="宋体"/>
                <w:kern w:val="0"/>
                <w:sz w:val="24"/>
                <w:szCs w:val="24"/>
              </w:rPr>
              <w:t>提供投标截止日前近一年内任意一个月的纳税证明或完税证明（任意税种），依法免税的单位应提供相关证明材料；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pPr>
              <w:tabs>
                <w:tab w:val="left" w:pos="0"/>
              </w:tabs>
              <w:adjustRightInd w:val="0"/>
              <w:snapToGrid w:val="0"/>
              <w:jc w:val="center"/>
              <w:rPr>
                <w:rFonts w:ascii="宋体" w:hAnsi="宋体" w:cs="宋体"/>
                <w:b/>
                <w:sz w:val="24"/>
                <w:szCs w:val="24"/>
              </w:rPr>
            </w:pPr>
          </w:p>
        </w:tc>
        <w:tc>
          <w:tcPr>
            <w:tcW w:w="302" w:type="pct"/>
            <w:vMerge w:val="continue"/>
            <w:vAlign w:val="center"/>
          </w:tcPr>
          <w:p>
            <w:pPr>
              <w:tabs>
                <w:tab w:val="left" w:pos="0"/>
              </w:tabs>
              <w:adjustRightInd w:val="0"/>
              <w:snapToGrid w:val="0"/>
              <w:jc w:val="center"/>
              <w:rPr>
                <w:rFonts w:ascii="宋体" w:hAnsi="宋体" w:cs="宋体"/>
                <w:b/>
                <w:sz w:val="24"/>
                <w:szCs w:val="24"/>
              </w:rPr>
            </w:pPr>
          </w:p>
        </w:tc>
        <w:tc>
          <w:tcPr>
            <w:tcW w:w="1458" w:type="pct"/>
            <w:gridSpan w:val="2"/>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社会保障资金缴纳证明</w:t>
            </w:r>
          </w:p>
        </w:tc>
        <w:tc>
          <w:tcPr>
            <w:tcW w:w="2783" w:type="pct"/>
            <w:vAlign w:val="center"/>
          </w:tcPr>
          <w:p>
            <w:pPr>
              <w:tabs>
                <w:tab w:val="left" w:pos="0"/>
              </w:tabs>
              <w:adjustRightInd w:val="0"/>
              <w:snapToGrid w:val="0"/>
              <w:jc w:val="center"/>
              <w:rPr>
                <w:rFonts w:ascii="宋体" w:hAnsi="宋体" w:cs="宋体"/>
                <w:kern w:val="0"/>
                <w:sz w:val="24"/>
                <w:szCs w:val="24"/>
              </w:rPr>
            </w:pPr>
            <w:r>
              <w:rPr>
                <w:rFonts w:hint="eastAsia" w:ascii="宋体" w:hAnsi="宋体" w:cs="宋体"/>
                <w:kern w:val="0"/>
                <w:sz w:val="24"/>
                <w:szCs w:val="24"/>
              </w:rPr>
              <w:t>提供投标截止日前近一年内任意一个月的社会保障资金缴存单据或社保机构开具的社会保险参保缴费情况证明，依法不需要缴纳社会保障资金的单位应提供相关证明材料；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pPr>
              <w:tabs>
                <w:tab w:val="left" w:pos="0"/>
              </w:tabs>
              <w:adjustRightInd w:val="0"/>
              <w:snapToGrid w:val="0"/>
              <w:jc w:val="center"/>
              <w:rPr>
                <w:rFonts w:ascii="宋体" w:hAnsi="宋体" w:cs="宋体"/>
                <w:b/>
                <w:sz w:val="24"/>
                <w:szCs w:val="24"/>
              </w:rPr>
            </w:pPr>
          </w:p>
        </w:tc>
        <w:tc>
          <w:tcPr>
            <w:tcW w:w="302" w:type="pct"/>
            <w:vMerge w:val="continue"/>
            <w:vAlign w:val="center"/>
          </w:tcPr>
          <w:p>
            <w:pPr>
              <w:tabs>
                <w:tab w:val="left" w:pos="0"/>
              </w:tabs>
              <w:adjustRightInd w:val="0"/>
              <w:snapToGrid w:val="0"/>
              <w:jc w:val="center"/>
              <w:rPr>
                <w:rFonts w:ascii="宋体" w:hAnsi="宋体" w:cs="宋体"/>
                <w:b/>
                <w:sz w:val="24"/>
                <w:szCs w:val="24"/>
              </w:rPr>
            </w:pPr>
          </w:p>
        </w:tc>
        <w:tc>
          <w:tcPr>
            <w:tcW w:w="1458" w:type="pct"/>
            <w:gridSpan w:val="2"/>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信用记录</w:t>
            </w:r>
          </w:p>
        </w:tc>
        <w:tc>
          <w:tcPr>
            <w:tcW w:w="2783" w:type="pct"/>
            <w:vAlign w:val="center"/>
          </w:tcPr>
          <w:p>
            <w:pPr>
              <w:tabs>
                <w:tab w:val="left" w:pos="0"/>
              </w:tabs>
              <w:adjustRightInd w:val="0"/>
              <w:snapToGrid w:val="0"/>
              <w:jc w:val="center"/>
              <w:rPr>
                <w:rFonts w:ascii="宋体" w:hAnsi="宋体" w:cs="宋体"/>
                <w:kern w:val="0"/>
                <w:sz w:val="24"/>
                <w:szCs w:val="24"/>
              </w:rPr>
            </w:pPr>
            <w:r>
              <w:rPr>
                <w:rFonts w:hint="eastAsia" w:ascii="宋体" w:hAnsi="宋体" w:cs="宋体"/>
                <w:kern w:val="0"/>
                <w:sz w:val="24"/>
                <w:szCs w:val="24"/>
              </w:rPr>
              <w:t>供应商应在招标文件发售期至投标截止时间前通过“信用中国”网站(www.creditchina.gov.cn)、中国政府采购网(www.ccgp.gov.cn) 查询相关主体信用记录；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55" w:type="pct"/>
            <w:vMerge w:val="continue"/>
            <w:vAlign w:val="center"/>
          </w:tcPr>
          <w:p>
            <w:pPr>
              <w:tabs>
                <w:tab w:val="left" w:pos="0"/>
              </w:tabs>
              <w:adjustRightInd w:val="0"/>
              <w:snapToGrid w:val="0"/>
              <w:jc w:val="center"/>
              <w:rPr>
                <w:rFonts w:ascii="宋体" w:hAnsi="宋体" w:cs="宋体"/>
                <w:b/>
                <w:sz w:val="24"/>
                <w:szCs w:val="24"/>
              </w:rPr>
            </w:pPr>
          </w:p>
        </w:tc>
        <w:tc>
          <w:tcPr>
            <w:tcW w:w="302" w:type="pct"/>
            <w:vMerge w:val="continue"/>
            <w:vAlign w:val="center"/>
          </w:tcPr>
          <w:p>
            <w:pPr>
              <w:tabs>
                <w:tab w:val="left" w:pos="0"/>
              </w:tabs>
              <w:adjustRightInd w:val="0"/>
              <w:snapToGrid w:val="0"/>
              <w:jc w:val="center"/>
              <w:rPr>
                <w:rFonts w:ascii="宋体" w:hAnsi="宋体" w:cs="宋体"/>
                <w:b/>
                <w:sz w:val="24"/>
                <w:szCs w:val="24"/>
              </w:rPr>
            </w:pPr>
          </w:p>
        </w:tc>
        <w:tc>
          <w:tcPr>
            <w:tcW w:w="1458" w:type="pct"/>
            <w:gridSpan w:val="2"/>
            <w:vAlign w:val="center"/>
          </w:tcPr>
          <w:p>
            <w:pPr>
              <w:tabs>
                <w:tab w:val="left" w:pos="0"/>
              </w:tabs>
              <w:adjustRightInd w:val="0"/>
              <w:snapToGrid w:val="0"/>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书面承诺书</w:t>
            </w:r>
          </w:p>
        </w:tc>
        <w:tc>
          <w:tcPr>
            <w:tcW w:w="2783" w:type="pct"/>
            <w:vAlign w:val="center"/>
          </w:tcPr>
          <w:p>
            <w:pPr>
              <w:tabs>
                <w:tab w:val="left" w:pos="0"/>
              </w:tabs>
              <w:adjustRightInd w:val="0"/>
              <w:snapToGrid w:val="0"/>
              <w:jc w:val="center"/>
              <w:rPr>
                <w:rFonts w:ascii="宋体" w:hAnsi="宋体" w:cs="宋体"/>
                <w:sz w:val="24"/>
                <w:szCs w:val="24"/>
              </w:rPr>
            </w:pPr>
            <w:r>
              <w:rPr>
                <w:rFonts w:hint="eastAsia" w:ascii="宋体" w:hAnsi="宋体" w:cs="宋体"/>
                <w:kern w:val="0"/>
                <w:sz w:val="24"/>
                <w:szCs w:val="24"/>
              </w:rPr>
              <w:t>提供具有履行合同所必需的设备和专业技术能力的书面承诺；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pPr>
              <w:tabs>
                <w:tab w:val="left" w:pos="0"/>
              </w:tabs>
              <w:adjustRightInd w:val="0"/>
              <w:snapToGrid w:val="0"/>
              <w:jc w:val="center"/>
              <w:rPr>
                <w:rFonts w:ascii="宋体" w:hAnsi="宋体" w:cs="宋体"/>
                <w:b/>
                <w:sz w:val="24"/>
                <w:szCs w:val="24"/>
              </w:rPr>
            </w:pPr>
          </w:p>
        </w:tc>
        <w:tc>
          <w:tcPr>
            <w:tcW w:w="302" w:type="pct"/>
            <w:vMerge w:val="continue"/>
            <w:vAlign w:val="center"/>
          </w:tcPr>
          <w:p>
            <w:pPr>
              <w:tabs>
                <w:tab w:val="left" w:pos="0"/>
              </w:tabs>
              <w:adjustRightInd w:val="0"/>
              <w:snapToGrid w:val="0"/>
              <w:jc w:val="center"/>
              <w:rPr>
                <w:rFonts w:ascii="宋体" w:hAnsi="宋体" w:cs="宋体"/>
                <w:b/>
                <w:sz w:val="24"/>
                <w:szCs w:val="24"/>
              </w:rPr>
            </w:pPr>
          </w:p>
        </w:tc>
        <w:tc>
          <w:tcPr>
            <w:tcW w:w="1458" w:type="pct"/>
            <w:gridSpan w:val="2"/>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书面声明</w:t>
            </w:r>
          </w:p>
        </w:tc>
        <w:tc>
          <w:tcPr>
            <w:tcW w:w="2783" w:type="pct"/>
            <w:vAlign w:val="center"/>
          </w:tcPr>
          <w:p>
            <w:pPr>
              <w:tabs>
                <w:tab w:val="left" w:pos="0"/>
              </w:tabs>
              <w:adjustRightInd w:val="0"/>
              <w:snapToGrid w:val="0"/>
              <w:jc w:val="center"/>
              <w:rPr>
                <w:rFonts w:ascii="宋体" w:hAnsi="宋体" w:cs="宋体"/>
                <w:sz w:val="24"/>
                <w:szCs w:val="24"/>
              </w:rPr>
            </w:pPr>
            <w:r>
              <w:rPr>
                <w:rFonts w:hint="eastAsia" w:ascii="宋体" w:hAnsi="宋体" w:cs="宋体"/>
                <w:sz w:val="24"/>
                <w:szCs w:val="24"/>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pPr>
              <w:tabs>
                <w:tab w:val="left" w:pos="0"/>
              </w:tabs>
              <w:adjustRightInd w:val="0"/>
              <w:snapToGrid w:val="0"/>
              <w:jc w:val="center"/>
              <w:rPr>
                <w:rFonts w:ascii="宋体" w:hAnsi="宋体" w:cs="宋体"/>
                <w:b/>
                <w:sz w:val="24"/>
                <w:szCs w:val="24"/>
              </w:rPr>
            </w:pPr>
          </w:p>
        </w:tc>
        <w:tc>
          <w:tcPr>
            <w:tcW w:w="302" w:type="pct"/>
            <w:vMerge w:val="continue"/>
            <w:vAlign w:val="center"/>
          </w:tcPr>
          <w:p>
            <w:pPr>
              <w:tabs>
                <w:tab w:val="left" w:pos="0"/>
              </w:tabs>
              <w:adjustRightInd w:val="0"/>
              <w:snapToGrid w:val="0"/>
              <w:jc w:val="center"/>
              <w:rPr>
                <w:rFonts w:ascii="宋体" w:hAnsi="宋体" w:cs="宋体"/>
                <w:b/>
                <w:sz w:val="24"/>
                <w:szCs w:val="24"/>
              </w:rPr>
            </w:pPr>
          </w:p>
        </w:tc>
        <w:tc>
          <w:tcPr>
            <w:tcW w:w="1458" w:type="pct"/>
            <w:gridSpan w:val="2"/>
            <w:vAlign w:val="center"/>
          </w:tcPr>
          <w:p>
            <w:pPr>
              <w:tabs>
                <w:tab w:val="left" w:pos="0"/>
              </w:tabs>
              <w:adjustRightInd w:val="0"/>
              <w:snapToGrid w:val="0"/>
              <w:jc w:val="center"/>
              <w:rPr>
                <w:rFonts w:ascii="宋体" w:hAnsi="宋体" w:cs="宋体"/>
                <w:b/>
                <w:sz w:val="24"/>
                <w:szCs w:val="24"/>
              </w:rPr>
            </w:pPr>
            <w:r>
              <w:rPr>
                <w:rFonts w:hint="eastAsia" w:ascii="宋体" w:hAnsi="宋体" w:cs="宋体"/>
                <w:b/>
                <w:sz w:val="24"/>
                <w:szCs w:val="24"/>
              </w:rPr>
              <w:t>保证金</w:t>
            </w:r>
          </w:p>
        </w:tc>
        <w:tc>
          <w:tcPr>
            <w:tcW w:w="2783" w:type="pct"/>
            <w:vAlign w:val="center"/>
          </w:tcPr>
          <w:p>
            <w:pPr>
              <w:tabs>
                <w:tab w:val="left" w:pos="0"/>
              </w:tabs>
              <w:adjustRightInd w:val="0"/>
              <w:snapToGrid w:val="0"/>
              <w:jc w:val="center"/>
              <w:rPr>
                <w:rFonts w:ascii="宋体" w:hAnsi="宋体" w:cs="宋体"/>
                <w:bCs/>
                <w:sz w:val="24"/>
                <w:szCs w:val="24"/>
              </w:rPr>
            </w:pPr>
            <w:r>
              <w:rPr>
                <w:rFonts w:hint="eastAsia" w:ascii="宋体" w:hAnsi="宋体" w:cs="宋体"/>
                <w:sz w:val="24"/>
                <w:szCs w:val="24"/>
              </w:rPr>
              <w:t>投标保证金缴纳凭证或担保机构出具的保函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pPr>
              <w:tabs>
                <w:tab w:val="left" w:pos="0"/>
              </w:tabs>
              <w:adjustRightInd w:val="0"/>
              <w:snapToGrid w:val="0"/>
              <w:jc w:val="center"/>
              <w:rPr>
                <w:rFonts w:ascii="宋体" w:hAnsi="宋体" w:cs="宋体"/>
                <w:b/>
                <w:sz w:val="24"/>
                <w:szCs w:val="24"/>
              </w:rPr>
            </w:pPr>
          </w:p>
        </w:tc>
        <w:tc>
          <w:tcPr>
            <w:tcW w:w="302" w:type="pct"/>
            <w:vMerge w:val="continue"/>
            <w:vAlign w:val="center"/>
          </w:tcPr>
          <w:p>
            <w:pPr>
              <w:tabs>
                <w:tab w:val="left" w:pos="0"/>
              </w:tabs>
              <w:adjustRightInd w:val="0"/>
              <w:snapToGrid w:val="0"/>
              <w:jc w:val="center"/>
              <w:rPr>
                <w:rFonts w:ascii="宋体" w:hAnsi="宋体" w:cs="宋体"/>
                <w:b/>
                <w:sz w:val="24"/>
                <w:szCs w:val="24"/>
              </w:rPr>
            </w:pPr>
          </w:p>
        </w:tc>
        <w:tc>
          <w:tcPr>
            <w:tcW w:w="1458" w:type="pct"/>
            <w:gridSpan w:val="2"/>
            <w:vAlign w:val="center"/>
          </w:tcPr>
          <w:p>
            <w:pPr>
              <w:tabs>
                <w:tab w:val="left" w:pos="0"/>
              </w:tabs>
              <w:adjustRightInd w:val="0"/>
              <w:snapToGrid w:val="0"/>
              <w:jc w:val="center"/>
              <w:rPr>
                <w:rFonts w:hint="eastAsia" w:ascii="宋体" w:hAnsi="宋体" w:eastAsia="宋体" w:cs="宋体"/>
                <w:b/>
                <w:sz w:val="24"/>
                <w:szCs w:val="24"/>
                <w:lang w:eastAsia="zh-CN"/>
              </w:rPr>
            </w:pPr>
            <w:r>
              <w:rPr>
                <w:rFonts w:hint="eastAsia" w:ascii="宋体" w:hAnsi="宋体" w:cs="宋体"/>
                <w:b/>
                <w:sz w:val="24"/>
                <w:szCs w:val="24"/>
                <w:lang w:eastAsia="zh-CN"/>
              </w:rPr>
              <w:t>是否中小企业</w:t>
            </w:r>
          </w:p>
        </w:tc>
        <w:tc>
          <w:tcPr>
            <w:tcW w:w="2783" w:type="pct"/>
            <w:vAlign w:val="center"/>
          </w:tcPr>
          <w:p>
            <w:pPr>
              <w:tabs>
                <w:tab w:val="left" w:pos="0"/>
              </w:tabs>
              <w:adjustRightInd w:val="0"/>
              <w:snapToGrid w:val="0"/>
              <w:jc w:val="center"/>
              <w:rPr>
                <w:rFonts w:hint="eastAsia" w:ascii="宋体" w:hAnsi="宋体" w:cs="宋体"/>
                <w:sz w:val="24"/>
                <w:szCs w:val="24"/>
              </w:rPr>
            </w:pPr>
            <w:r>
              <w:rPr>
                <w:rFonts w:hint="eastAsia" w:ascii="宋体" w:hAnsi="宋体" w:cs="宋体"/>
                <w:sz w:val="24"/>
                <w:szCs w:val="24"/>
              </w:rPr>
              <w:t>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000" w:type="pct"/>
            <w:gridSpan w:val="5"/>
            <w:vAlign w:val="center"/>
          </w:tcPr>
          <w:p>
            <w:pPr>
              <w:tabs>
                <w:tab w:val="left" w:pos="0"/>
              </w:tabs>
              <w:adjustRightInd w:val="0"/>
              <w:snapToGrid w:val="0"/>
              <w:jc w:val="left"/>
              <w:rPr>
                <w:rFonts w:ascii="宋体" w:hAnsi="宋体" w:cs="宋体"/>
                <w:b/>
                <w:sz w:val="24"/>
                <w:szCs w:val="24"/>
              </w:rPr>
            </w:pPr>
            <w:r>
              <w:rPr>
                <w:rFonts w:hint="eastAsia" w:ascii="宋体" w:hAnsi="宋体" w:cs="宋体"/>
                <w:b/>
                <w:sz w:val="24"/>
                <w:szCs w:val="24"/>
              </w:rPr>
              <w:t>注：以上为必备资质，缺一项或某项达不到要求，按无效投标处理。资格审查时以投标文件中所附证明材料为准</w:t>
            </w:r>
            <w:r>
              <w:rPr>
                <w:rFonts w:hint="eastAsia" w:ascii="宋体" w:hAnsi="宋体" w:cs="宋体"/>
                <w:b/>
                <w:sz w:val="24"/>
                <w:szCs w:val="24"/>
                <w:lang w:eastAsia="zh-CN"/>
              </w:rPr>
              <w:t>，原件备查</w:t>
            </w:r>
            <w:r>
              <w:rPr>
                <w:rFonts w:hint="eastAsia" w:ascii="宋体" w:hAnsi="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restart"/>
            <w:vAlign w:val="center"/>
          </w:tcPr>
          <w:p>
            <w:pPr>
              <w:tabs>
                <w:tab w:val="left" w:pos="0"/>
              </w:tabs>
              <w:adjustRightInd w:val="0"/>
              <w:snapToGrid w:val="0"/>
              <w:spacing w:line="360" w:lineRule="auto"/>
              <w:jc w:val="center"/>
              <w:rPr>
                <w:rFonts w:ascii="宋体" w:hAnsi="宋体" w:cs="宋体"/>
                <w:sz w:val="24"/>
                <w:szCs w:val="24"/>
              </w:rPr>
            </w:pPr>
            <w:r>
              <w:rPr>
                <w:rFonts w:hint="eastAsia" w:ascii="宋体" w:hAnsi="宋体" w:cs="宋体"/>
                <w:sz w:val="24"/>
                <w:szCs w:val="24"/>
              </w:rPr>
              <w:t>2.1.2</w:t>
            </w:r>
          </w:p>
        </w:tc>
        <w:tc>
          <w:tcPr>
            <w:tcW w:w="302" w:type="pct"/>
            <w:vMerge w:val="restar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符合性评审标准</w:t>
            </w:r>
          </w:p>
        </w:tc>
        <w:tc>
          <w:tcPr>
            <w:tcW w:w="281" w:type="pct"/>
            <w:vMerge w:val="restar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有效性审查</w:t>
            </w:r>
          </w:p>
        </w:tc>
        <w:tc>
          <w:tcPr>
            <w:tcW w:w="1177" w:type="pc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投标文件的签署盖章</w:t>
            </w:r>
          </w:p>
        </w:tc>
        <w:tc>
          <w:tcPr>
            <w:tcW w:w="2783" w:type="pct"/>
            <w:vAlign w:val="center"/>
          </w:tcPr>
          <w:p>
            <w:pPr>
              <w:tabs>
                <w:tab w:val="left" w:pos="0"/>
              </w:tabs>
              <w:adjustRightInd w:val="0"/>
              <w:snapToGrid w:val="0"/>
              <w:rPr>
                <w:rFonts w:ascii="宋体" w:hAnsi="宋体" w:cs="宋体"/>
                <w:sz w:val="24"/>
                <w:szCs w:val="24"/>
              </w:rPr>
            </w:pPr>
            <w:r>
              <w:rPr>
                <w:rFonts w:hint="eastAsia" w:ascii="宋体" w:hAnsi="宋体" w:cs="宋体"/>
                <w:sz w:val="24"/>
                <w:szCs w:val="24"/>
              </w:rPr>
              <w:t>投标文件上法定代表人或其授权代表人的签字齐全并加盖公章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tcPr>
          <w:p>
            <w:pPr>
              <w:tabs>
                <w:tab w:val="left" w:pos="0"/>
              </w:tabs>
              <w:adjustRightInd w:val="0"/>
              <w:snapToGrid w:val="0"/>
              <w:spacing w:line="360" w:lineRule="auto"/>
              <w:rPr>
                <w:rFonts w:ascii="宋体" w:hAnsi="宋体" w:cs="宋体"/>
                <w:sz w:val="24"/>
                <w:szCs w:val="24"/>
              </w:rPr>
            </w:pPr>
          </w:p>
        </w:tc>
        <w:tc>
          <w:tcPr>
            <w:tcW w:w="302" w:type="pct"/>
            <w:vMerge w:val="continue"/>
          </w:tcPr>
          <w:p>
            <w:pPr>
              <w:tabs>
                <w:tab w:val="left" w:pos="0"/>
              </w:tabs>
              <w:adjustRightInd w:val="0"/>
              <w:snapToGrid w:val="0"/>
              <w:spacing w:line="360" w:lineRule="auto"/>
              <w:rPr>
                <w:rFonts w:ascii="宋体" w:hAnsi="宋体" w:cs="宋体"/>
                <w:b/>
                <w:bCs/>
                <w:sz w:val="24"/>
                <w:szCs w:val="24"/>
              </w:rPr>
            </w:pPr>
          </w:p>
        </w:tc>
        <w:tc>
          <w:tcPr>
            <w:tcW w:w="281" w:type="pct"/>
            <w:vMerge w:val="continue"/>
          </w:tcPr>
          <w:p>
            <w:pPr>
              <w:tabs>
                <w:tab w:val="left" w:pos="0"/>
              </w:tabs>
              <w:adjustRightInd w:val="0"/>
              <w:snapToGrid w:val="0"/>
              <w:spacing w:line="360" w:lineRule="auto"/>
              <w:rPr>
                <w:rFonts w:ascii="宋体" w:hAnsi="宋体" w:cs="宋体"/>
                <w:b/>
                <w:bCs/>
                <w:sz w:val="24"/>
                <w:szCs w:val="24"/>
              </w:rPr>
            </w:pPr>
          </w:p>
        </w:tc>
        <w:tc>
          <w:tcPr>
            <w:tcW w:w="1177" w:type="pc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投标文件格式</w:t>
            </w:r>
          </w:p>
        </w:tc>
        <w:tc>
          <w:tcPr>
            <w:tcW w:w="2783" w:type="pct"/>
            <w:vAlign w:val="center"/>
          </w:tcPr>
          <w:p>
            <w:pPr>
              <w:tabs>
                <w:tab w:val="left" w:pos="0"/>
              </w:tabs>
              <w:adjustRightInd w:val="0"/>
              <w:snapToGrid w:val="0"/>
              <w:rPr>
                <w:rFonts w:ascii="宋体" w:hAnsi="宋体" w:cs="宋体"/>
                <w:sz w:val="24"/>
                <w:szCs w:val="24"/>
              </w:rPr>
            </w:pPr>
            <w:r>
              <w:rPr>
                <w:rFonts w:hint="eastAsia" w:ascii="宋体" w:hAnsi="宋体" w:cs="宋体"/>
                <w:sz w:val="24"/>
                <w:szCs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tcPr>
          <w:p>
            <w:pPr>
              <w:tabs>
                <w:tab w:val="left" w:pos="0"/>
              </w:tabs>
              <w:adjustRightInd w:val="0"/>
              <w:snapToGrid w:val="0"/>
              <w:spacing w:line="360" w:lineRule="auto"/>
              <w:rPr>
                <w:rFonts w:ascii="宋体" w:hAnsi="宋体" w:cs="宋体"/>
                <w:sz w:val="24"/>
                <w:szCs w:val="24"/>
              </w:rPr>
            </w:pPr>
          </w:p>
        </w:tc>
        <w:tc>
          <w:tcPr>
            <w:tcW w:w="302" w:type="pct"/>
            <w:vMerge w:val="continue"/>
          </w:tcPr>
          <w:p>
            <w:pPr>
              <w:tabs>
                <w:tab w:val="left" w:pos="0"/>
              </w:tabs>
              <w:adjustRightInd w:val="0"/>
              <w:snapToGrid w:val="0"/>
              <w:spacing w:line="360" w:lineRule="auto"/>
              <w:rPr>
                <w:rFonts w:ascii="宋体" w:hAnsi="宋体" w:cs="宋体"/>
                <w:b/>
                <w:bCs/>
                <w:sz w:val="24"/>
                <w:szCs w:val="24"/>
              </w:rPr>
            </w:pPr>
          </w:p>
        </w:tc>
        <w:tc>
          <w:tcPr>
            <w:tcW w:w="281" w:type="pct"/>
            <w:vMerge w:val="continue"/>
          </w:tcPr>
          <w:p>
            <w:pPr>
              <w:tabs>
                <w:tab w:val="left" w:pos="0"/>
              </w:tabs>
              <w:adjustRightInd w:val="0"/>
              <w:snapToGrid w:val="0"/>
              <w:spacing w:line="360" w:lineRule="auto"/>
              <w:rPr>
                <w:rFonts w:ascii="宋体" w:hAnsi="宋体" w:cs="宋体"/>
                <w:b/>
                <w:bCs/>
                <w:sz w:val="24"/>
                <w:szCs w:val="24"/>
              </w:rPr>
            </w:pPr>
          </w:p>
        </w:tc>
        <w:tc>
          <w:tcPr>
            <w:tcW w:w="1177" w:type="pc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报价唯一</w:t>
            </w:r>
          </w:p>
        </w:tc>
        <w:tc>
          <w:tcPr>
            <w:tcW w:w="2783" w:type="pct"/>
            <w:vAlign w:val="center"/>
          </w:tcPr>
          <w:p>
            <w:pPr>
              <w:tabs>
                <w:tab w:val="left" w:pos="0"/>
              </w:tabs>
              <w:adjustRightInd w:val="0"/>
              <w:snapToGrid w:val="0"/>
              <w:rPr>
                <w:rFonts w:ascii="宋体" w:hAnsi="宋体" w:cs="宋体"/>
                <w:sz w:val="24"/>
                <w:szCs w:val="24"/>
              </w:rPr>
            </w:pPr>
            <w:r>
              <w:rPr>
                <w:rFonts w:hint="eastAsia" w:ascii="宋体" w:hAnsi="宋体" w:cs="宋体"/>
                <w:sz w:val="24"/>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pPr>
              <w:tabs>
                <w:tab w:val="left" w:pos="0"/>
              </w:tabs>
              <w:adjustRightInd w:val="0"/>
              <w:snapToGrid w:val="0"/>
              <w:spacing w:line="360" w:lineRule="auto"/>
              <w:jc w:val="center"/>
              <w:rPr>
                <w:rFonts w:ascii="宋体" w:hAnsi="宋体" w:cs="宋体"/>
                <w:sz w:val="24"/>
                <w:szCs w:val="24"/>
              </w:rPr>
            </w:pPr>
          </w:p>
        </w:tc>
        <w:tc>
          <w:tcPr>
            <w:tcW w:w="302" w:type="pct"/>
            <w:vMerge w:val="continue"/>
            <w:vAlign w:val="center"/>
          </w:tcPr>
          <w:p>
            <w:pPr>
              <w:tabs>
                <w:tab w:val="left" w:pos="0"/>
              </w:tabs>
              <w:adjustRightInd w:val="0"/>
              <w:snapToGrid w:val="0"/>
              <w:jc w:val="center"/>
              <w:rPr>
                <w:rFonts w:ascii="宋体" w:hAnsi="宋体" w:cs="宋体"/>
                <w:b/>
                <w:bCs/>
                <w:sz w:val="24"/>
                <w:szCs w:val="24"/>
              </w:rPr>
            </w:pPr>
          </w:p>
        </w:tc>
        <w:tc>
          <w:tcPr>
            <w:tcW w:w="281" w:type="pct"/>
            <w:vMerge w:val="restar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完整性审查</w:t>
            </w:r>
          </w:p>
        </w:tc>
        <w:tc>
          <w:tcPr>
            <w:tcW w:w="1177" w:type="pc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投标文件份数</w:t>
            </w:r>
          </w:p>
        </w:tc>
        <w:tc>
          <w:tcPr>
            <w:tcW w:w="2783" w:type="pct"/>
            <w:vAlign w:val="center"/>
          </w:tcPr>
          <w:p>
            <w:pPr>
              <w:tabs>
                <w:tab w:val="left" w:pos="0"/>
              </w:tabs>
              <w:adjustRightInd w:val="0"/>
              <w:snapToGrid w:val="0"/>
              <w:rPr>
                <w:rFonts w:ascii="宋体" w:hAnsi="宋体" w:cs="宋体"/>
                <w:sz w:val="24"/>
                <w:szCs w:val="24"/>
              </w:rPr>
            </w:pPr>
            <w:r>
              <w:rPr>
                <w:rFonts w:hint="eastAsia" w:ascii="宋体" w:hAnsi="宋体" w:cs="宋体"/>
                <w:sz w:val="24"/>
                <w:szCs w:val="24"/>
              </w:rPr>
              <w:t>应符合“投标人须知前附表”规定的正本、副本、电子文件数量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tcPr>
          <w:p>
            <w:pPr>
              <w:tabs>
                <w:tab w:val="left" w:pos="0"/>
              </w:tabs>
              <w:adjustRightInd w:val="0"/>
              <w:snapToGrid w:val="0"/>
              <w:spacing w:line="360" w:lineRule="auto"/>
              <w:rPr>
                <w:rFonts w:ascii="宋体" w:hAnsi="宋体" w:cs="宋体"/>
                <w:sz w:val="24"/>
                <w:szCs w:val="24"/>
              </w:rPr>
            </w:pPr>
          </w:p>
        </w:tc>
        <w:tc>
          <w:tcPr>
            <w:tcW w:w="302" w:type="pct"/>
            <w:vMerge w:val="continue"/>
          </w:tcPr>
          <w:p>
            <w:pPr>
              <w:tabs>
                <w:tab w:val="left" w:pos="0"/>
              </w:tabs>
              <w:adjustRightInd w:val="0"/>
              <w:snapToGrid w:val="0"/>
              <w:spacing w:line="360" w:lineRule="auto"/>
              <w:rPr>
                <w:rFonts w:ascii="宋体" w:hAnsi="宋体" w:cs="宋体"/>
                <w:b/>
                <w:bCs/>
                <w:sz w:val="24"/>
                <w:szCs w:val="24"/>
              </w:rPr>
            </w:pPr>
          </w:p>
        </w:tc>
        <w:tc>
          <w:tcPr>
            <w:tcW w:w="281" w:type="pct"/>
            <w:vMerge w:val="continue"/>
          </w:tcPr>
          <w:p>
            <w:pPr>
              <w:tabs>
                <w:tab w:val="left" w:pos="0"/>
              </w:tabs>
              <w:adjustRightInd w:val="0"/>
              <w:snapToGrid w:val="0"/>
              <w:spacing w:line="360" w:lineRule="auto"/>
              <w:rPr>
                <w:rFonts w:ascii="宋体" w:hAnsi="宋体" w:cs="宋体"/>
                <w:b/>
                <w:bCs/>
                <w:sz w:val="24"/>
                <w:szCs w:val="24"/>
              </w:rPr>
            </w:pPr>
          </w:p>
        </w:tc>
        <w:tc>
          <w:tcPr>
            <w:tcW w:w="1177" w:type="pc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投标文件内容</w:t>
            </w:r>
          </w:p>
        </w:tc>
        <w:tc>
          <w:tcPr>
            <w:tcW w:w="2783" w:type="pct"/>
            <w:vAlign w:val="center"/>
          </w:tcPr>
          <w:p>
            <w:pPr>
              <w:tabs>
                <w:tab w:val="left" w:pos="0"/>
              </w:tabs>
              <w:adjustRightInd w:val="0"/>
              <w:snapToGrid w:val="0"/>
              <w:rPr>
                <w:rFonts w:ascii="宋体" w:hAnsi="宋体" w:cs="宋体"/>
                <w:sz w:val="24"/>
                <w:szCs w:val="24"/>
              </w:rPr>
            </w:pPr>
            <w:r>
              <w:rPr>
                <w:rFonts w:hint="eastAsia" w:ascii="宋体" w:hAnsi="宋体" w:cs="宋体"/>
                <w:sz w:val="24"/>
                <w:szCs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pPr>
              <w:tabs>
                <w:tab w:val="left" w:pos="0"/>
              </w:tabs>
              <w:adjustRightInd w:val="0"/>
              <w:snapToGrid w:val="0"/>
              <w:spacing w:line="360" w:lineRule="auto"/>
              <w:jc w:val="center"/>
              <w:rPr>
                <w:rFonts w:ascii="宋体" w:hAnsi="宋体" w:cs="宋体"/>
                <w:sz w:val="24"/>
                <w:szCs w:val="24"/>
              </w:rPr>
            </w:pPr>
          </w:p>
        </w:tc>
        <w:tc>
          <w:tcPr>
            <w:tcW w:w="302" w:type="pct"/>
            <w:vMerge w:val="continue"/>
            <w:vAlign w:val="center"/>
          </w:tcPr>
          <w:p>
            <w:pPr>
              <w:tabs>
                <w:tab w:val="left" w:pos="0"/>
              </w:tabs>
              <w:adjustRightInd w:val="0"/>
              <w:snapToGrid w:val="0"/>
              <w:jc w:val="center"/>
              <w:rPr>
                <w:rFonts w:ascii="宋体" w:hAnsi="宋体" w:cs="宋体"/>
                <w:b/>
                <w:bCs/>
                <w:sz w:val="24"/>
                <w:szCs w:val="24"/>
              </w:rPr>
            </w:pPr>
          </w:p>
        </w:tc>
        <w:tc>
          <w:tcPr>
            <w:tcW w:w="281" w:type="pct"/>
            <w:vMerge w:val="restar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响应性审查</w:t>
            </w:r>
          </w:p>
        </w:tc>
        <w:tc>
          <w:tcPr>
            <w:tcW w:w="1177" w:type="pc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对招标文件响应程度</w:t>
            </w:r>
          </w:p>
        </w:tc>
        <w:tc>
          <w:tcPr>
            <w:tcW w:w="2783" w:type="pct"/>
            <w:vAlign w:val="center"/>
          </w:tcPr>
          <w:p>
            <w:pPr>
              <w:tabs>
                <w:tab w:val="left" w:pos="0"/>
              </w:tabs>
              <w:adjustRightInd w:val="0"/>
              <w:snapToGrid w:val="0"/>
              <w:rPr>
                <w:rFonts w:ascii="宋体" w:hAnsi="宋体" w:cs="宋体"/>
                <w:sz w:val="24"/>
                <w:szCs w:val="24"/>
              </w:rPr>
            </w:pPr>
            <w:r>
              <w:rPr>
                <w:rFonts w:hint="eastAsia" w:ascii="宋体" w:hAnsi="宋体" w:cs="宋体"/>
                <w:sz w:val="24"/>
                <w:szCs w:val="24"/>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tcPr>
          <w:p>
            <w:pPr>
              <w:tabs>
                <w:tab w:val="left" w:pos="0"/>
              </w:tabs>
              <w:adjustRightInd w:val="0"/>
              <w:snapToGrid w:val="0"/>
              <w:spacing w:line="360" w:lineRule="auto"/>
              <w:rPr>
                <w:rFonts w:ascii="宋体" w:hAnsi="宋体" w:cs="宋体"/>
                <w:sz w:val="24"/>
                <w:szCs w:val="24"/>
              </w:rPr>
            </w:pPr>
          </w:p>
        </w:tc>
        <w:tc>
          <w:tcPr>
            <w:tcW w:w="302" w:type="pct"/>
            <w:vMerge w:val="continue"/>
          </w:tcPr>
          <w:p>
            <w:pPr>
              <w:tabs>
                <w:tab w:val="left" w:pos="0"/>
              </w:tabs>
              <w:adjustRightInd w:val="0"/>
              <w:snapToGrid w:val="0"/>
              <w:spacing w:line="360" w:lineRule="auto"/>
              <w:rPr>
                <w:rFonts w:ascii="宋体" w:hAnsi="宋体" w:cs="宋体"/>
                <w:b/>
                <w:bCs/>
                <w:sz w:val="24"/>
                <w:szCs w:val="24"/>
              </w:rPr>
            </w:pPr>
          </w:p>
        </w:tc>
        <w:tc>
          <w:tcPr>
            <w:tcW w:w="281" w:type="pct"/>
            <w:vMerge w:val="continue"/>
          </w:tcPr>
          <w:p>
            <w:pPr>
              <w:tabs>
                <w:tab w:val="left" w:pos="0"/>
              </w:tabs>
              <w:adjustRightInd w:val="0"/>
              <w:snapToGrid w:val="0"/>
              <w:spacing w:line="360" w:lineRule="auto"/>
              <w:rPr>
                <w:rFonts w:ascii="宋体" w:hAnsi="宋体" w:cs="宋体"/>
                <w:b/>
                <w:bCs/>
                <w:sz w:val="24"/>
                <w:szCs w:val="24"/>
              </w:rPr>
            </w:pPr>
          </w:p>
        </w:tc>
        <w:tc>
          <w:tcPr>
            <w:tcW w:w="1177" w:type="pc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工期</w:t>
            </w:r>
          </w:p>
        </w:tc>
        <w:tc>
          <w:tcPr>
            <w:tcW w:w="2783" w:type="pct"/>
            <w:vAlign w:val="center"/>
          </w:tcPr>
          <w:p>
            <w:pPr>
              <w:tabs>
                <w:tab w:val="left" w:pos="0"/>
              </w:tabs>
              <w:adjustRightInd w:val="0"/>
              <w:snapToGrid w:val="0"/>
              <w:rPr>
                <w:rFonts w:ascii="宋体" w:hAnsi="宋体" w:cs="宋体"/>
                <w:sz w:val="24"/>
                <w:szCs w:val="24"/>
              </w:rPr>
            </w:pPr>
            <w:r>
              <w:rPr>
                <w:rFonts w:hint="eastAsia" w:ascii="宋体" w:hAnsi="宋体" w:cs="宋体"/>
                <w:sz w:val="24"/>
                <w:szCs w:val="24"/>
              </w:rPr>
              <w:t>应满足招标文件中要求的服务期限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tcPr>
          <w:p>
            <w:pPr>
              <w:tabs>
                <w:tab w:val="left" w:pos="0"/>
              </w:tabs>
              <w:adjustRightInd w:val="0"/>
              <w:snapToGrid w:val="0"/>
              <w:spacing w:line="360" w:lineRule="auto"/>
              <w:rPr>
                <w:rFonts w:ascii="宋体" w:hAnsi="宋体" w:cs="宋体"/>
                <w:sz w:val="24"/>
                <w:szCs w:val="24"/>
              </w:rPr>
            </w:pPr>
          </w:p>
        </w:tc>
        <w:tc>
          <w:tcPr>
            <w:tcW w:w="302" w:type="pct"/>
            <w:vMerge w:val="continue"/>
          </w:tcPr>
          <w:p>
            <w:pPr>
              <w:tabs>
                <w:tab w:val="left" w:pos="0"/>
              </w:tabs>
              <w:adjustRightInd w:val="0"/>
              <w:snapToGrid w:val="0"/>
              <w:spacing w:line="360" w:lineRule="auto"/>
              <w:rPr>
                <w:rFonts w:ascii="宋体" w:hAnsi="宋体" w:cs="宋体"/>
                <w:b/>
                <w:bCs/>
                <w:sz w:val="24"/>
                <w:szCs w:val="24"/>
              </w:rPr>
            </w:pPr>
          </w:p>
        </w:tc>
        <w:tc>
          <w:tcPr>
            <w:tcW w:w="281" w:type="pct"/>
            <w:vMerge w:val="continue"/>
          </w:tcPr>
          <w:p>
            <w:pPr>
              <w:tabs>
                <w:tab w:val="left" w:pos="0"/>
              </w:tabs>
              <w:adjustRightInd w:val="0"/>
              <w:snapToGrid w:val="0"/>
              <w:spacing w:line="360" w:lineRule="auto"/>
              <w:rPr>
                <w:rFonts w:ascii="宋体" w:hAnsi="宋体" w:cs="宋体"/>
                <w:b/>
                <w:bCs/>
                <w:sz w:val="24"/>
                <w:szCs w:val="24"/>
              </w:rPr>
            </w:pPr>
          </w:p>
        </w:tc>
        <w:tc>
          <w:tcPr>
            <w:tcW w:w="1177" w:type="pct"/>
            <w:vAlign w:val="center"/>
          </w:tcPr>
          <w:p>
            <w:pPr>
              <w:tabs>
                <w:tab w:val="left" w:pos="0"/>
              </w:tabs>
              <w:adjustRightInd w:val="0"/>
              <w:snapToGrid w:val="0"/>
              <w:jc w:val="center"/>
              <w:rPr>
                <w:rFonts w:ascii="宋体" w:hAnsi="宋体" w:cs="宋体"/>
                <w:b/>
                <w:bCs/>
                <w:sz w:val="24"/>
                <w:szCs w:val="24"/>
              </w:rPr>
            </w:pPr>
            <w:r>
              <w:rPr>
                <w:rFonts w:hint="eastAsia" w:ascii="宋体" w:hAnsi="宋体" w:cs="宋体"/>
                <w:b/>
                <w:bCs/>
                <w:sz w:val="24"/>
                <w:szCs w:val="24"/>
              </w:rPr>
              <w:t>投标有效期</w:t>
            </w:r>
          </w:p>
        </w:tc>
        <w:tc>
          <w:tcPr>
            <w:tcW w:w="2783" w:type="pct"/>
            <w:vAlign w:val="center"/>
          </w:tcPr>
          <w:p>
            <w:pPr>
              <w:tabs>
                <w:tab w:val="left" w:pos="0"/>
              </w:tabs>
              <w:adjustRightInd w:val="0"/>
              <w:snapToGrid w:val="0"/>
              <w:rPr>
                <w:rFonts w:ascii="宋体" w:hAnsi="宋体" w:cs="宋体"/>
                <w:sz w:val="24"/>
                <w:szCs w:val="24"/>
              </w:rPr>
            </w:pPr>
            <w:r>
              <w:rPr>
                <w:rFonts w:hint="eastAsia" w:ascii="宋体" w:hAnsi="宋体" w:cs="宋体"/>
                <w:sz w:val="24"/>
                <w:szCs w:val="24"/>
              </w:rPr>
              <w:t>应满足招标文件中的规定</w:t>
            </w:r>
          </w:p>
        </w:tc>
      </w:tr>
    </w:tbl>
    <w:p>
      <w:pPr>
        <w:spacing w:line="600" w:lineRule="exact"/>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附件2分值构成与评分标准</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301"/>
        <w:gridCol w:w="2610"/>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6" w:type="pct"/>
            <w:vAlign w:val="center"/>
          </w:tcPr>
          <w:p>
            <w:pPr>
              <w:spacing w:line="480" w:lineRule="exact"/>
              <w:jc w:val="center"/>
              <w:rPr>
                <w:rFonts w:ascii="宋体" w:hAnsi="宋体" w:cs="宋体"/>
                <w:b/>
                <w:sz w:val="24"/>
                <w:szCs w:val="24"/>
              </w:rPr>
            </w:pPr>
            <w:r>
              <w:rPr>
                <w:rFonts w:hint="eastAsia" w:ascii="宋体" w:hAnsi="宋体" w:cs="宋体"/>
                <w:b/>
                <w:sz w:val="24"/>
                <w:szCs w:val="24"/>
              </w:rPr>
              <w:t>评分因素</w:t>
            </w:r>
          </w:p>
        </w:tc>
        <w:tc>
          <w:tcPr>
            <w:tcW w:w="680" w:type="pct"/>
            <w:vAlign w:val="center"/>
          </w:tcPr>
          <w:p>
            <w:pPr>
              <w:spacing w:line="480" w:lineRule="exact"/>
              <w:jc w:val="center"/>
              <w:rPr>
                <w:rFonts w:ascii="宋体" w:hAnsi="宋体" w:cs="宋体"/>
                <w:b/>
                <w:sz w:val="24"/>
                <w:szCs w:val="24"/>
              </w:rPr>
            </w:pPr>
            <w:r>
              <w:rPr>
                <w:rFonts w:hint="eastAsia" w:ascii="宋体" w:hAnsi="宋体" w:cs="宋体"/>
                <w:b/>
                <w:sz w:val="24"/>
                <w:szCs w:val="24"/>
              </w:rPr>
              <w:t>总分</w:t>
            </w:r>
          </w:p>
          <w:p>
            <w:pPr>
              <w:spacing w:line="480" w:lineRule="exact"/>
              <w:jc w:val="center"/>
              <w:rPr>
                <w:rFonts w:ascii="宋体" w:hAnsi="宋体" w:cs="宋体"/>
                <w:b/>
                <w:sz w:val="24"/>
                <w:szCs w:val="24"/>
              </w:rPr>
            </w:pPr>
            <w:r>
              <w:rPr>
                <w:rFonts w:hint="eastAsia" w:ascii="宋体" w:hAnsi="宋体" w:cs="宋体"/>
                <w:b/>
                <w:sz w:val="24"/>
                <w:szCs w:val="24"/>
              </w:rPr>
              <w:t>（100分）</w:t>
            </w:r>
          </w:p>
        </w:tc>
        <w:tc>
          <w:tcPr>
            <w:tcW w:w="1364" w:type="pct"/>
            <w:vAlign w:val="center"/>
          </w:tcPr>
          <w:p>
            <w:pPr>
              <w:spacing w:line="480" w:lineRule="exact"/>
              <w:jc w:val="center"/>
              <w:rPr>
                <w:rFonts w:ascii="宋体" w:hAnsi="宋体" w:cs="宋体"/>
                <w:b/>
                <w:sz w:val="24"/>
                <w:szCs w:val="24"/>
              </w:rPr>
            </w:pPr>
            <w:r>
              <w:rPr>
                <w:rFonts w:hint="eastAsia" w:ascii="宋体" w:hAnsi="宋体" w:cs="宋体"/>
                <w:b/>
                <w:sz w:val="24"/>
                <w:szCs w:val="24"/>
              </w:rPr>
              <w:t>评审要素</w:t>
            </w:r>
          </w:p>
        </w:tc>
        <w:tc>
          <w:tcPr>
            <w:tcW w:w="2509" w:type="pct"/>
            <w:vAlign w:val="center"/>
          </w:tcPr>
          <w:p>
            <w:pPr>
              <w:spacing w:line="480" w:lineRule="exact"/>
              <w:jc w:val="center"/>
              <w:rPr>
                <w:rFonts w:ascii="宋体" w:hAnsi="宋体" w:cs="宋体"/>
                <w:b/>
                <w:sz w:val="24"/>
                <w:szCs w:val="24"/>
              </w:rPr>
            </w:pPr>
            <w:r>
              <w:rPr>
                <w:rFonts w:hint="eastAsia" w:ascii="宋体" w:hAnsi="宋体" w:cs="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46" w:type="pct"/>
            <w:vMerge w:val="restart"/>
            <w:vAlign w:val="center"/>
          </w:tcPr>
          <w:p>
            <w:pPr>
              <w:spacing w:line="480" w:lineRule="exact"/>
              <w:jc w:val="center"/>
              <w:rPr>
                <w:rFonts w:ascii="宋体" w:hAnsi="宋体" w:cs="宋体"/>
                <w:sz w:val="24"/>
                <w:szCs w:val="24"/>
              </w:rPr>
            </w:pPr>
            <w:r>
              <w:rPr>
                <w:rFonts w:hint="eastAsia" w:ascii="宋体" w:hAnsi="宋体" w:cs="宋体"/>
                <w:sz w:val="24"/>
                <w:szCs w:val="24"/>
              </w:rPr>
              <w:t>技术评审</w:t>
            </w:r>
          </w:p>
        </w:tc>
        <w:tc>
          <w:tcPr>
            <w:tcW w:w="680" w:type="pct"/>
            <w:vMerge w:val="restart"/>
            <w:vAlign w:val="center"/>
          </w:tcPr>
          <w:p>
            <w:pPr>
              <w:spacing w:line="48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56</w:t>
            </w:r>
            <w:r>
              <w:rPr>
                <w:rFonts w:hint="eastAsia" w:ascii="宋体" w:hAnsi="宋体" w:cs="宋体"/>
                <w:sz w:val="24"/>
                <w:szCs w:val="24"/>
              </w:rPr>
              <w:t>分）</w:t>
            </w:r>
          </w:p>
        </w:tc>
        <w:tc>
          <w:tcPr>
            <w:tcW w:w="1364" w:type="pct"/>
            <w:vAlign w:val="center"/>
          </w:tcPr>
          <w:p>
            <w:pPr>
              <w:spacing w:line="480" w:lineRule="exact"/>
              <w:rPr>
                <w:rFonts w:ascii="宋体" w:hAnsi="宋体" w:cs="宋体"/>
                <w:sz w:val="24"/>
                <w:szCs w:val="24"/>
              </w:rPr>
            </w:pPr>
            <w:r>
              <w:rPr>
                <w:rFonts w:hint="eastAsia" w:ascii="宋体" w:hAnsi="宋体" w:cs="宋体"/>
                <w:sz w:val="24"/>
                <w:szCs w:val="24"/>
              </w:rPr>
              <w:t>项目管理及力量配备（5分）</w:t>
            </w:r>
          </w:p>
        </w:tc>
        <w:tc>
          <w:tcPr>
            <w:tcW w:w="2509" w:type="pct"/>
            <w:vAlign w:val="center"/>
          </w:tcPr>
          <w:p>
            <w:pPr>
              <w:spacing w:line="480" w:lineRule="exact"/>
              <w:rPr>
                <w:rFonts w:hint="eastAsia" w:ascii="宋体" w:hAnsi="宋体" w:eastAsia="宋体" w:cs="宋体"/>
                <w:sz w:val="24"/>
                <w:szCs w:val="24"/>
                <w:lang w:eastAsia="zh-CN"/>
              </w:rPr>
            </w:pPr>
            <w:r>
              <w:rPr>
                <w:rFonts w:hint="eastAsia" w:ascii="宋体" w:hAnsi="宋体" w:cs="宋体"/>
                <w:sz w:val="24"/>
                <w:szCs w:val="24"/>
              </w:rPr>
              <w:t>项目团队技术人员配备合理，满足本项目需求，依据配备情况得</w:t>
            </w:r>
            <w:r>
              <w:rPr>
                <w:rFonts w:hint="eastAsia" w:ascii="宋体" w:hAnsi="宋体" w:cs="宋体"/>
                <w:sz w:val="24"/>
                <w:szCs w:val="24"/>
                <w:lang w:val="en-US" w:eastAsia="zh-CN"/>
              </w:rPr>
              <w:t>0</w:t>
            </w:r>
            <w:r>
              <w:rPr>
                <w:rFonts w:hint="eastAsia" w:ascii="宋体" w:hAnsi="宋体" w:cs="宋体"/>
                <w:sz w:val="24"/>
                <w:szCs w:val="24"/>
              </w:rPr>
              <w:t>-5分</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46" w:type="pct"/>
            <w:vMerge w:val="continue"/>
            <w:vAlign w:val="center"/>
          </w:tcPr>
          <w:p>
            <w:pPr>
              <w:spacing w:line="480" w:lineRule="exact"/>
              <w:jc w:val="center"/>
              <w:rPr>
                <w:rFonts w:ascii="宋体" w:hAnsi="宋体" w:cs="宋体"/>
                <w:sz w:val="24"/>
                <w:szCs w:val="24"/>
              </w:rPr>
            </w:pPr>
          </w:p>
        </w:tc>
        <w:tc>
          <w:tcPr>
            <w:tcW w:w="680" w:type="pct"/>
            <w:vMerge w:val="continue"/>
            <w:vAlign w:val="center"/>
          </w:tcPr>
          <w:p>
            <w:pPr>
              <w:spacing w:line="480" w:lineRule="exact"/>
              <w:jc w:val="center"/>
              <w:rPr>
                <w:rFonts w:ascii="宋体" w:hAnsi="宋体" w:cs="宋体"/>
                <w:sz w:val="24"/>
                <w:szCs w:val="24"/>
              </w:rPr>
            </w:pPr>
          </w:p>
        </w:tc>
        <w:tc>
          <w:tcPr>
            <w:tcW w:w="1364" w:type="pct"/>
            <w:vAlign w:val="center"/>
          </w:tcPr>
          <w:p>
            <w:pPr>
              <w:spacing w:line="480" w:lineRule="exact"/>
              <w:rPr>
                <w:rFonts w:ascii="宋体" w:hAnsi="宋体" w:cs="宋体"/>
                <w:sz w:val="24"/>
                <w:szCs w:val="24"/>
              </w:rPr>
            </w:pPr>
            <w:r>
              <w:rPr>
                <w:rFonts w:hint="eastAsia" w:ascii="宋体" w:hAnsi="宋体" w:cs="宋体"/>
                <w:sz w:val="24"/>
                <w:szCs w:val="24"/>
              </w:rPr>
              <w:t>项目实施方案（</w:t>
            </w:r>
            <w:r>
              <w:rPr>
                <w:rFonts w:hint="eastAsia" w:ascii="宋体" w:hAnsi="宋体" w:cs="宋体"/>
                <w:sz w:val="24"/>
                <w:szCs w:val="24"/>
                <w:lang w:val="en-US" w:eastAsia="zh-CN"/>
              </w:rPr>
              <w:t>20</w:t>
            </w:r>
            <w:r>
              <w:rPr>
                <w:rFonts w:hint="eastAsia" w:ascii="宋体" w:hAnsi="宋体" w:cs="宋体"/>
                <w:sz w:val="24"/>
                <w:szCs w:val="24"/>
              </w:rPr>
              <w:t>分）</w:t>
            </w:r>
          </w:p>
        </w:tc>
        <w:tc>
          <w:tcPr>
            <w:tcW w:w="2509" w:type="pct"/>
            <w:vAlign w:val="center"/>
          </w:tcPr>
          <w:p>
            <w:pPr>
              <w:spacing w:line="480" w:lineRule="exact"/>
              <w:rPr>
                <w:rFonts w:ascii="宋体" w:hAnsi="宋体" w:cs="宋体"/>
                <w:sz w:val="24"/>
                <w:szCs w:val="24"/>
              </w:rPr>
            </w:pPr>
            <w:r>
              <w:rPr>
                <w:rFonts w:hint="eastAsia" w:ascii="宋体" w:hAnsi="宋体" w:cs="宋体"/>
                <w:sz w:val="24"/>
                <w:szCs w:val="24"/>
                <w:lang w:eastAsia="zh-CN"/>
              </w:rPr>
              <w:t>退化林修复</w:t>
            </w:r>
            <w:r>
              <w:rPr>
                <w:rFonts w:hint="eastAsia" w:ascii="宋体" w:hAnsi="宋体" w:cs="宋体"/>
                <w:sz w:val="24"/>
                <w:szCs w:val="24"/>
              </w:rPr>
              <w:t>实施方案所述内容条理清晰，方案切实可行，响应并优于工程要求得</w:t>
            </w:r>
            <w:r>
              <w:rPr>
                <w:rFonts w:hint="eastAsia" w:ascii="宋体" w:hAnsi="宋体" w:cs="宋体"/>
                <w:sz w:val="24"/>
                <w:szCs w:val="24"/>
                <w:lang w:val="en-US" w:eastAsia="zh-CN"/>
              </w:rPr>
              <w:t>0-20</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446" w:type="pct"/>
            <w:vMerge w:val="continue"/>
            <w:vAlign w:val="center"/>
          </w:tcPr>
          <w:p>
            <w:pPr>
              <w:spacing w:line="480" w:lineRule="exact"/>
              <w:jc w:val="center"/>
              <w:rPr>
                <w:rFonts w:ascii="宋体" w:hAnsi="宋体" w:cs="宋体"/>
                <w:sz w:val="24"/>
                <w:szCs w:val="24"/>
              </w:rPr>
            </w:pPr>
          </w:p>
        </w:tc>
        <w:tc>
          <w:tcPr>
            <w:tcW w:w="680" w:type="pct"/>
            <w:vMerge w:val="continue"/>
            <w:vAlign w:val="center"/>
          </w:tcPr>
          <w:p>
            <w:pPr>
              <w:spacing w:line="480" w:lineRule="exact"/>
              <w:jc w:val="center"/>
              <w:rPr>
                <w:rFonts w:ascii="宋体" w:hAnsi="宋体" w:cs="宋体"/>
                <w:sz w:val="24"/>
                <w:szCs w:val="24"/>
              </w:rPr>
            </w:pPr>
          </w:p>
        </w:tc>
        <w:tc>
          <w:tcPr>
            <w:tcW w:w="1364" w:type="pct"/>
            <w:vAlign w:val="center"/>
          </w:tcPr>
          <w:p>
            <w:pPr>
              <w:spacing w:line="480" w:lineRule="exact"/>
              <w:rPr>
                <w:rFonts w:ascii="宋体" w:hAnsi="宋体" w:cs="宋体"/>
                <w:sz w:val="24"/>
                <w:szCs w:val="24"/>
              </w:rPr>
            </w:pPr>
            <w:r>
              <w:rPr>
                <w:rFonts w:hint="eastAsia" w:ascii="宋体" w:hAnsi="宋体" w:cs="宋体"/>
                <w:sz w:val="24"/>
                <w:szCs w:val="24"/>
              </w:rPr>
              <w:t>确保工程质量和工期的技术组织措施（6分）</w:t>
            </w:r>
          </w:p>
        </w:tc>
        <w:tc>
          <w:tcPr>
            <w:tcW w:w="2509" w:type="pct"/>
            <w:vAlign w:val="center"/>
          </w:tcPr>
          <w:p>
            <w:pPr>
              <w:spacing w:line="480" w:lineRule="exact"/>
              <w:rPr>
                <w:rFonts w:ascii="宋体" w:hAnsi="宋体" w:cs="宋体"/>
                <w:sz w:val="24"/>
                <w:szCs w:val="24"/>
              </w:rPr>
            </w:pPr>
            <w:r>
              <w:rPr>
                <w:rFonts w:hint="eastAsia" w:ascii="宋体" w:hAnsi="宋体" w:cs="宋体"/>
                <w:sz w:val="24"/>
                <w:szCs w:val="24"/>
              </w:rPr>
              <w:t>所述内容切合工程实际，措施切实可行，优于工程要求得</w:t>
            </w:r>
            <w:r>
              <w:rPr>
                <w:rFonts w:hint="eastAsia" w:ascii="宋体" w:hAnsi="宋体" w:cs="宋体"/>
                <w:sz w:val="24"/>
                <w:szCs w:val="24"/>
                <w:lang w:val="en-US" w:eastAsia="zh-CN"/>
              </w:rPr>
              <w:t>0</w:t>
            </w:r>
            <w:r>
              <w:rPr>
                <w:rFonts w:hint="eastAsia" w:ascii="宋体" w:hAnsi="宋体" w:cs="宋体"/>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pct"/>
            <w:vMerge w:val="continue"/>
            <w:vAlign w:val="center"/>
          </w:tcPr>
          <w:p>
            <w:pPr>
              <w:spacing w:line="480" w:lineRule="exact"/>
              <w:jc w:val="center"/>
              <w:rPr>
                <w:rFonts w:ascii="宋体" w:hAnsi="宋体" w:cs="宋体"/>
                <w:sz w:val="24"/>
                <w:szCs w:val="24"/>
              </w:rPr>
            </w:pPr>
          </w:p>
        </w:tc>
        <w:tc>
          <w:tcPr>
            <w:tcW w:w="680" w:type="pct"/>
            <w:vMerge w:val="continue"/>
            <w:vAlign w:val="center"/>
          </w:tcPr>
          <w:p>
            <w:pPr>
              <w:spacing w:line="480" w:lineRule="exact"/>
              <w:jc w:val="center"/>
              <w:rPr>
                <w:rFonts w:ascii="宋体" w:hAnsi="宋体" w:cs="宋体"/>
                <w:sz w:val="24"/>
                <w:szCs w:val="24"/>
              </w:rPr>
            </w:pPr>
          </w:p>
        </w:tc>
        <w:tc>
          <w:tcPr>
            <w:tcW w:w="1364" w:type="pct"/>
            <w:vAlign w:val="center"/>
          </w:tcPr>
          <w:p>
            <w:pPr>
              <w:spacing w:line="480" w:lineRule="exact"/>
              <w:rPr>
                <w:rFonts w:ascii="宋体" w:hAnsi="宋体" w:cs="宋体"/>
                <w:sz w:val="24"/>
                <w:szCs w:val="24"/>
              </w:rPr>
            </w:pPr>
            <w:r>
              <w:rPr>
                <w:rFonts w:hint="eastAsia" w:ascii="宋体" w:hAnsi="宋体" w:cs="宋体"/>
                <w:sz w:val="24"/>
                <w:szCs w:val="24"/>
              </w:rPr>
              <w:t>主要机具、设备和劳动力配备情况（6分）</w:t>
            </w:r>
          </w:p>
        </w:tc>
        <w:tc>
          <w:tcPr>
            <w:tcW w:w="2509" w:type="pct"/>
            <w:vAlign w:val="center"/>
          </w:tcPr>
          <w:p>
            <w:pPr>
              <w:spacing w:line="480" w:lineRule="exact"/>
              <w:rPr>
                <w:rFonts w:ascii="宋体" w:hAnsi="宋体" w:cs="宋体"/>
                <w:sz w:val="24"/>
                <w:szCs w:val="24"/>
              </w:rPr>
            </w:pPr>
            <w:r>
              <w:rPr>
                <w:rFonts w:hint="eastAsia" w:ascii="宋体" w:hAnsi="宋体" w:cs="宋体"/>
                <w:sz w:val="24"/>
                <w:szCs w:val="24"/>
              </w:rPr>
              <w:t>进度计划合理，工期目标明确，投入的主要机具、设备先进，劳动力配备充足</w:t>
            </w:r>
            <w:r>
              <w:rPr>
                <w:rFonts w:hint="eastAsia" w:ascii="宋体" w:hAnsi="宋体" w:cs="宋体"/>
                <w:sz w:val="24"/>
                <w:szCs w:val="24"/>
                <w:lang w:val="en-US" w:eastAsia="zh-CN"/>
              </w:rPr>
              <w:t>0-6分</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446" w:type="pct"/>
            <w:vMerge w:val="continue"/>
            <w:vAlign w:val="center"/>
          </w:tcPr>
          <w:p>
            <w:pPr>
              <w:spacing w:line="480" w:lineRule="exact"/>
              <w:jc w:val="center"/>
              <w:rPr>
                <w:rFonts w:ascii="宋体" w:hAnsi="宋体" w:cs="宋体"/>
                <w:sz w:val="24"/>
                <w:szCs w:val="24"/>
              </w:rPr>
            </w:pPr>
          </w:p>
        </w:tc>
        <w:tc>
          <w:tcPr>
            <w:tcW w:w="680" w:type="pct"/>
            <w:vMerge w:val="continue"/>
            <w:vAlign w:val="center"/>
          </w:tcPr>
          <w:p>
            <w:pPr>
              <w:spacing w:line="480" w:lineRule="exact"/>
              <w:jc w:val="center"/>
              <w:rPr>
                <w:rFonts w:ascii="宋体" w:hAnsi="宋体" w:cs="宋体"/>
                <w:sz w:val="24"/>
                <w:szCs w:val="24"/>
              </w:rPr>
            </w:pPr>
          </w:p>
        </w:tc>
        <w:tc>
          <w:tcPr>
            <w:tcW w:w="1364" w:type="pct"/>
            <w:vAlign w:val="center"/>
          </w:tcPr>
          <w:p>
            <w:pPr>
              <w:spacing w:line="480" w:lineRule="exact"/>
              <w:rPr>
                <w:rFonts w:ascii="宋体" w:hAnsi="宋体" w:cs="宋体"/>
                <w:sz w:val="24"/>
                <w:szCs w:val="24"/>
              </w:rPr>
            </w:pPr>
            <w:r>
              <w:rPr>
                <w:rFonts w:hint="eastAsia" w:ascii="宋体" w:hAnsi="宋体" w:cs="宋体"/>
                <w:sz w:val="24"/>
                <w:szCs w:val="24"/>
              </w:rPr>
              <w:t>确保工程安全和文明的技术组织措施（4分）</w:t>
            </w:r>
          </w:p>
        </w:tc>
        <w:tc>
          <w:tcPr>
            <w:tcW w:w="2509" w:type="pct"/>
            <w:vAlign w:val="center"/>
          </w:tcPr>
          <w:p>
            <w:pPr>
              <w:spacing w:line="480" w:lineRule="exact"/>
              <w:rPr>
                <w:rFonts w:hint="eastAsia" w:ascii="宋体" w:hAnsi="宋体" w:eastAsia="宋体" w:cs="宋体"/>
                <w:sz w:val="24"/>
                <w:szCs w:val="24"/>
                <w:lang w:eastAsia="zh-CN"/>
              </w:rPr>
            </w:pPr>
            <w:r>
              <w:rPr>
                <w:rFonts w:hint="eastAsia" w:ascii="宋体" w:hAnsi="宋体" w:cs="宋体"/>
                <w:sz w:val="24"/>
                <w:szCs w:val="24"/>
              </w:rPr>
              <w:t>所述措施明确切实可行，优于工程要求得</w:t>
            </w:r>
            <w:r>
              <w:rPr>
                <w:rFonts w:hint="eastAsia" w:ascii="宋体" w:hAnsi="宋体" w:cs="宋体"/>
                <w:sz w:val="24"/>
                <w:szCs w:val="24"/>
                <w:lang w:val="en-US" w:eastAsia="zh-CN"/>
              </w:rPr>
              <w:t>0-4</w:t>
            </w:r>
            <w:r>
              <w:rPr>
                <w:rFonts w:hint="eastAsia" w:ascii="宋体" w:hAnsi="宋体" w:cs="宋体"/>
                <w:sz w:val="24"/>
                <w:szCs w:val="24"/>
              </w:rPr>
              <w:t>分</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446" w:type="pct"/>
            <w:vMerge w:val="continue"/>
            <w:vAlign w:val="center"/>
          </w:tcPr>
          <w:p>
            <w:pPr>
              <w:spacing w:line="480" w:lineRule="exact"/>
              <w:jc w:val="center"/>
              <w:rPr>
                <w:rFonts w:ascii="宋体" w:hAnsi="宋体" w:cs="宋体"/>
                <w:sz w:val="24"/>
                <w:szCs w:val="24"/>
              </w:rPr>
            </w:pPr>
          </w:p>
        </w:tc>
        <w:tc>
          <w:tcPr>
            <w:tcW w:w="680" w:type="pct"/>
            <w:vMerge w:val="continue"/>
            <w:vAlign w:val="center"/>
          </w:tcPr>
          <w:p>
            <w:pPr>
              <w:spacing w:line="480" w:lineRule="exact"/>
              <w:jc w:val="center"/>
              <w:rPr>
                <w:rFonts w:ascii="宋体" w:hAnsi="宋体" w:cs="宋体"/>
                <w:sz w:val="24"/>
                <w:szCs w:val="24"/>
              </w:rPr>
            </w:pPr>
          </w:p>
        </w:tc>
        <w:tc>
          <w:tcPr>
            <w:tcW w:w="1364" w:type="pct"/>
            <w:vAlign w:val="center"/>
          </w:tcPr>
          <w:p>
            <w:pPr>
              <w:spacing w:line="480" w:lineRule="exact"/>
              <w:rPr>
                <w:rFonts w:ascii="宋体" w:hAnsi="宋体" w:cs="宋体"/>
                <w:sz w:val="24"/>
                <w:szCs w:val="24"/>
              </w:rPr>
            </w:pPr>
            <w:r>
              <w:rPr>
                <w:rFonts w:hint="eastAsia" w:ascii="宋体" w:hAnsi="宋体" w:cs="宋体"/>
                <w:sz w:val="24"/>
                <w:szCs w:val="24"/>
              </w:rPr>
              <w:t>消防安全保障方案及应急措施（1</w:t>
            </w:r>
            <w:r>
              <w:rPr>
                <w:rFonts w:hint="eastAsia" w:ascii="宋体" w:hAnsi="宋体" w:cs="宋体"/>
                <w:sz w:val="24"/>
                <w:szCs w:val="24"/>
                <w:lang w:val="en-US" w:eastAsia="zh-CN"/>
              </w:rPr>
              <w:t>5</w:t>
            </w:r>
            <w:r>
              <w:rPr>
                <w:rFonts w:hint="eastAsia" w:ascii="宋体" w:hAnsi="宋体" w:cs="宋体"/>
                <w:sz w:val="24"/>
                <w:szCs w:val="24"/>
              </w:rPr>
              <w:t>分）</w:t>
            </w:r>
          </w:p>
        </w:tc>
        <w:tc>
          <w:tcPr>
            <w:tcW w:w="2509" w:type="pct"/>
            <w:vAlign w:val="center"/>
          </w:tcPr>
          <w:p>
            <w:pPr>
              <w:spacing w:line="480" w:lineRule="exact"/>
              <w:rPr>
                <w:rFonts w:ascii="宋体" w:hAnsi="宋体" w:cs="宋体"/>
                <w:sz w:val="24"/>
                <w:szCs w:val="24"/>
              </w:rPr>
            </w:pPr>
            <w:r>
              <w:rPr>
                <w:rFonts w:hint="eastAsia" w:ascii="宋体" w:hAnsi="宋体" w:cs="宋体"/>
                <w:sz w:val="24"/>
                <w:szCs w:val="24"/>
              </w:rPr>
              <w:t>保障方案、措施合理、完善，</w:t>
            </w:r>
            <w:r>
              <w:rPr>
                <w:rFonts w:hint="eastAsia" w:ascii="宋体" w:hAnsi="宋体" w:cs="宋体"/>
                <w:sz w:val="24"/>
                <w:szCs w:val="24"/>
                <w:lang w:val="en-US" w:eastAsia="zh-CN"/>
              </w:rPr>
              <w:t>0-</w:t>
            </w: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pct"/>
            <w:vMerge w:val="restart"/>
            <w:vAlign w:val="center"/>
          </w:tcPr>
          <w:p>
            <w:pPr>
              <w:spacing w:line="480" w:lineRule="exact"/>
              <w:jc w:val="center"/>
              <w:rPr>
                <w:rFonts w:ascii="宋体" w:hAnsi="宋体" w:cs="宋体"/>
                <w:sz w:val="24"/>
                <w:szCs w:val="24"/>
              </w:rPr>
            </w:pPr>
            <w:r>
              <w:rPr>
                <w:rFonts w:hint="eastAsia" w:ascii="宋体" w:hAnsi="宋体" w:cs="宋体"/>
                <w:sz w:val="24"/>
                <w:szCs w:val="24"/>
              </w:rPr>
              <w:t>履约能力</w:t>
            </w:r>
          </w:p>
        </w:tc>
        <w:tc>
          <w:tcPr>
            <w:tcW w:w="680" w:type="pct"/>
            <w:vMerge w:val="restart"/>
            <w:vAlign w:val="center"/>
          </w:tcPr>
          <w:p>
            <w:pPr>
              <w:spacing w:line="480" w:lineRule="exact"/>
              <w:jc w:val="center"/>
              <w:rPr>
                <w:rFonts w:ascii="宋体" w:hAnsi="宋体" w:cs="宋体"/>
                <w:sz w:val="24"/>
                <w:szCs w:val="24"/>
              </w:rPr>
            </w:pPr>
            <w:r>
              <w:rPr>
                <w:rFonts w:hint="eastAsia" w:ascii="宋体" w:hAnsi="宋体" w:cs="宋体"/>
                <w:sz w:val="24"/>
                <w:szCs w:val="24"/>
              </w:rPr>
              <w:t>（14分）</w:t>
            </w:r>
          </w:p>
        </w:tc>
        <w:tc>
          <w:tcPr>
            <w:tcW w:w="1364" w:type="pct"/>
            <w:vAlign w:val="center"/>
          </w:tcPr>
          <w:p>
            <w:pPr>
              <w:spacing w:line="480" w:lineRule="exact"/>
              <w:rPr>
                <w:rFonts w:ascii="宋体" w:hAnsi="宋体" w:cs="宋体"/>
                <w:sz w:val="24"/>
                <w:szCs w:val="24"/>
              </w:rPr>
            </w:pPr>
            <w:r>
              <w:rPr>
                <w:rFonts w:hint="eastAsia" w:ascii="宋体" w:hAnsi="宋体" w:cs="宋体"/>
                <w:sz w:val="24"/>
                <w:szCs w:val="24"/>
              </w:rPr>
              <w:t>施工承诺（0-</w:t>
            </w:r>
            <w:r>
              <w:rPr>
                <w:rFonts w:ascii="宋体" w:hAnsi="宋体" w:cs="宋体"/>
                <w:sz w:val="24"/>
                <w:szCs w:val="24"/>
              </w:rPr>
              <w:t>5</w:t>
            </w:r>
            <w:r>
              <w:rPr>
                <w:rFonts w:hint="eastAsia" w:ascii="宋体" w:hAnsi="宋体" w:cs="宋体"/>
                <w:sz w:val="24"/>
                <w:szCs w:val="24"/>
              </w:rPr>
              <w:t>分）</w:t>
            </w:r>
          </w:p>
        </w:tc>
        <w:tc>
          <w:tcPr>
            <w:tcW w:w="2509" w:type="pct"/>
            <w:vAlign w:val="center"/>
          </w:tcPr>
          <w:p>
            <w:pPr>
              <w:spacing w:line="480" w:lineRule="exact"/>
              <w:rPr>
                <w:rFonts w:ascii="宋体" w:hAnsi="宋体" w:cs="宋体"/>
                <w:sz w:val="24"/>
                <w:szCs w:val="24"/>
              </w:rPr>
            </w:pPr>
            <w:r>
              <w:rPr>
                <w:rFonts w:hint="eastAsia" w:ascii="宋体" w:hAnsi="宋体" w:cs="宋体"/>
                <w:sz w:val="24"/>
                <w:szCs w:val="24"/>
              </w:rPr>
              <w:t>针对本项目</w:t>
            </w:r>
            <w:r>
              <w:rPr>
                <w:rFonts w:hint="eastAsia" w:ascii="宋体" w:hAnsi="宋体" w:cs="宋体"/>
                <w:sz w:val="24"/>
                <w:szCs w:val="24"/>
                <w:lang w:eastAsia="zh-CN"/>
              </w:rPr>
              <w:t>退化林修复</w:t>
            </w:r>
            <w:r>
              <w:rPr>
                <w:rFonts w:hint="eastAsia" w:ascii="宋体" w:hAnsi="宋体" w:cs="宋体"/>
                <w:sz w:val="24"/>
                <w:szCs w:val="24"/>
              </w:rPr>
              <w:t>施工进行技术、质量、安全等的响应承诺书；依据承诺书的实质性条件进行综合赋分。0-</w:t>
            </w:r>
            <w:r>
              <w:rPr>
                <w:rFonts w:ascii="宋体" w:hAnsi="宋体" w:cs="宋体"/>
                <w:sz w:val="24"/>
                <w:szCs w:val="24"/>
              </w:rPr>
              <w:t>5</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6" w:type="pct"/>
            <w:vMerge w:val="continue"/>
            <w:vAlign w:val="center"/>
          </w:tcPr>
          <w:p>
            <w:pPr>
              <w:spacing w:line="480" w:lineRule="exact"/>
              <w:jc w:val="center"/>
              <w:rPr>
                <w:rFonts w:ascii="宋体" w:hAnsi="宋体" w:cs="宋体"/>
                <w:sz w:val="24"/>
                <w:szCs w:val="24"/>
              </w:rPr>
            </w:pPr>
          </w:p>
        </w:tc>
        <w:tc>
          <w:tcPr>
            <w:tcW w:w="680" w:type="pct"/>
            <w:vMerge w:val="continue"/>
            <w:vAlign w:val="center"/>
          </w:tcPr>
          <w:p>
            <w:pPr>
              <w:spacing w:line="480" w:lineRule="exact"/>
              <w:jc w:val="center"/>
              <w:rPr>
                <w:rFonts w:ascii="宋体" w:hAnsi="宋体" w:cs="宋体"/>
                <w:sz w:val="24"/>
                <w:szCs w:val="24"/>
              </w:rPr>
            </w:pPr>
          </w:p>
        </w:tc>
        <w:tc>
          <w:tcPr>
            <w:tcW w:w="1364" w:type="pct"/>
            <w:vAlign w:val="center"/>
          </w:tcPr>
          <w:p>
            <w:pPr>
              <w:spacing w:line="480" w:lineRule="exact"/>
              <w:rPr>
                <w:rFonts w:ascii="宋体" w:hAnsi="宋体" w:cs="宋体"/>
                <w:sz w:val="24"/>
                <w:szCs w:val="24"/>
              </w:rPr>
            </w:pPr>
            <w:r>
              <w:rPr>
                <w:rFonts w:hint="eastAsia" w:ascii="宋体" w:hAnsi="宋体" w:cs="宋体"/>
                <w:sz w:val="24"/>
                <w:szCs w:val="24"/>
              </w:rPr>
              <w:t>业绩（</w:t>
            </w:r>
            <w:r>
              <w:rPr>
                <w:rFonts w:ascii="宋体" w:hAnsi="宋体" w:cs="宋体"/>
                <w:sz w:val="24"/>
                <w:szCs w:val="24"/>
              </w:rPr>
              <w:t>9</w:t>
            </w:r>
            <w:r>
              <w:rPr>
                <w:rFonts w:hint="eastAsia" w:ascii="宋体" w:hAnsi="宋体" w:cs="宋体"/>
                <w:sz w:val="24"/>
                <w:szCs w:val="24"/>
              </w:rPr>
              <w:t>分）</w:t>
            </w:r>
          </w:p>
        </w:tc>
        <w:tc>
          <w:tcPr>
            <w:tcW w:w="2509" w:type="pct"/>
            <w:vAlign w:val="center"/>
          </w:tcPr>
          <w:p>
            <w:pPr>
              <w:spacing w:line="480" w:lineRule="exact"/>
              <w:rPr>
                <w:rFonts w:ascii="宋体" w:hAnsi="宋体" w:cs="宋体"/>
                <w:sz w:val="24"/>
                <w:szCs w:val="24"/>
              </w:rPr>
            </w:pPr>
            <w:r>
              <w:rPr>
                <w:rFonts w:hint="eastAsia" w:ascii="宋体" w:hAnsi="宋体" w:cs="宋体"/>
                <w:sz w:val="24"/>
                <w:szCs w:val="24"/>
              </w:rPr>
              <w:t>投标人提供类似项目业绩，响应文件中附有说明其业绩证明材料（业绩以合同复印件为依据）。每个业绩计</w:t>
            </w:r>
            <w:r>
              <w:rPr>
                <w:rFonts w:ascii="宋体" w:hAnsi="宋体" w:cs="宋体"/>
                <w:sz w:val="24"/>
                <w:szCs w:val="24"/>
              </w:rPr>
              <w:t>3</w:t>
            </w:r>
            <w:r>
              <w:rPr>
                <w:rFonts w:hint="eastAsia" w:ascii="宋体" w:hAnsi="宋体" w:cs="宋体"/>
                <w:sz w:val="24"/>
                <w:szCs w:val="24"/>
              </w:rPr>
              <w:t>分，</w:t>
            </w:r>
            <w:r>
              <w:rPr>
                <w:rFonts w:ascii="宋体" w:hAnsi="宋体" w:cs="宋体"/>
                <w:sz w:val="24"/>
                <w:szCs w:val="24"/>
              </w:rPr>
              <w:t>3</w:t>
            </w:r>
            <w:r>
              <w:rPr>
                <w:rFonts w:hint="eastAsia" w:ascii="宋体" w:hAnsi="宋体" w:cs="宋体"/>
                <w:sz w:val="24"/>
                <w:szCs w:val="24"/>
              </w:rPr>
              <w:t>个以上（含</w:t>
            </w:r>
            <w:r>
              <w:rPr>
                <w:rFonts w:ascii="宋体" w:hAnsi="宋体" w:cs="宋体"/>
                <w:sz w:val="24"/>
                <w:szCs w:val="24"/>
              </w:rPr>
              <w:t>3</w:t>
            </w:r>
            <w:r>
              <w:rPr>
                <w:rFonts w:hint="eastAsia" w:ascii="宋体" w:hAnsi="宋体" w:cs="宋体"/>
                <w:sz w:val="24"/>
                <w:szCs w:val="24"/>
              </w:rPr>
              <w:t>个）计</w:t>
            </w:r>
            <w:r>
              <w:rPr>
                <w:rFonts w:ascii="宋体" w:hAnsi="宋体" w:cs="宋体"/>
                <w:sz w:val="24"/>
                <w:szCs w:val="24"/>
              </w:rPr>
              <w:t>9</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46" w:type="pct"/>
            <w:vAlign w:val="center"/>
          </w:tcPr>
          <w:p>
            <w:pPr>
              <w:spacing w:line="480" w:lineRule="exact"/>
              <w:jc w:val="center"/>
              <w:rPr>
                <w:rFonts w:ascii="宋体" w:hAnsi="宋体" w:cs="宋体"/>
                <w:sz w:val="24"/>
                <w:szCs w:val="24"/>
              </w:rPr>
            </w:pPr>
            <w:r>
              <w:rPr>
                <w:rFonts w:hint="eastAsia" w:ascii="宋体" w:hAnsi="宋体" w:cs="宋体"/>
                <w:sz w:val="24"/>
                <w:szCs w:val="24"/>
              </w:rPr>
              <w:t>报价评分标准</w:t>
            </w:r>
          </w:p>
          <w:p>
            <w:pPr>
              <w:spacing w:line="480" w:lineRule="exact"/>
              <w:jc w:val="center"/>
              <w:rPr>
                <w:rFonts w:ascii="宋体" w:hAnsi="宋体" w:cs="宋体"/>
                <w:sz w:val="24"/>
                <w:szCs w:val="24"/>
              </w:rPr>
            </w:pPr>
          </w:p>
        </w:tc>
        <w:tc>
          <w:tcPr>
            <w:tcW w:w="680" w:type="pct"/>
            <w:vAlign w:val="center"/>
          </w:tcPr>
          <w:p>
            <w:pPr>
              <w:spacing w:line="48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0分）</w:t>
            </w:r>
          </w:p>
        </w:tc>
        <w:tc>
          <w:tcPr>
            <w:tcW w:w="1364" w:type="pct"/>
            <w:vAlign w:val="center"/>
          </w:tcPr>
          <w:p>
            <w:pPr>
              <w:spacing w:line="480" w:lineRule="exact"/>
              <w:jc w:val="center"/>
              <w:rPr>
                <w:rFonts w:ascii="宋体" w:hAnsi="宋体" w:cs="宋体"/>
                <w:sz w:val="24"/>
                <w:szCs w:val="24"/>
              </w:rPr>
            </w:pPr>
            <w:r>
              <w:rPr>
                <w:rFonts w:hint="eastAsia" w:ascii="宋体" w:hAnsi="宋体" w:cs="宋体"/>
                <w:sz w:val="24"/>
                <w:szCs w:val="24"/>
              </w:rPr>
              <w:t>投标报价评分标准</w:t>
            </w:r>
          </w:p>
        </w:tc>
        <w:tc>
          <w:tcPr>
            <w:tcW w:w="2509" w:type="pct"/>
            <w:vAlign w:val="center"/>
          </w:tcPr>
          <w:p>
            <w:pPr>
              <w:spacing w:line="480" w:lineRule="exact"/>
              <w:rPr>
                <w:rFonts w:ascii="宋体" w:hAnsi="宋体" w:cs="宋体"/>
                <w:sz w:val="24"/>
                <w:szCs w:val="24"/>
              </w:rPr>
            </w:pPr>
            <w:r>
              <w:rPr>
                <w:rFonts w:hint="eastAsia" w:ascii="宋体" w:hAnsi="宋体" w:cs="宋体"/>
                <w:sz w:val="24"/>
                <w:szCs w:val="24"/>
              </w:rPr>
              <w:t>1.经初审合格的投标文件，其投标报价为有效投标价。对符合政策性扣减的有效投标报价进行政策性扣减，并依据扣减后的价格（评审价格）进行价格评审。</w:t>
            </w:r>
          </w:p>
          <w:p>
            <w:pPr>
              <w:spacing w:line="480" w:lineRule="exact"/>
              <w:rPr>
                <w:rFonts w:ascii="宋体" w:hAnsi="宋体" w:cs="宋体"/>
                <w:sz w:val="24"/>
                <w:szCs w:val="24"/>
              </w:rPr>
            </w:pPr>
            <w:r>
              <w:rPr>
                <w:rFonts w:hint="eastAsia" w:ascii="宋体" w:hAnsi="宋体" w:cs="宋体"/>
                <w:sz w:val="24"/>
                <w:szCs w:val="24"/>
              </w:rPr>
              <w:t>2.有效最低报价为基准价得</w:t>
            </w:r>
            <w:r>
              <w:rPr>
                <w:rFonts w:hint="eastAsia" w:ascii="宋体" w:hAnsi="宋体" w:cs="宋体"/>
                <w:sz w:val="24"/>
                <w:szCs w:val="24"/>
                <w:lang w:val="en-US" w:eastAsia="zh-CN"/>
              </w:rPr>
              <w:t>30</w:t>
            </w:r>
            <w:r>
              <w:rPr>
                <w:rFonts w:hint="eastAsia" w:ascii="宋体" w:hAnsi="宋体" w:cs="宋体"/>
                <w:sz w:val="24"/>
                <w:szCs w:val="24"/>
              </w:rPr>
              <w:t>分。</w:t>
            </w:r>
          </w:p>
          <w:p>
            <w:pPr>
              <w:spacing w:line="480" w:lineRule="exact"/>
              <w:rPr>
                <w:rFonts w:ascii="宋体" w:hAnsi="宋体" w:cs="宋体"/>
                <w:sz w:val="24"/>
                <w:szCs w:val="24"/>
              </w:rPr>
            </w:pPr>
            <w:r>
              <w:rPr>
                <w:rFonts w:hint="eastAsia" w:ascii="宋体" w:hAnsi="宋体" w:cs="宋体"/>
                <w:sz w:val="24"/>
                <w:szCs w:val="24"/>
              </w:rPr>
              <w:t>3.按（有效最低报价/有效投标报价）×</w:t>
            </w:r>
            <w:r>
              <w:rPr>
                <w:rFonts w:hint="eastAsia" w:ascii="宋体" w:hAnsi="宋体" w:cs="宋体"/>
                <w:sz w:val="24"/>
                <w:szCs w:val="24"/>
                <w:lang w:val="en-US" w:eastAsia="zh-CN"/>
              </w:rPr>
              <w:t>30</w:t>
            </w:r>
            <w:r>
              <w:rPr>
                <w:rFonts w:hint="eastAsia" w:ascii="宋体" w:hAnsi="宋体" w:cs="宋体"/>
                <w:sz w:val="24"/>
                <w:szCs w:val="24"/>
              </w:rPr>
              <w:t>的公式计算其得分。</w:t>
            </w:r>
          </w:p>
          <w:p>
            <w:pPr>
              <w:spacing w:line="480" w:lineRule="exact"/>
              <w:rPr>
                <w:rFonts w:ascii="宋体" w:hAnsi="宋体" w:cs="宋体"/>
                <w:sz w:val="24"/>
                <w:szCs w:val="24"/>
              </w:rPr>
            </w:pPr>
            <w:r>
              <w:rPr>
                <w:rFonts w:hint="eastAsia" w:ascii="宋体" w:hAnsi="宋体" w:cs="宋体"/>
                <w:sz w:val="24"/>
                <w:szCs w:val="24"/>
              </w:rPr>
              <w:t>4.投标报价不完整的，不进入评标标准价的计算，本项得0分。</w:t>
            </w:r>
          </w:p>
          <w:p>
            <w:pPr>
              <w:spacing w:line="480" w:lineRule="exact"/>
              <w:rPr>
                <w:rFonts w:ascii="宋体" w:hAnsi="宋体" w:cs="宋体"/>
                <w:sz w:val="24"/>
                <w:szCs w:val="24"/>
              </w:rPr>
            </w:pPr>
            <w:r>
              <w:rPr>
                <w:rFonts w:hint="eastAsia" w:ascii="宋体" w:hAnsi="宋体" w:cs="宋体"/>
                <w:sz w:val="24"/>
                <w:szCs w:val="24"/>
              </w:rPr>
              <w:t>5.经评委一致认定，投标人的投标总报价低于公认市场成本，或超过采购预算,其投标将被拒绝。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126" w:type="pct"/>
            <w:gridSpan w:val="2"/>
            <w:vAlign w:val="center"/>
          </w:tcPr>
          <w:p>
            <w:pPr>
              <w:spacing w:line="480" w:lineRule="exact"/>
              <w:jc w:val="center"/>
              <w:rPr>
                <w:rFonts w:ascii="宋体" w:hAnsi="宋体" w:cs="宋体"/>
                <w:sz w:val="24"/>
                <w:szCs w:val="24"/>
              </w:rPr>
            </w:pPr>
            <w:r>
              <w:rPr>
                <w:rFonts w:hint="eastAsia" w:ascii="宋体" w:hAnsi="宋体" w:cs="宋体"/>
                <w:sz w:val="24"/>
                <w:szCs w:val="24"/>
              </w:rPr>
              <w:t>备注</w:t>
            </w:r>
          </w:p>
        </w:tc>
        <w:tc>
          <w:tcPr>
            <w:tcW w:w="3873" w:type="pct"/>
            <w:gridSpan w:val="2"/>
            <w:vAlign w:val="center"/>
          </w:tcPr>
          <w:p>
            <w:pPr>
              <w:spacing w:line="360" w:lineRule="auto"/>
              <w:jc w:val="left"/>
              <w:rPr>
                <w:rFonts w:ascii="宋体" w:hAnsi="宋体" w:cs="宋体"/>
                <w:sz w:val="24"/>
                <w:szCs w:val="24"/>
              </w:rPr>
            </w:pPr>
            <w:r>
              <w:rPr>
                <w:rFonts w:hint="eastAsia" w:ascii="宋体" w:hAnsi="宋体" w:cs="宋体"/>
                <w:sz w:val="24"/>
                <w:szCs w:val="24"/>
              </w:rPr>
              <w:t>1）各评标委员会独立打分。</w:t>
            </w:r>
          </w:p>
          <w:p>
            <w:pPr>
              <w:spacing w:line="360" w:lineRule="auto"/>
              <w:jc w:val="left"/>
              <w:rPr>
                <w:rFonts w:ascii="宋体" w:hAnsi="宋体" w:cs="宋体"/>
                <w:sz w:val="24"/>
                <w:szCs w:val="24"/>
              </w:rPr>
            </w:pPr>
            <w:r>
              <w:rPr>
                <w:rFonts w:hint="eastAsia" w:ascii="宋体" w:hAnsi="宋体" w:cs="宋体"/>
                <w:sz w:val="24"/>
                <w:szCs w:val="24"/>
              </w:rPr>
              <w:t>2）评标委员会成员打分超过得分界限或未按本表规定赋分时，该成员的打分作废，不计入汇总分。</w:t>
            </w:r>
          </w:p>
          <w:p>
            <w:pPr>
              <w:spacing w:line="360" w:lineRule="auto"/>
              <w:jc w:val="left"/>
              <w:rPr>
                <w:rFonts w:ascii="宋体" w:hAnsi="宋体" w:cs="宋体"/>
                <w:sz w:val="24"/>
                <w:szCs w:val="24"/>
              </w:rPr>
            </w:pPr>
            <w:r>
              <w:rPr>
                <w:rFonts w:hint="eastAsia" w:ascii="宋体" w:hAnsi="宋体" w:cs="宋体"/>
                <w:sz w:val="24"/>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360" w:lineRule="auto"/>
              <w:jc w:val="left"/>
              <w:rPr>
                <w:rFonts w:ascii="宋体" w:hAnsi="宋体" w:cs="宋体"/>
                <w:sz w:val="24"/>
                <w:szCs w:val="24"/>
              </w:rPr>
            </w:pPr>
            <w:r>
              <w:rPr>
                <w:rFonts w:hint="eastAsia" w:ascii="宋体" w:hAnsi="宋体" w:cs="宋体"/>
                <w:sz w:val="24"/>
                <w:szCs w:val="24"/>
              </w:rPr>
              <w:t>4）各种计算采用插入法，数字均保留一位小数，第二位“四舍五入”。</w:t>
            </w:r>
          </w:p>
          <w:p>
            <w:pPr>
              <w:tabs>
                <w:tab w:val="left" w:pos="1599"/>
              </w:tabs>
              <w:jc w:val="left"/>
              <w:rPr>
                <w:rFonts w:ascii="宋体" w:hAnsi="宋体" w:cs="宋体"/>
                <w:b/>
                <w:bCs/>
                <w:sz w:val="24"/>
                <w:szCs w:val="24"/>
              </w:rPr>
            </w:pPr>
            <w:r>
              <w:rPr>
                <w:rFonts w:hint="eastAsia" w:ascii="宋体" w:hAnsi="宋体" w:cs="宋体"/>
                <w:sz w:val="24"/>
                <w:szCs w:val="24"/>
              </w:rPr>
              <w:t>5）评审过程中，若出现特殊情况时，由评审委员会决定暂停评审，并提出具体处理意见。</w:t>
            </w:r>
          </w:p>
        </w:tc>
      </w:tr>
    </w:tbl>
    <w:p>
      <w:pPr>
        <w:rPr>
          <w:rFonts w:asciiTheme="minorEastAsia" w:hAnsiTheme="minorEastAsia" w:eastAsiaTheme="minorEastAsia" w:cstheme="minorEastAsia"/>
          <w:b/>
          <w:spacing w:val="4"/>
          <w:sz w:val="24"/>
          <w:szCs w:val="24"/>
        </w:rPr>
      </w:pPr>
    </w:p>
    <w:p>
      <w:pPr>
        <w:spacing w:line="360" w:lineRule="auto"/>
        <w:rPr>
          <w:rFonts w:asciiTheme="minorEastAsia" w:hAnsiTheme="minorEastAsia" w:eastAsiaTheme="minorEastAsia" w:cstheme="minorEastAsia"/>
          <w:b/>
          <w:spacing w:val="4"/>
          <w:sz w:val="24"/>
          <w:szCs w:val="24"/>
        </w:rPr>
      </w:pPr>
      <w:r>
        <w:rPr>
          <w:rFonts w:hint="eastAsia" w:asciiTheme="minorEastAsia" w:hAnsiTheme="minorEastAsia" w:eastAsiaTheme="minorEastAsia" w:cstheme="minorEastAsia"/>
          <w:b/>
          <w:spacing w:val="4"/>
          <w:sz w:val="24"/>
          <w:szCs w:val="24"/>
        </w:rPr>
        <w:t>五、定标：</w:t>
      </w:r>
    </w:p>
    <w:p>
      <w:pPr>
        <w:spacing w:line="360" w:lineRule="auto"/>
        <w:ind w:firstLine="496" w:firstLineChars="2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1、评标结果由全体</w:t>
      </w:r>
      <w:r>
        <w:rPr>
          <w:rFonts w:hint="eastAsia" w:asciiTheme="minorEastAsia" w:hAnsiTheme="minorEastAsia" w:eastAsiaTheme="minorEastAsia" w:cstheme="minorEastAsia"/>
          <w:sz w:val="24"/>
          <w:szCs w:val="24"/>
        </w:rPr>
        <w:t>评标委员会成员</w:t>
      </w:r>
      <w:r>
        <w:rPr>
          <w:rFonts w:hint="eastAsia" w:asciiTheme="minorEastAsia" w:hAnsiTheme="minorEastAsia" w:eastAsiaTheme="minorEastAsia" w:cstheme="minorEastAsia"/>
          <w:spacing w:val="4"/>
          <w:sz w:val="24"/>
          <w:szCs w:val="24"/>
        </w:rPr>
        <w:t>签字确认。</w:t>
      </w:r>
    </w:p>
    <w:p>
      <w:pPr>
        <w:spacing w:line="360" w:lineRule="auto"/>
        <w:ind w:firstLine="496" w:firstLineChars="2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pacing w:val="4"/>
          <w:sz w:val="24"/>
          <w:szCs w:val="24"/>
        </w:rPr>
        <w:t>根据评标报告中推荐的中标候选人排列顺序确定中标人，以复函通知</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pacing w:val="4"/>
          <w:sz w:val="24"/>
          <w:szCs w:val="24"/>
        </w:rPr>
        <w:t>代理机构。</w:t>
      </w:r>
    </w:p>
    <w:p>
      <w:pPr>
        <w:spacing w:line="360" w:lineRule="auto"/>
        <w:rPr>
          <w:rFonts w:asciiTheme="minorEastAsia" w:hAnsiTheme="minorEastAsia" w:eastAsiaTheme="minorEastAsia" w:cstheme="minorEastAsia"/>
          <w:sz w:val="36"/>
          <w:szCs w:val="36"/>
        </w:rPr>
      </w:pPr>
      <w:r>
        <w:rPr>
          <w:rFonts w:hint="eastAsia" w:asciiTheme="minorEastAsia" w:hAnsiTheme="minorEastAsia" w:eastAsiaTheme="minorEastAsia" w:cstheme="minorEastAsia"/>
          <w:b/>
          <w:spacing w:val="4"/>
          <w:sz w:val="24"/>
          <w:szCs w:val="24"/>
        </w:rPr>
        <w:t>注：评标办法中要求提供原件的得分项，投标人如提供原件的同时须在投标文件中附相应的复印件或扫描件。</w:t>
      </w:r>
      <w:r>
        <w:rPr>
          <w:rFonts w:hint="eastAsia" w:asciiTheme="minorEastAsia" w:hAnsiTheme="minorEastAsia" w:eastAsiaTheme="minorEastAsia" w:cstheme="minorEastAsia"/>
          <w:sz w:val="36"/>
          <w:szCs w:val="36"/>
        </w:rPr>
        <w:br w:type="page"/>
      </w:r>
    </w:p>
    <w:p>
      <w:pPr>
        <w:pStyle w:val="5"/>
        <w:spacing w:line="240" w:lineRule="auto"/>
        <w:jc w:val="center"/>
        <w:rPr>
          <w:rFonts w:asciiTheme="minorEastAsia" w:hAnsiTheme="minorEastAsia" w:eastAsiaTheme="minorEastAsia" w:cstheme="minorEastAsia"/>
          <w:bCs/>
          <w:sz w:val="36"/>
          <w:szCs w:val="36"/>
        </w:rPr>
      </w:pPr>
      <w:bookmarkStart w:id="79" w:name="_Toc463"/>
      <w:r>
        <w:rPr>
          <w:rFonts w:hint="eastAsia" w:asciiTheme="minorEastAsia" w:hAnsiTheme="minorEastAsia" w:eastAsiaTheme="minorEastAsia" w:cstheme="minorEastAsia"/>
          <w:sz w:val="36"/>
          <w:szCs w:val="36"/>
        </w:rPr>
        <w:t>第四章</w:t>
      </w:r>
      <w:bookmarkEnd w:id="74"/>
      <w:bookmarkEnd w:id="75"/>
      <w:bookmarkEnd w:id="76"/>
      <w:bookmarkEnd w:id="77"/>
      <w:bookmarkStart w:id="80" w:name="_Toc2068"/>
      <w:r>
        <w:rPr>
          <w:rFonts w:hint="eastAsia" w:asciiTheme="minorEastAsia" w:hAnsiTheme="minorEastAsia" w:eastAsiaTheme="minorEastAsia" w:cstheme="minorEastAsia"/>
          <w:sz w:val="36"/>
          <w:szCs w:val="36"/>
        </w:rPr>
        <w:t xml:space="preserve">  </w:t>
      </w:r>
      <w:r>
        <w:rPr>
          <w:rFonts w:hint="eastAsia" w:asciiTheme="minorEastAsia" w:hAnsiTheme="minorEastAsia" w:eastAsiaTheme="minorEastAsia" w:cstheme="minorEastAsia"/>
          <w:bCs/>
          <w:sz w:val="36"/>
          <w:szCs w:val="36"/>
        </w:rPr>
        <w:t>合同条款及格式</w:t>
      </w:r>
      <w:bookmarkEnd w:id="78"/>
      <w:bookmarkEnd w:id="79"/>
      <w:bookmarkEnd w:id="80"/>
    </w:p>
    <w:p>
      <w:pPr>
        <w:pStyle w:val="6"/>
        <w:spacing w:line="240" w:lineRule="auto"/>
        <w:jc w:val="center"/>
        <w:rPr>
          <w:rFonts w:asciiTheme="minorEastAsia" w:hAnsiTheme="minorEastAsia" w:eastAsiaTheme="minorEastAsia" w:cstheme="minorEastAsia"/>
        </w:rPr>
      </w:pPr>
      <w:bookmarkStart w:id="81" w:name="_Toc30560"/>
      <w:bookmarkStart w:id="82" w:name="_Toc4684"/>
      <w:bookmarkStart w:id="83" w:name="_Toc6935"/>
      <w:r>
        <w:rPr>
          <w:rFonts w:hint="eastAsia" w:asciiTheme="minorEastAsia" w:hAnsiTheme="minorEastAsia" w:eastAsiaTheme="minorEastAsia" w:cstheme="minorEastAsia"/>
        </w:rPr>
        <w:t>合同条款及格式前附表</w:t>
      </w:r>
      <w:bookmarkEnd w:id="81"/>
      <w:bookmarkEnd w:id="82"/>
      <w:bookmarkEnd w:id="83"/>
    </w:p>
    <w:p>
      <w:pPr>
        <w:ind w:firstLine="480" w:firstLineChars="200"/>
        <w:rPr>
          <w:rFonts w:asciiTheme="minorEastAsia" w:hAnsiTheme="minorEastAsia" w:eastAsiaTheme="minorEastAsia" w:cstheme="minorEastAsia"/>
          <w:bCs/>
          <w:sz w:val="36"/>
          <w:szCs w:val="36"/>
        </w:rPr>
      </w:pPr>
      <w:r>
        <w:rPr>
          <w:rFonts w:hint="eastAsia" w:asciiTheme="minorEastAsia" w:hAnsiTheme="minorEastAsia" w:eastAsiaTheme="minorEastAsia" w:cstheme="minorEastAsia"/>
          <w:sz w:val="24"/>
          <w:szCs w:val="24"/>
        </w:rPr>
        <w:t>本表是对合同条款的具体补充和修改，如有矛盾，应以本资料表为准。</w:t>
      </w:r>
    </w:p>
    <w:tbl>
      <w:tblPr>
        <w:tblStyle w:val="2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58"/>
        <w:gridCol w:w="7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75" w:type="pct"/>
            <w:vAlign w:val="center"/>
          </w:tcPr>
          <w:p>
            <w:pPr>
              <w:spacing w:line="360" w:lineRule="auto"/>
              <w:jc w:val="center"/>
              <w:rPr>
                <w:rFonts w:ascii="宋体" w:hAnsi="宋体" w:cs="宋体"/>
                <w:b/>
                <w:sz w:val="24"/>
                <w:szCs w:val="24"/>
              </w:rPr>
            </w:pPr>
            <w:bookmarkStart w:id="84" w:name="_Toc29888"/>
            <w:bookmarkStart w:id="85" w:name="_Toc19199"/>
            <w:bookmarkStart w:id="86" w:name="_Toc26595"/>
            <w:bookmarkStart w:id="87" w:name="_Toc19246"/>
            <w:bookmarkStart w:id="88" w:name="_Toc31520"/>
            <w:bookmarkStart w:id="89" w:name="_Toc8333"/>
            <w:bookmarkStart w:id="90" w:name="_Toc389582037"/>
            <w:bookmarkStart w:id="91" w:name="_Toc4679"/>
            <w:r>
              <w:rPr>
                <w:rFonts w:hint="eastAsia" w:ascii="宋体" w:hAnsi="宋体" w:cs="宋体"/>
                <w:b/>
                <w:sz w:val="24"/>
                <w:szCs w:val="24"/>
              </w:rPr>
              <w:t>序号</w:t>
            </w:r>
          </w:p>
        </w:tc>
        <w:tc>
          <w:tcPr>
            <w:tcW w:w="4224" w:type="pct"/>
            <w:vAlign w:val="center"/>
          </w:tcPr>
          <w:p>
            <w:pPr>
              <w:spacing w:line="360" w:lineRule="auto"/>
              <w:jc w:val="center"/>
              <w:rPr>
                <w:rFonts w:ascii="宋体" w:hAnsi="宋体" w:cs="宋体"/>
                <w:b/>
                <w:sz w:val="24"/>
                <w:szCs w:val="24"/>
              </w:rPr>
            </w:pPr>
            <w:r>
              <w:rPr>
                <w:rFonts w:hint="eastAsia" w:ascii="宋体" w:hAnsi="宋体" w:cs="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75" w:type="pct"/>
            <w:vAlign w:val="center"/>
          </w:tcPr>
          <w:p>
            <w:pPr>
              <w:jc w:val="center"/>
              <w:rPr>
                <w:rFonts w:ascii="宋体" w:hAnsi="宋体" w:cs="宋体"/>
                <w:sz w:val="24"/>
                <w:szCs w:val="24"/>
              </w:rPr>
            </w:pPr>
            <w:r>
              <w:rPr>
                <w:rFonts w:hint="eastAsia" w:ascii="宋体" w:hAnsi="宋体" w:cs="宋体"/>
                <w:sz w:val="24"/>
                <w:szCs w:val="24"/>
              </w:rPr>
              <w:t>1</w:t>
            </w:r>
          </w:p>
        </w:tc>
        <w:tc>
          <w:tcPr>
            <w:tcW w:w="4224" w:type="pct"/>
            <w:vAlign w:val="center"/>
          </w:tcPr>
          <w:p>
            <w:pPr>
              <w:spacing w:line="336" w:lineRule="auto"/>
              <w:rPr>
                <w:rFonts w:hint="eastAsia" w:ascii="宋体" w:hAnsi="宋体" w:cs="宋体"/>
                <w:sz w:val="24"/>
                <w:szCs w:val="24"/>
                <w:lang w:eastAsia="zh-CN"/>
              </w:rPr>
            </w:pPr>
            <w:r>
              <w:rPr>
                <w:rFonts w:hint="eastAsia" w:asciiTheme="minorEastAsia" w:hAnsiTheme="minorEastAsia" w:eastAsiaTheme="minorEastAsia" w:cstheme="minorEastAsia"/>
                <w:sz w:val="24"/>
                <w:szCs w:val="24"/>
              </w:rPr>
              <w:t>采购人</w:t>
            </w:r>
            <w:r>
              <w:rPr>
                <w:rFonts w:hint="eastAsia" w:ascii="宋体" w:hAnsi="宋体" w:cs="宋体"/>
                <w:sz w:val="24"/>
                <w:szCs w:val="24"/>
              </w:rPr>
              <w:t>名称：</w:t>
            </w:r>
            <w:r>
              <w:rPr>
                <w:rFonts w:hint="eastAsia" w:ascii="宋体" w:hAnsi="宋体" w:cs="宋体"/>
                <w:sz w:val="24"/>
                <w:szCs w:val="24"/>
                <w:lang w:eastAsia="zh-CN"/>
              </w:rPr>
              <w:t>商南县退耕还林还草中心</w:t>
            </w:r>
          </w:p>
          <w:p>
            <w:pPr>
              <w:spacing w:line="336" w:lineRule="auto"/>
              <w:rPr>
                <w:rFonts w:hint="eastAsia" w:ascii="宋体" w:hAnsi="宋体" w:cs="宋体"/>
                <w:sz w:val="24"/>
                <w:szCs w:val="24"/>
              </w:rPr>
            </w:pPr>
            <w:r>
              <w:rPr>
                <w:rFonts w:hint="eastAsia" w:ascii="宋体" w:hAnsi="宋体" w:cs="宋体"/>
                <w:sz w:val="24"/>
                <w:szCs w:val="24"/>
              </w:rPr>
              <w:t>地址：商南县城关街道办事处育才路2号</w:t>
            </w:r>
          </w:p>
          <w:p>
            <w:pPr>
              <w:spacing w:line="360" w:lineRule="auto"/>
              <w:rPr>
                <w:rFonts w:hint="eastAsia" w:ascii="宋体" w:hAnsi="宋体" w:cs="宋体"/>
                <w:sz w:val="24"/>
                <w:szCs w:val="24"/>
              </w:rPr>
            </w:pPr>
            <w:r>
              <w:rPr>
                <w:rFonts w:hint="eastAsia" w:ascii="宋体" w:hAnsi="宋体" w:cs="宋体"/>
                <w:sz w:val="24"/>
                <w:szCs w:val="24"/>
              </w:rPr>
              <w:t>项目名称：商洛市秦岭中段（南麓）水源涵养与生物多样性保护恢复项目(商南县2022年退化林修复）</w:t>
            </w:r>
          </w:p>
          <w:p>
            <w:pPr>
              <w:spacing w:line="360" w:lineRule="auto"/>
              <w:rPr>
                <w:rFonts w:ascii="宋体" w:hAnsi="宋体" w:cs="宋体"/>
                <w:sz w:val="24"/>
                <w:szCs w:val="24"/>
              </w:rPr>
            </w:pPr>
            <w:r>
              <w:rPr>
                <w:rFonts w:hint="eastAsia" w:ascii="宋体" w:hAnsi="宋体" w:cs="宋体"/>
                <w:sz w:val="24"/>
                <w:szCs w:val="24"/>
              </w:rPr>
              <w:t>资金来源：中央财政资金，资金已落实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775" w:type="pct"/>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4224" w:type="pct"/>
            <w:shd w:val="clear" w:color="auto" w:fill="auto"/>
            <w:vAlign w:val="center"/>
          </w:tcPr>
          <w:p>
            <w:pPr>
              <w:spacing w:line="33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合同包一（一标段）：城关街道办捉马沟村</w:t>
            </w:r>
            <w:r>
              <w:rPr>
                <w:rFonts w:hint="eastAsia" w:asciiTheme="minorEastAsia" w:hAnsiTheme="minorEastAsia" w:eastAsiaTheme="minorEastAsia" w:cstheme="minorEastAsia"/>
                <w:sz w:val="24"/>
                <w:szCs w:val="24"/>
                <w:lang w:val="en-US" w:eastAsia="zh-CN"/>
              </w:rPr>
              <w:t>1-6号小班，作业面积1400亩</w:t>
            </w:r>
          </w:p>
          <w:p>
            <w:pPr>
              <w:spacing w:line="336"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合同包二（二标段）：试马镇荆家河村</w:t>
            </w:r>
            <w:r>
              <w:rPr>
                <w:rFonts w:hint="eastAsia" w:asciiTheme="minorEastAsia" w:hAnsiTheme="minorEastAsia" w:eastAsiaTheme="minorEastAsia" w:cstheme="minorEastAsia"/>
                <w:sz w:val="24"/>
                <w:szCs w:val="24"/>
                <w:lang w:val="en-US" w:eastAsia="zh-CN"/>
              </w:rPr>
              <w:t>1-7号小班</w:t>
            </w:r>
            <w:r>
              <w:rPr>
                <w:rFonts w:hint="eastAsia" w:asciiTheme="minorEastAsia" w:hAnsiTheme="minorEastAsia" w:eastAsiaTheme="minorEastAsia" w:cstheme="minorEastAsia"/>
                <w:sz w:val="24"/>
                <w:szCs w:val="24"/>
                <w:lang w:val="zh-CN"/>
              </w:rPr>
              <w:t>，作业面积</w:t>
            </w:r>
            <w:r>
              <w:rPr>
                <w:rFonts w:hint="eastAsia" w:asciiTheme="minorEastAsia" w:hAnsiTheme="minorEastAsia" w:eastAsiaTheme="minorEastAsia" w:cstheme="minorEastAsia"/>
                <w:sz w:val="24"/>
                <w:szCs w:val="24"/>
                <w:lang w:val="en-US" w:eastAsia="zh-CN"/>
              </w:rPr>
              <w:t>1400亩</w:t>
            </w:r>
          </w:p>
          <w:p>
            <w:pPr>
              <w:spacing w:line="33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合同包三（三标段）：试马镇大坪村</w:t>
            </w:r>
            <w:r>
              <w:rPr>
                <w:rFonts w:hint="eastAsia" w:asciiTheme="minorEastAsia" w:hAnsiTheme="minorEastAsia" w:eastAsiaTheme="minorEastAsia" w:cstheme="minorEastAsia"/>
                <w:sz w:val="24"/>
                <w:szCs w:val="24"/>
                <w:lang w:val="en-US" w:eastAsia="zh-CN"/>
              </w:rPr>
              <w:t>1-5号小班</w:t>
            </w:r>
            <w:r>
              <w:rPr>
                <w:rFonts w:hint="eastAsia" w:asciiTheme="minorEastAsia" w:hAnsiTheme="minorEastAsia" w:eastAsiaTheme="minorEastAsia" w:cstheme="minorEastAsia"/>
                <w:sz w:val="24"/>
                <w:szCs w:val="24"/>
                <w:lang w:val="zh-CN"/>
              </w:rPr>
              <w:t>，作业面积</w:t>
            </w:r>
            <w:r>
              <w:rPr>
                <w:rFonts w:hint="eastAsia" w:asciiTheme="minorEastAsia" w:hAnsiTheme="minorEastAsia" w:eastAsiaTheme="minorEastAsia" w:cstheme="minorEastAsia"/>
                <w:sz w:val="24"/>
                <w:szCs w:val="24"/>
                <w:lang w:val="en-US" w:eastAsia="zh-CN"/>
              </w:rPr>
              <w:t>740亩</w:t>
            </w:r>
          </w:p>
          <w:p>
            <w:pPr>
              <w:spacing w:line="336"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合同包四（四标段）：过风楼镇徐家店社区</w:t>
            </w:r>
            <w:r>
              <w:rPr>
                <w:rFonts w:hint="eastAsia" w:asciiTheme="minorEastAsia" w:hAnsiTheme="minorEastAsia" w:eastAsiaTheme="minorEastAsia" w:cstheme="minorEastAsia"/>
                <w:sz w:val="24"/>
                <w:szCs w:val="24"/>
                <w:lang w:val="en-US" w:eastAsia="zh-CN"/>
              </w:rPr>
              <w:t>1、2、10、11号小班</w:t>
            </w:r>
            <w:r>
              <w:rPr>
                <w:rFonts w:hint="eastAsia" w:asciiTheme="minorEastAsia" w:hAnsiTheme="minorEastAsia" w:eastAsiaTheme="minorEastAsia" w:cstheme="minorEastAsia"/>
                <w:sz w:val="24"/>
                <w:szCs w:val="24"/>
                <w:lang w:val="zh-CN"/>
              </w:rPr>
              <w:t>，作业面积</w:t>
            </w:r>
            <w:r>
              <w:rPr>
                <w:rFonts w:hint="eastAsia" w:asciiTheme="minorEastAsia" w:hAnsiTheme="minorEastAsia" w:eastAsiaTheme="minorEastAsia" w:cstheme="minorEastAsia"/>
                <w:sz w:val="24"/>
                <w:szCs w:val="24"/>
                <w:lang w:val="en-US" w:eastAsia="zh-CN"/>
              </w:rPr>
              <w:t>1195亩</w:t>
            </w:r>
          </w:p>
          <w:p>
            <w:pPr>
              <w:spacing w:line="336"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合同包五（五标段）：过风楼镇徐家店社区</w:t>
            </w:r>
            <w:r>
              <w:rPr>
                <w:rFonts w:hint="eastAsia" w:asciiTheme="minorEastAsia" w:hAnsiTheme="minorEastAsia" w:eastAsiaTheme="minorEastAsia" w:cstheme="minorEastAsia"/>
                <w:sz w:val="24"/>
                <w:szCs w:val="24"/>
                <w:lang w:val="en-US" w:eastAsia="zh-CN"/>
              </w:rPr>
              <w:t>3、5、12号小班</w:t>
            </w:r>
            <w:r>
              <w:rPr>
                <w:rFonts w:hint="eastAsia" w:asciiTheme="minorEastAsia" w:hAnsiTheme="minorEastAsia" w:eastAsiaTheme="minorEastAsia" w:cstheme="minorEastAsia"/>
                <w:sz w:val="24"/>
                <w:szCs w:val="24"/>
                <w:lang w:val="zh-CN"/>
              </w:rPr>
              <w:t>，作业面积</w:t>
            </w:r>
            <w:r>
              <w:rPr>
                <w:rFonts w:hint="eastAsia" w:asciiTheme="minorEastAsia" w:hAnsiTheme="minorEastAsia" w:eastAsiaTheme="minorEastAsia" w:cstheme="minorEastAsia"/>
                <w:sz w:val="24"/>
                <w:szCs w:val="24"/>
                <w:lang w:val="en-US" w:eastAsia="zh-CN"/>
              </w:rPr>
              <w:t>740亩</w:t>
            </w:r>
          </w:p>
          <w:p>
            <w:pPr>
              <w:spacing w:line="336"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合同包六（六标段）：过风楼镇徐家店社区</w:t>
            </w:r>
            <w:r>
              <w:rPr>
                <w:rFonts w:hint="eastAsia" w:asciiTheme="minorEastAsia" w:hAnsiTheme="minorEastAsia" w:eastAsiaTheme="minorEastAsia" w:cstheme="minorEastAsia"/>
                <w:sz w:val="24"/>
                <w:szCs w:val="24"/>
                <w:lang w:val="en-US" w:eastAsia="zh-CN"/>
              </w:rPr>
              <w:t>4、6、7、8、9号小班</w:t>
            </w:r>
            <w:r>
              <w:rPr>
                <w:rFonts w:hint="eastAsia" w:asciiTheme="minorEastAsia" w:hAnsiTheme="minorEastAsia" w:eastAsiaTheme="minorEastAsia" w:cstheme="minorEastAsia"/>
                <w:sz w:val="24"/>
                <w:szCs w:val="24"/>
                <w:lang w:val="zh-CN"/>
              </w:rPr>
              <w:t>，作业面积</w:t>
            </w:r>
            <w:r>
              <w:rPr>
                <w:rFonts w:hint="eastAsia" w:asciiTheme="minorEastAsia" w:hAnsiTheme="minorEastAsia" w:eastAsiaTheme="minorEastAsia" w:cstheme="minorEastAsia"/>
                <w:sz w:val="24"/>
                <w:szCs w:val="24"/>
                <w:lang w:val="en-US" w:eastAsia="zh-CN"/>
              </w:rPr>
              <w:t>1015亩</w:t>
            </w:r>
          </w:p>
          <w:p>
            <w:pPr>
              <w:spacing w:line="33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合同包七（七标段）：过风楼镇炭沟村</w:t>
            </w:r>
            <w:r>
              <w:rPr>
                <w:rFonts w:hint="eastAsia" w:asciiTheme="minorEastAsia" w:hAnsiTheme="minorEastAsia" w:eastAsiaTheme="minorEastAsia" w:cstheme="minorEastAsia"/>
                <w:sz w:val="24"/>
                <w:szCs w:val="24"/>
                <w:lang w:val="en-US" w:eastAsia="zh-CN"/>
              </w:rPr>
              <w:t>1、2、3、4、7、8、9、12号小班</w:t>
            </w:r>
            <w:r>
              <w:rPr>
                <w:rFonts w:hint="eastAsia" w:asciiTheme="minorEastAsia" w:hAnsiTheme="minorEastAsia" w:eastAsiaTheme="minorEastAsia" w:cstheme="minorEastAsia"/>
                <w:sz w:val="24"/>
                <w:szCs w:val="24"/>
                <w:lang w:val="zh-CN"/>
              </w:rPr>
              <w:t>，作业面积</w:t>
            </w:r>
            <w:r>
              <w:rPr>
                <w:rFonts w:hint="eastAsia" w:asciiTheme="minorEastAsia" w:hAnsiTheme="minorEastAsia" w:eastAsiaTheme="minorEastAsia" w:cstheme="minorEastAsia"/>
                <w:sz w:val="24"/>
                <w:szCs w:val="24"/>
                <w:lang w:val="en-US" w:eastAsia="zh-CN"/>
              </w:rPr>
              <w:t>1010亩</w:t>
            </w:r>
          </w:p>
          <w:p>
            <w:pPr>
              <w:spacing w:line="336"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合同包八（八标段）：过风楼镇炭沟村</w:t>
            </w:r>
            <w:r>
              <w:rPr>
                <w:rFonts w:hint="eastAsia" w:asciiTheme="minorEastAsia" w:hAnsiTheme="minorEastAsia" w:eastAsiaTheme="minorEastAsia" w:cstheme="minorEastAsia"/>
                <w:sz w:val="24"/>
                <w:szCs w:val="24"/>
                <w:lang w:val="en-US" w:eastAsia="zh-CN"/>
              </w:rPr>
              <w:t>5、6、10、11、13、14、15号小班</w:t>
            </w:r>
            <w:r>
              <w:rPr>
                <w:rFonts w:hint="eastAsia" w:asciiTheme="minorEastAsia" w:hAnsiTheme="minorEastAsia" w:eastAsiaTheme="minorEastAsia" w:cstheme="minorEastAsia"/>
                <w:sz w:val="24"/>
                <w:szCs w:val="24"/>
                <w:lang w:val="zh-CN"/>
              </w:rPr>
              <w:t>，作业面积</w:t>
            </w:r>
            <w:r>
              <w:rPr>
                <w:rFonts w:hint="eastAsia" w:asciiTheme="minorEastAsia" w:hAnsiTheme="minorEastAsia" w:eastAsiaTheme="minorEastAsia" w:cstheme="minorEastAsia"/>
                <w:sz w:val="24"/>
                <w:szCs w:val="24"/>
                <w:lang w:val="en-US" w:eastAsia="zh-CN"/>
              </w:rPr>
              <w:t>1190亩</w:t>
            </w:r>
          </w:p>
          <w:p>
            <w:pPr>
              <w:spacing w:line="33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合同包九（九标段）：金丝峡镇梁家湾村</w:t>
            </w:r>
            <w:r>
              <w:rPr>
                <w:rFonts w:hint="eastAsia" w:asciiTheme="minorEastAsia" w:hAnsiTheme="minorEastAsia" w:eastAsiaTheme="minorEastAsia" w:cstheme="minorEastAsia"/>
                <w:sz w:val="24"/>
                <w:szCs w:val="24"/>
                <w:lang w:val="en-US" w:eastAsia="zh-CN"/>
              </w:rPr>
              <w:t>1-4号小班</w:t>
            </w:r>
            <w:r>
              <w:rPr>
                <w:rFonts w:hint="eastAsia" w:asciiTheme="minorEastAsia" w:hAnsiTheme="minorEastAsia" w:eastAsiaTheme="minorEastAsia" w:cstheme="minorEastAsia"/>
                <w:sz w:val="24"/>
                <w:szCs w:val="24"/>
                <w:lang w:val="zh-CN"/>
              </w:rPr>
              <w:t>，作业面积</w:t>
            </w:r>
            <w:r>
              <w:rPr>
                <w:rFonts w:hint="eastAsia" w:asciiTheme="minorEastAsia" w:hAnsiTheme="minorEastAsia" w:eastAsiaTheme="minorEastAsia" w:cstheme="minorEastAsia"/>
                <w:sz w:val="24"/>
                <w:szCs w:val="24"/>
                <w:lang w:val="en-US" w:eastAsia="zh-CN"/>
              </w:rPr>
              <w:t>1000亩</w:t>
            </w:r>
          </w:p>
          <w:p>
            <w:pPr>
              <w:spacing w:line="33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合同包十（十标段）：赵川镇后川村</w:t>
            </w:r>
            <w:r>
              <w:rPr>
                <w:rFonts w:hint="eastAsia" w:asciiTheme="minorEastAsia" w:hAnsiTheme="minorEastAsia" w:eastAsiaTheme="minorEastAsia" w:cstheme="minorEastAsia"/>
                <w:sz w:val="24"/>
                <w:szCs w:val="24"/>
                <w:lang w:val="en-US" w:eastAsia="zh-CN"/>
              </w:rPr>
              <w:t>1-10号小班</w:t>
            </w:r>
            <w:r>
              <w:rPr>
                <w:rFonts w:hint="eastAsia" w:asciiTheme="minorEastAsia" w:hAnsiTheme="minorEastAsia" w:eastAsiaTheme="minorEastAsia" w:cstheme="minorEastAsia"/>
                <w:sz w:val="24"/>
                <w:szCs w:val="24"/>
                <w:lang w:val="zh-CN"/>
              </w:rPr>
              <w:t>，作业面积</w:t>
            </w:r>
            <w:r>
              <w:rPr>
                <w:rFonts w:hint="eastAsia" w:asciiTheme="minorEastAsia" w:hAnsiTheme="minorEastAsia" w:eastAsiaTheme="minorEastAsia" w:cstheme="minorEastAsia"/>
                <w:sz w:val="24"/>
                <w:szCs w:val="24"/>
                <w:lang w:val="en-US" w:eastAsia="zh-CN"/>
              </w:rPr>
              <w:t>1760亩</w:t>
            </w:r>
          </w:p>
          <w:p>
            <w:pPr>
              <w:spacing w:line="33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合同包十一（十一标段）：赵川镇后川村</w:t>
            </w:r>
            <w:r>
              <w:rPr>
                <w:rFonts w:hint="eastAsia" w:asciiTheme="minorEastAsia" w:hAnsiTheme="minorEastAsia" w:eastAsiaTheme="minorEastAsia" w:cstheme="minorEastAsia"/>
                <w:sz w:val="24"/>
                <w:szCs w:val="24"/>
                <w:lang w:val="en-US" w:eastAsia="zh-CN"/>
              </w:rPr>
              <w:t>11-15号小班</w:t>
            </w:r>
            <w:r>
              <w:rPr>
                <w:rFonts w:hint="eastAsia" w:asciiTheme="minorEastAsia" w:hAnsiTheme="minorEastAsia" w:eastAsiaTheme="minorEastAsia" w:cstheme="minorEastAsia"/>
                <w:sz w:val="24"/>
                <w:szCs w:val="24"/>
                <w:lang w:val="zh-CN"/>
              </w:rPr>
              <w:t>，作业面积</w:t>
            </w:r>
            <w:r>
              <w:rPr>
                <w:rFonts w:hint="eastAsia" w:asciiTheme="minorEastAsia" w:hAnsiTheme="minorEastAsia" w:eastAsiaTheme="minorEastAsia" w:cstheme="minorEastAsia"/>
                <w:sz w:val="24"/>
                <w:szCs w:val="24"/>
                <w:lang w:val="en-US" w:eastAsia="zh-CN"/>
              </w:rPr>
              <w:t>1110亩</w:t>
            </w:r>
          </w:p>
          <w:p>
            <w:pPr>
              <w:spacing w:line="336"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合同包十二（十二标段）：赵川镇前川村</w:t>
            </w:r>
            <w:r>
              <w:rPr>
                <w:rFonts w:hint="eastAsia" w:asciiTheme="minorEastAsia" w:hAnsiTheme="minorEastAsia" w:eastAsiaTheme="minorEastAsia" w:cstheme="minorEastAsia"/>
                <w:sz w:val="24"/>
                <w:szCs w:val="24"/>
                <w:lang w:val="en-US" w:eastAsia="zh-CN"/>
              </w:rPr>
              <w:t>1号小班</w:t>
            </w:r>
            <w:r>
              <w:rPr>
                <w:rFonts w:hint="eastAsia" w:asciiTheme="minorEastAsia" w:hAnsiTheme="minorEastAsia" w:eastAsiaTheme="minorEastAsia" w:cstheme="minorEastAsia"/>
                <w:sz w:val="24"/>
                <w:szCs w:val="24"/>
                <w:lang w:val="zh-CN"/>
              </w:rPr>
              <w:t>，作业面积</w:t>
            </w:r>
            <w:r>
              <w:rPr>
                <w:rFonts w:hint="eastAsia" w:asciiTheme="minorEastAsia" w:hAnsiTheme="minorEastAsia" w:eastAsiaTheme="minorEastAsia" w:cstheme="minorEastAsia"/>
                <w:sz w:val="24"/>
                <w:szCs w:val="24"/>
                <w:lang w:val="en-US" w:eastAsia="zh-CN"/>
              </w:rPr>
              <w:t>270亩</w:t>
            </w:r>
          </w:p>
          <w:p>
            <w:pPr>
              <w:spacing w:line="33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合同包十三（十三标段）</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zh-CN"/>
              </w:rPr>
              <w:t>赵川镇前川村</w:t>
            </w:r>
            <w:r>
              <w:rPr>
                <w:rFonts w:hint="eastAsia" w:asciiTheme="minorEastAsia" w:hAnsiTheme="minorEastAsia" w:eastAsiaTheme="minorEastAsia" w:cstheme="minorEastAsia"/>
                <w:sz w:val="24"/>
                <w:szCs w:val="24"/>
                <w:lang w:val="en-US" w:eastAsia="zh-CN"/>
              </w:rPr>
              <w:t>2号小班，作业面积310亩</w:t>
            </w:r>
          </w:p>
          <w:p>
            <w:pPr>
              <w:spacing w:line="336" w:lineRule="auto"/>
            </w:pPr>
            <w:r>
              <w:rPr>
                <w:rFonts w:hint="eastAsia" w:asciiTheme="minorEastAsia" w:hAnsiTheme="minorEastAsia" w:eastAsiaTheme="minorEastAsia" w:cstheme="minorEastAsia"/>
                <w:sz w:val="24"/>
                <w:szCs w:val="24"/>
                <w:lang w:val="zh-CN"/>
              </w:rPr>
              <w:t>合同包十四（十四标段）：赵川镇前川村</w:t>
            </w:r>
            <w:r>
              <w:rPr>
                <w:rFonts w:hint="eastAsia" w:asciiTheme="minorEastAsia" w:hAnsiTheme="minorEastAsia" w:eastAsiaTheme="minorEastAsia" w:cstheme="minorEastAsia"/>
                <w:sz w:val="24"/>
                <w:szCs w:val="24"/>
                <w:lang w:val="en-US" w:eastAsia="zh-CN"/>
              </w:rPr>
              <w:t>3-10号小班，作业面积1860亩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75" w:type="pct"/>
            <w:shd w:val="clear" w:color="auto" w:fill="auto"/>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4224" w:type="pct"/>
            <w:shd w:val="clear" w:color="auto" w:fill="auto"/>
            <w:vAlign w:val="center"/>
          </w:tcPr>
          <w:p>
            <w:pPr>
              <w:spacing w:line="360" w:lineRule="auto"/>
              <w:rPr>
                <w:rFonts w:ascii="宋体" w:hAnsi="宋体" w:cs="宋体"/>
                <w:color w:val="auto"/>
                <w:kern w:val="0"/>
                <w:sz w:val="24"/>
                <w:szCs w:val="24"/>
              </w:rPr>
            </w:pPr>
            <w:r>
              <w:rPr>
                <w:rFonts w:hint="eastAsia" w:ascii="宋体" w:hAnsi="宋体" w:cs="宋体"/>
                <w:color w:val="auto"/>
                <w:sz w:val="24"/>
                <w:szCs w:val="24"/>
              </w:rPr>
              <w:t>工期：自合同签订之日起</w:t>
            </w:r>
            <w:r>
              <w:rPr>
                <w:rFonts w:hint="eastAsia" w:ascii="宋体" w:hAnsi="宋体" w:cs="宋体"/>
                <w:color w:val="auto"/>
                <w:sz w:val="24"/>
                <w:szCs w:val="24"/>
                <w:lang w:val="en-US" w:eastAsia="zh-CN"/>
              </w:rPr>
              <w:t>150</w:t>
            </w:r>
            <w:r>
              <w:rPr>
                <w:rFonts w:hint="eastAsia" w:ascii="宋体" w:hAnsi="宋体" w:cs="宋体"/>
                <w:color w:val="auto"/>
                <w:sz w:val="24"/>
                <w:szCs w:val="24"/>
              </w:rPr>
              <w:t>个日历日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75" w:type="pct"/>
            <w:shd w:val="clear" w:color="auto" w:fill="auto"/>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4224" w:type="pct"/>
            <w:shd w:val="clear" w:color="auto" w:fill="auto"/>
            <w:vAlign w:val="center"/>
          </w:tcPr>
          <w:p>
            <w:pPr>
              <w:spacing w:line="360" w:lineRule="auto"/>
              <w:rPr>
                <w:rFonts w:ascii="宋体" w:hAnsi="宋体" w:cs="宋体"/>
                <w:color w:val="auto"/>
                <w:sz w:val="24"/>
                <w:szCs w:val="24"/>
              </w:rPr>
            </w:pPr>
            <w:r>
              <w:rPr>
                <w:rFonts w:hint="eastAsia" w:ascii="宋体" w:hAnsi="宋体" w:cs="宋体"/>
                <w:color w:val="auto"/>
                <w:sz w:val="24"/>
                <w:szCs w:val="24"/>
              </w:rPr>
              <w:t>质量标准：符合国家现行有关质量验收规范“合格”要求。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75" w:type="pct"/>
            <w:shd w:val="clear" w:color="auto" w:fill="auto"/>
            <w:vAlign w:val="center"/>
          </w:tcPr>
          <w:p>
            <w:pPr>
              <w:spacing w:line="360" w:lineRule="auto"/>
              <w:jc w:val="center"/>
              <w:rPr>
                <w:rFonts w:hint="eastAsia" w:ascii="宋体" w:hAnsi="宋体" w:eastAsia="宋体" w:cs="宋体"/>
                <w:sz w:val="24"/>
                <w:szCs w:val="24"/>
                <w:highlight w:val="green"/>
                <w:lang w:eastAsia="zh-CN"/>
              </w:rPr>
            </w:pPr>
            <w:r>
              <w:rPr>
                <w:rFonts w:hint="eastAsia" w:ascii="宋体" w:hAnsi="宋体" w:cs="宋体"/>
                <w:sz w:val="24"/>
                <w:szCs w:val="24"/>
                <w:lang w:val="en-US" w:eastAsia="zh-CN"/>
              </w:rPr>
              <w:t>5</w:t>
            </w:r>
          </w:p>
        </w:tc>
        <w:tc>
          <w:tcPr>
            <w:tcW w:w="4224"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安全责任：工程施工过程中一切安全责任由中标人负责。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75" w:type="pct"/>
            <w:vAlign w:val="center"/>
          </w:tcPr>
          <w:p>
            <w:pPr>
              <w:spacing w:line="360" w:lineRule="auto"/>
              <w:jc w:val="center"/>
              <w:rPr>
                <w:rFonts w:hint="eastAsia" w:ascii="宋体" w:hAnsi="宋体" w:eastAsia="宋体" w:cs="宋体"/>
                <w:sz w:val="24"/>
                <w:szCs w:val="24"/>
                <w:shd w:val="clear" w:color="FFFFFF" w:fill="D9D9D9"/>
                <w:lang w:eastAsia="zh-CN"/>
              </w:rPr>
            </w:pPr>
            <w:r>
              <w:rPr>
                <w:rFonts w:hint="eastAsia" w:ascii="宋体" w:hAnsi="宋体" w:cs="宋体"/>
                <w:sz w:val="24"/>
                <w:szCs w:val="24"/>
                <w:lang w:val="en-US" w:eastAsia="zh-CN"/>
              </w:rPr>
              <w:t>6</w:t>
            </w:r>
          </w:p>
        </w:tc>
        <w:tc>
          <w:tcPr>
            <w:tcW w:w="4224" w:type="pct"/>
            <w:vAlign w:val="center"/>
          </w:tcPr>
          <w:p>
            <w:pPr>
              <w:spacing w:line="360" w:lineRule="auto"/>
              <w:rPr>
                <w:rFonts w:ascii="宋体" w:hAnsi="宋体" w:cs="宋体"/>
                <w:sz w:val="24"/>
                <w:szCs w:val="24"/>
              </w:rPr>
            </w:pPr>
            <w:r>
              <w:rPr>
                <w:rFonts w:hint="eastAsia" w:ascii="宋体" w:hAnsi="宋体" w:cs="宋体"/>
                <w:sz w:val="24"/>
                <w:szCs w:val="24"/>
              </w:rPr>
              <w:t>1.合同总价即中标价，中标报价采用固定总价。中标报价是招标文件所确定的全部工程内容的价格体现。任何有选择的报价将不予接受，按无效投标响应。投标人根据自行确定的施工组织设计或施工方案进行自主报价。</w:t>
            </w:r>
          </w:p>
          <w:p>
            <w:pPr>
              <w:spacing w:line="360" w:lineRule="auto"/>
              <w:rPr>
                <w:rFonts w:ascii="宋体" w:hAnsi="宋体" w:cs="宋体"/>
                <w:sz w:val="24"/>
                <w:szCs w:val="24"/>
              </w:rPr>
            </w:pPr>
            <w:r>
              <w:rPr>
                <w:rFonts w:hint="eastAsia" w:ascii="宋体" w:hAnsi="宋体" w:cs="宋体"/>
                <w:sz w:val="24"/>
                <w:szCs w:val="24"/>
              </w:rPr>
              <w:t>2.中标后合同总价不做调整，不再因为环境的变化和工程量的增减而变化，任何有选择的报价将不予接受。</w:t>
            </w:r>
          </w:p>
          <w:p>
            <w:pPr>
              <w:spacing w:line="360" w:lineRule="auto"/>
              <w:rPr>
                <w:rFonts w:ascii="宋体" w:hAnsi="宋体" w:cs="宋体"/>
                <w:sz w:val="24"/>
                <w:szCs w:val="24"/>
              </w:rPr>
            </w:pPr>
            <w:r>
              <w:rPr>
                <w:rFonts w:hint="eastAsia" w:ascii="宋体" w:hAnsi="宋体" w:cs="宋体"/>
                <w:sz w:val="24"/>
                <w:szCs w:val="24"/>
              </w:rPr>
              <w:t>3.付款方式和程序：</w:t>
            </w:r>
          </w:p>
          <w:p>
            <w:pPr>
              <w:spacing w:line="360" w:lineRule="auto"/>
              <w:rPr>
                <w:rFonts w:ascii="宋体" w:hAnsi="宋体" w:cs="宋体"/>
                <w:sz w:val="24"/>
                <w:szCs w:val="24"/>
              </w:rPr>
            </w:pPr>
            <w:r>
              <w:rPr>
                <w:rFonts w:hint="eastAsia" w:ascii="宋体" w:hAnsi="宋体" w:cs="宋体"/>
                <w:sz w:val="24"/>
                <w:szCs w:val="24"/>
              </w:rPr>
              <w:t>（1）结算方式：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银行转账，项目实施完成并通过验收后，由</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供应商提供票据等财务报账所需材料进行报账。</w:t>
            </w:r>
          </w:p>
          <w:p>
            <w:pPr>
              <w:spacing w:line="360" w:lineRule="auto"/>
              <w:rPr>
                <w:rFonts w:ascii="宋体" w:hAnsi="宋体" w:cs="宋体"/>
                <w:sz w:val="24"/>
                <w:szCs w:val="24"/>
              </w:rPr>
            </w:pPr>
            <w:r>
              <w:rPr>
                <w:rFonts w:hint="eastAsia" w:ascii="宋体" w:hAnsi="宋体" w:cs="宋体"/>
                <w:sz w:val="24"/>
                <w:szCs w:val="24"/>
              </w:rPr>
              <w:t>（2）付款方式：</w:t>
            </w:r>
          </w:p>
          <w:p>
            <w:pPr>
              <w:spacing w:line="360" w:lineRule="auto"/>
              <w:ind w:firstLine="480" w:firstLineChars="200"/>
              <w:rPr>
                <w:rFonts w:ascii="宋体" w:hAnsi="宋体" w:cs="宋体"/>
                <w:sz w:val="24"/>
                <w:szCs w:val="24"/>
              </w:rPr>
            </w:pPr>
            <w:r>
              <w:rPr>
                <w:rFonts w:hint="eastAsia" w:ascii="宋体" w:hAnsi="宋体" w:cs="宋体"/>
                <w:color w:val="auto"/>
                <w:sz w:val="24"/>
                <w:szCs w:val="24"/>
                <w:highlight w:val="none"/>
              </w:rPr>
              <w:t>签订合同后支付中标金额的20%作为预付款，剩余部分待工程完工并验收合格后全部付清。（具体以签订合同为准）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15" w:hRule="atLeast"/>
        </w:trPr>
        <w:tc>
          <w:tcPr>
            <w:tcW w:w="775" w:type="pct"/>
            <w:vAlign w:val="center"/>
          </w:tcPr>
          <w:p>
            <w:pPr>
              <w:spacing w:line="360" w:lineRule="auto"/>
              <w:jc w:val="center"/>
              <w:rPr>
                <w:rFonts w:ascii="宋体" w:hAnsi="宋体" w:cs="宋体"/>
                <w:sz w:val="24"/>
                <w:szCs w:val="24"/>
              </w:rPr>
            </w:pPr>
            <w:r>
              <w:rPr>
                <w:rFonts w:ascii="宋体" w:hAnsi="宋体" w:cs="宋体"/>
                <w:sz w:val="24"/>
                <w:szCs w:val="24"/>
              </w:rPr>
              <w:t>8</w:t>
            </w:r>
          </w:p>
        </w:tc>
        <w:tc>
          <w:tcPr>
            <w:tcW w:w="4224" w:type="pct"/>
            <w:vAlign w:val="center"/>
          </w:tcPr>
          <w:p>
            <w:pPr>
              <w:pStyle w:val="15"/>
              <w:spacing w:line="360" w:lineRule="auto"/>
              <w:rPr>
                <w:rFonts w:hAnsi="宋体"/>
                <w:b/>
                <w:bCs/>
                <w:kern w:val="0"/>
                <w:sz w:val="24"/>
                <w:szCs w:val="24"/>
              </w:rPr>
            </w:pPr>
            <w:r>
              <w:rPr>
                <w:rFonts w:hint="eastAsia" w:hAnsi="宋体"/>
                <w:b/>
                <w:bCs/>
                <w:kern w:val="0"/>
                <w:sz w:val="24"/>
                <w:szCs w:val="24"/>
              </w:rPr>
              <w:t>质量保证：</w:t>
            </w:r>
          </w:p>
          <w:p>
            <w:pPr>
              <w:spacing w:line="520" w:lineRule="exact"/>
              <w:ind w:firstLine="360" w:firstLineChars="150"/>
              <w:rPr>
                <w:rFonts w:ascii="宋体" w:hAnsi="宋体" w:cs="宋体"/>
                <w:kern w:val="0"/>
                <w:sz w:val="24"/>
                <w:szCs w:val="24"/>
              </w:rPr>
            </w:pPr>
            <w:r>
              <w:rPr>
                <w:rFonts w:hint="eastAsia" w:ascii="宋体" w:hAnsi="宋体" w:cs="宋体"/>
                <w:sz w:val="24"/>
                <w:szCs w:val="24"/>
              </w:rPr>
              <w:t>投标人必须保证工程及服务质量可靠，并全面满足招标文件的要求，招标文件未明确要求的内容，投标人须按</w:t>
            </w:r>
            <w:r>
              <w:rPr>
                <w:rFonts w:hint="eastAsia" w:asciiTheme="minorEastAsia" w:hAnsiTheme="minorEastAsia" w:eastAsiaTheme="minorEastAsia" w:cstheme="minorEastAsia"/>
                <w:sz w:val="24"/>
                <w:szCs w:val="24"/>
              </w:rPr>
              <w:t>采购人</w:t>
            </w:r>
            <w:r>
              <w:rPr>
                <w:rFonts w:hint="eastAsia" w:ascii="宋体" w:hAnsi="宋体" w:cs="宋体"/>
                <w:sz w:val="24"/>
                <w:szCs w:val="24"/>
              </w:rPr>
              <w:t>的补充要求为准。技术标准严格按国家最新发布的规范标准执行，如发生质量问题由投标人承担全部责任。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75" w:type="pct"/>
            <w:vAlign w:val="center"/>
          </w:tcPr>
          <w:p>
            <w:pPr>
              <w:spacing w:line="360" w:lineRule="auto"/>
              <w:jc w:val="center"/>
              <w:rPr>
                <w:rFonts w:ascii="宋体" w:hAnsi="宋体" w:cs="宋体"/>
                <w:sz w:val="24"/>
                <w:szCs w:val="24"/>
              </w:rPr>
            </w:pPr>
            <w:r>
              <w:rPr>
                <w:rFonts w:ascii="宋体" w:hAnsi="宋体" w:cs="宋体"/>
                <w:sz w:val="24"/>
                <w:szCs w:val="24"/>
              </w:rPr>
              <w:t>9</w:t>
            </w:r>
          </w:p>
        </w:tc>
        <w:tc>
          <w:tcPr>
            <w:tcW w:w="4224" w:type="pct"/>
            <w:vAlign w:val="center"/>
          </w:tcPr>
          <w:p>
            <w:pPr>
              <w:spacing w:line="360" w:lineRule="auto"/>
              <w:rPr>
                <w:rFonts w:ascii="宋体" w:hAnsi="宋体" w:cs="宋体"/>
                <w:b/>
                <w:sz w:val="24"/>
                <w:szCs w:val="24"/>
              </w:rPr>
            </w:pPr>
            <w:r>
              <w:rPr>
                <w:rFonts w:hint="eastAsia" w:ascii="宋体" w:hAnsi="宋体" w:cs="宋体"/>
                <w:b/>
                <w:sz w:val="24"/>
                <w:szCs w:val="24"/>
              </w:rPr>
              <w:t>验收：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由采购人和供应商共同对项目进行整体验收，是否达到现行国家有关验收规范“合格”标准、是否按照采购人要求按时完工。</w:t>
            </w:r>
          </w:p>
          <w:p>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1.所验各项内容最终验收达不到招标文件要求和投标文件承诺的，或在后续使用中发现采购人不能容忍的缺陷等，将视为验收不合格，供应商应在采购人要求的时间内无条件整改及恢复。</w:t>
            </w:r>
          </w:p>
          <w:p>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2.若发现供应商有弄虚作假的，在投标阶段故意或随意夸大技术能力、工程、服务质量的，采购人有权解除合同，并且要求供应商赔偿相关损失。</w:t>
            </w:r>
          </w:p>
          <w:p>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3.验收标准：按招标文件、投标文件及澄清函等技术指标进行验收。各项指标均应符合验收标准及要求。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4.验收合格后，填写验收单，双方签字生效。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5.验收依据：</w:t>
            </w:r>
          </w:p>
          <w:p>
            <w:pPr>
              <w:numPr>
                <w:ilvl w:val="0"/>
                <w:numId w:val="3"/>
              </w:numPr>
              <w:tabs>
                <w:tab w:val="left" w:pos="498"/>
                <w:tab w:val="clear" w:pos="840"/>
              </w:tabs>
              <w:spacing w:line="360" w:lineRule="auto"/>
              <w:ind w:hanging="625"/>
              <w:rPr>
                <w:rFonts w:ascii="宋体" w:hAnsi="宋体" w:cs="宋体"/>
                <w:color w:val="auto"/>
                <w:sz w:val="24"/>
                <w:szCs w:val="24"/>
                <w:highlight w:val="none"/>
              </w:rPr>
            </w:pPr>
            <w:r>
              <w:rPr>
                <w:rFonts w:hint="eastAsia" w:ascii="宋体" w:hAnsi="宋体" w:cs="宋体"/>
                <w:color w:val="auto"/>
                <w:sz w:val="24"/>
                <w:szCs w:val="24"/>
                <w:highlight w:val="none"/>
              </w:rPr>
              <w:t>合同文本；</w:t>
            </w:r>
          </w:p>
          <w:p>
            <w:pPr>
              <w:numPr>
                <w:ilvl w:val="0"/>
                <w:numId w:val="3"/>
              </w:numPr>
              <w:tabs>
                <w:tab w:val="left" w:pos="498"/>
                <w:tab w:val="clear" w:pos="840"/>
              </w:tabs>
              <w:spacing w:line="360" w:lineRule="auto"/>
              <w:ind w:hanging="625"/>
              <w:rPr>
                <w:rFonts w:ascii="宋体" w:hAnsi="宋体" w:cs="宋体"/>
                <w:color w:val="auto"/>
                <w:sz w:val="24"/>
                <w:szCs w:val="24"/>
                <w:highlight w:val="none"/>
              </w:rPr>
            </w:pPr>
            <w:r>
              <w:rPr>
                <w:rFonts w:hint="eastAsia" w:ascii="宋体" w:hAnsi="宋体" w:cs="宋体"/>
                <w:color w:val="auto"/>
                <w:sz w:val="24"/>
                <w:szCs w:val="24"/>
                <w:highlight w:val="none"/>
              </w:rPr>
              <w:t>招标文件及澄清函、投标文件；</w:t>
            </w:r>
          </w:p>
          <w:p>
            <w:pPr>
              <w:numPr>
                <w:ilvl w:val="0"/>
                <w:numId w:val="3"/>
              </w:numPr>
              <w:tabs>
                <w:tab w:val="left" w:pos="498"/>
                <w:tab w:val="clear" w:pos="840"/>
              </w:tabs>
              <w:spacing w:line="360" w:lineRule="auto"/>
              <w:ind w:hanging="625"/>
              <w:rPr>
                <w:rFonts w:ascii="宋体" w:hAnsi="宋体" w:cs="宋体"/>
                <w:color w:val="auto"/>
                <w:sz w:val="24"/>
                <w:szCs w:val="24"/>
                <w:highlight w:val="none"/>
              </w:rPr>
            </w:pPr>
            <w:r>
              <w:rPr>
                <w:rFonts w:hint="eastAsia" w:ascii="宋体" w:hAnsi="宋体" w:cs="宋体"/>
                <w:color w:val="auto"/>
                <w:sz w:val="24"/>
                <w:szCs w:val="24"/>
                <w:highlight w:val="none"/>
              </w:rPr>
              <w:t>国家和行业制定的相应的标准和规范；</w:t>
            </w:r>
          </w:p>
          <w:p>
            <w:pPr>
              <w:tabs>
                <w:tab w:val="left" w:pos="498"/>
              </w:tabs>
              <w:spacing w:line="360" w:lineRule="auto"/>
              <w:ind w:firstLine="240" w:firstLineChars="100"/>
              <w:rPr>
                <w:rFonts w:ascii="宋体" w:hAnsi="宋体" w:cs="宋体"/>
                <w:sz w:val="24"/>
                <w:szCs w:val="24"/>
              </w:rPr>
            </w:pPr>
            <w:r>
              <w:rPr>
                <w:rFonts w:hint="eastAsia" w:ascii="宋体" w:hAnsi="宋体" w:cs="宋体"/>
                <w:color w:val="auto"/>
                <w:sz w:val="24"/>
                <w:szCs w:val="24"/>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75" w:type="pct"/>
            <w:vAlign w:val="center"/>
          </w:tcPr>
          <w:p>
            <w:pPr>
              <w:pStyle w:val="15"/>
              <w:spacing w:line="360" w:lineRule="auto"/>
              <w:jc w:val="center"/>
              <w:rPr>
                <w:rFonts w:hAnsi="宋体"/>
                <w:sz w:val="24"/>
                <w:szCs w:val="24"/>
              </w:rPr>
            </w:pPr>
            <w:r>
              <w:rPr>
                <w:rFonts w:hAnsi="宋体"/>
                <w:sz w:val="24"/>
                <w:szCs w:val="24"/>
              </w:rPr>
              <w:t>10</w:t>
            </w:r>
          </w:p>
        </w:tc>
        <w:tc>
          <w:tcPr>
            <w:tcW w:w="4224" w:type="pct"/>
            <w:vAlign w:val="center"/>
          </w:tcPr>
          <w:p>
            <w:pPr>
              <w:spacing w:line="360" w:lineRule="auto"/>
              <w:rPr>
                <w:rFonts w:ascii="宋体" w:hAnsi="宋体" w:cs="宋体"/>
                <w:b/>
                <w:sz w:val="24"/>
                <w:szCs w:val="24"/>
              </w:rPr>
            </w:pPr>
            <w:r>
              <w:rPr>
                <w:rFonts w:hint="eastAsia" w:ascii="宋体" w:hAnsi="宋体" w:cs="宋体"/>
                <w:b/>
                <w:sz w:val="24"/>
                <w:szCs w:val="24"/>
              </w:rPr>
              <w:t>知识产权：</w:t>
            </w:r>
          </w:p>
          <w:p>
            <w:pPr>
              <w:spacing w:line="520" w:lineRule="exact"/>
              <w:ind w:firstLine="480" w:firstLineChars="200"/>
              <w:rPr>
                <w:rFonts w:ascii="宋体" w:hAnsi="宋体" w:cs="宋体"/>
                <w:sz w:val="24"/>
                <w:szCs w:val="24"/>
              </w:rPr>
            </w:pPr>
            <w:r>
              <w:rPr>
                <w:rFonts w:hint="eastAsia" w:ascii="宋体" w:hAnsi="宋体" w:cs="宋体"/>
                <w:sz w:val="24"/>
                <w:szCs w:val="24"/>
              </w:rPr>
              <w:t>投标人应保证所供服务不会出现因第三方提出侵犯其专利权、商标权或其它知识产权而引发法律或经济纠纷，否则由投标人负责解决并承担全部责任；如因此影响到</w:t>
            </w:r>
            <w:r>
              <w:rPr>
                <w:rFonts w:hint="eastAsia" w:asciiTheme="minorEastAsia" w:hAnsiTheme="minorEastAsia" w:eastAsiaTheme="minorEastAsia" w:cstheme="minorEastAsia"/>
                <w:sz w:val="24"/>
                <w:szCs w:val="24"/>
              </w:rPr>
              <w:t>采购人</w:t>
            </w:r>
            <w:r>
              <w:rPr>
                <w:rFonts w:hint="eastAsia" w:ascii="宋体" w:hAnsi="宋体" w:cs="宋体"/>
                <w:sz w:val="24"/>
                <w:szCs w:val="24"/>
              </w:rPr>
              <w:t>的正常使用，</w:t>
            </w:r>
            <w:r>
              <w:rPr>
                <w:rFonts w:hint="eastAsia" w:asciiTheme="minorEastAsia" w:hAnsiTheme="minorEastAsia" w:eastAsiaTheme="minorEastAsia" w:cstheme="minorEastAsia"/>
                <w:sz w:val="24"/>
                <w:szCs w:val="24"/>
              </w:rPr>
              <w:t>采购人</w:t>
            </w:r>
            <w:r>
              <w:rPr>
                <w:rFonts w:hint="eastAsia" w:ascii="宋体" w:hAnsi="宋体" w:cs="宋体"/>
                <w:sz w:val="24"/>
                <w:szCs w:val="24"/>
              </w:rPr>
              <w:t>有权单方解除本合同，投标人应无条件向</w:t>
            </w:r>
            <w:r>
              <w:rPr>
                <w:rFonts w:hint="eastAsia" w:asciiTheme="minorEastAsia" w:hAnsiTheme="minorEastAsia" w:eastAsiaTheme="minorEastAsia" w:cstheme="minorEastAsia"/>
                <w:sz w:val="24"/>
                <w:szCs w:val="24"/>
              </w:rPr>
              <w:t>采购人</w:t>
            </w:r>
            <w:r>
              <w:rPr>
                <w:rFonts w:hint="eastAsia" w:ascii="宋体" w:hAnsi="宋体" w:cs="宋体"/>
                <w:sz w:val="24"/>
                <w:szCs w:val="24"/>
              </w:rPr>
              <w:t>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75" w:type="pct"/>
            <w:vAlign w:val="center"/>
          </w:tcPr>
          <w:p>
            <w:pPr>
              <w:pStyle w:val="15"/>
              <w:spacing w:line="360" w:lineRule="auto"/>
              <w:jc w:val="center"/>
              <w:rPr>
                <w:rFonts w:hAnsi="宋体"/>
                <w:sz w:val="24"/>
                <w:szCs w:val="24"/>
              </w:rPr>
            </w:pPr>
            <w:r>
              <w:rPr>
                <w:rFonts w:hint="eastAsia" w:hAnsi="宋体"/>
                <w:sz w:val="24"/>
                <w:szCs w:val="24"/>
              </w:rPr>
              <w:t>1</w:t>
            </w:r>
            <w:r>
              <w:rPr>
                <w:rFonts w:hAnsi="宋体"/>
                <w:sz w:val="24"/>
                <w:szCs w:val="24"/>
              </w:rPr>
              <w:t>1</w:t>
            </w:r>
          </w:p>
        </w:tc>
        <w:tc>
          <w:tcPr>
            <w:tcW w:w="4224" w:type="pct"/>
            <w:vAlign w:val="center"/>
          </w:tcPr>
          <w:p>
            <w:pPr>
              <w:spacing w:line="360" w:lineRule="auto"/>
              <w:rPr>
                <w:rFonts w:ascii="宋体" w:hAnsi="宋体" w:cs="宋体"/>
                <w:b/>
                <w:sz w:val="24"/>
                <w:szCs w:val="24"/>
              </w:rPr>
            </w:pPr>
            <w:r>
              <w:rPr>
                <w:rFonts w:hint="eastAsia" w:ascii="宋体" w:hAnsi="宋体" w:cs="宋体"/>
                <w:b/>
                <w:sz w:val="24"/>
                <w:szCs w:val="24"/>
              </w:rPr>
              <w:t>违约责任：</w:t>
            </w:r>
          </w:p>
          <w:p>
            <w:pPr>
              <w:tabs>
                <w:tab w:val="left" w:pos="152"/>
              </w:tabs>
              <w:spacing w:line="360" w:lineRule="auto"/>
              <w:ind w:firstLine="480" w:firstLineChars="200"/>
              <w:rPr>
                <w:rFonts w:ascii="宋体" w:hAnsi="宋体" w:cs="宋体"/>
                <w:sz w:val="24"/>
                <w:szCs w:val="24"/>
              </w:rPr>
            </w:pPr>
            <w:r>
              <w:rPr>
                <w:rFonts w:hint="eastAsia" w:ascii="宋体" w:hAnsi="宋体" w:cs="宋体"/>
                <w:sz w:val="24"/>
                <w:szCs w:val="24"/>
              </w:rPr>
              <w:t>1、按《中华人民共和国民法典》中的相关条款执行。</w:t>
            </w:r>
          </w:p>
          <w:p>
            <w:pPr>
              <w:spacing w:line="360" w:lineRule="auto"/>
              <w:ind w:firstLine="480" w:firstLineChars="200"/>
              <w:rPr>
                <w:rFonts w:ascii="宋体" w:hAnsi="宋体" w:cs="宋体"/>
                <w:sz w:val="24"/>
                <w:szCs w:val="24"/>
              </w:rPr>
            </w:pPr>
            <w:r>
              <w:rPr>
                <w:rFonts w:hint="eastAsia" w:ascii="宋体" w:hAnsi="宋体" w:cs="宋体"/>
                <w:sz w:val="24"/>
                <w:szCs w:val="24"/>
              </w:rPr>
              <w:t>2、未按合同要求提供服务或服务不能满足合同要求，</w:t>
            </w:r>
            <w:r>
              <w:rPr>
                <w:rFonts w:hint="eastAsia" w:asciiTheme="minorEastAsia" w:hAnsiTheme="minorEastAsia" w:eastAsiaTheme="minorEastAsia" w:cstheme="minorEastAsia"/>
                <w:sz w:val="24"/>
                <w:szCs w:val="24"/>
              </w:rPr>
              <w:t>采购人</w:t>
            </w:r>
            <w:r>
              <w:rPr>
                <w:rFonts w:hint="eastAsia" w:ascii="宋体" w:hAnsi="宋体" w:cs="宋体"/>
                <w:sz w:val="24"/>
                <w:szCs w:val="24"/>
              </w:rPr>
              <w:t>应当将服务商违约的情况以及拟采取的措施以书面形式报政府采购监管部门，根据政府采购监管部门的处理意见，</w:t>
            </w:r>
            <w:r>
              <w:rPr>
                <w:rFonts w:hint="eastAsia" w:asciiTheme="minorEastAsia" w:hAnsiTheme="minorEastAsia" w:eastAsiaTheme="minorEastAsia" w:cstheme="minorEastAsia"/>
                <w:sz w:val="24"/>
                <w:szCs w:val="24"/>
              </w:rPr>
              <w:t>采购人</w:t>
            </w:r>
            <w:r>
              <w:rPr>
                <w:rFonts w:hint="eastAsia" w:ascii="宋体" w:hAnsi="宋体" w:cs="宋体"/>
                <w:sz w:val="24"/>
                <w:szCs w:val="24"/>
              </w:rPr>
              <w:t>有权依据《中华人民共和国民法典》有关条款及合同约定终止合同，并要求服务商承担违约责任。同时，政府采购监管部门有权依据《政府采购法》及相关法律法规对服务商的违法行为进行相应的处罚。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75" w:type="pct"/>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2</w:t>
            </w:r>
          </w:p>
        </w:tc>
        <w:tc>
          <w:tcPr>
            <w:tcW w:w="4224" w:type="pct"/>
            <w:vAlign w:val="center"/>
          </w:tcPr>
          <w:p>
            <w:pPr>
              <w:spacing w:line="360" w:lineRule="auto"/>
              <w:rPr>
                <w:rFonts w:ascii="宋体" w:hAnsi="宋体" w:cs="宋体"/>
                <w:b/>
                <w:sz w:val="24"/>
                <w:szCs w:val="24"/>
              </w:rPr>
            </w:pPr>
            <w:r>
              <w:rPr>
                <w:rFonts w:hint="eastAsia" w:ascii="宋体" w:hAnsi="宋体" w:cs="宋体"/>
                <w:b/>
                <w:sz w:val="24"/>
                <w:szCs w:val="24"/>
              </w:rPr>
              <w:t>政府采购合同：</w:t>
            </w:r>
          </w:p>
          <w:p>
            <w:pPr>
              <w:spacing w:line="360" w:lineRule="auto"/>
              <w:ind w:firstLine="480" w:firstLineChars="200"/>
              <w:rPr>
                <w:rFonts w:ascii="宋体" w:hAnsi="宋体" w:cs="宋体"/>
                <w:sz w:val="24"/>
                <w:szCs w:val="24"/>
              </w:rPr>
            </w:pPr>
            <w:r>
              <w:rPr>
                <w:rFonts w:hint="eastAsia" w:asciiTheme="minorEastAsia" w:hAnsiTheme="minorEastAsia" w:eastAsiaTheme="minorEastAsia" w:cstheme="minorEastAsia"/>
                <w:sz w:val="24"/>
                <w:szCs w:val="24"/>
              </w:rPr>
              <w:t>采购人</w:t>
            </w:r>
            <w:r>
              <w:rPr>
                <w:rFonts w:hint="eastAsia" w:ascii="宋体" w:hAnsi="宋体" w:cs="宋体"/>
                <w:sz w:val="24"/>
                <w:szCs w:val="24"/>
              </w:rPr>
              <w:t>和投标人之间的权利和义务，应当按照平等、自愿的原则以合同方式约定。</w:t>
            </w:r>
            <w:r>
              <w:rPr>
                <w:rFonts w:hint="eastAsia" w:ascii="宋体" w:hAnsi="宋体" w:cs="宋体"/>
                <w:sz w:val="24"/>
                <w:szCs w:val="24"/>
              </w:rPr>
              <w:br w:type="textWrapping"/>
            </w:r>
            <w:r>
              <w:rPr>
                <w:rFonts w:hint="eastAsia" w:ascii="宋体" w:hAnsi="宋体" w:cs="宋体"/>
                <w:sz w:val="24"/>
                <w:szCs w:val="24"/>
              </w:rPr>
              <w:t>政府采购合同应当采用书面形式。</w:t>
            </w:r>
          </w:p>
          <w:p>
            <w:pPr>
              <w:spacing w:line="360" w:lineRule="auto"/>
              <w:ind w:firstLine="480" w:firstLineChars="200"/>
              <w:rPr>
                <w:rFonts w:ascii="宋体" w:hAnsi="宋体" w:cs="宋体"/>
                <w:sz w:val="24"/>
                <w:szCs w:val="24"/>
              </w:rPr>
            </w:pPr>
            <w:r>
              <w:rPr>
                <w:rFonts w:hint="eastAsia" w:ascii="宋体" w:hAnsi="宋体" w:cs="宋体"/>
                <w:sz w:val="24"/>
                <w:szCs w:val="24"/>
              </w:rPr>
              <w:t>国务院政府采购监督管理部门应当会同国务院有关部门，规定政府采购合同必须具备的条款。</w:t>
            </w:r>
            <w:r>
              <w:rPr>
                <w:rFonts w:hint="eastAsia" w:ascii="宋体" w:hAnsi="宋体" w:cs="宋体"/>
                <w:sz w:val="24"/>
                <w:szCs w:val="24"/>
              </w:rPr>
              <w:br w:type="textWrapping"/>
            </w:r>
            <w:r>
              <w:rPr>
                <w:rFonts w:hint="eastAsia" w:asciiTheme="minorEastAsia" w:hAnsiTheme="minorEastAsia" w:eastAsiaTheme="minorEastAsia" w:cstheme="minorEastAsia"/>
                <w:sz w:val="24"/>
                <w:szCs w:val="24"/>
              </w:rPr>
              <w:t xml:space="preserve">    采购人</w:t>
            </w:r>
            <w:r>
              <w:rPr>
                <w:rFonts w:hint="eastAsia" w:ascii="宋体" w:hAnsi="宋体" w:cs="宋体"/>
                <w:sz w:val="24"/>
                <w:szCs w:val="24"/>
              </w:rPr>
              <w:t>与中标人应当在中标通知书发出之日起三十日内，按照招标文件确定的事项签订政府采购合同。</w:t>
            </w:r>
            <w:r>
              <w:rPr>
                <w:rFonts w:hint="eastAsia" w:ascii="宋体" w:hAnsi="宋体" w:cs="宋体"/>
                <w:sz w:val="24"/>
                <w:szCs w:val="24"/>
              </w:rPr>
              <w:br w:type="textWrapping"/>
            </w:r>
            <w:r>
              <w:rPr>
                <w:rFonts w:ascii="宋体" w:hAnsi="宋体" w:cs="宋体"/>
                <w:sz w:val="24"/>
                <w:szCs w:val="24"/>
              </w:rPr>
              <w:t xml:space="preserve">    </w:t>
            </w:r>
            <w:r>
              <w:rPr>
                <w:rFonts w:hint="eastAsia" w:ascii="宋体" w:hAnsi="宋体" w:cs="宋体"/>
                <w:sz w:val="24"/>
                <w:szCs w:val="24"/>
              </w:rPr>
              <w:t>中标通知书对</w:t>
            </w:r>
            <w:r>
              <w:rPr>
                <w:rFonts w:hint="eastAsia" w:asciiTheme="minorEastAsia" w:hAnsiTheme="minorEastAsia" w:eastAsiaTheme="minorEastAsia" w:cstheme="minorEastAsia"/>
                <w:sz w:val="24"/>
                <w:szCs w:val="24"/>
              </w:rPr>
              <w:t>采购人</w:t>
            </w:r>
            <w:r>
              <w:rPr>
                <w:rFonts w:hint="eastAsia" w:ascii="宋体" w:hAnsi="宋体" w:cs="宋体"/>
                <w:sz w:val="24"/>
                <w:szCs w:val="24"/>
              </w:rPr>
              <w:t>和中标人均具有法律效力。中标通知书发出后，</w:t>
            </w:r>
            <w:r>
              <w:rPr>
                <w:rFonts w:hint="eastAsia" w:asciiTheme="minorEastAsia" w:hAnsiTheme="minorEastAsia" w:eastAsiaTheme="minorEastAsia" w:cstheme="minorEastAsia"/>
                <w:sz w:val="24"/>
                <w:szCs w:val="24"/>
              </w:rPr>
              <w:t>采购人</w:t>
            </w:r>
            <w:r>
              <w:rPr>
                <w:rFonts w:hint="eastAsia" w:ascii="宋体" w:hAnsi="宋体" w:cs="宋体"/>
                <w:sz w:val="24"/>
                <w:szCs w:val="24"/>
              </w:rPr>
              <w:t>改变中标结果的，或者中标人放弃中标项目的，应当依法承担法律责任。</w:t>
            </w:r>
          </w:p>
          <w:p>
            <w:pPr>
              <w:pStyle w:val="15"/>
              <w:spacing w:line="360" w:lineRule="auto"/>
              <w:ind w:firstLine="480" w:firstLineChars="200"/>
              <w:rPr>
                <w:rFonts w:hAnsi="宋体"/>
                <w:sz w:val="24"/>
                <w:szCs w:val="24"/>
              </w:rPr>
            </w:pPr>
            <w:r>
              <w:rPr>
                <w:rFonts w:hint="eastAsia" w:hAnsi="宋体"/>
                <w:sz w:val="24"/>
                <w:szCs w:val="24"/>
              </w:rPr>
              <w:t>政府采购项目的采购合同自签订之日起七个工作日内，</w:t>
            </w:r>
            <w:r>
              <w:rPr>
                <w:rFonts w:hint="eastAsia" w:asciiTheme="minorEastAsia" w:hAnsiTheme="minorEastAsia" w:eastAsiaTheme="minorEastAsia" w:cstheme="minorEastAsia"/>
                <w:sz w:val="24"/>
                <w:szCs w:val="24"/>
              </w:rPr>
              <w:t>采购人</w:t>
            </w:r>
            <w:r>
              <w:rPr>
                <w:rFonts w:hint="eastAsia" w:hAnsi="宋体"/>
                <w:sz w:val="24"/>
                <w:szCs w:val="24"/>
              </w:rPr>
              <w:t>应当将合同副本报同级政府采购监督管理部门和有关部门备案。</w:t>
            </w:r>
            <w:r>
              <w:rPr>
                <w:rFonts w:hint="eastAsia" w:hAnsi="宋体"/>
                <w:sz w:val="24"/>
                <w:szCs w:val="24"/>
              </w:rPr>
              <w:br w:type="textWrapping"/>
            </w:r>
            <w:r>
              <w:rPr>
                <w:rFonts w:hint="eastAsia" w:hAnsi="宋体"/>
                <w:sz w:val="24"/>
                <w:szCs w:val="24"/>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sz w:val="24"/>
                <w:szCs w:val="24"/>
              </w:rPr>
              <w:br w:type="textWrapping"/>
            </w:r>
            <w:r>
              <w:rPr>
                <w:rFonts w:hint="eastAsia" w:hAnsi="宋体"/>
                <w:sz w:val="24"/>
                <w:szCs w:val="24"/>
              </w:rPr>
              <w:t xml:space="preserve">    政府采购合同的双方当事人不得擅自变更、中止或者终止合同。</w:t>
            </w:r>
            <w:r>
              <w:rPr>
                <w:rFonts w:hint="eastAsia" w:hAnsi="宋体"/>
                <w:sz w:val="24"/>
                <w:szCs w:val="24"/>
              </w:rPr>
              <w:br w:type="textWrapping"/>
            </w:r>
            <w:r>
              <w:rPr>
                <w:rFonts w:hint="eastAsia" w:hAnsi="宋体"/>
                <w:sz w:val="24"/>
                <w:szCs w:val="24"/>
              </w:rPr>
              <w:t>政府采购合同继续履行将损害国家利益和社会公共利益的，双方当事人应当变更、中止或者终止合同。有过错的一方应当承担赔偿责任，双方都有过错的，各自承担相应的责任。</w:t>
            </w:r>
          </w:p>
        </w:tc>
      </w:tr>
    </w:tbl>
    <w:p>
      <w:pPr>
        <w:spacing w:line="360" w:lineRule="auto"/>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br w:type="page"/>
      </w:r>
    </w:p>
    <w:p>
      <w:pPr>
        <w:jc w:val="both"/>
        <w:rPr>
          <w:rFonts w:ascii="华文仿宋" w:hAnsi="华文仿宋" w:eastAsia="华文仿宋" w:cs="华文仿宋"/>
          <w:b/>
          <w:sz w:val="52"/>
          <w:szCs w:val="52"/>
        </w:rPr>
      </w:pPr>
    </w:p>
    <w:p>
      <w:pPr>
        <w:jc w:val="center"/>
        <w:rPr>
          <w:rFonts w:ascii="华文仿宋" w:hAnsi="华文仿宋" w:eastAsia="华文仿宋" w:cs="华文仿宋"/>
          <w:b/>
          <w:sz w:val="52"/>
          <w:szCs w:val="52"/>
        </w:rPr>
      </w:pPr>
    </w:p>
    <w:p>
      <w:pPr>
        <w:jc w:val="center"/>
        <w:rPr>
          <w:rFonts w:hint="eastAsia"/>
          <w:b/>
          <w:sz w:val="44"/>
          <w:szCs w:val="44"/>
        </w:rPr>
      </w:pPr>
      <w:r>
        <w:rPr>
          <w:rFonts w:hint="eastAsia"/>
          <w:b/>
          <w:sz w:val="44"/>
          <w:szCs w:val="44"/>
        </w:rPr>
        <w:t>商洛市秦岭中段（南麓）水源涵养与生物多样性保护恢复项目(商南县2022年退化林修复）</w:t>
      </w:r>
    </w:p>
    <w:p>
      <w:pPr>
        <w:jc w:val="center"/>
        <w:rPr>
          <w:b/>
          <w:sz w:val="44"/>
          <w:szCs w:val="44"/>
        </w:rPr>
      </w:pPr>
    </w:p>
    <w:p>
      <w:pPr>
        <w:jc w:val="center"/>
        <w:rPr>
          <w:sz w:val="28"/>
          <w:szCs w:val="28"/>
        </w:rPr>
      </w:pPr>
      <w:r>
        <w:rPr>
          <w:rFonts w:hint="eastAsia"/>
          <w:b/>
          <w:sz w:val="44"/>
          <w:szCs w:val="44"/>
        </w:rPr>
        <w:t>（示范文本）</w:t>
      </w:r>
    </w:p>
    <w:p>
      <w:pPr>
        <w:jc w:val="center"/>
        <w:rPr>
          <w:sz w:val="28"/>
          <w:szCs w:val="28"/>
        </w:rPr>
      </w:pPr>
    </w:p>
    <w:p>
      <w:pPr>
        <w:jc w:val="cente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u w:val="single"/>
        </w:rPr>
      </w:pPr>
    </w:p>
    <w:p>
      <w:pPr>
        <w:pageBreakBefore/>
        <w:spacing w:after="120" w:afterLines="50" w:line="360" w:lineRule="auto"/>
        <w:jc w:val="center"/>
        <w:outlineLvl w:val="1"/>
        <w:rPr>
          <w:rFonts w:hAnsi="宋体"/>
          <w:b/>
          <w:sz w:val="32"/>
          <w:szCs w:val="32"/>
        </w:rPr>
      </w:pPr>
      <w:bookmarkStart w:id="92" w:name="_Toc27199"/>
      <w:bookmarkStart w:id="93" w:name="_Toc18407"/>
      <w:bookmarkStart w:id="94" w:name="_Toc826"/>
      <w:r>
        <w:rPr>
          <w:rFonts w:hint="eastAsia" w:hAnsi="宋体"/>
          <w:b/>
          <w:sz w:val="32"/>
          <w:szCs w:val="32"/>
        </w:rPr>
        <w:t>第一部分协议书</w:t>
      </w:r>
      <w:bookmarkEnd w:id="92"/>
      <w:bookmarkEnd w:id="93"/>
      <w:bookmarkEnd w:id="94"/>
    </w:p>
    <w:p>
      <w:pPr>
        <w:spacing w:before="240" w:beforeLines="100" w:after="240" w:afterLines="100" w:line="360" w:lineRule="auto"/>
        <w:ind w:firstLine="460" w:firstLineChars="192"/>
        <w:jc w:val="left"/>
        <w:rPr>
          <w:rFonts w:ascii="宋体" w:hAnsi="宋体" w:cs="宋体"/>
          <w:sz w:val="24"/>
          <w:szCs w:val="24"/>
          <w:u w:val="single"/>
        </w:rPr>
      </w:pPr>
      <w:r>
        <w:rPr>
          <w:rFonts w:hint="eastAsia" w:ascii="宋体" w:hAnsi="宋体" w:cs="宋体"/>
          <w:sz w:val="24"/>
          <w:szCs w:val="24"/>
        </w:rPr>
        <w:t>发包人（全称）：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承包人（全称）：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依照《中华人民共和国民法典》、《中华人民共和国建筑法》及其他有关法律、行政法规，遵循平等、自愿、公平和诚实信用的原则，双方就本建设工程施工事项协商一致，订立本合同。</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一、工程概况：</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工程名称：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工程地点：</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资金来源：</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二、工程承包范围</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承包范围：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三、合同工期</w:t>
      </w:r>
    </w:p>
    <w:p>
      <w:pPr>
        <w:spacing w:before="240" w:beforeLines="100" w:after="240" w:afterLines="100" w:line="360" w:lineRule="auto"/>
        <w:ind w:firstLine="460" w:firstLineChars="192"/>
        <w:jc w:val="left"/>
        <w:rPr>
          <w:rFonts w:ascii="宋体" w:hAnsi="宋体" w:cs="宋体"/>
          <w:sz w:val="24"/>
          <w:szCs w:val="24"/>
          <w:u w:val="single"/>
        </w:rPr>
      </w:pPr>
      <w:r>
        <w:rPr>
          <w:rFonts w:hint="eastAsia" w:ascii="宋体" w:hAnsi="宋体" w:cs="宋体"/>
          <w:sz w:val="24"/>
          <w:szCs w:val="24"/>
        </w:rPr>
        <w:t>开工日期：</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竣工日期：</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合同工期总日历天数</w:t>
      </w:r>
      <w:r>
        <w:rPr>
          <w:rFonts w:hint="eastAsia" w:ascii="宋体" w:hAnsi="宋体" w:cs="宋体"/>
          <w:sz w:val="24"/>
          <w:szCs w:val="24"/>
          <w:u w:val="single"/>
        </w:rPr>
        <w:t xml:space="preserve">         </w:t>
      </w:r>
      <w:r>
        <w:rPr>
          <w:rFonts w:hint="eastAsia" w:ascii="宋体" w:hAnsi="宋体" w:cs="宋体"/>
          <w:sz w:val="24"/>
          <w:szCs w:val="24"/>
        </w:rPr>
        <w:t>日历日。</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四、质量标准</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工程质量标准：达到国家质量验收合格标准</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五、合同价款</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合同金额（大写）：</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合同总价即成交价，合同总价为总承包价，不受市场价变化或实际工作量变化的影响，合同价格为含税价，供应商提供本工程所发生的一切税（包括增值税）费等都已包含于合同价款中。</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六、组成合同的文件</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组成本合同的文件包括：</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1、本合同协议书</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2、本合同专用条款</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3、本合同通用条款</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4、中标通知书</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5、投标文件、工程报价单或预算书及其附件</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6、招标文件、答疑纪要</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7、标准、规范及有关技术文件</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双方为履行本合同的有关洽商、变更等书面协议或文件视为本合同的组成部分。</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七、本协议书中有关词语含义与本合同第二部分《通用条款》中分别赋予它们的定义相同。</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八、承包人向发包人承诺按照合同约定进行施工、竣工并在质量保修期内承担工程质量保修责任。</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九、发包人向承包人承诺按照合同约定的期限和方式支付合同价款及其他应当支付的款项。</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十、合同生效</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合同订立时间：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日</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合同订立地点：</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本合同双方约定</w:t>
      </w:r>
      <w:r>
        <w:rPr>
          <w:rFonts w:hint="eastAsia" w:ascii="宋体" w:hAnsi="宋体" w:cs="宋体"/>
          <w:sz w:val="24"/>
          <w:szCs w:val="24"/>
          <w:u w:val="single"/>
        </w:rPr>
        <w:t>双方签字盖章后</w:t>
      </w:r>
      <w:r>
        <w:rPr>
          <w:rFonts w:hint="eastAsia" w:ascii="宋体" w:hAnsi="宋体" w:cs="宋体"/>
          <w:sz w:val="24"/>
          <w:szCs w:val="24"/>
        </w:rPr>
        <w:t>生效。</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 xml:space="preserve">发包人：（公章）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承包人：（公章）</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法定代表人：</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委托代理人：</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 xml:space="preserve">联系人：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联系人：</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电话：</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传真：</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传真：</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开户银行：</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240" w:beforeLines="100" w:after="240" w:afterLines="100" w:line="360" w:lineRule="auto"/>
        <w:ind w:firstLine="460" w:firstLineChars="192"/>
        <w:jc w:val="left"/>
        <w:rPr>
          <w:rFonts w:ascii="宋体" w:hAnsi="宋体" w:cs="宋体"/>
          <w:sz w:val="24"/>
          <w:szCs w:val="24"/>
        </w:rPr>
        <w:sectPr>
          <w:footerReference r:id="rId5" w:type="default"/>
          <w:pgSz w:w="11907" w:h="16840"/>
          <w:pgMar w:top="1701" w:right="1276" w:bottom="1701" w:left="1276" w:header="720" w:footer="720" w:gutter="0"/>
          <w:cols w:space="720" w:num="1"/>
        </w:sectPr>
      </w:pPr>
      <w:r>
        <w:rPr>
          <w:rFonts w:hint="eastAsia" w:ascii="宋体" w:hAnsi="宋体" w:cs="宋体"/>
          <w:sz w:val="24"/>
          <w:szCs w:val="24"/>
        </w:rPr>
        <w:t xml:space="preserve">账号：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账号：</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360" w:lineRule="auto"/>
        <w:ind w:firstLine="723" w:firstLineChars="200"/>
        <w:jc w:val="center"/>
        <w:rPr>
          <w:rFonts w:hAnsi="宋体"/>
        </w:rPr>
      </w:pPr>
      <w:r>
        <w:rPr>
          <w:rFonts w:hint="eastAsia" w:hAnsi="宋体"/>
          <w:b/>
          <w:bCs/>
          <w:sz w:val="36"/>
          <w:szCs w:val="36"/>
        </w:rPr>
        <w:t>第二部分通用合同条款</w:t>
      </w:r>
    </w:p>
    <w:p>
      <w:pPr>
        <w:pStyle w:val="24"/>
        <w:spacing w:line="300" w:lineRule="auto"/>
        <w:jc w:val="center"/>
        <w:rPr>
          <w:rFonts w:cs="宋体"/>
          <w:b/>
          <w:bCs/>
          <w:color w:val="auto"/>
          <w:sz w:val="28"/>
          <w:szCs w:val="28"/>
        </w:rPr>
      </w:pPr>
      <w:r>
        <w:rPr>
          <w:rFonts w:hint="eastAsia" w:cs="宋体"/>
          <w:b/>
          <w:bCs/>
          <w:color w:val="auto"/>
          <w:sz w:val="28"/>
          <w:szCs w:val="28"/>
        </w:rPr>
        <w:t>执行《陕西省建设工程施工合同》（示范文本）</w:t>
      </w:r>
    </w:p>
    <w:p>
      <w:pPr>
        <w:pStyle w:val="24"/>
        <w:spacing w:line="300" w:lineRule="auto"/>
        <w:jc w:val="center"/>
        <w:rPr>
          <w:rFonts w:cs="宋体"/>
          <w:b/>
          <w:bCs/>
          <w:color w:val="auto"/>
          <w:sz w:val="28"/>
          <w:szCs w:val="28"/>
        </w:rPr>
      </w:pPr>
    </w:p>
    <w:p>
      <w:pPr>
        <w:pStyle w:val="24"/>
        <w:spacing w:line="300" w:lineRule="auto"/>
        <w:jc w:val="center"/>
        <w:rPr>
          <w:rFonts w:cs="宋体"/>
          <w:b/>
          <w:bCs/>
          <w:color w:val="auto"/>
          <w:sz w:val="28"/>
          <w:szCs w:val="28"/>
        </w:rPr>
        <w:sectPr>
          <w:pgSz w:w="11850" w:h="16783"/>
          <w:pgMar w:top="1440" w:right="1797" w:bottom="1440" w:left="1400" w:header="720" w:footer="720" w:gutter="0"/>
          <w:cols w:space="720" w:num="1"/>
        </w:sectPr>
      </w:pPr>
    </w:p>
    <w:p>
      <w:pPr>
        <w:jc w:val="center"/>
        <w:rPr>
          <w:rFonts w:ascii="黑体" w:eastAsia="黑体"/>
          <w:sz w:val="30"/>
          <w:szCs w:val="30"/>
        </w:rPr>
      </w:pPr>
      <w:r>
        <w:rPr>
          <w:rFonts w:hint="eastAsia" w:hAnsi="宋体"/>
          <w:b/>
          <w:bCs/>
          <w:sz w:val="36"/>
          <w:szCs w:val="36"/>
        </w:rPr>
        <w:t>第三部分专用合同条款</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一、词语定义及合同文件</w:t>
      </w:r>
    </w:p>
    <w:p>
      <w:pPr>
        <w:spacing w:line="360" w:lineRule="auto"/>
        <w:ind w:firstLine="482" w:firstLineChars="200"/>
        <w:jc w:val="left"/>
        <w:rPr>
          <w:rFonts w:ascii="宋体" w:hAnsi="宋体" w:cs="宋体"/>
          <w:sz w:val="24"/>
          <w:szCs w:val="24"/>
        </w:rPr>
      </w:pPr>
      <w:r>
        <w:rPr>
          <w:rFonts w:hint="eastAsia" w:ascii="宋体" w:hAnsi="宋体" w:cs="宋体"/>
          <w:b/>
          <w:bCs/>
          <w:sz w:val="24"/>
          <w:szCs w:val="24"/>
        </w:rPr>
        <w:t>1、</w:t>
      </w:r>
      <w:r>
        <w:rPr>
          <w:rFonts w:hint="eastAsia" w:ascii="宋体" w:hAnsi="宋体" w:cs="宋体"/>
          <w:sz w:val="24"/>
          <w:szCs w:val="24"/>
          <w:u w:val="single"/>
        </w:rPr>
        <w:t>专用合同条款是对通用条款中相应条款内容的解释、补充、删除或修改，其序号与通用条款中条款一一对应，未作改动的条款按通用条款执行。</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2、合同文件及解释顺序</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合同文件组成及解释顺序：</w:t>
      </w:r>
      <w:r>
        <w:rPr>
          <w:rFonts w:hint="eastAsia" w:ascii="宋体" w:hAnsi="宋体" w:cs="宋体"/>
          <w:sz w:val="24"/>
          <w:szCs w:val="24"/>
          <w:u w:val="single"/>
        </w:rPr>
        <w:t>﹙1﹚本合同协议书；﹙2﹚本合同专用条款；﹙3﹚中标通知书；﹙4﹚招标文件答疑纪要；﹙5﹚本合同通用条款；﹙6﹚标准规范及有关技术文件；（7）其他。</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3、语言文字和适用法律语言文字和适用法律、标准及规范</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3.1  本合同除使用汉语外，还使用_________</w:t>
      </w:r>
      <w:r>
        <w:rPr>
          <w:rFonts w:hint="eastAsia" w:ascii="宋体" w:hAnsi="宋体" w:cs="宋体"/>
          <w:sz w:val="24"/>
          <w:szCs w:val="24"/>
          <w:u w:val="single"/>
        </w:rPr>
        <w:t>/</w:t>
      </w:r>
      <w:r>
        <w:rPr>
          <w:rFonts w:hint="eastAsia" w:ascii="宋体" w:hAnsi="宋体" w:cs="宋体"/>
          <w:sz w:val="24"/>
          <w:szCs w:val="24"/>
        </w:rPr>
        <w:t>__________语言文字。</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3.2  适用法律和法规需要明示的法律、行政法规：</w:t>
      </w:r>
      <w:r>
        <w:rPr>
          <w:rFonts w:hint="eastAsia" w:ascii="宋体" w:hAnsi="宋体" w:cs="宋体"/>
          <w:sz w:val="24"/>
          <w:szCs w:val="24"/>
          <w:u w:val="single"/>
        </w:rPr>
        <w:t>本合同适用于中华人民共和国法律，行政法规、陕西省地方法规。</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3.3  适用标准、规范</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适用标准、规范的名称：</w:t>
      </w:r>
      <w:r>
        <w:rPr>
          <w:rFonts w:hint="eastAsia" w:ascii="宋体" w:hAnsi="宋体" w:cs="宋体"/>
          <w:sz w:val="24"/>
          <w:szCs w:val="24"/>
          <w:u w:val="single"/>
        </w:rPr>
        <w:t>﹙1﹚国家现行和相关技术规程；﹙2﹚工程所在地建设主管部门的标准、规范；﹙3﹚工程所在地行业的标准、规范。</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发包人提供标准、规范的时间：</w:t>
      </w:r>
      <w:r>
        <w:rPr>
          <w:rFonts w:hint="eastAsia" w:ascii="宋体" w:hAnsi="宋体" w:cs="宋体"/>
          <w:sz w:val="24"/>
          <w:szCs w:val="24"/>
          <w:u w:val="single"/>
        </w:rPr>
        <w:t xml:space="preserve">               /                    _</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国内没有相应标准、规范时的约定：</w:t>
      </w:r>
      <w:r>
        <w:rPr>
          <w:rFonts w:hint="eastAsia" w:ascii="宋体" w:hAnsi="宋体" w:cs="宋体"/>
          <w:sz w:val="24"/>
          <w:szCs w:val="24"/>
          <w:u w:val="single"/>
        </w:rPr>
        <w:t>。</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4、图纸</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4.1发包人向承包人提供图纸日期和套数</w:t>
      </w:r>
      <w:r>
        <w:rPr>
          <w:rFonts w:hint="eastAsia" w:ascii="宋体" w:hAnsi="宋体" w:cs="宋体"/>
          <w:sz w:val="24"/>
          <w:szCs w:val="24"/>
          <w:u w:val="single"/>
        </w:rPr>
        <w:t>：    /                       。</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发包人对图纸的保密要求</w:t>
      </w:r>
      <w:r>
        <w:rPr>
          <w:rFonts w:hint="eastAsia" w:ascii="宋体" w:hAnsi="宋体" w:cs="宋体"/>
          <w:sz w:val="24"/>
          <w:szCs w:val="24"/>
          <w:u w:val="single"/>
        </w:rPr>
        <w:t>：         /           。</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使用国外图纸的要求及费用承担：</w:t>
      </w:r>
      <w:r>
        <w:rPr>
          <w:rFonts w:hint="eastAsia" w:ascii="宋体" w:hAnsi="宋体" w:cs="宋体"/>
          <w:sz w:val="24"/>
          <w:szCs w:val="24"/>
          <w:u w:val="single"/>
        </w:rPr>
        <w:t>____无_____</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二、双方一般权利和义务</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5、工程师</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5.2监理单位委派的工程师</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姓名：______/_________职务：______/________</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发包人委托的职权：</w:t>
      </w:r>
      <w:r>
        <w:rPr>
          <w:rFonts w:hint="eastAsia" w:ascii="宋体" w:hAnsi="宋体" w:cs="宋体"/>
          <w:sz w:val="24"/>
          <w:szCs w:val="24"/>
          <w:u w:val="single"/>
        </w:rPr>
        <w:t xml:space="preserve">               /                   </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需要取得发包人批准才能行使的职权：</w:t>
      </w:r>
      <w:r>
        <w:rPr>
          <w:rFonts w:hint="eastAsia" w:ascii="宋体" w:hAnsi="宋体" w:cs="宋体"/>
          <w:sz w:val="24"/>
          <w:szCs w:val="24"/>
          <w:u w:val="single"/>
        </w:rPr>
        <w:t xml:space="preserve">         /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5.4发包人派驻的工程师</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姓名：____________________职务：________________________________</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职权：</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5.6不实行监理的，工程师的职权：________</w:t>
      </w:r>
      <w:r>
        <w:rPr>
          <w:rFonts w:hint="eastAsia" w:ascii="宋体" w:hAnsi="宋体" w:cs="宋体"/>
          <w:sz w:val="24"/>
          <w:szCs w:val="24"/>
          <w:u w:val="single"/>
        </w:rPr>
        <w:t>/_</w:t>
      </w:r>
      <w:r>
        <w:rPr>
          <w:rFonts w:hint="eastAsia" w:ascii="宋体" w:hAnsi="宋体" w:cs="宋体"/>
          <w:sz w:val="24"/>
          <w:szCs w:val="24"/>
        </w:rPr>
        <w:t>____________________</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6、项目经理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姓名：___________职务：___________________</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7、发包人工作</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7.1发包人应按约定的时间和要求完成以下工作：</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（1）施工场地具备施工条件的要求及完成的时间：</w:t>
      </w:r>
      <w:r>
        <w:rPr>
          <w:rFonts w:hint="eastAsia" w:ascii="宋体" w:hAnsi="宋体" w:cs="宋体"/>
          <w:sz w:val="24"/>
          <w:szCs w:val="24"/>
          <w:u w:val="single"/>
        </w:rPr>
        <w:t>工程开工前五日内完成。</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（2）将施工所需的水、电、电讯线路接至施工场地的时间、地点和供应要求：</w:t>
      </w:r>
      <w:r>
        <w:rPr>
          <w:rFonts w:hint="eastAsia" w:ascii="宋体" w:hAnsi="宋体" w:cs="宋体"/>
          <w:sz w:val="24"/>
          <w:szCs w:val="24"/>
          <w:u w:val="single"/>
        </w:rPr>
        <w:t>本工程施工水源、电源、电讯均由承包人自行解决并承担费用。</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其计量和计价方法为：</w:t>
      </w:r>
      <w:r>
        <w:rPr>
          <w:rFonts w:hint="eastAsia" w:ascii="宋体" w:hAnsi="宋体" w:cs="宋体"/>
          <w:sz w:val="24"/>
          <w:szCs w:val="24"/>
          <w:u w:val="single"/>
        </w:rPr>
        <w:t>由承包人承担费用，按不同来源在投标时自主报价，结算时不再调整。</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（3）施工场地与公共道路的通道开通时间和要求：</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（4）工程地质和地下管线资料的提供时间：</w:t>
      </w:r>
      <w:r>
        <w:rPr>
          <w:rFonts w:hint="eastAsia" w:ascii="宋体" w:hAnsi="宋体" w:cs="宋体"/>
          <w:sz w:val="24"/>
          <w:szCs w:val="24"/>
          <w:u w:val="single"/>
        </w:rPr>
        <w:t>合同签订七日内提供发包人已知的情况，其它由承包人自行勘测和解决。</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（5）由发包人办理的施工所需证件、批件的名称和完成时间：</w:t>
      </w:r>
      <w:r>
        <w:rPr>
          <w:rFonts w:hint="eastAsia" w:ascii="宋体" w:hAnsi="宋体" w:cs="宋体"/>
          <w:sz w:val="24"/>
          <w:szCs w:val="24"/>
          <w:u w:val="single"/>
        </w:rPr>
        <w:t>合同签订后发包人积极办理，需要承包人配合的承包人必须积极配合在开工前完成</w:t>
      </w:r>
      <w:r>
        <w:rPr>
          <w:rFonts w:hint="eastAsia" w:ascii="宋体" w:hAnsi="宋体" w:cs="宋体"/>
          <w:sz w:val="24"/>
          <w:szCs w:val="24"/>
        </w:rPr>
        <w:t>。</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（6）水准点与座标控制点交验要求：</w:t>
      </w:r>
      <w:r>
        <w:rPr>
          <w:rFonts w:hint="eastAsia" w:ascii="宋体" w:hAnsi="宋体" w:cs="宋体"/>
          <w:sz w:val="24"/>
          <w:szCs w:val="24"/>
          <w:u w:val="single"/>
        </w:rPr>
        <w:t>/。</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（7）施工交底时间：</w:t>
      </w:r>
      <w:r>
        <w:rPr>
          <w:rFonts w:hint="eastAsia" w:ascii="宋体" w:hAnsi="宋体" w:cs="宋体"/>
          <w:sz w:val="24"/>
          <w:szCs w:val="24"/>
          <w:u w:val="single"/>
        </w:rPr>
        <w:t>。</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（8）协调处理施工场地周围地下管线和邻近建筑物、构筑物（含文物保护建筑）、古树名木的保护工作：</w:t>
      </w:r>
      <w:r>
        <w:rPr>
          <w:rFonts w:hint="eastAsia" w:ascii="宋体" w:hAnsi="宋体" w:cs="宋体"/>
          <w:sz w:val="24"/>
          <w:szCs w:val="24"/>
          <w:u w:val="single"/>
        </w:rPr>
        <w:t>由发包人和承包人协商确定。</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（9）双方约定发包人应做的其他工作：</w:t>
      </w:r>
      <w:r>
        <w:rPr>
          <w:rFonts w:hint="eastAsia" w:ascii="宋体" w:hAnsi="宋体" w:cs="宋体"/>
          <w:sz w:val="24"/>
          <w:szCs w:val="24"/>
          <w:u w:val="single"/>
        </w:rPr>
        <w:t>施工中的协调配合工作。</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7.2发包人委托承包人办理的工作：</w:t>
      </w:r>
      <w:r>
        <w:rPr>
          <w:rFonts w:hint="eastAsia" w:ascii="宋体" w:hAnsi="宋体" w:cs="宋体"/>
          <w:sz w:val="24"/>
          <w:szCs w:val="24"/>
          <w:u w:val="single"/>
        </w:rPr>
        <w:t>配合发包人办理施工许可证、质量监督备案手续。</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8、承包人工作</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8.1承包人应按约定时间和要求，完成以下工作：</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（1）需由设计资质等级和业务范围允许的承包人完成的设计文件提交时间：</w:t>
      </w:r>
      <w:r>
        <w:rPr>
          <w:rFonts w:hint="eastAsia" w:ascii="宋体" w:hAnsi="宋体" w:cs="宋体"/>
          <w:sz w:val="24"/>
          <w:szCs w:val="24"/>
          <w:u w:val="single"/>
        </w:rPr>
        <w:t>按发包人的要求提供。</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（2）应提供计划、报表的名称及完成时间：</w:t>
      </w:r>
      <w:r>
        <w:rPr>
          <w:rFonts w:hint="eastAsia" w:ascii="宋体" w:hAnsi="宋体" w:cs="宋体"/>
          <w:sz w:val="24"/>
          <w:szCs w:val="24"/>
          <w:u w:val="single"/>
        </w:rPr>
        <w:t xml:space="preserve">        /          。</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（3）承担施工安全保卫工作及非夜间施工照明的责任和要求：</w:t>
      </w:r>
      <w:r>
        <w:rPr>
          <w:rFonts w:hint="eastAsia" w:ascii="宋体" w:hAnsi="宋体" w:cs="宋体"/>
          <w:sz w:val="24"/>
          <w:szCs w:val="24"/>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（4）向发包人提供的办公和生活房屋及设施的要求：</w:t>
      </w:r>
      <w:r>
        <w:rPr>
          <w:rFonts w:hint="eastAsia" w:ascii="宋体" w:hAnsi="宋体" w:cs="宋体"/>
          <w:sz w:val="24"/>
          <w:szCs w:val="24"/>
          <w:u w:val="single"/>
        </w:rPr>
        <w:t>/</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（5）需承包人办理的有关施工场地交通、环卫和施工噪音管理等手续：</w:t>
      </w:r>
      <w:r>
        <w:rPr>
          <w:rFonts w:hint="eastAsia" w:ascii="宋体" w:hAnsi="宋体" w:cs="宋体"/>
          <w:sz w:val="24"/>
          <w:szCs w:val="24"/>
          <w:u w:val="single"/>
        </w:rPr>
        <w:t>由承包人负责各项手续的办理并承担费用。</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（6）已完工程成品保护的特殊要求及费用承担：</w:t>
      </w:r>
      <w:r>
        <w:rPr>
          <w:rFonts w:hint="eastAsia" w:ascii="宋体" w:hAnsi="宋体" w:cs="宋体"/>
          <w:sz w:val="24"/>
          <w:szCs w:val="24"/>
          <w:u w:val="single"/>
        </w:rPr>
        <w:t>承包人负责，费用由承包人承担。</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（7）施工场地周围地下管线和邻近建筑物、构筑物（含文物保护建筑）、古树名木的保护要求及费用承担：</w:t>
      </w:r>
      <w:r>
        <w:rPr>
          <w:rFonts w:hint="eastAsia" w:ascii="宋体" w:hAnsi="宋体" w:cs="宋体"/>
          <w:sz w:val="24"/>
          <w:szCs w:val="24"/>
          <w:u w:val="single"/>
        </w:rPr>
        <w:t>由发包人和承包人负责协商确定。</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（8）施工场地清洁卫生的要求：</w:t>
      </w:r>
      <w:r>
        <w:rPr>
          <w:rFonts w:hint="eastAsia" w:ascii="宋体" w:hAnsi="宋体" w:cs="宋体"/>
          <w:sz w:val="24"/>
          <w:szCs w:val="24"/>
          <w:u w:val="single"/>
        </w:rPr>
        <w:t>由承包人负责。</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（9）双方约定承包人应做的其他工作：</w:t>
      </w:r>
      <w:r>
        <w:rPr>
          <w:rFonts w:hint="eastAsia" w:ascii="宋体" w:hAnsi="宋体" w:cs="宋体"/>
          <w:sz w:val="24"/>
          <w:szCs w:val="24"/>
          <w:u w:val="single"/>
        </w:rPr>
        <w:t>相关的对外协调工作。</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三、施工组织设计和工期</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9、进度计划</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9.1承包人提供施工组织设计（施工方案）和进度计划的时间：</w:t>
      </w:r>
      <w:r>
        <w:rPr>
          <w:rFonts w:hint="eastAsia" w:ascii="宋体" w:hAnsi="宋体" w:cs="宋体"/>
          <w:sz w:val="24"/>
          <w:szCs w:val="24"/>
          <w:u w:val="single"/>
        </w:rPr>
        <w:t>合同签订后15日内。</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工程师确认的时间：</w:t>
      </w:r>
      <w:r>
        <w:rPr>
          <w:rFonts w:hint="eastAsia" w:ascii="宋体" w:hAnsi="宋体" w:cs="宋体"/>
          <w:sz w:val="24"/>
          <w:szCs w:val="24"/>
          <w:u w:val="single"/>
        </w:rPr>
        <w:t>承包人接交之日起七日内。</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9.2群体工程中有关进度计划的要求：</w:t>
      </w:r>
      <w:r>
        <w:rPr>
          <w:rFonts w:hint="eastAsia" w:ascii="宋体" w:hAnsi="宋体" w:cs="宋体"/>
          <w:sz w:val="24"/>
          <w:szCs w:val="24"/>
          <w:u w:val="single"/>
        </w:rPr>
        <w:t>以发包人的要求为准。</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10、工期延误</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10.1双方约定工期顺延的其他情况：</w:t>
      </w:r>
      <w:r>
        <w:rPr>
          <w:rFonts w:hint="eastAsia" w:ascii="宋体" w:hAnsi="宋体" w:cs="宋体"/>
          <w:sz w:val="24"/>
          <w:szCs w:val="24"/>
          <w:u w:val="single"/>
        </w:rPr>
        <w:t>执行《通用条款》。</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四、质量与检验</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11、隐蔽工程和中间验收</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11.1双方约定中间验收部位：</w:t>
      </w:r>
      <w:r>
        <w:rPr>
          <w:rFonts w:hint="eastAsia" w:ascii="宋体" w:hAnsi="宋体" w:cs="宋体"/>
          <w:sz w:val="24"/>
          <w:szCs w:val="24"/>
          <w:u w:val="single"/>
        </w:rPr>
        <w:t>执行《通用条款》。</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12、工程试车</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12.1试车费用的承担：</w:t>
      </w:r>
      <w:r>
        <w:rPr>
          <w:rFonts w:hint="eastAsia" w:ascii="宋体" w:hAnsi="宋体" w:cs="宋体"/>
          <w:sz w:val="24"/>
          <w:szCs w:val="24"/>
          <w:u w:val="single"/>
        </w:rPr>
        <w:t>由承包人承担。</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五、安全生产</w:t>
      </w:r>
    </w:p>
    <w:p>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13、项目实施单位履行安全生产监管责任，项目施工单位履行安全生产主体责任。（详见作业设计说明书）</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六、合同价款</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13、合同价款约定</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13.1本合同价款采用</w:t>
      </w:r>
      <w:r>
        <w:rPr>
          <w:rFonts w:hint="eastAsia" w:ascii="宋体" w:hAnsi="宋体" w:cs="宋体"/>
          <w:sz w:val="24"/>
          <w:szCs w:val="24"/>
          <w:u w:val="single"/>
        </w:rPr>
        <w:t>（1）_</w:t>
      </w:r>
      <w:r>
        <w:rPr>
          <w:rFonts w:hint="eastAsia" w:ascii="宋体" w:hAnsi="宋体" w:cs="宋体"/>
          <w:sz w:val="24"/>
          <w:szCs w:val="24"/>
        </w:rPr>
        <w:t>方式确定。</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（1）采用固定总价合同：</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（2）采用固定综合单价合同，综合单价中包括的风险范围：</w:t>
      </w:r>
      <w:r>
        <w:rPr>
          <w:rFonts w:hint="eastAsia" w:ascii="宋体" w:hAnsi="宋体" w:cs="宋体"/>
          <w:sz w:val="24"/>
          <w:szCs w:val="24"/>
          <w:u w:val="single"/>
        </w:rPr>
        <w:t xml:space="preserve">  /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（3）采用可调价格合同，合同价款调整方法：_______</w:t>
      </w:r>
      <w:r>
        <w:rPr>
          <w:rFonts w:hint="eastAsia" w:ascii="宋体" w:hAnsi="宋体" w:cs="宋体"/>
          <w:sz w:val="24"/>
          <w:szCs w:val="24"/>
          <w:u w:val="single"/>
        </w:rPr>
        <w:t>__/__</w:t>
      </w:r>
      <w:r>
        <w:rPr>
          <w:rFonts w:hint="eastAsia" w:ascii="宋体" w:hAnsi="宋体" w:cs="宋体"/>
          <w:sz w:val="24"/>
          <w:szCs w:val="24"/>
        </w:rPr>
        <w:t>___________</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14、合同价款调整</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14.1双方约定合同价款的其他调整因素：__________</w:t>
      </w:r>
      <w:r>
        <w:rPr>
          <w:rFonts w:hint="eastAsia" w:ascii="宋体" w:hAnsi="宋体" w:cs="宋体"/>
          <w:sz w:val="24"/>
          <w:szCs w:val="24"/>
          <w:u w:val="single"/>
        </w:rPr>
        <w:t>_/</w:t>
      </w:r>
      <w:r>
        <w:rPr>
          <w:rFonts w:hint="eastAsia" w:ascii="宋体" w:hAnsi="宋体" w:cs="宋体"/>
          <w:sz w:val="24"/>
          <w:szCs w:val="24"/>
        </w:rPr>
        <w:t>_______________</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15、工程预付款</w:t>
      </w:r>
    </w:p>
    <w:p>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发包人向承包人预付工程款的时间和金额或占合同价款总额的比例：</w:t>
      </w:r>
      <w:r>
        <w:rPr>
          <w:rFonts w:hint="eastAsia" w:ascii="宋体" w:hAnsi="宋体" w:cs="宋体"/>
          <w:sz w:val="24"/>
          <w:szCs w:val="24"/>
          <w:u w:val="single"/>
        </w:rPr>
        <w:t xml:space="preserve"> / </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预付安全防护、文明施工措施费用的比例和时间：</w:t>
      </w:r>
      <w:r>
        <w:rPr>
          <w:rFonts w:hint="eastAsia" w:ascii="宋体" w:hAnsi="宋体" w:cs="宋体"/>
          <w:sz w:val="24"/>
          <w:szCs w:val="24"/>
          <w:u w:val="single"/>
        </w:rPr>
        <w:t xml:space="preserve"> / </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16、工程量确认</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16.1承包人向工程师提交已完工程量报告的时间：</w:t>
      </w:r>
      <w:r>
        <w:rPr>
          <w:rFonts w:hint="eastAsia" w:ascii="宋体" w:hAnsi="宋体" w:cs="宋体"/>
          <w:sz w:val="24"/>
          <w:szCs w:val="24"/>
          <w:u w:val="single"/>
        </w:rPr>
        <w:t>每月的26日承包人向发包人提交25日以前已完工程量报告。</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17、工程进度款结算与支付</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双方约定的工程进度款支付的方式、时间和比例是：详见合同条款及格式前附表</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七、材料设备供应</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31发包人供应材料设备，承包人应按计划领取使用，在结算时发包人按暂定价从工程款中扣除。</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31.4发包人供应的材料设备与一览表不符时，双方约定发包人承担责任如下：</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（1）材料设备单价与一览表不符：</w:t>
      </w:r>
      <w:r>
        <w:rPr>
          <w:rFonts w:hint="eastAsia" w:ascii="宋体" w:hAnsi="宋体" w:cs="宋体"/>
          <w:sz w:val="24"/>
          <w:szCs w:val="24"/>
          <w:u w:val="single"/>
        </w:rPr>
        <w:t>执行《通用条款》31.4.（1）款。</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（2）材料设备的品种、规格、型号、质量等级与一览表不符：</w:t>
      </w:r>
      <w:r>
        <w:rPr>
          <w:rFonts w:hint="eastAsia" w:ascii="宋体" w:hAnsi="宋体" w:cs="宋体"/>
          <w:sz w:val="24"/>
          <w:szCs w:val="24"/>
          <w:u w:val="single"/>
        </w:rPr>
        <w:t>执行《通用条款》31.4(2)款。</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（3）承包人可代为调剂串换的材料：</w:t>
      </w:r>
      <w:r>
        <w:rPr>
          <w:rFonts w:hint="eastAsia" w:ascii="宋体" w:hAnsi="宋体" w:cs="宋体"/>
          <w:sz w:val="24"/>
          <w:szCs w:val="24"/>
          <w:u w:val="single"/>
        </w:rPr>
        <w:t>执行《通用条款》31.4.（3）款。</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（4）到货地点与一览表不符：</w:t>
      </w:r>
      <w:r>
        <w:rPr>
          <w:rFonts w:hint="eastAsia" w:ascii="宋体" w:hAnsi="宋体" w:cs="宋体"/>
          <w:sz w:val="24"/>
          <w:szCs w:val="24"/>
          <w:u w:val="single"/>
        </w:rPr>
        <w:t>执行《通用条款》31.4.（4）款。</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（5）供应数量与一览表不符：</w:t>
      </w:r>
      <w:r>
        <w:rPr>
          <w:rFonts w:hint="eastAsia" w:ascii="宋体" w:hAnsi="宋体" w:cs="宋体"/>
          <w:sz w:val="24"/>
          <w:szCs w:val="24"/>
          <w:u w:val="single"/>
        </w:rPr>
        <w:t>执行《通用条款》31.4.（5）款。</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（6）到货时间与一览表不符：</w:t>
      </w:r>
      <w:r>
        <w:rPr>
          <w:rFonts w:hint="eastAsia" w:ascii="宋体" w:hAnsi="宋体" w:cs="宋体"/>
          <w:sz w:val="24"/>
          <w:szCs w:val="24"/>
          <w:u w:val="single"/>
        </w:rPr>
        <w:t>执行《通用条款》31.4.（6）款。</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31.6发包人供应材料设备的结算方法：</w:t>
      </w:r>
      <w:r>
        <w:rPr>
          <w:rFonts w:hint="eastAsia" w:ascii="宋体" w:hAnsi="宋体" w:cs="宋体"/>
          <w:sz w:val="24"/>
          <w:szCs w:val="24"/>
          <w:u w:val="single"/>
        </w:rPr>
        <w:t>无</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32、承包人采购材料设备</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32.1承包人采购材料设备的约定：</w:t>
      </w:r>
      <w:r>
        <w:rPr>
          <w:rFonts w:hint="eastAsia" w:ascii="宋体" w:hAnsi="宋体" w:cs="宋体"/>
          <w:sz w:val="24"/>
          <w:szCs w:val="24"/>
          <w:u w:val="single"/>
        </w:rPr>
        <w:t>乙方自行采购的材料规格型号应与施工图设计相符，质量等级必须合格。</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八、工程变更</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33、在本工程实施过程中若发生变更，按下列各项执行：</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33.1</w:t>
      </w:r>
      <w:r>
        <w:rPr>
          <w:rFonts w:hint="eastAsia" w:ascii="宋体" w:hAnsi="宋体" w:cs="宋体"/>
          <w:sz w:val="24"/>
          <w:szCs w:val="24"/>
          <w:u w:val="single"/>
        </w:rPr>
        <w:t>合同中已有适用综合单价的，可参照类似综合单价调整；</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33.2</w:t>
      </w:r>
      <w:r>
        <w:rPr>
          <w:rFonts w:hint="eastAsia" w:ascii="宋体" w:hAnsi="宋体" w:cs="宋体"/>
          <w:sz w:val="24"/>
          <w:szCs w:val="24"/>
          <w:u w:val="single"/>
        </w:rPr>
        <w:t>合同中有类似综合单价的，可参照类似综合单价调整；</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33.3</w:t>
      </w:r>
      <w:r>
        <w:rPr>
          <w:rFonts w:hint="eastAsia" w:ascii="宋体" w:hAnsi="宋体" w:cs="宋体"/>
          <w:sz w:val="24"/>
          <w:szCs w:val="24"/>
          <w:u w:val="single"/>
        </w:rPr>
        <w:t>合同中没有适用或类似综合单价的承包人按照投标书人工工日、材料、机械台班单价进行组价，报发包人审核认可。</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九、竣工验收与结算</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36、竣工验收</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36.1承包人提供竣工图的约定：</w:t>
      </w:r>
      <w:r>
        <w:rPr>
          <w:rFonts w:hint="eastAsia" w:ascii="宋体" w:hAnsi="宋体" w:cs="宋体"/>
          <w:sz w:val="24"/>
          <w:szCs w:val="24"/>
          <w:u w:val="single"/>
        </w:rPr>
        <w:t>完整资料文件两套。</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36.6中间交工工程的范围和竣工时间：_______________</w:t>
      </w:r>
      <w:r>
        <w:rPr>
          <w:rFonts w:hint="eastAsia" w:ascii="宋体" w:hAnsi="宋体" w:cs="宋体"/>
          <w:sz w:val="24"/>
          <w:szCs w:val="24"/>
          <w:u w:val="single"/>
        </w:rPr>
        <w:t>/</w:t>
      </w:r>
      <w:r>
        <w:rPr>
          <w:rFonts w:hint="eastAsia" w:ascii="宋体" w:hAnsi="宋体" w:cs="宋体"/>
          <w:sz w:val="24"/>
          <w:szCs w:val="24"/>
        </w:rPr>
        <w:t>_______________</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37、竣工结算</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结算审查期限：</w:t>
      </w:r>
      <w:r>
        <w:rPr>
          <w:rFonts w:hint="eastAsia" w:ascii="宋体" w:hAnsi="宋体" w:cs="宋体"/>
          <w:sz w:val="24"/>
          <w:szCs w:val="24"/>
          <w:u w:val="single"/>
        </w:rPr>
        <w:t xml:space="preserve">  /   </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十、违约、索赔和争议</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39、违约</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39.1  本合同中关于发包人违约的具体责任如下：</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本合同通用条款第28.1条约定发包人违约应承担的违约责任：</w:t>
      </w:r>
      <w:r>
        <w:rPr>
          <w:rFonts w:hint="eastAsia" w:ascii="宋体" w:hAnsi="宋体" w:cs="宋体"/>
          <w:sz w:val="24"/>
          <w:szCs w:val="24"/>
          <w:u w:val="single"/>
        </w:rPr>
        <w:t xml:space="preserve">  _</w:t>
      </w:r>
      <w:r>
        <w:rPr>
          <w:rFonts w:hint="eastAsia" w:ascii="宋体" w:hAnsi="宋体" w:cs="宋体"/>
          <w:sz w:val="24"/>
          <w:szCs w:val="24"/>
        </w:rPr>
        <w:t>/_</w:t>
      </w:r>
      <w:r>
        <w:rPr>
          <w:rFonts w:hint="eastAsia" w:ascii="宋体" w:hAnsi="宋体" w:cs="宋体"/>
          <w:sz w:val="24"/>
          <w:szCs w:val="24"/>
          <w:u w:val="single"/>
        </w:rPr>
        <w:t xml:space="preserve">_   </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本合同通用条款第30.5款约定发包人违约应承担的违约责任：</w:t>
      </w:r>
      <w:r>
        <w:rPr>
          <w:rFonts w:hint="eastAsia" w:ascii="宋体" w:hAnsi="宋体" w:cs="宋体"/>
          <w:sz w:val="24"/>
          <w:szCs w:val="24"/>
          <w:u w:val="single"/>
        </w:rPr>
        <w:t>执行《通用条款》30.5款。</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本合同通用条款第37.6款约定发包人违约应承担的违约责任：</w:t>
      </w:r>
      <w:r>
        <w:rPr>
          <w:rFonts w:hint="eastAsia" w:ascii="宋体" w:hAnsi="宋体" w:cs="宋体"/>
          <w:sz w:val="24"/>
          <w:szCs w:val="24"/>
          <w:u w:val="single"/>
        </w:rPr>
        <w:t>执行《通用条款》37.6款。</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双方约定的发包人其他违约责任：__________/_________</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39.2  本合同中关于承包人违约的具体责任如下：本合同通用条款第14.2款约定承包人违约承担的违约责任：</w:t>
      </w:r>
      <w:r>
        <w:rPr>
          <w:rFonts w:hint="eastAsia" w:ascii="宋体" w:hAnsi="宋体" w:cs="宋体"/>
          <w:sz w:val="24"/>
          <w:szCs w:val="24"/>
          <w:u w:val="single"/>
        </w:rPr>
        <w:t>承包人工期每推迟一天罚款1000元，若影响到发包人使用另行赔偿给甲方造成的损失。</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本合同通用条款第15.1款约定承包人违约应承担的违约责任：</w:t>
      </w:r>
      <w:r>
        <w:rPr>
          <w:rFonts w:hint="eastAsia" w:ascii="宋体" w:hAnsi="宋体" w:cs="宋体"/>
          <w:sz w:val="24"/>
          <w:szCs w:val="24"/>
          <w:u w:val="single"/>
        </w:rPr>
        <w:t>承包方除按合同价款的2%承担违约金外，另按国务院279号令有关规定执行。</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双方约定的承包人其他违约责任：______</w:t>
      </w:r>
      <w:r>
        <w:rPr>
          <w:rFonts w:hint="eastAsia" w:ascii="宋体" w:hAnsi="宋体" w:cs="宋体"/>
          <w:sz w:val="24"/>
          <w:szCs w:val="24"/>
          <w:u w:val="single"/>
        </w:rPr>
        <w:t>/</w:t>
      </w:r>
      <w:r>
        <w:rPr>
          <w:rFonts w:hint="eastAsia" w:ascii="宋体" w:hAnsi="宋体" w:cs="宋体"/>
          <w:sz w:val="24"/>
          <w:szCs w:val="24"/>
        </w:rPr>
        <w:t>________</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41、争议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41.1双方当事人约定，在履行合同过程中产生争议时：</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（1）请_</w:t>
      </w:r>
      <w:r>
        <w:rPr>
          <w:rFonts w:hint="eastAsia" w:ascii="宋体" w:hAnsi="宋体" w:cs="宋体"/>
          <w:sz w:val="24"/>
          <w:szCs w:val="24"/>
          <w:u w:val="single"/>
        </w:rPr>
        <w:t>合同管理部门和其他有关部门</w:t>
      </w:r>
      <w:r>
        <w:rPr>
          <w:rFonts w:hint="eastAsia" w:ascii="宋体" w:hAnsi="宋体" w:cs="宋体"/>
          <w:sz w:val="24"/>
          <w:szCs w:val="24"/>
        </w:rPr>
        <w:t>_调解；</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（2）合同争议调解不成的，按下列第_</w:t>
      </w:r>
      <w:r>
        <w:rPr>
          <w:rFonts w:hint="eastAsia" w:ascii="宋体" w:hAnsi="宋体" w:cs="宋体"/>
          <w:sz w:val="24"/>
          <w:szCs w:val="24"/>
          <w:u w:val="single"/>
        </w:rPr>
        <w:t xml:space="preserve"> 1）</w:t>
      </w:r>
      <w:r>
        <w:rPr>
          <w:rFonts w:hint="eastAsia" w:ascii="宋体" w:hAnsi="宋体" w:cs="宋体"/>
          <w:sz w:val="24"/>
          <w:szCs w:val="24"/>
        </w:rPr>
        <w:t>_种方式解决：</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1）提交</w:t>
      </w:r>
      <w:r>
        <w:rPr>
          <w:rFonts w:hint="eastAsia" w:ascii="宋体" w:hAnsi="宋体" w:cs="宋体"/>
          <w:sz w:val="24"/>
          <w:szCs w:val="24"/>
          <w:u w:val="single"/>
          <w:lang w:eastAsia="zh-CN"/>
        </w:rPr>
        <w:t>商南</w:t>
      </w:r>
      <w:r>
        <w:rPr>
          <w:rFonts w:hint="eastAsia" w:ascii="宋体" w:hAnsi="宋体" w:cs="宋体"/>
          <w:sz w:val="24"/>
          <w:szCs w:val="24"/>
          <w:u w:val="single"/>
        </w:rPr>
        <w:t>县</w:t>
      </w:r>
      <w:r>
        <w:rPr>
          <w:rFonts w:hint="eastAsia" w:ascii="宋体" w:hAnsi="宋体" w:cs="宋体"/>
          <w:sz w:val="24"/>
          <w:szCs w:val="24"/>
        </w:rPr>
        <w:t>仲裁委员会申请仲裁；</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2）依法</w:t>
      </w:r>
      <w:r>
        <w:rPr>
          <w:rFonts w:hint="eastAsia" w:ascii="宋体" w:hAnsi="宋体" w:cs="宋体"/>
          <w:sz w:val="24"/>
          <w:szCs w:val="24"/>
          <w:u w:val="single"/>
        </w:rPr>
        <w:t>向</w:t>
      </w:r>
      <w:r>
        <w:rPr>
          <w:rFonts w:hint="eastAsia" w:ascii="宋体" w:hAnsi="宋体" w:cs="宋体"/>
          <w:sz w:val="24"/>
          <w:szCs w:val="24"/>
        </w:rPr>
        <w:t>人民法院提起诉讼。</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十一、其他</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42、工程分包</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42.1本工程发包人同意承包人分包的专业工程：</w:t>
      </w:r>
      <w:r>
        <w:rPr>
          <w:rFonts w:hint="eastAsia" w:ascii="宋体" w:hAnsi="宋体" w:cs="宋体"/>
          <w:sz w:val="24"/>
          <w:szCs w:val="24"/>
          <w:u w:val="single"/>
        </w:rPr>
        <w:t>无</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分包施工单位为：___________</w:t>
      </w:r>
      <w:r>
        <w:rPr>
          <w:rFonts w:hint="eastAsia" w:ascii="宋体" w:hAnsi="宋体" w:cs="宋体"/>
          <w:sz w:val="24"/>
          <w:szCs w:val="24"/>
          <w:u w:val="single"/>
        </w:rPr>
        <w:t>/</w:t>
      </w:r>
      <w:r>
        <w:rPr>
          <w:rFonts w:hint="eastAsia" w:ascii="宋体" w:hAnsi="宋体" w:cs="宋体"/>
          <w:sz w:val="24"/>
          <w:szCs w:val="24"/>
        </w:rPr>
        <w:t>_____________</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43、不可抗力</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43.1双方关于不可抗力的约定：</w:t>
      </w:r>
      <w:r>
        <w:rPr>
          <w:rFonts w:hint="eastAsia" w:ascii="宋体" w:hAnsi="宋体" w:cs="宋体"/>
          <w:sz w:val="24"/>
          <w:szCs w:val="24"/>
          <w:u w:val="single"/>
        </w:rPr>
        <w:t>_根据国家的法律规定执行。</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44、保险</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44.6本工程双方约定投保内容如下：</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（1）发包人投保内容：</w:t>
      </w:r>
      <w:r>
        <w:rPr>
          <w:rFonts w:hint="eastAsia" w:ascii="宋体" w:hAnsi="宋体" w:cs="宋体"/>
          <w:sz w:val="24"/>
          <w:szCs w:val="24"/>
          <w:u w:val="single"/>
        </w:rPr>
        <w:t>执行《通用条款》44.1款，费用由发包人承担。</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发包人委托承包人办理的保险事项：____________/________________</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（2）承包人投保内容：</w:t>
      </w:r>
      <w:r>
        <w:rPr>
          <w:rFonts w:hint="eastAsia" w:ascii="宋体" w:hAnsi="宋体" w:cs="宋体"/>
          <w:sz w:val="24"/>
          <w:szCs w:val="24"/>
          <w:u w:val="single"/>
        </w:rPr>
        <w:t>执行《通用条款》44.4款，费用由承包人承担。</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45、担保</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45.3本工程双方约定担保事项如下：</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（1）发包人向承包人提供支付担保，担保方式为：，担保金额：，担保有效期：</w:t>
      </w:r>
      <w:r>
        <w:rPr>
          <w:rFonts w:hint="eastAsia" w:ascii="宋体" w:hAnsi="宋体" w:cs="宋体"/>
          <w:sz w:val="24"/>
          <w:szCs w:val="24"/>
          <w:u w:val="single"/>
        </w:rPr>
        <w:t xml:space="preserve">    _</w:t>
      </w:r>
      <w:r>
        <w:rPr>
          <w:rFonts w:hint="eastAsia" w:ascii="宋体" w:hAnsi="宋体" w:cs="宋体"/>
          <w:sz w:val="24"/>
          <w:szCs w:val="24"/>
        </w:rPr>
        <w:t>。</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（2）承包人向发包人提供履约担保，担保方式为：</w:t>
      </w:r>
      <w:r>
        <w:rPr>
          <w:rFonts w:hint="eastAsia" w:ascii="宋体" w:hAnsi="宋体" w:cs="宋体"/>
          <w:sz w:val="24"/>
          <w:szCs w:val="24"/>
          <w:u w:val="single"/>
        </w:rPr>
        <w:t xml:space="preserve"> / </w:t>
      </w:r>
      <w:r>
        <w:rPr>
          <w:rFonts w:hint="eastAsia" w:ascii="宋体" w:hAnsi="宋体" w:cs="宋体"/>
          <w:sz w:val="24"/>
          <w:szCs w:val="24"/>
        </w:rPr>
        <w:t>，担保金额：</w:t>
      </w:r>
      <w:r>
        <w:rPr>
          <w:rFonts w:hint="eastAsia" w:ascii="宋体" w:hAnsi="宋体" w:cs="宋体"/>
          <w:sz w:val="24"/>
          <w:szCs w:val="24"/>
          <w:u w:val="single"/>
        </w:rPr>
        <w:t>/</w:t>
      </w:r>
      <w:r>
        <w:rPr>
          <w:rFonts w:hint="eastAsia" w:ascii="宋体" w:hAnsi="宋体" w:cs="宋体"/>
          <w:sz w:val="24"/>
          <w:szCs w:val="24"/>
        </w:rPr>
        <w:t>，担保有效期：</w:t>
      </w:r>
      <w:r>
        <w:rPr>
          <w:rFonts w:hint="eastAsia" w:ascii="宋体" w:hAnsi="宋体" w:cs="宋体"/>
          <w:sz w:val="24"/>
          <w:szCs w:val="24"/>
          <w:u w:val="single"/>
        </w:rPr>
        <w:t>/</w:t>
      </w:r>
      <w:r>
        <w:rPr>
          <w:rFonts w:hint="eastAsia" w:ascii="宋体" w:hAnsi="宋体" w:cs="宋体"/>
          <w:sz w:val="24"/>
          <w:szCs w:val="24"/>
        </w:rPr>
        <w:t>。</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（3）双方约定的其他担保事项：_______________/________________</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50、合同份数</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50.2双方约定合同副本份数：</w:t>
      </w:r>
      <w:r>
        <w:rPr>
          <w:rFonts w:hint="eastAsia" w:ascii="宋体" w:hAnsi="宋体" w:cs="宋体"/>
          <w:sz w:val="24"/>
          <w:szCs w:val="24"/>
          <w:u w:val="thick"/>
        </w:rPr>
        <w:t>捌份。</w:t>
      </w:r>
    </w:p>
    <w:p>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51、补充条款</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51.1</w:t>
      </w:r>
      <w:r>
        <w:rPr>
          <w:rFonts w:hint="eastAsia" w:ascii="宋体" w:hAnsi="宋体" w:cs="宋体"/>
          <w:sz w:val="24"/>
          <w:szCs w:val="24"/>
          <w:u w:val="single"/>
        </w:rPr>
        <w:t>本工程禁止转包，若发现承包方私自转包和未经发包人许可私自分包，发包人有权终止合同，对已完工程不予结算，并由承包人赔偿因此给发包方造成的直接或间接的经济损失。</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51.2</w:t>
      </w:r>
      <w:r>
        <w:rPr>
          <w:rFonts w:hint="eastAsia" w:ascii="宋体" w:hAnsi="宋体" w:cs="宋体"/>
          <w:sz w:val="24"/>
          <w:szCs w:val="24"/>
          <w:u w:val="single"/>
        </w:rPr>
        <w:t>施工企业须承诺按国务院及当地政府的规定按时、足额、实名方式支付农民工工资，否则发包人在工程款中代扣支付，并在工程结算时扣除。</w:t>
      </w:r>
    </w:p>
    <w:p>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51.3</w:t>
      </w:r>
      <w:r>
        <w:rPr>
          <w:rFonts w:hint="eastAsia" w:ascii="宋体" w:hAnsi="宋体" w:cs="宋体"/>
          <w:sz w:val="24"/>
          <w:szCs w:val="24"/>
          <w:u w:val="single"/>
        </w:rPr>
        <w:t>本工程竣工后，应免费将建筑物周围和施工单位生活区周围内施工现场清除干净；无建筑材料、无建筑设备、无建筑垃圾、和施工垃圾，做到场地整洁。</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51.4</w:t>
      </w:r>
      <w:r>
        <w:rPr>
          <w:rFonts w:hint="eastAsia" w:ascii="宋体" w:hAnsi="宋体" w:cs="宋体"/>
          <w:sz w:val="24"/>
          <w:szCs w:val="24"/>
          <w:u w:val="single"/>
        </w:rPr>
        <w:t>承包人在施工过程中应服从、遵守发包人和当地政府职能部门的管理制度。关于安全防护、文明施工措施费用的其他约定如下：</w:t>
      </w:r>
    </w:p>
    <w:p>
      <w:pPr>
        <w:numPr>
          <w:ilvl w:val="0"/>
          <w:numId w:val="4"/>
        </w:num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承包人需提供安全防护、文明施工措施费用的支付计划落实情况；</w:t>
      </w:r>
    </w:p>
    <w:p>
      <w:pPr>
        <w:numPr>
          <w:ilvl w:val="0"/>
          <w:numId w:val="4"/>
        </w:num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工程师对承包人落实安全防护、文明施工措施分情况进行现场监理，若发现承包人为落实安全防护、文明施工措施的，有权责令其立即整改；</w:t>
      </w:r>
    </w:p>
    <w:p>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3、</w:t>
      </w:r>
      <w:r>
        <w:rPr>
          <w:rFonts w:hint="eastAsia" w:ascii="宋体" w:hAnsi="宋体" w:cs="宋体"/>
          <w:sz w:val="24"/>
          <w:szCs w:val="24"/>
          <w:u w:val="single"/>
        </w:rPr>
        <w:t>发包人和承包人应在财务管理中单独列支安全防护、文明施工措施项目费用的支付情况。</w:t>
      </w:r>
    </w:p>
    <w:p>
      <w:pPr>
        <w:spacing w:line="360" w:lineRule="auto"/>
        <w:ind w:firstLine="480" w:firstLineChars="200"/>
        <w:rPr>
          <w:rFonts w:hAnsi="宋体"/>
          <w:szCs w:val="24"/>
        </w:rPr>
      </w:pPr>
      <w:r>
        <w:rPr>
          <w:rFonts w:hint="eastAsia" w:ascii="宋体" w:hAnsi="宋体" w:cs="宋体"/>
          <w:sz w:val="24"/>
          <w:szCs w:val="24"/>
        </w:rPr>
        <w:t>51.5</w:t>
      </w:r>
      <w:r>
        <w:rPr>
          <w:rFonts w:hint="eastAsia" w:ascii="宋体" w:hAnsi="宋体" w:cs="宋体"/>
          <w:sz w:val="24"/>
          <w:szCs w:val="24"/>
          <w:u w:val="single"/>
        </w:rPr>
        <w:t>以上未尽事宜，双方协商解决或另行签署补充协议。</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bookmarkEnd w:id="84"/>
    <w:bookmarkEnd w:id="85"/>
    <w:bookmarkEnd w:id="86"/>
    <w:bookmarkEnd w:id="87"/>
    <w:bookmarkEnd w:id="88"/>
    <w:bookmarkEnd w:id="89"/>
    <w:bookmarkEnd w:id="90"/>
    <w:bookmarkEnd w:id="91"/>
    <w:p>
      <w:pPr>
        <w:pStyle w:val="5"/>
        <w:jc w:val="center"/>
        <w:rPr>
          <w:rFonts w:asciiTheme="minorEastAsia" w:hAnsiTheme="minorEastAsia" w:eastAsiaTheme="minorEastAsia" w:cstheme="minorEastAsia"/>
          <w:sz w:val="36"/>
          <w:szCs w:val="36"/>
        </w:rPr>
      </w:pPr>
      <w:bookmarkStart w:id="95" w:name="_Toc421778381"/>
      <w:bookmarkStart w:id="96" w:name="_Toc410"/>
      <w:bookmarkStart w:id="97" w:name="_Toc10860"/>
      <w:bookmarkStart w:id="98" w:name="_Toc344572156"/>
      <w:r>
        <w:rPr>
          <w:rFonts w:hint="eastAsia" w:asciiTheme="minorEastAsia" w:hAnsiTheme="minorEastAsia" w:eastAsiaTheme="minorEastAsia" w:cstheme="minorEastAsia"/>
          <w:sz w:val="36"/>
          <w:szCs w:val="36"/>
        </w:rPr>
        <w:t>第五章   项目概况及技术要求</w:t>
      </w:r>
      <w:bookmarkEnd w:id="95"/>
      <w:bookmarkEnd w:id="96"/>
      <w:bookmarkEnd w:id="97"/>
      <w:bookmarkStart w:id="99" w:name="_Toc22720"/>
      <w:bookmarkStart w:id="100" w:name="_Toc446515589"/>
      <w:bookmarkStart w:id="101" w:name="_Toc8126"/>
    </w:p>
    <w:bookmarkEnd w:id="99"/>
    <w:bookmarkEnd w:id="100"/>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bCs/>
          <w:sz w:val="32"/>
          <w:lang w:val="en-US" w:eastAsia="zh-CN"/>
        </w:rPr>
      </w:pPr>
      <w:bookmarkStart w:id="102" w:name="_Toc2444"/>
      <w:r>
        <w:rPr>
          <w:rFonts w:hint="eastAsia" w:ascii="黑体" w:hAnsi="黑体" w:eastAsia="黑体" w:cs="黑体"/>
          <w:b/>
          <w:bCs/>
          <w:sz w:val="32"/>
          <w:lang w:val="en-US" w:eastAsia="zh-CN"/>
        </w:rPr>
        <w:t>5.1城关街道办捉马沟</w:t>
      </w:r>
      <w:bookmarkStart w:id="103" w:name="_Toc22840"/>
      <w:r>
        <w:rPr>
          <w:rFonts w:hint="eastAsia" w:ascii="黑体" w:hAnsi="黑体" w:eastAsia="黑体" w:cs="黑体"/>
          <w:b/>
          <w:bCs/>
          <w:sz w:val="32"/>
          <w:lang w:val="en-US" w:eastAsia="zh-CN"/>
        </w:rPr>
        <w:t>作业区</w:t>
      </w:r>
      <w:bookmarkEnd w:id="102"/>
    </w:p>
    <w:p>
      <w:pPr>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城关街道办捉马沟作业区位于捉马沟水库区域，主要是上一轮退耕还林形成的人工林，主要树种栓皮栎、核桃，由于杂草、葛藤等生长旺盛，近年来，林内出现斑块状、群团状死亡，郁闭度降至0.5以下，林木分布不均匀，林中形成不规则块状空地，退化等级所有小班属于中度退化。</w:t>
      </w:r>
      <w:bookmarkEnd w:id="103"/>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5.1.1修复类型、对象和方式</w:t>
      </w:r>
    </w:p>
    <w:p>
      <w:pPr>
        <w:pStyle w:val="43"/>
        <w:keepNext w:val="0"/>
        <w:keepLines w:val="0"/>
        <w:pageBreakBefore w:val="0"/>
        <w:widowControl w:val="0"/>
        <w:tabs>
          <w:tab w:val="left" w:pos="7769"/>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修复类型：抚育修复。</w:t>
      </w:r>
      <w:r>
        <w:rPr>
          <w:rFonts w:hint="eastAsia" w:ascii="宋体" w:hAnsi="宋体" w:eastAsia="宋体" w:cs="宋体"/>
          <w:b w:val="0"/>
          <w:bCs w:val="0"/>
          <w:color w:val="000000"/>
          <w:kern w:val="2"/>
          <w:sz w:val="28"/>
          <w:szCs w:val="28"/>
          <w:u w:val="none"/>
          <w:shd w:val="clear" w:color="auto" w:fill="auto"/>
          <w:lang w:val="en-US" w:eastAsia="zh-CN" w:bidi="ar-SA"/>
        </w:rPr>
        <w:tab/>
      </w:r>
    </w:p>
    <w:p>
      <w:pPr>
        <w:pStyle w:val="43"/>
        <w:keepNext w:val="0"/>
        <w:keepLines w:val="0"/>
        <w:pageBreakBefore w:val="0"/>
        <w:widowControl w:val="0"/>
        <w:tabs>
          <w:tab w:val="left" w:pos="1088"/>
        </w:tabs>
        <w:kinsoku/>
        <w:wordWrap/>
        <w:overflowPunct/>
        <w:topLinePunct w:val="0"/>
        <w:autoSpaceDE/>
        <w:autoSpaceDN/>
        <w:bidi w:val="0"/>
        <w:adjustRightInd/>
        <w:snapToGrid/>
        <w:spacing w:line="360" w:lineRule="auto"/>
        <w:ind w:left="0" w:leftChars="0" w:firstLine="560" w:firstLineChars="200"/>
        <w:textAlignment w:val="auto"/>
        <w:rPr>
          <w:rFonts w:hint="eastAsia"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b w:val="0"/>
          <w:bCs w:val="0"/>
          <w:color w:val="000000"/>
          <w:kern w:val="2"/>
          <w:sz w:val="28"/>
          <w:szCs w:val="28"/>
          <w:u w:val="none"/>
          <w:shd w:val="clear" w:color="auto" w:fill="auto"/>
          <w:lang w:val="en-US" w:eastAsia="zh-CN" w:bidi="ar-SA"/>
        </w:rPr>
        <w:t>修复对象：栓皮栎</w:t>
      </w:r>
      <w:r>
        <w:rPr>
          <w:rFonts w:hint="eastAsia" w:cs="宋体"/>
          <w:b w:val="0"/>
          <w:bCs w:val="0"/>
          <w:color w:val="000000"/>
          <w:kern w:val="2"/>
          <w:sz w:val="28"/>
          <w:szCs w:val="28"/>
          <w:u w:val="none"/>
          <w:shd w:val="clear" w:color="auto" w:fill="auto"/>
          <w:lang w:val="en-US" w:eastAsia="zh-CN" w:bidi="ar-SA"/>
        </w:rPr>
        <w:t>、核桃</w:t>
      </w:r>
      <w:r>
        <w:rPr>
          <w:rFonts w:hint="eastAsia" w:ascii="宋体" w:hAnsi="宋体" w:eastAsia="宋体" w:cs="宋体"/>
          <w:b w:val="0"/>
          <w:bCs w:val="0"/>
          <w:color w:val="000000"/>
          <w:sz w:val="28"/>
          <w:szCs w:val="28"/>
          <w:lang w:val="en-US" w:eastAsia="zh-CN"/>
        </w:rPr>
        <w:t>中度退化</w:t>
      </w:r>
      <w:r>
        <w:rPr>
          <w:rFonts w:hint="eastAsia" w:cs="宋体"/>
          <w:b w:val="0"/>
          <w:bCs w:val="0"/>
          <w:color w:val="000000"/>
          <w:sz w:val="28"/>
          <w:szCs w:val="28"/>
          <w:lang w:val="en-US" w:eastAsia="zh-CN"/>
        </w:rPr>
        <w:t>的</w:t>
      </w:r>
      <w:r>
        <w:rPr>
          <w:rFonts w:hint="eastAsia" w:cs="宋体"/>
          <w:b w:val="0"/>
          <w:bCs w:val="0"/>
          <w:color w:val="000000"/>
          <w:kern w:val="2"/>
          <w:sz w:val="28"/>
          <w:szCs w:val="28"/>
          <w:u w:val="none"/>
          <w:shd w:val="clear" w:color="auto" w:fill="auto"/>
          <w:lang w:val="en-US" w:eastAsia="zh-CN" w:bidi="ar-SA"/>
        </w:rPr>
        <w:t>中龄林。</w:t>
      </w:r>
    </w:p>
    <w:p>
      <w:pPr>
        <w:pStyle w:val="43"/>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b w:val="0"/>
          <w:bCs w:val="0"/>
          <w:color w:val="000000"/>
          <w:kern w:val="2"/>
          <w:sz w:val="28"/>
          <w:szCs w:val="28"/>
          <w:u w:val="none"/>
          <w:shd w:val="clear" w:color="auto" w:fill="auto"/>
          <w:lang w:val="en-US" w:eastAsia="zh-CN" w:bidi="ar-SA"/>
        </w:rPr>
        <w:t>修复方式：补植+促进复壮</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5.1.2小班设计</w:t>
      </w:r>
    </w:p>
    <w:p>
      <w:pPr>
        <w:pStyle w:val="44"/>
        <w:keepNext w:val="0"/>
        <w:keepLines w:val="0"/>
        <w:pageBreakBefore w:val="0"/>
        <w:widowControl w:val="0"/>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kern w:val="2"/>
          <w:sz w:val="28"/>
          <w:szCs w:val="28"/>
          <w:u w:val="none"/>
          <w:shd w:val="clear" w:color="auto" w:fill="auto"/>
          <w:lang w:val="en-US" w:eastAsia="zh-CN" w:bidi="ar-SA"/>
        </w:rPr>
        <w:t>补植造林小班：共6个小班。</w:t>
      </w:r>
      <w:r>
        <w:rPr>
          <w:rFonts w:hint="eastAsia" w:eastAsia="宋体" w:cs="宋体"/>
          <w:kern w:val="2"/>
          <w:sz w:val="28"/>
          <w:szCs w:val="28"/>
          <w:u w:val="none"/>
          <w:shd w:val="clear" w:color="auto" w:fill="auto"/>
          <w:lang w:val="en-US" w:eastAsia="zh-CN" w:bidi="ar-SA"/>
        </w:rPr>
        <w:t>补植面积共</w:t>
      </w:r>
      <w:r>
        <w:rPr>
          <w:rFonts w:hint="eastAsia" w:ascii="宋体" w:hAnsi="宋体" w:eastAsia="宋体" w:cs="宋体"/>
          <w:b w:val="0"/>
          <w:bCs w:val="0"/>
          <w:color w:val="000000"/>
          <w:kern w:val="2"/>
          <w:sz w:val="28"/>
          <w:szCs w:val="28"/>
          <w:u w:val="none"/>
          <w:shd w:val="clear" w:color="auto" w:fill="auto"/>
          <w:lang w:val="en-US" w:eastAsia="zh-CN" w:bidi="ar-SA"/>
        </w:rPr>
        <w:t>1000.7</w:t>
      </w:r>
      <w:r>
        <w:rPr>
          <w:rFonts w:hint="eastAsia" w:eastAsia="宋体" w:cs="宋体"/>
          <w:kern w:val="2"/>
          <w:sz w:val="28"/>
          <w:szCs w:val="28"/>
          <w:u w:val="none"/>
          <w:shd w:val="clear" w:color="auto" w:fill="auto"/>
          <w:lang w:val="en-US" w:eastAsia="zh-CN" w:bidi="ar-SA"/>
        </w:rPr>
        <w:t>亩，其中1小班补植面积201.6亩，补植树种刺槐、连翘</w:t>
      </w:r>
      <w:r>
        <w:rPr>
          <w:rFonts w:hint="eastAsia" w:cs="宋体"/>
          <w:kern w:val="2"/>
          <w:sz w:val="28"/>
          <w:szCs w:val="28"/>
          <w:u w:val="none"/>
          <w:shd w:val="clear" w:color="auto" w:fill="auto"/>
          <w:lang w:val="en-US" w:eastAsia="zh-CN" w:bidi="ar-SA"/>
        </w:rPr>
        <w:t>块状混交</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2</w:t>
      </w:r>
      <w:r>
        <w:rPr>
          <w:rFonts w:hint="eastAsia" w:eastAsia="宋体" w:cs="宋体"/>
          <w:kern w:val="2"/>
          <w:sz w:val="28"/>
          <w:szCs w:val="28"/>
          <w:u w:val="none"/>
          <w:shd w:val="clear" w:color="auto" w:fill="auto"/>
          <w:lang w:val="en-US" w:eastAsia="zh-CN" w:bidi="ar-SA"/>
        </w:rPr>
        <w:t>小班补植面积</w:t>
      </w:r>
      <w:r>
        <w:rPr>
          <w:rFonts w:hint="eastAsia" w:cs="宋体"/>
          <w:kern w:val="2"/>
          <w:sz w:val="28"/>
          <w:szCs w:val="28"/>
          <w:u w:val="none"/>
          <w:shd w:val="clear" w:color="auto" w:fill="auto"/>
          <w:lang w:val="en-US" w:eastAsia="zh-CN" w:bidi="ar-SA"/>
        </w:rPr>
        <w:t>198.8</w:t>
      </w:r>
      <w:r>
        <w:rPr>
          <w:rFonts w:hint="eastAsia" w:eastAsia="宋体" w:cs="宋体"/>
          <w:kern w:val="2"/>
          <w:sz w:val="28"/>
          <w:szCs w:val="28"/>
          <w:u w:val="none"/>
          <w:shd w:val="clear" w:color="auto" w:fill="auto"/>
          <w:lang w:val="en-US" w:eastAsia="zh-CN" w:bidi="ar-SA"/>
        </w:rPr>
        <w:t>亩，补植树种枇杷、连翘</w:t>
      </w:r>
      <w:r>
        <w:rPr>
          <w:rFonts w:hint="eastAsia" w:cs="宋体"/>
          <w:kern w:val="2"/>
          <w:sz w:val="28"/>
          <w:szCs w:val="28"/>
          <w:u w:val="none"/>
          <w:shd w:val="clear" w:color="auto" w:fill="auto"/>
          <w:lang w:val="en-US" w:eastAsia="zh-CN" w:bidi="ar-SA"/>
        </w:rPr>
        <w:t>块状混交</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3</w:t>
      </w:r>
      <w:r>
        <w:rPr>
          <w:rFonts w:hint="eastAsia" w:eastAsia="宋体" w:cs="宋体"/>
          <w:kern w:val="2"/>
          <w:sz w:val="28"/>
          <w:szCs w:val="28"/>
          <w:u w:val="none"/>
          <w:shd w:val="clear" w:color="auto" w:fill="auto"/>
          <w:lang w:val="en-US" w:eastAsia="zh-CN" w:bidi="ar-SA"/>
        </w:rPr>
        <w:t>小班补植面积</w:t>
      </w:r>
      <w:r>
        <w:rPr>
          <w:rFonts w:hint="eastAsia" w:cs="宋体"/>
          <w:kern w:val="2"/>
          <w:sz w:val="28"/>
          <w:szCs w:val="28"/>
          <w:u w:val="none"/>
          <w:shd w:val="clear" w:color="auto" w:fill="auto"/>
          <w:lang w:val="en-US" w:eastAsia="zh-CN" w:bidi="ar-SA"/>
        </w:rPr>
        <w:t>144.8</w:t>
      </w:r>
      <w:r>
        <w:rPr>
          <w:rFonts w:hint="eastAsia" w:eastAsia="宋体" w:cs="宋体"/>
          <w:kern w:val="2"/>
          <w:sz w:val="28"/>
          <w:szCs w:val="28"/>
          <w:u w:val="none"/>
          <w:shd w:val="clear" w:color="auto" w:fill="auto"/>
          <w:lang w:val="en-US" w:eastAsia="zh-CN" w:bidi="ar-SA"/>
        </w:rPr>
        <w:t>亩，补植树种刺槐、连翘</w:t>
      </w:r>
      <w:r>
        <w:rPr>
          <w:rFonts w:hint="eastAsia" w:cs="宋体"/>
          <w:kern w:val="2"/>
          <w:sz w:val="28"/>
          <w:szCs w:val="28"/>
          <w:u w:val="none"/>
          <w:shd w:val="clear" w:color="auto" w:fill="auto"/>
          <w:lang w:val="en-US" w:eastAsia="zh-CN" w:bidi="ar-SA"/>
        </w:rPr>
        <w:t>块状混交</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4</w:t>
      </w:r>
      <w:r>
        <w:rPr>
          <w:rFonts w:hint="eastAsia" w:eastAsia="宋体" w:cs="宋体"/>
          <w:kern w:val="2"/>
          <w:sz w:val="28"/>
          <w:szCs w:val="28"/>
          <w:u w:val="none"/>
          <w:shd w:val="clear" w:color="auto" w:fill="auto"/>
          <w:lang w:val="en-US" w:eastAsia="zh-CN" w:bidi="ar-SA"/>
        </w:rPr>
        <w:t>小班补植面积</w:t>
      </w:r>
      <w:r>
        <w:rPr>
          <w:rFonts w:hint="eastAsia" w:cs="宋体"/>
          <w:kern w:val="2"/>
          <w:sz w:val="28"/>
          <w:szCs w:val="28"/>
          <w:u w:val="none"/>
          <w:shd w:val="clear" w:color="auto" w:fill="auto"/>
          <w:lang w:val="en-US" w:eastAsia="zh-CN" w:bidi="ar-SA"/>
        </w:rPr>
        <w:t>213.0</w:t>
      </w:r>
      <w:r>
        <w:rPr>
          <w:rFonts w:hint="eastAsia" w:eastAsia="宋体" w:cs="宋体"/>
          <w:kern w:val="2"/>
          <w:sz w:val="28"/>
          <w:szCs w:val="28"/>
          <w:u w:val="none"/>
          <w:shd w:val="clear" w:color="auto" w:fill="auto"/>
          <w:lang w:val="en-US" w:eastAsia="zh-CN" w:bidi="ar-SA"/>
        </w:rPr>
        <w:t>亩，补植树种枇杷、连翘</w:t>
      </w:r>
      <w:r>
        <w:rPr>
          <w:rFonts w:hint="eastAsia" w:cs="宋体"/>
          <w:kern w:val="2"/>
          <w:sz w:val="28"/>
          <w:szCs w:val="28"/>
          <w:u w:val="none"/>
          <w:shd w:val="clear" w:color="auto" w:fill="auto"/>
          <w:lang w:val="en-US" w:eastAsia="zh-CN" w:bidi="ar-SA"/>
        </w:rPr>
        <w:t>块状混交</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5</w:t>
      </w:r>
      <w:r>
        <w:rPr>
          <w:rFonts w:hint="eastAsia" w:eastAsia="宋体" w:cs="宋体"/>
          <w:kern w:val="2"/>
          <w:sz w:val="28"/>
          <w:szCs w:val="28"/>
          <w:u w:val="none"/>
          <w:shd w:val="clear" w:color="auto" w:fill="auto"/>
          <w:lang w:val="en-US" w:eastAsia="zh-CN" w:bidi="ar-SA"/>
        </w:rPr>
        <w:t>小班补植面积</w:t>
      </w:r>
      <w:r>
        <w:rPr>
          <w:rFonts w:hint="eastAsia" w:cs="宋体"/>
          <w:kern w:val="2"/>
          <w:sz w:val="28"/>
          <w:szCs w:val="28"/>
          <w:u w:val="none"/>
          <w:shd w:val="clear" w:color="auto" w:fill="auto"/>
          <w:lang w:val="en-US" w:eastAsia="zh-CN" w:bidi="ar-SA"/>
        </w:rPr>
        <w:t>86.6</w:t>
      </w:r>
      <w:r>
        <w:rPr>
          <w:rFonts w:hint="eastAsia" w:eastAsia="宋体" w:cs="宋体"/>
          <w:kern w:val="2"/>
          <w:sz w:val="28"/>
          <w:szCs w:val="28"/>
          <w:u w:val="none"/>
          <w:shd w:val="clear" w:color="auto" w:fill="auto"/>
          <w:lang w:val="en-US" w:eastAsia="zh-CN" w:bidi="ar-SA"/>
        </w:rPr>
        <w:t>亩，补植树种刺槐、连翘</w:t>
      </w:r>
      <w:r>
        <w:rPr>
          <w:rFonts w:hint="eastAsia" w:cs="宋体"/>
          <w:kern w:val="2"/>
          <w:sz w:val="28"/>
          <w:szCs w:val="28"/>
          <w:u w:val="none"/>
          <w:shd w:val="clear" w:color="auto" w:fill="auto"/>
          <w:lang w:val="en-US" w:eastAsia="zh-CN" w:bidi="ar-SA"/>
        </w:rPr>
        <w:t>块状混交</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6</w:t>
      </w:r>
      <w:r>
        <w:rPr>
          <w:rFonts w:hint="eastAsia" w:eastAsia="宋体" w:cs="宋体"/>
          <w:kern w:val="2"/>
          <w:sz w:val="28"/>
          <w:szCs w:val="28"/>
          <w:u w:val="none"/>
          <w:shd w:val="clear" w:color="auto" w:fill="auto"/>
          <w:lang w:val="en-US" w:eastAsia="zh-CN" w:bidi="ar-SA"/>
        </w:rPr>
        <w:t>小班补植面积</w:t>
      </w:r>
      <w:r>
        <w:rPr>
          <w:rFonts w:hint="eastAsia" w:cs="宋体"/>
          <w:kern w:val="2"/>
          <w:sz w:val="28"/>
          <w:szCs w:val="28"/>
          <w:u w:val="none"/>
          <w:shd w:val="clear" w:color="auto" w:fill="auto"/>
          <w:lang w:val="en-US" w:eastAsia="zh-CN" w:bidi="ar-SA"/>
        </w:rPr>
        <w:t>155.9</w:t>
      </w:r>
      <w:r>
        <w:rPr>
          <w:rFonts w:hint="eastAsia" w:eastAsia="宋体" w:cs="宋体"/>
          <w:kern w:val="2"/>
          <w:sz w:val="28"/>
          <w:szCs w:val="28"/>
          <w:u w:val="none"/>
          <w:shd w:val="clear" w:color="auto" w:fill="auto"/>
          <w:lang w:val="en-US" w:eastAsia="zh-CN" w:bidi="ar-SA"/>
        </w:rPr>
        <w:t>亩，补植树种刺槐、连翘</w:t>
      </w:r>
      <w:r>
        <w:rPr>
          <w:rFonts w:hint="eastAsia" w:cs="宋体"/>
          <w:kern w:val="2"/>
          <w:sz w:val="28"/>
          <w:szCs w:val="28"/>
          <w:u w:val="none"/>
          <w:shd w:val="clear" w:color="auto" w:fill="auto"/>
          <w:lang w:val="en-US" w:eastAsia="zh-CN" w:bidi="ar-SA"/>
        </w:rPr>
        <w:t>块状混交</w:t>
      </w:r>
      <w:r>
        <w:rPr>
          <w:rFonts w:hint="eastAsia" w:eastAsia="宋体" w:cs="宋体"/>
          <w:kern w:val="2"/>
          <w:sz w:val="28"/>
          <w:szCs w:val="28"/>
          <w:u w:val="none"/>
          <w:shd w:val="clear" w:color="auto" w:fill="auto"/>
          <w:lang w:val="en-US" w:eastAsia="zh-CN" w:bidi="ar-SA"/>
        </w:rPr>
        <w:t>。</w:t>
      </w:r>
    </w:p>
    <w:p>
      <w:pPr>
        <w:pStyle w:val="44"/>
        <w:keepNext w:val="0"/>
        <w:keepLines w:val="0"/>
        <w:pageBreakBefore w:val="0"/>
        <w:widowControl w:val="0"/>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w:t>
      </w:r>
      <w:r>
        <w:rPr>
          <w:rFonts w:hint="eastAsia" w:ascii="宋体" w:hAnsi="宋体" w:eastAsia="宋体" w:cs="宋体"/>
          <w:kern w:val="2"/>
          <w:sz w:val="28"/>
          <w:szCs w:val="28"/>
          <w:u w:val="none"/>
          <w:shd w:val="clear" w:color="auto" w:fill="auto"/>
          <w:lang w:val="en-US" w:eastAsia="zh-CN" w:bidi="ar-SA"/>
        </w:rPr>
        <w:t>共</w:t>
      </w:r>
      <w:r>
        <w:rPr>
          <w:rFonts w:hint="eastAsia" w:eastAsia="宋体" w:cs="宋体"/>
          <w:kern w:val="2"/>
          <w:sz w:val="28"/>
          <w:szCs w:val="28"/>
          <w:u w:val="none"/>
          <w:shd w:val="clear" w:color="auto" w:fill="auto"/>
          <w:lang w:val="en-US" w:eastAsia="zh-CN" w:bidi="ar-SA"/>
        </w:rPr>
        <w:t>设计了</w:t>
      </w:r>
      <w:r>
        <w:rPr>
          <w:rFonts w:hint="eastAsia" w:ascii="宋体" w:hAnsi="宋体" w:eastAsia="宋体" w:cs="宋体"/>
          <w:kern w:val="2"/>
          <w:sz w:val="28"/>
          <w:szCs w:val="28"/>
          <w:u w:val="none"/>
          <w:shd w:val="clear" w:color="auto" w:fill="auto"/>
          <w:lang w:val="en-US" w:eastAsia="zh-CN" w:bidi="ar-SA"/>
        </w:rPr>
        <w:t>6个小班</w:t>
      </w:r>
      <w:r>
        <w:rPr>
          <w:rFonts w:hint="eastAsia" w:eastAsia="宋体" w:cs="宋体"/>
          <w:kern w:val="2"/>
          <w:sz w:val="28"/>
          <w:szCs w:val="28"/>
          <w:u w:val="none"/>
          <w:shd w:val="clear" w:color="auto" w:fill="auto"/>
          <w:lang w:val="en-US" w:eastAsia="zh-CN" w:bidi="ar-SA"/>
        </w:rPr>
        <w:t>，面积399.3</w:t>
      </w:r>
      <w:r>
        <w:rPr>
          <w:rFonts w:hint="eastAsia" w:ascii="宋体" w:hAnsi="宋体" w:eastAsia="宋体" w:cs="宋体"/>
          <w:kern w:val="2"/>
          <w:sz w:val="28"/>
          <w:szCs w:val="28"/>
          <w:u w:val="none"/>
          <w:shd w:val="clear" w:color="auto" w:fill="auto"/>
          <w:lang w:val="en-US" w:eastAsia="zh-CN" w:bidi="ar-SA"/>
        </w:rPr>
        <w:t>亩</w:t>
      </w:r>
      <w:r>
        <w:rPr>
          <w:rFonts w:hint="eastAsia" w:eastAsia="宋体" w:cs="宋体"/>
          <w:kern w:val="2"/>
          <w:sz w:val="28"/>
          <w:szCs w:val="28"/>
          <w:u w:val="none"/>
          <w:shd w:val="clear" w:color="auto" w:fill="auto"/>
          <w:lang w:val="en-US" w:eastAsia="zh-CN" w:bidi="ar-SA"/>
        </w:rPr>
        <w:t>。其中1小班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面积78.4亩，2</w:t>
      </w:r>
      <w:r>
        <w:rPr>
          <w:rFonts w:hint="eastAsia" w:eastAsia="宋体" w:cs="宋体"/>
          <w:kern w:val="2"/>
          <w:sz w:val="28"/>
          <w:szCs w:val="28"/>
          <w:u w:val="none"/>
          <w:shd w:val="clear" w:color="auto" w:fill="auto"/>
          <w:lang w:val="en-US" w:eastAsia="zh-CN" w:bidi="ar-SA"/>
        </w:rPr>
        <w:t>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面积81.2亩，3</w:t>
      </w:r>
      <w:r>
        <w:rPr>
          <w:rFonts w:hint="eastAsia" w:eastAsia="宋体" w:cs="宋体"/>
          <w:kern w:val="2"/>
          <w:sz w:val="28"/>
          <w:szCs w:val="28"/>
          <w:u w:val="none"/>
          <w:shd w:val="clear" w:color="auto" w:fill="auto"/>
          <w:lang w:val="en-US" w:eastAsia="zh-CN" w:bidi="ar-SA"/>
        </w:rPr>
        <w:t>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面积55.2亩，4</w:t>
      </w:r>
      <w:r>
        <w:rPr>
          <w:rFonts w:hint="eastAsia" w:eastAsia="宋体" w:cs="宋体"/>
          <w:kern w:val="2"/>
          <w:sz w:val="28"/>
          <w:szCs w:val="28"/>
          <w:u w:val="none"/>
          <w:shd w:val="clear" w:color="auto" w:fill="auto"/>
          <w:lang w:val="en-US" w:eastAsia="zh-CN" w:bidi="ar-SA"/>
        </w:rPr>
        <w:t>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面积87.0亩，5</w:t>
      </w:r>
      <w:r>
        <w:rPr>
          <w:rFonts w:hint="eastAsia" w:eastAsia="宋体" w:cs="宋体"/>
          <w:kern w:val="2"/>
          <w:sz w:val="28"/>
          <w:szCs w:val="28"/>
          <w:u w:val="none"/>
          <w:shd w:val="clear" w:color="auto" w:fill="auto"/>
          <w:lang w:val="en-US" w:eastAsia="zh-CN" w:bidi="ar-SA"/>
        </w:rPr>
        <w:t>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面积33.4亩，6</w:t>
      </w:r>
      <w:r>
        <w:rPr>
          <w:rFonts w:hint="eastAsia" w:eastAsia="宋体" w:cs="宋体"/>
          <w:kern w:val="2"/>
          <w:sz w:val="28"/>
          <w:szCs w:val="28"/>
          <w:u w:val="none"/>
          <w:shd w:val="clear" w:color="auto" w:fill="auto"/>
          <w:lang w:val="en-US" w:eastAsia="zh-CN" w:bidi="ar-SA"/>
        </w:rPr>
        <w:t>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面积64.1亩。</w:t>
      </w:r>
    </w:p>
    <w:p>
      <w:pPr>
        <w:pStyle w:val="44"/>
        <w:keepNext w:val="0"/>
        <w:keepLines w:val="0"/>
        <w:pageBreakBefore w:val="0"/>
        <w:widowControl w:val="0"/>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kern w:val="2"/>
          <w:sz w:val="28"/>
          <w:szCs w:val="28"/>
          <w:u w:val="none"/>
          <w:shd w:val="clear" w:color="auto" w:fill="auto"/>
          <w:lang w:val="en-US" w:eastAsia="zh-CN" w:bidi="ar-SA"/>
        </w:rPr>
        <w:t>检查验收：参照GB/T15776-2006标准进行验收。</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5.1.3用料设计</w:t>
      </w:r>
    </w:p>
    <w:p>
      <w:pPr>
        <w:pStyle w:val="43"/>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宋体" w:hAnsi="宋体" w:eastAsia="宋体"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w:t>
      </w: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)需苗量：经</w:t>
      </w:r>
      <w:r>
        <w:rPr>
          <w:rFonts w:hint="eastAsia" w:cs="宋体"/>
          <w:b w:val="0"/>
          <w:bCs w:val="0"/>
          <w:color w:val="000000"/>
          <w:kern w:val="2"/>
          <w:sz w:val="28"/>
          <w:szCs w:val="28"/>
          <w:u w:val="none"/>
          <w:shd w:val="clear" w:color="auto" w:fill="auto"/>
          <w:lang w:val="en-US" w:eastAsia="zh-CN" w:bidi="ar-SA"/>
        </w:rPr>
        <w:t>计</w:t>
      </w:r>
      <w:r>
        <w:rPr>
          <w:rFonts w:hint="eastAsia" w:ascii="宋体" w:hAnsi="宋体" w:eastAsia="宋体" w:cs="宋体"/>
          <w:b w:val="0"/>
          <w:bCs w:val="0"/>
          <w:color w:val="000000"/>
          <w:kern w:val="2"/>
          <w:sz w:val="28"/>
          <w:szCs w:val="28"/>
          <w:u w:val="none"/>
          <w:shd w:val="clear" w:color="auto" w:fill="auto"/>
          <w:lang w:val="en-US" w:eastAsia="zh-CN" w:bidi="ar-SA"/>
        </w:rPr>
        <w:t>算</w:t>
      </w:r>
      <w:r>
        <w:rPr>
          <w:rFonts w:hint="eastAsia" w:cs="宋体"/>
          <w:b w:val="0"/>
          <w:bCs w:val="0"/>
          <w:color w:val="000000"/>
          <w:kern w:val="2"/>
          <w:sz w:val="28"/>
          <w:szCs w:val="28"/>
          <w:u w:val="none"/>
          <w:shd w:val="clear" w:color="auto" w:fill="auto"/>
          <w:lang w:val="en-US" w:eastAsia="zh-CN" w:bidi="ar-SA"/>
        </w:rPr>
        <w:t>本修复区</w:t>
      </w:r>
      <w:r>
        <w:rPr>
          <w:rFonts w:hint="eastAsia" w:ascii="宋体" w:hAnsi="宋体" w:eastAsia="宋体" w:cs="宋体"/>
          <w:b w:val="0"/>
          <w:bCs w:val="0"/>
          <w:color w:val="000000"/>
          <w:kern w:val="2"/>
          <w:sz w:val="28"/>
          <w:szCs w:val="28"/>
          <w:u w:val="none"/>
          <w:shd w:val="clear" w:color="auto" w:fill="auto"/>
          <w:lang w:val="en-US" w:eastAsia="zh-CN" w:bidi="ar-SA"/>
        </w:rPr>
        <w:t>退化林修复</w:t>
      </w:r>
      <w:r>
        <w:rPr>
          <w:rFonts w:hint="eastAsia" w:cs="宋体"/>
          <w:b w:val="0"/>
          <w:bCs w:val="0"/>
          <w:color w:val="000000"/>
          <w:kern w:val="2"/>
          <w:sz w:val="28"/>
          <w:szCs w:val="28"/>
          <w:u w:val="none"/>
          <w:shd w:val="clear" w:color="auto" w:fill="auto"/>
          <w:lang w:val="en-US" w:eastAsia="zh-CN" w:bidi="ar-SA"/>
        </w:rPr>
        <w:t>需各类苗木54080株，其中刺槐需22578株，枇杷需15277株，连翘需16225株。</w:t>
      </w: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bCs/>
          <w:sz w:val="32"/>
          <w:lang w:val="en-US" w:eastAsia="zh-CN"/>
        </w:rPr>
      </w:pPr>
      <w:bookmarkStart w:id="104" w:name="_Toc28228"/>
      <w:r>
        <w:rPr>
          <w:rFonts w:hint="eastAsia" w:ascii="黑体" w:hAnsi="黑体" w:eastAsia="黑体" w:cs="黑体"/>
          <w:b/>
          <w:bCs/>
          <w:sz w:val="32"/>
          <w:lang w:val="en-US" w:eastAsia="zh-CN"/>
        </w:rPr>
        <w:t>5.2试马镇荆家河作业区</w:t>
      </w:r>
      <w:bookmarkEnd w:id="104"/>
      <w:bookmarkStart w:id="105" w:name="_Toc565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试马镇荆家河作业区位于试马水库以上区域，主要树种栓皮栎、阔杂，由于杂草、葛藤等生长旺盛，近年来，林内出现斑块状、群团状死亡，郁闭度降至0.5以下，林木分布不均匀，林中形成不规则块状空地，退化等级属于中度退化。</w:t>
      </w:r>
      <w:bookmarkEnd w:id="105"/>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5.2.1修复类型、对象和方式</w:t>
      </w:r>
    </w:p>
    <w:p>
      <w:pPr>
        <w:pStyle w:val="43"/>
        <w:keepNext w:val="0"/>
        <w:keepLines w:val="0"/>
        <w:pageBreakBefore w:val="0"/>
        <w:widowControl w:val="0"/>
        <w:tabs>
          <w:tab w:val="left" w:pos="7769"/>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修复类型：抚育修复。</w:t>
      </w:r>
      <w:r>
        <w:rPr>
          <w:rFonts w:hint="eastAsia" w:ascii="宋体" w:hAnsi="宋体" w:eastAsia="宋体" w:cs="宋体"/>
          <w:b w:val="0"/>
          <w:bCs w:val="0"/>
          <w:color w:val="000000"/>
          <w:kern w:val="2"/>
          <w:sz w:val="28"/>
          <w:szCs w:val="28"/>
          <w:u w:val="none"/>
          <w:shd w:val="clear" w:color="auto" w:fill="auto"/>
          <w:lang w:val="en-US" w:eastAsia="zh-CN" w:bidi="ar-SA"/>
        </w:rPr>
        <w:tab/>
      </w:r>
    </w:p>
    <w:p>
      <w:pPr>
        <w:pStyle w:val="43"/>
        <w:keepNext w:val="0"/>
        <w:keepLines w:val="0"/>
        <w:pageBreakBefore w:val="0"/>
        <w:widowControl w:val="0"/>
        <w:tabs>
          <w:tab w:val="left" w:pos="1088"/>
        </w:tabs>
        <w:kinsoku/>
        <w:wordWrap/>
        <w:overflowPunct/>
        <w:topLinePunct w:val="0"/>
        <w:autoSpaceDE/>
        <w:autoSpaceDN/>
        <w:bidi w:val="0"/>
        <w:adjustRightInd/>
        <w:snapToGrid/>
        <w:spacing w:line="360" w:lineRule="auto"/>
        <w:ind w:left="0" w:leftChars="0" w:firstLine="560" w:firstLineChars="200"/>
        <w:textAlignment w:val="auto"/>
        <w:rPr>
          <w:rFonts w:hint="eastAsia"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b w:val="0"/>
          <w:bCs w:val="0"/>
          <w:color w:val="000000"/>
          <w:kern w:val="2"/>
          <w:sz w:val="28"/>
          <w:szCs w:val="28"/>
          <w:u w:val="none"/>
          <w:shd w:val="clear" w:color="auto" w:fill="auto"/>
          <w:lang w:val="en-US" w:eastAsia="zh-CN" w:bidi="ar-SA"/>
        </w:rPr>
        <w:t>修复对象：栓皮栎</w:t>
      </w:r>
      <w:r>
        <w:rPr>
          <w:rFonts w:hint="eastAsia" w:ascii="宋体" w:hAnsi="宋体" w:eastAsia="宋体" w:cs="宋体"/>
          <w:b w:val="0"/>
          <w:bCs w:val="0"/>
          <w:color w:val="000000"/>
          <w:sz w:val="28"/>
          <w:szCs w:val="28"/>
          <w:lang w:val="en-US" w:eastAsia="zh-CN"/>
        </w:rPr>
        <w:t>中度退化</w:t>
      </w:r>
      <w:r>
        <w:rPr>
          <w:rFonts w:hint="eastAsia" w:cs="宋体"/>
          <w:b w:val="0"/>
          <w:bCs w:val="0"/>
          <w:color w:val="000000"/>
          <w:sz w:val="28"/>
          <w:szCs w:val="28"/>
          <w:lang w:val="en-US" w:eastAsia="zh-CN"/>
        </w:rPr>
        <w:t>的</w:t>
      </w:r>
      <w:r>
        <w:rPr>
          <w:rFonts w:hint="eastAsia" w:cs="宋体"/>
          <w:b w:val="0"/>
          <w:bCs w:val="0"/>
          <w:color w:val="000000"/>
          <w:kern w:val="2"/>
          <w:sz w:val="28"/>
          <w:szCs w:val="28"/>
          <w:u w:val="none"/>
          <w:shd w:val="clear" w:color="auto" w:fill="auto"/>
          <w:lang w:val="en-US" w:eastAsia="zh-CN" w:bidi="ar-SA"/>
        </w:rPr>
        <w:t>中龄林。</w:t>
      </w:r>
    </w:p>
    <w:p>
      <w:pPr>
        <w:pStyle w:val="43"/>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b w:val="0"/>
          <w:bCs w:val="0"/>
          <w:color w:val="000000"/>
          <w:kern w:val="2"/>
          <w:sz w:val="28"/>
          <w:szCs w:val="28"/>
          <w:u w:val="none"/>
          <w:shd w:val="clear" w:color="auto" w:fill="auto"/>
          <w:lang w:val="en-US" w:eastAsia="zh-CN" w:bidi="ar-SA"/>
        </w:rPr>
        <w:t>修复方式：补植+促进复壮</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5.2.2小班设计</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kern w:val="2"/>
          <w:sz w:val="28"/>
          <w:szCs w:val="28"/>
          <w:u w:val="none"/>
          <w:shd w:val="clear" w:color="auto" w:fill="auto"/>
          <w:lang w:val="en-US" w:eastAsia="zh-CN" w:bidi="ar-SA"/>
        </w:rPr>
        <w:t>补植造林小班：共</w:t>
      </w:r>
      <w:r>
        <w:rPr>
          <w:rFonts w:hint="eastAsia" w:cs="宋体"/>
          <w:kern w:val="2"/>
          <w:sz w:val="28"/>
          <w:szCs w:val="28"/>
          <w:u w:val="none"/>
          <w:shd w:val="clear" w:color="auto" w:fill="auto"/>
          <w:lang w:val="en-US" w:eastAsia="zh-CN" w:bidi="ar-SA"/>
        </w:rPr>
        <w:t>7</w:t>
      </w:r>
      <w:r>
        <w:rPr>
          <w:rFonts w:hint="eastAsia" w:ascii="宋体" w:hAnsi="宋体" w:eastAsia="宋体" w:cs="宋体"/>
          <w:kern w:val="2"/>
          <w:sz w:val="28"/>
          <w:szCs w:val="28"/>
          <w:u w:val="none"/>
          <w:shd w:val="clear" w:color="auto" w:fill="auto"/>
          <w:lang w:val="en-US" w:eastAsia="zh-CN" w:bidi="ar-SA"/>
        </w:rPr>
        <w:t>个小班</w:t>
      </w:r>
      <w:r>
        <w:rPr>
          <w:rFonts w:hint="eastAsia" w:cs="宋体"/>
          <w:kern w:val="2"/>
          <w:sz w:val="28"/>
          <w:szCs w:val="28"/>
          <w:u w:val="none"/>
          <w:shd w:val="clear" w:color="auto" w:fill="auto"/>
          <w:lang w:val="en-US" w:eastAsia="zh-CN" w:bidi="ar-SA"/>
        </w:rPr>
        <w:t>，</w:t>
      </w:r>
      <w:r>
        <w:rPr>
          <w:rFonts w:hint="eastAsia" w:eastAsia="宋体" w:cs="宋体"/>
          <w:kern w:val="2"/>
          <w:sz w:val="28"/>
          <w:szCs w:val="28"/>
          <w:u w:val="none"/>
          <w:shd w:val="clear" w:color="auto" w:fill="auto"/>
          <w:lang w:val="en-US" w:eastAsia="zh-CN" w:bidi="ar-SA"/>
        </w:rPr>
        <w:t>补植面积共</w:t>
      </w:r>
      <w:r>
        <w:rPr>
          <w:rFonts w:hint="eastAsia" w:ascii="宋体" w:hAnsi="宋体" w:eastAsia="宋体" w:cs="宋体"/>
          <w:b w:val="0"/>
          <w:bCs w:val="0"/>
          <w:color w:val="000000"/>
          <w:kern w:val="2"/>
          <w:sz w:val="28"/>
          <w:szCs w:val="28"/>
          <w:u w:val="none"/>
          <w:shd w:val="clear" w:color="auto" w:fill="auto"/>
          <w:lang w:val="en-US" w:eastAsia="zh-CN" w:bidi="ar-SA"/>
        </w:rPr>
        <w:t>994.6</w:t>
      </w:r>
      <w:r>
        <w:rPr>
          <w:rFonts w:hint="eastAsia" w:eastAsia="宋体" w:cs="宋体"/>
          <w:kern w:val="2"/>
          <w:sz w:val="28"/>
          <w:szCs w:val="28"/>
          <w:u w:val="none"/>
          <w:shd w:val="clear" w:color="auto" w:fill="auto"/>
          <w:lang w:val="en-US" w:eastAsia="zh-CN" w:bidi="ar-SA"/>
        </w:rPr>
        <w:t>亩，其中1小班补植面积</w:t>
      </w:r>
      <w:r>
        <w:rPr>
          <w:rFonts w:hint="eastAsia" w:cs="宋体"/>
          <w:kern w:val="2"/>
          <w:sz w:val="28"/>
          <w:szCs w:val="28"/>
          <w:u w:val="none"/>
          <w:shd w:val="clear" w:color="auto" w:fill="auto"/>
          <w:lang w:val="en-US" w:eastAsia="zh-CN" w:bidi="ar-SA"/>
        </w:rPr>
        <w:t>191.7</w:t>
      </w:r>
      <w:r>
        <w:rPr>
          <w:rFonts w:hint="eastAsia" w:eastAsia="宋体" w:cs="宋体"/>
          <w:kern w:val="2"/>
          <w:sz w:val="28"/>
          <w:szCs w:val="28"/>
          <w:u w:val="none"/>
          <w:shd w:val="clear" w:color="auto" w:fill="auto"/>
          <w:lang w:val="en-US" w:eastAsia="zh-CN" w:bidi="ar-SA"/>
        </w:rPr>
        <w:t>亩，补植树种</w:t>
      </w:r>
      <w:r>
        <w:rPr>
          <w:rFonts w:hint="eastAsia" w:cs="宋体"/>
          <w:kern w:val="2"/>
          <w:sz w:val="28"/>
          <w:szCs w:val="28"/>
          <w:u w:val="none"/>
          <w:shd w:val="clear" w:color="auto" w:fill="auto"/>
          <w:lang w:val="en-US" w:eastAsia="zh-CN" w:bidi="ar-SA"/>
        </w:rPr>
        <w:t>侧柏</w:t>
      </w:r>
      <w:r>
        <w:rPr>
          <w:rFonts w:hint="eastAsia" w:eastAsia="宋体" w:cs="宋体"/>
          <w:kern w:val="2"/>
          <w:sz w:val="28"/>
          <w:szCs w:val="28"/>
          <w:u w:val="none"/>
          <w:shd w:val="clear" w:color="auto" w:fill="auto"/>
          <w:lang w:val="en-US" w:eastAsia="zh-CN" w:bidi="ar-SA"/>
        </w:rPr>
        <w:t>、连翘</w:t>
      </w:r>
      <w:r>
        <w:rPr>
          <w:rFonts w:hint="eastAsia" w:cs="宋体"/>
          <w:kern w:val="2"/>
          <w:sz w:val="28"/>
          <w:szCs w:val="28"/>
          <w:u w:val="none"/>
          <w:shd w:val="clear" w:color="auto" w:fill="auto"/>
          <w:lang w:val="en-US" w:eastAsia="zh-CN" w:bidi="ar-SA"/>
        </w:rPr>
        <w:t>块状混交</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2</w:t>
      </w:r>
      <w:r>
        <w:rPr>
          <w:rFonts w:hint="eastAsia" w:eastAsia="宋体" w:cs="宋体"/>
          <w:kern w:val="2"/>
          <w:sz w:val="28"/>
          <w:szCs w:val="28"/>
          <w:u w:val="none"/>
          <w:shd w:val="clear" w:color="auto" w:fill="auto"/>
          <w:lang w:val="en-US" w:eastAsia="zh-CN" w:bidi="ar-SA"/>
        </w:rPr>
        <w:t>小班补植面积</w:t>
      </w:r>
      <w:r>
        <w:rPr>
          <w:rFonts w:hint="eastAsia" w:cs="宋体"/>
          <w:kern w:val="2"/>
          <w:sz w:val="28"/>
          <w:szCs w:val="28"/>
          <w:u w:val="none"/>
          <w:shd w:val="clear" w:color="auto" w:fill="auto"/>
          <w:lang w:val="en-US" w:eastAsia="zh-CN" w:bidi="ar-SA"/>
        </w:rPr>
        <w:t>156.2</w:t>
      </w:r>
      <w:r>
        <w:rPr>
          <w:rFonts w:hint="eastAsia" w:eastAsia="宋体" w:cs="宋体"/>
          <w:kern w:val="2"/>
          <w:sz w:val="28"/>
          <w:szCs w:val="28"/>
          <w:u w:val="none"/>
          <w:shd w:val="clear" w:color="auto" w:fill="auto"/>
          <w:lang w:val="en-US" w:eastAsia="zh-CN" w:bidi="ar-SA"/>
        </w:rPr>
        <w:t>亩，补植树种文冠果。</w:t>
      </w:r>
      <w:r>
        <w:rPr>
          <w:rFonts w:hint="eastAsia" w:cs="宋体"/>
          <w:kern w:val="2"/>
          <w:sz w:val="28"/>
          <w:szCs w:val="28"/>
          <w:u w:val="none"/>
          <w:shd w:val="clear" w:color="auto" w:fill="auto"/>
          <w:lang w:val="en-US" w:eastAsia="zh-CN" w:bidi="ar-SA"/>
        </w:rPr>
        <w:t>3</w:t>
      </w:r>
      <w:r>
        <w:rPr>
          <w:rFonts w:hint="eastAsia" w:eastAsia="宋体" w:cs="宋体"/>
          <w:kern w:val="2"/>
          <w:sz w:val="28"/>
          <w:szCs w:val="28"/>
          <w:u w:val="none"/>
          <w:shd w:val="clear" w:color="auto" w:fill="auto"/>
          <w:lang w:val="en-US" w:eastAsia="zh-CN" w:bidi="ar-SA"/>
        </w:rPr>
        <w:t>小班补植面积</w:t>
      </w:r>
      <w:r>
        <w:rPr>
          <w:rFonts w:hint="eastAsia" w:cs="宋体"/>
          <w:kern w:val="2"/>
          <w:sz w:val="28"/>
          <w:szCs w:val="28"/>
          <w:u w:val="none"/>
          <w:shd w:val="clear" w:color="auto" w:fill="auto"/>
          <w:lang w:val="en-US" w:eastAsia="zh-CN" w:bidi="ar-SA"/>
        </w:rPr>
        <w:t>78.1</w:t>
      </w:r>
      <w:r>
        <w:rPr>
          <w:rFonts w:hint="eastAsia" w:eastAsia="宋体" w:cs="宋体"/>
          <w:kern w:val="2"/>
          <w:sz w:val="28"/>
          <w:szCs w:val="28"/>
          <w:u w:val="none"/>
          <w:shd w:val="clear" w:color="auto" w:fill="auto"/>
          <w:lang w:val="en-US" w:eastAsia="zh-CN" w:bidi="ar-SA"/>
        </w:rPr>
        <w:t>亩，补植树种</w:t>
      </w:r>
      <w:r>
        <w:rPr>
          <w:rFonts w:hint="eastAsia" w:cs="宋体"/>
          <w:kern w:val="2"/>
          <w:sz w:val="28"/>
          <w:szCs w:val="28"/>
          <w:u w:val="none"/>
          <w:shd w:val="clear" w:color="auto" w:fill="auto"/>
          <w:lang w:val="en-US" w:eastAsia="zh-CN" w:bidi="ar-SA"/>
        </w:rPr>
        <w:t>侧柏</w:t>
      </w:r>
      <w:r>
        <w:rPr>
          <w:rFonts w:hint="eastAsia" w:eastAsia="宋体" w:cs="宋体"/>
          <w:kern w:val="2"/>
          <w:sz w:val="28"/>
          <w:szCs w:val="28"/>
          <w:u w:val="none"/>
          <w:shd w:val="clear" w:color="auto" w:fill="auto"/>
          <w:lang w:val="en-US" w:eastAsia="zh-CN" w:bidi="ar-SA"/>
        </w:rPr>
        <w:t>、连翘</w:t>
      </w:r>
      <w:r>
        <w:rPr>
          <w:rFonts w:hint="eastAsia" w:cs="宋体"/>
          <w:kern w:val="2"/>
          <w:sz w:val="28"/>
          <w:szCs w:val="28"/>
          <w:u w:val="none"/>
          <w:shd w:val="clear" w:color="auto" w:fill="auto"/>
          <w:lang w:val="en-US" w:eastAsia="zh-CN" w:bidi="ar-SA"/>
        </w:rPr>
        <w:t>块状混交</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4</w:t>
      </w:r>
      <w:r>
        <w:rPr>
          <w:rFonts w:hint="eastAsia" w:eastAsia="宋体" w:cs="宋体"/>
          <w:kern w:val="2"/>
          <w:sz w:val="28"/>
          <w:szCs w:val="28"/>
          <w:u w:val="none"/>
          <w:shd w:val="clear" w:color="auto" w:fill="auto"/>
          <w:lang w:val="en-US" w:eastAsia="zh-CN" w:bidi="ar-SA"/>
        </w:rPr>
        <w:t>小班补植面积</w:t>
      </w:r>
      <w:r>
        <w:rPr>
          <w:rFonts w:hint="eastAsia" w:cs="宋体"/>
          <w:kern w:val="2"/>
          <w:sz w:val="28"/>
          <w:szCs w:val="28"/>
          <w:u w:val="none"/>
          <w:shd w:val="clear" w:color="auto" w:fill="auto"/>
          <w:lang w:val="en-US" w:eastAsia="zh-CN" w:bidi="ar-SA"/>
        </w:rPr>
        <w:t>210.0</w:t>
      </w:r>
      <w:r>
        <w:rPr>
          <w:rFonts w:hint="eastAsia" w:eastAsia="宋体" w:cs="宋体"/>
          <w:kern w:val="2"/>
          <w:sz w:val="28"/>
          <w:szCs w:val="28"/>
          <w:u w:val="none"/>
          <w:shd w:val="clear" w:color="auto" w:fill="auto"/>
          <w:lang w:val="en-US" w:eastAsia="zh-CN" w:bidi="ar-SA"/>
        </w:rPr>
        <w:t>亩，补植树种文冠果。</w:t>
      </w:r>
      <w:r>
        <w:rPr>
          <w:rFonts w:hint="eastAsia" w:cs="宋体"/>
          <w:kern w:val="2"/>
          <w:sz w:val="28"/>
          <w:szCs w:val="28"/>
          <w:u w:val="none"/>
          <w:shd w:val="clear" w:color="auto" w:fill="auto"/>
          <w:lang w:val="en-US" w:eastAsia="zh-CN" w:bidi="ar-SA"/>
        </w:rPr>
        <w:t>5</w:t>
      </w:r>
      <w:r>
        <w:rPr>
          <w:rFonts w:hint="eastAsia" w:eastAsia="宋体" w:cs="宋体"/>
          <w:kern w:val="2"/>
          <w:sz w:val="28"/>
          <w:szCs w:val="28"/>
          <w:u w:val="none"/>
          <w:shd w:val="clear" w:color="auto" w:fill="auto"/>
          <w:lang w:val="en-US" w:eastAsia="zh-CN" w:bidi="ar-SA"/>
        </w:rPr>
        <w:t>小班补植面积</w:t>
      </w:r>
      <w:r>
        <w:rPr>
          <w:rFonts w:hint="eastAsia" w:cs="宋体"/>
          <w:kern w:val="2"/>
          <w:sz w:val="28"/>
          <w:szCs w:val="28"/>
          <w:u w:val="none"/>
          <w:shd w:val="clear" w:color="auto" w:fill="auto"/>
          <w:lang w:val="en-US" w:eastAsia="zh-CN" w:bidi="ar-SA"/>
        </w:rPr>
        <w:t>131.4</w:t>
      </w:r>
      <w:r>
        <w:rPr>
          <w:rFonts w:hint="eastAsia" w:eastAsia="宋体" w:cs="宋体"/>
          <w:kern w:val="2"/>
          <w:sz w:val="28"/>
          <w:szCs w:val="28"/>
          <w:u w:val="none"/>
          <w:shd w:val="clear" w:color="auto" w:fill="auto"/>
          <w:lang w:val="en-US" w:eastAsia="zh-CN" w:bidi="ar-SA"/>
        </w:rPr>
        <w:t>亩，补植树种</w:t>
      </w:r>
      <w:r>
        <w:rPr>
          <w:rFonts w:hint="eastAsia" w:cs="宋体"/>
          <w:kern w:val="2"/>
          <w:sz w:val="28"/>
          <w:szCs w:val="28"/>
          <w:u w:val="none"/>
          <w:shd w:val="clear" w:color="auto" w:fill="auto"/>
          <w:lang w:val="en-US" w:eastAsia="zh-CN" w:bidi="ar-SA"/>
        </w:rPr>
        <w:t>侧柏</w:t>
      </w:r>
      <w:r>
        <w:rPr>
          <w:rFonts w:hint="eastAsia" w:eastAsia="宋体" w:cs="宋体"/>
          <w:kern w:val="2"/>
          <w:sz w:val="28"/>
          <w:szCs w:val="28"/>
          <w:u w:val="none"/>
          <w:shd w:val="clear" w:color="auto" w:fill="auto"/>
          <w:lang w:val="en-US" w:eastAsia="zh-CN" w:bidi="ar-SA"/>
        </w:rPr>
        <w:t>、连翘</w:t>
      </w:r>
      <w:r>
        <w:rPr>
          <w:rFonts w:hint="eastAsia" w:cs="宋体"/>
          <w:kern w:val="2"/>
          <w:sz w:val="28"/>
          <w:szCs w:val="28"/>
          <w:u w:val="none"/>
          <w:shd w:val="clear" w:color="auto" w:fill="auto"/>
          <w:lang w:val="en-US" w:eastAsia="zh-CN" w:bidi="ar-SA"/>
        </w:rPr>
        <w:t>块状混交</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6</w:t>
      </w:r>
      <w:r>
        <w:rPr>
          <w:rFonts w:hint="eastAsia" w:eastAsia="宋体" w:cs="宋体"/>
          <w:kern w:val="2"/>
          <w:sz w:val="28"/>
          <w:szCs w:val="28"/>
          <w:u w:val="none"/>
          <w:shd w:val="clear" w:color="auto" w:fill="auto"/>
          <w:lang w:val="en-US" w:eastAsia="zh-CN" w:bidi="ar-SA"/>
        </w:rPr>
        <w:t>小班补植面积</w:t>
      </w:r>
      <w:r>
        <w:rPr>
          <w:rFonts w:hint="eastAsia" w:cs="宋体"/>
          <w:kern w:val="2"/>
          <w:sz w:val="28"/>
          <w:szCs w:val="28"/>
          <w:u w:val="none"/>
          <w:shd w:val="clear" w:color="auto" w:fill="auto"/>
          <w:lang w:val="en-US" w:eastAsia="zh-CN" w:bidi="ar-SA"/>
        </w:rPr>
        <w:t>156.2</w:t>
      </w:r>
      <w:r>
        <w:rPr>
          <w:rFonts w:hint="eastAsia" w:eastAsia="宋体" w:cs="宋体"/>
          <w:kern w:val="2"/>
          <w:sz w:val="28"/>
          <w:szCs w:val="28"/>
          <w:u w:val="none"/>
          <w:shd w:val="clear" w:color="auto" w:fill="auto"/>
          <w:lang w:val="en-US" w:eastAsia="zh-CN" w:bidi="ar-SA"/>
        </w:rPr>
        <w:t>亩，补植树种</w:t>
      </w:r>
      <w:r>
        <w:rPr>
          <w:rFonts w:hint="eastAsia" w:cs="宋体"/>
          <w:kern w:val="2"/>
          <w:sz w:val="28"/>
          <w:szCs w:val="28"/>
          <w:u w:val="none"/>
          <w:shd w:val="clear" w:color="auto" w:fill="auto"/>
          <w:lang w:val="en-US" w:eastAsia="zh-CN" w:bidi="ar-SA"/>
        </w:rPr>
        <w:t>侧柏</w:t>
      </w:r>
      <w:r>
        <w:rPr>
          <w:rFonts w:hint="eastAsia" w:eastAsia="宋体" w:cs="宋体"/>
          <w:kern w:val="2"/>
          <w:sz w:val="28"/>
          <w:szCs w:val="28"/>
          <w:u w:val="none"/>
          <w:shd w:val="clear" w:color="auto" w:fill="auto"/>
          <w:lang w:val="en-US" w:eastAsia="zh-CN" w:bidi="ar-SA"/>
        </w:rPr>
        <w:t>、连翘</w:t>
      </w:r>
      <w:r>
        <w:rPr>
          <w:rFonts w:hint="eastAsia" w:cs="宋体"/>
          <w:kern w:val="2"/>
          <w:sz w:val="28"/>
          <w:szCs w:val="28"/>
          <w:u w:val="none"/>
          <w:shd w:val="clear" w:color="auto" w:fill="auto"/>
          <w:lang w:val="en-US" w:eastAsia="zh-CN" w:bidi="ar-SA"/>
        </w:rPr>
        <w:t>块状混交</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7</w:t>
      </w:r>
      <w:r>
        <w:rPr>
          <w:rFonts w:hint="eastAsia" w:eastAsia="宋体" w:cs="宋体"/>
          <w:kern w:val="2"/>
          <w:sz w:val="28"/>
          <w:szCs w:val="28"/>
          <w:u w:val="none"/>
          <w:shd w:val="clear" w:color="auto" w:fill="auto"/>
          <w:lang w:val="en-US" w:eastAsia="zh-CN" w:bidi="ar-SA"/>
        </w:rPr>
        <w:t>小班补植面积</w:t>
      </w:r>
      <w:r>
        <w:rPr>
          <w:rFonts w:hint="eastAsia" w:cs="宋体"/>
          <w:kern w:val="2"/>
          <w:sz w:val="28"/>
          <w:szCs w:val="28"/>
          <w:u w:val="none"/>
          <w:shd w:val="clear" w:color="auto" w:fill="auto"/>
          <w:lang w:val="en-US" w:eastAsia="zh-CN" w:bidi="ar-SA"/>
        </w:rPr>
        <w:t>71.0</w:t>
      </w:r>
      <w:r>
        <w:rPr>
          <w:rFonts w:hint="eastAsia" w:eastAsia="宋体" w:cs="宋体"/>
          <w:kern w:val="2"/>
          <w:sz w:val="28"/>
          <w:szCs w:val="28"/>
          <w:u w:val="none"/>
          <w:shd w:val="clear" w:color="auto" w:fill="auto"/>
          <w:lang w:val="en-US" w:eastAsia="zh-CN" w:bidi="ar-SA"/>
        </w:rPr>
        <w:t>亩，补植树种</w:t>
      </w:r>
      <w:r>
        <w:rPr>
          <w:rFonts w:hint="eastAsia" w:cs="宋体"/>
          <w:kern w:val="2"/>
          <w:sz w:val="28"/>
          <w:szCs w:val="28"/>
          <w:u w:val="none"/>
          <w:shd w:val="clear" w:color="auto" w:fill="auto"/>
          <w:lang w:val="en-US" w:eastAsia="zh-CN" w:bidi="ar-SA"/>
        </w:rPr>
        <w:t>侧柏</w:t>
      </w:r>
      <w:r>
        <w:rPr>
          <w:rFonts w:hint="eastAsia" w:eastAsia="宋体" w:cs="宋体"/>
          <w:kern w:val="2"/>
          <w:sz w:val="28"/>
          <w:szCs w:val="28"/>
          <w:u w:val="none"/>
          <w:shd w:val="clear" w:color="auto" w:fill="auto"/>
          <w:lang w:val="en-US" w:eastAsia="zh-CN" w:bidi="ar-SA"/>
        </w:rPr>
        <w:t>、连翘</w:t>
      </w:r>
      <w:r>
        <w:rPr>
          <w:rFonts w:hint="eastAsia" w:cs="宋体"/>
          <w:kern w:val="2"/>
          <w:sz w:val="28"/>
          <w:szCs w:val="28"/>
          <w:u w:val="none"/>
          <w:shd w:val="clear" w:color="auto" w:fill="auto"/>
          <w:lang w:val="en-US" w:eastAsia="zh-CN" w:bidi="ar-SA"/>
        </w:rPr>
        <w:t>块状混交</w:t>
      </w:r>
      <w:r>
        <w:rPr>
          <w:rFonts w:hint="eastAsia" w:eastAsia="宋体" w:cs="宋体"/>
          <w:kern w:val="2"/>
          <w:sz w:val="28"/>
          <w:szCs w:val="28"/>
          <w:u w:val="none"/>
          <w:shd w:val="clear" w:color="auto" w:fill="auto"/>
          <w:lang w:val="en-US" w:eastAsia="zh-CN" w:bidi="ar-SA"/>
        </w:rPr>
        <w:t>。</w:t>
      </w:r>
    </w:p>
    <w:p>
      <w:pPr>
        <w:pStyle w:val="44"/>
        <w:keepNext w:val="0"/>
        <w:keepLines w:val="0"/>
        <w:pageBreakBefore w:val="0"/>
        <w:widowControl w:val="0"/>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w:t>
      </w:r>
      <w:r>
        <w:rPr>
          <w:rFonts w:hint="eastAsia" w:ascii="宋体" w:hAnsi="宋体" w:eastAsia="宋体" w:cs="宋体"/>
          <w:kern w:val="2"/>
          <w:sz w:val="28"/>
          <w:szCs w:val="28"/>
          <w:u w:val="none"/>
          <w:shd w:val="clear" w:color="auto" w:fill="auto"/>
          <w:lang w:val="en-US" w:eastAsia="zh-CN" w:bidi="ar-SA"/>
        </w:rPr>
        <w:t>共</w:t>
      </w:r>
      <w:r>
        <w:rPr>
          <w:rFonts w:hint="eastAsia" w:eastAsia="宋体" w:cs="宋体"/>
          <w:kern w:val="2"/>
          <w:sz w:val="28"/>
          <w:szCs w:val="28"/>
          <w:u w:val="none"/>
          <w:shd w:val="clear" w:color="auto" w:fill="auto"/>
          <w:lang w:val="en-US" w:eastAsia="zh-CN" w:bidi="ar-SA"/>
        </w:rPr>
        <w:t>设计了</w:t>
      </w:r>
      <w:r>
        <w:rPr>
          <w:rFonts w:hint="eastAsia" w:cs="宋体"/>
          <w:kern w:val="2"/>
          <w:sz w:val="28"/>
          <w:szCs w:val="28"/>
          <w:u w:val="none"/>
          <w:shd w:val="clear" w:color="auto" w:fill="auto"/>
          <w:lang w:val="en-US" w:eastAsia="zh-CN" w:bidi="ar-SA"/>
        </w:rPr>
        <w:t>7</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，面积</w:t>
      </w:r>
      <w:r>
        <w:rPr>
          <w:rFonts w:hint="eastAsia" w:cs="宋体"/>
          <w:kern w:val="2"/>
          <w:sz w:val="28"/>
          <w:szCs w:val="28"/>
          <w:u w:val="none"/>
          <w:shd w:val="clear" w:color="auto" w:fill="auto"/>
          <w:lang w:val="en-US" w:eastAsia="zh-CN" w:bidi="ar-SA"/>
        </w:rPr>
        <w:t>405.4</w:t>
      </w:r>
      <w:r>
        <w:rPr>
          <w:rFonts w:hint="eastAsia" w:ascii="宋体" w:hAnsi="宋体" w:eastAsia="宋体" w:cs="宋体"/>
          <w:kern w:val="2"/>
          <w:sz w:val="28"/>
          <w:szCs w:val="28"/>
          <w:u w:val="none"/>
          <w:shd w:val="clear" w:color="auto" w:fill="auto"/>
          <w:lang w:val="en-US" w:eastAsia="zh-CN" w:bidi="ar-SA"/>
        </w:rPr>
        <w:t>亩</w:t>
      </w:r>
      <w:r>
        <w:rPr>
          <w:rFonts w:hint="eastAsia" w:eastAsia="宋体" w:cs="宋体"/>
          <w:kern w:val="2"/>
          <w:sz w:val="28"/>
          <w:szCs w:val="28"/>
          <w:u w:val="none"/>
          <w:shd w:val="clear" w:color="auto" w:fill="auto"/>
          <w:lang w:val="en-US" w:eastAsia="zh-CN" w:bidi="ar-SA"/>
        </w:rPr>
        <w:t>。其中1小班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面积78.3亩，2</w:t>
      </w:r>
      <w:r>
        <w:rPr>
          <w:rFonts w:hint="eastAsia" w:eastAsia="宋体" w:cs="宋体"/>
          <w:kern w:val="2"/>
          <w:sz w:val="28"/>
          <w:szCs w:val="28"/>
          <w:u w:val="none"/>
          <w:shd w:val="clear" w:color="auto" w:fill="auto"/>
          <w:lang w:val="en-US" w:eastAsia="zh-CN" w:bidi="ar-SA"/>
        </w:rPr>
        <w:t>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面积63.8亩，3</w:t>
      </w:r>
      <w:r>
        <w:rPr>
          <w:rFonts w:hint="eastAsia" w:eastAsia="宋体" w:cs="宋体"/>
          <w:kern w:val="2"/>
          <w:sz w:val="28"/>
          <w:szCs w:val="28"/>
          <w:u w:val="none"/>
          <w:shd w:val="clear" w:color="auto" w:fill="auto"/>
          <w:lang w:val="en-US" w:eastAsia="zh-CN" w:bidi="ar-SA"/>
        </w:rPr>
        <w:t>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面积31.9亩，4</w:t>
      </w:r>
      <w:r>
        <w:rPr>
          <w:rFonts w:hint="eastAsia" w:eastAsia="宋体" w:cs="宋体"/>
          <w:kern w:val="2"/>
          <w:sz w:val="28"/>
          <w:szCs w:val="28"/>
          <w:u w:val="none"/>
          <w:shd w:val="clear" w:color="auto" w:fill="auto"/>
          <w:lang w:val="en-US" w:eastAsia="zh-CN" w:bidi="ar-SA"/>
        </w:rPr>
        <w:t>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面积90.0亩，5</w:t>
      </w:r>
      <w:r>
        <w:rPr>
          <w:rFonts w:hint="eastAsia" w:eastAsia="宋体" w:cs="宋体"/>
          <w:kern w:val="2"/>
          <w:sz w:val="28"/>
          <w:szCs w:val="28"/>
          <w:u w:val="none"/>
          <w:shd w:val="clear" w:color="auto" w:fill="auto"/>
          <w:lang w:val="en-US" w:eastAsia="zh-CN" w:bidi="ar-SA"/>
        </w:rPr>
        <w:t>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面积48.6亩，6</w:t>
      </w:r>
      <w:r>
        <w:rPr>
          <w:rFonts w:hint="eastAsia" w:eastAsia="宋体" w:cs="宋体"/>
          <w:kern w:val="2"/>
          <w:sz w:val="28"/>
          <w:szCs w:val="28"/>
          <w:u w:val="none"/>
          <w:shd w:val="clear" w:color="auto" w:fill="auto"/>
          <w:lang w:val="en-US" w:eastAsia="zh-CN" w:bidi="ar-SA"/>
        </w:rPr>
        <w:t>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面积63.8亩，7</w:t>
      </w:r>
      <w:r>
        <w:rPr>
          <w:rFonts w:hint="eastAsia" w:eastAsia="宋体" w:cs="宋体"/>
          <w:kern w:val="2"/>
          <w:sz w:val="28"/>
          <w:szCs w:val="28"/>
          <w:u w:val="none"/>
          <w:shd w:val="clear" w:color="auto" w:fill="auto"/>
          <w:lang w:val="en-US" w:eastAsia="zh-CN" w:bidi="ar-SA"/>
        </w:rPr>
        <w:t>小班</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面积29.0亩。</w:t>
      </w:r>
    </w:p>
    <w:p>
      <w:pPr>
        <w:pStyle w:val="44"/>
        <w:keepNext w:val="0"/>
        <w:keepLines w:val="0"/>
        <w:pageBreakBefore w:val="0"/>
        <w:widowControl w:val="0"/>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kern w:val="2"/>
          <w:sz w:val="28"/>
          <w:szCs w:val="28"/>
          <w:u w:val="none"/>
          <w:shd w:val="clear" w:color="auto" w:fill="auto"/>
          <w:lang w:val="en-US" w:eastAsia="zh-CN" w:bidi="ar-SA"/>
        </w:rPr>
        <w:t>检查验收：参照GB/T15776-2006标准进行验收。</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5.2.3用料设计</w:t>
      </w:r>
    </w:p>
    <w:p>
      <w:pPr>
        <w:pStyle w:val="43"/>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宋体" w:hAnsi="宋体" w:eastAsia="宋体"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w:t>
      </w: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)需苗量：经</w:t>
      </w:r>
      <w:r>
        <w:rPr>
          <w:rFonts w:hint="eastAsia" w:cs="宋体"/>
          <w:b w:val="0"/>
          <w:bCs w:val="0"/>
          <w:color w:val="000000"/>
          <w:kern w:val="2"/>
          <w:sz w:val="28"/>
          <w:szCs w:val="28"/>
          <w:u w:val="none"/>
          <w:shd w:val="clear" w:color="auto" w:fill="auto"/>
          <w:lang w:val="en-US" w:eastAsia="zh-CN" w:bidi="ar-SA"/>
        </w:rPr>
        <w:t>计</w:t>
      </w:r>
      <w:r>
        <w:rPr>
          <w:rFonts w:hint="eastAsia" w:ascii="宋体" w:hAnsi="宋体" w:eastAsia="宋体" w:cs="宋体"/>
          <w:b w:val="0"/>
          <w:bCs w:val="0"/>
          <w:color w:val="000000"/>
          <w:kern w:val="2"/>
          <w:sz w:val="28"/>
          <w:szCs w:val="28"/>
          <w:u w:val="none"/>
          <w:shd w:val="clear" w:color="auto" w:fill="auto"/>
          <w:lang w:val="en-US" w:eastAsia="zh-CN" w:bidi="ar-SA"/>
        </w:rPr>
        <w:t>算</w:t>
      </w:r>
      <w:r>
        <w:rPr>
          <w:rFonts w:hint="eastAsia" w:cs="宋体"/>
          <w:b w:val="0"/>
          <w:bCs w:val="0"/>
          <w:color w:val="000000"/>
          <w:kern w:val="2"/>
          <w:sz w:val="28"/>
          <w:szCs w:val="28"/>
          <w:u w:val="none"/>
          <w:shd w:val="clear" w:color="auto" w:fill="auto"/>
          <w:lang w:val="en-US" w:eastAsia="zh-CN" w:bidi="ar-SA"/>
        </w:rPr>
        <w:t>本修复区</w:t>
      </w:r>
      <w:r>
        <w:rPr>
          <w:rFonts w:hint="eastAsia" w:ascii="宋体" w:hAnsi="宋体" w:eastAsia="宋体" w:cs="宋体"/>
          <w:b w:val="0"/>
          <w:bCs w:val="0"/>
          <w:color w:val="000000"/>
          <w:kern w:val="2"/>
          <w:sz w:val="28"/>
          <w:szCs w:val="28"/>
          <w:u w:val="none"/>
          <w:shd w:val="clear" w:color="auto" w:fill="auto"/>
          <w:lang w:val="en-US" w:eastAsia="zh-CN" w:bidi="ar-SA"/>
        </w:rPr>
        <w:t>退化林修复</w:t>
      </w:r>
      <w:r>
        <w:rPr>
          <w:rFonts w:hint="eastAsia" w:cs="宋体"/>
          <w:b w:val="0"/>
          <w:bCs w:val="0"/>
          <w:color w:val="000000"/>
          <w:kern w:val="2"/>
          <w:sz w:val="28"/>
          <w:szCs w:val="28"/>
          <w:u w:val="none"/>
          <w:shd w:val="clear" w:color="auto" w:fill="auto"/>
          <w:lang w:val="en-US" w:eastAsia="zh-CN" w:bidi="ar-SA"/>
        </w:rPr>
        <w:t>需各类苗木53708株，其中侧柏需23791株，文冠果需19721株，连翘需10196株。</w:t>
      </w: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bCs/>
          <w:sz w:val="32"/>
          <w:lang w:val="en-US" w:eastAsia="zh-CN"/>
        </w:rPr>
      </w:pPr>
      <w:bookmarkStart w:id="106" w:name="_Toc23968"/>
      <w:r>
        <w:rPr>
          <w:rFonts w:hint="eastAsia" w:ascii="黑体" w:hAnsi="黑体" w:eastAsia="黑体" w:cs="黑体"/>
          <w:b/>
          <w:bCs/>
          <w:sz w:val="32"/>
          <w:lang w:val="en-US" w:eastAsia="zh-CN"/>
        </w:rPr>
        <w:t>5.3试马镇大坪作业区</w:t>
      </w:r>
      <w:bookmarkEnd w:id="106"/>
      <w:bookmarkStart w:id="107" w:name="_Toc3147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试马镇大坪作业区位于上一轮退耕还林工程区域，主要树种茶树，由于近多年茶树未进行精细化管理，茶树内杂草、葛藤等生长旺盛，致使茶树出现斑块状、群团状死亡，茶树中形成不规则块状空地，经济效益、生态效益下降，退化等级属于轻度退化。</w:t>
      </w:r>
      <w:bookmarkEnd w:id="107"/>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5.3.1修复类型、对象和方式</w:t>
      </w:r>
    </w:p>
    <w:p>
      <w:pPr>
        <w:pStyle w:val="43"/>
        <w:keepNext w:val="0"/>
        <w:keepLines w:val="0"/>
        <w:pageBreakBefore w:val="0"/>
        <w:widowControl w:val="0"/>
        <w:tabs>
          <w:tab w:val="left" w:pos="7769"/>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修复类型：抚育修复。</w:t>
      </w:r>
      <w:r>
        <w:rPr>
          <w:rFonts w:hint="eastAsia" w:ascii="宋体" w:hAnsi="宋体" w:eastAsia="宋体" w:cs="宋体"/>
          <w:b w:val="0"/>
          <w:bCs w:val="0"/>
          <w:color w:val="000000"/>
          <w:kern w:val="2"/>
          <w:sz w:val="28"/>
          <w:szCs w:val="28"/>
          <w:u w:val="none"/>
          <w:shd w:val="clear" w:color="auto" w:fill="auto"/>
          <w:lang w:val="en-US" w:eastAsia="zh-CN" w:bidi="ar-SA"/>
        </w:rPr>
        <w:tab/>
      </w:r>
    </w:p>
    <w:p>
      <w:pPr>
        <w:pStyle w:val="43"/>
        <w:keepNext w:val="0"/>
        <w:keepLines w:val="0"/>
        <w:pageBreakBefore w:val="0"/>
        <w:widowControl w:val="0"/>
        <w:tabs>
          <w:tab w:val="left" w:pos="1088"/>
        </w:tabs>
        <w:kinsoku/>
        <w:wordWrap/>
        <w:overflowPunct/>
        <w:topLinePunct w:val="0"/>
        <w:autoSpaceDE/>
        <w:autoSpaceDN/>
        <w:bidi w:val="0"/>
        <w:adjustRightInd/>
        <w:snapToGrid/>
        <w:spacing w:line="360" w:lineRule="auto"/>
        <w:ind w:left="0" w:leftChars="0" w:firstLine="560" w:firstLineChars="200"/>
        <w:textAlignment w:val="auto"/>
        <w:rPr>
          <w:rFonts w:hint="eastAsia"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b w:val="0"/>
          <w:bCs w:val="0"/>
          <w:color w:val="000000"/>
          <w:kern w:val="2"/>
          <w:sz w:val="28"/>
          <w:szCs w:val="28"/>
          <w:u w:val="none"/>
          <w:shd w:val="clear" w:color="auto" w:fill="auto"/>
          <w:lang w:val="en-US" w:eastAsia="zh-CN" w:bidi="ar-SA"/>
        </w:rPr>
        <w:t>修复对象：</w:t>
      </w:r>
      <w:r>
        <w:rPr>
          <w:rFonts w:hint="eastAsia" w:ascii="宋体" w:hAnsi="宋体" w:eastAsia="宋体" w:cs="宋体"/>
          <w:b w:val="0"/>
          <w:bCs w:val="0"/>
          <w:color w:val="000000"/>
          <w:sz w:val="28"/>
          <w:szCs w:val="28"/>
          <w:lang w:val="en-US" w:eastAsia="zh-CN"/>
        </w:rPr>
        <w:t>轻度退化</w:t>
      </w:r>
      <w:r>
        <w:rPr>
          <w:rFonts w:hint="eastAsia" w:cs="宋体"/>
          <w:b w:val="0"/>
          <w:bCs w:val="0"/>
          <w:color w:val="000000"/>
          <w:sz w:val="28"/>
          <w:szCs w:val="28"/>
          <w:lang w:val="en-US" w:eastAsia="zh-CN"/>
        </w:rPr>
        <w:t>的特殊灌木茶树</w:t>
      </w:r>
      <w:r>
        <w:rPr>
          <w:rFonts w:hint="eastAsia" w:cs="宋体"/>
          <w:b w:val="0"/>
          <w:bCs w:val="0"/>
          <w:color w:val="000000"/>
          <w:kern w:val="2"/>
          <w:sz w:val="28"/>
          <w:szCs w:val="28"/>
          <w:u w:val="none"/>
          <w:shd w:val="clear" w:color="auto" w:fill="auto"/>
          <w:lang w:val="en-US" w:eastAsia="zh-CN" w:bidi="ar-SA"/>
        </w:rPr>
        <w:t>。</w:t>
      </w:r>
    </w:p>
    <w:p>
      <w:pPr>
        <w:pStyle w:val="43"/>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b w:val="0"/>
          <w:bCs w:val="0"/>
          <w:color w:val="000000"/>
          <w:kern w:val="2"/>
          <w:sz w:val="28"/>
          <w:szCs w:val="28"/>
          <w:u w:val="none"/>
          <w:shd w:val="clear" w:color="auto" w:fill="auto"/>
          <w:lang w:val="en-US" w:eastAsia="zh-CN" w:bidi="ar-SA"/>
        </w:rPr>
        <w:t>修复方式：补植+促进复壮</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5.3.2小班设计</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kern w:val="2"/>
          <w:sz w:val="28"/>
          <w:szCs w:val="28"/>
          <w:u w:val="none"/>
          <w:shd w:val="clear" w:color="auto" w:fill="auto"/>
          <w:lang w:val="en-US" w:eastAsia="zh-CN" w:bidi="ar-SA"/>
        </w:rPr>
        <w:t>补植造林小班：共</w:t>
      </w:r>
      <w:r>
        <w:rPr>
          <w:rFonts w:hint="eastAsia" w:cs="宋体"/>
          <w:kern w:val="2"/>
          <w:sz w:val="28"/>
          <w:szCs w:val="28"/>
          <w:u w:val="none"/>
          <w:shd w:val="clear" w:color="auto" w:fill="auto"/>
          <w:lang w:val="en-US" w:eastAsia="zh-CN" w:bidi="ar-SA"/>
        </w:rPr>
        <w:t>5</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补植面积共</w:t>
      </w:r>
      <w:r>
        <w:rPr>
          <w:rFonts w:hint="eastAsia" w:ascii="宋体" w:hAnsi="宋体" w:eastAsia="宋体" w:cs="宋体"/>
          <w:b w:val="0"/>
          <w:bCs w:val="0"/>
          <w:color w:val="000000"/>
          <w:kern w:val="2"/>
          <w:sz w:val="28"/>
          <w:szCs w:val="28"/>
          <w:u w:val="none"/>
          <w:shd w:val="clear" w:color="auto" w:fill="auto"/>
          <w:lang w:val="en-US" w:eastAsia="zh-CN" w:bidi="ar-SA"/>
        </w:rPr>
        <w:t>525.9</w:t>
      </w:r>
      <w:r>
        <w:rPr>
          <w:rFonts w:hint="eastAsia" w:eastAsia="宋体" w:cs="宋体"/>
          <w:kern w:val="2"/>
          <w:sz w:val="28"/>
          <w:szCs w:val="28"/>
          <w:u w:val="none"/>
          <w:shd w:val="clear" w:color="auto" w:fill="auto"/>
          <w:lang w:val="en-US" w:eastAsia="zh-CN" w:bidi="ar-SA"/>
        </w:rPr>
        <w:t>亩</w:t>
      </w:r>
      <w:r>
        <w:rPr>
          <w:rFonts w:hint="eastAsia" w:cs="宋体"/>
          <w:kern w:val="2"/>
          <w:sz w:val="28"/>
          <w:szCs w:val="28"/>
          <w:u w:val="none"/>
          <w:shd w:val="clear" w:color="auto" w:fill="auto"/>
          <w:lang w:val="en-US" w:eastAsia="zh-CN" w:bidi="ar-SA"/>
        </w:rPr>
        <w:t>，补植树种均为</w:t>
      </w:r>
      <w:r>
        <w:rPr>
          <w:rFonts w:hint="eastAsia" w:eastAsia="宋体" w:cs="宋体"/>
          <w:kern w:val="2"/>
          <w:sz w:val="28"/>
          <w:szCs w:val="28"/>
          <w:u w:val="none"/>
          <w:shd w:val="clear" w:color="auto" w:fill="auto"/>
          <w:lang w:val="en-US" w:eastAsia="zh-CN" w:bidi="ar-SA"/>
        </w:rPr>
        <w:t>油茶</w:t>
      </w:r>
      <w:r>
        <w:rPr>
          <w:rFonts w:hint="eastAsia" w:cs="宋体"/>
          <w:kern w:val="2"/>
          <w:sz w:val="28"/>
          <w:szCs w:val="28"/>
          <w:u w:val="none"/>
          <w:shd w:val="clear" w:color="auto" w:fill="auto"/>
          <w:lang w:val="en-US" w:eastAsia="zh-CN" w:bidi="ar-SA"/>
        </w:rPr>
        <w:t>。各小班补植面积详见附表2。</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w:t>
      </w:r>
      <w:r>
        <w:rPr>
          <w:rFonts w:hint="eastAsia" w:ascii="宋体" w:hAnsi="宋体" w:eastAsia="宋体" w:cs="宋体"/>
          <w:kern w:val="2"/>
          <w:sz w:val="28"/>
          <w:szCs w:val="28"/>
          <w:u w:val="none"/>
          <w:shd w:val="clear" w:color="auto" w:fill="auto"/>
          <w:lang w:val="en-US" w:eastAsia="zh-CN" w:bidi="ar-SA"/>
        </w:rPr>
        <w:t>共</w:t>
      </w:r>
      <w:r>
        <w:rPr>
          <w:rFonts w:hint="eastAsia" w:eastAsia="宋体" w:cs="宋体"/>
          <w:kern w:val="2"/>
          <w:sz w:val="28"/>
          <w:szCs w:val="28"/>
          <w:u w:val="none"/>
          <w:shd w:val="clear" w:color="auto" w:fill="auto"/>
          <w:lang w:val="en-US" w:eastAsia="zh-CN" w:bidi="ar-SA"/>
        </w:rPr>
        <w:t>设计了</w:t>
      </w:r>
      <w:r>
        <w:rPr>
          <w:rFonts w:hint="eastAsia" w:cs="宋体"/>
          <w:kern w:val="2"/>
          <w:sz w:val="28"/>
          <w:szCs w:val="28"/>
          <w:u w:val="none"/>
          <w:shd w:val="clear" w:color="auto" w:fill="auto"/>
          <w:lang w:val="en-US" w:eastAsia="zh-CN" w:bidi="ar-SA"/>
        </w:rPr>
        <w:t>5</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，面积</w:t>
      </w:r>
      <w:r>
        <w:rPr>
          <w:rFonts w:hint="eastAsia" w:cs="宋体"/>
          <w:kern w:val="2"/>
          <w:sz w:val="28"/>
          <w:szCs w:val="28"/>
          <w:u w:val="none"/>
          <w:shd w:val="clear" w:color="auto" w:fill="auto"/>
          <w:lang w:val="en-US" w:eastAsia="zh-CN" w:bidi="ar-SA"/>
        </w:rPr>
        <w:t>214.1</w:t>
      </w:r>
      <w:r>
        <w:rPr>
          <w:rFonts w:hint="eastAsia" w:ascii="宋体" w:hAnsi="宋体" w:eastAsia="宋体" w:cs="宋体"/>
          <w:kern w:val="2"/>
          <w:sz w:val="28"/>
          <w:szCs w:val="28"/>
          <w:u w:val="none"/>
          <w:shd w:val="clear" w:color="auto" w:fill="auto"/>
          <w:lang w:val="en-US" w:eastAsia="zh-CN" w:bidi="ar-SA"/>
        </w:rPr>
        <w:t>亩</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各小班促进复</w:t>
      </w:r>
      <w:r>
        <w:rPr>
          <w:rFonts w:hint="eastAsia" w:ascii="宋体" w:hAnsi="宋体" w:eastAsia="宋体" w:cs="宋体"/>
          <w:kern w:val="2"/>
          <w:sz w:val="28"/>
          <w:szCs w:val="28"/>
          <w:u w:val="none"/>
          <w:shd w:val="clear" w:color="auto" w:fill="auto"/>
          <w:lang w:val="en-US" w:eastAsia="zh-CN" w:bidi="ar-SA"/>
        </w:rPr>
        <w:t>壮</w:t>
      </w:r>
      <w:r>
        <w:rPr>
          <w:rFonts w:hint="eastAsia" w:cs="宋体"/>
          <w:kern w:val="2"/>
          <w:sz w:val="28"/>
          <w:szCs w:val="28"/>
          <w:u w:val="none"/>
          <w:shd w:val="clear" w:color="auto" w:fill="auto"/>
          <w:lang w:val="en-US" w:eastAsia="zh-CN" w:bidi="ar-SA"/>
        </w:rPr>
        <w:t>面积详见附表2。</w:t>
      </w:r>
    </w:p>
    <w:p>
      <w:pPr>
        <w:pStyle w:val="44"/>
        <w:keepNext w:val="0"/>
        <w:keepLines w:val="0"/>
        <w:pageBreakBefore w:val="0"/>
        <w:widowControl w:val="0"/>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kern w:val="2"/>
          <w:sz w:val="28"/>
          <w:szCs w:val="28"/>
          <w:u w:val="none"/>
          <w:shd w:val="clear" w:color="auto" w:fill="auto"/>
          <w:lang w:val="en-US" w:eastAsia="zh-CN" w:bidi="ar-SA"/>
        </w:rPr>
        <w:t>检查验收：参照GB/T15776-2006标准进行验收。</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5.3.4用料设计</w:t>
      </w:r>
    </w:p>
    <w:p>
      <w:pPr>
        <w:pStyle w:val="43"/>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宋体" w:hAnsi="宋体" w:eastAsia="宋体"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w:t>
      </w: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)需苗量：经</w:t>
      </w:r>
      <w:r>
        <w:rPr>
          <w:rFonts w:hint="eastAsia" w:cs="宋体"/>
          <w:b w:val="0"/>
          <w:bCs w:val="0"/>
          <w:color w:val="000000"/>
          <w:kern w:val="2"/>
          <w:sz w:val="28"/>
          <w:szCs w:val="28"/>
          <w:u w:val="none"/>
          <w:shd w:val="clear" w:color="auto" w:fill="auto"/>
          <w:lang w:val="en-US" w:eastAsia="zh-CN" w:bidi="ar-SA"/>
        </w:rPr>
        <w:t>计</w:t>
      </w:r>
      <w:r>
        <w:rPr>
          <w:rFonts w:hint="eastAsia" w:ascii="宋体" w:hAnsi="宋体" w:eastAsia="宋体" w:cs="宋体"/>
          <w:b w:val="0"/>
          <w:bCs w:val="0"/>
          <w:color w:val="000000"/>
          <w:kern w:val="2"/>
          <w:sz w:val="28"/>
          <w:szCs w:val="28"/>
          <w:u w:val="none"/>
          <w:shd w:val="clear" w:color="auto" w:fill="auto"/>
          <w:lang w:val="en-US" w:eastAsia="zh-CN" w:bidi="ar-SA"/>
        </w:rPr>
        <w:t>算</w:t>
      </w:r>
      <w:r>
        <w:rPr>
          <w:rFonts w:hint="eastAsia" w:cs="宋体"/>
          <w:b w:val="0"/>
          <w:bCs w:val="0"/>
          <w:color w:val="000000"/>
          <w:kern w:val="2"/>
          <w:sz w:val="28"/>
          <w:szCs w:val="28"/>
          <w:u w:val="none"/>
          <w:shd w:val="clear" w:color="auto" w:fill="auto"/>
          <w:lang w:val="en-US" w:eastAsia="zh-CN" w:bidi="ar-SA"/>
        </w:rPr>
        <w:t>大坪修复区</w:t>
      </w:r>
      <w:r>
        <w:rPr>
          <w:rFonts w:hint="eastAsia" w:ascii="宋体" w:hAnsi="宋体" w:eastAsia="宋体" w:cs="宋体"/>
          <w:b w:val="0"/>
          <w:bCs w:val="0"/>
          <w:color w:val="000000"/>
          <w:kern w:val="2"/>
          <w:sz w:val="28"/>
          <w:szCs w:val="28"/>
          <w:u w:val="none"/>
          <w:shd w:val="clear" w:color="auto" w:fill="auto"/>
          <w:lang w:val="en-US" w:eastAsia="zh-CN" w:bidi="ar-SA"/>
        </w:rPr>
        <w:t>退化林修复</w:t>
      </w:r>
      <w:r>
        <w:rPr>
          <w:rFonts w:hint="eastAsia" w:cs="宋体"/>
          <w:b w:val="0"/>
          <w:bCs w:val="0"/>
          <w:color w:val="000000"/>
          <w:kern w:val="2"/>
          <w:sz w:val="28"/>
          <w:szCs w:val="28"/>
          <w:u w:val="none"/>
          <w:shd w:val="clear" w:color="auto" w:fill="auto"/>
          <w:lang w:val="en-US" w:eastAsia="zh-CN" w:bidi="ar-SA"/>
        </w:rPr>
        <w:t>需油茶苗木30374株。</w:t>
      </w: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bCs/>
          <w:sz w:val="32"/>
          <w:lang w:val="en-US" w:eastAsia="zh-CN"/>
        </w:rPr>
      </w:pPr>
      <w:bookmarkStart w:id="108" w:name="_Toc30895"/>
      <w:r>
        <w:rPr>
          <w:rFonts w:hint="eastAsia" w:ascii="黑体" w:hAnsi="黑体" w:eastAsia="黑体" w:cs="黑体"/>
          <w:b/>
          <w:bCs/>
          <w:sz w:val="32"/>
          <w:lang w:val="en-US" w:eastAsia="zh-CN"/>
        </w:rPr>
        <w:t>5.4过风楼镇徐家店作业区</w:t>
      </w:r>
      <w:bookmarkEnd w:id="108"/>
      <w:bookmarkStart w:id="109" w:name="_Toc2487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过风楼镇徐家店作业区位于上一轮退耕还林工程区域以及其它次生林区域，主要树种茶树、阔杂，部分属于森林病虫害处置区，由于近多年森林经营滞后，杂草、葛藤等生长旺盛，部分地块出现森林病虫害。近年来，林内出现斑块状、群团状死亡，郁闭度下降，林木分布不均匀，林中形成不规则块状空地，退化等级属于轻度退化。</w:t>
      </w:r>
      <w:bookmarkEnd w:id="109"/>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5.4.1修复类型、对象和方式</w:t>
      </w:r>
    </w:p>
    <w:p>
      <w:pPr>
        <w:pStyle w:val="43"/>
        <w:keepNext w:val="0"/>
        <w:keepLines w:val="0"/>
        <w:pageBreakBefore w:val="0"/>
        <w:widowControl w:val="0"/>
        <w:tabs>
          <w:tab w:val="left" w:pos="7769"/>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修复类型：抚育修复。</w:t>
      </w:r>
      <w:r>
        <w:rPr>
          <w:rFonts w:hint="eastAsia" w:ascii="宋体" w:hAnsi="宋体" w:eastAsia="宋体" w:cs="宋体"/>
          <w:b w:val="0"/>
          <w:bCs w:val="0"/>
          <w:color w:val="000000"/>
          <w:kern w:val="2"/>
          <w:sz w:val="28"/>
          <w:szCs w:val="28"/>
          <w:u w:val="none"/>
          <w:shd w:val="clear" w:color="auto" w:fill="auto"/>
          <w:lang w:val="en-US" w:eastAsia="zh-CN" w:bidi="ar-SA"/>
        </w:rPr>
        <w:tab/>
      </w:r>
    </w:p>
    <w:p>
      <w:pPr>
        <w:pStyle w:val="43"/>
        <w:keepNext w:val="0"/>
        <w:keepLines w:val="0"/>
        <w:pageBreakBefore w:val="0"/>
        <w:widowControl w:val="0"/>
        <w:tabs>
          <w:tab w:val="left" w:pos="1088"/>
        </w:tabs>
        <w:kinsoku/>
        <w:wordWrap/>
        <w:overflowPunct/>
        <w:topLinePunct w:val="0"/>
        <w:autoSpaceDE/>
        <w:autoSpaceDN/>
        <w:bidi w:val="0"/>
        <w:adjustRightInd/>
        <w:snapToGrid/>
        <w:spacing w:line="360" w:lineRule="auto"/>
        <w:ind w:left="0" w:leftChars="0" w:firstLine="560" w:firstLineChars="200"/>
        <w:textAlignment w:val="auto"/>
        <w:rPr>
          <w:rFonts w:hint="eastAsia"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b w:val="0"/>
          <w:bCs w:val="0"/>
          <w:color w:val="000000"/>
          <w:kern w:val="2"/>
          <w:sz w:val="28"/>
          <w:szCs w:val="28"/>
          <w:u w:val="none"/>
          <w:shd w:val="clear" w:color="auto" w:fill="auto"/>
          <w:lang w:val="en-US" w:eastAsia="zh-CN" w:bidi="ar-SA"/>
        </w:rPr>
        <w:t>修复对象：</w:t>
      </w:r>
      <w:r>
        <w:rPr>
          <w:rFonts w:hint="eastAsia" w:ascii="宋体" w:hAnsi="宋体" w:eastAsia="宋体" w:cs="宋体"/>
          <w:b w:val="0"/>
          <w:bCs w:val="0"/>
          <w:color w:val="000000"/>
          <w:sz w:val="28"/>
          <w:szCs w:val="28"/>
          <w:lang w:val="en-US" w:eastAsia="zh-CN"/>
        </w:rPr>
        <w:t>轻度退化</w:t>
      </w:r>
      <w:r>
        <w:rPr>
          <w:rFonts w:hint="eastAsia" w:cs="宋体"/>
          <w:b w:val="0"/>
          <w:bCs w:val="0"/>
          <w:color w:val="000000"/>
          <w:sz w:val="28"/>
          <w:szCs w:val="28"/>
          <w:lang w:val="en-US" w:eastAsia="zh-CN"/>
        </w:rPr>
        <w:t>的特殊灌木茶树</w:t>
      </w:r>
      <w:r>
        <w:rPr>
          <w:rFonts w:hint="eastAsia" w:cs="宋体"/>
          <w:b w:val="0"/>
          <w:bCs w:val="0"/>
          <w:color w:val="000000"/>
          <w:kern w:val="2"/>
          <w:sz w:val="28"/>
          <w:szCs w:val="28"/>
          <w:u w:val="none"/>
          <w:shd w:val="clear" w:color="auto" w:fill="auto"/>
          <w:lang w:val="en-US" w:eastAsia="zh-CN" w:bidi="ar-SA"/>
        </w:rPr>
        <w:t>。</w:t>
      </w:r>
    </w:p>
    <w:p>
      <w:pPr>
        <w:pStyle w:val="43"/>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b w:val="0"/>
          <w:bCs w:val="0"/>
          <w:color w:val="000000"/>
          <w:kern w:val="2"/>
          <w:sz w:val="28"/>
          <w:szCs w:val="28"/>
          <w:u w:val="none"/>
          <w:shd w:val="clear" w:color="auto" w:fill="auto"/>
          <w:lang w:val="en-US" w:eastAsia="zh-CN" w:bidi="ar-SA"/>
        </w:rPr>
        <w:t>修复方式：补植+促进复壮</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5.4.2小班设计</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kern w:val="2"/>
          <w:sz w:val="28"/>
          <w:szCs w:val="28"/>
          <w:u w:val="none"/>
          <w:shd w:val="clear" w:color="auto" w:fill="auto"/>
          <w:lang w:val="en-US" w:eastAsia="zh-CN" w:bidi="ar-SA"/>
        </w:rPr>
        <w:t>补植造林小班：共</w:t>
      </w:r>
      <w:r>
        <w:rPr>
          <w:rFonts w:hint="eastAsia" w:cs="宋体"/>
          <w:kern w:val="2"/>
          <w:sz w:val="28"/>
          <w:szCs w:val="28"/>
          <w:u w:val="none"/>
          <w:shd w:val="clear" w:color="auto" w:fill="auto"/>
          <w:lang w:val="en-US" w:eastAsia="zh-CN" w:bidi="ar-SA"/>
        </w:rPr>
        <w:t>12</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补植面积共</w:t>
      </w:r>
      <w:r>
        <w:rPr>
          <w:rFonts w:hint="eastAsia" w:ascii="宋体" w:hAnsi="宋体" w:eastAsia="宋体" w:cs="宋体"/>
          <w:b w:val="0"/>
          <w:bCs w:val="0"/>
          <w:color w:val="000000"/>
          <w:kern w:val="2"/>
          <w:sz w:val="28"/>
          <w:szCs w:val="28"/>
          <w:u w:val="none"/>
          <w:shd w:val="clear" w:color="auto" w:fill="auto"/>
          <w:lang w:val="en-US" w:eastAsia="zh-CN" w:bidi="ar-SA"/>
        </w:rPr>
        <w:t>2103.4</w:t>
      </w:r>
      <w:r>
        <w:rPr>
          <w:rFonts w:hint="eastAsia" w:eastAsia="宋体" w:cs="宋体"/>
          <w:kern w:val="2"/>
          <w:sz w:val="28"/>
          <w:szCs w:val="28"/>
          <w:u w:val="none"/>
          <w:shd w:val="clear" w:color="auto" w:fill="auto"/>
          <w:lang w:val="en-US" w:eastAsia="zh-CN" w:bidi="ar-SA"/>
        </w:rPr>
        <w:t>亩</w:t>
      </w:r>
      <w:r>
        <w:rPr>
          <w:rFonts w:hint="eastAsia" w:cs="宋体"/>
          <w:kern w:val="2"/>
          <w:sz w:val="28"/>
          <w:szCs w:val="28"/>
          <w:u w:val="none"/>
          <w:shd w:val="clear" w:color="auto" w:fill="auto"/>
          <w:lang w:val="en-US" w:eastAsia="zh-CN" w:bidi="ar-SA"/>
        </w:rPr>
        <w:t>，补植树种均为</w:t>
      </w:r>
      <w:r>
        <w:rPr>
          <w:rFonts w:hint="eastAsia" w:eastAsia="宋体" w:cs="宋体"/>
          <w:kern w:val="2"/>
          <w:sz w:val="28"/>
          <w:szCs w:val="28"/>
          <w:u w:val="none"/>
          <w:shd w:val="clear" w:color="auto" w:fill="auto"/>
          <w:lang w:val="en-US" w:eastAsia="zh-CN" w:bidi="ar-SA"/>
        </w:rPr>
        <w:t>油茶</w:t>
      </w:r>
      <w:r>
        <w:rPr>
          <w:rFonts w:hint="eastAsia" w:cs="宋体"/>
          <w:kern w:val="2"/>
          <w:sz w:val="28"/>
          <w:szCs w:val="28"/>
          <w:u w:val="none"/>
          <w:shd w:val="clear" w:color="auto" w:fill="auto"/>
          <w:lang w:val="en-US" w:eastAsia="zh-CN" w:bidi="ar-SA"/>
        </w:rPr>
        <w:t>。各小班补植面积详见附表2。</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w:t>
      </w:r>
      <w:r>
        <w:rPr>
          <w:rFonts w:hint="eastAsia" w:ascii="宋体" w:hAnsi="宋体" w:eastAsia="宋体" w:cs="宋体"/>
          <w:kern w:val="2"/>
          <w:sz w:val="28"/>
          <w:szCs w:val="28"/>
          <w:u w:val="none"/>
          <w:shd w:val="clear" w:color="auto" w:fill="auto"/>
          <w:lang w:val="en-US" w:eastAsia="zh-CN" w:bidi="ar-SA"/>
        </w:rPr>
        <w:t>共</w:t>
      </w:r>
      <w:r>
        <w:rPr>
          <w:rFonts w:hint="eastAsia" w:eastAsia="宋体" w:cs="宋体"/>
          <w:kern w:val="2"/>
          <w:sz w:val="28"/>
          <w:szCs w:val="28"/>
          <w:u w:val="none"/>
          <w:shd w:val="clear" w:color="auto" w:fill="auto"/>
          <w:lang w:val="en-US" w:eastAsia="zh-CN" w:bidi="ar-SA"/>
        </w:rPr>
        <w:t>设计了</w:t>
      </w:r>
      <w:r>
        <w:rPr>
          <w:rFonts w:hint="eastAsia" w:cs="宋体"/>
          <w:kern w:val="2"/>
          <w:sz w:val="28"/>
          <w:szCs w:val="28"/>
          <w:u w:val="none"/>
          <w:shd w:val="clear" w:color="auto" w:fill="auto"/>
          <w:lang w:val="en-US" w:eastAsia="zh-CN" w:bidi="ar-SA"/>
        </w:rPr>
        <w:t>12</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，面积</w:t>
      </w:r>
      <w:r>
        <w:rPr>
          <w:rFonts w:hint="eastAsia" w:ascii="宋体" w:hAnsi="宋体" w:eastAsia="宋体" w:cs="宋体"/>
          <w:sz w:val="28"/>
          <w:szCs w:val="28"/>
          <w:lang w:val="en-US" w:eastAsia="zh-CN"/>
        </w:rPr>
        <w:t>846.6</w:t>
      </w:r>
      <w:r>
        <w:rPr>
          <w:rFonts w:hint="eastAsia" w:ascii="宋体" w:hAnsi="宋体" w:eastAsia="宋体" w:cs="宋体"/>
          <w:kern w:val="2"/>
          <w:sz w:val="28"/>
          <w:szCs w:val="28"/>
          <w:u w:val="none"/>
          <w:shd w:val="clear" w:color="auto" w:fill="auto"/>
          <w:lang w:val="en-US" w:eastAsia="zh-CN" w:bidi="ar-SA"/>
        </w:rPr>
        <w:t>亩</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各小班促进复</w:t>
      </w:r>
      <w:r>
        <w:rPr>
          <w:rFonts w:hint="eastAsia" w:ascii="宋体" w:hAnsi="宋体" w:eastAsia="宋体" w:cs="宋体"/>
          <w:kern w:val="2"/>
          <w:sz w:val="28"/>
          <w:szCs w:val="28"/>
          <w:u w:val="none"/>
          <w:shd w:val="clear" w:color="auto" w:fill="auto"/>
          <w:lang w:val="en-US" w:eastAsia="zh-CN" w:bidi="ar-SA"/>
        </w:rPr>
        <w:t>壮</w:t>
      </w:r>
      <w:r>
        <w:rPr>
          <w:rFonts w:hint="eastAsia" w:cs="宋体"/>
          <w:kern w:val="2"/>
          <w:sz w:val="28"/>
          <w:szCs w:val="28"/>
          <w:u w:val="none"/>
          <w:shd w:val="clear" w:color="auto" w:fill="auto"/>
          <w:lang w:val="en-US" w:eastAsia="zh-CN" w:bidi="ar-SA"/>
        </w:rPr>
        <w:t>面积详见附表2。</w:t>
      </w:r>
    </w:p>
    <w:p>
      <w:pPr>
        <w:pStyle w:val="44"/>
        <w:keepNext w:val="0"/>
        <w:keepLines w:val="0"/>
        <w:pageBreakBefore w:val="0"/>
        <w:widowControl w:val="0"/>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kern w:val="2"/>
          <w:sz w:val="28"/>
          <w:szCs w:val="28"/>
          <w:u w:val="none"/>
          <w:shd w:val="clear" w:color="auto" w:fill="auto"/>
          <w:lang w:val="en-US" w:eastAsia="zh-CN" w:bidi="ar-SA"/>
        </w:rPr>
        <w:t>检查验收：参照GB/T15776-2006标准进行验收。</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5.4.3用料设计</w:t>
      </w:r>
    </w:p>
    <w:p>
      <w:pPr>
        <w:pStyle w:val="43"/>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宋体" w:hAnsi="宋体" w:eastAsia="宋体"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w:t>
      </w: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)需苗量：经</w:t>
      </w:r>
      <w:r>
        <w:rPr>
          <w:rFonts w:hint="eastAsia" w:cs="宋体"/>
          <w:b w:val="0"/>
          <w:bCs w:val="0"/>
          <w:color w:val="000000"/>
          <w:kern w:val="2"/>
          <w:sz w:val="28"/>
          <w:szCs w:val="28"/>
          <w:u w:val="none"/>
          <w:shd w:val="clear" w:color="auto" w:fill="auto"/>
          <w:lang w:val="en-US" w:eastAsia="zh-CN" w:bidi="ar-SA"/>
        </w:rPr>
        <w:t>计</w:t>
      </w:r>
      <w:r>
        <w:rPr>
          <w:rFonts w:hint="eastAsia" w:ascii="宋体" w:hAnsi="宋体" w:eastAsia="宋体" w:cs="宋体"/>
          <w:b w:val="0"/>
          <w:bCs w:val="0"/>
          <w:color w:val="000000"/>
          <w:kern w:val="2"/>
          <w:sz w:val="28"/>
          <w:szCs w:val="28"/>
          <w:u w:val="none"/>
          <w:shd w:val="clear" w:color="auto" w:fill="auto"/>
          <w:lang w:val="en-US" w:eastAsia="zh-CN" w:bidi="ar-SA"/>
        </w:rPr>
        <w:t>算</w:t>
      </w:r>
      <w:r>
        <w:rPr>
          <w:rFonts w:hint="eastAsia" w:cs="宋体"/>
          <w:b w:val="0"/>
          <w:bCs w:val="0"/>
          <w:color w:val="000000"/>
          <w:kern w:val="2"/>
          <w:sz w:val="28"/>
          <w:szCs w:val="28"/>
          <w:u w:val="none"/>
          <w:shd w:val="clear" w:color="auto" w:fill="auto"/>
          <w:lang w:val="en-US" w:eastAsia="zh-CN" w:bidi="ar-SA"/>
        </w:rPr>
        <w:t>本修复区</w:t>
      </w:r>
      <w:r>
        <w:rPr>
          <w:rFonts w:hint="eastAsia" w:ascii="宋体" w:hAnsi="宋体" w:eastAsia="宋体" w:cs="宋体"/>
          <w:b w:val="0"/>
          <w:bCs w:val="0"/>
          <w:color w:val="000000"/>
          <w:kern w:val="2"/>
          <w:sz w:val="28"/>
          <w:szCs w:val="28"/>
          <w:u w:val="none"/>
          <w:shd w:val="clear" w:color="auto" w:fill="auto"/>
          <w:lang w:val="en-US" w:eastAsia="zh-CN" w:bidi="ar-SA"/>
        </w:rPr>
        <w:t>退化林修复</w:t>
      </w:r>
      <w:r>
        <w:rPr>
          <w:rFonts w:hint="eastAsia" w:cs="宋体"/>
          <w:b w:val="0"/>
          <w:bCs w:val="0"/>
          <w:color w:val="000000"/>
          <w:kern w:val="2"/>
          <w:sz w:val="28"/>
          <w:szCs w:val="28"/>
          <w:u w:val="none"/>
          <w:shd w:val="clear" w:color="auto" w:fill="auto"/>
          <w:lang w:val="en-US" w:eastAsia="zh-CN" w:bidi="ar-SA"/>
        </w:rPr>
        <w:t>需油茶苗木117792株。</w:t>
      </w: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bCs/>
          <w:sz w:val="32"/>
          <w:lang w:val="en-US" w:eastAsia="zh-CN"/>
        </w:rPr>
      </w:pPr>
      <w:bookmarkStart w:id="110" w:name="_Toc26379"/>
      <w:r>
        <w:rPr>
          <w:rFonts w:hint="eastAsia" w:ascii="黑体" w:hAnsi="黑体" w:eastAsia="黑体" w:cs="黑体"/>
          <w:b/>
          <w:bCs/>
          <w:sz w:val="32"/>
          <w:lang w:val="en-US" w:eastAsia="zh-CN"/>
        </w:rPr>
        <w:t>5.5过风楼镇炭沟作业区</w:t>
      </w:r>
      <w:bookmarkEnd w:id="110"/>
    </w:p>
    <w:p>
      <w:pPr>
        <w:pStyle w:val="4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过风楼镇炭沟作业区位于过风楼丹江南岸，主要树种栓皮栎、茶树、阔杂等，由于经营管理不善，导致杂草、葛藤等生长旺盛，近年来，</w:t>
      </w:r>
      <w:r>
        <w:rPr>
          <w:rFonts w:hint="eastAsia" w:cs="宋体"/>
          <w:b w:val="0"/>
          <w:bCs w:val="0"/>
          <w:color w:val="000000"/>
          <w:kern w:val="2"/>
          <w:sz w:val="28"/>
          <w:szCs w:val="28"/>
          <w:u w:val="none"/>
          <w:shd w:val="clear" w:color="auto" w:fill="auto"/>
          <w:lang w:val="en-US" w:eastAsia="zh-CN" w:bidi="ar-SA"/>
        </w:rPr>
        <w:t>茶树</w:t>
      </w:r>
      <w:r>
        <w:rPr>
          <w:rFonts w:hint="eastAsia" w:ascii="宋体" w:hAnsi="宋体" w:eastAsia="宋体" w:cs="宋体"/>
          <w:b w:val="0"/>
          <w:bCs w:val="0"/>
          <w:color w:val="000000"/>
          <w:kern w:val="2"/>
          <w:sz w:val="28"/>
          <w:szCs w:val="28"/>
          <w:u w:val="none"/>
          <w:shd w:val="clear" w:color="auto" w:fill="auto"/>
          <w:lang w:val="en-US" w:eastAsia="zh-CN" w:bidi="ar-SA"/>
        </w:rPr>
        <w:t>以及林内出现斑块状、群团状死亡，郁闭度下降，林木分布不均匀，林中形成不规则块状空地，</w:t>
      </w:r>
      <w:r>
        <w:rPr>
          <w:rFonts w:hint="eastAsia" w:cs="宋体"/>
          <w:b w:val="0"/>
          <w:bCs w:val="0"/>
          <w:color w:val="000000"/>
          <w:kern w:val="2"/>
          <w:sz w:val="28"/>
          <w:szCs w:val="28"/>
          <w:u w:val="none"/>
          <w:shd w:val="clear" w:color="auto" w:fill="auto"/>
          <w:lang w:val="en-US" w:eastAsia="zh-CN" w:bidi="ar-SA"/>
        </w:rPr>
        <w:t>其中</w:t>
      </w:r>
      <w:r>
        <w:rPr>
          <w:rFonts w:hint="eastAsia" w:ascii="宋体" w:hAnsi="宋体" w:eastAsia="宋体" w:cs="宋体"/>
          <w:b w:val="0"/>
          <w:bCs w:val="0"/>
          <w:color w:val="000000"/>
          <w:kern w:val="2"/>
          <w:sz w:val="28"/>
          <w:szCs w:val="28"/>
          <w:u w:val="none"/>
          <w:shd w:val="clear" w:color="auto" w:fill="auto"/>
          <w:lang w:val="en-US" w:eastAsia="zh-CN" w:bidi="ar-SA"/>
        </w:rPr>
        <w:t>栓皮栎</w:t>
      </w:r>
      <w:r>
        <w:rPr>
          <w:rFonts w:hint="eastAsia" w:cs="宋体"/>
          <w:b w:val="0"/>
          <w:bCs w:val="0"/>
          <w:color w:val="000000"/>
          <w:kern w:val="2"/>
          <w:sz w:val="28"/>
          <w:szCs w:val="28"/>
          <w:u w:val="none"/>
          <w:shd w:val="clear" w:color="auto" w:fill="auto"/>
          <w:lang w:val="en-US" w:eastAsia="zh-CN" w:bidi="ar-SA"/>
        </w:rPr>
        <w:t>、</w:t>
      </w:r>
      <w:r>
        <w:rPr>
          <w:rFonts w:hint="eastAsia" w:ascii="宋体" w:hAnsi="宋体" w:eastAsia="宋体" w:cs="宋体"/>
          <w:b w:val="0"/>
          <w:bCs w:val="0"/>
          <w:color w:val="000000"/>
          <w:kern w:val="2"/>
          <w:sz w:val="28"/>
          <w:szCs w:val="28"/>
          <w:u w:val="none"/>
          <w:shd w:val="clear" w:color="auto" w:fill="auto"/>
          <w:lang w:val="en-US" w:eastAsia="zh-CN" w:bidi="ar-SA"/>
        </w:rPr>
        <w:t>阔杂退化等级属于中度退化</w:t>
      </w:r>
      <w:r>
        <w:rPr>
          <w:rFonts w:hint="eastAsia" w:cs="宋体"/>
          <w:b w:val="0"/>
          <w:bCs w:val="0"/>
          <w:color w:val="000000"/>
          <w:kern w:val="2"/>
          <w:sz w:val="28"/>
          <w:szCs w:val="28"/>
          <w:u w:val="none"/>
          <w:shd w:val="clear" w:color="auto" w:fill="auto"/>
          <w:lang w:val="en-US" w:eastAsia="zh-CN" w:bidi="ar-SA"/>
        </w:rPr>
        <w:t>，茶树</w:t>
      </w:r>
      <w:r>
        <w:rPr>
          <w:rFonts w:hint="eastAsia" w:ascii="宋体" w:hAnsi="宋体" w:eastAsia="宋体" w:cs="宋体"/>
          <w:b w:val="0"/>
          <w:bCs w:val="0"/>
          <w:color w:val="000000"/>
          <w:kern w:val="2"/>
          <w:sz w:val="28"/>
          <w:szCs w:val="28"/>
          <w:u w:val="none"/>
          <w:shd w:val="clear" w:color="auto" w:fill="auto"/>
          <w:lang w:val="en-US" w:eastAsia="zh-CN" w:bidi="ar-SA"/>
        </w:rPr>
        <w:t>退化等级属于</w:t>
      </w:r>
      <w:r>
        <w:rPr>
          <w:rFonts w:hint="eastAsia" w:cs="宋体"/>
          <w:b w:val="0"/>
          <w:bCs w:val="0"/>
          <w:color w:val="000000"/>
          <w:kern w:val="2"/>
          <w:sz w:val="28"/>
          <w:szCs w:val="28"/>
          <w:u w:val="none"/>
          <w:shd w:val="clear" w:color="auto" w:fill="auto"/>
          <w:lang w:val="en-US" w:eastAsia="zh-CN" w:bidi="ar-SA"/>
        </w:rPr>
        <w:t>轻</w:t>
      </w:r>
      <w:r>
        <w:rPr>
          <w:rFonts w:hint="eastAsia" w:ascii="宋体" w:hAnsi="宋体" w:eastAsia="宋体" w:cs="宋体"/>
          <w:b w:val="0"/>
          <w:bCs w:val="0"/>
          <w:color w:val="000000"/>
          <w:kern w:val="2"/>
          <w:sz w:val="28"/>
          <w:szCs w:val="28"/>
          <w:u w:val="none"/>
          <w:shd w:val="clear" w:color="auto" w:fill="auto"/>
          <w:lang w:val="en-US" w:eastAsia="zh-CN" w:bidi="ar-SA"/>
        </w:rPr>
        <w:t>度退化。</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5.5.1修复类型、对象和方式</w:t>
      </w:r>
    </w:p>
    <w:p>
      <w:pPr>
        <w:pStyle w:val="43"/>
        <w:keepNext w:val="0"/>
        <w:keepLines w:val="0"/>
        <w:pageBreakBefore w:val="0"/>
        <w:widowControl w:val="0"/>
        <w:tabs>
          <w:tab w:val="left" w:pos="7769"/>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修复类型：抚育修复。</w:t>
      </w:r>
      <w:r>
        <w:rPr>
          <w:rFonts w:hint="eastAsia" w:ascii="宋体" w:hAnsi="宋体" w:eastAsia="宋体" w:cs="宋体"/>
          <w:b w:val="0"/>
          <w:bCs w:val="0"/>
          <w:color w:val="000000"/>
          <w:kern w:val="2"/>
          <w:sz w:val="28"/>
          <w:szCs w:val="28"/>
          <w:u w:val="none"/>
          <w:shd w:val="clear" w:color="auto" w:fill="auto"/>
          <w:lang w:val="en-US" w:eastAsia="zh-CN" w:bidi="ar-SA"/>
        </w:rPr>
        <w:tab/>
      </w:r>
    </w:p>
    <w:p>
      <w:pPr>
        <w:pStyle w:val="43"/>
        <w:keepNext w:val="0"/>
        <w:keepLines w:val="0"/>
        <w:pageBreakBefore w:val="0"/>
        <w:widowControl w:val="0"/>
        <w:tabs>
          <w:tab w:val="left" w:pos="1088"/>
        </w:tabs>
        <w:kinsoku/>
        <w:wordWrap/>
        <w:overflowPunct/>
        <w:topLinePunct w:val="0"/>
        <w:autoSpaceDE/>
        <w:autoSpaceDN/>
        <w:bidi w:val="0"/>
        <w:adjustRightInd/>
        <w:snapToGrid/>
        <w:spacing w:line="360" w:lineRule="auto"/>
        <w:textAlignment w:val="auto"/>
        <w:rPr>
          <w:rFonts w:hint="eastAsia" w:cs="宋体"/>
          <w:b w:val="0"/>
          <w:bCs w:val="0"/>
          <w:color w:val="000000"/>
          <w:kern w:val="2"/>
          <w:sz w:val="28"/>
          <w:szCs w:val="28"/>
          <w:highlight w:val="yellow"/>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b w:val="0"/>
          <w:bCs w:val="0"/>
          <w:color w:val="000000"/>
          <w:kern w:val="2"/>
          <w:sz w:val="28"/>
          <w:szCs w:val="28"/>
          <w:u w:val="none"/>
          <w:shd w:val="clear" w:color="auto" w:fill="auto"/>
          <w:lang w:val="en-US" w:eastAsia="zh-CN" w:bidi="ar-SA"/>
        </w:rPr>
        <w:t>修复对象：</w:t>
      </w:r>
      <w:r>
        <w:rPr>
          <w:rFonts w:hint="eastAsia" w:ascii="宋体" w:hAnsi="宋体" w:eastAsia="宋体" w:cs="宋体"/>
          <w:b w:val="0"/>
          <w:bCs w:val="0"/>
          <w:color w:val="000000"/>
          <w:kern w:val="2"/>
          <w:sz w:val="28"/>
          <w:szCs w:val="28"/>
          <w:highlight w:val="none"/>
          <w:u w:val="none"/>
          <w:shd w:val="clear" w:color="auto" w:fill="auto"/>
          <w:lang w:val="en-US" w:eastAsia="zh-CN" w:bidi="ar-SA"/>
        </w:rPr>
        <w:t>轻度退化的特殊灌木林茶树</w:t>
      </w:r>
      <w:r>
        <w:rPr>
          <w:rFonts w:hint="eastAsia" w:cs="宋体"/>
          <w:b w:val="0"/>
          <w:bCs w:val="0"/>
          <w:color w:val="000000"/>
          <w:kern w:val="2"/>
          <w:sz w:val="28"/>
          <w:szCs w:val="28"/>
          <w:highlight w:val="none"/>
          <w:u w:val="none"/>
          <w:shd w:val="clear" w:color="auto" w:fill="auto"/>
          <w:lang w:val="en-US" w:eastAsia="zh-CN" w:bidi="ar-SA"/>
        </w:rPr>
        <w:t>和中度退化的栓皮栎林阔杂林</w:t>
      </w:r>
      <w:r>
        <w:rPr>
          <w:rFonts w:hint="eastAsia" w:ascii="宋体" w:hAnsi="宋体" w:eastAsia="宋体" w:cs="宋体"/>
          <w:b w:val="0"/>
          <w:bCs w:val="0"/>
          <w:color w:val="000000"/>
          <w:kern w:val="2"/>
          <w:sz w:val="28"/>
          <w:szCs w:val="28"/>
          <w:highlight w:val="none"/>
          <w:u w:val="none"/>
          <w:shd w:val="clear" w:color="auto" w:fill="auto"/>
          <w:lang w:val="en-US" w:eastAsia="zh-CN" w:bidi="ar-SA"/>
        </w:rPr>
        <w:t>。</w:t>
      </w:r>
    </w:p>
    <w:p>
      <w:pPr>
        <w:pStyle w:val="4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b w:val="0"/>
          <w:bCs w:val="0"/>
          <w:color w:val="000000"/>
          <w:kern w:val="2"/>
          <w:sz w:val="28"/>
          <w:szCs w:val="28"/>
          <w:u w:val="none"/>
          <w:shd w:val="clear" w:color="auto" w:fill="auto"/>
          <w:lang w:val="en-US" w:eastAsia="zh-CN" w:bidi="ar-SA"/>
        </w:rPr>
        <w:t>修复方式：补植+促进复壮</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5.5.2小班设计</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kern w:val="2"/>
          <w:sz w:val="28"/>
          <w:szCs w:val="28"/>
          <w:u w:val="none"/>
          <w:shd w:val="clear" w:color="auto" w:fill="auto"/>
          <w:lang w:val="en-US" w:eastAsia="zh-CN" w:bidi="ar-SA"/>
        </w:rPr>
        <w:t>补植造林小班：共</w:t>
      </w:r>
      <w:r>
        <w:rPr>
          <w:rFonts w:hint="eastAsia" w:cs="宋体"/>
          <w:kern w:val="2"/>
          <w:sz w:val="28"/>
          <w:szCs w:val="28"/>
          <w:u w:val="none"/>
          <w:shd w:val="clear" w:color="auto" w:fill="auto"/>
          <w:lang w:val="en-US" w:eastAsia="zh-CN" w:bidi="ar-SA"/>
        </w:rPr>
        <w:t>15</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补植面积共</w:t>
      </w:r>
      <w:r>
        <w:rPr>
          <w:rFonts w:hint="eastAsia" w:ascii="宋体" w:hAnsi="宋体" w:eastAsia="宋体" w:cs="宋体"/>
          <w:b w:val="0"/>
          <w:bCs w:val="0"/>
          <w:color w:val="000000"/>
          <w:kern w:val="2"/>
          <w:sz w:val="28"/>
          <w:szCs w:val="28"/>
          <w:u w:val="none"/>
          <w:shd w:val="clear" w:color="auto" w:fill="auto"/>
          <w:lang w:val="en-US" w:eastAsia="zh-CN" w:bidi="ar-SA"/>
        </w:rPr>
        <w:t>1574</w:t>
      </w:r>
      <w:r>
        <w:rPr>
          <w:rFonts w:hint="eastAsia" w:cs="宋体"/>
          <w:b w:val="0"/>
          <w:bCs w:val="0"/>
          <w:color w:val="000000"/>
          <w:kern w:val="2"/>
          <w:sz w:val="28"/>
          <w:szCs w:val="28"/>
          <w:u w:val="none"/>
          <w:shd w:val="clear" w:color="auto" w:fill="auto"/>
          <w:lang w:val="en-US" w:eastAsia="zh-CN" w:bidi="ar-SA"/>
        </w:rPr>
        <w:t>.0</w:t>
      </w:r>
      <w:r>
        <w:rPr>
          <w:rFonts w:hint="eastAsia" w:eastAsia="宋体" w:cs="宋体"/>
          <w:kern w:val="2"/>
          <w:sz w:val="28"/>
          <w:szCs w:val="28"/>
          <w:u w:val="none"/>
          <w:shd w:val="clear" w:color="auto" w:fill="auto"/>
          <w:lang w:val="en-US" w:eastAsia="zh-CN" w:bidi="ar-SA"/>
        </w:rPr>
        <w:t>亩</w:t>
      </w:r>
      <w:r>
        <w:rPr>
          <w:rFonts w:hint="eastAsia" w:cs="宋体"/>
          <w:kern w:val="2"/>
          <w:sz w:val="28"/>
          <w:szCs w:val="28"/>
          <w:u w:val="none"/>
          <w:shd w:val="clear" w:color="auto" w:fill="auto"/>
          <w:lang w:val="en-US" w:eastAsia="zh-CN" w:bidi="ar-SA"/>
        </w:rPr>
        <w:t>，补植树种为侧柏、</w:t>
      </w:r>
      <w:r>
        <w:rPr>
          <w:rFonts w:hint="eastAsia" w:eastAsia="宋体" w:cs="宋体"/>
          <w:kern w:val="2"/>
          <w:sz w:val="28"/>
          <w:szCs w:val="28"/>
          <w:u w:val="none"/>
          <w:shd w:val="clear" w:color="auto" w:fill="auto"/>
          <w:lang w:val="en-US" w:eastAsia="zh-CN" w:bidi="ar-SA"/>
        </w:rPr>
        <w:t>油茶</w:t>
      </w:r>
      <w:r>
        <w:rPr>
          <w:rFonts w:hint="eastAsia" w:cs="宋体"/>
          <w:kern w:val="2"/>
          <w:sz w:val="28"/>
          <w:szCs w:val="28"/>
          <w:u w:val="none"/>
          <w:shd w:val="clear" w:color="auto" w:fill="auto"/>
          <w:lang w:val="en-US" w:eastAsia="zh-CN" w:bidi="ar-SA"/>
        </w:rPr>
        <w:t>、连翘。各小班补植面积详见附表2。</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w:t>
      </w:r>
      <w:r>
        <w:rPr>
          <w:rFonts w:hint="eastAsia" w:ascii="宋体" w:hAnsi="宋体" w:eastAsia="宋体" w:cs="宋体"/>
          <w:kern w:val="2"/>
          <w:sz w:val="28"/>
          <w:szCs w:val="28"/>
          <w:u w:val="none"/>
          <w:shd w:val="clear" w:color="auto" w:fill="auto"/>
          <w:lang w:val="en-US" w:eastAsia="zh-CN" w:bidi="ar-SA"/>
        </w:rPr>
        <w:t>共</w:t>
      </w:r>
      <w:r>
        <w:rPr>
          <w:rFonts w:hint="eastAsia" w:eastAsia="宋体" w:cs="宋体"/>
          <w:kern w:val="2"/>
          <w:sz w:val="28"/>
          <w:szCs w:val="28"/>
          <w:u w:val="none"/>
          <w:shd w:val="clear" w:color="auto" w:fill="auto"/>
          <w:lang w:val="en-US" w:eastAsia="zh-CN" w:bidi="ar-SA"/>
        </w:rPr>
        <w:t>设计了</w:t>
      </w:r>
      <w:r>
        <w:rPr>
          <w:rFonts w:hint="eastAsia" w:cs="宋体"/>
          <w:kern w:val="2"/>
          <w:sz w:val="28"/>
          <w:szCs w:val="28"/>
          <w:u w:val="none"/>
          <w:shd w:val="clear" w:color="auto" w:fill="auto"/>
          <w:lang w:val="en-US" w:eastAsia="zh-CN" w:bidi="ar-SA"/>
        </w:rPr>
        <w:t>15</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，面积</w:t>
      </w:r>
      <w:r>
        <w:rPr>
          <w:rFonts w:hint="eastAsia" w:cs="宋体"/>
          <w:kern w:val="2"/>
          <w:sz w:val="28"/>
          <w:szCs w:val="28"/>
          <w:u w:val="none"/>
          <w:shd w:val="clear" w:color="auto" w:fill="auto"/>
          <w:lang w:val="en-US" w:eastAsia="zh-CN" w:bidi="ar-SA"/>
        </w:rPr>
        <w:t>626.0</w:t>
      </w:r>
      <w:r>
        <w:rPr>
          <w:rFonts w:hint="eastAsia" w:ascii="宋体" w:hAnsi="宋体" w:eastAsia="宋体" w:cs="宋体"/>
          <w:kern w:val="2"/>
          <w:sz w:val="28"/>
          <w:szCs w:val="28"/>
          <w:u w:val="none"/>
          <w:shd w:val="clear" w:color="auto" w:fill="auto"/>
          <w:lang w:val="en-US" w:eastAsia="zh-CN" w:bidi="ar-SA"/>
        </w:rPr>
        <w:t>亩</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各小班促进复</w:t>
      </w:r>
      <w:r>
        <w:rPr>
          <w:rFonts w:hint="eastAsia" w:ascii="宋体" w:hAnsi="宋体" w:eastAsia="宋体" w:cs="宋体"/>
          <w:kern w:val="2"/>
          <w:sz w:val="28"/>
          <w:szCs w:val="28"/>
          <w:u w:val="none"/>
          <w:shd w:val="clear" w:color="auto" w:fill="auto"/>
          <w:lang w:val="en-US" w:eastAsia="zh-CN" w:bidi="ar-SA"/>
        </w:rPr>
        <w:t>壮</w:t>
      </w:r>
      <w:r>
        <w:rPr>
          <w:rFonts w:hint="eastAsia" w:cs="宋体"/>
          <w:kern w:val="2"/>
          <w:sz w:val="28"/>
          <w:szCs w:val="28"/>
          <w:u w:val="none"/>
          <w:shd w:val="clear" w:color="auto" w:fill="auto"/>
          <w:lang w:val="en-US" w:eastAsia="zh-CN" w:bidi="ar-SA"/>
        </w:rPr>
        <w:t>面积详见附表2。</w:t>
      </w:r>
    </w:p>
    <w:p>
      <w:pPr>
        <w:pStyle w:val="44"/>
        <w:keepNext w:val="0"/>
        <w:keepLines w:val="0"/>
        <w:pageBreakBefore w:val="0"/>
        <w:widowControl w:val="0"/>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kern w:val="2"/>
          <w:sz w:val="28"/>
          <w:szCs w:val="28"/>
          <w:u w:val="none"/>
          <w:shd w:val="clear" w:color="auto" w:fill="auto"/>
          <w:lang w:val="en-US" w:eastAsia="zh-CN" w:bidi="ar-SA"/>
        </w:rPr>
        <w:t>检查验收：参照GB/T15776-2006标准进行验收。</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5.5.3用料设计</w:t>
      </w:r>
    </w:p>
    <w:p>
      <w:pPr>
        <w:pStyle w:val="43"/>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宋体" w:hAnsi="宋体" w:eastAsia="宋体"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w:t>
      </w: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)需苗量：经</w:t>
      </w:r>
      <w:r>
        <w:rPr>
          <w:rFonts w:hint="eastAsia" w:cs="宋体"/>
          <w:b w:val="0"/>
          <w:bCs w:val="0"/>
          <w:color w:val="000000"/>
          <w:kern w:val="2"/>
          <w:sz w:val="28"/>
          <w:szCs w:val="28"/>
          <w:u w:val="none"/>
          <w:shd w:val="clear" w:color="auto" w:fill="auto"/>
          <w:lang w:val="en-US" w:eastAsia="zh-CN" w:bidi="ar-SA"/>
        </w:rPr>
        <w:t>计</w:t>
      </w:r>
      <w:r>
        <w:rPr>
          <w:rFonts w:hint="eastAsia" w:ascii="宋体" w:hAnsi="宋体" w:eastAsia="宋体" w:cs="宋体"/>
          <w:b w:val="0"/>
          <w:bCs w:val="0"/>
          <w:color w:val="000000"/>
          <w:kern w:val="2"/>
          <w:sz w:val="28"/>
          <w:szCs w:val="28"/>
          <w:u w:val="none"/>
          <w:shd w:val="clear" w:color="auto" w:fill="auto"/>
          <w:lang w:val="en-US" w:eastAsia="zh-CN" w:bidi="ar-SA"/>
        </w:rPr>
        <w:t>算</w:t>
      </w:r>
      <w:r>
        <w:rPr>
          <w:rFonts w:hint="eastAsia" w:cs="宋体"/>
          <w:b w:val="0"/>
          <w:bCs w:val="0"/>
          <w:color w:val="000000"/>
          <w:kern w:val="2"/>
          <w:sz w:val="28"/>
          <w:szCs w:val="28"/>
          <w:u w:val="none"/>
          <w:shd w:val="clear" w:color="auto" w:fill="auto"/>
          <w:lang w:val="en-US" w:eastAsia="zh-CN" w:bidi="ar-SA"/>
        </w:rPr>
        <w:t>本修复区</w:t>
      </w:r>
      <w:r>
        <w:rPr>
          <w:rFonts w:hint="eastAsia" w:ascii="宋体" w:hAnsi="宋体" w:eastAsia="宋体" w:cs="宋体"/>
          <w:b w:val="0"/>
          <w:bCs w:val="0"/>
          <w:color w:val="000000"/>
          <w:kern w:val="2"/>
          <w:sz w:val="28"/>
          <w:szCs w:val="28"/>
          <w:u w:val="none"/>
          <w:shd w:val="clear" w:color="auto" w:fill="auto"/>
          <w:lang w:val="en-US" w:eastAsia="zh-CN" w:bidi="ar-SA"/>
        </w:rPr>
        <w:t>退化林修复</w:t>
      </w:r>
      <w:r>
        <w:rPr>
          <w:rFonts w:hint="eastAsia" w:cs="宋体"/>
          <w:b w:val="0"/>
          <w:bCs w:val="0"/>
          <w:color w:val="000000"/>
          <w:kern w:val="2"/>
          <w:sz w:val="28"/>
          <w:szCs w:val="28"/>
          <w:u w:val="none"/>
          <w:shd w:val="clear" w:color="auto" w:fill="auto"/>
          <w:lang w:val="en-US" w:eastAsia="zh-CN" w:bidi="ar-SA"/>
        </w:rPr>
        <w:t>需各类苗木87164株，其中侧柏需24860株，油茶苗木需51648株，连翘需10656株。</w:t>
      </w: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bCs/>
          <w:sz w:val="32"/>
          <w:lang w:val="en-US" w:eastAsia="zh-CN"/>
        </w:rPr>
      </w:pPr>
      <w:bookmarkStart w:id="111" w:name="_Toc11401"/>
      <w:r>
        <w:rPr>
          <w:rFonts w:hint="eastAsia" w:ascii="黑体" w:hAnsi="黑体" w:eastAsia="黑体" w:cs="黑体"/>
          <w:b/>
          <w:bCs/>
          <w:sz w:val="32"/>
          <w:lang w:val="en-US" w:eastAsia="zh-CN"/>
        </w:rPr>
        <w:t>5.6金丝峡镇梁家湾作业区</w:t>
      </w:r>
      <w:bookmarkEnd w:id="111"/>
      <w:bookmarkStart w:id="112" w:name="_Toc23669"/>
    </w:p>
    <w:p>
      <w:pPr>
        <w:pStyle w:val="43"/>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金丝峡镇梁家湾作业区位于梁家湾村丹江南岸，主要树种茶树、栓皮栎、阔杂等，</w:t>
      </w:r>
      <w:r>
        <w:rPr>
          <w:rFonts w:hint="eastAsia" w:cs="宋体"/>
          <w:b w:val="0"/>
          <w:bCs w:val="0"/>
          <w:color w:val="000000"/>
          <w:kern w:val="2"/>
          <w:sz w:val="28"/>
          <w:szCs w:val="28"/>
          <w:u w:val="none"/>
          <w:shd w:val="clear" w:color="auto" w:fill="auto"/>
          <w:lang w:val="en-US" w:eastAsia="zh-CN" w:bidi="ar-SA"/>
        </w:rPr>
        <w:t>茶树</w:t>
      </w:r>
      <w:r>
        <w:rPr>
          <w:rFonts w:hint="eastAsia" w:ascii="宋体" w:hAnsi="宋体" w:eastAsia="宋体" w:cs="宋体"/>
          <w:b w:val="0"/>
          <w:bCs w:val="0"/>
          <w:color w:val="000000"/>
          <w:kern w:val="2"/>
          <w:sz w:val="28"/>
          <w:szCs w:val="28"/>
          <w:u w:val="none"/>
          <w:shd w:val="clear" w:color="auto" w:fill="auto"/>
          <w:lang w:val="en-US" w:eastAsia="zh-CN" w:bidi="ar-SA"/>
        </w:rPr>
        <w:t>由于经营管理不善，部分林木发生病虫害，加上杂草、葛藤等生长旺盛，导致出现斑块状、群团状死亡，</w:t>
      </w:r>
      <w:r>
        <w:rPr>
          <w:rFonts w:hint="eastAsia" w:cs="宋体"/>
          <w:b w:val="0"/>
          <w:bCs w:val="0"/>
          <w:color w:val="000000"/>
          <w:kern w:val="2"/>
          <w:sz w:val="28"/>
          <w:szCs w:val="28"/>
          <w:u w:val="none"/>
          <w:shd w:val="clear" w:color="auto" w:fill="auto"/>
          <w:lang w:val="en-US" w:eastAsia="zh-CN" w:bidi="ar-SA"/>
        </w:rPr>
        <w:t>茶树</w:t>
      </w:r>
      <w:r>
        <w:rPr>
          <w:rFonts w:hint="eastAsia" w:ascii="宋体" w:hAnsi="宋体" w:eastAsia="宋体" w:cs="宋体"/>
          <w:b w:val="0"/>
          <w:bCs w:val="0"/>
          <w:color w:val="000000"/>
          <w:kern w:val="2"/>
          <w:sz w:val="28"/>
          <w:szCs w:val="28"/>
          <w:u w:val="none"/>
          <w:shd w:val="clear" w:color="auto" w:fill="auto"/>
          <w:lang w:val="en-US" w:eastAsia="zh-CN" w:bidi="ar-SA"/>
        </w:rPr>
        <w:t>和林中形成不规则块状空地，退化等级属于</w:t>
      </w:r>
      <w:r>
        <w:rPr>
          <w:rFonts w:hint="eastAsia" w:cs="宋体"/>
          <w:b w:val="0"/>
          <w:bCs w:val="0"/>
          <w:color w:val="000000"/>
          <w:kern w:val="2"/>
          <w:sz w:val="28"/>
          <w:szCs w:val="28"/>
          <w:u w:val="none"/>
          <w:shd w:val="clear" w:color="auto" w:fill="auto"/>
          <w:lang w:val="en-US" w:eastAsia="zh-CN" w:bidi="ar-SA"/>
        </w:rPr>
        <w:t>轻</w:t>
      </w:r>
      <w:r>
        <w:rPr>
          <w:rFonts w:hint="eastAsia" w:ascii="宋体" w:hAnsi="宋体" w:eastAsia="宋体" w:cs="宋体"/>
          <w:b w:val="0"/>
          <w:bCs w:val="0"/>
          <w:color w:val="000000"/>
          <w:kern w:val="2"/>
          <w:sz w:val="28"/>
          <w:szCs w:val="28"/>
          <w:u w:val="none"/>
          <w:shd w:val="clear" w:color="auto" w:fill="auto"/>
          <w:lang w:val="en-US" w:eastAsia="zh-CN" w:bidi="ar-SA"/>
        </w:rPr>
        <w:t>度退化</w:t>
      </w:r>
      <w:r>
        <w:rPr>
          <w:rFonts w:hint="eastAsia" w:cs="宋体"/>
          <w:b w:val="0"/>
          <w:bCs w:val="0"/>
          <w:color w:val="000000"/>
          <w:kern w:val="2"/>
          <w:sz w:val="28"/>
          <w:szCs w:val="28"/>
          <w:u w:val="none"/>
          <w:shd w:val="clear" w:color="auto" w:fill="auto"/>
          <w:lang w:val="en-US" w:eastAsia="zh-CN" w:bidi="ar-SA"/>
        </w:rPr>
        <w:t>，</w:t>
      </w:r>
      <w:r>
        <w:rPr>
          <w:rFonts w:hint="eastAsia" w:ascii="宋体" w:hAnsi="宋体" w:eastAsia="宋体" w:cs="宋体"/>
          <w:b w:val="0"/>
          <w:bCs w:val="0"/>
          <w:color w:val="000000"/>
          <w:kern w:val="2"/>
          <w:sz w:val="28"/>
          <w:szCs w:val="28"/>
          <w:u w:val="none"/>
          <w:shd w:val="clear" w:color="auto" w:fill="auto"/>
          <w:lang w:val="en-US" w:eastAsia="zh-CN" w:bidi="ar-SA"/>
        </w:rPr>
        <w:t>栓皮栎、阔杂退化等级属于</w:t>
      </w:r>
      <w:r>
        <w:rPr>
          <w:rFonts w:hint="eastAsia" w:cs="宋体"/>
          <w:b w:val="0"/>
          <w:bCs w:val="0"/>
          <w:color w:val="000000"/>
          <w:kern w:val="2"/>
          <w:sz w:val="28"/>
          <w:szCs w:val="28"/>
          <w:u w:val="none"/>
          <w:shd w:val="clear" w:color="auto" w:fill="auto"/>
          <w:lang w:val="en-US" w:eastAsia="zh-CN" w:bidi="ar-SA"/>
        </w:rPr>
        <w:t>中</w:t>
      </w:r>
      <w:r>
        <w:rPr>
          <w:rFonts w:hint="eastAsia" w:ascii="宋体" w:hAnsi="宋体" w:eastAsia="宋体" w:cs="宋体"/>
          <w:b w:val="0"/>
          <w:bCs w:val="0"/>
          <w:color w:val="000000"/>
          <w:kern w:val="2"/>
          <w:sz w:val="28"/>
          <w:szCs w:val="28"/>
          <w:u w:val="none"/>
          <w:shd w:val="clear" w:color="auto" w:fill="auto"/>
          <w:lang w:val="en-US" w:eastAsia="zh-CN" w:bidi="ar-SA"/>
        </w:rPr>
        <w:t>度退化。</w:t>
      </w:r>
      <w:bookmarkEnd w:id="112"/>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5.6.1修复类型、对象和方式</w:t>
      </w:r>
    </w:p>
    <w:p>
      <w:pPr>
        <w:pStyle w:val="43"/>
        <w:keepNext w:val="0"/>
        <w:keepLines w:val="0"/>
        <w:pageBreakBefore w:val="0"/>
        <w:widowControl w:val="0"/>
        <w:tabs>
          <w:tab w:val="left" w:pos="7769"/>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修复类型：抚育修复。</w:t>
      </w:r>
      <w:r>
        <w:rPr>
          <w:rFonts w:hint="eastAsia" w:ascii="宋体" w:hAnsi="宋体" w:eastAsia="宋体" w:cs="宋体"/>
          <w:b w:val="0"/>
          <w:bCs w:val="0"/>
          <w:color w:val="000000"/>
          <w:kern w:val="2"/>
          <w:sz w:val="28"/>
          <w:szCs w:val="28"/>
          <w:u w:val="none"/>
          <w:shd w:val="clear" w:color="auto" w:fill="auto"/>
          <w:lang w:val="en-US" w:eastAsia="zh-CN" w:bidi="ar-SA"/>
        </w:rPr>
        <w:tab/>
      </w:r>
    </w:p>
    <w:p>
      <w:pPr>
        <w:pStyle w:val="43"/>
        <w:keepNext w:val="0"/>
        <w:keepLines w:val="0"/>
        <w:pageBreakBefore w:val="0"/>
        <w:widowControl w:val="0"/>
        <w:tabs>
          <w:tab w:val="left" w:pos="1088"/>
        </w:tabs>
        <w:kinsoku/>
        <w:wordWrap/>
        <w:overflowPunct/>
        <w:topLinePunct w:val="0"/>
        <w:autoSpaceDE/>
        <w:autoSpaceDN/>
        <w:bidi w:val="0"/>
        <w:adjustRightInd/>
        <w:snapToGrid/>
        <w:spacing w:line="360" w:lineRule="auto"/>
        <w:textAlignment w:val="auto"/>
        <w:rPr>
          <w:rFonts w:hint="eastAsia"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b w:val="0"/>
          <w:bCs w:val="0"/>
          <w:color w:val="000000"/>
          <w:kern w:val="2"/>
          <w:sz w:val="28"/>
          <w:szCs w:val="28"/>
          <w:u w:val="none"/>
          <w:shd w:val="clear" w:color="auto" w:fill="auto"/>
          <w:lang w:val="en-US" w:eastAsia="zh-CN" w:bidi="ar-SA"/>
        </w:rPr>
        <w:t>修复对象：轻度退化的特殊灌木林茶树</w:t>
      </w:r>
      <w:r>
        <w:rPr>
          <w:rFonts w:hint="eastAsia" w:cs="宋体"/>
          <w:b w:val="0"/>
          <w:bCs w:val="0"/>
          <w:color w:val="000000"/>
          <w:kern w:val="2"/>
          <w:sz w:val="28"/>
          <w:szCs w:val="28"/>
          <w:u w:val="none"/>
          <w:shd w:val="clear" w:color="auto" w:fill="auto"/>
          <w:lang w:val="en-US" w:eastAsia="zh-CN" w:bidi="ar-SA"/>
        </w:rPr>
        <w:t>和中度退化的栓皮栎林阔杂林</w:t>
      </w:r>
      <w:r>
        <w:rPr>
          <w:rFonts w:hint="eastAsia" w:ascii="宋体" w:hAnsi="宋体" w:eastAsia="宋体" w:cs="宋体"/>
          <w:b w:val="0"/>
          <w:bCs w:val="0"/>
          <w:color w:val="000000"/>
          <w:kern w:val="2"/>
          <w:sz w:val="28"/>
          <w:szCs w:val="28"/>
          <w:u w:val="none"/>
          <w:shd w:val="clear" w:color="auto" w:fill="auto"/>
          <w:lang w:val="en-US" w:eastAsia="zh-CN" w:bidi="ar-SA"/>
        </w:rPr>
        <w:t>。</w:t>
      </w:r>
    </w:p>
    <w:p>
      <w:pPr>
        <w:pStyle w:val="4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b w:val="0"/>
          <w:bCs w:val="0"/>
          <w:color w:val="000000"/>
          <w:kern w:val="2"/>
          <w:sz w:val="28"/>
          <w:szCs w:val="28"/>
          <w:u w:val="none"/>
          <w:shd w:val="clear" w:color="auto" w:fill="auto"/>
          <w:lang w:val="en-US" w:eastAsia="zh-CN" w:bidi="ar-SA"/>
        </w:rPr>
        <w:t>修复方式：补植+促进复壮</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5.6.2小班设计</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kern w:val="2"/>
          <w:sz w:val="28"/>
          <w:szCs w:val="28"/>
          <w:u w:val="none"/>
          <w:shd w:val="clear" w:color="auto" w:fill="auto"/>
          <w:lang w:val="en-US" w:eastAsia="zh-CN" w:bidi="ar-SA"/>
        </w:rPr>
        <w:t>补植造林小班：共</w:t>
      </w:r>
      <w:r>
        <w:rPr>
          <w:rFonts w:hint="eastAsia" w:cs="宋体"/>
          <w:kern w:val="2"/>
          <w:sz w:val="28"/>
          <w:szCs w:val="28"/>
          <w:u w:val="none"/>
          <w:shd w:val="clear" w:color="auto" w:fill="auto"/>
          <w:lang w:val="en-US" w:eastAsia="zh-CN" w:bidi="ar-SA"/>
        </w:rPr>
        <w:t>4</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补植面积共</w:t>
      </w:r>
      <w:r>
        <w:rPr>
          <w:rFonts w:hint="eastAsia" w:ascii="宋体" w:hAnsi="宋体" w:eastAsia="宋体" w:cs="宋体"/>
          <w:b w:val="0"/>
          <w:bCs w:val="0"/>
          <w:color w:val="000000"/>
          <w:kern w:val="2"/>
          <w:sz w:val="28"/>
          <w:szCs w:val="28"/>
          <w:u w:val="none"/>
          <w:shd w:val="clear" w:color="auto" w:fill="auto"/>
          <w:lang w:val="en-US" w:eastAsia="zh-CN" w:bidi="ar-SA"/>
        </w:rPr>
        <w:t>724</w:t>
      </w:r>
      <w:r>
        <w:rPr>
          <w:rFonts w:hint="eastAsia" w:cs="宋体"/>
          <w:b w:val="0"/>
          <w:bCs w:val="0"/>
          <w:color w:val="000000"/>
          <w:kern w:val="2"/>
          <w:sz w:val="28"/>
          <w:szCs w:val="28"/>
          <w:u w:val="none"/>
          <w:shd w:val="clear" w:color="auto" w:fill="auto"/>
          <w:lang w:val="en-US" w:eastAsia="zh-CN" w:bidi="ar-SA"/>
        </w:rPr>
        <w:t>.0</w:t>
      </w:r>
      <w:r>
        <w:rPr>
          <w:rFonts w:hint="eastAsia" w:eastAsia="宋体" w:cs="宋体"/>
          <w:kern w:val="2"/>
          <w:sz w:val="28"/>
          <w:szCs w:val="28"/>
          <w:u w:val="none"/>
          <w:shd w:val="clear" w:color="auto" w:fill="auto"/>
          <w:lang w:val="en-US" w:eastAsia="zh-CN" w:bidi="ar-SA"/>
        </w:rPr>
        <w:t>亩</w:t>
      </w:r>
      <w:r>
        <w:rPr>
          <w:rFonts w:hint="eastAsia" w:cs="宋体"/>
          <w:kern w:val="2"/>
          <w:sz w:val="28"/>
          <w:szCs w:val="28"/>
          <w:u w:val="none"/>
          <w:shd w:val="clear" w:color="auto" w:fill="auto"/>
          <w:lang w:val="en-US" w:eastAsia="zh-CN" w:bidi="ar-SA"/>
        </w:rPr>
        <w:t>，补植树种为侧柏、</w:t>
      </w:r>
      <w:r>
        <w:rPr>
          <w:rFonts w:hint="eastAsia" w:eastAsia="宋体" w:cs="宋体"/>
          <w:kern w:val="2"/>
          <w:sz w:val="28"/>
          <w:szCs w:val="28"/>
          <w:u w:val="none"/>
          <w:shd w:val="clear" w:color="auto" w:fill="auto"/>
          <w:lang w:val="en-US" w:eastAsia="zh-CN" w:bidi="ar-SA"/>
        </w:rPr>
        <w:t>油茶</w:t>
      </w:r>
      <w:r>
        <w:rPr>
          <w:rFonts w:hint="eastAsia" w:cs="宋体"/>
          <w:kern w:val="2"/>
          <w:sz w:val="28"/>
          <w:szCs w:val="28"/>
          <w:u w:val="none"/>
          <w:shd w:val="clear" w:color="auto" w:fill="auto"/>
          <w:lang w:val="en-US" w:eastAsia="zh-CN" w:bidi="ar-SA"/>
        </w:rPr>
        <w:t>、连翘。各小班补植面积详见附表2。</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w:t>
      </w:r>
      <w:r>
        <w:rPr>
          <w:rFonts w:hint="eastAsia" w:ascii="宋体" w:hAnsi="宋体" w:eastAsia="宋体" w:cs="宋体"/>
          <w:kern w:val="2"/>
          <w:sz w:val="28"/>
          <w:szCs w:val="28"/>
          <w:u w:val="none"/>
          <w:shd w:val="clear" w:color="auto" w:fill="auto"/>
          <w:lang w:val="en-US" w:eastAsia="zh-CN" w:bidi="ar-SA"/>
        </w:rPr>
        <w:t>共</w:t>
      </w:r>
      <w:r>
        <w:rPr>
          <w:rFonts w:hint="eastAsia" w:eastAsia="宋体" w:cs="宋体"/>
          <w:kern w:val="2"/>
          <w:sz w:val="28"/>
          <w:szCs w:val="28"/>
          <w:u w:val="none"/>
          <w:shd w:val="clear" w:color="auto" w:fill="auto"/>
          <w:lang w:val="en-US" w:eastAsia="zh-CN" w:bidi="ar-SA"/>
        </w:rPr>
        <w:t>设计了</w:t>
      </w:r>
      <w:r>
        <w:rPr>
          <w:rFonts w:hint="eastAsia" w:cs="宋体"/>
          <w:kern w:val="2"/>
          <w:sz w:val="28"/>
          <w:szCs w:val="28"/>
          <w:u w:val="none"/>
          <w:shd w:val="clear" w:color="auto" w:fill="auto"/>
          <w:lang w:val="en-US" w:eastAsia="zh-CN" w:bidi="ar-SA"/>
        </w:rPr>
        <w:t>4</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，面积</w:t>
      </w:r>
      <w:r>
        <w:rPr>
          <w:rFonts w:hint="eastAsia" w:ascii="宋体" w:hAnsi="宋体" w:eastAsia="宋体" w:cs="宋体"/>
          <w:sz w:val="28"/>
          <w:szCs w:val="28"/>
          <w:lang w:val="en-US" w:eastAsia="zh-CN"/>
        </w:rPr>
        <w:t>276.0</w:t>
      </w:r>
      <w:r>
        <w:rPr>
          <w:rFonts w:hint="eastAsia" w:ascii="宋体" w:hAnsi="宋体" w:eastAsia="宋体" w:cs="宋体"/>
          <w:kern w:val="2"/>
          <w:sz w:val="28"/>
          <w:szCs w:val="28"/>
          <w:u w:val="none"/>
          <w:shd w:val="clear" w:color="auto" w:fill="auto"/>
          <w:lang w:val="en-US" w:eastAsia="zh-CN" w:bidi="ar-SA"/>
        </w:rPr>
        <w:t>亩</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各小班促进复</w:t>
      </w:r>
      <w:r>
        <w:rPr>
          <w:rFonts w:hint="eastAsia" w:ascii="宋体" w:hAnsi="宋体" w:eastAsia="宋体" w:cs="宋体"/>
          <w:kern w:val="2"/>
          <w:sz w:val="28"/>
          <w:szCs w:val="28"/>
          <w:u w:val="none"/>
          <w:shd w:val="clear" w:color="auto" w:fill="auto"/>
          <w:lang w:val="en-US" w:eastAsia="zh-CN" w:bidi="ar-SA"/>
        </w:rPr>
        <w:t>壮</w:t>
      </w:r>
      <w:r>
        <w:rPr>
          <w:rFonts w:hint="eastAsia" w:cs="宋体"/>
          <w:kern w:val="2"/>
          <w:sz w:val="28"/>
          <w:szCs w:val="28"/>
          <w:u w:val="none"/>
          <w:shd w:val="clear" w:color="auto" w:fill="auto"/>
          <w:lang w:val="en-US" w:eastAsia="zh-CN" w:bidi="ar-SA"/>
        </w:rPr>
        <w:t>面积详见附表2。</w:t>
      </w:r>
    </w:p>
    <w:p>
      <w:pPr>
        <w:pStyle w:val="44"/>
        <w:keepNext w:val="0"/>
        <w:keepLines w:val="0"/>
        <w:pageBreakBefore w:val="0"/>
        <w:widowControl w:val="0"/>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kern w:val="2"/>
          <w:sz w:val="28"/>
          <w:szCs w:val="28"/>
          <w:u w:val="none"/>
          <w:shd w:val="clear" w:color="auto" w:fill="auto"/>
          <w:lang w:val="en-US" w:eastAsia="zh-CN" w:bidi="ar-SA"/>
        </w:rPr>
        <w:t>检查验收：参照GB/T15776-2006标准进行验收。</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5.6.3用料设计</w:t>
      </w:r>
    </w:p>
    <w:p>
      <w:pPr>
        <w:pStyle w:val="43"/>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w:t>
      </w: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)需苗量：经</w:t>
      </w:r>
      <w:r>
        <w:rPr>
          <w:rFonts w:hint="eastAsia" w:cs="宋体"/>
          <w:b w:val="0"/>
          <w:bCs w:val="0"/>
          <w:color w:val="000000"/>
          <w:kern w:val="2"/>
          <w:sz w:val="28"/>
          <w:szCs w:val="28"/>
          <w:u w:val="none"/>
          <w:shd w:val="clear" w:color="auto" w:fill="auto"/>
          <w:lang w:val="en-US" w:eastAsia="zh-CN" w:bidi="ar-SA"/>
        </w:rPr>
        <w:t>计</w:t>
      </w:r>
      <w:r>
        <w:rPr>
          <w:rFonts w:hint="eastAsia" w:ascii="宋体" w:hAnsi="宋体" w:eastAsia="宋体" w:cs="宋体"/>
          <w:b w:val="0"/>
          <w:bCs w:val="0"/>
          <w:color w:val="000000"/>
          <w:kern w:val="2"/>
          <w:sz w:val="28"/>
          <w:szCs w:val="28"/>
          <w:u w:val="none"/>
          <w:shd w:val="clear" w:color="auto" w:fill="auto"/>
          <w:lang w:val="en-US" w:eastAsia="zh-CN" w:bidi="ar-SA"/>
        </w:rPr>
        <w:t>算</w:t>
      </w:r>
      <w:r>
        <w:rPr>
          <w:rFonts w:hint="eastAsia" w:cs="宋体"/>
          <w:b w:val="0"/>
          <w:bCs w:val="0"/>
          <w:color w:val="000000"/>
          <w:kern w:val="2"/>
          <w:sz w:val="28"/>
          <w:szCs w:val="28"/>
          <w:u w:val="none"/>
          <w:shd w:val="clear" w:color="auto" w:fill="auto"/>
          <w:lang w:val="en-US" w:eastAsia="zh-CN" w:bidi="ar-SA"/>
        </w:rPr>
        <w:t>本修复区</w:t>
      </w:r>
      <w:r>
        <w:rPr>
          <w:rFonts w:hint="eastAsia" w:ascii="宋体" w:hAnsi="宋体" w:eastAsia="宋体" w:cs="宋体"/>
          <w:b w:val="0"/>
          <w:bCs w:val="0"/>
          <w:color w:val="000000"/>
          <w:kern w:val="2"/>
          <w:sz w:val="28"/>
          <w:szCs w:val="28"/>
          <w:u w:val="none"/>
          <w:shd w:val="clear" w:color="auto" w:fill="auto"/>
          <w:lang w:val="en-US" w:eastAsia="zh-CN" w:bidi="ar-SA"/>
        </w:rPr>
        <w:t>退化林修复</w:t>
      </w:r>
      <w:r>
        <w:rPr>
          <w:rFonts w:hint="eastAsia" w:cs="宋体"/>
          <w:b w:val="0"/>
          <w:bCs w:val="0"/>
          <w:color w:val="000000"/>
          <w:kern w:val="2"/>
          <w:sz w:val="28"/>
          <w:szCs w:val="28"/>
          <w:u w:val="none"/>
          <w:shd w:val="clear" w:color="auto" w:fill="auto"/>
          <w:lang w:val="en-US" w:eastAsia="zh-CN" w:bidi="ar-SA"/>
        </w:rPr>
        <w:t>需各类苗木39714株，其中侧柏需13609株，油茶苗木需20272株，连翘需5833株。</w:t>
      </w: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bCs/>
          <w:sz w:val="32"/>
          <w:lang w:val="en-US" w:eastAsia="zh-CN"/>
        </w:rPr>
      </w:pPr>
      <w:bookmarkStart w:id="113" w:name="_Toc31945"/>
      <w:r>
        <w:rPr>
          <w:rFonts w:hint="eastAsia" w:ascii="黑体" w:hAnsi="黑体" w:eastAsia="黑体" w:cs="黑体"/>
          <w:b/>
          <w:bCs/>
          <w:sz w:val="32"/>
          <w:lang w:val="en-US" w:eastAsia="zh-CN"/>
        </w:rPr>
        <w:t>5.7赵川镇后川作业区</w:t>
      </w:r>
      <w:bookmarkEnd w:id="113"/>
      <w:bookmarkStart w:id="114" w:name="_Toc28075"/>
    </w:p>
    <w:p>
      <w:pPr>
        <w:pStyle w:val="43"/>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赵川镇后川作业区部分地块属于上一轮退耕还林工程范围，主要</w:t>
      </w:r>
      <w:r>
        <w:rPr>
          <w:rFonts w:hint="eastAsia" w:ascii="宋体" w:hAnsi="宋体" w:eastAsia="宋体" w:cs="宋体"/>
          <w:b w:val="0"/>
          <w:bCs w:val="0"/>
          <w:color w:val="000000"/>
          <w:kern w:val="2"/>
          <w:sz w:val="28"/>
          <w:szCs w:val="28"/>
          <w:highlight w:val="none"/>
          <w:u w:val="none"/>
          <w:shd w:val="clear" w:color="auto" w:fill="auto"/>
          <w:lang w:val="en-US" w:eastAsia="zh-CN" w:bidi="ar-SA"/>
        </w:rPr>
        <w:t>树种</w:t>
      </w:r>
      <w:r>
        <w:rPr>
          <w:rFonts w:hint="eastAsia" w:cs="宋体"/>
          <w:b w:val="0"/>
          <w:bCs w:val="0"/>
          <w:color w:val="000000"/>
          <w:kern w:val="2"/>
          <w:sz w:val="28"/>
          <w:szCs w:val="28"/>
          <w:highlight w:val="none"/>
          <w:u w:val="none"/>
          <w:shd w:val="clear" w:color="auto" w:fill="auto"/>
          <w:lang w:val="en-US" w:eastAsia="zh-CN" w:bidi="ar-SA"/>
        </w:rPr>
        <w:t>茅栗</w:t>
      </w:r>
      <w:r>
        <w:rPr>
          <w:rFonts w:hint="eastAsia" w:cs="宋体"/>
          <w:b w:val="0"/>
          <w:bCs w:val="0"/>
          <w:color w:val="000000"/>
          <w:kern w:val="2"/>
          <w:sz w:val="28"/>
          <w:szCs w:val="28"/>
          <w:u w:val="none"/>
          <w:shd w:val="clear" w:color="auto" w:fill="auto"/>
          <w:lang w:val="en-US" w:eastAsia="zh-CN" w:bidi="ar-SA"/>
        </w:rPr>
        <w:t>、</w:t>
      </w:r>
      <w:r>
        <w:rPr>
          <w:rFonts w:hint="eastAsia" w:ascii="宋体" w:hAnsi="宋体" w:eastAsia="宋体" w:cs="宋体"/>
          <w:b w:val="0"/>
          <w:bCs w:val="0"/>
          <w:color w:val="000000"/>
          <w:kern w:val="2"/>
          <w:sz w:val="28"/>
          <w:szCs w:val="28"/>
          <w:u w:val="none"/>
          <w:shd w:val="clear" w:color="auto" w:fill="auto"/>
          <w:lang w:val="en-US" w:eastAsia="zh-CN" w:bidi="ar-SA"/>
        </w:rPr>
        <w:t>阔杂，由于杂草、葛藤等生长旺盛，近年来，林内出现斑块状、群团状死亡，郁闭度下降，林木分布不均匀，林中形成不规则块状空地</w:t>
      </w:r>
      <w:r>
        <w:rPr>
          <w:rFonts w:hint="eastAsia" w:cs="宋体"/>
          <w:b w:val="0"/>
          <w:bCs w:val="0"/>
          <w:color w:val="000000"/>
          <w:kern w:val="2"/>
          <w:sz w:val="28"/>
          <w:szCs w:val="28"/>
          <w:u w:val="none"/>
          <w:shd w:val="clear" w:color="auto" w:fill="auto"/>
          <w:lang w:val="en-US" w:eastAsia="zh-CN" w:bidi="ar-SA"/>
        </w:rPr>
        <w:t>，</w:t>
      </w:r>
      <w:r>
        <w:rPr>
          <w:rFonts w:hint="eastAsia" w:ascii="宋体" w:hAnsi="宋体" w:eastAsia="宋体" w:cs="宋体"/>
          <w:b w:val="0"/>
          <w:bCs w:val="0"/>
          <w:color w:val="000000"/>
          <w:kern w:val="2"/>
          <w:sz w:val="28"/>
          <w:szCs w:val="28"/>
          <w:u w:val="none"/>
          <w:shd w:val="clear" w:color="auto" w:fill="auto"/>
          <w:lang w:val="en-US" w:eastAsia="zh-CN" w:bidi="ar-SA"/>
        </w:rPr>
        <w:t>退化等级属于中度退化。</w:t>
      </w:r>
      <w:bookmarkEnd w:id="114"/>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5.7.1修复类型、对象和方式</w:t>
      </w:r>
    </w:p>
    <w:p>
      <w:pPr>
        <w:pStyle w:val="43"/>
        <w:keepNext w:val="0"/>
        <w:keepLines w:val="0"/>
        <w:pageBreakBefore w:val="0"/>
        <w:widowControl w:val="0"/>
        <w:tabs>
          <w:tab w:val="left" w:pos="7769"/>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修复类型：抚育修复。</w:t>
      </w:r>
      <w:r>
        <w:rPr>
          <w:rFonts w:hint="eastAsia" w:ascii="宋体" w:hAnsi="宋体" w:eastAsia="宋体" w:cs="宋体"/>
          <w:b w:val="0"/>
          <w:bCs w:val="0"/>
          <w:color w:val="000000"/>
          <w:kern w:val="2"/>
          <w:sz w:val="28"/>
          <w:szCs w:val="28"/>
          <w:u w:val="none"/>
          <w:shd w:val="clear" w:color="auto" w:fill="auto"/>
          <w:lang w:val="en-US" w:eastAsia="zh-CN" w:bidi="ar-SA"/>
        </w:rPr>
        <w:tab/>
      </w:r>
    </w:p>
    <w:p>
      <w:pPr>
        <w:pStyle w:val="43"/>
        <w:keepNext w:val="0"/>
        <w:keepLines w:val="0"/>
        <w:pageBreakBefore w:val="0"/>
        <w:widowControl w:val="0"/>
        <w:tabs>
          <w:tab w:val="left" w:pos="1088"/>
        </w:tabs>
        <w:kinsoku/>
        <w:wordWrap/>
        <w:overflowPunct/>
        <w:topLinePunct w:val="0"/>
        <w:autoSpaceDE/>
        <w:autoSpaceDN/>
        <w:bidi w:val="0"/>
        <w:adjustRightInd/>
        <w:snapToGrid/>
        <w:spacing w:line="360" w:lineRule="auto"/>
        <w:ind w:left="0" w:leftChars="0" w:firstLine="560" w:firstLineChars="200"/>
        <w:textAlignment w:val="auto"/>
        <w:rPr>
          <w:rFonts w:hint="eastAsia"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b w:val="0"/>
          <w:bCs w:val="0"/>
          <w:color w:val="000000"/>
          <w:kern w:val="2"/>
          <w:sz w:val="28"/>
          <w:szCs w:val="28"/>
          <w:u w:val="none"/>
          <w:shd w:val="clear" w:color="auto" w:fill="auto"/>
          <w:lang w:val="en-US" w:eastAsia="zh-CN" w:bidi="ar-SA"/>
        </w:rPr>
        <w:t>修复对象：</w:t>
      </w:r>
      <w:r>
        <w:rPr>
          <w:rFonts w:hint="eastAsia" w:cs="宋体"/>
          <w:b w:val="0"/>
          <w:bCs w:val="0"/>
          <w:color w:val="000000"/>
          <w:sz w:val="28"/>
          <w:szCs w:val="28"/>
          <w:lang w:val="en-US" w:eastAsia="zh-CN"/>
        </w:rPr>
        <w:t>中</w:t>
      </w:r>
      <w:r>
        <w:rPr>
          <w:rFonts w:hint="eastAsia" w:ascii="宋体" w:hAnsi="宋体" w:eastAsia="宋体" w:cs="宋体"/>
          <w:b w:val="0"/>
          <w:bCs w:val="0"/>
          <w:color w:val="000000"/>
          <w:sz w:val="28"/>
          <w:szCs w:val="28"/>
          <w:lang w:val="en-US" w:eastAsia="zh-CN"/>
        </w:rPr>
        <w:t>度退化</w:t>
      </w:r>
      <w:r>
        <w:rPr>
          <w:rFonts w:hint="eastAsia" w:cs="宋体"/>
          <w:b w:val="0"/>
          <w:bCs w:val="0"/>
          <w:color w:val="000000"/>
          <w:sz w:val="28"/>
          <w:szCs w:val="28"/>
          <w:lang w:val="en-US" w:eastAsia="zh-CN"/>
        </w:rPr>
        <w:t>的</w:t>
      </w:r>
      <w:r>
        <w:rPr>
          <w:rFonts w:hint="eastAsia" w:cs="宋体"/>
          <w:b w:val="0"/>
          <w:bCs w:val="0"/>
          <w:color w:val="000000"/>
          <w:sz w:val="28"/>
          <w:szCs w:val="28"/>
          <w:highlight w:val="none"/>
          <w:lang w:val="en-US" w:eastAsia="zh-CN"/>
        </w:rPr>
        <w:t>茅栗阔杂</w:t>
      </w:r>
      <w:r>
        <w:rPr>
          <w:rFonts w:hint="eastAsia" w:cs="宋体"/>
          <w:b w:val="0"/>
          <w:bCs w:val="0"/>
          <w:color w:val="000000"/>
          <w:sz w:val="28"/>
          <w:szCs w:val="28"/>
          <w:lang w:val="en-US" w:eastAsia="zh-CN"/>
        </w:rPr>
        <w:t>林</w:t>
      </w:r>
      <w:r>
        <w:rPr>
          <w:rFonts w:hint="eastAsia" w:cs="宋体"/>
          <w:b w:val="0"/>
          <w:bCs w:val="0"/>
          <w:color w:val="000000"/>
          <w:kern w:val="2"/>
          <w:sz w:val="28"/>
          <w:szCs w:val="28"/>
          <w:u w:val="none"/>
          <w:shd w:val="clear" w:color="auto" w:fill="auto"/>
          <w:lang w:val="en-US" w:eastAsia="zh-CN" w:bidi="ar-SA"/>
        </w:rPr>
        <w:t>。</w:t>
      </w:r>
    </w:p>
    <w:p>
      <w:pPr>
        <w:pStyle w:val="43"/>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b w:val="0"/>
          <w:bCs w:val="0"/>
          <w:color w:val="000000"/>
          <w:kern w:val="2"/>
          <w:sz w:val="28"/>
          <w:szCs w:val="28"/>
          <w:u w:val="none"/>
          <w:shd w:val="clear" w:color="auto" w:fill="auto"/>
          <w:lang w:val="en-US" w:eastAsia="zh-CN" w:bidi="ar-SA"/>
        </w:rPr>
        <w:t>修复方式：补植+促进复壮</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5.7.2小班设计</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kern w:val="2"/>
          <w:sz w:val="28"/>
          <w:szCs w:val="28"/>
          <w:u w:val="none"/>
          <w:shd w:val="clear" w:color="auto" w:fill="auto"/>
          <w:lang w:val="en-US" w:eastAsia="zh-CN" w:bidi="ar-SA"/>
        </w:rPr>
        <w:t>补植造林小班：共</w:t>
      </w:r>
      <w:r>
        <w:rPr>
          <w:rFonts w:hint="eastAsia" w:cs="宋体"/>
          <w:kern w:val="2"/>
          <w:sz w:val="28"/>
          <w:szCs w:val="28"/>
          <w:u w:val="none"/>
          <w:shd w:val="clear" w:color="auto" w:fill="auto"/>
          <w:lang w:val="en-US" w:eastAsia="zh-CN" w:bidi="ar-SA"/>
        </w:rPr>
        <w:t>15</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补植面积共</w:t>
      </w:r>
      <w:r>
        <w:rPr>
          <w:rFonts w:hint="eastAsia" w:ascii="宋体" w:hAnsi="宋体" w:eastAsia="宋体" w:cs="宋体"/>
          <w:b w:val="0"/>
          <w:bCs w:val="0"/>
          <w:color w:val="000000"/>
          <w:kern w:val="2"/>
          <w:sz w:val="28"/>
          <w:szCs w:val="28"/>
          <w:u w:val="none"/>
          <w:shd w:val="clear" w:color="auto" w:fill="auto"/>
          <w:lang w:val="en-US" w:eastAsia="zh-CN" w:bidi="ar-SA"/>
        </w:rPr>
        <w:t>2060.7</w:t>
      </w:r>
      <w:r>
        <w:rPr>
          <w:rFonts w:hint="eastAsia" w:eastAsia="宋体" w:cs="宋体"/>
          <w:kern w:val="2"/>
          <w:sz w:val="28"/>
          <w:szCs w:val="28"/>
          <w:u w:val="none"/>
          <w:shd w:val="clear" w:color="auto" w:fill="auto"/>
          <w:lang w:val="en-US" w:eastAsia="zh-CN" w:bidi="ar-SA"/>
        </w:rPr>
        <w:t>亩</w:t>
      </w:r>
      <w:r>
        <w:rPr>
          <w:rFonts w:hint="eastAsia" w:cs="宋体"/>
          <w:kern w:val="2"/>
          <w:sz w:val="28"/>
          <w:szCs w:val="28"/>
          <w:u w:val="none"/>
          <w:shd w:val="clear" w:color="auto" w:fill="auto"/>
          <w:lang w:val="en-US" w:eastAsia="zh-CN" w:bidi="ar-SA"/>
        </w:rPr>
        <w:t>，补植树种为侧柏、连翘。各小班补植面积详见附表2。</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w:t>
      </w:r>
      <w:r>
        <w:rPr>
          <w:rFonts w:hint="eastAsia" w:ascii="宋体" w:hAnsi="宋体" w:eastAsia="宋体" w:cs="宋体"/>
          <w:kern w:val="2"/>
          <w:sz w:val="28"/>
          <w:szCs w:val="28"/>
          <w:u w:val="none"/>
          <w:shd w:val="clear" w:color="auto" w:fill="auto"/>
          <w:lang w:val="en-US" w:eastAsia="zh-CN" w:bidi="ar-SA"/>
        </w:rPr>
        <w:t>共</w:t>
      </w:r>
      <w:r>
        <w:rPr>
          <w:rFonts w:hint="eastAsia" w:eastAsia="宋体" w:cs="宋体"/>
          <w:kern w:val="2"/>
          <w:sz w:val="28"/>
          <w:szCs w:val="28"/>
          <w:u w:val="none"/>
          <w:shd w:val="clear" w:color="auto" w:fill="auto"/>
          <w:lang w:val="en-US" w:eastAsia="zh-CN" w:bidi="ar-SA"/>
        </w:rPr>
        <w:t>设计了</w:t>
      </w:r>
      <w:r>
        <w:rPr>
          <w:rFonts w:hint="eastAsia" w:cs="宋体"/>
          <w:kern w:val="2"/>
          <w:sz w:val="28"/>
          <w:szCs w:val="28"/>
          <w:u w:val="none"/>
          <w:shd w:val="clear" w:color="auto" w:fill="auto"/>
          <w:lang w:val="en-US" w:eastAsia="zh-CN" w:bidi="ar-SA"/>
        </w:rPr>
        <w:t>15</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，面积</w:t>
      </w:r>
      <w:r>
        <w:rPr>
          <w:rFonts w:hint="eastAsia" w:ascii="宋体" w:hAnsi="宋体" w:eastAsia="宋体" w:cs="宋体"/>
          <w:sz w:val="28"/>
          <w:szCs w:val="28"/>
          <w:lang w:val="en-US" w:eastAsia="zh-CN"/>
        </w:rPr>
        <w:t>809.3</w:t>
      </w:r>
      <w:r>
        <w:rPr>
          <w:rFonts w:hint="eastAsia" w:ascii="宋体" w:hAnsi="宋体" w:eastAsia="宋体" w:cs="宋体"/>
          <w:kern w:val="2"/>
          <w:sz w:val="28"/>
          <w:szCs w:val="28"/>
          <w:u w:val="none"/>
          <w:shd w:val="clear" w:color="auto" w:fill="auto"/>
          <w:lang w:val="en-US" w:eastAsia="zh-CN" w:bidi="ar-SA"/>
        </w:rPr>
        <w:t>亩</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各小班促进复</w:t>
      </w:r>
      <w:r>
        <w:rPr>
          <w:rFonts w:hint="eastAsia" w:ascii="宋体" w:hAnsi="宋体" w:eastAsia="宋体" w:cs="宋体"/>
          <w:kern w:val="2"/>
          <w:sz w:val="28"/>
          <w:szCs w:val="28"/>
          <w:u w:val="none"/>
          <w:shd w:val="clear" w:color="auto" w:fill="auto"/>
          <w:lang w:val="en-US" w:eastAsia="zh-CN" w:bidi="ar-SA"/>
        </w:rPr>
        <w:t>壮</w:t>
      </w:r>
      <w:r>
        <w:rPr>
          <w:rFonts w:hint="eastAsia" w:cs="宋体"/>
          <w:kern w:val="2"/>
          <w:sz w:val="28"/>
          <w:szCs w:val="28"/>
          <w:u w:val="none"/>
          <w:shd w:val="clear" w:color="auto" w:fill="auto"/>
          <w:lang w:val="en-US" w:eastAsia="zh-CN" w:bidi="ar-SA"/>
        </w:rPr>
        <w:t>面积详见附表2。</w:t>
      </w:r>
    </w:p>
    <w:p>
      <w:pPr>
        <w:pStyle w:val="44"/>
        <w:keepNext w:val="0"/>
        <w:keepLines w:val="0"/>
        <w:pageBreakBefore w:val="0"/>
        <w:widowControl w:val="0"/>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kern w:val="2"/>
          <w:sz w:val="28"/>
          <w:szCs w:val="28"/>
          <w:u w:val="none"/>
          <w:shd w:val="clear" w:color="auto" w:fill="auto"/>
          <w:lang w:val="en-US" w:eastAsia="zh-CN" w:bidi="ar-SA"/>
        </w:rPr>
        <w:t>检查验收：参照GB/T15776-2006标准进行验收。</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5.7.3用料设计</w:t>
      </w:r>
    </w:p>
    <w:p>
      <w:pPr>
        <w:pStyle w:val="43"/>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宋体" w:hAnsi="宋体" w:eastAsia="宋体"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w:t>
      </w: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)需苗量：经</w:t>
      </w:r>
      <w:r>
        <w:rPr>
          <w:rFonts w:hint="eastAsia" w:cs="宋体"/>
          <w:b w:val="0"/>
          <w:bCs w:val="0"/>
          <w:color w:val="000000"/>
          <w:kern w:val="2"/>
          <w:sz w:val="28"/>
          <w:szCs w:val="28"/>
          <w:u w:val="none"/>
          <w:shd w:val="clear" w:color="auto" w:fill="auto"/>
          <w:lang w:val="en-US" w:eastAsia="zh-CN" w:bidi="ar-SA"/>
        </w:rPr>
        <w:t>计</w:t>
      </w:r>
      <w:r>
        <w:rPr>
          <w:rFonts w:hint="eastAsia" w:ascii="宋体" w:hAnsi="宋体" w:eastAsia="宋体" w:cs="宋体"/>
          <w:b w:val="0"/>
          <w:bCs w:val="0"/>
          <w:color w:val="000000"/>
          <w:kern w:val="2"/>
          <w:sz w:val="28"/>
          <w:szCs w:val="28"/>
          <w:u w:val="none"/>
          <w:shd w:val="clear" w:color="auto" w:fill="auto"/>
          <w:lang w:val="en-US" w:eastAsia="zh-CN" w:bidi="ar-SA"/>
        </w:rPr>
        <w:t>算</w:t>
      </w:r>
      <w:r>
        <w:rPr>
          <w:rFonts w:hint="eastAsia" w:cs="宋体"/>
          <w:b w:val="0"/>
          <w:bCs w:val="0"/>
          <w:color w:val="000000"/>
          <w:kern w:val="2"/>
          <w:sz w:val="28"/>
          <w:szCs w:val="28"/>
          <w:u w:val="none"/>
          <w:shd w:val="clear" w:color="auto" w:fill="auto"/>
          <w:lang w:val="en-US" w:eastAsia="zh-CN" w:bidi="ar-SA"/>
        </w:rPr>
        <w:t>本修复区</w:t>
      </w:r>
      <w:r>
        <w:rPr>
          <w:rFonts w:hint="eastAsia" w:ascii="宋体" w:hAnsi="宋体" w:eastAsia="宋体" w:cs="宋体"/>
          <w:b w:val="0"/>
          <w:bCs w:val="0"/>
          <w:color w:val="000000"/>
          <w:kern w:val="2"/>
          <w:sz w:val="28"/>
          <w:szCs w:val="28"/>
          <w:u w:val="none"/>
          <w:shd w:val="clear" w:color="auto" w:fill="auto"/>
          <w:lang w:val="en-US" w:eastAsia="zh-CN" w:bidi="ar-SA"/>
        </w:rPr>
        <w:t>退化林修复</w:t>
      </w:r>
      <w:r>
        <w:rPr>
          <w:rFonts w:hint="eastAsia" w:cs="宋体"/>
          <w:b w:val="0"/>
          <w:bCs w:val="0"/>
          <w:color w:val="000000"/>
          <w:kern w:val="2"/>
          <w:sz w:val="28"/>
          <w:szCs w:val="28"/>
          <w:u w:val="none"/>
          <w:shd w:val="clear" w:color="auto" w:fill="auto"/>
          <w:lang w:val="en-US" w:eastAsia="zh-CN" w:bidi="ar-SA"/>
        </w:rPr>
        <w:t>需各类苗木107602株，其中侧柏需75322株，连翘需32280株。</w:t>
      </w: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b/>
          <w:bCs/>
          <w:sz w:val="32"/>
          <w:lang w:val="en-US" w:eastAsia="zh-CN"/>
        </w:rPr>
      </w:pPr>
      <w:bookmarkStart w:id="115" w:name="_Toc29323"/>
      <w:r>
        <w:rPr>
          <w:rFonts w:hint="eastAsia" w:ascii="黑体" w:hAnsi="黑体" w:eastAsia="黑体" w:cs="黑体"/>
          <w:b/>
          <w:bCs/>
          <w:sz w:val="32"/>
          <w:lang w:val="en-US" w:eastAsia="zh-CN"/>
        </w:rPr>
        <w:t>5.8赵川镇前川作业区</w:t>
      </w:r>
      <w:bookmarkEnd w:id="115"/>
      <w:bookmarkStart w:id="116" w:name="_Toc26029"/>
    </w:p>
    <w:p>
      <w:pPr>
        <w:pStyle w:val="43"/>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赵川镇前川作业区位于赵川镇前坡岭区域，主要树种杨树、阔杂，由于杂草、葛藤等生长旺盛，郁闭度下降，林木分布不均匀，林中形成不规则块状空地，退化等级属于中度退化。</w:t>
      </w:r>
      <w:bookmarkEnd w:id="116"/>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5.8.1修复类型、对象和方式</w:t>
      </w:r>
    </w:p>
    <w:p>
      <w:pPr>
        <w:pStyle w:val="43"/>
        <w:keepNext w:val="0"/>
        <w:keepLines w:val="0"/>
        <w:pageBreakBefore w:val="0"/>
        <w:widowControl w:val="0"/>
        <w:tabs>
          <w:tab w:val="left" w:pos="7769"/>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修复类型：抚育修复。</w:t>
      </w:r>
      <w:r>
        <w:rPr>
          <w:rFonts w:hint="eastAsia" w:ascii="宋体" w:hAnsi="宋体" w:eastAsia="宋体" w:cs="宋体"/>
          <w:b w:val="0"/>
          <w:bCs w:val="0"/>
          <w:color w:val="000000"/>
          <w:kern w:val="2"/>
          <w:sz w:val="28"/>
          <w:szCs w:val="28"/>
          <w:u w:val="none"/>
          <w:shd w:val="clear" w:color="auto" w:fill="auto"/>
          <w:lang w:val="en-US" w:eastAsia="zh-CN" w:bidi="ar-SA"/>
        </w:rPr>
        <w:tab/>
      </w:r>
    </w:p>
    <w:p>
      <w:pPr>
        <w:pStyle w:val="43"/>
        <w:keepNext w:val="0"/>
        <w:keepLines w:val="0"/>
        <w:pageBreakBefore w:val="0"/>
        <w:widowControl w:val="0"/>
        <w:tabs>
          <w:tab w:val="left" w:pos="1088"/>
        </w:tabs>
        <w:kinsoku/>
        <w:wordWrap/>
        <w:overflowPunct/>
        <w:topLinePunct w:val="0"/>
        <w:autoSpaceDE/>
        <w:autoSpaceDN/>
        <w:bidi w:val="0"/>
        <w:adjustRightInd/>
        <w:snapToGrid/>
        <w:spacing w:line="360" w:lineRule="auto"/>
        <w:ind w:left="0" w:leftChars="0" w:firstLine="560" w:firstLineChars="200"/>
        <w:textAlignment w:val="auto"/>
        <w:rPr>
          <w:rFonts w:hint="eastAsia"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b w:val="0"/>
          <w:bCs w:val="0"/>
          <w:color w:val="000000"/>
          <w:kern w:val="2"/>
          <w:sz w:val="28"/>
          <w:szCs w:val="28"/>
          <w:u w:val="none"/>
          <w:shd w:val="clear" w:color="auto" w:fill="auto"/>
          <w:lang w:val="en-US" w:eastAsia="zh-CN" w:bidi="ar-SA"/>
        </w:rPr>
        <w:t>修复对象：</w:t>
      </w:r>
      <w:r>
        <w:rPr>
          <w:rFonts w:hint="eastAsia" w:cs="宋体"/>
          <w:b w:val="0"/>
          <w:bCs w:val="0"/>
          <w:color w:val="000000"/>
          <w:sz w:val="28"/>
          <w:szCs w:val="28"/>
          <w:lang w:val="en-US" w:eastAsia="zh-CN"/>
        </w:rPr>
        <w:t>中</w:t>
      </w:r>
      <w:r>
        <w:rPr>
          <w:rFonts w:hint="eastAsia" w:ascii="宋体" w:hAnsi="宋体" w:eastAsia="宋体" w:cs="宋体"/>
          <w:b w:val="0"/>
          <w:bCs w:val="0"/>
          <w:color w:val="000000"/>
          <w:sz w:val="28"/>
          <w:szCs w:val="28"/>
          <w:lang w:val="en-US" w:eastAsia="zh-CN"/>
        </w:rPr>
        <w:t>度退化</w:t>
      </w:r>
      <w:r>
        <w:rPr>
          <w:rFonts w:hint="eastAsia" w:cs="宋体"/>
          <w:b w:val="0"/>
          <w:bCs w:val="0"/>
          <w:color w:val="000000"/>
          <w:sz w:val="28"/>
          <w:szCs w:val="28"/>
          <w:lang w:val="en-US" w:eastAsia="zh-CN"/>
        </w:rPr>
        <w:t>的杨树、茅栗林</w:t>
      </w:r>
      <w:r>
        <w:rPr>
          <w:rFonts w:hint="eastAsia" w:cs="宋体"/>
          <w:b w:val="0"/>
          <w:bCs w:val="0"/>
          <w:color w:val="000000"/>
          <w:kern w:val="2"/>
          <w:sz w:val="28"/>
          <w:szCs w:val="28"/>
          <w:u w:val="none"/>
          <w:shd w:val="clear" w:color="auto" w:fill="auto"/>
          <w:lang w:val="en-US" w:eastAsia="zh-CN" w:bidi="ar-SA"/>
        </w:rPr>
        <w:t>。</w:t>
      </w:r>
    </w:p>
    <w:p>
      <w:pPr>
        <w:pStyle w:val="43"/>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b w:val="0"/>
          <w:bCs w:val="0"/>
          <w:color w:val="000000"/>
          <w:kern w:val="2"/>
          <w:sz w:val="28"/>
          <w:szCs w:val="28"/>
          <w:u w:val="none"/>
          <w:shd w:val="clear" w:color="auto" w:fill="auto"/>
          <w:lang w:val="en-US" w:eastAsia="zh-CN" w:bidi="ar-SA"/>
        </w:rPr>
        <w:t>修复方式：补植+促进复壮</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5.8.2小班设计</w:t>
      </w:r>
    </w:p>
    <w:p>
      <w:pPr>
        <w:pageBreakBefore w:val="0"/>
        <w:kinsoku/>
        <w:wordWrap/>
        <w:overflowPunct/>
        <w:topLinePunct w:val="0"/>
        <w:bidi w:val="0"/>
        <w:snapToGrid/>
        <w:spacing w:line="360" w:lineRule="auto"/>
        <w:ind w:firstLine="560" w:firstLineChars="200"/>
        <w:rPr>
          <w:rFonts w:hint="eastAsia" w:ascii="宋体" w:hAnsi="宋体" w:eastAsia="宋体" w:cs="宋体"/>
          <w:kern w:val="2"/>
          <w:sz w:val="28"/>
          <w:szCs w:val="28"/>
          <w:u w:val="none"/>
          <w:shd w:val="clear" w:color="auto" w:fill="auto"/>
          <w:lang w:val="en-US" w:eastAsia="zh-CN" w:bidi="ar-SA"/>
        </w:rPr>
      </w:pPr>
      <w:r>
        <w:rPr>
          <w:rFonts w:hint="eastAsia" w:ascii="宋体" w:hAnsi="宋体" w:eastAsia="宋体" w:cs="宋体"/>
          <w:kern w:val="2"/>
          <w:sz w:val="28"/>
          <w:szCs w:val="28"/>
          <w:u w:val="none"/>
          <w:shd w:val="clear" w:color="auto" w:fill="auto"/>
          <w:lang w:val="en-US" w:eastAsia="zh-CN" w:bidi="ar-SA"/>
        </w:rPr>
        <w:t>补植造林小班：共10个小班,补植面积共1744.7亩。其中1、2小班设计补植大规格的香樟、桂花、樱花、连翘。其它小班补植树种为侧柏、连翘，侧柏、连翘块状混交。各小班补植面积详见附表2。</w:t>
      </w:r>
    </w:p>
    <w:p>
      <w:pPr>
        <w:pageBreakBefore w:val="0"/>
        <w:kinsoku/>
        <w:wordWrap/>
        <w:overflowPunct/>
        <w:topLinePunct w:val="0"/>
        <w:bidi w:val="0"/>
        <w:snapToGrid/>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由于1、2号小班位于</w:t>
      </w:r>
      <w:r>
        <w:rPr>
          <w:rFonts w:hint="eastAsia" w:ascii="宋体" w:hAnsi="宋体" w:cs="宋体"/>
          <w:sz w:val="28"/>
          <w:szCs w:val="28"/>
        </w:rPr>
        <w:t>赵川</w:t>
      </w:r>
      <w:r>
        <w:rPr>
          <w:rFonts w:hint="eastAsia" w:ascii="宋体" w:hAnsi="宋体" w:cs="宋体"/>
          <w:sz w:val="28"/>
          <w:szCs w:val="28"/>
          <w:lang w:eastAsia="zh-CN"/>
        </w:rPr>
        <w:t>镇</w:t>
      </w:r>
      <w:r>
        <w:rPr>
          <w:rFonts w:hint="eastAsia" w:ascii="宋体" w:hAnsi="宋体" w:cs="宋体"/>
          <w:sz w:val="28"/>
          <w:szCs w:val="28"/>
          <w:lang w:val="en-US" w:eastAsia="zh-CN"/>
        </w:rPr>
        <w:t>前坡岭，</w:t>
      </w:r>
      <w:r>
        <w:rPr>
          <w:rFonts w:hint="eastAsia" w:ascii="宋体" w:hAnsi="宋体" w:cs="宋体"/>
          <w:sz w:val="28"/>
          <w:szCs w:val="28"/>
          <w:lang w:eastAsia="zh-CN"/>
        </w:rPr>
        <w:t>前坡岭</w:t>
      </w:r>
      <w:r>
        <w:rPr>
          <w:rFonts w:hint="eastAsia" w:ascii="宋体" w:hAnsi="宋体" w:cs="宋体"/>
          <w:sz w:val="28"/>
          <w:szCs w:val="28"/>
          <w:lang w:val="zh-CN"/>
        </w:rPr>
        <w:t>位于商南县赵川镇东侧，距商南县城</w:t>
      </w:r>
      <w:r>
        <w:rPr>
          <w:rFonts w:hint="eastAsia" w:ascii="宋体" w:hAnsi="宋体" w:cs="宋体"/>
          <w:sz w:val="28"/>
          <w:szCs w:val="28"/>
          <w:lang w:val="en-US" w:eastAsia="zh-CN"/>
        </w:rPr>
        <w:t>78</w:t>
      </w:r>
      <w:r>
        <w:rPr>
          <w:rFonts w:hint="eastAsia" w:ascii="宋体" w:hAnsi="宋体" w:cs="宋体"/>
          <w:sz w:val="28"/>
          <w:szCs w:val="28"/>
          <w:lang w:val="zh-CN"/>
        </w:rPr>
        <w:t>公里，</w:t>
      </w:r>
      <w:r>
        <w:rPr>
          <w:rFonts w:hint="eastAsia" w:ascii="宋体" w:hAnsi="宋体" w:cs="宋体"/>
          <w:sz w:val="28"/>
          <w:szCs w:val="28"/>
          <w:lang w:eastAsia="zh-CN"/>
        </w:rPr>
        <w:t>是</w:t>
      </w:r>
      <w:r>
        <w:rPr>
          <w:rFonts w:hint="eastAsia" w:ascii="宋体" w:hAnsi="宋体" w:cs="宋体"/>
          <w:sz w:val="28"/>
          <w:szCs w:val="28"/>
          <w:lang w:val="zh-CN"/>
        </w:rPr>
        <w:t>商南县党员教育基地、廉政教育基地，青少年德育教育基地和爱国主义教育基地。</w:t>
      </w:r>
      <w:r>
        <w:rPr>
          <w:rFonts w:hint="eastAsia" w:ascii="宋体" w:hAnsi="宋体" w:cs="宋体"/>
          <w:sz w:val="28"/>
          <w:szCs w:val="28"/>
        </w:rPr>
        <w:t>战斗遗址在发展红色旅游过程中具有重要地位，</w:t>
      </w:r>
      <w:r>
        <w:rPr>
          <w:rFonts w:hint="eastAsia" w:ascii="宋体" w:hAnsi="宋体" w:cs="宋体"/>
          <w:sz w:val="28"/>
          <w:szCs w:val="28"/>
          <w:lang w:eastAsia="zh-CN"/>
        </w:rPr>
        <w:t>更</w:t>
      </w:r>
      <w:r>
        <w:rPr>
          <w:rFonts w:hint="eastAsia" w:ascii="宋体" w:hAnsi="宋体" w:cs="宋体"/>
          <w:sz w:val="28"/>
          <w:szCs w:val="28"/>
        </w:rPr>
        <w:t>是商南红色旅游发展的核心区。2002年10月建成前坡岭战斗英雄纪念碑，碑高19.74米，纪念场地长46米，宽7米，总占地322平方米，正前、左右方均有台阶。新的城镇规划将红色景区与绿色生态、民俗民情、山水风光结合起来预留有红色旅游休闲度假区，城镇规划为该区域预留</w:t>
      </w:r>
      <w:r>
        <w:rPr>
          <w:rFonts w:hint="eastAsia" w:ascii="宋体" w:hAnsi="宋体" w:cs="宋体"/>
          <w:sz w:val="28"/>
          <w:szCs w:val="28"/>
          <w:lang w:eastAsia="zh-CN"/>
        </w:rPr>
        <w:t>充足</w:t>
      </w:r>
      <w:r>
        <w:rPr>
          <w:rFonts w:hint="eastAsia" w:ascii="宋体" w:hAnsi="宋体" w:cs="宋体"/>
          <w:sz w:val="28"/>
          <w:szCs w:val="28"/>
        </w:rPr>
        <w:t>的旅游业用地，有很大发展空间和前景。2009年，赵川前坡岭战斗遗址被县委、县政府定为商南县廉政教育基地；2011年入选第二批全国红色旅游经典景区名录，成为商洛唯一一个纳入国</w:t>
      </w:r>
      <w:r>
        <w:rPr>
          <w:rFonts w:hint="eastAsia" w:ascii="宋体" w:hAnsi="宋体" w:cs="宋体"/>
          <w:sz w:val="28"/>
          <w:szCs w:val="28"/>
          <w:lang w:val="en-US" w:eastAsia="zh-CN"/>
        </w:rPr>
        <w:t>家</w:t>
      </w:r>
      <w:r>
        <w:rPr>
          <w:rFonts w:hint="eastAsia" w:ascii="宋体" w:hAnsi="宋体" w:cs="宋体"/>
          <w:sz w:val="28"/>
          <w:szCs w:val="28"/>
        </w:rPr>
        <w:t>红色旅游名录库的景区</w:t>
      </w:r>
      <w:r>
        <w:rPr>
          <w:rFonts w:hint="eastAsia" w:ascii="宋体" w:hAnsi="宋体" w:cs="宋体"/>
          <w:sz w:val="28"/>
          <w:szCs w:val="28"/>
          <w:lang w:eastAsia="zh-CN"/>
        </w:rPr>
        <w:t>。</w:t>
      </w:r>
      <w:r>
        <w:rPr>
          <w:rFonts w:hint="eastAsia" w:ascii="宋体" w:hAnsi="宋体" w:cs="宋体"/>
          <w:sz w:val="28"/>
          <w:szCs w:val="28"/>
          <w:lang w:val="en-US" w:eastAsia="zh-CN"/>
        </w:rPr>
        <w:t>为了通过</w:t>
      </w:r>
      <w:r>
        <w:rPr>
          <w:rFonts w:hint="eastAsia" w:ascii="宋体" w:hAnsi="宋体" w:cs="宋体"/>
          <w:sz w:val="28"/>
          <w:szCs w:val="28"/>
          <w:lang w:eastAsia="zh-CN"/>
        </w:rPr>
        <w:t>退化林生态修复项目</w:t>
      </w:r>
      <w:r>
        <w:rPr>
          <w:rFonts w:hint="eastAsia" w:ascii="宋体" w:hAnsi="宋体" w:cs="宋体"/>
          <w:sz w:val="28"/>
          <w:szCs w:val="28"/>
          <w:lang w:val="en-US" w:eastAsia="zh-CN"/>
        </w:rPr>
        <w:t>实施，进一步提升该区域景观效果，所以设计高规格桂花、香樟等树种等进行着力打造。</w:t>
      </w:r>
    </w:p>
    <w:p>
      <w:pPr>
        <w:pStyle w:val="44"/>
        <w:keepNext w:val="0"/>
        <w:keepLines w:val="0"/>
        <w:pageBreakBefore w:val="0"/>
        <w:widowControl w:val="0"/>
        <w:numPr>
          <w:ilvl w:val="0"/>
          <w:numId w:val="0"/>
        </w:numPr>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default"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(2)</w:t>
      </w:r>
      <w:r>
        <w:rPr>
          <w:rFonts w:hint="eastAsia" w:ascii="宋体" w:hAnsi="宋体" w:eastAsia="宋体" w:cs="宋体"/>
          <w:kern w:val="2"/>
          <w:sz w:val="28"/>
          <w:szCs w:val="28"/>
          <w:u w:val="none"/>
          <w:shd w:val="clear" w:color="auto" w:fill="auto"/>
          <w:lang w:val="en-US" w:eastAsia="zh-CN" w:bidi="ar-SA"/>
        </w:rPr>
        <w:t>促进复壮</w:t>
      </w:r>
      <w:r>
        <w:rPr>
          <w:rFonts w:hint="eastAsia" w:cs="宋体"/>
          <w:kern w:val="2"/>
          <w:sz w:val="28"/>
          <w:szCs w:val="28"/>
          <w:u w:val="none"/>
          <w:shd w:val="clear" w:color="auto" w:fill="auto"/>
          <w:lang w:val="en-US" w:eastAsia="zh-CN" w:bidi="ar-SA"/>
        </w:rPr>
        <w:t>:</w:t>
      </w:r>
      <w:r>
        <w:rPr>
          <w:rFonts w:hint="eastAsia" w:ascii="宋体" w:hAnsi="宋体" w:eastAsia="宋体" w:cs="宋体"/>
          <w:kern w:val="2"/>
          <w:sz w:val="28"/>
          <w:szCs w:val="28"/>
          <w:u w:val="none"/>
          <w:shd w:val="clear" w:color="auto" w:fill="auto"/>
          <w:lang w:val="en-US" w:eastAsia="zh-CN" w:bidi="ar-SA"/>
        </w:rPr>
        <w:t>共</w:t>
      </w:r>
      <w:r>
        <w:rPr>
          <w:rFonts w:hint="eastAsia" w:eastAsia="宋体" w:cs="宋体"/>
          <w:kern w:val="2"/>
          <w:sz w:val="28"/>
          <w:szCs w:val="28"/>
          <w:u w:val="none"/>
          <w:shd w:val="clear" w:color="auto" w:fill="auto"/>
          <w:lang w:val="en-US" w:eastAsia="zh-CN" w:bidi="ar-SA"/>
        </w:rPr>
        <w:t>设计了</w:t>
      </w:r>
      <w:r>
        <w:rPr>
          <w:rFonts w:hint="eastAsia" w:cs="宋体"/>
          <w:kern w:val="2"/>
          <w:sz w:val="28"/>
          <w:szCs w:val="28"/>
          <w:u w:val="none"/>
          <w:shd w:val="clear" w:color="auto" w:fill="auto"/>
          <w:lang w:val="en-US" w:eastAsia="zh-CN" w:bidi="ar-SA"/>
        </w:rPr>
        <w:t>10</w:t>
      </w:r>
      <w:r>
        <w:rPr>
          <w:rFonts w:hint="eastAsia" w:ascii="宋体" w:hAnsi="宋体" w:eastAsia="宋体" w:cs="宋体"/>
          <w:kern w:val="2"/>
          <w:sz w:val="28"/>
          <w:szCs w:val="28"/>
          <w:u w:val="none"/>
          <w:shd w:val="clear" w:color="auto" w:fill="auto"/>
          <w:lang w:val="en-US" w:eastAsia="zh-CN" w:bidi="ar-SA"/>
        </w:rPr>
        <w:t>个小班</w:t>
      </w:r>
      <w:r>
        <w:rPr>
          <w:rFonts w:hint="eastAsia" w:eastAsia="宋体" w:cs="宋体"/>
          <w:kern w:val="2"/>
          <w:sz w:val="28"/>
          <w:szCs w:val="28"/>
          <w:u w:val="none"/>
          <w:shd w:val="clear" w:color="auto" w:fill="auto"/>
          <w:lang w:val="en-US" w:eastAsia="zh-CN" w:bidi="ar-SA"/>
        </w:rPr>
        <w:t>，面积</w:t>
      </w:r>
      <w:r>
        <w:rPr>
          <w:rFonts w:hint="eastAsia" w:ascii="宋体" w:hAnsi="宋体" w:eastAsia="宋体" w:cs="宋体"/>
          <w:sz w:val="28"/>
          <w:szCs w:val="28"/>
          <w:lang w:val="en-US" w:eastAsia="zh-CN"/>
        </w:rPr>
        <w:t>695.3</w:t>
      </w:r>
      <w:r>
        <w:rPr>
          <w:rFonts w:hint="eastAsia" w:ascii="宋体" w:hAnsi="宋体" w:eastAsia="宋体" w:cs="宋体"/>
          <w:kern w:val="2"/>
          <w:sz w:val="28"/>
          <w:szCs w:val="28"/>
          <w:u w:val="none"/>
          <w:shd w:val="clear" w:color="auto" w:fill="auto"/>
          <w:lang w:val="en-US" w:eastAsia="zh-CN" w:bidi="ar-SA"/>
        </w:rPr>
        <w:t>亩</w:t>
      </w:r>
      <w:r>
        <w:rPr>
          <w:rFonts w:hint="eastAsia" w:eastAsia="宋体" w:cs="宋体"/>
          <w:kern w:val="2"/>
          <w:sz w:val="28"/>
          <w:szCs w:val="28"/>
          <w:u w:val="none"/>
          <w:shd w:val="clear" w:color="auto" w:fill="auto"/>
          <w:lang w:val="en-US" w:eastAsia="zh-CN" w:bidi="ar-SA"/>
        </w:rPr>
        <w:t>。</w:t>
      </w:r>
      <w:r>
        <w:rPr>
          <w:rFonts w:hint="eastAsia" w:cs="宋体"/>
          <w:kern w:val="2"/>
          <w:sz w:val="28"/>
          <w:szCs w:val="28"/>
          <w:u w:val="none"/>
          <w:shd w:val="clear" w:color="auto" w:fill="auto"/>
          <w:lang w:val="en-US" w:eastAsia="zh-CN" w:bidi="ar-SA"/>
        </w:rPr>
        <w:t>各小班促进复</w:t>
      </w:r>
      <w:r>
        <w:rPr>
          <w:rFonts w:hint="eastAsia" w:ascii="宋体" w:hAnsi="宋体" w:eastAsia="宋体" w:cs="宋体"/>
          <w:kern w:val="2"/>
          <w:sz w:val="28"/>
          <w:szCs w:val="28"/>
          <w:u w:val="none"/>
          <w:shd w:val="clear" w:color="auto" w:fill="auto"/>
          <w:lang w:val="en-US" w:eastAsia="zh-CN" w:bidi="ar-SA"/>
        </w:rPr>
        <w:t>壮</w:t>
      </w:r>
      <w:r>
        <w:rPr>
          <w:rFonts w:hint="eastAsia" w:cs="宋体"/>
          <w:kern w:val="2"/>
          <w:sz w:val="28"/>
          <w:szCs w:val="28"/>
          <w:u w:val="none"/>
          <w:shd w:val="clear" w:color="auto" w:fill="auto"/>
          <w:lang w:val="en-US" w:eastAsia="zh-CN" w:bidi="ar-SA"/>
        </w:rPr>
        <w:t>面积详见附表2。</w:t>
      </w:r>
    </w:p>
    <w:p>
      <w:pPr>
        <w:pStyle w:val="44"/>
        <w:keepNext w:val="0"/>
        <w:keepLines w:val="0"/>
        <w:pageBreakBefore w:val="0"/>
        <w:widowControl w:val="0"/>
        <w:tabs>
          <w:tab w:val="left" w:leader="hyphen" w:pos="1176"/>
          <w:tab w:val="left" w:pos="8623"/>
        </w:tabs>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kern w:val="2"/>
          <w:sz w:val="28"/>
          <w:szCs w:val="28"/>
          <w:u w:val="none"/>
          <w:shd w:val="clear" w:color="auto" w:fill="auto"/>
          <w:lang w:val="en-US" w:eastAsia="zh-CN" w:bidi="ar-SA"/>
        </w:rPr>
      </w:pPr>
      <w:r>
        <w:rPr>
          <w:rFonts w:hint="eastAsia" w:cs="宋体"/>
          <w:b w:val="0"/>
          <w:bCs w:val="0"/>
          <w:color w:val="000000"/>
          <w:kern w:val="2"/>
          <w:sz w:val="28"/>
          <w:szCs w:val="28"/>
          <w:u w:val="none"/>
          <w:shd w:val="clear" w:color="auto" w:fill="auto"/>
          <w:lang w:val="en-US" w:eastAsia="zh-CN" w:bidi="ar-SA"/>
        </w:rPr>
        <w:t>(3)</w:t>
      </w:r>
      <w:r>
        <w:rPr>
          <w:rFonts w:hint="eastAsia" w:ascii="宋体" w:hAnsi="宋体" w:eastAsia="宋体" w:cs="宋体"/>
          <w:kern w:val="2"/>
          <w:sz w:val="28"/>
          <w:szCs w:val="28"/>
          <w:u w:val="none"/>
          <w:shd w:val="clear" w:color="auto" w:fill="auto"/>
          <w:lang w:val="en-US" w:eastAsia="zh-CN" w:bidi="ar-SA"/>
        </w:rPr>
        <w:t>检查验收：参照GB/T15776-2006标准进行验收。</w:t>
      </w:r>
    </w:p>
    <w:p>
      <w:pPr>
        <w:pStyle w:val="7"/>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5.8.3用料设计</w:t>
      </w:r>
    </w:p>
    <w:p>
      <w:pPr>
        <w:pStyle w:val="43"/>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宋体" w:hAnsi="宋体" w:eastAsia="宋体" w:cs="宋体"/>
          <w:b w:val="0"/>
          <w:bCs w:val="0"/>
          <w:color w:val="000000"/>
          <w:kern w:val="2"/>
          <w:sz w:val="28"/>
          <w:szCs w:val="28"/>
          <w:u w:val="none"/>
          <w:shd w:val="clear" w:color="auto" w:fill="auto"/>
          <w:lang w:val="en-US" w:eastAsia="zh-CN" w:bidi="ar-SA"/>
        </w:rPr>
      </w:pPr>
      <w:r>
        <w:rPr>
          <w:rFonts w:hint="eastAsia" w:ascii="宋体" w:hAnsi="宋体" w:eastAsia="宋体" w:cs="宋体"/>
          <w:b w:val="0"/>
          <w:bCs w:val="0"/>
          <w:color w:val="000000"/>
          <w:kern w:val="2"/>
          <w:sz w:val="28"/>
          <w:szCs w:val="28"/>
          <w:u w:val="none"/>
          <w:shd w:val="clear" w:color="auto" w:fill="auto"/>
          <w:lang w:val="en-US" w:eastAsia="zh-CN" w:bidi="ar-SA"/>
        </w:rPr>
        <w:t>(</w:t>
      </w:r>
      <w:r>
        <w:rPr>
          <w:rFonts w:hint="eastAsia" w:cs="宋体"/>
          <w:b w:val="0"/>
          <w:bCs w:val="0"/>
          <w:color w:val="000000"/>
          <w:kern w:val="2"/>
          <w:sz w:val="28"/>
          <w:szCs w:val="28"/>
          <w:u w:val="none"/>
          <w:shd w:val="clear" w:color="auto" w:fill="auto"/>
          <w:lang w:val="en-US" w:eastAsia="zh-CN" w:bidi="ar-SA"/>
        </w:rPr>
        <w:t>1</w:t>
      </w:r>
      <w:r>
        <w:rPr>
          <w:rFonts w:hint="eastAsia" w:ascii="宋体" w:hAnsi="宋体" w:eastAsia="宋体" w:cs="宋体"/>
          <w:b w:val="0"/>
          <w:bCs w:val="0"/>
          <w:color w:val="000000"/>
          <w:kern w:val="2"/>
          <w:sz w:val="28"/>
          <w:szCs w:val="28"/>
          <w:u w:val="none"/>
          <w:shd w:val="clear" w:color="auto" w:fill="auto"/>
          <w:lang w:val="en-US" w:eastAsia="zh-CN" w:bidi="ar-SA"/>
        </w:rPr>
        <w:t>)需苗量：经</w:t>
      </w:r>
      <w:r>
        <w:rPr>
          <w:rFonts w:hint="eastAsia" w:cs="宋体"/>
          <w:b w:val="0"/>
          <w:bCs w:val="0"/>
          <w:color w:val="000000"/>
          <w:kern w:val="2"/>
          <w:sz w:val="28"/>
          <w:szCs w:val="28"/>
          <w:u w:val="none"/>
          <w:shd w:val="clear" w:color="auto" w:fill="auto"/>
          <w:lang w:val="en-US" w:eastAsia="zh-CN" w:bidi="ar-SA"/>
        </w:rPr>
        <w:t>计</w:t>
      </w:r>
      <w:r>
        <w:rPr>
          <w:rFonts w:hint="eastAsia" w:ascii="宋体" w:hAnsi="宋体" w:eastAsia="宋体" w:cs="宋体"/>
          <w:b w:val="0"/>
          <w:bCs w:val="0"/>
          <w:color w:val="000000"/>
          <w:kern w:val="2"/>
          <w:sz w:val="28"/>
          <w:szCs w:val="28"/>
          <w:u w:val="none"/>
          <w:shd w:val="clear" w:color="auto" w:fill="auto"/>
          <w:lang w:val="en-US" w:eastAsia="zh-CN" w:bidi="ar-SA"/>
        </w:rPr>
        <w:t>算</w:t>
      </w:r>
      <w:r>
        <w:rPr>
          <w:rFonts w:hint="eastAsia" w:cs="宋体"/>
          <w:b w:val="0"/>
          <w:bCs w:val="0"/>
          <w:color w:val="000000"/>
          <w:kern w:val="2"/>
          <w:sz w:val="28"/>
          <w:szCs w:val="28"/>
          <w:u w:val="none"/>
          <w:shd w:val="clear" w:color="auto" w:fill="auto"/>
          <w:lang w:val="en-US" w:eastAsia="zh-CN" w:bidi="ar-SA"/>
        </w:rPr>
        <w:t>本修复区</w:t>
      </w:r>
      <w:r>
        <w:rPr>
          <w:rFonts w:hint="eastAsia" w:ascii="宋体" w:hAnsi="宋体" w:eastAsia="宋体" w:cs="宋体"/>
          <w:b w:val="0"/>
          <w:bCs w:val="0"/>
          <w:color w:val="000000"/>
          <w:kern w:val="2"/>
          <w:sz w:val="28"/>
          <w:szCs w:val="28"/>
          <w:u w:val="none"/>
          <w:shd w:val="clear" w:color="auto" w:fill="auto"/>
          <w:lang w:val="en-US" w:eastAsia="zh-CN" w:bidi="ar-SA"/>
        </w:rPr>
        <w:t>退化林修复</w:t>
      </w:r>
      <w:r>
        <w:rPr>
          <w:rFonts w:hint="eastAsia" w:cs="宋体"/>
          <w:b w:val="0"/>
          <w:bCs w:val="0"/>
          <w:color w:val="000000"/>
          <w:kern w:val="2"/>
          <w:sz w:val="28"/>
          <w:szCs w:val="28"/>
          <w:u w:val="none"/>
          <w:shd w:val="clear" w:color="auto" w:fill="auto"/>
          <w:lang w:val="en-US" w:eastAsia="zh-CN" w:bidi="ar-SA"/>
        </w:rPr>
        <w:t>需各类苗木91944株，其中侧柏需55998株，连翘需21313株，香樟需2091株，桂花需1254株，樱花需2926株，紫薇需6271株，月季需2091株。各苗木规格详见下表。</w:t>
      </w:r>
    </w:p>
    <w:p>
      <w:pPr>
        <w:pageBreakBefore w:val="0"/>
        <w:kinsoku/>
        <w:wordWrap/>
        <w:overflowPunct/>
        <w:topLinePunct w:val="0"/>
        <w:bidi w:val="0"/>
        <w:snapToGrid/>
        <w:spacing w:line="360" w:lineRule="auto"/>
        <w:ind w:firstLine="560" w:firstLineChars="200"/>
        <w:jc w:val="center"/>
        <w:rPr>
          <w:rFonts w:hint="eastAsia" w:ascii="宋体" w:hAnsi="宋体" w:cs="宋体"/>
          <w:sz w:val="28"/>
          <w:szCs w:val="28"/>
        </w:rPr>
      </w:pPr>
      <w:r>
        <w:rPr>
          <w:rFonts w:hint="eastAsia" w:ascii="宋体" w:hAnsi="宋体" w:cs="宋体"/>
          <w:sz w:val="28"/>
          <w:szCs w:val="28"/>
        </w:rPr>
        <w:t>退化林修复主要造林树种苗木规格</w:t>
      </w:r>
    </w:p>
    <w:tbl>
      <w:tblPr>
        <w:tblStyle w:val="27"/>
        <w:tblW w:w="0" w:type="auto"/>
        <w:tblInd w:w="0" w:type="dxa"/>
        <w:tblLayout w:type="fixed"/>
        <w:tblCellMar>
          <w:top w:w="0" w:type="dxa"/>
          <w:left w:w="0" w:type="dxa"/>
          <w:bottom w:w="0" w:type="dxa"/>
          <w:right w:w="0" w:type="dxa"/>
        </w:tblCellMar>
      </w:tblPr>
      <w:tblGrid>
        <w:gridCol w:w="651"/>
        <w:gridCol w:w="508"/>
        <w:gridCol w:w="986"/>
        <w:gridCol w:w="662"/>
        <w:gridCol w:w="733"/>
        <w:gridCol w:w="2260"/>
        <w:gridCol w:w="3579"/>
      </w:tblGrid>
      <w:tr>
        <w:tblPrEx>
          <w:tblCellMar>
            <w:top w:w="0" w:type="dxa"/>
            <w:left w:w="0" w:type="dxa"/>
            <w:bottom w:w="0" w:type="dxa"/>
            <w:right w:w="0" w:type="dxa"/>
          </w:tblCellMar>
        </w:tblPrEx>
        <w:trPr>
          <w:trHeight w:val="320" w:hRule="atLeast"/>
          <w:tblHeader/>
        </w:trPr>
        <w:tc>
          <w:tcPr>
            <w:tcW w:w="65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树  种</w:t>
            </w:r>
          </w:p>
        </w:tc>
        <w:tc>
          <w:tcPr>
            <w:tcW w:w="50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苗龄/a</w:t>
            </w:r>
          </w:p>
        </w:tc>
        <w:tc>
          <w:tcPr>
            <w:tcW w:w="4641"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苗木规格 (</w:t>
            </w:r>
            <w:r>
              <w:rPr>
                <w:rFonts w:hint="eastAsia" w:ascii="宋体" w:hAnsi="宋体" w:eastAsia="宋体" w:cs="宋体"/>
                <w:color w:val="auto"/>
                <w:kern w:val="2"/>
                <w:sz w:val="21"/>
                <w:szCs w:val="21"/>
                <w:highlight w:val="none"/>
                <w:lang w:val="en-US" w:eastAsia="zh-CN" w:bidi="ar-SA"/>
              </w:rPr>
              <w:t>Ⅱ</w:t>
            </w:r>
            <w:r>
              <w:rPr>
                <w:rFonts w:hint="eastAsia" w:ascii="宋体" w:hAnsi="宋体" w:eastAsia="宋体" w:cs="宋体"/>
                <w:i w:val="0"/>
                <w:color w:val="000000"/>
                <w:kern w:val="0"/>
                <w:sz w:val="21"/>
                <w:szCs w:val="21"/>
                <w:u w:val="none"/>
                <w:lang w:val="en-US" w:eastAsia="zh-CN" w:bidi="ar"/>
              </w:rPr>
              <w:t>级 )</w:t>
            </w:r>
          </w:p>
        </w:tc>
        <w:tc>
          <w:tcPr>
            <w:tcW w:w="357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标准来源</w:t>
            </w:r>
          </w:p>
        </w:tc>
      </w:tr>
      <w:tr>
        <w:tblPrEx>
          <w:tblCellMar>
            <w:top w:w="0" w:type="dxa"/>
            <w:left w:w="0" w:type="dxa"/>
            <w:bottom w:w="0" w:type="dxa"/>
            <w:right w:w="0" w:type="dxa"/>
          </w:tblCellMar>
        </w:tblPrEx>
        <w:trPr>
          <w:trHeight w:val="320" w:hRule="atLeast"/>
          <w:tblHeader/>
        </w:trPr>
        <w:tc>
          <w:tcPr>
            <w:tcW w:w="65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50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土球</w:t>
            </w:r>
          </w:p>
        </w:tc>
        <w:tc>
          <w:tcPr>
            <w:tcW w:w="6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地径cm≥</w:t>
            </w:r>
          </w:p>
        </w:tc>
        <w:tc>
          <w:tcPr>
            <w:tcW w:w="7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苗高cm≥</w:t>
            </w:r>
          </w:p>
        </w:tc>
        <w:tc>
          <w:tcPr>
            <w:tcW w:w="22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根长cm≥</w:t>
            </w:r>
          </w:p>
        </w:tc>
        <w:tc>
          <w:tcPr>
            <w:tcW w:w="357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20" w:hRule="atLeast"/>
        </w:trPr>
        <w:tc>
          <w:tcPr>
            <w:tcW w:w="6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侧柏</w:t>
            </w:r>
          </w:p>
        </w:tc>
        <w:tc>
          <w:tcPr>
            <w:tcW w:w="5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容器苗</w:t>
            </w:r>
          </w:p>
        </w:tc>
        <w:tc>
          <w:tcPr>
            <w:tcW w:w="6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0.8</w:t>
            </w:r>
          </w:p>
        </w:tc>
        <w:tc>
          <w:tcPr>
            <w:tcW w:w="7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22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75≤高径比≤100</w:t>
            </w:r>
          </w:p>
        </w:tc>
        <w:tc>
          <w:tcPr>
            <w:tcW w:w="35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侧柏容器育苗技术规程LY/T2307-2014</w:t>
            </w:r>
          </w:p>
        </w:tc>
      </w:tr>
      <w:tr>
        <w:tblPrEx>
          <w:tblCellMar>
            <w:top w:w="0" w:type="dxa"/>
            <w:left w:w="0" w:type="dxa"/>
            <w:bottom w:w="0" w:type="dxa"/>
            <w:right w:w="0" w:type="dxa"/>
          </w:tblCellMar>
        </w:tblPrEx>
        <w:trPr>
          <w:trHeight w:val="320" w:hRule="atLeast"/>
        </w:trPr>
        <w:tc>
          <w:tcPr>
            <w:tcW w:w="6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油茶</w:t>
            </w:r>
          </w:p>
        </w:tc>
        <w:tc>
          <w:tcPr>
            <w:tcW w:w="5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容器苗</w:t>
            </w:r>
          </w:p>
        </w:tc>
        <w:tc>
          <w:tcPr>
            <w:tcW w:w="6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0.8</w:t>
            </w:r>
          </w:p>
        </w:tc>
        <w:tc>
          <w:tcPr>
            <w:tcW w:w="7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60</w:t>
            </w:r>
          </w:p>
        </w:tc>
        <w:tc>
          <w:tcPr>
            <w:tcW w:w="22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根球完整，侧根发达均匀，不结团</w:t>
            </w:r>
          </w:p>
        </w:tc>
        <w:tc>
          <w:tcPr>
            <w:tcW w:w="35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20" w:hRule="atLeast"/>
        </w:trPr>
        <w:tc>
          <w:tcPr>
            <w:tcW w:w="6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刺槐</w:t>
            </w:r>
          </w:p>
        </w:tc>
        <w:tc>
          <w:tcPr>
            <w:tcW w:w="5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裸根苗</w:t>
            </w:r>
          </w:p>
        </w:tc>
        <w:tc>
          <w:tcPr>
            <w:tcW w:w="6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0.8-1.2</w:t>
            </w:r>
          </w:p>
        </w:tc>
        <w:tc>
          <w:tcPr>
            <w:tcW w:w="7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5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主要造林树种苗木质量分级DB61/T378-2006</w:t>
            </w:r>
          </w:p>
        </w:tc>
      </w:tr>
      <w:tr>
        <w:tblPrEx>
          <w:tblCellMar>
            <w:top w:w="0" w:type="dxa"/>
            <w:left w:w="0" w:type="dxa"/>
            <w:bottom w:w="0" w:type="dxa"/>
            <w:right w:w="0" w:type="dxa"/>
          </w:tblCellMar>
        </w:tblPrEx>
        <w:trPr>
          <w:trHeight w:val="320" w:hRule="atLeast"/>
        </w:trPr>
        <w:tc>
          <w:tcPr>
            <w:tcW w:w="6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枇杷</w:t>
            </w:r>
          </w:p>
        </w:tc>
        <w:tc>
          <w:tcPr>
            <w:tcW w:w="5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土球&gt;30cm</w:t>
            </w:r>
          </w:p>
        </w:tc>
        <w:tc>
          <w:tcPr>
            <w:tcW w:w="6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22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35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园林绿化木本苗CJ/T24-2018</w:t>
            </w:r>
          </w:p>
        </w:tc>
      </w:tr>
      <w:tr>
        <w:tblPrEx>
          <w:tblCellMar>
            <w:top w:w="0" w:type="dxa"/>
            <w:left w:w="0" w:type="dxa"/>
            <w:bottom w:w="0" w:type="dxa"/>
            <w:right w:w="0" w:type="dxa"/>
          </w:tblCellMar>
        </w:tblPrEx>
        <w:trPr>
          <w:trHeight w:val="320" w:hRule="atLeast"/>
        </w:trPr>
        <w:tc>
          <w:tcPr>
            <w:tcW w:w="6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文冠果</w:t>
            </w:r>
          </w:p>
        </w:tc>
        <w:tc>
          <w:tcPr>
            <w:tcW w:w="5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6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0.5-0.6</w:t>
            </w:r>
          </w:p>
        </w:tc>
        <w:tc>
          <w:tcPr>
            <w:tcW w:w="7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50-70</w:t>
            </w:r>
          </w:p>
        </w:tc>
        <w:tc>
          <w:tcPr>
            <w:tcW w:w="22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侧根数5-8</w:t>
            </w:r>
          </w:p>
        </w:tc>
        <w:tc>
          <w:tcPr>
            <w:tcW w:w="35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文冠果播种育苗技术规程LY/T2785-2016</w:t>
            </w:r>
          </w:p>
        </w:tc>
      </w:tr>
      <w:tr>
        <w:tblPrEx>
          <w:tblCellMar>
            <w:top w:w="0" w:type="dxa"/>
            <w:left w:w="0" w:type="dxa"/>
            <w:bottom w:w="0" w:type="dxa"/>
            <w:right w:w="0" w:type="dxa"/>
          </w:tblCellMar>
        </w:tblPrEx>
        <w:trPr>
          <w:trHeight w:val="320" w:hRule="atLeast"/>
        </w:trPr>
        <w:tc>
          <w:tcPr>
            <w:tcW w:w="6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香樟</w:t>
            </w:r>
          </w:p>
        </w:tc>
        <w:tc>
          <w:tcPr>
            <w:tcW w:w="5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土球&gt;50cm</w:t>
            </w:r>
          </w:p>
        </w:tc>
        <w:tc>
          <w:tcPr>
            <w:tcW w:w="6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胸径6-8</w:t>
            </w:r>
          </w:p>
        </w:tc>
        <w:tc>
          <w:tcPr>
            <w:tcW w:w="7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c>
          <w:tcPr>
            <w:tcW w:w="22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冠幅</w:t>
            </w:r>
            <w:r>
              <w:rPr>
                <w:rFonts w:hint="eastAsia" w:ascii="宋体" w:hAnsi="宋体" w:eastAsia="宋体" w:cs="宋体"/>
                <w:i w:val="0"/>
                <w:color w:val="000000"/>
                <w:kern w:val="0"/>
                <w:sz w:val="21"/>
                <w:szCs w:val="21"/>
                <w:u w:val="none"/>
                <w:lang w:val="en-US" w:eastAsia="zh-CN" w:bidi="ar"/>
              </w:rPr>
              <w:t>≥200cm,分枝数≥4</w:t>
            </w:r>
          </w:p>
        </w:tc>
        <w:tc>
          <w:tcPr>
            <w:tcW w:w="35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园林绿化木本苗CJ/T24-2018</w:t>
            </w:r>
          </w:p>
        </w:tc>
      </w:tr>
      <w:tr>
        <w:tblPrEx>
          <w:tblCellMar>
            <w:top w:w="0" w:type="dxa"/>
            <w:left w:w="0" w:type="dxa"/>
            <w:bottom w:w="0" w:type="dxa"/>
            <w:right w:w="0" w:type="dxa"/>
          </w:tblCellMar>
        </w:tblPrEx>
        <w:trPr>
          <w:trHeight w:val="320" w:hRule="atLeast"/>
        </w:trPr>
        <w:tc>
          <w:tcPr>
            <w:tcW w:w="6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桂花</w:t>
            </w:r>
          </w:p>
        </w:tc>
        <w:tc>
          <w:tcPr>
            <w:tcW w:w="5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土球&gt;30cm</w:t>
            </w:r>
          </w:p>
        </w:tc>
        <w:tc>
          <w:tcPr>
            <w:tcW w:w="6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150～200</w:t>
            </w:r>
          </w:p>
        </w:tc>
        <w:tc>
          <w:tcPr>
            <w:tcW w:w="22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冠幅≥120cm，枝下高≥60</w:t>
            </w:r>
          </w:p>
        </w:tc>
        <w:tc>
          <w:tcPr>
            <w:tcW w:w="35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桂花苗木质量分级LY/T2303-2014</w:t>
            </w:r>
          </w:p>
        </w:tc>
      </w:tr>
      <w:tr>
        <w:tblPrEx>
          <w:tblCellMar>
            <w:top w:w="0" w:type="dxa"/>
            <w:left w:w="0" w:type="dxa"/>
            <w:bottom w:w="0" w:type="dxa"/>
            <w:right w:w="0" w:type="dxa"/>
          </w:tblCellMar>
        </w:tblPrEx>
        <w:trPr>
          <w:trHeight w:val="320" w:hRule="atLeast"/>
        </w:trPr>
        <w:tc>
          <w:tcPr>
            <w:tcW w:w="6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樱花</w:t>
            </w:r>
          </w:p>
        </w:tc>
        <w:tc>
          <w:tcPr>
            <w:tcW w:w="5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土球&gt;30cm</w:t>
            </w:r>
          </w:p>
        </w:tc>
        <w:tc>
          <w:tcPr>
            <w:tcW w:w="6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地径7-9</w:t>
            </w:r>
          </w:p>
        </w:tc>
        <w:tc>
          <w:tcPr>
            <w:tcW w:w="7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w:t>
            </w:r>
          </w:p>
        </w:tc>
        <w:tc>
          <w:tcPr>
            <w:tcW w:w="22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冠幅≥200cm</w:t>
            </w:r>
          </w:p>
        </w:tc>
        <w:tc>
          <w:tcPr>
            <w:tcW w:w="35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园林绿化木本苗CJ/T24-2018</w:t>
            </w:r>
          </w:p>
        </w:tc>
      </w:tr>
      <w:tr>
        <w:tblPrEx>
          <w:tblCellMar>
            <w:top w:w="0" w:type="dxa"/>
            <w:left w:w="0" w:type="dxa"/>
            <w:bottom w:w="0" w:type="dxa"/>
            <w:right w:w="0" w:type="dxa"/>
          </w:tblCellMar>
        </w:tblPrEx>
        <w:trPr>
          <w:trHeight w:val="320" w:hRule="atLeast"/>
        </w:trPr>
        <w:tc>
          <w:tcPr>
            <w:tcW w:w="6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紫薇</w:t>
            </w:r>
          </w:p>
        </w:tc>
        <w:tc>
          <w:tcPr>
            <w:tcW w:w="5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土球&gt;20cm</w:t>
            </w:r>
          </w:p>
        </w:tc>
        <w:tc>
          <w:tcPr>
            <w:tcW w:w="6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120～150</w:t>
            </w:r>
          </w:p>
        </w:tc>
        <w:tc>
          <w:tcPr>
            <w:tcW w:w="22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冠幅≥40cm，主枝数≥3</w:t>
            </w:r>
          </w:p>
        </w:tc>
        <w:tc>
          <w:tcPr>
            <w:tcW w:w="35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园林绿化木本苗CJ/T24-2018</w:t>
            </w:r>
          </w:p>
        </w:tc>
      </w:tr>
      <w:tr>
        <w:tblPrEx>
          <w:tblCellMar>
            <w:top w:w="0" w:type="dxa"/>
            <w:left w:w="0" w:type="dxa"/>
            <w:bottom w:w="0" w:type="dxa"/>
            <w:right w:w="0" w:type="dxa"/>
          </w:tblCellMar>
        </w:tblPrEx>
        <w:trPr>
          <w:trHeight w:val="320" w:hRule="atLeast"/>
        </w:trPr>
        <w:tc>
          <w:tcPr>
            <w:tcW w:w="6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连翘</w:t>
            </w:r>
          </w:p>
        </w:tc>
        <w:tc>
          <w:tcPr>
            <w:tcW w:w="50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裸根苗</w:t>
            </w:r>
          </w:p>
        </w:tc>
        <w:tc>
          <w:tcPr>
            <w:tcW w:w="6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0.4-0.5</w:t>
            </w:r>
          </w:p>
        </w:tc>
        <w:tc>
          <w:tcPr>
            <w:tcW w:w="7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30-40</w:t>
            </w:r>
          </w:p>
        </w:tc>
        <w:tc>
          <w:tcPr>
            <w:tcW w:w="22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35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主要造林树种苗木质量分级DB61/T378-2006</w:t>
            </w:r>
          </w:p>
        </w:tc>
      </w:tr>
    </w:tbl>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
      <w:pPr>
        <w:pStyle w:val="5"/>
        <w:spacing w:line="360" w:lineRule="auto"/>
        <w:jc w:val="center"/>
        <w:rPr>
          <w:rFonts w:asciiTheme="minorEastAsia" w:hAnsiTheme="minorEastAsia" w:eastAsiaTheme="minorEastAsia" w:cstheme="minorEastAsia"/>
          <w:bCs/>
          <w:sz w:val="36"/>
          <w:szCs w:val="36"/>
        </w:rPr>
      </w:pPr>
      <w:bookmarkStart w:id="117" w:name="_Toc10341"/>
      <w:r>
        <w:rPr>
          <w:rFonts w:hint="eastAsia" w:asciiTheme="minorEastAsia" w:hAnsiTheme="minorEastAsia" w:eastAsiaTheme="minorEastAsia" w:cstheme="minorEastAsia"/>
          <w:bCs/>
          <w:sz w:val="36"/>
          <w:szCs w:val="36"/>
        </w:rPr>
        <w:t>第六章  投标文件构成及格式</w:t>
      </w:r>
      <w:bookmarkEnd w:id="101"/>
      <w:bookmarkEnd w:id="117"/>
    </w:p>
    <w:p>
      <w:pPr>
        <w:rPr>
          <w:rFonts w:asciiTheme="minorEastAsia" w:hAnsiTheme="minorEastAsia" w:eastAsiaTheme="minorEastAsia" w:cstheme="minorEastAsia"/>
        </w:rPr>
      </w:pPr>
    </w:p>
    <w:p>
      <w:pPr>
        <w:rPr>
          <w:rFonts w:hint="default" w:asciiTheme="minorEastAsia" w:hAnsiTheme="minorEastAsia" w:eastAsiaTheme="minorEastAsia" w:cstheme="minorEastAsia"/>
          <w:b/>
          <w:sz w:val="32"/>
          <w:szCs w:val="32"/>
          <w:lang w:val="en-US" w:eastAsia="zh-CN"/>
        </w:rPr>
      </w:pPr>
      <w:r>
        <w:rPr>
          <w:rFonts w:hint="eastAsia" w:asciiTheme="minorEastAsia" w:hAnsiTheme="minorEastAsia" w:eastAsiaTheme="minorEastAsia" w:cstheme="minorEastAsia"/>
          <w:b/>
          <w:sz w:val="32"/>
          <w:szCs w:val="32"/>
        </w:rPr>
        <w:t>项目编号：</w:t>
      </w:r>
      <w:r>
        <w:rPr>
          <w:rFonts w:hint="eastAsia" w:asciiTheme="minorEastAsia" w:hAnsiTheme="minorEastAsia" w:eastAsiaTheme="minorEastAsia" w:cstheme="minorEastAsia"/>
          <w:b/>
          <w:sz w:val="32"/>
          <w:szCs w:val="32"/>
          <w:lang w:val="en-US" w:eastAsia="zh-CN"/>
        </w:rPr>
        <w:tab/>
      </w:r>
      <w:r>
        <w:rPr>
          <w:rFonts w:hint="eastAsia" w:asciiTheme="minorEastAsia" w:hAnsiTheme="minorEastAsia" w:eastAsiaTheme="minorEastAsia" w:cstheme="minorEastAsia"/>
          <w:b/>
          <w:sz w:val="32"/>
          <w:szCs w:val="32"/>
          <w:lang w:val="en-US" w:eastAsia="zh-CN"/>
        </w:rPr>
        <w:t>SNTH-2022-1102</w:t>
      </w:r>
    </w:p>
    <w:p>
      <w:pPr>
        <w:jc w:val="right"/>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（正本或副本）</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52"/>
          <w:szCs w:val="52"/>
        </w:rPr>
      </w:pPr>
    </w:p>
    <w:p>
      <w:pPr>
        <w:jc w:val="center"/>
        <w:rPr>
          <w:rFonts w:asciiTheme="minorEastAsia" w:hAnsiTheme="minorEastAsia" w:eastAsiaTheme="minorEastAsia" w:cstheme="minorEastAsia"/>
          <w:b/>
          <w:sz w:val="36"/>
          <w:szCs w:val="36"/>
        </w:rPr>
      </w:pPr>
      <w:r>
        <w:rPr>
          <w:rFonts w:asciiTheme="minorEastAsia" w:hAnsiTheme="minorEastAsia" w:eastAsiaTheme="minorEastAsia" w:cstheme="minorEastAsia"/>
          <w:b/>
          <w:sz w:val="36"/>
          <w:szCs w:val="36"/>
        </w:rPr>
        <w:t>商洛市秦岭中段（南麓）水源涵养与生物多样性保护</w:t>
      </w:r>
    </w:p>
    <w:p>
      <w:pPr>
        <w:jc w:val="center"/>
        <w:rPr>
          <w:rFonts w:asciiTheme="minorEastAsia" w:hAnsiTheme="minorEastAsia" w:eastAsiaTheme="minorEastAsia" w:cstheme="minorEastAsia"/>
          <w:b/>
          <w:sz w:val="36"/>
          <w:szCs w:val="36"/>
        </w:rPr>
      </w:pPr>
      <w:r>
        <w:rPr>
          <w:rFonts w:asciiTheme="minorEastAsia" w:hAnsiTheme="minorEastAsia" w:eastAsiaTheme="minorEastAsia" w:cstheme="minorEastAsia"/>
          <w:b/>
          <w:sz w:val="36"/>
          <w:szCs w:val="36"/>
        </w:rPr>
        <w:t>恢复项目(商南县2022年退化林修复）</w:t>
      </w:r>
    </w:p>
    <w:p>
      <w:pPr>
        <w:jc w:val="center"/>
        <w:rPr>
          <w:rFonts w:asciiTheme="minorEastAsia" w:hAnsiTheme="minorEastAsia" w:eastAsiaTheme="minorEastAsia" w:cstheme="minorEastAsia"/>
          <w:b/>
          <w:sz w:val="36"/>
          <w:szCs w:val="36"/>
        </w:rPr>
      </w:pPr>
    </w:p>
    <w:p>
      <w:pPr>
        <w:ind w:firstLine="2891" w:firstLineChars="600"/>
        <w:jc w:val="both"/>
        <w:rPr>
          <w:rFonts w:hint="default" w:asciiTheme="minorEastAsia" w:hAnsiTheme="minorEastAsia" w:eastAsiaTheme="minorEastAsia" w:cstheme="minorEastAsia"/>
          <w:b/>
          <w:sz w:val="48"/>
          <w:szCs w:val="48"/>
          <w:u w:val="none"/>
          <w:lang w:val="en-US" w:eastAsia="zh-CN"/>
        </w:rPr>
      </w:pPr>
      <w:r>
        <w:rPr>
          <w:rFonts w:hint="eastAsia" w:asciiTheme="minorEastAsia" w:hAnsiTheme="minorEastAsia" w:eastAsiaTheme="minorEastAsia" w:cstheme="minorEastAsia"/>
          <w:b/>
          <w:sz w:val="48"/>
          <w:szCs w:val="48"/>
          <w:lang w:eastAsia="zh-CN"/>
        </w:rPr>
        <w:t>第</w:t>
      </w:r>
      <w:r>
        <w:rPr>
          <w:rFonts w:hint="eastAsia" w:asciiTheme="minorEastAsia" w:hAnsiTheme="minorEastAsia" w:eastAsiaTheme="minorEastAsia" w:cstheme="minorEastAsia"/>
          <w:b/>
          <w:sz w:val="48"/>
          <w:szCs w:val="48"/>
          <w:u w:val="single"/>
          <w:lang w:val="en-US" w:eastAsia="zh-CN"/>
        </w:rPr>
        <w:t xml:space="preserve">      </w:t>
      </w:r>
      <w:r>
        <w:rPr>
          <w:rFonts w:hint="eastAsia" w:asciiTheme="minorEastAsia" w:hAnsiTheme="minorEastAsia" w:eastAsiaTheme="minorEastAsia" w:cstheme="minorEastAsia"/>
          <w:b/>
          <w:sz w:val="48"/>
          <w:szCs w:val="48"/>
          <w:u w:val="none"/>
          <w:lang w:val="en-US" w:eastAsia="zh-CN"/>
        </w:rPr>
        <w:t>标段</w:t>
      </w:r>
    </w:p>
    <w:p>
      <w:pPr>
        <w:pStyle w:val="12"/>
      </w:pPr>
    </w:p>
    <w:p>
      <w:pPr>
        <w:rPr>
          <w:rFonts w:asciiTheme="minorEastAsia" w:hAnsiTheme="minorEastAsia" w:eastAsiaTheme="minorEastAsia" w:cstheme="minorEastAsia"/>
          <w:b/>
          <w:sz w:val="48"/>
          <w:szCs w:val="48"/>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投标文件</w:t>
      </w:r>
    </w:p>
    <w:p>
      <w:pPr>
        <w:jc w:val="center"/>
        <w:rPr>
          <w:rFonts w:asciiTheme="minorEastAsia" w:hAnsiTheme="minorEastAsia" w:eastAsiaTheme="minorEastAsia" w:cstheme="minorEastAsia"/>
          <w:b/>
          <w:sz w:val="72"/>
          <w:szCs w:val="72"/>
        </w:rPr>
      </w:pPr>
    </w:p>
    <w:p>
      <w:pPr>
        <w:rPr>
          <w:rFonts w:asciiTheme="minorEastAsia" w:hAnsiTheme="minorEastAsia" w:eastAsiaTheme="minorEastAsia" w:cstheme="minorEastAsia"/>
          <w:b/>
          <w:sz w:val="36"/>
          <w:szCs w:val="36"/>
        </w:rPr>
      </w:pPr>
    </w:p>
    <w:p>
      <w:pPr>
        <w:spacing w:line="360" w:lineRule="auto"/>
        <w:rPr>
          <w:rFonts w:asciiTheme="minorEastAsia" w:hAnsiTheme="minorEastAsia" w:eastAsiaTheme="minorEastAsia" w:cstheme="minorEastAsia"/>
          <w:b/>
          <w:bCs/>
          <w:sz w:val="28"/>
          <w:szCs w:val="28"/>
        </w:rPr>
      </w:pPr>
    </w:p>
    <w:p>
      <w:pPr>
        <w:spacing w:line="360" w:lineRule="auto"/>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投标人名称：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b/>
          <w:bCs/>
          <w:sz w:val="28"/>
          <w:szCs w:val="28"/>
        </w:rPr>
        <w:t>（盖章）</w:t>
      </w:r>
    </w:p>
    <w:p>
      <w:pPr>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法定代表人或其委托代理人：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b/>
          <w:bCs/>
          <w:sz w:val="28"/>
          <w:szCs w:val="28"/>
        </w:rPr>
        <w:t>（签字或盖章）</w:t>
      </w:r>
    </w:p>
    <w:p>
      <w:pPr>
        <w:spacing w:line="360" w:lineRule="auto"/>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日</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lang w:eastAsia="zh-CN"/>
        </w:rPr>
        <w:t>期：</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b/>
          <w:bCs/>
          <w:sz w:val="28"/>
          <w:szCs w:val="28"/>
        </w:rPr>
        <w:t>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b/>
          <w:bCs/>
          <w:sz w:val="28"/>
          <w:szCs w:val="28"/>
        </w:rPr>
        <w:t>月</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b/>
          <w:bCs/>
          <w:sz w:val="28"/>
          <w:szCs w:val="28"/>
        </w:rPr>
        <w:t>日</w:t>
      </w:r>
    </w:p>
    <w:p>
      <w:pPr>
        <w:spacing w:line="360" w:lineRule="auto"/>
        <w:jc w:val="left"/>
        <w:rPr>
          <w:rFonts w:asciiTheme="minorEastAsia" w:hAnsiTheme="minorEastAsia" w:eastAsiaTheme="minorEastAsia" w:cstheme="minorEastAsia"/>
        </w:rPr>
        <w:sectPr>
          <w:footerReference r:id="rId6" w:type="default"/>
          <w:pgSz w:w="11906" w:h="16838"/>
          <w:pgMar w:top="1417" w:right="1417" w:bottom="1417" w:left="1701" w:header="851" w:footer="992" w:gutter="0"/>
          <w:cols w:space="0" w:num="1"/>
          <w:docGrid w:type="lines" w:linePitch="312" w:charSpace="0"/>
        </w:sectPr>
      </w:pPr>
    </w:p>
    <w:p>
      <w:pPr>
        <w:spacing w:before="156" w:beforeLines="50" w:after="156" w:afterLines="50" w:line="360" w:lineRule="auto"/>
        <w:jc w:val="center"/>
        <w:rPr>
          <w:rFonts w:asciiTheme="minorEastAsia" w:hAnsiTheme="minorEastAsia" w:eastAsiaTheme="minorEastAsia" w:cstheme="minorEastAsia"/>
          <w:b/>
          <w:bCs/>
          <w:spacing w:val="4"/>
          <w:sz w:val="32"/>
          <w:szCs w:val="32"/>
        </w:rPr>
      </w:pPr>
      <w:r>
        <w:rPr>
          <w:rFonts w:hint="eastAsia" w:asciiTheme="minorEastAsia" w:hAnsiTheme="minorEastAsia" w:eastAsiaTheme="minorEastAsia" w:cstheme="minorEastAsia"/>
          <w:b/>
          <w:bCs/>
          <w:spacing w:val="4"/>
          <w:sz w:val="32"/>
          <w:szCs w:val="32"/>
        </w:rPr>
        <w:t>目录</w:t>
      </w:r>
    </w:p>
    <w:p>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（一）投标函</w:t>
      </w:r>
    </w:p>
    <w:p>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（二）开标一览表</w:t>
      </w:r>
    </w:p>
    <w:p>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（三）商务响应偏离表</w:t>
      </w:r>
    </w:p>
    <w:p>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（四）投标方案说明书</w:t>
      </w:r>
    </w:p>
    <w:p>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（五）企业类似业绩</w:t>
      </w:r>
    </w:p>
    <w:p>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（六）陕西省政府采购投标人拒绝政府采购领域商业贿赂承诺书</w:t>
      </w:r>
    </w:p>
    <w:p>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（七）资格证明文件</w:t>
      </w:r>
    </w:p>
    <w:p>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（八）其他证明投标人履约能力的证明资料</w:t>
      </w:r>
    </w:p>
    <w:p>
      <w:pPr>
        <w:spacing w:line="480" w:lineRule="auto"/>
        <w:ind w:firstLine="496" w:firstLineChars="200"/>
        <w:rPr>
          <w:rFonts w:asciiTheme="minorEastAsia" w:hAnsiTheme="minorEastAsia" w:eastAsiaTheme="minorEastAsia" w:cstheme="minorEastAsia"/>
          <w:spacing w:val="4"/>
          <w:sz w:val="24"/>
          <w:szCs w:val="24"/>
        </w:rPr>
      </w:pPr>
    </w:p>
    <w:p>
      <w:pPr>
        <w:rPr>
          <w:rFonts w:asciiTheme="minorEastAsia" w:hAnsiTheme="minorEastAsia" w:eastAsiaTheme="minorEastAsia" w:cstheme="minorEastAsia"/>
          <w:sz w:val="28"/>
        </w:rPr>
      </w:pPr>
      <w:bookmarkStart w:id="118" w:name="_Toc22992"/>
      <w:r>
        <w:rPr>
          <w:rFonts w:hint="eastAsia" w:asciiTheme="minorEastAsia" w:hAnsiTheme="minorEastAsia" w:eastAsiaTheme="minorEastAsia" w:cstheme="minorEastAsia"/>
          <w:sz w:val="28"/>
        </w:rPr>
        <w:br w:type="page"/>
      </w:r>
    </w:p>
    <w:bookmarkEnd w:id="118"/>
    <w:p>
      <w:pPr>
        <w:pStyle w:val="7"/>
        <w:spacing w:before="312" w:beforeLines="100" w:line="360" w:lineRule="auto"/>
        <w:rPr>
          <w:rFonts w:asciiTheme="minorEastAsia" w:hAnsiTheme="minorEastAsia" w:eastAsiaTheme="minorEastAsia" w:cstheme="minorEastAsia"/>
          <w:sz w:val="32"/>
          <w:szCs w:val="32"/>
        </w:rPr>
      </w:pPr>
      <w:bookmarkStart w:id="119" w:name="_Toc30488"/>
      <w:bookmarkStart w:id="120" w:name="_Toc29539"/>
      <w:r>
        <w:rPr>
          <w:rFonts w:hint="eastAsia" w:asciiTheme="minorEastAsia" w:hAnsiTheme="minorEastAsia" w:eastAsiaTheme="minorEastAsia" w:cstheme="minorEastAsia"/>
          <w:sz w:val="32"/>
          <w:szCs w:val="32"/>
        </w:rPr>
        <w:t>一、投标函</w:t>
      </w:r>
      <w:bookmarkEnd w:id="119"/>
      <w:bookmarkEnd w:id="120"/>
    </w:p>
    <w:p>
      <w:pPr>
        <w:spacing w:line="360" w:lineRule="auto"/>
        <w:jc w:val="left"/>
        <w:rPr>
          <w:rFonts w:asciiTheme="minorEastAsia" w:hAnsiTheme="minorEastAsia" w:eastAsiaTheme="minorEastAsia" w:cstheme="minorEastAsia"/>
          <w:spacing w:val="4"/>
          <w:sz w:val="24"/>
          <w:szCs w:val="24"/>
          <w:u w:val="single"/>
        </w:rPr>
      </w:pPr>
      <w:r>
        <w:rPr>
          <w:rFonts w:hint="eastAsia" w:asciiTheme="minorEastAsia" w:hAnsiTheme="minorEastAsia" w:eastAsiaTheme="minorEastAsia" w:cstheme="minorEastAsia"/>
          <w:spacing w:val="4"/>
          <w:sz w:val="24"/>
          <w:szCs w:val="24"/>
        </w:rPr>
        <w:t>致：</w:t>
      </w:r>
      <w:r>
        <w:rPr>
          <w:rFonts w:hint="eastAsia" w:asciiTheme="minorEastAsia" w:hAnsiTheme="minorEastAsia" w:eastAsiaTheme="minorEastAsia" w:cstheme="minorEastAsia"/>
          <w:spacing w:val="4"/>
          <w:sz w:val="24"/>
          <w:szCs w:val="24"/>
          <w:lang w:eastAsia="zh-CN"/>
        </w:rPr>
        <w:t>西安天合建设项目管理有限</w:t>
      </w:r>
      <w:r>
        <w:rPr>
          <w:rFonts w:asciiTheme="minorEastAsia" w:hAnsiTheme="minorEastAsia" w:eastAsiaTheme="minorEastAsia" w:cstheme="minorEastAsia"/>
          <w:spacing w:val="4"/>
          <w:sz w:val="24"/>
          <w:szCs w:val="24"/>
        </w:rPr>
        <w:t>公司</w:t>
      </w:r>
    </w:p>
    <w:p>
      <w:pPr>
        <w:spacing w:line="360" w:lineRule="auto"/>
        <w:ind w:firstLine="496" w:firstLineChars="2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根据贵方“</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pacing w:val="4"/>
          <w:sz w:val="24"/>
          <w:szCs w:val="24"/>
        </w:rPr>
        <w:t>”项目</w:t>
      </w:r>
      <w:r>
        <w:rPr>
          <w:rFonts w:hint="eastAsia" w:asciiTheme="minorEastAsia" w:hAnsiTheme="minorEastAsia" w:eastAsiaTheme="minorEastAsia" w:cstheme="minorEastAsia"/>
          <w:spacing w:val="4"/>
          <w:sz w:val="24"/>
          <w:szCs w:val="24"/>
          <w:u w:val="single"/>
          <w:lang w:val="en-US" w:eastAsia="zh-CN"/>
        </w:rPr>
        <w:t xml:space="preserve">   </w:t>
      </w:r>
      <w:r>
        <w:rPr>
          <w:rFonts w:hint="eastAsia" w:asciiTheme="minorEastAsia" w:hAnsiTheme="minorEastAsia" w:eastAsiaTheme="minorEastAsia" w:cstheme="minorEastAsia"/>
          <w:spacing w:val="4"/>
          <w:sz w:val="24"/>
          <w:szCs w:val="24"/>
          <w:u w:val="none"/>
          <w:lang w:val="en-US" w:eastAsia="zh-CN"/>
        </w:rPr>
        <w:t>标段</w:t>
      </w:r>
      <w:r>
        <w:rPr>
          <w:rFonts w:hint="eastAsia" w:asciiTheme="minorEastAsia" w:hAnsiTheme="minorEastAsia" w:eastAsiaTheme="minorEastAsia" w:cstheme="minorEastAsia"/>
          <w:spacing w:val="4"/>
          <w:sz w:val="24"/>
          <w:szCs w:val="24"/>
        </w:rPr>
        <w:t>的投标邀请</w:t>
      </w:r>
      <w:r>
        <w:rPr>
          <w:rFonts w:hint="eastAsia" w:asciiTheme="minorEastAsia" w:hAnsiTheme="minorEastAsia" w:eastAsiaTheme="minorEastAsia" w:cstheme="minorEastAsia"/>
          <w:spacing w:val="4"/>
          <w:sz w:val="24"/>
          <w:szCs w:val="24"/>
          <w:u w:val="single"/>
        </w:rPr>
        <w:t>(</w:t>
      </w:r>
      <w:r>
        <w:rPr>
          <w:rFonts w:hint="eastAsia" w:asciiTheme="minorEastAsia" w:hAnsiTheme="minorEastAsia" w:eastAsiaTheme="minorEastAsia" w:cstheme="minorEastAsia"/>
          <w:spacing w:val="4"/>
          <w:sz w:val="24"/>
          <w:szCs w:val="24"/>
          <w:u w:val="single"/>
          <w:lang w:eastAsia="zh-CN"/>
        </w:rPr>
        <w:t>项目</w:t>
      </w:r>
      <w:r>
        <w:rPr>
          <w:rFonts w:hint="eastAsia" w:asciiTheme="minorEastAsia" w:hAnsiTheme="minorEastAsia" w:eastAsiaTheme="minorEastAsia" w:cstheme="minorEastAsia"/>
          <w:spacing w:val="4"/>
          <w:sz w:val="24"/>
          <w:szCs w:val="24"/>
          <w:u w:val="single"/>
        </w:rPr>
        <w:t>编号</w:t>
      </w:r>
      <w:r>
        <w:rPr>
          <w:rFonts w:hint="eastAsia" w:asciiTheme="minorEastAsia" w:hAnsiTheme="minorEastAsia" w:eastAsiaTheme="minorEastAsia" w:cstheme="minorEastAsia"/>
          <w:spacing w:val="4"/>
          <w:sz w:val="24"/>
          <w:szCs w:val="24"/>
          <w:u w:val="single"/>
          <w:lang w:eastAsia="zh-CN"/>
        </w:rPr>
        <w:t>：</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4"/>
          <w:sz w:val="24"/>
          <w:szCs w:val="24"/>
        </w:rPr>
        <w:t>，签字代表</w:t>
      </w:r>
      <w:r>
        <w:rPr>
          <w:rFonts w:hint="eastAsia" w:asciiTheme="minorEastAsia" w:hAnsiTheme="minorEastAsia" w:eastAsiaTheme="minorEastAsia" w:cstheme="minorEastAsia"/>
          <w:spacing w:val="4"/>
          <w:sz w:val="24"/>
          <w:szCs w:val="24"/>
          <w:u w:val="single"/>
        </w:rPr>
        <w:t>（全名、职务）</w:t>
      </w:r>
      <w:r>
        <w:rPr>
          <w:rFonts w:hint="eastAsia" w:asciiTheme="minorEastAsia" w:hAnsiTheme="minorEastAsia" w:eastAsiaTheme="minorEastAsia" w:cstheme="minorEastAsia"/>
          <w:spacing w:val="4"/>
          <w:sz w:val="24"/>
          <w:szCs w:val="24"/>
        </w:rPr>
        <w:t>经正式授权并代表投标人</w:t>
      </w:r>
      <w:r>
        <w:rPr>
          <w:rFonts w:hint="eastAsia" w:asciiTheme="minorEastAsia" w:hAnsiTheme="minorEastAsia" w:eastAsiaTheme="minorEastAsia" w:cstheme="minorEastAsia"/>
          <w:spacing w:val="4"/>
          <w:sz w:val="24"/>
          <w:szCs w:val="24"/>
          <w:u w:val="single"/>
        </w:rPr>
        <w:t>(投标人名称、地址)</w:t>
      </w:r>
      <w:r>
        <w:rPr>
          <w:rFonts w:hint="eastAsia" w:asciiTheme="minorEastAsia" w:hAnsiTheme="minorEastAsia" w:eastAsiaTheme="minorEastAsia" w:cstheme="minorEastAsia"/>
          <w:spacing w:val="4"/>
          <w:sz w:val="24"/>
          <w:szCs w:val="24"/>
        </w:rPr>
        <w:t>提交公开招标响应文件正本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pacing w:val="4"/>
          <w:sz w:val="24"/>
          <w:szCs w:val="24"/>
        </w:rPr>
        <w:t>份、副本一式</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pacing w:val="4"/>
          <w:sz w:val="24"/>
          <w:szCs w:val="24"/>
        </w:rPr>
        <w:t>份。并提交投标保证金，金额为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pacing w:val="4"/>
          <w:sz w:val="24"/>
          <w:szCs w:val="24"/>
        </w:rPr>
        <w:t>。</w:t>
      </w:r>
    </w:p>
    <w:p>
      <w:pPr>
        <w:spacing w:line="360" w:lineRule="auto"/>
        <w:ind w:left="549" w:leftChars="251" w:hanging="22" w:hangingChars="9"/>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我方承诺如下：</w:t>
      </w:r>
    </w:p>
    <w:p>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1）投标总价为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pacing w:val="4"/>
          <w:sz w:val="24"/>
          <w:szCs w:val="24"/>
        </w:rPr>
        <w:t>（人民币）（</w:t>
      </w:r>
      <w:r>
        <w:rPr>
          <w:rFonts w:hint="eastAsia" w:asciiTheme="minorEastAsia" w:hAnsiTheme="minorEastAsia" w:eastAsiaTheme="minorEastAsia" w:cstheme="minorEastAsia"/>
          <w:b/>
          <w:spacing w:val="4"/>
          <w:sz w:val="24"/>
          <w:szCs w:val="24"/>
        </w:rPr>
        <w:t>用文字和数字表示的投标总价</w:t>
      </w:r>
      <w:r>
        <w:rPr>
          <w:rFonts w:hint="eastAsia" w:asciiTheme="minorEastAsia" w:hAnsiTheme="minorEastAsia" w:eastAsiaTheme="minorEastAsia" w:cstheme="minorEastAsia"/>
          <w:spacing w:val="4"/>
          <w:sz w:val="24"/>
          <w:szCs w:val="24"/>
        </w:rPr>
        <w:t>）。</w:t>
      </w:r>
    </w:p>
    <w:p>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2）如果成交，我们根据公开招标文件的规定，履行合同的责任和义务。</w:t>
      </w:r>
    </w:p>
    <w:p>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3）我们已详细阅读和审核全部公开招标文件（含修改部分，如有的话），及有关附件，我们知道必须放弃提出含糊不清或误解的问题的权利。</w:t>
      </w:r>
    </w:p>
    <w:p>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4）我们同意在投标有效期内（</w:t>
      </w:r>
      <w:r>
        <w:rPr>
          <w:rFonts w:hint="eastAsia" w:asciiTheme="minorEastAsia" w:hAnsiTheme="minorEastAsia" w:eastAsiaTheme="minorEastAsia" w:cstheme="minorEastAsia"/>
          <w:spacing w:val="4"/>
          <w:sz w:val="24"/>
          <w:szCs w:val="24"/>
          <w:u w:val="single"/>
        </w:rPr>
        <w:t>自投标截止之日起      天内</w:t>
      </w:r>
      <w:r>
        <w:rPr>
          <w:rFonts w:hint="eastAsia" w:asciiTheme="minorEastAsia" w:hAnsiTheme="minorEastAsia" w:eastAsiaTheme="minorEastAsia" w:cstheme="minorEastAsia"/>
          <w:spacing w:val="4"/>
          <w:sz w:val="24"/>
          <w:szCs w:val="24"/>
        </w:rPr>
        <w:t>），本投标函对我方具有约束力。</w:t>
      </w:r>
    </w:p>
    <w:p>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5）如果在投标后规定的投标有效期内撤回投标，我们的投标保证金可被贵方没收。</w:t>
      </w:r>
    </w:p>
    <w:p>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6）同意提供贵方可能另外要求的与本投标有关的任何证据和资料。</w:t>
      </w:r>
    </w:p>
    <w:p>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7）与本投标有关的一切正式往来通讯为：</w:t>
      </w:r>
    </w:p>
    <w:p>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联系地址：</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邮政编码：</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电   话：</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传   真：</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投标人名称（盖章）：</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投标人法定代表人签字或盖章：</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日   期：</w:t>
      </w:r>
      <w:r>
        <w:rPr>
          <w:rFonts w:hint="eastAsia" w:ascii="宋体" w:hAnsi="宋体" w:cs="宋体"/>
          <w:sz w:val="24"/>
          <w:szCs w:val="24"/>
          <w:u w:val="single"/>
        </w:rPr>
        <w:t xml:space="preserve">  </w:t>
      </w:r>
      <w:r>
        <w:rPr>
          <w:rFonts w:ascii="宋体" w:hAnsi="宋体" w:cs="宋体"/>
          <w:sz w:val="24"/>
          <w:szCs w:val="24"/>
          <w:u w:val="single"/>
        </w:rPr>
        <w:t xml:space="preserve">                             </w:t>
      </w:r>
    </w:p>
    <w:p>
      <w:pPr>
        <w:pStyle w:val="7"/>
        <w:spacing w:before="312" w:beforeLines="1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rPr>
        <w:br w:type="page"/>
      </w:r>
      <w:bookmarkStart w:id="121" w:name="_Toc13504"/>
      <w:bookmarkStart w:id="122" w:name="_Toc3285"/>
      <w:r>
        <w:rPr>
          <w:rFonts w:hint="eastAsia" w:asciiTheme="minorEastAsia" w:hAnsiTheme="minorEastAsia" w:eastAsiaTheme="minorEastAsia" w:cstheme="minorEastAsia"/>
          <w:sz w:val="32"/>
          <w:szCs w:val="32"/>
        </w:rPr>
        <w:t>二、开标一览表</w:t>
      </w:r>
      <w:bookmarkEnd w:id="121"/>
      <w:bookmarkEnd w:id="122"/>
    </w:p>
    <w:p>
      <w:pPr>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2.1报价一览表</w:t>
      </w:r>
    </w:p>
    <w:p>
      <w:pPr>
        <w:pStyle w:val="11"/>
      </w:pPr>
    </w:p>
    <w:p>
      <w:pPr>
        <w:tabs>
          <w:tab w:val="left" w:pos="7080"/>
          <w:tab w:val="left" w:pos="8504"/>
        </w:tabs>
        <w:spacing w:line="360" w:lineRule="auto"/>
        <w:ind w:righ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及标段</w:t>
      </w:r>
      <w:r>
        <w:rPr>
          <w:rFonts w:hint="eastAsia" w:asciiTheme="minorEastAsia" w:hAnsiTheme="minorEastAsia" w:eastAsiaTheme="minorEastAsia" w:cstheme="minorEastAsia"/>
          <w:sz w:val="24"/>
          <w:szCs w:val="24"/>
        </w:rPr>
        <w:t>：</w:t>
      </w:r>
      <w:r>
        <w:rPr>
          <w:rFonts w:hint="eastAsia" w:ascii="宋体" w:hAnsi="宋体" w:cs="宋体"/>
          <w:sz w:val="24"/>
          <w:szCs w:val="24"/>
          <w:u w:val="single"/>
        </w:rPr>
        <w:t xml:space="preserve">  </w:t>
      </w:r>
      <w:r>
        <w:rPr>
          <w:rFonts w:ascii="宋体" w:hAnsi="宋体" w:cs="宋体"/>
          <w:sz w:val="24"/>
          <w:szCs w:val="24"/>
          <w:u w:val="single"/>
        </w:rPr>
        <w:t xml:space="preserve">                               </w:t>
      </w:r>
    </w:p>
    <w:p>
      <w:pPr>
        <w:tabs>
          <w:tab w:val="left" w:pos="7080"/>
          <w:tab w:val="left" w:pos="8504"/>
        </w:tabs>
        <w:spacing w:line="360" w:lineRule="auto"/>
        <w:ind w:righ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ab/>
      </w:r>
    </w:p>
    <w:tbl>
      <w:tblPr>
        <w:tblStyle w:val="2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restart"/>
            <w:vAlign w:val="center"/>
          </w:tcPr>
          <w:p>
            <w:pPr>
              <w:jc w:val="center"/>
              <w:rPr>
                <w:rFonts w:ascii="宋体"/>
                <w:sz w:val="24"/>
                <w:szCs w:val="24"/>
              </w:rPr>
            </w:pPr>
            <w:r>
              <w:rPr>
                <w:rFonts w:hint="eastAsia" w:ascii="宋体" w:hAnsi="宋体" w:cs="宋体"/>
                <w:sz w:val="24"/>
                <w:szCs w:val="24"/>
              </w:rPr>
              <w:t>投标总报价（元）</w:t>
            </w:r>
          </w:p>
        </w:tc>
        <w:tc>
          <w:tcPr>
            <w:tcW w:w="6593" w:type="dxa"/>
            <w:vAlign w:val="center"/>
          </w:tcPr>
          <w:p>
            <w:pPr>
              <w:rPr>
                <w:rFonts w:ascii="宋体"/>
                <w:sz w:val="24"/>
                <w:szCs w:val="24"/>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continue"/>
            <w:vAlign w:val="center"/>
          </w:tcPr>
          <w:p/>
        </w:tc>
        <w:tc>
          <w:tcPr>
            <w:tcW w:w="6593" w:type="dxa"/>
            <w:vAlign w:val="center"/>
          </w:tcPr>
          <w:p>
            <w:pPr>
              <w:rPr>
                <w:rFonts w:ascii="宋体"/>
                <w:sz w:val="24"/>
                <w:szCs w:val="24"/>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pPr>
              <w:jc w:val="center"/>
              <w:rPr>
                <w:rFonts w:ascii="宋体" w:hAnsi="宋体" w:cs="宋体"/>
                <w:sz w:val="24"/>
                <w:szCs w:val="24"/>
              </w:rPr>
            </w:pPr>
            <w:r>
              <w:rPr>
                <w:rFonts w:hint="eastAsia" w:ascii="宋体" w:hAnsi="宋体" w:cs="宋体"/>
                <w:sz w:val="24"/>
                <w:szCs w:val="24"/>
              </w:rPr>
              <w:t>质量标准</w:t>
            </w:r>
          </w:p>
        </w:tc>
        <w:tc>
          <w:tcPr>
            <w:tcW w:w="6593"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pPr>
              <w:jc w:val="center"/>
              <w:rPr>
                <w:rFonts w:ascii="宋体" w:hAnsi="宋体" w:cs="宋体"/>
                <w:sz w:val="24"/>
                <w:szCs w:val="24"/>
              </w:rPr>
            </w:pPr>
            <w:r>
              <w:rPr>
                <w:rFonts w:hint="eastAsia" w:ascii="宋体" w:hAnsi="宋体" w:cs="宋体"/>
                <w:sz w:val="24"/>
                <w:szCs w:val="24"/>
              </w:rPr>
              <w:t>工期</w:t>
            </w:r>
          </w:p>
        </w:tc>
        <w:tc>
          <w:tcPr>
            <w:tcW w:w="6593"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pPr>
              <w:jc w:val="center"/>
              <w:rPr>
                <w:rFonts w:ascii="宋体"/>
                <w:sz w:val="24"/>
                <w:szCs w:val="24"/>
              </w:rPr>
            </w:pPr>
            <w:r>
              <w:rPr>
                <w:rFonts w:hint="eastAsia" w:ascii="宋体" w:hAnsi="宋体" w:cs="宋体"/>
                <w:sz w:val="24"/>
                <w:szCs w:val="24"/>
              </w:rPr>
              <w:t>备注</w:t>
            </w:r>
          </w:p>
        </w:tc>
        <w:tc>
          <w:tcPr>
            <w:tcW w:w="6593" w:type="dxa"/>
            <w:vAlign w:val="center"/>
          </w:tcPr>
          <w:p>
            <w:pPr>
              <w:rPr>
                <w:rFonts w:ascii="宋体"/>
                <w:sz w:val="24"/>
                <w:szCs w:val="24"/>
              </w:rPr>
            </w:pPr>
          </w:p>
        </w:tc>
      </w:tr>
    </w:tbl>
    <w:p>
      <w:pPr>
        <w:spacing w:line="120" w:lineRule="exact"/>
        <w:rPr>
          <w:rFonts w:asciiTheme="minorEastAsia" w:hAnsiTheme="minorEastAsia" w:eastAsiaTheme="minorEastAsia" w:cstheme="minorEastAsia"/>
          <w:sz w:val="24"/>
          <w:szCs w:val="24"/>
        </w:rPr>
      </w:pPr>
    </w:p>
    <w:p>
      <w:pPr>
        <w:spacing w:line="360" w:lineRule="auto"/>
        <w:rPr>
          <w:rFonts w:asciiTheme="minorEastAsia" w:hAnsiTheme="minorEastAsia" w:eastAsiaTheme="minorEastAsia" w:cstheme="minorEastAsia"/>
          <w:sz w:val="24"/>
          <w:szCs w:val="24"/>
        </w:rPr>
      </w:pPr>
    </w:p>
    <w:p>
      <w:pPr>
        <w:spacing w:line="480" w:lineRule="exact"/>
        <w:ind w:firstLine="480" w:firstLineChars="200"/>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投标人：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（单位公章）</w:t>
      </w:r>
    </w:p>
    <w:p>
      <w:pPr>
        <w:spacing w:line="48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法人代表或委托代理人（签字或盖章）：</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600" w:lineRule="exact"/>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日期：</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月</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日</w:t>
      </w:r>
    </w:p>
    <w:p>
      <w:pPr>
        <w:spacing w:before="156" w:beforeLines="50" w:after="156" w:afterLines="50" w:line="480" w:lineRule="auto"/>
        <w:ind w:firstLine="480" w:firstLineChars="200"/>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30"/>
          <w:szCs w:val="30"/>
        </w:rPr>
        <w:br w:type="page"/>
      </w:r>
      <w:r>
        <w:rPr>
          <w:rFonts w:hint="eastAsia" w:asciiTheme="minorEastAsia" w:hAnsiTheme="minorEastAsia" w:eastAsiaTheme="minorEastAsia" w:cstheme="minorEastAsia"/>
          <w:b/>
          <w:sz w:val="30"/>
          <w:szCs w:val="30"/>
        </w:rPr>
        <w:t>2.2分项报价（格式自拟）</w:t>
      </w:r>
    </w:p>
    <w:p>
      <w:pPr>
        <w:jc w:val="center"/>
        <w:rPr>
          <w:rFonts w:asciiTheme="minorEastAsia" w:hAnsiTheme="minorEastAsia" w:eastAsiaTheme="minorEastAsia" w:cstheme="minorEastAsia"/>
          <w:sz w:val="24"/>
        </w:rPr>
      </w:pPr>
    </w:p>
    <w:p>
      <w:pPr>
        <w:spacing w:before="156" w:beforeLines="50" w:after="156" w:afterLines="50" w:line="480" w:lineRule="auto"/>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rPr>
        <w:br w:type="page"/>
      </w:r>
    </w:p>
    <w:p>
      <w:pPr>
        <w:pStyle w:val="7"/>
        <w:tabs>
          <w:tab w:val="left" w:pos="4860"/>
        </w:tabs>
        <w:spacing w:beforeLines="0" w:after="156" w:afterLines="50"/>
        <w:rPr>
          <w:rFonts w:asciiTheme="minorEastAsia" w:hAnsiTheme="minorEastAsia" w:eastAsiaTheme="minorEastAsia" w:cstheme="minorEastAsia"/>
          <w:sz w:val="32"/>
          <w:szCs w:val="32"/>
        </w:rPr>
      </w:pPr>
      <w:bookmarkStart w:id="123" w:name="_Toc31089"/>
      <w:bookmarkStart w:id="124" w:name="_Toc344572163"/>
      <w:r>
        <w:rPr>
          <w:rFonts w:hint="eastAsia" w:asciiTheme="minorEastAsia" w:hAnsiTheme="minorEastAsia" w:eastAsiaTheme="minorEastAsia" w:cstheme="minorEastAsia"/>
          <w:sz w:val="30"/>
          <w:szCs w:val="30"/>
        </w:rPr>
        <w:t>三、</w:t>
      </w:r>
      <w:r>
        <w:rPr>
          <w:rFonts w:hint="eastAsia" w:asciiTheme="minorEastAsia" w:hAnsiTheme="minorEastAsia" w:eastAsiaTheme="minorEastAsia" w:cstheme="minorEastAsia"/>
          <w:sz w:val="32"/>
          <w:szCs w:val="32"/>
        </w:rPr>
        <w:t>商务响应偏离表</w:t>
      </w:r>
      <w:bookmarkEnd w:id="123"/>
    </w:p>
    <w:p/>
    <w:p>
      <w:pPr>
        <w:spacing w:after="120" w:line="276"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项目名称</w:t>
      </w:r>
      <w:r>
        <w:rPr>
          <w:rFonts w:hint="eastAsia" w:asciiTheme="minorEastAsia" w:hAnsiTheme="minorEastAsia" w:eastAsiaTheme="minorEastAsia" w:cstheme="minorEastAsia"/>
          <w:sz w:val="24"/>
          <w:szCs w:val="32"/>
          <w:lang w:eastAsia="zh-CN"/>
        </w:rPr>
        <w:t>及标段</w:t>
      </w:r>
      <w:r>
        <w:rPr>
          <w:rFonts w:hint="eastAsia" w:asciiTheme="minorEastAsia" w:hAnsiTheme="minorEastAsia" w:eastAsiaTheme="minorEastAsia" w:cstheme="minorEastAsia"/>
          <w:sz w:val="24"/>
          <w:szCs w:val="32"/>
        </w:rPr>
        <w:t>:</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after="120" w:line="276" w:lineRule="auto"/>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项目编号：</w:t>
      </w:r>
      <w:r>
        <w:rPr>
          <w:rFonts w:hint="eastAsia" w:ascii="宋体" w:hAnsi="宋体" w:cs="宋体"/>
          <w:sz w:val="24"/>
          <w:szCs w:val="24"/>
          <w:u w:val="single"/>
        </w:rPr>
        <w:t xml:space="preserve">  </w:t>
      </w:r>
      <w:r>
        <w:rPr>
          <w:rFonts w:ascii="宋体" w:hAnsi="宋体" w:cs="宋体"/>
          <w:sz w:val="24"/>
          <w:szCs w:val="24"/>
          <w:u w:val="single"/>
        </w:rPr>
        <w:t xml:space="preserve">         </w:t>
      </w:r>
    </w:p>
    <w:tbl>
      <w:tblPr>
        <w:tblStyle w:val="27"/>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688"/>
        <w:gridCol w:w="1212"/>
        <w:gridCol w:w="10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90"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995"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招标文件商务要求</w:t>
            </w:r>
          </w:p>
        </w:tc>
        <w:tc>
          <w:tcPr>
            <w:tcW w:w="268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投标文件商务响应</w:t>
            </w:r>
          </w:p>
        </w:tc>
        <w:tc>
          <w:tcPr>
            <w:tcW w:w="1212"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w:t>
            </w:r>
          </w:p>
        </w:tc>
        <w:tc>
          <w:tcPr>
            <w:tcW w:w="1007"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360" w:lineRule="auto"/>
              <w:jc w:val="center"/>
              <w:rPr>
                <w:rFonts w:asciiTheme="minorEastAsia" w:hAnsiTheme="minorEastAsia" w:eastAsiaTheme="minorEastAsia" w:cstheme="minorEastAsia"/>
                <w:sz w:val="24"/>
                <w:szCs w:val="24"/>
              </w:rPr>
            </w:pPr>
          </w:p>
        </w:tc>
        <w:tc>
          <w:tcPr>
            <w:tcW w:w="1995" w:type="dxa"/>
          </w:tcPr>
          <w:p>
            <w:pPr>
              <w:spacing w:line="360" w:lineRule="auto"/>
              <w:jc w:val="center"/>
              <w:rPr>
                <w:rFonts w:asciiTheme="minorEastAsia" w:hAnsiTheme="minorEastAsia" w:eastAsiaTheme="minorEastAsia" w:cstheme="minorEastAsia"/>
                <w:sz w:val="24"/>
                <w:szCs w:val="24"/>
              </w:rPr>
            </w:pPr>
          </w:p>
        </w:tc>
        <w:tc>
          <w:tcPr>
            <w:tcW w:w="2688" w:type="dxa"/>
          </w:tcPr>
          <w:p>
            <w:pPr>
              <w:spacing w:line="360" w:lineRule="auto"/>
              <w:jc w:val="center"/>
              <w:rPr>
                <w:rFonts w:asciiTheme="minorEastAsia" w:hAnsiTheme="minorEastAsia" w:eastAsiaTheme="minorEastAsia" w:cstheme="minorEastAsia"/>
                <w:sz w:val="24"/>
                <w:szCs w:val="24"/>
              </w:rPr>
            </w:pPr>
          </w:p>
        </w:tc>
        <w:tc>
          <w:tcPr>
            <w:tcW w:w="1212" w:type="dxa"/>
          </w:tcPr>
          <w:p>
            <w:pPr>
              <w:spacing w:line="360" w:lineRule="auto"/>
              <w:jc w:val="center"/>
              <w:rPr>
                <w:rFonts w:asciiTheme="minorEastAsia" w:hAnsiTheme="minorEastAsia" w:eastAsiaTheme="minorEastAsia" w:cstheme="minorEastAsia"/>
                <w:sz w:val="24"/>
                <w:szCs w:val="24"/>
              </w:rPr>
            </w:pPr>
          </w:p>
        </w:tc>
        <w:tc>
          <w:tcPr>
            <w:tcW w:w="1007" w:type="dxa"/>
          </w:tcPr>
          <w:p>
            <w:pPr>
              <w:spacing w:line="360" w:lineRule="auto"/>
              <w:jc w:val="center"/>
              <w:rPr>
                <w:rFonts w:asciiTheme="minorEastAsia" w:hAnsiTheme="minorEastAsia" w:eastAsiaTheme="minorEastAsia" w:cs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360" w:lineRule="auto"/>
              <w:jc w:val="center"/>
              <w:rPr>
                <w:rFonts w:asciiTheme="minorEastAsia" w:hAnsiTheme="minorEastAsia" w:eastAsiaTheme="minorEastAsia" w:cstheme="minorEastAsia"/>
                <w:sz w:val="24"/>
                <w:szCs w:val="24"/>
              </w:rPr>
            </w:pPr>
          </w:p>
        </w:tc>
        <w:tc>
          <w:tcPr>
            <w:tcW w:w="1995" w:type="dxa"/>
          </w:tcPr>
          <w:p>
            <w:pPr>
              <w:spacing w:line="360" w:lineRule="auto"/>
              <w:jc w:val="center"/>
              <w:rPr>
                <w:rFonts w:asciiTheme="minorEastAsia" w:hAnsiTheme="minorEastAsia" w:eastAsiaTheme="minorEastAsia" w:cstheme="minorEastAsia"/>
                <w:sz w:val="24"/>
                <w:szCs w:val="24"/>
              </w:rPr>
            </w:pPr>
          </w:p>
        </w:tc>
        <w:tc>
          <w:tcPr>
            <w:tcW w:w="2688" w:type="dxa"/>
          </w:tcPr>
          <w:p>
            <w:pPr>
              <w:spacing w:line="360" w:lineRule="auto"/>
              <w:jc w:val="center"/>
              <w:rPr>
                <w:rFonts w:asciiTheme="minorEastAsia" w:hAnsiTheme="minorEastAsia" w:eastAsiaTheme="minorEastAsia" w:cstheme="minorEastAsia"/>
                <w:sz w:val="24"/>
                <w:szCs w:val="24"/>
              </w:rPr>
            </w:pPr>
          </w:p>
        </w:tc>
        <w:tc>
          <w:tcPr>
            <w:tcW w:w="1212" w:type="dxa"/>
          </w:tcPr>
          <w:p>
            <w:pPr>
              <w:spacing w:line="360" w:lineRule="auto"/>
              <w:jc w:val="center"/>
              <w:rPr>
                <w:rFonts w:asciiTheme="minorEastAsia" w:hAnsiTheme="minorEastAsia" w:eastAsiaTheme="minorEastAsia" w:cstheme="minorEastAsia"/>
                <w:sz w:val="24"/>
                <w:szCs w:val="24"/>
              </w:rPr>
            </w:pPr>
          </w:p>
        </w:tc>
        <w:tc>
          <w:tcPr>
            <w:tcW w:w="1007" w:type="dxa"/>
          </w:tcPr>
          <w:p>
            <w:pPr>
              <w:spacing w:line="360" w:lineRule="auto"/>
              <w:jc w:val="center"/>
              <w:rPr>
                <w:rFonts w:asciiTheme="minorEastAsia" w:hAnsiTheme="minorEastAsia" w:eastAsiaTheme="minorEastAsia" w:cs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995" w:type="dxa"/>
          </w:tcPr>
          <w:p>
            <w:pPr>
              <w:spacing w:line="360" w:lineRule="auto"/>
              <w:jc w:val="center"/>
              <w:rPr>
                <w:rFonts w:asciiTheme="minorEastAsia" w:hAnsiTheme="minorEastAsia" w:eastAsiaTheme="minorEastAsia" w:cstheme="minorEastAsia"/>
                <w:sz w:val="24"/>
                <w:szCs w:val="24"/>
              </w:rPr>
            </w:pPr>
          </w:p>
        </w:tc>
        <w:tc>
          <w:tcPr>
            <w:tcW w:w="2688" w:type="dxa"/>
          </w:tcPr>
          <w:p>
            <w:pPr>
              <w:spacing w:line="360" w:lineRule="auto"/>
              <w:jc w:val="center"/>
              <w:rPr>
                <w:rFonts w:asciiTheme="minorEastAsia" w:hAnsiTheme="minorEastAsia" w:eastAsiaTheme="minorEastAsia" w:cstheme="minorEastAsia"/>
                <w:sz w:val="24"/>
                <w:szCs w:val="24"/>
              </w:rPr>
            </w:pPr>
          </w:p>
        </w:tc>
        <w:tc>
          <w:tcPr>
            <w:tcW w:w="1212" w:type="dxa"/>
          </w:tcPr>
          <w:p>
            <w:pPr>
              <w:spacing w:line="360" w:lineRule="auto"/>
              <w:jc w:val="center"/>
              <w:rPr>
                <w:rFonts w:asciiTheme="minorEastAsia" w:hAnsiTheme="minorEastAsia" w:eastAsiaTheme="minorEastAsia" w:cstheme="minorEastAsia"/>
                <w:sz w:val="24"/>
                <w:szCs w:val="24"/>
              </w:rPr>
            </w:pPr>
          </w:p>
        </w:tc>
        <w:tc>
          <w:tcPr>
            <w:tcW w:w="1007" w:type="dxa"/>
          </w:tcPr>
          <w:p>
            <w:pPr>
              <w:spacing w:line="360" w:lineRule="auto"/>
              <w:jc w:val="center"/>
              <w:rPr>
                <w:rFonts w:asciiTheme="minorEastAsia" w:hAnsiTheme="minorEastAsia" w:eastAsiaTheme="minorEastAsia" w:cs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360" w:lineRule="auto"/>
              <w:jc w:val="center"/>
              <w:rPr>
                <w:rFonts w:asciiTheme="minorEastAsia" w:hAnsiTheme="minorEastAsia" w:eastAsiaTheme="minorEastAsia" w:cstheme="minorEastAsia"/>
                <w:sz w:val="24"/>
                <w:szCs w:val="24"/>
              </w:rPr>
            </w:pPr>
          </w:p>
        </w:tc>
        <w:tc>
          <w:tcPr>
            <w:tcW w:w="1995" w:type="dxa"/>
          </w:tcPr>
          <w:p>
            <w:pPr>
              <w:spacing w:line="360" w:lineRule="auto"/>
              <w:jc w:val="center"/>
              <w:rPr>
                <w:rFonts w:asciiTheme="minorEastAsia" w:hAnsiTheme="minorEastAsia" w:eastAsiaTheme="minorEastAsia" w:cstheme="minorEastAsia"/>
                <w:sz w:val="24"/>
                <w:szCs w:val="24"/>
              </w:rPr>
            </w:pPr>
          </w:p>
        </w:tc>
        <w:tc>
          <w:tcPr>
            <w:tcW w:w="2688" w:type="dxa"/>
          </w:tcPr>
          <w:p>
            <w:pPr>
              <w:spacing w:line="360" w:lineRule="auto"/>
              <w:jc w:val="center"/>
              <w:rPr>
                <w:rFonts w:asciiTheme="minorEastAsia" w:hAnsiTheme="minorEastAsia" w:eastAsiaTheme="minorEastAsia" w:cstheme="minorEastAsia"/>
                <w:sz w:val="24"/>
                <w:szCs w:val="24"/>
              </w:rPr>
            </w:pPr>
          </w:p>
        </w:tc>
        <w:tc>
          <w:tcPr>
            <w:tcW w:w="1212" w:type="dxa"/>
          </w:tcPr>
          <w:p>
            <w:pPr>
              <w:spacing w:line="360" w:lineRule="auto"/>
              <w:jc w:val="center"/>
              <w:rPr>
                <w:rFonts w:asciiTheme="minorEastAsia" w:hAnsiTheme="minorEastAsia" w:eastAsiaTheme="minorEastAsia" w:cstheme="minorEastAsia"/>
                <w:sz w:val="24"/>
                <w:szCs w:val="24"/>
              </w:rPr>
            </w:pPr>
          </w:p>
        </w:tc>
        <w:tc>
          <w:tcPr>
            <w:tcW w:w="1007" w:type="dxa"/>
          </w:tcPr>
          <w:p>
            <w:pPr>
              <w:spacing w:line="360" w:lineRule="auto"/>
              <w:jc w:val="center"/>
              <w:rPr>
                <w:rFonts w:asciiTheme="minorEastAsia" w:hAnsiTheme="minorEastAsia" w:eastAsiaTheme="minorEastAsia" w:cs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pPr>
              <w:spacing w:line="360" w:lineRule="auto"/>
              <w:jc w:val="center"/>
              <w:rPr>
                <w:rFonts w:asciiTheme="minorEastAsia" w:hAnsiTheme="minorEastAsia" w:eastAsiaTheme="minorEastAsia" w:cstheme="minorEastAsia"/>
                <w:sz w:val="24"/>
                <w:szCs w:val="24"/>
              </w:rPr>
            </w:pPr>
          </w:p>
        </w:tc>
        <w:tc>
          <w:tcPr>
            <w:tcW w:w="1995" w:type="dxa"/>
          </w:tcPr>
          <w:p>
            <w:pPr>
              <w:spacing w:line="360" w:lineRule="auto"/>
              <w:jc w:val="center"/>
              <w:rPr>
                <w:rFonts w:asciiTheme="minorEastAsia" w:hAnsiTheme="minorEastAsia" w:eastAsiaTheme="minorEastAsia" w:cstheme="minorEastAsia"/>
                <w:sz w:val="24"/>
                <w:szCs w:val="24"/>
              </w:rPr>
            </w:pPr>
          </w:p>
        </w:tc>
        <w:tc>
          <w:tcPr>
            <w:tcW w:w="2688" w:type="dxa"/>
          </w:tcPr>
          <w:p>
            <w:pPr>
              <w:spacing w:line="360" w:lineRule="auto"/>
              <w:jc w:val="center"/>
              <w:rPr>
                <w:rFonts w:asciiTheme="minorEastAsia" w:hAnsiTheme="minorEastAsia" w:eastAsiaTheme="minorEastAsia" w:cstheme="minorEastAsia"/>
                <w:sz w:val="24"/>
                <w:szCs w:val="24"/>
              </w:rPr>
            </w:pPr>
          </w:p>
        </w:tc>
        <w:tc>
          <w:tcPr>
            <w:tcW w:w="1212" w:type="dxa"/>
          </w:tcPr>
          <w:p>
            <w:pPr>
              <w:spacing w:line="360" w:lineRule="auto"/>
              <w:jc w:val="center"/>
              <w:rPr>
                <w:rFonts w:asciiTheme="minorEastAsia" w:hAnsiTheme="minorEastAsia" w:eastAsiaTheme="minorEastAsia" w:cstheme="minorEastAsia"/>
                <w:sz w:val="24"/>
                <w:szCs w:val="24"/>
              </w:rPr>
            </w:pPr>
          </w:p>
        </w:tc>
        <w:tc>
          <w:tcPr>
            <w:tcW w:w="1007" w:type="dxa"/>
          </w:tcPr>
          <w:p>
            <w:pPr>
              <w:spacing w:line="360" w:lineRule="auto"/>
              <w:jc w:val="center"/>
              <w:rPr>
                <w:rFonts w:asciiTheme="minorEastAsia" w:hAnsiTheme="minorEastAsia" w:eastAsiaTheme="minorEastAsia" w:cstheme="minorEastAsia"/>
                <w:sz w:val="24"/>
                <w:szCs w:val="24"/>
              </w:rPr>
            </w:pPr>
          </w:p>
        </w:tc>
      </w:tr>
    </w:tbl>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声明：除本商务偏离表中所列的偏离项目外，其它所有商务均完全响应“招标文件”中的要求。</w:t>
      </w:r>
    </w:p>
    <w:bookmarkEnd w:id="124"/>
    <w:p>
      <w:pPr>
        <w:spacing w:line="312" w:lineRule="auto"/>
        <w:ind w:right="540" w:rightChars="257"/>
        <w:jc w:val="left"/>
        <w:rPr>
          <w:rFonts w:asciiTheme="minorEastAsia" w:hAnsiTheme="minorEastAsia" w:eastAsiaTheme="minorEastAsia" w:cstheme="minorEastAsia"/>
          <w:sz w:val="24"/>
        </w:rPr>
      </w:pPr>
    </w:p>
    <w:p>
      <w:pPr>
        <w:spacing w:line="480" w:lineRule="exact"/>
        <w:ind w:firstLine="480" w:firstLineChars="200"/>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投标人：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（单位公章）</w:t>
      </w:r>
    </w:p>
    <w:p>
      <w:pPr>
        <w:spacing w:line="48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法人代表或委托代理人（签字或盖章）：</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600" w:lineRule="exact"/>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日期：</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月</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日</w:t>
      </w:r>
    </w:p>
    <w:p>
      <w:pPr>
        <w:spacing w:line="312" w:lineRule="auto"/>
        <w:ind w:right="540" w:rightChars="257"/>
        <w:rPr>
          <w:rFonts w:asciiTheme="minorEastAsia" w:hAnsiTheme="minorEastAsia" w:eastAsiaTheme="minorEastAsia" w:cstheme="minorEastAsia"/>
          <w:sz w:val="24"/>
        </w:rPr>
      </w:pPr>
    </w:p>
    <w:p>
      <w:pPr>
        <w:pStyle w:val="24"/>
        <w:rPr>
          <w:rFonts w:asciiTheme="minorEastAsia" w:hAnsiTheme="minorEastAsia" w:eastAsiaTheme="minorEastAsia" w:cstheme="minorEastAsia"/>
          <w:color w:val="auto"/>
        </w:rPr>
      </w:pPr>
    </w:p>
    <w:p>
      <w:pPr>
        <w:pStyle w:val="24"/>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说明：</w:t>
      </w:r>
    </w:p>
    <w:p>
      <w:pPr>
        <w:pStyle w:val="24"/>
        <w:spacing w:line="360" w:lineRule="auto"/>
        <w:ind w:firstLine="480"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1.本表只填写投标文件中与招标文件有偏离（包括正偏离和负偏离）的内容，投标文件中商务响应与招标文件要求完全一致的，不用在此表中列出，但必须提交空白表。</w:t>
      </w:r>
    </w:p>
    <w:p>
      <w:pPr>
        <w:pStyle w:val="24"/>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2.投标人必须据实填写，不得虚假响应，否则将取消其投标或中标资格，并按有关规定进处罚。</w:t>
      </w:r>
    </w:p>
    <w:p>
      <w:pPr>
        <w:pStyle w:val="24"/>
        <w:rPr>
          <w:rFonts w:asciiTheme="minorEastAsia" w:hAnsiTheme="minorEastAsia" w:eastAsiaTheme="minorEastAsia" w:cstheme="minorEastAsia"/>
          <w:color w:val="auto"/>
        </w:rPr>
      </w:pPr>
    </w:p>
    <w:p>
      <w:pPr>
        <w:rPr>
          <w:rFonts w:asciiTheme="minorEastAsia" w:hAnsiTheme="minorEastAsia" w:eastAsiaTheme="minorEastAsia" w:cstheme="minorEastAsia"/>
          <w:sz w:val="24"/>
        </w:rPr>
      </w:pPr>
    </w:p>
    <w:p>
      <w:pPr>
        <w:pStyle w:val="7"/>
        <w:spacing w:before="312" w:beforeLines="100"/>
        <w:rPr>
          <w:rFonts w:asciiTheme="minorEastAsia" w:hAnsiTheme="minorEastAsia" w:eastAsiaTheme="minorEastAsia" w:cstheme="minorEastAsia"/>
          <w:b w:val="0"/>
        </w:rPr>
      </w:pPr>
      <w:r>
        <w:rPr>
          <w:rFonts w:hint="eastAsia" w:asciiTheme="minorEastAsia" w:hAnsiTheme="minorEastAsia" w:eastAsiaTheme="minorEastAsia" w:cstheme="minorEastAsia"/>
          <w:sz w:val="32"/>
          <w:szCs w:val="32"/>
        </w:rPr>
        <w:br w:type="page"/>
      </w:r>
      <w:bookmarkStart w:id="125" w:name="_Toc28513"/>
      <w:bookmarkStart w:id="126" w:name="_Toc400"/>
      <w:r>
        <w:rPr>
          <w:rFonts w:hint="eastAsia" w:asciiTheme="minorEastAsia" w:hAnsiTheme="minorEastAsia" w:eastAsiaTheme="minorEastAsia" w:cstheme="minorEastAsia"/>
          <w:sz w:val="32"/>
          <w:szCs w:val="32"/>
        </w:rPr>
        <w:t>四、投标方案说明书</w:t>
      </w:r>
      <w:bookmarkEnd w:id="125"/>
      <w:bookmarkEnd w:id="126"/>
    </w:p>
    <w:p>
      <w:pPr>
        <w:rPr>
          <w:rFonts w:asciiTheme="minorEastAsia" w:hAnsiTheme="minorEastAsia" w:eastAsiaTheme="minorEastAsia" w:cstheme="minorEastAsia"/>
        </w:rPr>
      </w:pPr>
    </w:p>
    <w:p>
      <w:pPr>
        <w:adjustRightInd w:val="0"/>
        <w:spacing w:after="12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按照招标文件的要求编制，根据评审办法进行编制，主要内容包含但不限于以下内容：</w:t>
      </w:r>
    </w:p>
    <w:p>
      <w:pPr>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①项目管理及力量配备</w:t>
      </w:r>
    </w:p>
    <w:p>
      <w:pPr>
        <w:spacing w:line="58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②项目</w:t>
      </w:r>
      <w:r>
        <w:rPr>
          <w:rFonts w:hint="eastAsia" w:asciiTheme="minorEastAsia" w:hAnsiTheme="minorEastAsia" w:eastAsiaTheme="minorEastAsia" w:cstheme="minorEastAsia"/>
          <w:sz w:val="24"/>
          <w:szCs w:val="24"/>
          <w:lang w:eastAsia="zh-CN"/>
        </w:rPr>
        <w:t>实施方案</w:t>
      </w:r>
    </w:p>
    <w:p>
      <w:pPr>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③确保工程质量和工期的技术组织措施</w:t>
      </w:r>
    </w:p>
    <w:p>
      <w:pPr>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④主要机具、设备和劳动力配备情况</w:t>
      </w:r>
    </w:p>
    <w:p>
      <w:pPr>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⑤确保工程安全和文明的技术组织措施</w:t>
      </w:r>
    </w:p>
    <w:p>
      <w:pPr>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⑥消防安全保障方案及应急措施</w:t>
      </w:r>
    </w:p>
    <w:p>
      <w:pPr>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⑦施工承诺</w:t>
      </w:r>
    </w:p>
    <w:p>
      <w:pPr>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⑧投标人认为有必要说明的问题</w:t>
      </w:r>
    </w:p>
    <w:p>
      <w:pPr>
        <w:spacing w:line="580" w:lineRule="exact"/>
        <w:ind w:firstLine="480" w:firstLineChars="200"/>
        <w:rPr>
          <w:rFonts w:asciiTheme="minorEastAsia" w:hAnsiTheme="minorEastAsia" w:eastAsiaTheme="minorEastAsia" w:cstheme="minorEastAsia"/>
          <w:sz w:val="24"/>
          <w:szCs w:val="24"/>
        </w:rPr>
      </w:pPr>
    </w:p>
    <w:p>
      <w:pPr>
        <w:kinsoku w:val="0"/>
        <w:spacing w:line="580" w:lineRule="exact"/>
        <w:rPr>
          <w:rFonts w:asciiTheme="minorEastAsia" w:hAnsiTheme="minorEastAsia" w:eastAsiaTheme="minorEastAsia" w:cstheme="minorEastAsia"/>
          <w:sz w:val="24"/>
          <w:szCs w:val="24"/>
        </w:rPr>
      </w:pPr>
    </w:p>
    <w:p>
      <w:pPr>
        <w:spacing w:line="580" w:lineRule="exact"/>
        <w:rPr>
          <w:rFonts w:asciiTheme="minorEastAsia" w:hAnsiTheme="minorEastAsia" w:eastAsiaTheme="minorEastAsia" w:cstheme="minorEastAsia"/>
          <w:sz w:val="24"/>
          <w:szCs w:val="24"/>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b/>
          <w:sz w:val="36"/>
        </w:rPr>
        <w:br w:type="page"/>
      </w:r>
    </w:p>
    <w:p>
      <w:pPr>
        <w:pStyle w:val="7"/>
        <w:spacing w:before="312" w:beforeLines="100"/>
        <w:rPr>
          <w:rFonts w:asciiTheme="minorEastAsia" w:hAnsiTheme="minorEastAsia" w:eastAsiaTheme="minorEastAsia" w:cstheme="minorEastAsia"/>
          <w:spacing w:val="4"/>
          <w:sz w:val="28"/>
          <w:szCs w:val="28"/>
        </w:rPr>
      </w:pPr>
      <w:bookmarkStart w:id="127" w:name="_Toc14604"/>
      <w:r>
        <w:rPr>
          <w:rFonts w:hint="eastAsia" w:asciiTheme="minorEastAsia" w:hAnsiTheme="minorEastAsia" w:eastAsiaTheme="minorEastAsia" w:cstheme="minorEastAsia"/>
          <w:spacing w:val="4"/>
          <w:sz w:val="28"/>
          <w:szCs w:val="28"/>
        </w:rPr>
        <w:t>五、企业类似业绩</w:t>
      </w:r>
      <w:bookmarkEnd w:id="127"/>
    </w:p>
    <w:p>
      <w:pPr>
        <w:spacing w:line="440" w:lineRule="exact"/>
        <w:jc w:val="center"/>
        <w:rPr>
          <w:rFonts w:asciiTheme="minorEastAsia" w:hAnsiTheme="minorEastAsia" w:eastAsiaTheme="minorEastAsia" w:cstheme="minorEastAsia"/>
          <w:b/>
          <w:spacing w:val="4"/>
          <w:sz w:val="32"/>
          <w:szCs w:val="32"/>
        </w:rPr>
      </w:pPr>
    </w:p>
    <w:tbl>
      <w:tblPr>
        <w:tblStyle w:val="27"/>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62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项目所在地</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发包人名称</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发包人地址</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合同金额</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项目描述</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sz w:val="24"/>
                <w:szCs w:val="24"/>
              </w:rPr>
            </w:pPr>
          </w:p>
        </w:tc>
      </w:tr>
    </w:tbl>
    <w:p>
      <w:pPr>
        <w:spacing w:line="360" w:lineRule="exact"/>
        <w:ind w:firstLine="479" w:firstLineChars="199"/>
        <w:rPr>
          <w:rFonts w:asciiTheme="minorEastAsia" w:hAnsiTheme="minorEastAsia" w:eastAsiaTheme="minorEastAsia" w:cstheme="minorEastAsia"/>
          <w:b/>
          <w:sz w:val="24"/>
          <w:szCs w:val="24"/>
        </w:rPr>
      </w:pPr>
    </w:p>
    <w:p>
      <w:pPr>
        <w:spacing w:line="360" w:lineRule="exact"/>
        <w:ind w:firstLine="479" w:firstLineChars="19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p>
      <w:pPr>
        <w:spacing w:line="360" w:lineRule="exact"/>
        <w:ind w:firstLine="477" w:firstLineChars="19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1、如有多个项目，每个项目填一张此表，附后。</w:t>
      </w:r>
    </w:p>
    <w:p>
      <w:pPr>
        <w:autoSpaceDE w:val="0"/>
        <w:autoSpaceDN w:val="0"/>
        <w:adjustRightInd w:val="0"/>
        <w:snapToGrid w:val="0"/>
        <w:spacing w:line="360" w:lineRule="exact"/>
        <w:ind w:firstLine="720" w:firstLineChars="300"/>
        <w:rPr>
          <w:rFonts w:asciiTheme="minorEastAsia" w:hAnsiTheme="minorEastAsia" w:eastAsiaTheme="minorEastAsia" w:cstheme="minorEastAsia"/>
          <w:sz w:val="24"/>
          <w:szCs w:val="24"/>
        </w:rPr>
      </w:pPr>
    </w:p>
    <w:p>
      <w:pPr>
        <w:autoSpaceDE w:val="0"/>
        <w:autoSpaceDN w:val="0"/>
        <w:adjustRightInd w:val="0"/>
        <w:snapToGrid w:val="0"/>
        <w:spacing w:line="360" w:lineRule="exact"/>
        <w:ind w:firstLine="720" w:firstLineChars="300"/>
        <w:rPr>
          <w:rFonts w:asciiTheme="minorEastAsia" w:hAnsiTheme="minorEastAsia" w:eastAsiaTheme="minorEastAsia" w:cstheme="minorEastAsia"/>
          <w:sz w:val="24"/>
          <w:szCs w:val="24"/>
        </w:rPr>
      </w:pPr>
    </w:p>
    <w:p>
      <w:pPr>
        <w:autoSpaceDE w:val="0"/>
        <w:autoSpaceDN w:val="0"/>
        <w:adjustRightInd w:val="0"/>
        <w:snapToGrid w:val="0"/>
        <w:spacing w:line="360" w:lineRule="exact"/>
        <w:ind w:firstLine="720" w:firstLineChars="300"/>
        <w:rPr>
          <w:rFonts w:asciiTheme="minorEastAsia" w:hAnsiTheme="minorEastAsia" w:eastAsiaTheme="minorEastAsia" w:cstheme="minorEastAsia"/>
          <w:sz w:val="24"/>
          <w:szCs w:val="24"/>
        </w:rPr>
      </w:pPr>
    </w:p>
    <w:p>
      <w:pPr>
        <w:spacing w:line="480" w:lineRule="exact"/>
        <w:ind w:firstLine="480" w:firstLineChars="200"/>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投标人：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（单位公章）</w:t>
      </w:r>
    </w:p>
    <w:p>
      <w:pPr>
        <w:spacing w:line="48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法人代表或委托代理人（签字或盖章）：</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600" w:lineRule="exact"/>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日期：</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月</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日</w:t>
      </w:r>
    </w:p>
    <w:p>
      <w:pPr>
        <w:autoSpaceDE w:val="0"/>
        <w:autoSpaceDN w:val="0"/>
        <w:adjustRightInd w:val="0"/>
        <w:snapToGrid w:val="0"/>
        <w:spacing w:after="100" w:afterAutospacing="1" w:line="360" w:lineRule="exact"/>
        <w:rPr>
          <w:rFonts w:asciiTheme="minorEastAsia" w:hAnsiTheme="minorEastAsia" w:eastAsiaTheme="minorEastAsia" w:cstheme="minorEastAsia"/>
          <w:szCs w:val="21"/>
        </w:rPr>
      </w:pPr>
    </w:p>
    <w:p>
      <w:pPr>
        <w:rPr>
          <w:rFonts w:asciiTheme="minorEastAsia" w:hAnsiTheme="minorEastAsia" w:eastAsiaTheme="minorEastAsia" w:cstheme="minorEastAsia"/>
          <w:b/>
          <w:spacing w:val="4"/>
          <w:sz w:val="28"/>
          <w:szCs w:val="28"/>
        </w:rPr>
      </w:pPr>
      <w:r>
        <w:rPr>
          <w:rFonts w:hint="eastAsia" w:asciiTheme="minorEastAsia" w:hAnsiTheme="minorEastAsia" w:eastAsiaTheme="minorEastAsia" w:cstheme="minorEastAsia"/>
          <w:b/>
          <w:sz w:val="30"/>
          <w:szCs w:val="30"/>
        </w:rPr>
        <w:br w:type="page"/>
      </w:r>
    </w:p>
    <w:p>
      <w:pPr>
        <w:pStyle w:val="7"/>
        <w:spacing w:before="312" w:beforeLines="100"/>
        <w:rPr>
          <w:rFonts w:asciiTheme="minorEastAsia" w:hAnsiTheme="minorEastAsia" w:eastAsiaTheme="minorEastAsia" w:cstheme="minorEastAsia"/>
          <w:sz w:val="28"/>
        </w:rPr>
      </w:pPr>
      <w:bookmarkStart w:id="128" w:name="_Toc27577"/>
      <w:r>
        <w:rPr>
          <w:rFonts w:hint="eastAsia" w:asciiTheme="minorEastAsia" w:hAnsiTheme="minorEastAsia" w:eastAsiaTheme="minorEastAsia" w:cstheme="minorEastAsia"/>
          <w:sz w:val="28"/>
        </w:rPr>
        <w:t>六、陕西省政府采购投标人</w:t>
      </w:r>
      <w:r>
        <w:rPr>
          <w:rFonts w:hint="eastAsia" w:asciiTheme="minorEastAsia" w:hAnsiTheme="minorEastAsia" w:eastAsiaTheme="minorEastAsia" w:cstheme="minorEastAsia"/>
          <w:spacing w:val="4"/>
          <w:sz w:val="28"/>
          <w:szCs w:val="28"/>
        </w:rPr>
        <w:t>拒绝政府采购领域商业贿赂承诺书</w:t>
      </w:r>
      <w:bookmarkEnd w:id="128"/>
    </w:p>
    <w:p>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为响应党中央、国务院关于治理政府采购领域商业贿赂行为的号召，我公司在此庄严承诺：</w:t>
      </w:r>
    </w:p>
    <w:p>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1、在参与政府采购活动中遵纪守法、诚信经营、公平竞标。</w:t>
      </w:r>
    </w:p>
    <w:p>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2、不向政府采购人、采购代理机构和政府采购评审专家进行任何形式的商业贿赂以谋取交易机会。</w:t>
      </w:r>
    </w:p>
    <w:p>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3、不向政府采购代理机构和采购人提供虚假资质文件或采用虚假应标方式参与政府采购市场竞争并谋取成交、成交。</w:t>
      </w:r>
    </w:p>
    <w:p>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4、不采取“围标、陪标”等商业欺诈手段获得政府采购定单。</w:t>
      </w:r>
    </w:p>
    <w:p>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5、不采取不正当手段诋毁、排挤其他投标人。</w:t>
      </w:r>
    </w:p>
    <w:p>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6、不在提供商品和服务时“偷梁换柱、以次充好”损害采购人的合法权益。</w:t>
      </w:r>
    </w:p>
    <w:p>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7、不与采购人、采购代理机构政府采购评审专家或其它投标人恶意串通，进行质疑和投诉，维护政府采购市场秩序。</w:t>
      </w:r>
    </w:p>
    <w:p>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8、尊重和接受政府采购监督管理部门的监督和政府采购代理机构招标采购要求，承担因违约行为给采购人造成的损失。</w:t>
      </w:r>
    </w:p>
    <w:p>
      <w:pPr>
        <w:spacing w:line="600" w:lineRule="exact"/>
        <w:ind w:left="681" w:leftChars="267" w:hanging="120" w:hangingChars="5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9、不发生其他有悖于政府采购公开、公平、公正和诚信原则的行为。</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承诺单位:</w:t>
      </w:r>
      <w:r>
        <w:rPr>
          <w:rFonts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rPr>
        <w:t>（盖章）</w:t>
      </w:r>
    </w:p>
    <w:p>
      <w:pPr>
        <w:spacing w:line="600" w:lineRule="exact"/>
        <w:ind w:left="701" w:leftChars="334"/>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被授权代表（签字或盖章）：</w:t>
      </w:r>
      <w:r>
        <w:rPr>
          <w:rFonts w:asciiTheme="minorEastAsia" w:hAnsiTheme="minorEastAsia" w:eastAsiaTheme="minorEastAsia" w:cstheme="minorEastAsia"/>
          <w:kern w:val="0"/>
          <w:sz w:val="24"/>
          <w:szCs w:val="24"/>
          <w:u w:val="single"/>
        </w:rPr>
        <w:t xml:space="preserve">             </w:t>
      </w:r>
    </w:p>
    <w:p>
      <w:pPr>
        <w:spacing w:line="600" w:lineRule="exact"/>
        <w:ind w:left="701" w:leftChars="334"/>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   址：</w:t>
      </w:r>
      <w:r>
        <w:rPr>
          <w:rFonts w:asciiTheme="minorEastAsia" w:hAnsiTheme="minorEastAsia" w:eastAsiaTheme="minorEastAsia" w:cstheme="minorEastAsia"/>
          <w:kern w:val="0"/>
          <w:sz w:val="24"/>
          <w:szCs w:val="24"/>
          <w:u w:val="single"/>
        </w:rPr>
        <w:t xml:space="preserve">                                </w:t>
      </w:r>
    </w:p>
    <w:p>
      <w:pPr>
        <w:spacing w:line="600" w:lineRule="exact"/>
        <w:ind w:left="659" w:leftChars="314"/>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邮   编：</w:t>
      </w:r>
      <w:r>
        <w:rPr>
          <w:rFonts w:asciiTheme="minorEastAsia" w:hAnsiTheme="minorEastAsia" w:eastAsiaTheme="minorEastAsia" w:cstheme="minorEastAsia"/>
          <w:kern w:val="0"/>
          <w:sz w:val="24"/>
          <w:szCs w:val="24"/>
          <w:u w:val="single"/>
        </w:rPr>
        <w:t xml:space="preserve">                               </w:t>
      </w:r>
    </w:p>
    <w:p>
      <w:pPr>
        <w:spacing w:line="600" w:lineRule="exact"/>
        <w:ind w:left="659" w:leftChars="314"/>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   话：</w:t>
      </w:r>
      <w:r>
        <w:rPr>
          <w:rFonts w:asciiTheme="minorEastAsia" w:hAnsiTheme="minorEastAsia" w:eastAsiaTheme="minorEastAsia" w:cstheme="minorEastAsia"/>
          <w:kern w:val="0"/>
          <w:sz w:val="24"/>
          <w:szCs w:val="24"/>
          <w:u w:val="single"/>
        </w:rPr>
        <w:t xml:space="preserve">                                </w:t>
      </w:r>
    </w:p>
    <w:p>
      <w:pPr>
        <w:spacing w:line="600" w:lineRule="exact"/>
        <w:ind w:left="659" w:leftChars="314"/>
        <w:jc w:val="right"/>
        <w:rPr>
          <w:rFonts w:asciiTheme="minorEastAsia" w:hAnsiTheme="minorEastAsia" w:eastAsiaTheme="minorEastAsia" w:cstheme="minorEastAsia"/>
          <w:kern w:val="0"/>
          <w:sz w:val="24"/>
          <w:szCs w:val="24"/>
        </w:rPr>
      </w:pP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spacing w:line="360" w:lineRule="auto"/>
        <w:rPr>
          <w:rFonts w:asciiTheme="minorEastAsia" w:hAnsiTheme="minorEastAsia" w:eastAsiaTheme="minorEastAsia" w:cstheme="minorEastAsia"/>
          <w:b/>
          <w:kern w:val="0"/>
          <w:sz w:val="24"/>
          <w:szCs w:val="24"/>
        </w:rPr>
      </w:pPr>
    </w:p>
    <w:p>
      <w:pPr>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br w:type="page"/>
      </w:r>
    </w:p>
    <w:p>
      <w:pPr>
        <w:pStyle w:val="7"/>
        <w:spacing w:before="312" w:beforeLines="100"/>
        <w:rPr>
          <w:rFonts w:asciiTheme="minorEastAsia" w:hAnsiTheme="minorEastAsia" w:eastAsiaTheme="minorEastAsia" w:cstheme="minorEastAsia"/>
          <w:sz w:val="32"/>
          <w:szCs w:val="32"/>
        </w:rPr>
      </w:pPr>
      <w:bookmarkStart w:id="129" w:name="_Toc11841"/>
      <w:r>
        <w:rPr>
          <w:rFonts w:hint="eastAsia" w:asciiTheme="minorEastAsia" w:hAnsiTheme="minorEastAsia" w:eastAsiaTheme="minorEastAsia" w:cstheme="minorEastAsia"/>
          <w:sz w:val="32"/>
          <w:szCs w:val="32"/>
        </w:rPr>
        <w:t>七、资格证明文件</w:t>
      </w:r>
      <w:bookmarkEnd w:id="129"/>
    </w:p>
    <w:p/>
    <w:p>
      <w:pPr>
        <w:pStyle w:val="11"/>
        <w:numPr>
          <w:ilvl w:val="0"/>
          <w:numId w:val="0"/>
        </w:numPr>
        <w:spacing w:line="360" w:lineRule="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333333"/>
          <w:spacing w:val="0"/>
          <w:sz w:val="24"/>
          <w:szCs w:val="24"/>
          <w:shd w:val="clear" w:fill="FFFFFF"/>
        </w:rPr>
        <w:t>提供合格有效的法人或者其他组织的营业执照等证明文件，自然人的身份证明；</w:t>
      </w:r>
    </w:p>
    <w:p>
      <w:pPr>
        <w:pStyle w:val="11"/>
        <w:numPr>
          <w:ilvl w:val="0"/>
          <w:numId w:val="0"/>
        </w:num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2、提供法定代表人授权书（附法定代表人、被授权人身份证复印件）及被授权人身份证原件（法定代表人直接参加投标，须提供法定代表人身份证明及身份证原件）；</w:t>
      </w:r>
    </w:p>
    <w:p>
      <w:pPr>
        <w:pStyle w:val="11"/>
        <w:numPr>
          <w:ilvl w:val="0"/>
          <w:numId w:val="0"/>
        </w:num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3、财务状况：提供2021年度的财务审计报告（至少包括资产负债表和利润表，成立时间至提交投标文件截止时间不足一年的可提供成立后任意时段的资产负债表）或开标时间前六个月内银行出具的资信证明及基本存款账户开户许可证；</w:t>
      </w:r>
    </w:p>
    <w:p>
      <w:pPr>
        <w:pStyle w:val="11"/>
        <w:numPr>
          <w:ilvl w:val="0"/>
          <w:numId w:val="0"/>
        </w:num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4、税收缴纳证明：提供投标截止日前近一年内任意一个月的纳税证明或完税证明（任意税种），依法免税的单位应提供相关证明材料；</w:t>
      </w:r>
    </w:p>
    <w:p>
      <w:pPr>
        <w:pStyle w:val="11"/>
        <w:numPr>
          <w:ilvl w:val="0"/>
          <w:numId w:val="0"/>
        </w:num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5、社会保障资金缴纳证明：提供投标截止日前近一年内任意一个月的社会保障资金缴存单据或社保机构开具的社会保险参保缴费情况证明，依法不需要缴纳社会保障资金的单位应提供相关证明材料；</w:t>
      </w:r>
    </w:p>
    <w:p>
      <w:pPr>
        <w:pStyle w:val="11"/>
        <w:numPr>
          <w:ilvl w:val="0"/>
          <w:numId w:val="0"/>
        </w:num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6、供应商需提供林木种子生产经营许可证；</w:t>
      </w:r>
    </w:p>
    <w:p>
      <w:pPr>
        <w:pStyle w:val="11"/>
        <w:numPr>
          <w:ilvl w:val="0"/>
          <w:numId w:val="0"/>
        </w:num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7、供应商应在招标文件发售期至投标截止时间前通过“信用中国”网站(www.creditchina.gov.cn)、中国政府采购网(www.ccgp.gov.cn) 查询相关主体信用记录； </w:t>
      </w:r>
    </w:p>
    <w:p>
      <w:pPr>
        <w:pStyle w:val="11"/>
        <w:numPr>
          <w:ilvl w:val="0"/>
          <w:numId w:val="0"/>
        </w:num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8、参加政府采购活动前3年内，在经营活动中没有重大违法记录的书面声明； </w:t>
      </w:r>
    </w:p>
    <w:p>
      <w:pPr>
        <w:pStyle w:val="11"/>
        <w:numPr>
          <w:ilvl w:val="0"/>
          <w:numId w:val="0"/>
        </w:num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9、提供具有履行合同所必需的设备和专业技术能力的书面承诺；</w:t>
      </w:r>
    </w:p>
    <w:p>
      <w:pPr>
        <w:pStyle w:val="11"/>
        <w:numPr>
          <w:ilvl w:val="0"/>
          <w:numId w:val="0"/>
        </w:num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10、投标保证金缴纳凭证或担保机构出具的保函；</w:t>
      </w:r>
    </w:p>
    <w:p>
      <w:pPr>
        <w:pStyle w:val="11"/>
        <w:numPr>
          <w:ilvl w:val="0"/>
          <w:numId w:val="0"/>
        </w:num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11、本项目专门面向中小企业采购（提供中小企业声明函）</w:t>
      </w:r>
    </w:p>
    <w:p>
      <w:pPr>
        <w:spacing w:line="560" w:lineRule="exact"/>
        <w:rPr>
          <w:rFonts w:hint="eastAsia" w:ascii="宋体" w:hAnsi="宋体" w:cs="宋体"/>
          <w:b/>
          <w:bCs/>
          <w:sz w:val="24"/>
          <w:szCs w:val="24"/>
        </w:rPr>
      </w:pPr>
      <w:r>
        <w:rPr>
          <w:rFonts w:hint="eastAsia" w:ascii="宋体" w:hAnsi="宋体" w:cs="宋体"/>
          <w:b/>
          <w:bCs/>
          <w:sz w:val="24"/>
          <w:szCs w:val="24"/>
        </w:rPr>
        <w:t>以上（1-</w:t>
      </w:r>
      <w:r>
        <w:rPr>
          <w:rFonts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）为必备资质，缺一项或某项达不到要求，按无效投标处理。</w:t>
      </w:r>
    </w:p>
    <w:p>
      <w:pPr>
        <w:spacing w:line="56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后附相关格式：</w:t>
      </w:r>
    </w:p>
    <w:p>
      <w:pPr>
        <w:rPr>
          <w:rFonts w:asciiTheme="minorEastAsia" w:hAnsiTheme="minorEastAsia" w:eastAsiaTheme="minorEastAsia" w:cstheme="minorEastAsia"/>
          <w:b/>
          <w:bCs/>
          <w:sz w:val="30"/>
          <w:szCs w:val="30"/>
        </w:rPr>
      </w:pPr>
      <w:bookmarkStart w:id="130" w:name="_Toc403077649"/>
      <w:bookmarkStart w:id="131" w:name="_Toc4867"/>
      <w:bookmarkStart w:id="132" w:name="_Toc363474028"/>
      <w:bookmarkStart w:id="133" w:name="_Toc19075"/>
      <w:bookmarkStart w:id="134" w:name="_Toc25348"/>
      <w:bookmarkStart w:id="135" w:name="_Toc30210"/>
      <w:bookmarkStart w:id="136" w:name="_Toc426457701"/>
      <w:bookmarkStart w:id="137" w:name="_Toc16097"/>
      <w:r>
        <w:rPr>
          <w:rFonts w:hint="eastAsia" w:asciiTheme="minorEastAsia" w:hAnsiTheme="minorEastAsia" w:eastAsiaTheme="minorEastAsia" w:cstheme="minorEastAsia"/>
          <w:b/>
          <w:bCs/>
          <w:sz w:val="30"/>
          <w:szCs w:val="30"/>
        </w:rPr>
        <w:br w:type="page"/>
      </w:r>
    </w:p>
    <w:p>
      <w:pPr>
        <w:pStyle w:val="12"/>
        <w:rPr>
          <w:rFonts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t>附件1：</w:t>
      </w:r>
    </w:p>
    <w:p>
      <w:pPr>
        <w:spacing w:before="312" w:beforeLines="100"/>
        <w:jc w:val="cente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法定代表人身份证明/法定代表人授权书</w:t>
      </w:r>
    </w:p>
    <w:p>
      <w:pPr>
        <w:pStyle w:val="12"/>
        <w:spacing w:before="156" w:beforeLines="5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法定代表人身份证明</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w:t>
      </w:r>
      <w:r>
        <w:rPr>
          <w:rFonts w:asciiTheme="minorEastAsia" w:hAnsiTheme="minorEastAsia" w:eastAsiaTheme="minorEastAsia" w:cstheme="minorEastAsia"/>
          <w:kern w:val="0"/>
          <w:sz w:val="24"/>
          <w:szCs w:val="24"/>
          <w:u w:val="single"/>
        </w:rPr>
        <w:t xml:space="preserve">                         </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r>
        <w:rPr>
          <w:rFonts w:asciiTheme="minorEastAsia" w:hAnsiTheme="minorEastAsia" w:eastAsiaTheme="minorEastAsia" w:cstheme="minorEastAsia"/>
          <w:kern w:val="0"/>
          <w:sz w:val="24"/>
          <w:szCs w:val="24"/>
          <w:u w:val="single"/>
        </w:rPr>
        <w:t xml:space="preserve">                    </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r>
        <w:rPr>
          <w:rFonts w:asciiTheme="minorEastAsia" w:hAnsiTheme="minorEastAsia" w:eastAsiaTheme="minorEastAsia" w:cstheme="minorEastAsia"/>
          <w:kern w:val="0"/>
          <w:sz w:val="24"/>
          <w:szCs w:val="24"/>
          <w:u w:val="single"/>
        </w:rPr>
        <w:t xml:space="preserve">                            </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日</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经营期限：</w:t>
      </w:r>
      <w:r>
        <w:rPr>
          <w:rFonts w:asciiTheme="minorEastAsia" w:hAnsiTheme="minorEastAsia" w:eastAsiaTheme="minorEastAsia" w:cstheme="minorEastAsia"/>
          <w:kern w:val="0"/>
          <w:sz w:val="24"/>
          <w:szCs w:val="24"/>
          <w:u w:val="single"/>
        </w:rPr>
        <w:t xml:space="preserve">                          </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性别：</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年龄：</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系</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（投标人名称）的法定代表人。</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附：法定代表人身份证复印件</w:t>
      </w:r>
    </w:p>
    <w:tbl>
      <w:tblPr>
        <w:tblStyle w:val="28"/>
        <w:tblpPr w:leftFromText="180" w:rightFromText="180" w:vertAnchor="text" w:horzAnchor="margin" w:tblpXSpec="center" w:tblpY="104"/>
        <w:tblW w:w="5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5837" w:type="dxa"/>
            <w:vAlign w:val="center"/>
          </w:tcPr>
          <w:p>
            <w:pPr>
              <w:snapToGrid w:val="0"/>
              <w:spacing w:line="480" w:lineRule="auto"/>
              <w:jc w:val="center"/>
              <w:rPr>
                <w:rFonts w:asciiTheme="minorEastAsia" w:hAnsiTheme="minorEastAsia" w:eastAsiaTheme="minorEastAsia" w:cstheme="minorEastAsia"/>
                <w:szCs w:val="21"/>
              </w:rPr>
            </w:pPr>
          </w:p>
          <w:p>
            <w:pPr>
              <w:snapToGrid w:val="0"/>
              <w:spacing w:line="480" w:lineRule="auto"/>
              <w:jc w:val="center"/>
              <w:rPr>
                <w:rFonts w:asciiTheme="minorEastAsia" w:hAnsiTheme="minorEastAsia" w:eastAsiaTheme="minorEastAsia" w:cstheme="minorEastAsia"/>
                <w:szCs w:val="21"/>
              </w:rPr>
            </w:pPr>
          </w:p>
          <w:p>
            <w:pPr>
              <w:autoSpaceDE w:val="0"/>
              <w:autoSpaceDN w:val="0"/>
              <w:adjustRightInd w:val="0"/>
              <w:snapToGrid w:val="0"/>
              <w:spacing w:before="156" w:beforeLines="50"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法定代表人身份证复印件粘贴处</w:t>
            </w:r>
          </w:p>
          <w:p>
            <w:pPr>
              <w:pStyle w:val="12"/>
              <w:jc w:val="center"/>
              <w:rPr>
                <w:rFonts w:asciiTheme="minorEastAsia" w:hAnsiTheme="minorEastAsia" w:eastAsiaTheme="minorEastAsia" w:cstheme="minorEastAsia"/>
              </w:rPr>
            </w:pPr>
            <w:r>
              <w:rPr>
                <w:rFonts w:hint="eastAsia" w:asciiTheme="minorEastAsia" w:hAnsiTheme="minorEastAsia" w:eastAsiaTheme="minorEastAsia" w:cstheme="minorEastAsia"/>
                <w:szCs w:val="21"/>
              </w:rPr>
              <w:t>（正反面）</w:t>
            </w:r>
          </w:p>
          <w:p>
            <w:pPr>
              <w:snapToGrid w:val="0"/>
              <w:spacing w:line="480" w:lineRule="auto"/>
              <w:jc w:val="center"/>
              <w:rPr>
                <w:rFonts w:asciiTheme="minorEastAsia" w:hAnsiTheme="minorEastAsia" w:eastAsiaTheme="minorEastAsia" w:cstheme="minorEastAsia"/>
                <w:szCs w:val="21"/>
              </w:rPr>
            </w:pPr>
          </w:p>
          <w:p>
            <w:pPr>
              <w:snapToGrid w:val="0"/>
              <w:spacing w:line="480" w:lineRule="auto"/>
              <w:jc w:val="center"/>
              <w:rPr>
                <w:rFonts w:asciiTheme="minorEastAsia" w:hAnsiTheme="minorEastAsia" w:eastAsiaTheme="minorEastAsia" w:cstheme="minorEastAsia"/>
                <w:szCs w:val="21"/>
              </w:rPr>
            </w:pPr>
          </w:p>
        </w:tc>
      </w:tr>
    </w:tbl>
    <w:p>
      <w:pPr>
        <w:snapToGrid w:val="0"/>
        <w:spacing w:line="480" w:lineRule="auto"/>
        <w:rPr>
          <w:rFonts w:asciiTheme="minorEastAsia" w:hAnsiTheme="minorEastAsia" w:eastAsiaTheme="minorEastAsia" w:cstheme="minorEastAsia"/>
          <w:szCs w:val="21"/>
        </w:rPr>
      </w:pPr>
    </w:p>
    <w:p>
      <w:pPr>
        <w:snapToGrid w:val="0"/>
        <w:rPr>
          <w:rFonts w:asciiTheme="minorEastAsia" w:hAnsiTheme="minorEastAsia" w:eastAsiaTheme="minorEastAsia" w:cstheme="minorEastAsia"/>
          <w:szCs w:val="21"/>
        </w:rPr>
      </w:pPr>
    </w:p>
    <w:p>
      <w:pPr>
        <w:snapToGrid w:val="0"/>
        <w:rPr>
          <w:rFonts w:asciiTheme="minorEastAsia" w:hAnsiTheme="minorEastAsia" w:eastAsiaTheme="minorEastAsia" w:cstheme="minorEastAsia"/>
          <w:szCs w:val="21"/>
        </w:rPr>
      </w:pPr>
    </w:p>
    <w:p>
      <w:pPr>
        <w:snapToGrid w:val="0"/>
        <w:rPr>
          <w:rFonts w:asciiTheme="minorEastAsia" w:hAnsiTheme="minorEastAsia" w:eastAsiaTheme="minorEastAsia" w:cstheme="minorEastAsia"/>
          <w:szCs w:val="21"/>
        </w:rPr>
      </w:pPr>
    </w:p>
    <w:p>
      <w:pPr>
        <w:snapToGrid w:val="0"/>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rPr>
      </w:pPr>
    </w:p>
    <w:p>
      <w:pPr>
        <w:adjustRightInd w:val="0"/>
        <w:snapToGrid w:val="0"/>
        <w:spacing w:line="360" w:lineRule="auto"/>
        <w:ind w:right="420"/>
        <w:rPr>
          <w:rFonts w:asciiTheme="minorEastAsia" w:hAnsiTheme="minorEastAsia" w:eastAsiaTheme="minorEastAsia" w:cstheme="minorEastAsia"/>
        </w:rPr>
      </w:pPr>
    </w:p>
    <w:p>
      <w:pPr>
        <w:adjustRightInd w:val="0"/>
        <w:snapToGrid w:val="0"/>
        <w:spacing w:line="360" w:lineRule="auto"/>
        <w:ind w:right="420"/>
        <w:rPr>
          <w:rFonts w:asciiTheme="minorEastAsia" w:hAnsiTheme="minorEastAsia" w:eastAsiaTheme="minorEastAsia" w:cstheme="minorEastAsia"/>
        </w:rPr>
      </w:pPr>
    </w:p>
    <w:p>
      <w:pPr>
        <w:adjustRightInd w:val="0"/>
        <w:snapToGrid w:val="0"/>
        <w:spacing w:line="360" w:lineRule="auto"/>
        <w:ind w:right="420"/>
        <w:rPr>
          <w:rFonts w:asciiTheme="minorEastAsia" w:hAnsiTheme="minorEastAsia" w:eastAsiaTheme="minorEastAsia" w:cstheme="minorEastAsia"/>
        </w:rPr>
      </w:pPr>
    </w:p>
    <w:p>
      <w:pPr>
        <w:adjustRightInd w:val="0"/>
        <w:snapToGrid w:val="0"/>
        <w:spacing w:line="360" w:lineRule="auto"/>
        <w:ind w:right="420"/>
        <w:rPr>
          <w:rFonts w:asciiTheme="minorEastAsia" w:hAnsiTheme="minorEastAsia" w:eastAsiaTheme="minorEastAsia" w:cstheme="minorEastAsia"/>
        </w:rPr>
      </w:pPr>
    </w:p>
    <w:p>
      <w:pPr>
        <w:adjustRightInd w:val="0"/>
        <w:snapToGrid w:val="0"/>
        <w:spacing w:line="360" w:lineRule="auto"/>
        <w:ind w:right="420"/>
        <w:rPr>
          <w:rFonts w:asciiTheme="minorEastAsia" w:hAnsiTheme="minorEastAsia" w:eastAsiaTheme="minorEastAsia" w:cstheme="minorEastAsia"/>
        </w:rPr>
      </w:pPr>
    </w:p>
    <w:p>
      <w:pPr>
        <w:adjustRightInd w:val="0"/>
        <w:snapToGrid w:val="0"/>
        <w:spacing w:line="360" w:lineRule="auto"/>
        <w:ind w:right="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投标人名称（公章）：</w:t>
      </w:r>
      <w:r>
        <w:rPr>
          <w:rFonts w:asciiTheme="minorEastAsia" w:hAnsiTheme="minorEastAsia" w:eastAsiaTheme="minorEastAsia" w:cstheme="minorEastAsia"/>
          <w:kern w:val="0"/>
          <w:sz w:val="24"/>
          <w:szCs w:val="24"/>
          <w:u w:val="single"/>
        </w:rPr>
        <w:t xml:space="preserve">                   </w:t>
      </w:r>
    </w:p>
    <w:p>
      <w:pPr>
        <w:adjustRightInd w:val="0"/>
        <w:snapToGrid w:val="0"/>
        <w:spacing w:line="360" w:lineRule="auto"/>
        <w:ind w:right="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日</w:t>
      </w:r>
    </w:p>
    <w:p>
      <w:pPr>
        <w:adjustRightInd w:val="0"/>
        <w:snapToGrid w:val="0"/>
        <w:spacing w:line="360" w:lineRule="auto"/>
        <w:ind w:right="420"/>
        <w:rPr>
          <w:rFonts w:asciiTheme="minorEastAsia" w:hAnsiTheme="minorEastAsia" w:eastAsiaTheme="minorEastAsia" w:cstheme="minorEastAsia"/>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pPr>
        <w:keepNext/>
        <w:spacing w:before="312" w:beforeLines="1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法定代表人授权书</w:t>
      </w:r>
      <w:bookmarkEnd w:id="130"/>
      <w:bookmarkEnd w:id="131"/>
      <w:bookmarkEnd w:id="132"/>
      <w:bookmarkEnd w:id="133"/>
      <w:bookmarkEnd w:id="134"/>
      <w:bookmarkEnd w:id="135"/>
      <w:bookmarkEnd w:id="136"/>
      <w:bookmarkEnd w:id="137"/>
    </w:p>
    <w:p>
      <w:pPr>
        <w:spacing w:line="560" w:lineRule="exact"/>
        <w:jc w:val="left"/>
        <w:rPr>
          <w:rFonts w:hint="eastAsia" w:asciiTheme="minorEastAsia" w:hAnsiTheme="minorEastAsia" w:eastAsiaTheme="minorEastAsia" w:cstheme="minorEastAsia"/>
          <w:spacing w:val="4"/>
          <w:szCs w:val="24"/>
          <w:lang w:eastAsia="zh-CN"/>
        </w:rPr>
      </w:pPr>
      <w:r>
        <w:rPr>
          <w:rFonts w:hint="eastAsia" w:asciiTheme="minorEastAsia" w:hAnsiTheme="minorEastAsia" w:eastAsiaTheme="minorEastAsia" w:cstheme="minorEastAsia"/>
          <w:b/>
          <w:spacing w:val="4"/>
          <w:szCs w:val="24"/>
        </w:rPr>
        <w:t>致：</w:t>
      </w:r>
      <w:r>
        <w:rPr>
          <w:rFonts w:hint="eastAsia" w:asciiTheme="minorEastAsia" w:hAnsiTheme="minorEastAsia" w:eastAsiaTheme="minorEastAsia" w:cstheme="minorEastAsia"/>
          <w:b/>
          <w:spacing w:val="4"/>
          <w:szCs w:val="24"/>
          <w:u w:val="single"/>
          <w:lang w:eastAsia="zh-CN"/>
        </w:rPr>
        <w:t>西安天合建设项目管理有限公司</w:t>
      </w:r>
    </w:p>
    <w:p>
      <w:pPr>
        <w:spacing w:line="560" w:lineRule="exact"/>
        <w:ind w:firstLine="436" w:firstLineChars="200"/>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u w:val="single"/>
        </w:rPr>
        <w:t xml:space="preserve">(投标人名称)   </w:t>
      </w:r>
      <w:r>
        <w:rPr>
          <w:rFonts w:hint="eastAsia" w:asciiTheme="minorEastAsia" w:hAnsiTheme="minorEastAsia" w:eastAsiaTheme="minorEastAsia" w:cstheme="minorEastAsia"/>
          <w:spacing w:val="4"/>
          <w:szCs w:val="24"/>
        </w:rPr>
        <w:t>按中华人民共和国法律于</w:t>
      </w:r>
      <w:r>
        <w:rPr>
          <w:rFonts w:hint="eastAsia" w:asciiTheme="minorEastAsia" w:hAnsiTheme="minorEastAsia" w:eastAsiaTheme="minorEastAsia" w:cstheme="minorEastAsia"/>
          <w:spacing w:val="4"/>
          <w:szCs w:val="24"/>
          <w:u w:val="single"/>
        </w:rPr>
        <w:t>（年月日）</w:t>
      </w:r>
      <w:r>
        <w:rPr>
          <w:rFonts w:hint="eastAsia" w:asciiTheme="minorEastAsia" w:hAnsiTheme="minorEastAsia" w:eastAsiaTheme="minorEastAsia" w:cstheme="minorEastAsia"/>
          <w:spacing w:val="4"/>
          <w:szCs w:val="24"/>
        </w:rPr>
        <w:t>成立。</w:t>
      </w:r>
      <w:r>
        <w:rPr>
          <w:rFonts w:hint="eastAsia" w:asciiTheme="minorEastAsia" w:hAnsiTheme="minorEastAsia" w:eastAsiaTheme="minorEastAsia" w:cstheme="minorEastAsia"/>
          <w:spacing w:val="4"/>
          <w:szCs w:val="24"/>
          <w:u w:val="single"/>
        </w:rPr>
        <w:t>(</w:t>
      </w:r>
      <w:r>
        <w:rPr>
          <w:rFonts w:hint="eastAsia" w:asciiTheme="minorEastAsia" w:hAnsiTheme="minorEastAsia" w:eastAsiaTheme="minorEastAsia" w:cstheme="minorEastAsia"/>
          <w:szCs w:val="24"/>
          <w:u w:val="single"/>
        </w:rPr>
        <w:t>法定代表人</w:t>
      </w:r>
      <w:r>
        <w:rPr>
          <w:rFonts w:hint="eastAsia" w:asciiTheme="minorEastAsia" w:hAnsiTheme="minorEastAsia" w:eastAsiaTheme="minorEastAsia" w:cstheme="minorEastAsia"/>
          <w:spacing w:val="4"/>
          <w:szCs w:val="24"/>
          <w:u w:val="single"/>
        </w:rPr>
        <w:t>姓名)</w:t>
      </w:r>
      <w:r>
        <w:rPr>
          <w:rFonts w:hint="eastAsia" w:asciiTheme="minorEastAsia" w:hAnsiTheme="minorEastAsia" w:eastAsiaTheme="minorEastAsia" w:cstheme="minorEastAsia"/>
          <w:spacing w:val="4"/>
          <w:szCs w:val="24"/>
        </w:rPr>
        <w:t>特授权</w:t>
      </w:r>
      <w:r>
        <w:rPr>
          <w:rFonts w:hint="eastAsia" w:asciiTheme="minorEastAsia" w:hAnsiTheme="minorEastAsia" w:eastAsiaTheme="minorEastAsia" w:cstheme="minorEastAsia"/>
          <w:spacing w:val="4"/>
          <w:szCs w:val="24"/>
          <w:u w:val="single"/>
        </w:rPr>
        <w:t>（</w:t>
      </w:r>
      <w:r>
        <w:rPr>
          <w:rFonts w:hint="eastAsia" w:asciiTheme="minorEastAsia" w:hAnsiTheme="minorEastAsia" w:eastAsiaTheme="minorEastAsia" w:cstheme="minorEastAsia"/>
          <w:szCs w:val="24"/>
          <w:u w:val="single"/>
        </w:rPr>
        <w:t>授权代表</w:t>
      </w:r>
      <w:r>
        <w:rPr>
          <w:rFonts w:hint="eastAsia" w:asciiTheme="minorEastAsia" w:hAnsiTheme="minorEastAsia" w:eastAsiaTheme="minorEastAsia" w:cstheme="minorEastAsia"/>
          <w:spacing w:val="4"/>
          <w:szCs w:val="24"/>
          <w:u w:val="single"/>
        </w:rPr>
        <w:t>姓名）</w:t>
      </w:r>
      <w:r>
        <w:rPr>
          <w:rFonts w:hint="eastAsia" w:asciiTheme="minorEastAsia" w:hAnsiTheme="minorEastAsia" w:eastAsiaTheme="minorEastAsia" w:cstheme="minorEastAsia"/>
          <w:spacing w:val="4"/>
          <w:szCs w:val="24"/>
        </w:rPr>
        <w:t>代表我公司全权办理针对本次</w:t>
      </w:r>
      <w:r>
        <w:rPr>
          <w:rFonts w:hint="eastAsia" w:asciiTheme="minorEastAsia" w:hAnsiTheme="minorEastAsia" w:eastAsiaTheme="minorEastAsia" w:cstheme="minorEastAsia"/>
          <w:spacing w:val="4"/>
          <w:szCs w:val="24"/>
          <w:u w:val="single"/>
        </w:rPr>
        <w:t>（项目名称</w:t>
      </w:r>
      <w:r>
        <w:rPr>
          <w:rFonts w:hint="eastAsia" w:asciiTheme="minorEastAsia" w:hAnsiTheme="minorEastAsia" w:eastAsiaTheme="minorEastAsia" w:cstheme="minorEastAsia"/>
          <w:spacing w:val="4"/>
          <w:szCs w:val="24"/>
          <w:u w:val="single"/>
          <w:lang w:eastAsia="zh-CN"/>
        </w:rPr>
        <w:t>及标段</w:t>
      </w:r>
      <w:r>
        <w:rPr>
          <w:rFonts w:hint="eastAsia" w:asciiTheme="minorEastAsia" w:hAnsiTheme="minorEastAsia" w:eastAsiaTheme="minorEastAsia" w:cstheme="minorEastAsia"/>
          <w:spacing w:val="4"/>
          <w:szCs w:val="24"/>
          <w:u w:val="single"/>
        </w:rPr>
        <w:t>、项目编号）</w:t>
      </w:r>
      <w:r>
        <w:rPr>
          <w:rFonts w:hint="eastAsia" w:asciiTheme="minorEastAsia" w:hAnsiTheme="minorEastAsia" w:eastAsiaTheme="minorEastAsia" w:cstheme="minorEastAsia"/>
          <w:spacing w:val="4"/>
          <w:szCs w:val="24"/>
        </w:rPr>
        <w:t>投标、谈判、签约等具体工作，并签署全部有关的文件、协议及合同。</w:t>
      </w:r>
    </w:p>
    <w:p>
      <w:pPr>
        <w:spacing w:line="560" w:lineRule="exact"/>
        <w:ind w:firstLine="436" w:firstLineChars="200"/>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我公司对</w:t>
      </w:r>
      <w:r>
        <w:rPr>
          <w:rFonts w:hint="eastAsia" w:asciiTheme="minorEastAsia" w:hAnsiTheme="minorEastAsia" w:eastAsiaTheme="minorEastAsia" w:cstheme="minorEastAsia"/>
          <w:szCs w:val="24"/>
        </w:rPr>
        <w:t>授权代表</w:t>
      </w:r>
      <w:r>
        <w:rPr>
          <w:rFonts w:hint="eastAsia" w:asciiTheme="minorEastAsia" w:hAnsiTheme="minorEastAsia" w:eastAsiaTheme="minorEastAsia" w:cstheme="minorEastAsia"/>
          <w:spacing w:val="4"/>
          <w:szCs w:val="24"/>
        </w:rPr>
        <w:t>的签名负全部责任。</w:t>
      </w:r>
    </w:p>
    <w:p>
      <w:pPr>
        <w:spacing w:line="560" w:lineRule="exact"/>
        <w:ind w:right="540" w:rightChars="257" w:firstLine="42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委托期限：</w:t>
      </w:r>
      <w:r>
        <w:rPr>
          <w:rFonts w:hint="eastAsia" w:asciiTheme="minorEastAsia" w:hAnsiTheme="minorEastAsia" w:eastAsiaTheme="minorEastAsia" w:cstheme="minorEastAsia"/>
          <w:lang w:val="zh-CN"/>
        </w:rPr>
        <w:t>自</w:t>
      </w:r>
      <w:r>
        <w:rPr>
          <w:rFonts w:hint="eastAsia" w:asciiTheme="minorEastAsia" w:hAnsiTheme="minorEastAsia" w:eastAsiaTheme="minorEastAsia" w:cstheme="minorEastAsia"/>
        </w:rPr>
        <w:t>投标截止</w:t>
      </w:r>
      <w:r>
        <w:rPr>
          <w:rFonts w:hint="eastAsia" w:asciiTheme="minorEastAsia" w:hAnsiTheme="minorEastAsia" w:eastAsiaTheme="minorEastAsia" w:cstheme="minorEastAsia"/>
          <w:lang w:val="zh-CN"/>
        </w:rPr>
        <w:t>之日起</w:t>
      </w:r>
      <w:r>
        <w:rPr>
          <w:rFonts w:hint="eastAsia" w:asciiTheme="minorEastAsia" w:hAnsiTheme="minorEastAsia" w:eastAsiaTheme="minorEastAsia" w:cstheme="minorEastAsia"/>
        </w:rPr>
        <w:t>90</w:t>
      </w:r>
      <w:r>
        <w:rPr>
          <w:rFonts w:hint="eastAsia" w:asciiTheme="minorEastAsia" w:hAnsiTheme="minorEastAsia" w:eastAsiaTheme="minorEastAsia" w:cstheme="minorEastAsia"/>
          <w:lang w:val="zh-CN"/>
        </w:rPr>
        <w:t>天。</w:t>
      </w:r>
    </w:p>
    <w:p>
      <w:pPr>
        <w:spacing w:line="560" w:lineRule="exact"/>
        <w:ind w:firstLine="436" w:firstLineChars="200"/>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本授权书于</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pacing w:val="4"/>
          <w:szCs w:val="24"/>
          <w:u w:val="single"/>
        </w:rPr>
        <w:t>年</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pacing w:val="4"/>
          <w:szCs w:val="24"/>
          <w:u w:val="single"/>
        </w:rPr>
        <w:t>月</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pacing w:val="4"/>
          <w:szCs w:val="24"/>
          <w:u w:val="single"/>
        </w:rPr>
        <w:t>日</w:t>
      </w:r>
      <w:r>
        <w:rPr>
          <w:rFonts w:hint="eastAsia" w:asciiTheme="minorEastAsia" w:hAnsiTheme="minorEastAsia" w:eastAsiaTheme="minorEastAsia" w:cstheme="minorEastAsia"/>
          <w:spacing w:val="4"/>
          <w:szCs w:val="24"/>
        </w:rPr>
        <w:t>签章生效，特此证明。</w:t>
      </w:r>
    </w:p>
    <w:tbl>
      <w:tblPr>
        <w:tblStyle w:val="27"/>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被授权人签字或盖章：</w:t>
            </w:r>
            <w:r>
              <w:rPr>
                <w:rFonts w:asciiTheme="minorEastAsia" w:hAnsiTheme="minorEastAsia" w:eastAsiaTheme="minorEastAsia" w:cstheme="minorEastAsia"/>
                <w:kern w:val="0"/>
                <w:sz w:val="24"/>
                <w:szCs w:val="24"/>
                <w:u w:val="single"/>
              </w:rPr>
              <w:t xml:space="preserve">             </w:t>
            </w:r>
          </w:p>
        </w:tc>
        <w:tc>
          <w:tcPr>
            <w:tcW w:w="3990" w:type="dxa"/>
          </w:tcPr>
          <w:p>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zCs w:val="24"/>
              </w:rPr>
              <w:t>法定代表人</w:t>
            </w:r>
            <w:r>
              <w:rPr>
                <w:rFonts w:hint="eastAsia" w:asciiTheme="minorEastAsia" w:hAnsiTheme="minorEastAsia" w:eastAsiaTheme="minorEastAsia" w:cstheme="minorEastAsia"/>
                <w:spacing w:val="4"/>
                <w:szCs w:val="24"/>
              </w:rPr>
              <w:t>签字或盖章：</w:t>
            </w:r>
            <w:r>
              <w:rPr>
                <w:rFonts w:asciiTheme="minorEastAsia" w:hAnsiTheme="minorEastAsia" w:eastAsiaTheme="minorEastAsia" w:cstheme="minorEastAsia"/>
                <w:kern w:val="0"/>
                <w:sz w:val="24"/>
                <w:szCs w:val="24"/>
                <w:u w:val="single"/>
              </w:rPr>
              <w:t xml:space="preserve">            </w:t>
            </w:r>
          </w:p>
        </w:tc>
      </w:tr>
      <w:tr>
        <w:tblPrEx>
          <w:tblCellMar>
            <w:top w:w="0" w:type="dxa"/>
            <w:left w:w="108" w:type="dxa"/>
            <w:bottom w:w="0" w:type="dxa"/>
            <w:right w:w="108" w:type="dxa"/>
          </w:tblCellMar>
        </w:tblPrEx>
        <w:trPr>
          <w:trHeight w:val="600" w:hRule="atLeast"/>
        </w:trPr>
        <w:tc>
          <w:tcPr>
            <w:tcW w:w="4200" w:type="dxa"/>
          </w:tcPr>
          <w:p>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职务：</w:t>
            </w:r>
            <w:r>
              <w:rPr>
                <w:rFonts w:asciiTheme="minorEastAsia" w:hAnsiTheme="minorEastAsia" w:eastAsiaTheme="minorEastAsia" w:cstheme="minorEastAsia"/>
                <w:kern w:val="0"/>
                <w:sz w:val="24"/>
                <w:szCs w:val="24"/>
                <w:u w:val="single"/>
              </w:rPr>
              <w:t xml:space="preserve">                          </w:t>
            </w:r>
          </w:p>
        </w:tc>
        <w:tc>
          <w:tcPr>
            <w:tcW w:w="3990" w:type="dxa"/>
          </w:tcPr>
          <w:p>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职务：</w:t>
            </w:r>
            <w:r>
              <w:rPr>
                <w:rFonts w:asciiTheme="minorEastAsia" w:hAnsiTheme="minorEastAsia" w:eastAsiaTheme="minorEastAsia" w:cstheme="minorEastAsia"/>
                <w:kern w:val="0"/>
                <w:sz w:val="24"/>
                <w:szCs w:val="24"/>
                <w:u w:val="single"/>
              </w:rPr>
              <w:t xml:space="preserve">                            </w:t>
            </w:r>
          </w:p>
        </w:tc>
      </w:tr>
      <w:tr>
        <w:tblPrEx>
          <w:tblCellMar>
            <w:top w:w="0" w:type="dxa"/>
            <w:left w:w="108" w:type="dxa"/>
            <w:bottom w:w="0" w:type="dxa"/>
            <w:right w:w="108" w:type="dxa"/>
          </w:tblCellMar>
        </w:tblPrEx>
        <w:trPr>
          <w:trHeight w:val="600" w:hRule="atLeast"/>
        </w:trPr>
        <w:tc>
          <w:tcPr>
            <w:tcW w:w="4200" w:type="dxa"/>
          </w:tcPr>
          <w:p>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身份证号：</w:t>
            </w:r>
            <w:r>
              <w:rPr>
                <w:rFonts w:asciiTheme="minorEastAsia" w:hAnsiTheme="minorEastAsia" w:eastAsiaTheme="minorEastAsia" w:cstheme="minorEastAsia"/>
                <w:kern w:val="0"/>
                <w:sz w:val="24"/>
                <w:szCs w:val="24"/>
                <w:u w:val="single"/>
              </w:rPr>
              <w:t xml:space="preserve">                    </w:t>
            </w:r>
          </w:p>
        </w:tc>
        <w:tc>
          <w:tcPr>
            <w:tcW w:w="3990" w:type="dxa"/>
          </w:tcPr>
          <w:p>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身份证号：</w:t>
            </w:r>
            <w:r>
              <w:rPr>
                <w:rFonts w:asciiTheme="minorEastAsia" w:hAnsiTheme="minorEastAsia" w:eastAsiaTheme="minorEastAsia" w:cstheme="minorEastAsia"/>
                <w:kern w:val="0"/>
                <w:sz w:val="24"/>
                <w:szCs w:val="24"/>
                <w:u w:val="single"/>
              </w:rPr>
              <w:t xml:space="preserve">                       </w:t>
            </w:r>
          </w:p>
        </w:tc>
      </w:tr>
      <w:tr>
        <w:tblPrEx>
          <w:tblCellMar>
            <w:top w:w="0" w:type="dxa"/>
            <w:left w:w="108" w:type="dxa"/>
            <w:bottom w:w="0" w:type="dxa"/>
            <w:right w:w="108" w:type="dxa"/>
          </w:tblCellMar>
        </w:tblPrEx>
        <w:trPr>
          <w:trHeight w:val="600" w:hRule="atLeast"/>
        </w:trPr>
        <w:tc>
          <w:tcPr>
            <w:tcW w:w="4200" w:type="dxa"/>
          </w:tcPr>
          <w:p>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所在部门：</w:t>
            </w:r>
            <w:r>
              <w:rPr>
                <w:rFonts w:asciiTheme="minorEastAsia" w:hAnsiTheme="minorEastAsia" w:eastAsiaTheme="minorEastAsia" w:cstheme="minorEastAsia"/>
                <w:kern w:val="0"/>
                <w:sz w:val="24"/>
                <w:szCs w:val="24"/>
                <w:u w:val="single"/>
              </w:rPr>
              <w:t xml:space="preserve">       </w:t>
            </w:r>
          </w:p>
        </w:tc>
        <w:tc>
          <w:tcPr>
            <w:tcW w:w="3990" w:type="dxa"/>
          </w:tcPr>
          <w:p>
            <w:pPr>
              <w:spacing w:line="520" w:lineRule="exact"/>
              <w:jc w:val="left"/>
              <w:rPr>
                <w:rFonts w:asciiTheme="minorEastAsia" w:hAnsiTheme="minorEastAsia" w:eastAsiaTheme="minorEastAsia" w:cstheme="minorEastAsia"/>
                <w:spacing w:val="4"/>
                <w:szCs w:val="24"/>
              </w:rPr>
            </w:pPr>
          </w:p>
        </w:tc>
      </w:tr>
    </w:tbl>
    <w:p>
      <w:pPr>
        <w:spacing w:line="520" w:lineRule="exact"/>
        <w:ind w:firstLine="436" w:firstLineChars="200"/>
        <w:jc w:val="left"/>
        <w:rPr>
          <w:rFonts w:asciiTheme="minorEastAsia" w:hAnsiTheme="minorEastAsia" w:eastAsiaTheme="minorEastAsia" w:cstheme="minorEastAsia"/>
          <w:spacing w:val="4"/>
          <w:szCs w:val="24"/>
        </w:rPr>
      </w:pPr>
    </w:p>
    <w:p>
      <w:pPr>
        <w:spacing w:before="240" w:line="360" w:lineRule="auto"/>
        <w:ind w:firstLine="840" w:firstLineChars="400"/>
        <w:rPr>
          <w:rFonts w:asciiTheme="minorEastAsia" w:hAnsiTheme="minorEastAsia" w:eastAsiaTheme="minorEastAsia" w:cstheme="minorEastAsia"/>
          <w:u w:val="single"/>
        </w:rPr>
      </w:pPr>
      <w:r>
        <w:rPr>
          <w:rFonts w:hint="eastAsia" w:asciiTheme="minorEastAsia" w:hAnsiTheme="minorEastAsia" w:eastAsiaTheme="minorEastAsia" w:cstheme="minorEastAsia"/>
          <w:lang w:val="zh-CN"/>
        </w:rPr>
        <w:t>附法定代表人</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zh-CN"/>
        </w:rPr>
        <w:t>授权代表身份证复印件</w:t>
      </w:r>
    </w:p>
    <w:tbl>
      <w:tblPr>
        <w:tblStyle w:val="27"/>
        <w:tblW w:w="8357" w:type="dxa"/>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法定代表人身份证复印件粘贴处</w:t>
            </w:r>
          </w:p>
          <w:p>
            <w:pPr>
              <w:spacing w:line="360" w:lineRule="auto"/>
              <w:jc w:val="center"/>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156" w:beforeLines="50"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4"/>
              </w:rPr>
              <w:t>授权代表</w:t>
            </w:r>
            <w:r>
              <w:rPr>
                <w:rFonts w:hint="eastAsia" w:asciiTheme="minorEastAsia" w:hAnsiTheme="minorEastAsia" w:eastAsiaTheme="minorEastAsia" w:cstheme="minorEastAsia"/>
                <w:szCs w:val="21"/>
              </w:rPr>
              <w:t>身份证复印件粘贴处</w:t>
            </w:r>
          </w:p>
          <w:p>
            <w:pPr>
              <w:autoSpaceDE w:val="0"/>
              <w:autoSpaceDN w:val="0"/>
              <w:adjustRightInd w:val="0"/>
              <w:snapToGrid w:val="0"/>
              <w:spacing w:before="156" w:beforeLines="50" w:line="360" w:lineRule="auto"/>
              <w:jc w:val="center"/>
              <w:rPr>
                <w:rFonts w:asciiTheme="minorEastAsia" w:hAnsiTheme="minorEastAsia" w:eastAsiaTheme="minorEastAsia" w:cstheme="minorEastAsia"/>
                <w:u w:val="single"/>
              </w:rPr>
            </w:pPr>
            <w:r>
              <w:rPr>
                <w:rFonts w:hint="eastAsia" w:asciiTheme="minorEastAsia" w:hAnsiTheme="minorEastAsia" w:eastAsiaTheme="minorEastAsia" w:cstheme="minorEastAsia"/>
                <w:szCs w:val="21"/>
              </w:rPr>
              <w:t>（正反面）</w:t>
            </w:r>
          </w:p>
        </w:tc>
      </w:tr>
    </w:tbl>
    <w:p>
      <w:pPr>
        <w:spacing w:line="480" w:lineRule="auto"/>
        <w:ind w:left="424" w:leftChars="202" w:right="540" w:rightChars="257"/>
        <w:jc w:val="left"/>
        <w:rPr>
          <w:rFonts w:asciiTheme="minorEastAsia" w:hAnsiTheme="minorEastAsia" w:eastAsiaTheme="minorEastAsia" w:cstheme="minorEastAsia"/>
        </w:rPr>
      </w:pPr>
      <w:r>
        <w:rPr>
          <w:rFonts w:hint="eastAsia" w:asciiTheme="minorEastAsia" w:hAnsiTheme="minorEastAsia" w:eastAsiaTheme="minorEastAsia" w:cstheme="minorEastAsia"/>
        </w:rPr>
        <w:t>投标人名称：</w:t>
      </w:r>
      <w:r>
        <w:rPr>
          <w:rFonts w:hint="eastAsia" w:asciiTheme="minorEastAsia" w:hAnsiTheme="minorEastAsia" w:eastAsiaTheme="minorEastAsia" w:cstheme="minorEastAsia"/>
          <w:u w:val="single"/>
        </w:rPr>
        <w:t xml:space="preserve">            （加盖单位公章）</w:t>
      </w:r>
    </w:p>
    <w:p>
      <w:pPr>
        <w:spacing w:line="440" w:lineRule="exact"/>
        <w:ind w:left="424" w:leftChars="202"/>
        <w:rPr>
          <w:rFonts w:asciiTheme="minorEastAsia" w:hAnsiTheme="minorEastAsia" w:eastAsiaTheme="minorEastAsia" w:cstheme="minorEastAsia"/>
          <w:spacing w:val="4"/>
          <w:szCs w:val="30"/>
        </w:rPr>
      </w:pPr>
      <w:r>
        <w:rPr>
          <w:rFonts w:hint="eastAsia" w:asciiTheme="minorEastAsia" w:hAnsiTheme="minorEastAsia" w:eastAsiaTheme="minorEastAsia" w:cstheme="minorEastAsia"/>
          <w:spacing w:val="4"/>
          <w:szCs w:val="30"/>
        </w:rPr>
        <w:t>日期：</w:t>
      </w:r>
      <w:r>
        <w:rPr>
          <w:rFonts w:asciiTheme="minorEastAsia" w:hAnsiTheme="minorEastAsia" w:eastAsiaTheme="minorEastAsia" w:cstheme="minorEastAsia"/>
          <w:kern w:val="0"/>
          <w:sz w:val="24"/>
          <w:szCs w:val="24"/>
          <w:u w:val="single"/>
        </w:rPr>
        <w:t xml:space="preserve">                            </w:t>
      </w:r>
    </w:p>
    <w:p>
      <w:pPr>
        <w:ind w:firstLine="422" w:firstLineChars="200"/>
        <w:rPr>
          <w:rFonts w:asciiTheme="minorEastAsia" w:hAnsiTheme="minorEastAsia" w:eastAsiaTheme="minorEastAsia" w:cstheme="minorEastAsia"/>
          <w:b/>
          <w:bCs/>
          <w:lang w:val="zh-CN"/>
        </w:rPr>
      </w:pPr>
    </w:p>
    <w:p>
      <w:pPr>
        <w:rPr>
          <w:rFonts w:asciiTheme="minorEastAsia" w:hAnsiTheme="minorEastAsia" w:eastAsiaTheme="minorEastAsia" w:cstheme="minorEastAsia"/>
        </w:rPr>
      </w:pPr>
      <w:bookmarkStart w:id="138" w:name="_Toc25905"/>
      <w:r>
        <w:rPr>
          <w:rFonts w:hint="eastAsia" w:asciiTheme="minorEastAsia" w:hAnsiTheme="minorEastAsia" w:eastAsiaTheme="minorEastAsia" w:cstheme="minorEastAsia"/>
          <w:spacing w:val="4"/>
          <w:szCs w:val="30"/>
        </w:rPr>
        <w:br w:type="page"/>
      </w:r>
      <w:bookmarkEnd w:id="138"/>
    </w:p>
    <w:p>
      <w:pPr>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附件2：</w:t>
      </w:r>
    </w:p>
    <w:p>
      <w:pPr>
        <w:spacing w:before="156" w:beforeLines="50" w:after="156" w:afterLines="50" w:line="360" w:lineRule="auto"/>
        <w:jc w:val="center"/>
        <w:rPr>
          <w:rFonts w:hAnsi="宋体" w:cs="宋体"/>
          <w:szCs w:val="24"/>
        </w:rPr>
      </w:pPr>
      <w:r>
        <w:rPr>
          <w:rFonts w:hint="eastAsia" w:hAnsi="宋体" w:cs="宋体"/>
          <w:b/>
          <w:sz w:val="28"/>
          <w:szCs w:val="28"/>
        </w:rPr>
        <w:t>中小企业声明函</w:t>
      </w:r>
    </w:p>
    <w:p>
      <w:pPr>
        <w:tabs>
          <w:tab w:val="left" w:pos="1620"/>
          <w:tab w:val="left" w:pos="1800"/>
        </w:tabs>
        <w:spacing w:line="500" w:lineRule="exact"/>
        <w:ind w:firstLine="420" w:firstLineChars="200"/>
        <w:rPr>
          <w:rFonts w:hAnsi="宋体" w:cs="宋体"/>
          <w:szCs w:val="24"/>
        </w:rPr>
      </w:pPr>
      <w:r>
        <w:rPr>
          <w:rFonts w:hint="eastAsia" w:hAnsi="宋体" w:cs="宋体"/>
          <w:szCs w:val="24"/>
        </w:rPr>
        <w:t>本公司郑重声明，根据《政府采购促进中小企业发展管理办法》（财库﹝2020﹞46 号）的规定，本公司参加</w:t>
      </w:r>
      <w:r>
        <w:rPr>
          <w:rFonts w:hint="eastAsia" w:hAnsi="宋体" w:cs="宋体"/>
          <w:szCs w:val="24"/>
          <w:u w:val="single"/>
        </w:rPr>
        <w:t>（单位名称）</w:t>
      </w:r>
      <w:r>
        <w:rPr>
          <w:rFonts w:hint="eastAsia" w:hAnsi="宋体" w:cs="宋体"/>
          <w:szCs w:val="24"/>
        </w:rPr>
        <w:t>的</w:t>
      </w:r>
      <w:r>
        <w:rPr>
          <w:rFonts w:hint="eastAsia" w:hAnsi="宋体" w:cs="宋体"/>
          <w:szCs w:val="24"/>
          <w:u w:val="single"/>
        </w:rPr>
        <w:t>（项目名称）</w:t>
      </w:r>
      <w:r>
        <w:rPr>
          <w:rFonts w:hint="eastAsia" w:hAnsi="宋体" w:cs="宋体"/>
          <w:szCs w:val="24"/>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20" w:firstLineChars="200"/>
        <w:rPr>
          <w:rFonts w:hAnsi="宋体" w:cs="宋体"/>
          <w:szCs w:val="24"/>
        </w:rPr>
      </w:pPr>
      <w:r>
        <w:rPr>
          <w:rFonts w:hint="eastAsia" w:hAnsi="宋体" w:cs="宋体"/>
          <w:szCs w:val="24"/>
        </w:rPr>
        <w:t>1.</w:t>
      </w:r>
      <w:r>
        <w:rPr>
          <w:rFonts w:hint="eastAsia" w:hAnsi="宋体" w:cs="宋体"/>
          <w:szCs w:val="24"/>
          <w:u w:val="single"/>
        </w:rPr>
        <w:t>（标的名称）</w:t>
      </w:r>
      <w:r>
        <w:rPr>
          <w:rFonts w:hint="eastAsia" w:hAnsi="宋体" w:cs="宋体"/>
          <w:szCs w:val="24"/>
        </w:rPr>
        <w:t>，属于</w:t>
      </w:r>
      <w:r>
        <w:rPr>
          <w:rFonts w:hint="eastAsia" w:hAnsi="宋体" w:cs="宋体"/>
          <w:szCs w:val="24"/>
          <w:u w:val="single"/>
        </w:rPr>
        <w:t>（采购文件中明确的所属行业）</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ab/>
      </w:r>
      <w:r>
        <w:rPr>
          <w:rFonts w:hint="eastAsia" w:hAnsi="宋体" w:cs="宋体"/>
          <w:szCs w:val="24"/>
        </w:rPr>
        <w:t>人，营业收入</w:t>
      </w:r>
      <w:r>
        <w:rPr>
          <w:rFonts w:hint="eastAsia" w:hAnsi="宋体" w:cs="宋体"/>
          <w:szCs w:val="24"/>
          <w:u w:val="single"/>
        </w:rPr>
        <w:t>为</w:t>
      </w:r>
      <w:r>
        <w:rPr>
          <w:rFonts w:hint="eastAsia" w:hAnsi="宋体" w:cs="宋体"/>
          <w:szCs w:val="24"/>
          <w:u w:val="single"/>
        </w:rPr>
        <w:tab/>
      </w:r>
      <w:r>
        <w:rPr>
          <w:rFonts w:hint="eastAsia" w:hAnsi="宋体" w:cs="宋体"/>
          <w:szCs w:val="24"/>
        </w:rPr>
        <w:t>万元，资产总额为万元，属于</w:t>
      </w:r>
      <w:r>
        <w:rPr>
          <w:rFonts w:hint="eastAsia" w:hAnsi="宋体" w:cs="宋体"/>
          <w:szCs w:val="24"/>
          <w:u w:val="single"/>
        </w:rPr>
        <w:t>（中型企业、小型企业、微型企业）</w:t>
      </w:r>
      <w:r>
        <w:rPr>
          <w:rFonts w:hint="eastAsia" w:hAnsi="宋体" w:cs="宋体"/>
          <w:szCs w:val="24"/>
        </w:rPr>
        <w:t>；</w:t>
      </w:r>
    </w:p>
    <w:p>
      <w:pPr>
        <w:tabs>
          <w:tab w:val="left" w:pos="1620"/>
          <w:tab w:val="left" w:pos="1800"/>
        </w:tabs>
        <w:spacing w:line="500" w:lineRule="exact"/>
        <w:ind w:firstLine="420" w:firstLineChars="200"/>
        <w:rPr>
          <w:rFonts w:hAnsi="宋体" w:cs="宋体"/>
          <w:szCs w:val="24"/>
        </w:rPr>
      </w:pPr>
      <w:r>
        <w:rPr>
          <w:rFonts w:hint="eastAsia" w:hAnsi="宋体" w:cs="宋体"/>
          <w:szCs w:val="24"/>
        </w:rPr>
        <w:t>2.</w:t>
      </w:r>
      <w:r>
        <w:rPr>
          <w:rFonts w:hint="eastAsia" w:hAnsi="宋体" w:cs="宋体"/>
          <w:szCs w:val="24"/>
          <w:u w:val="single"/>
        </w:rPr>
        <w:t>（标的名称）</w:t>
      </w:r>
      <w:r>
        <w:rPr>
          <w:rFonts w:hint="eastAsia" w:hAnsi="宋体" w:cs="宋体"/>
          <w:szCs w:val="24"/>
        </w:rPr>
        <w:t>，属于</w:t>
      </w:r>
      <w:r>
        <w:rPr>
          <w:rFonts w:hint="eastAsia" w:hAnsi="宋体" w:cs="宋体"/>
          <w:szCs w:val="24"/>
          <w:u w:val="single"/>
        </w:rPr>
        <w:t>（采购文件中明确的所属行业</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ab/>
      </w:r>
      <w:r>
        <w:rPr>
          <w:rFonts w:hint="eastAsia" w:hAnsi="宋体" w:cs="宋体"/>
          <w:szCs w:val="24"/>
        </w:rPr>
        <w:t>人，营业收入为</w:t>
      </w:r>
      <w:r>
        <w:rPr>
          <w:rFonts w:hint="eastAsia" w:hAnsi="宋体" w:cs="宋体"/>
          <w:szCs w:val="24"/>
          <w:u w:val="single"/>
        </w:rPr>
        <w:tab/>
      </w:r>
      <w:r>
        <w:rPr>
          <w:rFonts w:hint="eastAsia" w:hAnsi="宋体" w:cs="宋体"/>
          <w:szCs w:val="24"/>
        </w:rPr>
        <w:t>万元，资产总额为</w:t>
      </w:r>
      <w:r>
        <w:rPr>
          <w:rFonts w:hint="eastAsia" w:hAnsi="宋体" w:cs="宋体"/>
          <w:szCs w:val="24"/>
          <w:u w:val="single"/>
        </w:rPr>
        <w:tab/>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pPr>
        <w:tabs>
          <w:tab w:val="left" w:pos="1620"/>
          <w:tab w:val="left" w:pos="1800"/>
        </w:tabs>
        <w:spacing w:line="500" w:lineRule="exact"/>
        <w:rPr>
          <w:rFonts w:hAnsi="宋体" w:cs="宋体"/>
          <w:szCs w:val="24"/>
        </w:rPr>
      </w:pPr>
      <w:r>
        <w:rPr>
          <w:rFonts w:hint="eastAsia" w:hAnsi="宋体" w:cs="宋体"/>
          <w:szCs w:val="24"/>
        </w:rPr>
        <w:t>……</w:t>
      </w:r>
    </w:p>
    <w:p>
      <w:pPr>
        <w:tabs>
          <w:tab w:val="left" w:pos="1620"/>
          <w:tab w:val="left" w:pos="1800"/>
        </w:tabs>
        <w:spacing w:line="500" w:lineRule="exact"/>
        <w:ind w:firstLine="420" w:firstLineChars="200"/>
        <w:rPr>
          <w:rFonts w:hAnsi="宋体" w:cs="宋体"/>
          <w:szCs w:val="24"/>
        </w:rPr>
      </w:pPr>
      <w:r>
        <w:rPr>
          <w:rFonts w:hint="eastAsia" w:hAnsi="宋体" w:cs="宋体"/>
          <w:szCs w:val="24"/>
        </w:rPr>
        <w:t>以上企业，不属于大企业的分支机构，不存在控股股东为大企业的情形，也不存在与大企业的负责人为同一人的情形。</w:t>
      </w:r>
    </w:p>
    <w:p>
      <w:pPr>
        <w:tabs>
          <w:tab w:val="left" w:pos="1620"/>
          <w:tab w:val="left" w:pos="1800"/>
        </w:tabs>
        <w:spacing w:line="500" w:lineRule="exact"/>
        <w:ind w:firstLine="420" w:firstLineChars="200"/>
        <w:rPr>
          <w:rFonts w:hAnsi="宋体" w:cs="宋体"/>
          <w:szCs w:val="24"/>
        </w:rPr>
      </w:pPr>
      <w:r>
        <w:rPr>
          <w:rFonts w:hint="eastAsia" w:hAnsi="宋体" w:cs="宋体"/>
          <w:szCs w:val="24"/>
        </w:rPr>
        <w:t>本企业对上述声明内容的真实性负责。如有虚假，将依法承担相应责任。</w:t>
      </w:r>
    </w:p>
    <w:p>
      <w:pPr>
        <w:tabs>
          <w:tab w:val="left" w:pos="1620"/>
          <w:tab w:val="left" w:pos="1800"/>
        </w:tabs>
        <w:spacing w:line="500" w:lineRule="exact"/>
        <w:rPr>
          <w:rFonts w:hAnsi="宋体" w:cs="宋体"/>
          <w:szCs w:val="24"/>
        </w:rPr>
      </w:pPr>
    </w:p>
    <w:p>
      <w:pPr>
        <w:tabs>
          <w:tab w:val="left" w:pos="1620"/>
          <w:tab w:val="left" w:pos="1800"/>
        </w:tabs>
        <w:spacing w:line="500" w:lineRule="exact"/>
        <w:rPr>
          <w:rFonts w:hAnsi="宋体" w:cs="宋体"/>
          <w:szCs w:val="24"/>
        </w:rPr>
      </w:pPr>
    </w:p>
    <w:p>
      <w:pPr>
        <w:tabs>
          <w:tab w:val="left" w:pos="1620"/>
          <w:tab w:val="left" w:pos="1800"/>
        </w:tabs>
        <w:spacing w:line="500" w:lineRule="exact"/>
        <w:ind w:firstLine="4200" w:firstLineChars="2000"/>
        <w:rPr>
          <w:rFonts w:hAnsi="宋体" w:cs="宋体"/>
          <w:szCs w:val="24"/>
        </w:rPr>
      </w:pPr>
      <w:r>
        <w:rPr>
          <w:rFonts w:hint="eastAsia" w:hAnsi="宋体" w:cs="宋体"/>
          <w:szCs w:val="24"/>
        </w:rPr>
        <w:t>企业名称（盖章）：</w:t>
      </w:r>
    </w:p>
    <w:p>
      <w:pPr>
        <w:tabs>
          <w:tab w:val="left" w:pos="1620"/>
          <w:tab w:val="left" w:pos="1800"/>
        </w:tabs>
        <w:spacing w:line="500" w:lineRule="exact"/>
        <w:ind w:firstLine="4200" w:firstLineChars="2000"/>
        <w:rPr>
          <w:rFonts w:hAnsi="宋体" w:cs="宋体"/>
          <w:szCs w:val="24"/>
        </w:rPr>
      </w:pPr>
      <w:r>
        <w:rPr>
          <w:rFonts w:hint="eastAsia" w:hAnsi="宋体" w:cs="宋体"/>
          <w:szCs w:val="24"/>
        </w:rPr>
        <w:t>日期：</w:t>
      </w:r>
    </w:p>
    <w:p>
      <w:pPr>
        <w:tabs>
          <w:tab w:val="left" w:pos="1620"/>
          <w:tab w:val="left" w:pos="1800"/>
        </w:tabs>
        <w:spacing w:line="500" w:lineRule="exact"/>
        <w:rPr>
          <w:rFonts w:hAnsi="宋体" w:cs="宋体"/>
          <w:szCs w:val="21"/>
        </w:rPr>
      </w:pPr>
      <w:r>
        <w:rPr>
          <w:rFonts w:hint="eastAsia" w:hAnsi="宋体" w:cs="宋体"/>
          <w:szCs w:val="21"/>
        </w:rPr>
        <w:t>备注：</w:t>
      </w:r>
    </w:p>
    <w:p>
      <w:pPr>
        <w:tabs>
          <w:tab w:val="left" w:pos="1620"/>
          <w:tab w:val="left" w:pos="1800"/>
        </w:tabs>
        <w:spacing w:line="500" w:lineRule="exact"/>
        <w:rPr>
          <w:rFonts w:hAnsi="宋体" w:cs="宋体"/>
          <w:szCs w:val="24"/>
        </w:rPr>
      </w:pPr>
      <w:r>
        <w:rPr>
          <w:rFonts w:hint="eastAsia" w:hAnsi="宋体" w:cs="宋体"/>
          <w:szCs w:val="24"/>
        </w:rPr>
        <w:t>1.资产总额：从业人员、营业收入、资产总额填报上一年度数据，无上一年度数据的新成立企业可不填报。</w:t>
      </w:r>
    </w:p>
    <w:p>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pPr>
        <w:spacing w:line="360" w:lineRule="auto"/>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附件3（如有）：</w:t>
      </w:r>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投标产品属节能、环境标志产品列表</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项目名称：</w:t>
      </w:r>
    </w:p>
    <w:p>
      <w:pPr>
        <w:spacing w:line="360" w:lineRule="auto"/>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项目编号、包号：</w:t>
      </w:r>
    </w:p>
    <w:tbl>
      <w:tblPr>
        <w:tblStyle w:val="27"/>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8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rPr>
            </w:pPr>
            <w:r>
              <w:rPr>
                <w:rFonts w:hint="eastAsia" w:asciiTheme="minorEastAsia" w:hAnsiTheme="minorEastAsia" w:eastAsiaTheme="minorEastAsia" w:cstheme="minorEastAsia"/>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Theme="minorEastAsia" w:hAnsiTheme="minorEastAsia" w:eastAsiaTheme="minorEastAsia" w:cstheme="minorEastAsia"/>
              </w:rPr>
            </w:pPr>
            <w:r>
              <w:rPr>
                <w:rFonts w:hint="eastAsia" w:asciiTheme="minorEastAsia" w:hAnsiTheme="minorEastAsia" w:eastAsiaTheme="minorEastAsia" w:cstheme="minorEastAsia"/>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单价</w:t>
            </w:r>
          </w:p>
          <w:p>
            <w:pPr>
              <w:spacing w:after="120"/>
              <w:jc w:val="center"/>
              <w:rPr>
                <w:rFonts w:asciiTheme="minorEastAsia" w:hAnsiTheme="minorEastAsia" w:eastAsiaTheme="minorEastAsia" w:cstheme="minorEastAsia"/>
                <w:bCs/>
              </w:rPr>
            </w:pPr>
            <w:r>
              <w:rPr>
                <w:rFonts w:hint="eastAsia" w:asciiTheme="minorEastAsia" w:hAnsiTheme="minorEastAsia" w:eastAsiaTheme="minorEastAsia" w:cstheme="minorEastAsia"/>
              </w:rPr>
              <w:t>（元）</w:t>
            </w:r>
          </w:p>
        </w:tc>
        <w:tc>
          <w:tcPr>
            <w:tcW w:w="131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总价</w:t>
            </w:r>
          </w:p>
          <w:p>
            <w:pPr>
              <w:spacing w:after="12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86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1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rPr>
            </w:pPr>
            <w:r>
              <w:rPr>
                <w:rFonts w:hint="eastAsia" w:asciiTheme="minorEastAsia" w:hAnsiTheme="minorEastAsia" w:eastAsiaTheme="minorEastAsia" w:cstheme="minorEastAsia"/>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b/>
              </w:rPr>
            </w:pPr>
            <w:r>
              <w:rPr>
                <w:rFonts w:hint="eastAsia" w:asciiTheme="minorEastAsia" w:hAnsiTheme="minorEastAsia" w:eastAsiaTheme="minorEastAsia" w:cstheme="minorEastAsia"/>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asciiTheme="minorEastAsia" w:hAnsiTheme="minorEastAsia" w:eastAsiaTheme="minorEastAsia" w:cstheme="minorEastAsia"/>
              </w:rPr>
            </w:pPr>
            <w:r>
              <w:rPr>
                <w:rFonts w:hint="eastAsia" w:asciiTheme="minorEastAsia" w:hAnsiTheme="minorEastAsia" w:eastAsiaTheme="minorEastAsia" w:cstheme="minorEastAsia"/>
              </w:rPr>
              <w:t>大写：小写：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6"/>
              </w:rPr>
              <w:t>保留小数点后两位。</w:t>
            </w:r>
          </w:p>
        </w:tc>
      </w:tr>
    </w:tbl>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说明：</w:t>
      </w:r>
      <w:r>
        <w:rPr>
          <w:rFonts w:hint="eastAsia" w:asciiTheme="minorEastAsia" w:hAnsiTheme="minorEastAsia" w:eastAsiaTheme="minorEastAsia" w:cstheme="minorEastAsia"/>
          <w:bCs/>
          <w:szCs w:val="21"/>
        </w:rPr>
        <w:t>1、</w:t>
      </w:r>
      <w:r>
        <w:rPr>
          <w:rFonts w:hint="eastAsia" w:asciiTheme="minorEastAsia" w:hAnsiTheme="minorEastAsia" w:eastAsiaTheme="minorEastAsia" w:cstheme="minorEastAsia"/>
          <w:szCs w:val="21"/>
        </w:rPr>
        <w:t>投标人提供的产品</w:t>
      </w:r>
      <w:r>
        <w:rPr>
          <w:rFonts w:hint="eastAsia" w:asciiTheme="minorEastAsia" w:hAnsiTheme="minorEastAsia" w:eastAsiaTheme="minorEastAsia" w:cstheme="minorEastAsia"/>
          <w:bCs/>
          <w:szCs w:val="21"/>
        </w:rPr>
        <w:t>属于《节能产品政府采购清单》中节能产品，《环境标志产品政府采购清单》中环境标志产品，应按招标文件要求</w:t>
      </w:r>
      <w:r>
        <w:rPr>
          <w:rFonts w:hint="eastAsia" w:asciiTheme="minorEastAsia" w:hAnsiTheme="minorEastAsia" w:eastAsiaTheme="minorEastAsia" w:cstheme="minorEastAsia"/>
          <w:szCs w:val="21"/>
        </w:rPr>
        <w:t>提供相关证明材料。</w:t>
      </w:r>
    </w:p>
    <w:p>
      <w:pPr>
        <w:pStyle w:val="38"/>
        <w:spacing w:line="400" w:lineRule="exact"/>
        <w:ind w:left="420" w:leftChars="200" w:firstLine="21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rPr>
        <w:t>2、未按上述要求提供、</w:t>
      </w:r>
      <w:r>
        <w:rPr>
          <w:rFonts w:hint="eastAsia" w:asciiTheme="minorEastAsia" w:hAnsiTheme="minorEastAsia" w:eastAsiaTheme="minorEastAsia" w:cstheme="minorEastAsia"/>
        </w:rPr>
        <w:t>填写</w:t>
      </w:r>
      <w:r>
        <w:rPr>
          <w:rFonts w:hint="eastAsia" w:asciiTheme="minorEastAsia" w:hAnsiTheme="minorEastAsia" w:eastAsiaTheme="minorEastAsia" w:cstheme="minorEastAsia"/>
          <w:bCs/>
        </w:rPr>
        <w:t>的，评标时不予以考虑。</w:t>
      </w:r>
    </w:p>
    <w:p>
      <w:pPr>
        <w:spacing w:before="100" w:beforeAutospacing="1" w:after="156" w:afterLines="50" w:line="360" w:lineRule="auto"/>
        <w:jc w:val="left"/>
        <w:rPr>
          <w:rFonts w:asciiTheme="minorEastAsia" w:hAnsiTheme="minorEastAsia" w:eastAsiaTheme="minorEastAsia" w:cstheme="minorEastAsia"/>
          <w:szCs w:val="24"/>
        </w:rPr>
      </w:pPr>
    </w:p>
    <w:p>
      <w:pPr>
        <w:spacing w:before="100" w:beforeAutospacing="1" w:after="156" w:afterLines="50" w:line="360" w:lineRule="auto"/>
        <w:rPr>
          <w:rFonts w:asciiTheme="minorEastAsia" w:hAnsiTheme="minorEastAsia" w:eastAsiaTheme="minorEastAsia" w:cstheme="minorEastAsia"/>
          <w:szCs w:val="24"/>
        </w:rPr>
      </w:pPr>
    </w:p>
    <w:p>
      <w:pPr>
        <w:spacing w:before="100" w:beforeAutospacing="1" w:after="156" w:afterLines="50" w:line="360" w:lineRule="auto"/>
        <w:rPr>
          <w:rFonts w:asciiTheme="minorEastAsia" w:hAnsiTheme="minorEastAsia" w:eastAsiaTheme="minorEastAsia" w:cstheme="minorEastAsia"/>
          <w:b/>
          <w:bCs/>
          <w:spacing w:val="6"/>
          <w:sz w:val="30"/>
          <w:szCs w:val="30"/>
        </w:rPr>
      </w:pPr>
      <w:r>
        <w:rPr>
          <w:rFonts w:hint="eastAsia" w:asciiTheme="minorEastAsia" w:hAnsiTheme="minorEastAsia" w:eastAsiaTheme="minorEastAsia" w:cstheme="minorEastAsia"/>
          <w:szCs w:val="24"/>
        </w:rPr>
        <w:br w:type="page"/>
      </w:r>
      <w:r>
        <w:rPr>
          <w:rFonts w:hint="eastAsia" w:asciiTheme="minorEastAsia" w:hAnsiTheme="minorEastAsia" w:eastAsiaTheme="minorEastAsia" w:cstheme="minorEastAsia"/>
          <w:b/>
          <w:bCs/>
          <w:spacing w:val="6"/>
          <w:sz w:val="28"/>
          <w:szCs w:val="28"/>
        </w:rPr>
        <w:t>附件4（如有）：</w:t>
      </w:r>
    </w:p>
    <w:p>
      <w:pPr>
        <w:spacing w:line="588" w:lineRule="exact"/>
        <w:jc w:val="center"/>
        <w:rPr>
          <w:rFonts w:asciiTheme="minorEastAsia" w:hAnsiTheme="minorEastAsia" w:eastAsiaTheme="minorEastAsia" w:cstheme="minorEastAsia"/>
          <w:b/>
          <w:spacing w:val="6"/>
          <w:sz w:val="32"/>
          <w:szCs w:val="32"/>
        </w:rPr>
      </w:pPr>
      <w:bookmarkStart w:id="139" w:name="OLE_LINK13"/>
      <w:bookmarkStart w:id="140" w:name="OLE_LINK14"/>
      <w:r>
        <w:rPr>
          <w:rFonts w:hint="eastAsia" w:asciiTheme="minorEastAsia" w:hAnsiTheme="minorEastAsia" w:eastAsiaTheme="minorEastAsia" w:cstheme="minorEastAsia"/>
          <w:b/>
          <w:spacing w:val="6"/>
          <w:sz w:val="32"/>
          <w:szCs w:val="32"/>
        </w:rPr>
        <w:t>残疾人福利性单位声明函</w:t>
      </w:r>
    </w:p>
    <w:bookmarkEnd w:id="139"/>
    <w:bookmarkEnd w:id="140"/>
    <w:p>
      <w:pPr>
        <w:spacing w:line="588" w:lineRule="exact"/>
        <w:rPr>
          <w:rFonts w:asciiTheme="minorEastAsia" w:hAnsiTheme="minorEastAsia" w:eastAsiaTheme="minorEastAsia" w:cstheme="minorEastAsia"/>
          <w:b/>
          <w:spacing w:val="6"/>
          <w:sz w:val="30"/>
          <w:szCs w:val="30"/>
        </w:rPr>
      </w:pPr>
    </w:p>
    <w:p>
      <w:pPr>
        <w:spacing w:line="588" w:lineRule="exact"/>
        <w:ind w:firstLine="444" w:firstLineChars="200"/>
        <w:rPr>
          <w:rFonts w:asciiTheme="minorEastAsia" w:hAnsiTheme="minorEastAsia" w:eastAsiaTheme="minorEastAsia" w:cstheme="minorEastAsia"/>
          <w:spacing w:val="6"/>
          <w:szCs w:val="24"/>
        </w:rPr>
      </w:pPr>
      <w:r>
        <w:rPr>
          <w:rFonts w:hint="eastAsia" w:asciiTheme="minorEastAsia" w:hAnsiTheme="minorEastAsia" w:eastAsiaTheme="minorEastAsia" w:cstheme="minorEastAsia"/>
          <w:spacing w:val="6"/>
          <w:szCs w:val="24"/>
        </w:rPr>
        <w:t>本单位郑重声明，根据《财政部民政部中国残疾人联合会关于促进残疾人就业政府采购政策的通知》（财库</w:t>
      </w:r>
      <w:r>
        <w:rPr>
          <w:rFonts w:hint="eastAsia" w:asciiTheme="minorEastAsia" w:hAnsiTheme="minorEastAsia" w:eastAsiaTheme="minorEastAsia" w:cstheme="minorEastAsia"/>
          <w:szCs w:val="24"/>
        </w:rPr>
        <w:t>〔2017〕 141</w:t>
      </w:r>
      <w:r>
        <w:rPr>
          <w:rFonts w:hint="eastAsia" w:asciiTheme="minorEastAsia" w:hAnsiTheme="minorEastAsia" w:eastAsiaTheme="minorEastAsia" w:cstheme="minorEastAsia"/>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Theme="minorEastAsia" w:hAnsiTheme="minorEastAsia" w:eastAsiaTheme="minorEastAsia" w:cstheme="minorEastAsia"/>
          <w:spacing w:val="6"/>
          <w:szCs w:val="24"/>
        </w:rPr>
      </w:pPr>
      <w:r>
        <w:rPr>
          <w:rFonts w:hint="eastAsia" w:asciiTheme="minorEastAsia" w:hAnsiTheme="minorEastAsia" w:eastAsiaTheme="minorEastAsia" w:cstheme="minorEastAsia"/>
          <w:spacing w:val="6"/>
          <w:szCs w:val="24"/>
        </w:rPr>
        <w:t>本单位对上述声明的真实性负责。如有虚假，将依法承担相应责任。</w:t>
      </w:r>
    </w:p>
    <w:p>
      <w:pPr>
        <w:spacing w:line="588" w:lineRule="exact"/>
        <w:ind w:firstLine="444" w:firstLineChars="200"/>
        <w:rPr>
          <w:rFonts w:asciiTheme="minorEastAsia" w:hAnsiTheme="minorEastAsia" w:eastAsiaTheme="minorEastAsia" w:cstheme="minorEastAsia"/>
          <w:spacing w:val="6"/>
          <w:szCs w:val="24"/>
        </w:rPr>
      </w:pPr>
    </w:p>
    <w:p>
      <w:pPr>
        <w:spacing w:line="588" w:lineRule="exact"/>
        <w:ind w:firstLine="444" w:firstLineChars="200"/>
        <w:rPr>
          <w:rFonts w:asciiTheme="minorEastAsia" w:hAnsiTheme="minorEastAsia" w:eastAsiaTheme="minorEastAsia" w:cstheme="minorEastAsia"/>
          <w:spacing w:val="6"/>
          <w:szCs w:val="24"/>
        </w:rPr>
      </w:pPr>
    </w:p>
    <w:p>
      <w:pPr>
        <w:spacing w:line="588" w:lineRule="exact"/>
        <w:ind w:firstLine="444" w:firstLineChars="200"/>
        <w:rPr>
          <w:rFonts w:asciiTheme="minorEastAsia" w:hAnsiTheme="minorEastAsia" w:eastAsiaTheme="minorEastAsia" w:cstheme="minorEastAsia"/>
          <w:spacing w:val="6"/>
          <w:szCs w:val="24"/>
        </w:rPr>
      </w:pPr>
    </w:p>
    <w:p>
      <w:pPr>
        <w:spacing w:line="588" w:lineRule="exact"/>
        <w:ind w:firstLine="444" w:firstLineChars="200"/>
        <w:rPr>
          <w:rFonts w:asciiTheme="minorEastAsia" w:hAnsiTheme="minorEastAsia" w:eastAsiaTheme="minorEastAsia" w:cstheme="minorEastAsia"/>
          <w:spacing w:val="6"/>
          <w:szCs w:val="24"/>
        </w:rPr>
      </w:pPr>
    </w:p>
    <w:p>
      <w:pPr>
        <w:tabs>
          <w:tab w:val="left" w:pos="4860"/>
        </w:tabs>
        <w:spacing w:line="588" w:lineRule="exact"/>
        <w:ind w:right="1560" w:firstLine="444" w:firstLineChars="200"/>
        <w:jc w:val="center"/>
        <w:rPr>
          <w:rFonts w:asciiTheme="minorEastAsia" w:hAnsiTheme="minorEastAsia" w:eastAsiaTheme="minorEastAsia" w:cstheme="minorEastAsia"/>
          <w:spacing w:val="6"/>
          <w:szCs w:val="24"/>
        </w:rPr>
      </w:pPr>
      <w:r>
        <w:rPr>
          <w:rFonts w:hint="eastAsia" w:asciiTheme="minorEastAsia" w:hAnsiTheme="minorEastAsia" w:eastAsiaTheme="minorEastAsia" w:cstheme="minorEastAsia"/>
          <w:spacing w:val="6"/>
          <w:szCs w:val="24"/>
        </w:rPr>
        <w:t>单位名称（盖章）：</w:t>
      </w:r>
    </w:p>
    <w:p>
      <w:pPr>
        <w:tabs>
          <w:tab w:val="left" w:pos="4860"/>
        </w:tabs>
        <w:spacing w:line="588" w:lineRule="exact"/>
        <w:ind w:right="1560" w:firstLine="444" w:firstLineChars="200"/>
        <w:jc w:val="center"/>
        <w:rPr>
          <w:rFonts w:asciiTheme="minorEastAsia" w:hAnsiTheme="minorEastAsia" w:eastAsiaTheme="minorEastAsia" w:cstheme="minorEastAsia"/>
          <w:spacing w:val="6"/>
          <w:szCs w:val="24"/>
        </w:rPr>
      </w:pPr>
      <w:r>
        <w:rPr>
          <w:rFonts w:hint="eastAsia" w:asciiTheme="minorEastAsia" w:hAnsiTheme="minorEastAsia" w:eastAsiaTheme="minorEastAsia" w:cstheme="minorEastAsia"/>
          <w:spacing w:val="6"/>
          <w:szCs w:val="24"/>
        </w:rPr>
        <w:t>日期：</w:t>
      </w:r>
    </w:p>
    <w:p>
      <w:pPr>
        <w:tabs>
          <w:tab w:val="left" w:pos="1620"/>
          <w:tab w:val="left" w:pos="1800"/>
        </w:tabs>
        <w:spacing w:line="440" w:lineRule="exact"/>
        <w:ind w:right="540" w:rightChars="257"/>
        <w:rPr>
          <w:rFonts w:asciiTheme="minorEastAsia" w:hAnsiTheme="minorEastAsia" w:eastAsiaTheme="minorEastAsia" w:cstheme="minorEastAsia"/>
        </w:rPr>
      </w:pPr>
    </w:p>
    <w:p>
      <w:pPr>
        <w:tabs>
          <w:tab w:val="left" w:pos="1620"/>
          <w:tab w:val="left" w:pos="1800"/>
        </w:tabs>
        <w:spacing w:line="440" w:lineRule="exact"/>
        <w:ind w:right="540" w:rightChars="257"/>
        <w:rPr>
          <w:rFonts w:asciiTheme="minorEastAsia" w:hAnsiTheme="minorEastAsia" w:eastAsiaTheme="minorEastAsia" w:cstheme="minorEastAsia"/>
        </w:rPr>
      </w:pPr>
    </w:p>
    <w:p>
      <w:pPr>
        <w:keepLines/>
        <w:pageBreakBefore/>
        <w:spacing w:before="100" w:beforeAutospacing="1" w:after="156" w:afterLines="50"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附件5：（参考格式）</w:t>
      </w:r>
    </w:p>
    <w:p>
      <w:pPr>
        <w:spacing w:before="100" w:beforeAutospacing="1" w:after="156" w:afterLines="50"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投标担保函</w:t>
      </w:r>
    </w:p>
    <w:p>
      <w:pPr>
        <w:rPr>
          <w:rFonts w:asciiTheme="minorEastAsia" w:hAnsiTheme="minorEastAsia" w:eastAsiaTheme="minorEastAsia" w:cstheme="minorEastAsia"/>
          <w:szCs w:val="32"/>
        </w:rPr>
      </w:pPr>
    </w:p>
    <w:p>
      <w:pPr>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24"/>
        </w:rPr>
        <w:t>编号：</w:t>
      </w:r>
    </w:p>
    <w:p>
      <w:pPr>
        <w:rPr>
          <w:rFonts w:asciiTheme="minorEastAsia" w:hAnsiTheme="minorEastAsia" w:eastAsiaTheme="minorEastAsia" w:cstheme="minorEastAsia"/>
          <w:szCs w:val="32"/>
          <w:u w:val="single"/>
        </w:rPr>
      </w:pP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___________________（采购人或采购代理机构）：</w:t>
      </w:r>
    </w:p>
    <w:p>
      <w:pPr>
        <w:spacing w:line="360" w:lineRule="auto"/>
        <w:ind w:firstLine="42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鉴于_______________（以下简称“投标人”）拟参加编号为___________的_______项目（以下简称“本项目”）投标，根据本项目招标文件，投标人参加投标时应向你方交纳投标保证金，且可以投标担保函的形式交纳投标保证金。应投标人的申请，我方以保证的方式向你方提供如下投标保证金担保：</w:t>
      </w:r>
    </w:p>
    <w:p>
      <w:pPr>
        <w:spacing w:line="360" w:lineRule="auto"/>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一、保证责任的情形及保证金额</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（一）在投标人出现下列情形之一时，我方承担保证责任：</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1．中标后投标人无正当理由不与采购人或者采购代理机构签订《政府采购合同》；</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2．招标文件规定的投标人应当缴纳保证金的其他情形。</w:t>
      </w:r>
    </w:p>
    <w:p>
      <w:pPr>
        <w:spacing w:line="360" w:lineRule="auto"/>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（二）我方承担保证责任的最高金额为人民币______元（大写_________________），即本项目的投标保证金金额。</w:t>
      </w:r>
    </w:p>
    <w:p>
      <w:pPr>
        <w:spacing w:line="360" w:lineRule="auto"/>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二、保证的方式及保证期间</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我方保证的方式为：连带责任保证。</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我方的保证期间为：自本保函生效之日起______个月止。</w:t>
      </w:r>
    </w:p>
    <w:p>
      <w:pPr>
        <w:spacing w:line="360" w:lineRule="auto"/>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三、承担保证责任的程序</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2．我方在收到索赔通知及相关证明材料后，在_____个工作日内进行审查，符合应承担保证责任情形的，我方应按照你方的要求代投标人向你方支付投标保证金。</w:t>
      </w:r>
    </w:p>
    <w:p>
      <w:pPr>
        <w:spacing w:line="360" w:lineRule="auto"/>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四、保证责任的终止</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1．保证期间届满你方未向我方书面主张保证责任的，自保证期间届满次日起，我方保证责任自动终止。</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2．我方按照本保函向你方履行了保证责任后，自我方向你方支付款项（支付款项从我方账户划出）之日起，保证责任终止。</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3．按照法律法规的规定或出现我方保证责任终止的其它情形的，我方在本保函项下的保证责任亦终止。</w:t>
      </w:r>
    </w:p>
    <w:p>
      <w:pPr>
        <w:spacing w:line="360" w:lineRule="auto"/>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五、免责条款</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1．依照法律规定或你方与投标人的另行约定，全部或者部分免除投标人投标保证金义务时，我方亦免除相应的保证责任。</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2．因你方原因致使投标人发生本保函第一条第（一）款约定情形的，我方不承担保证责任。</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3．因不可抗力造成投标人发生本保函第一条约定情形的，我方不承担保证责任。</w:t>
      </w:r>
    </w:p>
    <w:p>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4．你方或其他有权机关对招标文件进行任何澄清或修改，加重我方保证责任的，我方对加重部分不承担保证责任，但该澄清或修改经我方事先书面同意的除外。</w:t>
      </w:r>
    </w:p>
    <w:p>
      <w:pPr>
        <w:spacing w:line="360" w:lineRule="auto"/>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六、争议的解决</w:t>
      </w:r>
    </w:p>
    <w:p>
      <w:pPr>
        <w:spacing w:line="360" w:lineRule="auto"/>
        <w:ind w:firstLine="42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因本保函发生的纠纷，由你我双方协商解决，协商不成的，通过诉讼程序解决，诉讼管辖地法院为________________法院。</w:t>
      </w:r>
    </w:p>
    <w:p>
      <w:pPr>
        <w:spacing w:line="360" w:lineRule="auto"/>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七、保函的生效</w:t>
      </w:r>
    </w:p>
    <w:p>
      <w:pPr>
        <w:spacing w:line="360" w:lineRule="auto"/>
        <w:ind w:firstLine="525" w:firstLineChars="25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本保函自我方加盖公章之日起生效。</w:t>
      </w:r>
    </w:p>
    <w:p>
      <w:pPr>
        <w:spacing w:line="360" w:lineRule="auto"/>
        <w:rPr>
          <w:rFonts w:asciiTheme="minorEastAsia" w:hAnsiTheme="minorEastAsia" w:eastAsiaTheme="minorEastAsia" w:cstheme="minorEastAsia"/>
          <w:szCs w:val="24"/>
        </w:rPr>
      </w:pPr>
    </w:p>
    <w:p>
      <w:pPr>
        <w:spacing w:line="360" w:lineRule="auto"/>
        <w:rPr>
          <w:rFonts w:asciiTheme="minorEastAsia" w:hAnsiTheme="minorEastAsia" w:eastAsiaTheme="minorEastAsia" w:cstheme="minorEastAsia"/>
          <w:szCs w:val="24"/>
        </w:rPr>
      </w:pPr>
    </w:p>
    <w:p>
      <w:pPr>
        <w:spacing w:line="360" w:lineRule="auto"/>
        <w:rPr>
          <w:rFonts w:asciiTheme="minorEastAsia" w:hAnsiTheme="minorEastAsia" w:eastAsiaTheme="minorEastAsia" w:cstheme="minorEastAsia"/>
          <w:szCs w:val="24"/>
        </w:rPr>
      </w:pPr>
    </w:p>
    <w:p>
      <w:pPr>
        <w:spacing w:line="360" w:lineRule="auto"/>
        <w:rPr>
          <w:rFonts w:asciiTheme="minorEastAsia" w:hAnsiTheme="minorEastAsia" w:eastAsiaTheme="minorEastAsia" w:cstheme="minorEastAsia"/>
          <w:szCs w:val="24"/>
        </w:rPr>
      </w:pPr>
    </w:p>
    <w:p>
      <w:pPr>
        <w:spacing w:line="360" w:lineRule="auto"/>
        <w:ind w:right="640" w:firstLine="3360" w:firstLineChars="16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保证人：（公章）</w:t>
      </w:r>
    </w:p>
    <w:p>
      <w:pPr>
        <w:spacing w:line="360" w:lineRule="auto"/>
        <w:ind w:right="640" w:firstLine="3360" w:firstLineChars="16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年   月    日</w:t>
      </w:r>
    </w:p>
    <w:p>
      <w:pPr>
        <w:spacing w:line="520" w:lineRule="exact"/>
        <w:ind w:right="480"/>
        <w:jc w:val="right"/>
        <w:rPr>
          <w:rFonts w:asciiTheme="minorEastAsia" w:hAnsiTheme="minorEastAsia" w:eastAsiaTheme="minorEastAsia" w:cstheme="minorEastAsia"/>
          <w:szCs w:val="24"/>
        </w:rPr>
      </w:pPr>
    </w:p>
    <w:p>
      <w:pPr>
        <w:tabs>
          <w:tab w:val="left" w:pos="1620"/>
          <w:tab w:val="left" w:pos="1800"/>
        </w:tabs>
        <w:spacing w:line="440" w:lineRule="exact"/>
        <w:ind w:right="540" w:rightChars="257"/>
        <w:rPr>
          <w:rFonts w:asciiTheme="minorEastAsia" w:hAnsiTheme="minorEastAsia" w:eastAsiaTheme="minorEastAsia" w:cstheme="minorEastAsia"/>
        </w:rPr>
      </w:pPr>
    </w:p>
    <w:p>
      <w:pPr>
        <w:tabs>
          <w:tab w:val="left" w:pos="1620"/>
          <w:tab w:val="left" w:pos="1800"/>
        </w:tabs>
        <w:spacing w:line="440" w:lineRule="exact"/>
        <w:ind w:right="540" w:rightChars="257"/>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2"/>
        <w:rPr>
          <w:rFonts w:asciiTheme="minorEastAsia" w:hAnsiTheme="minorEastAsia" w:eastAsiaTheme="minorEastAsia" w:cstheme="minorEastAsia"/>
        </w:rPr>
      </w:pPr>
    </w:p>
    <w:p>
      <w:pPr>
        <w:tabs>
          <w:tab w:val="left" w:pos="1620"/>
          <w:tab w:val="left" w:pos="1800"/>
        </w:tabs>
        <w:spacing w:line="440" w:lineRule="exact"/>
        <w:ind w:right="540" w:rightChars="257"/>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7"/>
        <w:spacing w:before="312" w:beforeLines="100"/>
        <w:rPr>
          <w:rFonts w:asciiTheme="minorEastAsia" w:hAnsiTheme="minorEastAsia" w:eastAsiaTheme="minorEastAsia" w:cstheme="minorEastAsia"/>
          <w:sz w:val="32"/>
          <w:szCs w:val="32"/>
        </w:rPr>
      </w:pPr>
      <w:bookmarkStart w:id="141" w:name="_Toc23100"/>
      <w:r>
        <w:rPr>
          <w:rFonts w:hint="eastAsia" w:asciiTheme="minorEastAsia" w:hAnsiTheme="minorEastAsia" w:eastAsiaTheme="minorEastAsia" w:cstheme="minorEastAsia"/>
          <w:sz w:val="32"/>
          <w:szCs w:val="32"/>
        </w:rPr>
        <w:t>八、其他证明投标人履约能力的证明资料</w:t>
      </w:r>
      <w:bookmarkEnd w:id="98"/>
      <w:r>
        <w:rPr>
          <w:rFonts w:hint="eastAsia" w:asciiTheme="minorEastAsia" w:hAnsiTheme="minorEastAsia" w:eastAsiaTheme="minorEastAsia" w:cstheme="minorEastAsia"/>
          <w:sz w:val="32"/>
          <w:szCs w:val="32"/>
        </w:rPr>
        <w:t>（如有）</w:t>
      </w:r>
      <w:bookmarkEnd w:id="141"/>
    </w:p>
    <w:p>
      <w:pPr>
        <w:rPr>
          <w:rFonts w:asciiTheme="minorEastAsia" w:hAnsiTheme="minorEastAsia" w:eastAsiaTheme="minorEastAsia" w:cstheme="minorEastAsia"/>
        </w:rPr>
      </w:pPr>
    </w:p>
    <w:sectPr>
      <w:pgSz w:w="11906" w:h="16838"/>
      <w:pgMar w:top="1417" w:right="1417"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B16B6"/>
    <w:multiLevelType w:val="singleLevel"/>
    <w:tmpl w:val="ADBB16B6"/>
    <w:lvl w:ilvl="0" w:tentative="0">
      <w:start w:val="1"/>
      <w:numFmt w:val="decimal"/>
      <w:suff w:val="nothing"/>
      <w:lvlText w:val="%1、"/>
      <w:lvlJc w:val="left"/>
    </w:lvl>
  </w:abstractNum>
  <w:abstractNum w:abstractNumId="1">
    <w:nsid w:val="BBFEDF9E"/>
    <w:multiLevelType w:val="singleLevel"/>
    <w:tmpl w:val="BBFEDF9E"/>
    <w:lvl w:ilvl="0" w:tentative="0">
      <w:start w:val="1"/>
      <w:numFmt w:val="decimal"/>
      <w:suff w:val="nothing"/>
      <w:lvlText w:val="%1、"/>
      <w:lvlJc w:val="left"/>
    </w:lvl>
  </w:abstractNum>
  <w:abstractNum w:abstractNumId="2">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50BB5CF"/>
    <w:multiLevelType w:val="singleLevel"/>
    <w:tmpl w:val="550BB5CF"/>
    <w:lvl w:ilvl="0" w:tentative="0">
      <w:start w:val="3"/>
      <w:numFmt w:val="chineseCounting"/>
      <w:suff w:val="space"/>
      <w:lvlText w:val="第%1章"/>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OTQ1OWE4Mzk4YWQ1ZjA0OWM0YmYzYTZkYTVjOTcifQ=="/>
  </w:docVars>
  <w:rsids>
    <w:rsidRoot w:val="00172A27"/>
    <w:rsid w:val="00022AD7"/>
    <w:rsid w:val="00030DCF"/>
    <w:rsid w:val="000614D4"/>
    <w:rsid w:val="00067DD7"/>
    <w:rsid w:val="00075362"/>
    <w:rsid w:val="000A0428"/>
    <w:rsid w:val="000E02AD"/>
    <w:rsid w:val="000F7591"/>
    <w:rsid w:val="00107CD6"/>
    <w:rsid w:val="00143875"/>
    <w:rsid w:val="0015516C"/>
    <w:rsid w:val="00164F97"/>
    <w:rsid w:val="00167322"/>
    <w:rsid w:val="00172A27"/>
    <w:rsid w:val="0019127F"/>
    <w:rsid w:val="001A1E1B"/>
    <w:rsid w:val="001B1CDA"/>
    <w:rsid w:val="001B4469"/>
    <w:rsid w:val="001D165F"/>
    <w:rsid w:val="001E2A55"/>
    <w:rsid w:val="002000E7"/>
    <w:rsid w:val="0020361A"/>
    <w:rsid w:val="0024067A"/>
    <w:rsid w:val="0024578F"/>
    <w:rsid w:val="002D0AA5"/>
    <w:rsid w:val="002F588F"/>
    <w:rsid w:val="002F78A0"/>
    <w:rsid w:val="00332B0B"/>
    <w:rsid w:val="00373AA4"/>
    <w:rsid w:val="00375DD9"/>
    <w:rsid w:val="00384BAF"/>
    <w:rsid w:val="003C1454"/>
    <w:rsid w:val="00413044"/>
    <w:rsid w:val="00420602"/>
    <w:rsid w:val="0042111E"/>
    <w:rsid w:val="00425295"/>
    <w:rsid w:val="00473028"/>
    <w:rsid w:val="004B53C7"/>
    <w:rsid w:val="004D7F07"/>
    <w:rsid w:val="005010CF"/>
    <w:rsid w:val="0054336A"/>
    <w:rsid w:val="005755FF"/>
    <w:rsid w:val="0060408A"/>
    <w:rsid w:val="00605D5C"/>
    <w:rsid w:val="0062509C"/>
    <w:rsid w:val="00632D09"/>
    <w:rsid w:val="00634DB8"/>
    <w:rsid w:val="00671E5C"/>
    <w:rsid w:val="006D4D82"/>
    <w:rsid w:val="00715C6F"/>
    <w:rsid w:val="00727BAB"/>
    <w:rsid w:val="00747E33"/>
    <w:rsid w:val="007A5351"/>
    <w:rsid w:val="007B0A1F"/>
    <w:rsid w:val="007B457A"/>
    <w:rsid w:val="007D7006"/>
    <w:rsid w:val="008010FC"/>
    <w:rsid w:val="00812448"/>
    <w:rsid w:val="00821E5A"/>
    <w:rsid w:val="00824545"/>
    <w:rsid w:val="00827E45"/>
    <w:rsid w:val="00834FBA"/>
    <w:rsid w:val="00856D4B"/>
    <w:rsid w:val="008A5735"/>
    <w:rsid w:val="008B4F8D"/>
    <w:rsid w:val="008B71B0"/>
    <w:rsid w:val="008C0853"/>
    <w:rsid w:val="008F08A5"/>
    <w:rsid w:val="0091340E"/>
    <w:rsid w:val="0092646C"/>
    <w:rsid w:val="00936646"/>
    <w:rsid w:val="0095512B"/>
    <w:rsid w:val="009567E3"/>
    <w:rsid w:val="009D62FB"/>
    <w:rsid w:val="00A11A8E"/>
    <w:rsid w:val="00A13DE2"/>
    <w:rsid w:val="00A44C46"/>
    <w:rsid w:val="00A539B1"/>
    <w:rsid w:val="00A603A5"/>
    <w:rsid w:val="00A63BEA"/>
    <w:rsid w:val="00A83EDA"/>
    <w:rsid w:val="00A97787"/>
    <w:rsid w:val="00AC5112"/>
    <w:rsid w:val="00AC55B5"/>
    <w:rsid w:val="00AD5C87"/>
    <w:rsid w:val="00B14517"/>
    <w:rsid w:val="00B32C0C"/>
    <w:rsid w:val="00B37D6B"/>
    <w:rsid w:val="00B44218"/>
    <w:rsid w:val="00B5776E"/>
    <w:rsid w:val="00B632AD"/>
    <w:rsid w:val="00B81827"/>
    <w:rsid w:val="00B96CCE"/>
    <w:rsid w:val="00BD7EF1"/>
    <w:rsid w:val="00BF4B25"/>
    <w:rsid w:val="00C140C0"/>
    <w:rsid w:val="00C1512E"/>
    <w:rsid w:val="00C26C9B"/>
    <w:rsid w:val="00C7753D"/>
    <w:rsid w:val="00CA3966"/>
    <w:rsid w:val="00CB0C3B"/>
    <w:rsid w:val="00CB0D08"/>
    <w:rsid w:val="00CD3C49"/>
    <w:rsid w:val="00CD7494"/>
    <w:rsid w:val="00CE175D"/>
    <w:rsid w:val="00D10014"/>
    <w:rsid w:val="00D179A7"/>
    <w:rsid w:val="00D37C65"/>
    <w:rsid w:val="00D61742"/>
    <w:rsid w:val="00D642EA"/>
    <w:rsid w:val="00D704DD"/>
    <w:rsid w:val="00D8028D"/>
    <w:rsid w:val="00D954EE"/>
    <w:rsid w:val="00DA46DE"/>
    <w:rsid w:val="00DA5F5E"/>
    <w:rsid w:val="00DC7CC3"/>
    <w:rsid w:val="00DD65C1"/>
    <w:rsid w:val="00DE72F8"/>
    <w:rsid w:val="00E260AC"/>
    <w:rsid w:val="00E30694"/>
    <w:rsid w:val="00E63391"/>
    <w:rsid w:val="00E72F85"/>
    <w:rsid w:val="00E82343"/>
    <w:rsid w:val="00E86508"/>
    <w:rsid w:val="00EB4B2A"/>
    <w:rsid w:val="00F834AA"/>
    <w:rsid w:val="00FA4D8C"/>
    <w:rsid w:val="01B46797"/>
    <w:rsid w:val="01BC6535"/>
    <w:rsid w:val="01C421EA"/>
    <w:rsid w:val="021F1A11"/>
    <w:rsid w:val="02613983"/>
    <w:rsid w:val="030F1162"/>
    <w:rsid w:val="05242269"/>
    <w:rsid w:val="052732C7"/>
    <w:rsid w:val="053708FF"/>
    <w:rsid w:val="06116E94"/>
    <w:rsid w:val="061571D6"/>
    <w:rsid w:val="063459CA"/>
    <w:rsid w:val="068A7924"/>
    <w:rsid w:val="06927542"/>
    <w:rsid w:val="07964574"/>
    <w:rsid w:val="07EB54DF"/>
    <w:rsid w:val="08561B2D"/>
    <w:rsid w:val="090911EF"/>
    <w:rsid w:val="09473807"/>
    <w:rsid w:val="098B0B6C"/>
    <w:rsid w:val="09A414E9"/>
    <w:rsid w:val="09D37127"/>
    <w:rsid w:val="0A715AED"/>
    <w:rsid w:val="0A9477F6"/>
    <w:rsid w:val="0B6E13BF"/>
    <w:rsid w:val="0B9D61FB"/>
    <w:rsid w:val="0BE77AE1"/>
    <w:rsid w:val="0C025E77"/>
    <w:rsid w:val="0C567367"/>
    <w:rsid w:val="0C750A2F"/>
    <w:rsid w:val="0C921641"/>
    <w:rsid w:val="0C932991"/>
    <w:rsid w:val="0DEC2BF3"/>
    <w:rsid w:val="0E5A6BAA"/>
    <w:rsid w:val="0E7610EC"/>
    <w:rsid w:val="0EB421D9"/>
    <w:rsid w:val="0EBB7BFD"/>
    <w:rsid w:val="0EEE16F4"/>
    <w:rsid w:val="0FE4359D"/>
    <w:rsid w:val="10866292"/>
    <w:rsid w:val="10D20E9D"/>
    <w:rsid w:val="111A25A5"/>
    <w:rsid w:val="11DE3370"/>
    <w:rsid w:val="11DE3DA6"/>
    <w:rsid w:val="12280C6C"/>
    <w:rsid w:val="12B55AA0"/>
    <w:rsid w:val="12C707D5"/>
    <w:rsid w:val="13102E15"/>
    <w:rsid w:val="1343740D"/>
    <w:rsid w:val="137529DA"/>
    <w:rsid w:val="13900552"/>
    <w:rsid w:val="13AA0B25"/>
    <w:rsid w:val="14157276"/>
    <w:rsid w:val="143E047F"/>
    <w:rsid w:val="148B7473"/>
    <w:rsid w:val="14DB7368"/>
    <w:rsid w:val="15817CF1"/>
    <w:rsid w:val="16070E41"/>
    <w:rsid w:val="170E4039"/>
    <w:rsid w:val="17B2155B"/>
    <w:rsid w:val="17F3504B"/>
    <w:rsid w:val="18355116"/>
    <w:rsid w:val="18954A05"/>
    <w:rsid w:val="191424EE"/>
    <w:rsid w:val="19300867"/>
    <w:rsid w:val="19701E5F"/>
    <w:rsid w:val="19BF6F98"/>
    <w:rsid w:val="19DB7B23"/>
    <w:rsid w:val="1A5E600C"/>
    <w:rsid w:val="1A7D057D"/>
    <w:rsid w:val="1ACA778D"/>
    <w:rsid w:val="1AED14DC"/>
    <w:rsid w:val="1B38680B"/>
    <w:rsid w:val="1B447BB6"/>
    <w:rsid w:val="1B514392"/>
    <w:rsid w:val="1C93305A"/>
    <w:rsid w:val="1D520676"/>
    <w:rsid w:val="1D7B6C95"/>
    <w:rsid w:val="1E6E3BEA"/>
    <w:rsid w:val="1E7F7CE4"/>
    <w:rsid w:val="1EBE7F7F"/>
    <w:rsid w:val="1EC3782A"/>
    <w:rsid w:val="1F120DE9"/>
    <w:rsid w:val="1F1A7531"/>
    <w:rsid w:val="1F2F028B"/>
    <w:rsid w:val="1F6126BC"/>
    <w:rsid w:val="205B7610"/>
    <w:rsid w:val="20764BB6"/>
    <w:rsid w:val="21487EB7"/>
    <w:rsid w:val="21EF67C9"/>
    <w:rsid w:val="224909C3"/>
    <w:rsid w:val="2322012E"/>
    <w:rsid w:val="233B1878"/>
    <w:rsid w:val="23686ACB"/>
    <w:rsid w:val="23E84E31"/>
    <w:rsid w:val="24042151"/>
    <w:rsid w:val="24125624"/>
    <w:rsid w:val="24CB595D"/>
    <w:rsid w:val="255C1E6E"/>
    <w:rsid w:val="260C31EB"/>
    <w:rsid w:val="265C0A8A"/>
    <w:rsid w:val="2673111B"/>
    <w:rsid w:val="26E57AD3"/>
    <w:rsid w:val="26E9382C"/>
    <w:rsid w:val="270A0914"/>
    <w:rsid w:val="285E1D92"/>
    <w:rsid w:val="28817483"/>
    <w:rsid w:val="29296871"/>
    <w:rsid w:val="294854B7"/>
    <w:rsid w:val="29A26CD6"/>
    <w:rsid w:val="29D5599D"/>
    <w:rsid w:val="2A577F1C"/>
    <w:rsid w:val="2AAD745B"/>
    <w:rsid w:val="2AD577B0"/>
    <w:rsid w:val="2ADB5882"/>
    <w:rsid w:val="2AE83537"/>
    <w:rsid w:val="2BAD70FD"/>
    <w:rsid w:val="2BEE61D7"/>
    <w:rsid w:val="2C214B46"/>
    <w:rsid w:val="2C3813BB"/>
    <w:rsid w:val="2C506768"/>
    <w:rsid w:val="2D2D2C04"/>
    <w:rsid w:val="2DB04A37"/>
    <w:rsid w:val="2DD91AAB"/>
    <w:rsid w:val="2E1D04B8"/>
    <w:rsid w:val="2E2677B0"/>
    <w:rsid w:val="2E7E3103"/>
    <w:rsid w:val="2EAE09C1"/>
    <w:rsid w:val="2ED03D0A"/>
    <w:rsid w:val="2F026BF0"/>
    <w:rsid w:val="2F270C20"/>
    <w:rsid w:val="2F4875FA"/>
    <w:rsid w:val="2F93522D"/>
    <w:rsid w:val="2F984B4F"/>
    <w:rsid w:val="306D7693"/>
    <w:rsid w:val="30EC1632"/>
    <w:rsid w:val="30EE7385"/>
    <w:rsid w:val="334A41AB"/>
    <w:rsid w:val="336D6E92"/>
    <w:rsid w:val="33746A8C"/>
    <w:rsid w:val="338A49CA"/>
    <w:rsid w:val="33B82D95"/>
    <w:rsid w:val="34364998"/>
    <w:rsid w:val="34365D32"/>
    <w:rsid w:val="3459592F"/>
    <w:rsid w:val="348F397D"/>
    <w:rsid w:val="3533240F"/>
    <w:rsid w:val="354B5379"/>
    <w:rsid w:val="35710369"/>
    <w:rsid w:val="35BB7B52"/>
    <w:rsid w:val="36212568"/>
    <w:rsid w:val="36252EF1"/>
    <w:rsid w:val="36C902AA"/>
    <w:rsid w:val="371E406C"/>
    <w:rsid w:val="37727C90"/>
    <w:rsid w:val="37BB447E"/>
    <w:rsid w:val="37C52E2A"/>
    <w:rsid w:val="37D30AEB"/>
    <w:rsid w:val="383F0B99"/>
    <w:rsid w:val="38583268"/>
    <w:rsid w:val="38C40D39"/>
    <w:rsid w:val="39894A57"/>
    <w:rsid w:val="39BB42E9"/>
    <w:rsid w:val="39EA027C"/>
    <w:rsid w:val="3A694F6C"/>
    <w:rsid w:val="3A70238B"/>
    <w:rsid w:val="3ABA4320"/>
    <w:rsid w:val="3B822415"/>
    <w:rsid w:val="3B9D543B"/>
    <w:rsid w:val="3BBC17D1"/>
    <w:rsid w:val="3BCB5591"/>
    <w:rsid w:val="3BE3139B"/>
    <w:rsid w:val="3C660568"/>
    <w:rsid w:val="3CD734DF"/>
    <w:rsid w:val="3DEF61AC"/>
    <w:rsid w:val="3E447AF3"/>
    <w:rsid w:val="3EDD3ACE"/>
    <w:rsid w:val="3EFA73DD"/>
    <w:rsid w:val="3F461B07"/>
    <w:rsid w:val="3F4866A7"/>
    <w:rsid w:val="3F594E23"/>
    <w:rsid w:val="3F7C478F"/>
    <w:rsid w:val="405C4B2A"/>
    <w:rsid w:val="410138D0"/>
    <w:rsid w:val="416203C9"/>
    <w:rsid w:val="41AD4734"/>
    <w:rsid w:val="41B77BD7"/>
    <w:rsid w:val="42191AC1"/>
    <w:rsid w:val="431928C9"/>
    <w:rsid w:val="434445D9"/>
    <w:rsid w:val="43831A2F"/>
    <w:rsid w:val="438C2C56"/>
    <w:rsid w:val="43CF4837"/>
    <w:rsid w:val="43D52591"/>
    <w:rsid w:val="43FF5F3D"/>
    <w:rsid w:val="44526E5A"/>
    <w:rsid w:val="44857F97"/>
    <w:rsid w:val="448C236A"/>
    <w:rsid w:val="44D957F5"/>
    <w:rsid w:val="44EA4663"/>
    <w:rsid w:val="45675258"/>
    <w:rsid w:val="45BE4637"/>
    <w:rsid w:val="460803A8"/>
    <w:rsid w:val="461810FC"/>
    <w:rsid w:val="46665B57"/>
    <w:rsid w:val="466B3B11"/>
    <w:rsid w:val="469D0831"/>
    <w:rsid w:val="471E63F5"/>
    <w:rsid w:val="47F2045C"/>
    <w:rsid w:val="491D3A13"/>
    <w:rsid w:val="4937360E"/>
    <w:rsid w:val="494E57BD"/>
    <w:rsid w:val="495A5060"/>
    <w:rsid w:val="49B00420"/>
    <w:rsid w:val="49E135D9"/>
    <w:rsid w:val="4A9768D8"/>
    <w:rsid w:val="4B0F34BE"/>
    <w:rsid w:val="4B274486"/>
    <w:rsid w:val="4B405527"/>
    <w:rsid w:val="4B4F7A37"/>
    <w:rsid w:val="4CA50292"/>
    <w:rsid w:val="4CBA2F49"/>
    <w:rsid w:val="4CD6215E"/>
    <w:rsid w:val="4CE808FE"/>
    <w:rsid w:val="4D9E0950"/>
    <w:rsid w:val="4DD13DB7"/>
    <w:rsid w:val="4E541B72"/>
    <w:rsid w:val="4E686078"/>
    <w:rsid w:val="4EA6517F"/>
    <w:rsid w:val="4EC445FF"/>
    <w:rsid w:val="50BA3A50"/>
    <w:rsid w:val="50EA7604"/>
    <w:rsid w:val="5122082A"/>
    <w:rsid w:val="512964E0"/>
    <w:rsid w:val="5132266D"/>
    <w:rsid w:val="518237D8"/>
    <w:rsid w:val="51965F64"/>
    <w:rsid w:val="51EF6AFB"/>
    <w:rsid w:val="52105F6D"/>
    <w:rsid w:val="53042F77"/>
    <w:rsid w:val="536B7208"/>
    <w:rsid w:val="53BE2640"/>
    <w:rsid w:val="54300593"/>
    <w:rsid w:val="54383293"/>
    <w:rsid w:val="544955B5"/>
    <w:rsid w:val="546654FD"/>
    <w:rsid w:val="54932A0B"/>
    <w:rsid w:val="54B77366"/>
    <w:rsid w:val="54CE3FFD"/>
    <w:rsid w:val="54FD2C72"/>
    <w:rsid w:val="55C847A2"/>
    <w:rsid w:val="561961E8"/>
    <w:rsid w:val="562C5F96"/>
    <w:rsid w:val="565347B6"/>
    <w:rsid w:val="57173E04"/>
    <w:rsid w:val="57443C4F"/>
    <w:rsid w:val="57B50DB0"/>
    <w:rsid w:val="57DB71F6"/>
    <w:rsid w:val="584E4E49"/>
    <w:rsid w:val="58FD4D1C"/>
    <w:rsid w:val="5A5A6AE7"/>
    <w:rsid w:val="5A650A8C"/>
    <w:rsid w:val="5B2B1AC0"/>
    <w:rsid w:val="5B553294"/>
    <w:rsid w:val="5B805039"/>
    <w:rsid w:val="5B9D3156"/>
    <w:rsid w:val="5BBC56DC"/>
    <w:rsid w:val="5BF979BC"/>
    <w:rsid w:val="5C076030"/>
    <w:rsid w:val="5C39779C"/>
    <w:rsid w:val="5C3B4D5B"/>
    <w:rsid w:val="5C5970FB"/>
    <w:rsid w:val="5CA359AC"/>
    <w:rsid w:val="5CCA7BB6"/>
    <w:rsid w:val="5D302F64"/>
    <w:rsid w:val="5D603594"/>
    <w:rsid w:val="5D677FB9"/>
    <w:rsid w:val="5EB83AD6"/>
    <w:rsid w:val="5F0D4B21"/>
    <w:rsid w:val="5F2D2C93"/>
    <w:rsid w:val="5FCE2CE8"/>
    <w:rsid w:val="60400EFA"/>
    <w:rsid w:val="60967A11"/>
    <w:rsid w:val="60E15005"/>
    <w:rsid w:val="61531164"/>
    <w:rsid w:val="61886EF5"/>
    <w:rsid w:val="618E7A04"/>
    <w:rsid w:val="61907D1A"/>
    <w:rsid w:val="625D789D"/>
    <w:rsid w:val="62787485"/>
    <w:rsid w:val="63406832"/>
    <w:rsid w:val="648B546D"/>
    <w:rsid w:val="64CE16D2"/>
    <w:rsid w:val="64F1663F"/>
    <w:rsid w:val="654737DE"/>
    <w:rsid w:val="655565F0"/>
    <w:rsid w:val="65C47053"/>
    <w:rsid w:val="6660041B"/>
    <w:rsid w:val="666B5E35"/>
    <w:rsid w:val="66E93F22"/>
    <w:rsid w:val="679C132B"/>
    <w:rsid w:val="67E95605"/>
    <w:rsid w:val="68325815"/>
    <w:rsid w:val="691D5F89"/>
    <w:rsid w:val="69450BD9"/>
    <w:rsid w:val="696739C1"/>
    <w:rsid w:val="69BA1D8E"/>
    <w:rsid w:val="6A8037E4"/>
    <w:rsid w:val="6AEF4F2E"/>
    <w:rsid w:val="6AFE5050"/>
    <w:rsid w:val="6BA26E13"/>
    <w:rsid w:val="6BFF5D29"/>
    <w:rsid w:val="6C227A0E"/>
    <w:rsid w:val="6CA1310D"/>
    <w:rsid w:val="6CF802D4"/>
    <w:rsid w:val="6D365028"/>
    <w:rsid w:val="6D8039C3"/>
    <w:rsid w:val="6D9B2D1F"/>
    <w:rsid w:val="6DDD1A9E"/>
    <w:rsid w:val="6DF66D12"/>
    <w:rsid w:val="6E4266DC"/>
    <w:rsid w:val="6E661BB9"/>
    <w:rsid w:val="6F0B7E5B"/>
    <w:rsid w:val="6F5412F4"/>
    <w:rsid w:val="6FBB0530"/>
    <w:rsid w:val="6FC0544C"/>
    <w:rsid w:val="6FC42778"/>
    <w:rsid w:val="6FDE756B"/>
    <w:rsid w:val="70724A71"/>
    <w:rsid w:val="70EB4636"/>
    <w:rsid w:val="70F822E3"/>
    <w:rsid w:val="7133560F"/>
    <w:rsid w:val="7158482E"/>
    <w:rsid w:val="71AB7A47"/>
    <w:rsid w:val="726036A6"/>
    <w:rsid w:val="73F5728B"/>
    <w:rsid w:val="74C52498"/>
    <w:rsid w:val="74C74C01"/>
    <w:rsid w:val="74F13DA6"/>
    <w:rsid w:val="75147188"/>
    <w:rsid w:val="75B17B55"/>
    <w:rsid w:val="76024771"/>
    <w:rsid w:val="76290C74"/>
    <w:rsid w:val="764030D7"/>
    <w:rsid w:val="76B0418D"/>
    <w:rsid w:val="77742A87"/>
    <w:rsid w:val="77B82307"/>
    <w:rsid w:val="77E23352"/>
    <w:rsid w:val="7858377C"/>
    <w:rsid w:val="79960744"/>
    <w:rsid w:val="7A1E1F2C"/>
    <w:rsid w:val="7A250C81"/>
    <w:rsid w:val="7BDC4D9B"/>
    <w:rsid w:val="7C24670B"/>
    <w:rsid w:val="7C5840AD"/>
    <w:rsid w:val="7D0629E6"/>
    <w:rsid w:val="7D4E1F2C"/>
    <w:rsid w:val="7D4F1987"/>
    <w:rsid w:val="7DD2469C"/>
    <w:rsid w:val="7DD8115B"/>
    <w:rsid w:val="7E015E6B"/>
    <w:rsid w:val="7ED25666"/>
    <w:rsid w:val="7F014E71"/>
    <w:rsid w:val="7F904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qFormat="1" w:unhideWhenUsed="0"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99" w:semiHidden="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keepLines/>
      <w:spacing w:line="576" w:lineRule="auto"/>
      <w:outlineLvl w:val="0"/>
    </w:pPr>
    <w:rPr>
      <w:b/>
      <w:kern w:val="44"/>
      <w:sz w:val="44"/>
    </w:rPr>
  </w:style>
  <w:style w:type="paragraph" w:styleId="6">
    <w:name w:val="heading 2"/>
    <w:basedOn w:val="1"/>
    <w:next w:val="2"/>
    <w:qFormat/>
    <w:uiPriority w:val="99"/>
    <w:pPr>
      <w:keepNext/>
      <w:keepLines/>
      <w:spacing w:before="260" w:after="260" w:line="416" w:lineRule="auto"/>
      <w:jc w:val="left"/>
      <w:outlineLvl w:val="1"/>
    </w:pPr>
    <w:rPr>
      <w:rFonts w:ascii="Cambria" w:hAnsi="Cambria" w:cs="Cambria"/>
      <w:b/>
      <w:bCs/>
      <w:sz w:val="32"/>
      <w:szCs w:val="32"/>
    </w:rPr>
  </w:style>
  <w:style w:type="paragraph" w:styleId="7">
    <w:name w:val="heading 3"/>
    <w:basedOn w:val="1"/>
    <w:next w:val="2"/>
    <w:qFormat/>
    <w:uiPriority w:val="0"/>
    <w:pPr>
      <w:keepNext/>
      <w:spacing w:beforeLines="200" w:line="400" w:lineRule="exact"/>
      <w:jc w:val="center"/>
      <w:outlineLvl w:val="2"/>
    </w:pPr>
    <w:rPr>
      <w:b/>
      <w:bCs/>
      <w:sz w:val="24"/>
      <w:szCs w:val="24"/>
    </w:rPr>
  </w:style>
  <w:style w:type="paragraph" w:styleId="8">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9">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szCs w:val="24"/>
    </w:rPr>
  </w:style>
  <w:style w:type="paragraph" w:styleId="3">
    <w:name w:val="index 5"/>
    <w:basedOn w:val="1"/>
    <w:next w:val="1"/>
    <w:qFormat/>
    <w:uiPriority w:val="99"/>
    <w:pPr>
      <w:jc w:val="left"/>
    </w:pPr>
    <w:rPr>
      <w:rFonts w:ascii="黑体" w:hAnsi="黑体" w:eastAsia="黑体"/>
      <w:sz w:val="32"/>
      <w:szCs w:val="32"/>
    </w:rPr>
  </w:style>
  <w:style w:type="paragraph" w:styleId="4">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rPr>
      <w:rFonts w:ascii="仿宋_GB2312" w:eastAsia="仿宋_GB2312"/>
      <w:spacing w:val="-20"/>
      <w:sz w:val="28"/>
      <w:szCs w:val="20"/>
    </w:rPr>
  </w:style>
  <w:style w:type="paragraph" w:styleId="13">
    <w:name w:val="Body Text Indent"/>
    <w:basedOn w:val="1"/>
    <w:qFormat/>
    <w:uiPriority w:val="0"/>
    <w:pPr>
      <w:widowControl/>
      <w:ind w:firstLine="652" w:firstLineChars="233"/>
    </w:pPr>
    <w:rPr>
      <w:kern w:val="0"/>
      <w:sz w:val="28"/>
    </w:rPr>
  </w:style>
  <w:style w:type="paragraph" w:styleId="14">
    <w:name w:val="toc 3"/>
    <w:basedOn w:val="1"/>
    <w:next w:val="1"/>
    <w:qFormat/>
    <w:uiPriority w:val="0"/>
    <w:pPr>
      <w:ind w:left="840" w:leftChars="400"/>
    </w:pPr>
  </w:style>
  <w:style w:type="paragraph" w:styleId="15">
    <w:name w:val="Plain Text"/>
    <w:basedOn w:val="1"/>
    <w:qFormat/>
    <w:uiPriority w:val="99"/>
    <w:rPr>
      <w:rFonts w:ascii="宋体" w:hAnsi="Courier New" w:cs="宋体"/>
    </w:rPr>
  </w:style>
  <w:style w:type="paragraph" w:styleId="16">
    <w:name w:val="Date"/>
    <w:basedOn w:val="1"/>
    <w:next w:val="1"/>
    <w:qFormat/>
    <w:uiPriority w:val="0"/>
    <w:rPr>
      <w:sz w:val="2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qFormat/>
    <w:uiPriority w:val="0"/>
    <w:pPr>
      <w:ind w:left="1260" w:leftChars="600"/>
    </w:pPr>
  </w:style>
  <w:style w:type="paragraph" w:styleId="21">
    <w:name w:val="Body Text Indent 3"/>
    <w:basedOn w:val="1"/>
    <w:qFormat/>
    <w:uiPriority w:val="99"/>
    <w:pPr>
      <w:spacing w:line="360" w:lineRule="auto"/>
      <w:ind w:left="420" w:firstLine="480"/>
    </w:pPr>
    <w:rPr>
      <w:rFonts w:ascii="宋体" w:hAnsi="宋体" w:cs="宋体"/>
      <w:sz w:val="24"/>
      <w:szCs w:val="24"/>
    </w:rPr>
  </w:style>
  <w:style w:type="paragraph" w:styleId="22">
    <w:name w:val="toc 2"/>
    <w:basedOn w:val="1"/>
    <w:next w:val="1"/>
    <w:unhideWhenUsed/>
    <w:qFormat/>
    <w:uiPriority w:val="39"/>
    <w:pPr>
      <w:ind w:left="420" w:leftChars="200"/>
    </w:pPr>
  </w:style>
  <w:style w:type="paragraph" w:styleId="23">
    <w:name w:val="Body Text 2"/>
    <w:basedOn w:val="1"/>
    <w:qFormat/>
    <w:uiPriority w:val="0"/>
    <w:pPr>
      <w:adjustRightInd w:val="0"/>
      <w:snapToGrid w:val="0"/>
      <w:spacing w:line="480" w:lineRule="atLeast"/>
    </w:pPr>
    <w:rPr>
      <w:rFonts w:ascii="宋体" w:hAnsi="宋体"/>
      <w:sz w:val="28"/>
    </w:rPr>
  </w:style>
  <w:style w:type="paragraph" w:styleId="24">
    <w:name w:val="Normal (Web)"/>
    <w:basedOn w:val="1"/>
    <w:qFormat/>
    <w:uiPriority w:val="99"/>
    <w:pPr>
      <w:jc w:val="left"/>
    </w:pPr>
    <w:rPr>
      <w:color w:val="3D3D3D"/>
      <w:kern w:val="0"/>
      <w:sz w:val="24"/>
    </w:rPr>
  </w:style>
  <w:style w:type="paragraph" w:styleId="25">
    <w:name w:val="Body Text First Indent"/>
    <w:basedOn w:val="12"/>
    <w:qFormat/>
    <w:uiPriority w:val="0"/>
    <w:pPr>
      <w:ind w:firstLine="420" w:firstLineChars="100"/>
    </w:pPr>
    <w:rPr>
      <w:rFonts w:ascii="Times New Roman" w:eastAsia="宋体"/>
    </w:rPr>
  </w:style>
  <w:style w:type="paragraph" w:styleId="26">
    <w:name w:val="Body Text First Indent 2"/>
    <w:basedOn w:val="13"/>
    <w:qFormat/>
    <w:uiPriority w:val="99"/>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Cs/>
    </w:rPr>
  </w:style>
  <w:style w:type="character" w:styleId="31">
    <w:name w:val="Hyperlink"/>
    <w:basedOn w:val="29"/>
    <w:qFormat/>
    <w:uiPriority w:val="0"/>
    <w:rPr>
      <w:color w:val="0000FF"/>
      <w:u w:val="single"/>
    </w:rPr>
  </w:style>
  <w:style w:type="paragraph" w:customStyle="1" w:styleId="32">
    <w:name w:val="列出段落1"/>
    <w:basedOn w:val="1"/>
    <w:qFormat/>
    <w:uiPriority w:val="34"/>
    <w:pPr>
      <w:ind w:firstLine="420" w:firstLineChars="200"/>
    </w:pPr>
  </w:style>
  <w:style w:type="paragraph" w:customStyle="1" w:styleId="33">
    <w:name w:val="List Paragraph1"/>
    <w:qFormat/>
    <w:uiPriority w:val="0"/>
    <w:pPr>
      <w:ind w:firstLine="420" w:firstLineChars="200"/>
    </w:pPr>
    <w:rPr>
      <w:rFonts w:ascii="Calibri" w:hAnsi="Calibri" w:eastAsia="宋体" w:cs="Times New Roman"/>
      <w:sz w:val="21"/>
      <w:szCs w:val="22"/>
      <w:lang w:val="en-US" w:eastAsia="zh-CN" w:bidi="ar-SA"/>
    </w:rPr>
  </w:style>
  <w:style w:type="paragraph" w:customStyle="1" w:styleId="34">
    <w:name w:val="样式 标题 2 Char + (西文) 黑体 段前: 6 磅 段后: 0.5 行 行距: 1.5 倍行距"/>
    <w:basedOn w:val="6"/>
    <w:qFormat/>
    <w:uiPriority w:val="0"/>
    <w:pPr>
      <w:spacing w:before="120" w:line="360" w:lineRule="auto"/>
    </w:pPr>
    <w:rPr>
      <w:rFonts w:ascii="黑体" w:hAnsi="黑体" w:cs="宋体"/>
      <w:sz w:val="28"/>
      <w:szCs w:val="20"/>
    </w:rPr>
  </w:style>
  <w:style w:type="paragraph" w:customStyle="1" w:styleId="35">
    <w:name w:val="样式1"/>
    <w:next w:val="4"/>
    <w:qFormat/>
    <w:uiPriority w:val="0"/>
    <w:pPr>
      <w:widowControl w:val="0"/>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36">
    <w:name w:val="p0"/>
    <w:basedOn w:val="1"/>
    <w:qFormat/>
    <w:uiPriority w:val="0"/>
    <w:pPr>
      <w:widowControl/>
    </w:pPr>
    <w:rPr>
      <w:kern w:val="0"/>
      <w:sz w:val="32"/>
      <w:szCs w:val="21"/>
    </w:rPr>
  </w:style>
  <w:style w:type="paragraph" w:customStyle="1" w:styleId="37">
    <w:name w:val="List Paragraph_2b5ace25-7929-4310-8a1a-2bf2c1be16a7"/>
    <w:basedOn w:val="1"/>
    <w:qFormat/>
    <w:uiPriority w:val="34"/>
    <w:pPr>
      <w:ind w:firstLine="420" w:firstLineChars="200"/>
    </w:pPr>
  </w:style>
  <w:style w:type="paragraph" w:customStyle="1" w:styleId="38">
    <w:name w:val="Char1"/>
    <w:basedOn w:val="1"/>
    <w:qFormat/>
    <w:uiPriority w:val="0"/>
    <w:pPr>
      <w:tabs>
        <w:tab w:val="left" w:pos="360"/>
      </w:tabs>
      <w:ind w:left="360" w:hanging="360" w:hangingChars="200"/>
    </w:pPr>
    <w:rPr>
      <w:szCs w:val="24"/>
    </w:rPr>
  </w:style>
  <w:style w:type="character" w:customStyle="1" w:styleId="39">
    <w:name w:val="font01"/>
    <w:basedOn w:val="29"/>
    <w:qFormat/>
    <w:uiPriority w:val="0"/>
    <w:rPr>
      <w:rFonts w:hint="eastAsia" w:ascii="宋体" w:hAnsi="宋体" w:eastAsia="宋体" w:cs="宋体"/>
      <w:color w:val="000000"/>
      <w:sz w:val="20"/>
      <w:szCs w:val="20"/>
      <w:u w:val="none"/>
    </w:rPr>
  </w:style>
  <w:style w:type="paragraph" w:customStyle="1" w:styleId="40">
    <w:name w:val="title1"/>
    <w:basedOn w:val="1"/>
    <w:qFormat/>
    <w:uiPriority w:val="0"/>
    <w:pPr>
      <w:widowControl/>
      <w:jc w:val="left"/>
    </w:pPr>
    <w:rPr>
      <w:rFonts w:ascii="宋体" w:hAnsi="宋体" w:cs="宋体"/>
      <w:kern w:val="0"/>
      <w:sz w:val="24"/>
      <w:szCs w:val="24"/>
    </w:rPr>
  </w:style>
  <w:style w:type="paragraph" w:styleId="41">
    <w:name w:val="List Paragraph"/>
    <w:basedOn w:val="1"/>
    <w:qFormat/>
    <w:uiPriority w:val="99"/>
    <w:pPr>
      <w:ind w:firstLine="420" w:firstLineChars="200"/>
    </w:pPr>
  </w:style>
  <w:style w:type="paragraph" w:customStyle="1" w:styleId="42">
    <w:name w:val="样式 标题 3 + 小三"/>
    <w:basedOn w:val="7"/>
    <w:unhideWhenUsed/>
    <w:qFormat/>
    <w:uiPriority w:val="0"/>
    <w:pPr>
      <w:keepLines/>
      <w:widowControl/>
      <w:spacing w:beforeLines="0" w:line="240" w:lineRule="auto"/>
      <w:ind w:firstLine="113"/>
      <w:jc w:val="left"/>
    </w:pPr>
    <w:rPr>
      <w:rFonts w:ascii="黑体" w:hAnsi="黑体" w:eastAsia="黑体"/>
      <w:b w:val="0"/>
      <w:bCs w:val="0"/>
      <w:sz w:val="30"/>
    </w:rPr>
  </w:style>
  <w:style w:type="paragraph" w:customStyle="1" w:styleId="43">
    <w:name w:val="Body text|1"/>
    <w:basedOn w:val="1"/>
    <w:qFormat/>
    <w:uiPriority w:val="0"/>
    <w:pPr>
      <w:widowControl w:val="0"/>
      <w:shd w:val="clear" w:color="auto" w:fill="auto"/>
      <w:spacing w:line="454" w:lineRule="auto"/>
      <w:ind w:firstLine="400"/>
    </w:pPr>
    <w:rPr>
      <w:rFonts w:ascii="宋体" w:hAnsi="宋体" w:eastAsia="宋体" w:cs="宋体"/>
      <w:sz w:val="26"/>
      <w:szCs w:val="26"/>
      <w:u w:val="none"/>
      <w:shd w:val="clear" w:color="auto" w:fill="auto"/>
      <w:lang w:val="zh-TW" w:eastAsia="zh-TW" w:bidi="zh-TW"/>
    </w:rPr>
  </w:style>
  <w:style w:type="paragraph" w:customStyle="1" w:styleId="44">
    <w:name w:val="Table of contents|1"/>
    <w:basedOn w:val="1"/>
    <w:qFormat/>
    <w:uiPriority w:val="0"/>
    <w:pPr>
      <w:widowControl w:val="0"/>
      <w:shd w:val="clear" w:color="auto" w:fill="auto"/>
      <w:spacing w:after="180"/>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283DF-1468-43E7-80FF-C35FB09C09A6}">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84</Pages>
  <Words>34719</Words>
  <Characters>38785</Characters>
  <Lines>267</Lines>
  <Paragraphs>75</Paragraphs>
  <TotalTime>491</TotalTime>
  <ScaleCrop>false</ScaleCrop>
  <LinksUpToDate>false</LinksUpToDate>
  <CharactersWithSpaces>41124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2018-10-16T06:10:00Z</dcterms:created>
  <dc:creator>天海1415003450</dc:creator>
  <cp:lastModifiedBy>东东包</cp:lastModifiedBy>
  <cp:lastPrinted>2022-11-16T01:41:36Z</cp:lastPrinted>
  <dcterms:modified xsi:type="dcterms:W3CDTF">2022-11-16T03:47:06Z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C7157FD73CD0424EBE179004494B9EC9</vt:lpwstr>
  </property>
</Properties>
</file>