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项目编号：ZCSP-商南县-2022-00467</w:t>
      </w:r>
    </w:p>
    <w:p>
      <w:pPr>
        <w:jc w:val="center"/>
        <w:rPr>
          <w:rFonts w:asciiTheme="minorEastAsia" w:hAnsiTheme="minorEastAsia" w:eastAsiaTheme="minorEastAsia" w:cstheme="minorEastAsia"/>
          <w:b/>
          <w:color w:val="auto"/>
          <w:sz w:val="36"/>
        </w:rPr>
      </w:pPr>
    </w:p>
    <w:p>
      <w:pPr>
        <w:jc w:val="center"/>
        <w:rPr>
          <w:rFonts w:asciiTheme="minorEastAsia" w:hAnsiTheme="minorEastAsia" w:eastAsiaTheme="minorEastAsia" w:cstheme="minorEastAsia"/>
          <w:b/>
          <w:color w:val="auto"/>
          <w:sz w:val="36"/>
        </w:rPr>
      </w:pPr>
    </w:p>
    <w:p>
      <w:pPr>
        <w:jc w:val="center"/>
        <w:rPr>
          <w:rFonts w:asciiTheme="minorEastAsia" w:hAnsiTheme="minorEastAsia" w:eastAsiaTheme="minorEastAsia" w:cstheme="minorEastAsia"/>
          <w:b/>
          <w:color w:val="auto"/>
          <w:sz w:val="36"/>
        </w:rPr>
      </w:pPr>
    </w:p>
    <w:p>
      <w:pPr>
        <w:pStyle w:val="12"/>
        <w:rPr>
          <w:color w:val="auto"/>
        </w:rPr>
      </w:pPr>
    </w:p>
    <w:p>
      <w:pPr>
        <w:pStyle w:val="12"/>
        <w:rPr>
          <w:color w:val="auto"/>
        </w:rPr>
      </w:pPr>
    </w:p>
    <w:p>
      <w:pPr>
        <w:jc w:val="center"/>
        <w:rPr>
          <w:rFonts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2022年封山育林项目建设采购</w:t>
      </w:r>
    </w:p>
    <w:p>
      <w:pPr>
        <w:rPr>
          <w:rFonts w:asciiTheme="minorEastAsia" w:hAnsiTheme="minorEastAsia" w:eastAsiaTheme="minorEastAsia" w:cstheme="minorEastAsia"/>
          <w:b/>
          <w:color w:val="auto"/>
          <w:sz w:val="36"/>
          <w:szCs w:val="36"/>
        </w:rPr>
      </w:pPr>
    </w:p>
    <w:p>
      <w:pPr>
        <w:pStyle w:val="12"/>
        <w:rPr>
          <w:color w:val="auto"/>
        </w:rPr>
      </w:pPr>
    </w:p>
    <w:p>
      <w:pPr>
        <w:pStyle w:val="12"/>
        <w:rPr>
          <w:color w:val="auto"/>
        </w:rPr>
      </w:pPr>
    </w:p>
    <w:p>
      <w:pPr>
        <w:jc w:val="center"/>
        <w:rPr>
          <w:rFonts w:asciiTheme="minorEastAsia" w:hAnsiTheme="minorEastAsia" w:eastAsiaTheme="minorEastAsia" w:cstheme="minorEastAsia"/>
          <w:b/>
          <w:color w:val="auto"/>
          <w:sz w:val="36"/>
          <w:szCs w:val="36"/>
        </w:rPr>
      </w:pPr>
    </w:p>
    <w:p>
      <w:pPr>
        <w:spacing w:line="780" w:lineRule="auto"/>
        <w:jc w:val="center"/>
        <w:rPr>
          <w:rFonts w:asciiTheme="minorEastAsia" w:hAnsiTheme="minorEastAsia" w:eastAsiaTheme="minorEastAsia" w:cstheme="minorEastAsia"/>
          <w:b/>
          <w:color w:val="auto"/>
          <w:sz w:val="72"/>
          <w:szCs w:val="72"/>
        </w:rPr>
      </w:pPr>
      <w:r>
        <w:rPr>
          <w:rFonts w:hint="eastAsia" w:asciiTheme="minorEastAsia" w:hAnsiTheme="minorEastAsia" w:eastAsiaTheme="minorEastAsia" w:cstheme="minorEastAsia"/>
          <w:b/>
          <w:color w:val="auto"/>
          <w:sz w:val="72"/>
          <w:szCs w:val="72"/>
        </w:rPr>
        <w:t>招标文件</w:t>
      </w:r>
    </w:p>
    <w:p>
      <w:pPr>
        <w:rPr>
          <w:rFonts w:asciiTheme="minorEastAsia" w:hAnsiTheme="minorEastAsia" w:eastAsiaTheme="minorEastAsia" w:cstheme="minorEastAsia"/>
          <w:color w:val="auto"/>
        </w:rPr>
      </w:pPr>
      <w:bookmarkStart w:id="0" w:name="_Toc363463325"/>
    </w:p>
    <w:p>
      <w:pPr>
        <w:rPr>
          <w:rFonts w:asciiTheme="minorEastAsia" w:hAnsiTheme="minorEastAsia" w:eastAsiaTheme="minorEastAsia" w:cstheme="minorEastAsia"/>
          <w:color w:val="auto"/>
        </w:rPr>
      </w:pPr>
    </w:p>
    <w:bookmarkEnd w:id="0"/>
    <w:p>
      <w:pPr>
        <w:jc w:val="center"/>
        <w:rPr>
          <w:rFonts w:asciiTheme="minorEastAsia" w:hAnsiTheme="minorEastAsia" w:eastAsiaTheme="minorEastAsia" w:cstheme="minorEastAsia"/>
          <w:b/>
          <w:color w:val="auto"/>
          <w:sz w:val="36"/>
          <w:szCs w:val="36"/>
        </w:rPr>
      </w:pPr>
    </w:p>
    <w:p>
      <w:pPr>
        <w:rPr>
          <w:rFonts w:asciiTheme="minorEastAsia" w:hAnsiTheme="minorEastAsia" w:eastAsiaTheme="minorEastAsia" w:cstheme="minorEastAsia"/>
          <w:color w:val="auto"/>
          <w:sz w:val="36"/>
          <w:szCs w:val="36"/>
        </w:rPr>
      </w:pPr>
    </w:p>
    <w:p>
      <w:pPr>
        <w:jc w:val="center"/>
        <w:rPr>
          <w:rFonts w:asciiTheme="minorEastAsia" w:hAnsiTheme="minorEastAsia" w:eastAsiaTheme="minorEastAsia" w:cstheme="minorEastAsia"/>
          <w:color w:val="auto"/>
          <w:sz w:val="36"/>
          <w:szCs w:val="36"/>
        </w:rPr>
      </w:pPr>
    </w:p>
    <w:p>
      <w:pPr>
        <w:pStyle w:val="12"/>
        <w:rPr>
          <w:color w:val="auto"/>
        </w:rPr>
      </w:pPr>
    </w:p>
    <w:p>
      <w:pPr>
        <w:pStyle w:val="12"/>
        <w:rPr>
          <w:color w:val="auto"/>
        </w:rPr>
      </w:pPr>
    </w:p>
    <w:p>
      <w:pPr>
        <w:pStyle w:val="12"/>
        <w:rPr>
          <w:color w:val="auto"/>
        </w:rPr>
      </w:pPr>
    </w:p>
    <w:p>
      <w:pPr>
        <w:pStyle w:val="12"/>
        <w:rPr>
          <w:color w:val="auto"/>
        </w:rPr>
      </w:pPr>
    </w:p>
    <w:p>
      <w:pPr>
        <w:rPr>
          <w:rFonts w:asciiTheme="minorEastAsia" w:hAnsiTheme="minorEastAsia" w:eastAsiaTheme="minorEastAsia" w:cstheme="minorEastAsia"/>
          <w:color w:val="auto"/>
          <w:sz w:val="18"/>
          <w:szCs w:val="18"/>
        </w:rPr>
      </w:pPr>
    </w:p>
    <w:p>
      <w:pPr>
        <w:rPr>
          <w:rFonts w:asciiTheme="minorEastAsia" w:hAnsiTheme="minorEastAsia" w:eastAsiaTheme="minorEastAsia" w:cstheme="minorEastAsia"/>
          <w:color w:val="auto"/>
          <w:sz w:val="18"/>
          <w:szCs w:val="18"/>
        </w:rPr>
      </w:pPr>
    </w:p>
    <w:p>
      <w:pPr>
        <w:tabs>
          <w:tab w:val="left" w:pos="525"/>
        </w:tabs>
        <w:ind w:left="-2" w:leftChars="-1" w:firstLine="1"/>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中拓达建项目管理有限公司</w:t>
      </w:r>
    </w:p>
    <w:p>
      <w:pPr>
        <w:tabs>
          <w:tab w:val="left" w:pos="525"/>
        </w:tabs>
        <w:ind w:left="-2" w:leftChars="-1" w:firstLine="1"/>
        <w:jc w:val="center"/>
        <w:rPr>
          <w:rFonts w:asciiTheme="minorEastAsia" w:hAnsiTheme="minorEastAsia" w:eastAsiaTheme="minorEastAsia" w:cstheme="minorEastAsia"/>
          <w:b/>
          <w:color w:val="auto"/>
          <w:sz w:val="44"/>
          <w:szCs w:val="44"/>
        </w:rPr>
        <w:sectPr>
          <w:headerReference r:id="rId5" w:type="first"/>
          <w:headerReference r:id="rId3" w:type="default"/>
          <w:footerReference r:id="rId6" w:type="default"/>
          <w:headerReference r:id="rId4" w:type="even"/>
          <w:footerReference r:id="rId7" w:type="even"/>
          <w:pgSz w:w="11906" w:h="16838"/>
          <w:pgMar w:top="1418" w:right="1418" w:bottom="1418" w:left="1701" w:header="851" w:footer="992" w:gutter="0"/>
          <w:pgNumType w:start="1"/>
          <w:cols w:space="720" w:num="1"/>
          <w:titlePg/>
          <w:docGrid w:type="lines" w:linePitch="312" w:charSpace="0"/>
        </w:sectPr>
      </w:pPr>
      <w:r>
        <w:rPr>
          <w:rFonts w:hint="eastAsia" w:asciiTheme="minorEastAsia" w:hAnsiTheme="minorEastAsia" w:eastAsiaTheme="minorEastAsia" w:cstheme="minorEastAsia"/>
          <w:b/>
          <w:bCs/>
          <w:color w:val="auto"/>
          <w:sz w:val="32"/>
          <w:szCs w:val="32"/>
        </w:rPr>
        <w:t>二〇二</w:t>
      </w:r>
      <w:r>
        <w:rPr>
          <w:rFonts w:hint="eastAsia" w:asciiTheme="minorEastAsia" w:hAnsiTheme="minorEastAsia" w:eastAsiaTheme="minorEastAsia" w:cstheme="minorEastAsia"/>
          <w:b/>
          <w:bCs/>
          <w:color w:val="auto"/>
          <w:sz w:val="32"/>
          <w:szCs w:val="32"/>
          <w:lang w:eastAsia="zh-CN"/>
        </w:rPr>
        <w:t>二</w:t>
      </w:r>
      <w:r>
        <w:rPr>
          <w:rFonts w:hint="eastAsia" w:asciiTheme="minorEastAsia" w:hAnsiTheme="minorEastAsia" w:eastAsiaTheme="minorEastAsia" w:cstheme="minorEastAsia"/>
          <w:b/>
          <w:bCs/>
          <w:color w:val="auto"/>
          <w:sz w:val="32"/>
          <w:szCs w:val="32"/>
        </w:rPr>
        <w:t>年十</w:t>
      </w:r>
      <w:r>
        <w:rPr>
          <w:rFonts w:hint="eastAsia" w:asciiTheme="minorEastAsia" w:hAnsiTheme="minorEastAsia" w:eastAsiaTheme="minorEastAsia" w:cstheme="minorEastAsia"/>
          <w:b/>
          <w:bCs/>
          <w:color w:val="auto"/>
          <w:sz w:val="32"/>
          <w:szCs w:val="32"/>
          <w:lang w:eastAsia="zh-CN"/>
        </w:rPr>
        <w:t>一</w:t>
      </w:r>
      <w:r>
        <w:rPr>
          <w:rFonts w:hint="eastAsia" w:asciiTheme="minorEastAsia" w:hAnsiTheme="minorEastAsia" w:eastAsiaTheme="minorEastAsia" w:cstheme="minorEastAsia"/>
          <w:b/>
          <w:bCs/>
          <w:color w:val="auto"/>
          <w:sz w:val="32"/>
          <w:szCs w:val="32"/>
        </w:rPr>
        <w:t>月</w:t>
      </w:r>
    </w:p>
    <w:p>
      <w:pPr>
        <w:jc w:val="center"/>
        <w:rPr>
          <w:rFonts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目录</w:t>
      </w:r>
    </w:p>
    <w:p>
      <w:pPr>
        <w:pStyle w:val="20"/>
        <w:tabs>
          <w:tab w:val="right" w:leader="dot" w:pos="8788"/>
        </w:tabs>
        <w:spacing w:line="480" w:lineRule="auto"/>
        <w:rPr>
          <w:color w:val="auto"/>
          <w:sz w:val="28"/>
          <w:szCs w:val="32"/>
        </w:rPr>
      </w:pPr>
      <w:r>
        <w:rPr>
          <w:rFonts w:hint="eastAsia" w:asciiTheme="minorEastAsia" w:hAnsiTheme="minorEastAsia" w:eastAsiaTheme="minorEastAsia" w:cstheme="minorEastAsia"/>
          <w:color w:val="auto"/>
          <w:sz w:val="40"/>
          <w:szCs w:val="40"/>
        </w:rPr>
        <w:fldChar w:fldCharType="begin"/>
      </w:r>
      <w:r>
        <w:rPr>
          <w:rFonts w:hint="eastAsia" w:asciiTheme="minorEastAsia" w:hAnsiTheme="minorEastAsia" w:eastAsiaTheme="minorEastAsia" w:cstheme="minorEastAsia"/>
          <w:color w:val="auto"/>
          <w:sz w:val="40"/>
          <w:szCs w:val="40"/>
        </w:rPr>
        <w:instrText xml:space="preserve">TOC \o "1-4" \h \u </w:instrText>
      </w:r>
      <w:r>
        <w:rPr>
          <w:rFonts w:hint="eastAsia" w:asciiTheme="minorEastAsia" w:hAnsiTheme="minorEastAsia" w:eastAsiaTheme="minorEastAsia" w:cstheme="minorEastAsia"/>
          <w:color w:val="auto"/>
          <w:sz w:val="40"/>
          <w:szCs w:val="40"/>
        </w:rPr>
        <w:fldChar w:fldCharType="separate"/>
      </w:r>
      <w:r>
        <w:rPr>
          <w:color w:val="auto"/>
        </w:rPr>
        <w:fldChar w:fldCharType="begin"/>
      </w:r>
      <w:r>
        <w:rPr>
          <w:color w:val="auto"/>
        </w:rPr>
        <w:instrText xml:space="preserve"> HYPERLINK \l "_Toc5949" </w:instrText>
      </w:r>
      <w:r>
        <w:rPr>
          <w:color w:val="auto"/>
        </w:rPr>
        <w:fldChar w:fldCharType="separate"/>
      </w:r>
      <w:r>
        <w:rPr>
          <w:rFonts w:hint="eastAsia" w:asciiTheme="minorEastAsia" w:hAnsiTheme="minorEastAsia" w:eastAsiaTheme="minorEastAsia" w:cstheme="minorEastAsia"/>
          <w:color w:val="auto"/>
          <w:sz w:val="28"/>
          <w:szCs w:val="32"/>
        </w:rPr>
        <w:t>第一章招标公告</w:t>
      </w:r>
      <w:r>
        <w:rPr>
          <w:color w:val="auto"/>
          <w:sz w:val="28"/>
          <w:szCs w:val="32"/>
        </w:rPr>
        <w:tab/>
      </w:r>
      <w:r>
        <w:rPr>
          <w:color w:val="auto"/>
          <w:sz w:val="28"/>
          <w:szCs w:val="32"/>
        </w:rPr>
        <w:t>3</w:t>
      </w:r>
      <w:r>
        <w:rPr>
          <w:color w:val="auto"/>
          <w:sz w:val="28"/>
          <w:szCs w:val="32"/>
        </w:rPr>
        <w:fldChar w:fldCharType="end"/>
      </w:r>
    </w:p>
    <w:p>
      <w:pPr>
        <w:pStyle w:val="20"/>
        <w:tabs>
          <w:tab w:val="right" w:leader="dot" w:pos="8788"/>
        </w:tabs>
        <w:spacing w:line="480" w:lineRule="auto"/>
        <w:rPr>
          <w:rFonts w:hint="eastAsia" w:eastAsia="宋体"/>
          <w:color w:val="auto"/>
          <w:sz w:val="28"/>
          <w:szCs w:val="32"/>
          <w:lang w:val="en-US" w:eastAsia="zh-CN"/>
        </w:rPr>
      </w:pPr>
      <w:r>
        <w:rPr>
          <w:color w:val="auto"/>
        </w:rPr>
        <w:fldChar w:fldCharType="begin"/>
      </w:r>
      <w:r>
        <w:rPr>
          <w:color w:val="auto"/>
        </w:rPr>
        <w:instrText xml:space="preserve"> HYPERLINK \l "_Toc23658" </w:instrText>
      </w:r>
      <w:r>
        <w:rPr>
          <w:color w:val="auto"/>
        </w:rPr>
        <w:fldChar w:fldCharType="separate"/>
      </w:r>
      <w:r>
        <w:rPr>
          <w:rFonts w:hint="eastAsia" w:asciiTheme="minorEastAsia" w:hAnsiTheme="minorEastAsia" w:eastAsiaTheme="minorEastAsia" w:cstheme="minorEastAsia"/>
          <w:color w:val="auto"/>
          <w:sz w:val="28"/>
          <w:szCs w:val="32"/>
        </w:rPr>
        <w:t>第二章投标人须知</w:t>
      </w:r>
      <w:r>
        <w:rPr>
          <w:color w:val="auto"/>
          <w:sz w:val="28"/>
          <w:szCs w:val="32"/>
        </w:rPr>
        <w:tab/>
      </w:r>
      <w:r>
        <w:rPr>
          <w:rFonts w:hint="eastAsia"/>
          <w:color w:val="auto"/>
          <w:sz w:val="28"/>
          <w:szCs w:val="32"/>
          <w:lang w:val="en-US" w:eastAsia="zh-CN"/>
        </w:rPr>
        <w:t>1</w:t>
      </w:r>
      <w:r>
        <w:rPr>
          <w:rFonts w:hint="eastAsia"/>
          <w:color w:val="auto"/>
          <w:sz w:val="28"/>
          <w:szCs w:val="32"/>
        </w:rPr>
        <w:fldChar w:fldCharType="end"/>
      </w:r>
      <w:r>
        <w:rPr>
          <w:rFonts w:hint="eastAsia"/>
          <w:color w:val="auto"/>
          <w:sz w:val="28"/>
          <w:szCs w:val="32"/>
          <w:lang w:val="en-US" w:eastAsia="zh-CN"/>
        </w:rPr>
        <w:t>3</w:t>
      </w:r>
    </w:p>
    <w:p>
      <w:pPr>
        <w:pStyle w:val="23"/>
        <w:tabs>
          <w:tab w:val="right" w:leader="dot" w:pos="8788"/>
        </w:tabs>
        <w:spacing w:line="480" w:lineRule="auto"/>
        <w:rPr>
          <w:color w:val="auto"/>
          <w:sz w:val="28"/>
          <w:szCs w:val="32"/>
        </w:rPr>
      </w:pPr>
      <w:r>
        <w:rPr>
          <w:color w:val="auto"/>
        </w:rPr>
        <w:fldChar w:fldCharType="begin"/>
      </w:r>
      <w:r>
        <w:rPr>
          <w:color w:val="auto"/>
        </w:rPr>
        <w:instrText xml:space="preserve"> HYPERLINK \l "_Toc29034" </w:instrText>
      </w:r>
      <w:r>
        <w:rPr>
          <w:color w:val="auto"/>
        </w:rPr>
        <w:fldChar w:fldCharType="separate"/>
      </w:r>
      <w:r>
        <w:rPr>
          <w:rFonts w:hint="eastAsia" w:asciiTheme="minorEastAsia" w:hAnsiTheme="minorEastAsia" w:eastAsiaTheme="minorEastAsia" w:cstheme="minorEastAsia"/>
          <w:bCs/>
          <w:color w:val="auto"/>
          <w:sz w:val="28"/>
          <w:szCs w:val="40"/>
        </w:rPr>
        <w:t>投标人须知前附表</w:t>
      </w:r>
      <w:r>
        <w:rPr>
          <w:color w:val="auto"/>
          <w:sz w:val="28"/>
          <w:szCs w:val="32"/>
        </w:rPr>
        <w:tab/>
      </w:r>
      <w:r>
        <w:rPr>
          <w:color w:val="auto"/>
          <w:sz w:val="28"/>
          <w:szCs w:val="32"/>
        </w:rPr>
        <w:fldChar w:fldCharType="begin"/>
      </w:r>
      <w:r>
        <w:rPr>
          <w:color w:val="auto"/>
          <w:sz w:val="28"/>
          <w:szCs w:val="32"/>
        </w:rPr>
        <w:instrText xml:space="preserve"> PAGEREF _Toc29034 </w:instrText>
      </w:r>
      <w:r>
        <w:rPr>
          <w:color w:val="auto"/>
          <w:sz w:val="28"/>
          <w:szCs w:val="32"/>
        </w:rPr>
        <w:fldChar w:fldCharType="separate"/>
      </w:r>
      <w:r>
        <w:rPr>
          <w:color w:val="auto"/>
          <w:sz w:val="28"/>
          <w:szCs w:val="32"/>
        </w:rPr>
        <w:t>14</w:t>
      </w:r>
      <w:r>
        <w:rPr>
          <w:color w:val="auto"/>
          <w:sz w:val="28"/>
          <w:szCs w:val="32"/>
        </w:rPr>
        <w:fldChar w:fldCharType="end"/>
      </w:r>
      <w:r>
        <w:rPr>
          <w:color w:val="auto"/>
          <w:sz w:val="28"/>
          <w:szCs w:val="32"/>
        </w:rPr>
        <w:fldChar w:fldCharType="end"/>
      </w:r>
    </w:p>
    <w:p>
      <w:pPr>
        <w:pStyle w:val="20"/>
        <w:tabs>
          <w:tab w:val="right" w:leader="dot" w:pos="8788"/>
        </w:tabs>
        <w:spacing w:line="480" w:lineRule="auto"/>
        <w:rPr>
          <w:color w:val="auto"/>
          <w:sz w:val="28"/>
          <w:szCs w:val="32"/>
        </w:rPr>
      </w:pPr>
      <w:r>
        <w:rPr>
          <w:color w:val="auto"/>
        </w:rPr>
        <w:fldChar w:fldCharType="begin"/>
      </w:r>
      <w:r>
        <w:rPr>
          <w:color w:val="auto"/>
        </w:rPr>
        <w:instrText xml:space="preserve"> HYPERLINK \l "_Toc14086" </w:instrText>
      </w:r>
      <w:r>
        <w:rPr>
          <w:color w:val="auto"/>
        </w:rPr>
        <w:fldChar w:fldCharType="separate"/>
      </w:r>
      <w:r>
        <w:rPr>
          <w:rFonts w:hint="eastAsia" w:asciiTheme="minorEastAsia" w:hAnsiTheme="minorEastAsia" w:eastAsiaTheme="minorEastAsia" w:cstheme="minorEastAsia"/>
          <w:bCs/>
          <w:color w:val="auto"/>
          <w:sz w:val="28"/>
          <w:szCs w:val="48"/>
        </w:rPr>
        <w:t>第三章评审方法</w:t>
      </w:r>
      <w:r>
        <w:rPr>
          <w:color w:val="auto"/>
          <w:sz w:val="28"/>
          <w:szCs w:val="32"/>
        </w:rPr>
        <w:tab/>
      </w:r>
      <w:r>
        <w:rPr>
          <w:color w:val="auto"/>
          <w:sz w:val="28"/>
          <w:szCs w:val="32"/>
        </w:rPr>
        <w:fldChar w:fldCharType="begin"/>
      </w:r>
      <w:r>
        <w:rPr>
          <w:color w:val="auto"/>
          <w:sz w:val="28"/>
          <w:szCs w:val="32"/>
        </w:rPr>
        <w:instrText xml:space="preserve"> PAGEREF _Toc14086 </w:instrText>
      </w:r>
      <w:r>
        <w:rPr>
          <w:color w:val="auto"/>
          <w:sz w:val="28"/>
          <w:szCs w:val="32"/>
        </w:rPr>
        <w:fldChar w:fldCharType="separate"/>
      </w:r>
      <w:r>
        <w:rPr>
          <w:color w:val="auto"/>
          <w:sz w:val="28"/>
          <w:szCs w:val="32"/>
        </w:rPr>
        <w:t>32</w:t>
      </w:r>
      <w:r>
        <w:rPr>
          <w:color w:val="auto"/>
          <w:sz w:val="28"/>
          <w:szCs w:val="32"/>
        </w:rPr>
        <w:fldChar w:fldCharType="end"/>
      </w:r>
      <w:r>
        <w:rPr>
          <w:color w:val="auto"/>
          <w:sz w:val="28"/>
          <w:szCs w:val="32"/>
        </w:rPr>
        <w:fldChar w:fldCharType="end"/>
      </w:r>
    </w:p>
    <w:p>
      <w:pPr>
        <w:pStyle w:val="20"/>
        <w:tabs>
          <w:tab w:val="right" w:leader="dot" w:pos="8788"/>
        </w:tabs>
        <w:spacing w:line="480" w:lineRule="auto"/>
        <w:rPr>
          <w:color w:val="auto"/>
          <w:sz w:val="28"/>
          <w:szCs w:val="32"/>
        </w:rPr>
      </w:pPr>
      <w:r>
        <w:rPr>
          <w:color w:val="auto"/>
        </w:rPr>
        <w:fldChar w:fldCharType="begin"/>
      </w:r>
      <w:r>
        <w:rPr>
          <w:color w:val="auto"/>
        </w:rPr>
        <w:instrText xml:space="preserve"> HYPERLINK \l "_Toc463" </w:instrText>
      </w:r>
      <w:r>
        <w:rPr>
          <w:color w:val="auto"/>
        </w:rPr>
        <w:fldChar w:fldCharType="separate"/>
      </w:r>
      <w:r>
        <w:rPr>
          <w:rFonts w:hint="eastAsia" w:asciiTheme="minorEastAsia" w:hAnsiTheme="minorEastAsia" w:eastAsiaTheme="minorEastAsia" w:cstheme="minorEastAsia"/>
          <w:color w:val="auto"/>
          <w:sz w:val="28"/>
          <w:szCs w:val="48"/>
        </w:rPr>
        <w:t>第四章</w:t>
      </w:r>
      <w:r>
        <w:rPr>
          <w:rFonts w:hint="eastAsia" w:asciiTheme="minorEastAsia" w:hAnsiTheme="minorEastAsia" w:eastAsiaTheme="minorEastAsia" w:cstheme="minorEastAsia"/>
          <w:bCs/>
          <w:color w:val="auto"/>
          <w:sz w:val="28"/>
          <w:szCs w:val="48"/>
        </w:rPr>
        <w:t>合同条款及格式</w:t>
      </w:r>
      <w:r>
        <w:rPr>
          <w:color w:val="auto"/>
          <w:sz w:val="28"/>
          <w:szCs w:val="32"/>
        </w:rPr>
        <w:tab/>
      </w:r>
      <w:r>
        <w:rPr>
          <w:color w:val="auto"/>
          <w:sz w:val="28"/>
          <w:szCs w:val="32"/>
        </w:rPr>
        <w:fldChar w:fldCharType="begin"/>
      </w:r>
      <w:r>
        <w:rPr>
          <w:color w:val="auto"/>
          <w:sz w:val="28"/>
          <w:szCs w:val="32"/>
        </w:rPr>
        <w:instrText xml:space="preserve"> PAGEREF _Toc463 </w:instrText>
      </w:r>
      <w:r>
        <w:rPr>
          <w:color w:val="auto"/>
          <w:sz w:val="28"/>
          <w:szCs w:val="32"/>
        </w:rPr>
        <w:fldChar w:fldCharType="separate"/>
      </w:r>
      <w:r>
        <w:rPr>
          <w:color w:val="auto"/>
          <w:sz w:val="28"/>
          <w:szCs w:val="32"/>
        </w:rPr>
        <w:t>41</w:t>
      </w:r>
      <w:r>
        <w:rPr>
          <w:color w:val="auto"/>
          <w:sz w:val="28"/>
          <w:szCs w:val="32"/>
        </w:rPr>
        <w:fldChar w:fldCharType="end"/>
      </w:r>
      <w:r>
        <w:rPr>
          <w:color w:val="auto"/>
          <w:sz w:val="28"/>
          <w:szCs w:val="32"/>
        </w:rPr>
        <w:fldChar w:fldCharType="end"/>
      </w:r>
    </w:p>
    <w:p>
      <w:pPr>
        <w:pStyle w:val="23"/>
        <w:tabs>
          <w:tab w:val="right" w:leader="dot" w:pos="8788"/>
        </w:tabs>
        <w:spacing w:line="480" w:lineRule="auto"/>
        <w:rPr>
          <w:color w:val="auto"/>
          <w:sz w:val="28"/>
          <w:szCs w:val="32"/>
        </w:rPr>
      </w:pPr>
      <w:r>
        <w:rPr>
          <w:color w:val="auto"/>
        </w:rPr>
        <w:fldChar w:fldCharType="begin"/>
      </w:r>
      <w:r>
        <w:rPr>
          <w:color w:val="auto"/>
        </w:rPr>
        <w:instrText xml:space="preserve"> HYPERLINK \l "_Toc4684" </w:instrText>
      </w:r>
      <w:r>
        <w:rPr>
          <w:color w:val="auto"/>
        </w:rPr>
        <w:fldChar w:fldCharType="separate"/>
      </w:r>
      <w:r>
        <w:rPr>
          <w:rFonts w:hint="eastAsia" w:asciiTheme="minorEastAsia" w:hAnsiTheme="minorEastAsia" w:eastAsiaTheme="minorEastAsia" w:cstheme="minorEastAsia"/>
          <w:color w:val="auto"/>
          <w:sz w:val="28"/>
          <w:szCs w:val="32"/>
        </w:rPr>
        <w:t>合同条款及格式前附表</w:t>
      </w:r>
      <w:r>
        <w:rPr>
          <w:color w:val="auto"/>
          <w:sz w:val="28"/>
          <w:szCs w:val="32"/>
        </w:rPr>
        <w:tab/>
      </w:r>
      <w:r>
        <w:rPr>
          <w:color w:val="auto"/>
          <w:sz w:val="28"/>
          <w:szCs w:val="32"/>
        </w:rPr>
        <w:fldChar w:fldCharType="begin"/>
      </w:r>
      <w:r>
        <w:rPr>
          <w:color w:val="auto"/>
          <w:sz w:val="28"/>
          <w:szCs w:val="32"/>
        </w:rPr>
        <w:instrText xml:space="preserve"> PAGEREF _Toc4684 </w:instrText>
      </w:r>
      <w:r>
        <w:rPr>
          <w:color w:val="auto"/>
          <w:sz w:val="28"/>
          <w:szCs w:val="32"/>
        </w:rPr>
        <w:fldChar w:fldCharType="separate"/>
      </w:r>
      <w:r>
        <w:rPr>
          <w:color w:val="auto"/>
          <w:sz w:val="28"/>
          <w:szCs w:val="32"/>
        </w:rPr>
        <w:t>41</w:t>
      </w:r>
      <w:r>
        <w:rPr>
          <w:color w:val="auto"/>
          <w:sz w:val="28"/>
          <w:szCs w:val="32"/>
        </w:rPr>
        <w:fldChar w:fldCharType="end"/>
      </w:r>
      <w:r>
        <w:rPr>
          <w:color w:val="auto"/>
          <w:sz w:val="28"/>
          <w:szCs w:val="32"/>
        </w:rPr>
        <w:fldChar w:fldCharType="end"/>
      </w:r>
    </w:p>
    <w:p>
      <w:pPr>
        <w:pStyle w:val="20"/>
        <w:tabs>
          <w:tab w:val="right" w:leader="dot" w:pos="8788"/>
        </w:tabs>
        <w:spacing w:line="480" w:lineRule="auto"/>
        <w:rPr>
          <w:color w:val="auto"/>
          <w:sz w:val="28"/>
          <w:szCs w:val="32"/>
        </w:rPr>
      </w:pPr>
      <w:r>
        <w:rPr>
          <w:color w:val="auto"/>
        </w:rPr>
        <w:fldChar w:fldCharType="begin"/>
      </w:r>
      <w:r>
        <w:rPr>
          <w:color w:val="auto"/>
        </w:rPr>
        <w:instrText xml:space="preserve"> HYPERLINK \l "_Toc10860" </w:instrText>
      </w:r>
      <w:r>
        <w:rPr>
          <w:color w:val="auto"/>
        </w:rPr>
        <w:fldChar w:fldCharType="separate"/>
      </w:r>
      <w:r>
        <w:rPr>
          <w:rFonts w:hint="eastAsia" w:asciiTheme="minorEastAsia" w:hAnsiTheme="minorEastAsia" w:eastAsiaTheme="minorEastAsia" w:cstheme="minorEastAsia"/>
          <w:color w:val="auto"/>
          <w:sz w:val="28"/>
          <w:szCs w:val="48"/>
        </w:rPr>
        <w:t>第五章项目概况及技术要求</w:t>
      </w:r>
      <w:r>
        <w:rPr>
          <w:color w:val="auto"/>
          <w:sz w:val="28"/>
          <w:szCs w:val="32"/>
        </w:rPr>
        <w:tab/>
      </w:r>
      <w:r>
        <w:rPr>
          <w:color w:val="auto"/>
          <w:sz w:val="28"/>
          <w:szCs w:val="32"/>
        </w:rPr>
        <w:fldChar w:fldCharType="begin"/>
      </w:r>
      <w:r>
        <w:rPr>
          <w:color w:val="auto"/>
          <w:sz w:val="28"/>
          <w:szCs w:val="32"/>
        </w:rPr>
        <w:instrText xml:space="preserve"> PAGEREF _Toc10860 </w:instrText>
      </w:r>
      <w:r>
        <w:rPr>
          <w:color w:val="auto"/>
          <w:sz w:val="28"/>
          <w:szCs w:val="32"/>
        </w:rPr>
        <w:fldChar w:fldCharType="separate"/>
      </w:r>
      <w:r>
        <w:rPr>
          <w:color w:val="auto"/>
          <w:sz w:val="28"/>
          <w:szCs w:val="32"/>
        </w:rPr>
        <w:t>56</w:t>
      </w:r>
      <w:r>
        <w:rPr>
          <w:color w:val="auto"/>
          <w:sz w:val="28"/>
          <w:szCs w:val="32"/>
        </w:rPr>
        <w:fldChar w:fldCharType="end"/>
      </w:r>
      <w:r>
        <w:rPr>
          <w:color w:val="auto"/>
          <w:sz w:val="28"/>
          <w:szCs w:val="32"/>
        </w:rPr>
        <w:fldChar w:fldCharType="end"/>
      </w:r>
    </w:p>
    <w:p>
      <w:pPr>
        <w:pStyle w:val="20"/>
        <w:tabs>
          <w:tab w:val="right" w:leader="dot" w:pos="8788"/>
        </w:tabs>
        <w:spacing w:line="480" w:lineRule="auto"/>
        <w:rPr>
          <w:color w:val="auto"/>
          <w:sz w:val="28"/>
          <w:szCs w:val="32"/>
        </w:rPr>
      </w:pPr>
      <w:r>
        <w:rPr>
          <w:color w:val="auto"/>
        </w:rPr>
        <w:fldChar w:fldCharType="begin"/>
      </w:r>
      <w:r>
        <w:rPr>
          <w:color w:val="auto"/>
        </w:rPr>
        <w:instrText xml:space="preserve"> HYPERLINK \l "_Toc10341" </w:instrText>
      </w:r>
      <w:r>
        <w:rPr>
          <w:color w:val="auto"/>
        </w:rPr>
        <w:fldChar w:fldCharType="separate"/>
      </w:r>
      <w:r>
        <w:rPr>
          <w:rFonts w:hint="eastAsia" w:asciiTheme="minorEastAsia" w:hAnsiTheme="minorEastAsia" w:eastAsiaTheme="minorEastAsia" w:cstheme="minorEastAsia"/>
          <w:bCs/>
          <w:color w:val="auto"/>
          <w:sz w:val="28"/>
          <w:szCs w:val="48"/>
        </w:rPr>
        <w:t>第六章投标文件构成及格式</w:t>
      </w:r>
      <w:r>
        <w:rPr>
          <w:color w:val="auto"/>
          <w:sz w:val="28"/>
          <w:szCs w:val="32"/>
        </w:rPr>
        <w:tab/>
      </w:r>
      <w:r>
        <w:rPr>
          <w:color w:val="auto"/>
          <w:sz w:val="28"/>
          <w:szCs w:val="32"/>
        </w:rPr>
        <w:fldChar w:fldCharType="begin"/>
      </w:r>
      <w:r>
        <w:rPr>
          <w:color w:val="auto"/>
          <w:sz w:val="28"/>
          <w:szCs w:val="32"/>
        </w:rPr>
        <w:instrText xml:space="preserve"> PAGEREF _Toc10341 </w:instrText>
      </w:r>
      <w:r>
        <w:rPr>
          <w:color w:val="auto"/>
          <w:sz w:val="28"/>
          <w:szCs w:val="32"/>
        </w:rPr>
        <w:fldChar w:fldCharType="separate"/>
      </w:r>
      <w:r>
        <w:rPr>
          <w:color w:val="auto"/>
          <w:sz w:val="28"/>
          <w:szCs w:val="32"/>
        </w:rPr>
        <w:t>62</w:t>
      </w:r>
      <w:r>
        <w:rPr>
          <w:color w:val="auto"/>
          <w:sz w:val="28"/>
          <w:szCs w:val="32"/>
        </w:rPr>
        <w:fldChar w:fldCharType="end"/>
      </w:r>
      <w:r>
        <w:rPr>
          <w:color w:val="auto"/>
          <w:sz w:val="28"/>
          <w:szCs w:val="32"/>
        </w:rPr>
        <w:fldChar w:fldCharType="end"/>
      </w:r>
    </w:p>
    <w:p>
      <w:pPr>
        <w:spacing w:line="480" w:lineRule="auto"/>
        <w:ind w:firstLine="56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8"/>
          <w:szCs w:val="40"/>
        </w:rPr>
        <w:fldChar w:fldCharType="end"/>
      </w:r>
    </w:p>
    <w:p>
      <w:pPr>
        <w:spacing w:line="4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pPr>
        <w:pStyle w:val="4"/>
        <w:spacing w:line="360" w:lineRule="auto"/>
        <w:jc w:val="center"/>
        <w:rPr>
          <w:rFonts w:ascii="宋体" w:hAnsi="宋体" w:cs="宋体"/>
          <w:color w:val="auto"/>
        </w:rPr>
      </w:pPr>
      <w:bookmarkStart w:id="1" w:name="_Toc14968"/>
      <w:bookmarkStart w:id="2" w:name="_Toc5949"/>
      <w:bookmarkStart w:id="3" w:name="_Toc421778363"/>
      <w:bookmarkStart w:id="4" w:name="_Toc23658"/>
      <w:bookmarkStart w:id="5" w:name="_Toc18593"/>
      <w:r>
        <w:rPr>
          <w:rFonts w:hint="eastAsia" w:ascii="宋体" w:hAnsi="宋体" w:cs="宋体"/>
          <w:color w:val="auto"/>
        </w:rPr>
        <w:t>第一章招标公告</w:t>
      </w:r>
      <w:bookmarkEnd w:id="1"/>
      <w:bookmarkEnd w:id="2"/>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rPr>
        <w:t>项目概况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2022年封山育林项目建设采购招标项目的潜在投标人应在陕西省商南县滨河路逸安嘉园503室获取招标文件，并于2022年11月30日 09时30分（北京时间）前递交投标文件。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bCs/>
          <w:i w:val="0"/>
          <w:iCs w:val="0"/>
          <w:caps w:val="0"/>
          <w:color w:val="auto"/>
          <w:spacing w:val="0"/>
          <w:sz w:val="21"/>
          <w:szCs w:val="21"/>
          <w:shd w:val="clear" w:fill="FFFFFF"/>
        </w:rPr>
      </w:pPr>
      <w:r>
        <w:rPr>
          <w:rStyle w:val="31"/>
          <w:rFonts w:hint="eastAsia" w:ascii="微软雅黑" w:hAnsi="微软雅黑" w:eastAsia="微软雅黑" w:cs="微软雅黑"/>
          <w:b/>
          <w:bCs/>
          <w:i w:val="0"/>
          <w:iCs w:val="0"/>
          <w:caps w:val="0"/>
          <w:color w:val="auto"/>
          <w:spacing w:val="0"/>
          <w:sz w:val="21"/>
          <w:szCs w:val="21"/>
          <w:shd w:val="clear" w:fill="FFFFFF"/>
        </w:rPr>
        <w:t>一、项目基本情况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项目编号：ZCSP-商南县-2022-00467</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项目名称：2022年封山育林项目建设采购</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采购方式：公开招标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预算金额：5,640,000.00元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采购需求：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合同包预算金额：385,400.00元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合同包最高限价：385,400.00元</w:t>
      </w:r>
    </w:p>
    <w:tbl>
      <w:tblPr>
        <w:tblStyle w:val="28"/>
        <w:tblW w:w="102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77"/>
        <w:gridCol w:w="1757"/>
        <w:gridCol w:w="2668"/>
        <w:gridCol w:w="1026"/>
        <w:gridCol w:w="1391"/>
        <w:gridCol w:w="1260"/>
        <w:gridCol w:w="13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7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品目号</w:t>
            </w:r>
          </w:p>
        </w:tc>
        <w:tc>
          <w:tcPr>
            <w:tcW w:w="17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品目名称</w:t>
            </w:r>
          </w:p>
        </w:tc>
        <w:tc>
          <w:tcPr>
            <w:tcW w:w="26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采购标的</w:t>
            </w:r>
          </w:p>
        </w:tc>
        <w:tc>
          <w:tcPr>
            <w:tcW w:w="10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数量（单位）</w:t>
            </w:r>
          </w:p>
        </w:tc>
        <w:tc>
          <w:tcPr>
            <w:tcW w:w="13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技术规格、参数及要求</w:t>
            </w:r>
          </w:p>
        </w:tc>
        <w:tc>
          <w:tcPr>
            <w:tcW w:w="1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品目预算(元)</w:t>
            </w:r>
          </w:p>
        </w:tc>
        <w:tc>
          <w:tcPr>
            <w:tcW w:w="13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7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1-1</w:t>
            </w:r>
          </w:p>
        </w:tc>
        <w:tc>
          <w:tcPr>
            <w:tcW w:w="17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天然林保护工程施工</w:t>
            </w:r>
          </w:p>
        </w:tc>
        <w:tc>
          <w:tcPr>
            <w:tcW w:w="26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2022年封山育林项目建设采购</w:t>
            </w:r>
          </w:p>
        </w:tc>
        <w:tc>
          <w:tcPr>
            <w:tcW w:w="10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1(项)</w:t>
            </w:r>
          </w:p>
        </w:tc>
        <w:tc>
          <w:tcPr>
            <w:tcW w:w="13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详见采购文件</w:t>
            </w:r>
          </w:p>
        </w:tc>
        <w:tc>
          <w:tcPr>
            <w:tcW w:w="1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385,400.00</w:t>
            </w:r>
          </w:p>
        </w:tc>
        <w:tc>
          <w:tcPr>
            <w:tcW w:w="13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385,400.00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合同履行期限：160日历天</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合同包2(二标段):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合同包预算金额：376,000.00元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合同包最高限价：376,000.00元</w:t>
      </w:r>
    </w:p>
    <w:tbl>
      <w:tblPr>
        <w:tblStyle w:val="28"/>
        <w:tblW w:w="102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70"/>
        <w:gridCol w:w="1648"/>
        <w:gridCol w:w="2153"/>
        <w:gridCol w:w="1335"/>
        <w:gridCol w:w="1929"/>
        <w:gridCol w:w="1185"/>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4" w:hRule="atLeast"/>
          <w:tblHeader/>
          <w:jc w:val="center"/>
        </w:trPr>
        <w:tc>
          <w:tcPr>
            <w:tcW w:w="7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品目号</w:t>
            </w:r>
          </w:p>
        </w:tc>
        <w:tc>
          <w:tcPr>
            <w:tcW w:w="16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品目名称</w:t>
            </w:r>
          </w:p>
        </w:tc>
        <w:tc>
          <w:tcPr>
            <w:tcW w:w="21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采购标的</w:t>
            </w:r>
          </w:p>
        </w:tc>
        <w:tc>
          <w:tcPr>
            <w:tcW w:w="13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数量（单位）</w:t>
            </w:r>
          </w:p>
        </w:tc>
        <w:tc>
          <w:tcPr>
            <w:tcW w:w="19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技术规格、参数及要求</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品目预算(元)</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7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2-1</w:t>
            </w:r>
          </w:p>
        </w:tc>
        <w:tc>
          <w:tcPr>
            <w:tcW w:w="16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天然林保护工程施工</w:t>
            </w:r>
          </w:p>
        </w:tc>
        <w:tc>
          <w:tcPr>
            <w:tcW w:w="21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2022年封山育林项目建设采购</w:t>
            </w:r>
          </w:p>
        </w:tc>
        <w:tc>
          <w:tcPr>
            <w:tcW w:w="13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1(项)</w:t>
            </w:r>
          </w:p>
        </w:tc>
        <w:tc>
          <w:tcPr>
            <w:tcW w:w="19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详见采购文件</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376,000.00</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376,000.00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合同履行期限：160日历天</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合同包3(三标段):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合同包预算金额：401,800.00元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合同包最高限价：401,800.00元</w:t>
      </w:r>
    </w:p>
    <w:tbl>
      <w:tblPr>
        <w:tblStyle w:val="28"/>
        <w:tblW w:w="102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18"/>
        <w:gridCol w:w="1693"/>
        <w:gridCol w:w="2681"/>
        <w:gridCol w:w="1309"/>
        <w:gridCol w:w="1260"/>
        <w:gridCol w:w="1260"/>
        <w:gridCol w:w="12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7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品目号</w:t>
            </w:r>
          </w:p>
        </w:tc>
        <w:tc>
          <w:tcPr>
            <w:tcW w:w="16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品目名称</w:t>
            </w:r>
          </w:p>
        </w:tc>
        <w:tc>
          <w:tcPr>
            <w:tcW w:w="26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采购标的</w:t>
            </w:r>
          </w:p>
        </w:tc>
        <w:tc>
          <w:tcPr>
            <w:tcW w:w="13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数量（单位）</w:t>
            </w:r>
          </w:p>
        </w:tc>
        <w:tc>
          <w:tcPr>
            <w:tcW w:w="1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技术规格、参数及要求</w:t>
            </w:r>
          </w:p>
        </w:tc>
        <w:tc>
          <w:tcPr>
            <w:tcW w:w="1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品目预算(元)</w:t>
            </w:r>
          </w:p>
        </w:tc>
        <w:tc>
          <w:tcPr>
            <w:tcW w:w="12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7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3-1</w:t>
            </w:r>
          </w:p>
        </w:tc>
        <w:tc>
          <w:tcPr>
            <w:tcW w:w="16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天然林保护工程施工</w:t>
            </w:r>
          </w:p>
        </w:tc>
        <w:tc>
          <w:tcPr>
            <w:tcW w:w="26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2022年封山育林项目建设采购</w:t>
            </w:r>
          </w:p>
        </w:tc>
        <w:tc>
          <w:tcPr>
            <w:tcW w:w="13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1(项)</w:t>
            </w:r>
          </w:p>
        </w:tc>
        <w:tc>
          <w:tcPr>
            <w:tcW w:w="1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详见采购文件</w:t>
            </w:r>
          </w:p>
        </w:tc>
        <w:tc>
          <w:tcPr>
            <w:tcW w:w="1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401,800.00</w:t>
            </w:r>
          </w:p>
        </w:tc>
        <w:tc>
          <w:tcPr>
            <w:tcW w:w="12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401,800.00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合同履行期限：160日历天</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合同包4(四标段):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合同包预算金额：462,400.00元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合同包最高限价：462,400.00元</w:t>
      </w:r>
    </w:p>
    <w:tbl>
      <w:tblPr>
        <w:tblStyle w:val="28"/>
        <w:tblW w:w="102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21"/>
        <w:gridCol w:w="2123"/>
        <w:gridCol w:w="2113"/>
        <w:gridCol w:w="1278"/>
        <w:gridCol w:w="1367"/>
        <w:gridCol w:w="1306"/>
        <w:gridCol w:w="12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9" w:hRule="atLeast"/>
          <w:tblHeader/>
          <w:jc w:val="center"/>
        </w:trPr>
        <w:tc>
          <w:tcPr>
            <w:tcW w:w="7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品目号</w:t>
            </w:r>
          </w:p>
        </w:tc>
        <w:tc>
          <w:tcPr>
            <w:tcW w:w="21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品目名称</w:t>
            </w:r>
          </w:p>
        </w:tc>
        <w:tc>
          <w:tcPr>
            <w:tcW w:w="21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采购标的</w:t>
            </w:r>
          </w:p>
        </w:tc>
        <w:tc>
          <w:tcPr>
            <w:tcW w:w="12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数量（单位）</w:t>
            </w:r>
          </w:p>
        </w:tc>
        <w:tc>
          <w:tcPr>
            <w:tcW w:w="13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技术规格、参数及要求</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品目预算(元)</w:t>
            </w:r>
          </w:p>
        </w:tc>
        <w:tc>
          <w:tcPr>
            <w:tcW w:w="12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7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4-1</w:t>
            </w:r>
          </w:p>
        </w:tc>
        <w:tc>
          <w:tcPr>
            <w:tcW w:w="21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天然林保护工程施工</w:t>
            </w:r>
          </w:p>
        </w:tc>
        <w:tc>
          <w:tcPr>
            <w:tcW w:w="21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2022年封山育林项目建设采购</w:t>
            </w:r>
          </w:p>
        </w:tc>
        <w:tc>
          <w:tcPr>
            <w:tcW w:w="12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1(项)</w:t>
            </w:r>
          </w:p>
        </w:tc>
        <w:tc>
          <w:tcPr>
            <w:tcW w:w="13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详见采购文件</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462,400.00</w:t>
            </w:r>
          </w:p>
        </w:tc>
        <w:tc>
          <w:tcPr>
            <w:tcW w:w="12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462,400.00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合同履行期限：160日历天</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合同包5(五标段):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合同包预算金额：357,200.00元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合同包最高限价：357,200.00元</w:t>
      </w:r>
    </w:p>
    <w:p>
      <w:pPr>
        <w:rPr>
          <w:rStyle w:val="31"/>
          <w:rFonts w:hint="eastAsia" w:ascii="微软雅黑" w:hAnsi="微软雅黑" w:eastAsia="微软雅黑" w:cs="微软雅黑"/>
          <w:b w:val="0"/>
          <w:bCs w:val="0"/>
          <w:i w:val="0"/>
          <w:iCs w:val="0"/>
          <w:caps w:val="0"/>
          <w:color w:val="auto"/>
          <w:spacing w:val="0"/>
          <w:sz w:val="21"/>
          <w:szCs w:val="21"/>
          <w:shd w:val="clear" w:fill="FFFFFF"/>
        </w:rPr>
      </w:pPr>
    </w:p>
    <w:p>
      <w:pPr>
        <w:pStyle w:val="2"/>
        <w:rPr>
          <w:rFonts w:hint="eastAsia"/>
          <w:color w:val="auto"/>
        </w:rPr>
      </w:pPr>
    </w:p>
    <w:tbl>
      <w:tblPr>
        <w:tblStyle w:val="28"/>
        <w:tblW w:w="102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70"/>
        <w:gridCol w:w="1633"/>
        <w:gridCol w:w="2168"/>
        <w:gridCol w:w="1455"/>
        <w:gridCol w:w="1560"/>
        <w:gridCol w:w="1434"/>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7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品目号</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品目名称</w:t>
            </w:r>
          </w:p>
        </w:tc>
        <w:tc>
          <w:tcPr>
            <w:tcW w:w="21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采购标的</w:t>
            </w:r>
          </w:p>
        </w:tc>
        <w:tc>
          <w:tcPr>
            <w:tcW w:w="14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数量（单位）</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技术规格、参数及要求</w:t>
            </w:r>
          </w:p>
        </w:tc>
        <w:tc>
          <w:tcPr>
            <w:tcW w:w="14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品目预算(元)</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7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5-1</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天然林保护工程施工</w:t>
            </w:r>
          </w:p>
        </w:tc>
        <w:tc>
          <w:tcPr>
            <w:tcW w:w="21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2022年封山育林项目建设采购</w:t>
            </w:r>
          </w:p>
        </w:tc>
        <w:tc>
          <w:tcPr>
            <w:tcW w:w="14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1(项)</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详见采购文件</w:t>
            </w:r>
          </w:p>
        </w:tc>
        <w:tc>
          <w:tcPr>
            <w:tcW w:w="14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357,200.00</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357,200.00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合同履行期限：160日历天</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合同包6(六标段):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合同包预算金额：360,000.00元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合同包最高限价：360,000.00元</w:t>
      </w:r>
    </w:p>
    <w:tbl>
      <w:tblPr>
        <w:tblStyle w:val="28"/>
        <w:tblW w:w="102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71"/>
        <w:gridCol w:w="1603"/>
        <w:gridCol w:w="2272"/>
        <w:gridCol w:w="1380"/>
        <w:gridCol w:w="1560"/>
        <w:gridCol w:w="1434"/>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7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品目号</w:t>
            </w:r>
          </w:p>
        </w:tc>
        <w:tc>
          <w:tcPr>
            <w:tcW w:w="16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品目名称</w:t>
            </w:r>
          </w:p>
        </w:tc>
        <w:tc>
          <w:tcPr>
            <w:tcW w:w="22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采购标的</w:t>
            </w:r>
          </w:p>
        </w:tc>
        <w:tc>
          <w:tcPr>
            <w:tcW w:w="13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数量（单位）</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技术规格、参数及要求</w:t>
            </w:r>
          </w:p>
        </w:tc>
        <w:tc>
          <w:tcPr>
            <w:tcW w:w="14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品目预算(元)</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7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6-1</w:t>
            </w:r>
          </w:p>
        </w:tc>
        <w:tc>
          <w:tcPr>
            <w:tcW w:w="16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天然林保护工程施工</w:t>
            </w:r>
          </w:p>
        </w:tc>
        <w:tc>
          <w:tcPr>
            <w:tcW w:w="22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2022年封山育林项目建设采购</w:t>
            </w:r>
          </w:p>
        </w:tc>
        <w:tc>
          <w:tcPr>
            <w:tcW w:w="13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1(项)</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详见采购文件</w:t>
            </w:r>
          </w:p>
        </w:tc>
        <w:tc>
          <w:tcPr>
            <w:tcW w:w="14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360,000.00</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360,000.00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合同履行期限：160日历天</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合同包7(七标段):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合同包预算金额：366,600.00元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合同包最高限价：366,600.00元</w:t>
      </w:r>
    </w:p>
    <w:tbl>
      <w:tblPr>
        <w:tblStyle w:val="28"/>
        <w:tblW w:w="102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08"/>
        <w:gridCol w:w="2053"/>
        <w:gridCol w:w="2906"/>
        <w:gridCol w:w="949"/>
        <w:gridCol w:w="950"/>
        <w:gridCol w:w="1257"/>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7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品目号</w:t>
            </w:r>
          </w:p>
        </w:tc>
        <w:tc>
          <w:tcPr>
            <w:tcW w:w="20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品目名称</w:t>
            </w:r>
          </w:p>
        </w:tc>
        <w:tc>
          <w:tcPr>
            <w:tcW w:w="29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采购标的</w:t>
            </w:r>
          </w:p>
        </w:tc>
        <w:tc>
          <w:tcPr>
            <w:tcW w:w="9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数量（单位）</w:t>
            </w:r>
          </w:p>
        </w:tc>
        <w:tc>
          <w:tcPr>
            <w:tcW w:w="9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技术规格、参数及要求</w:t>
            </w:r>
          </w:p>
        </w:tc>
        <w:tc>
          <w:tcPr>
            <w:tcW w:w="12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品目预算(元)</w:t>
            </w:r>
          </w:p>
        </w:tc>
        <w:tc>
          <w:tcPr>
            <w:tcW w:w="13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7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7-1</w:t>
            </w:r>
          </w:p>
        </w:tc>
        <w:tc>
          <w:tcPr>
            <w:tcW w:w="20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天然林保护工程施工</w:t>
            </w:r>
          </w:p>
        </w:tc>
        <w:tc>
          <w:tcPr>
            <w:tcW w:w="29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2022年封山育林项目建设采购</w:t>
            </w:r>
          </w:p>
        </w:tc>
        <w:tc>
          <w:tcPr>
            <w:tcW w:w="9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1(项)</w:t>
            </w:r>
          </w:p>
        </w:tc>
        <w:tc>
          <w:tcPr>
            <w:tcW w:w="9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详见采购文件</w:t>
            </w:r>
          </w:p>
        </w:tc>
        <w:tc>
          <w:tcPr>
            <w:tcW w:w="12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366,600.00</w:t>
            </w:r>
          </w:p>
        </w:tc>
        <w:tc>
          <w:tcPr>
            <w:tcW w:w="13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366,600.00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合同履行期限：160日历天</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合同包8(八标段):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合同包预算金额：338,400.00元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Times New Roman" w:hAnsi="Times New Roman" w:eastAsia="宋体" w:cs="Times New Roman"/>
          <w:b/>
          <w:bCs/>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合同包最高限价：338,400.00元</w:t>
      </w:r>
    </w:p>
    <w:tbl>
      <w:tblPr>
        <w:tblStyle w:val="28"/>
        <w:tblW w:w="102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23"/>
        <w:gridCol w:w="2027"/>
        <w:gridCol w:w="2865"/>
        <w:gridCol w:w="966"/>
        <w:gridCol w:w="1116"/>
        <w:gridCol w:w="1281"/>
        <w:gridCol w:w="12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7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品目号</w:t>
            </w:r>
          </w:p>
        </w:tc>
        <w:tc>
          <w:tcPr>
            <w:tcW w:w="20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品目名称</w:t>
            </w:r>
          </w:p>
        </w:tc>
        <w:tc>
          <w:tcPr>
            <w:tcW w:w="28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采购标的</w:t>
            </w:r>
          </w:p>
        </w:tc>
        <w:tc>
          <w:tcPr>
            <w:tcW w:w="9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数量（单位）</w:t>
            </w:r>
          </w:p>
        </w:tc>
        <w:tc>
          <w:tcPr>
            <w:tcW w:w="11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技术规格、参数及要求</w:t>
            </w:r>
          </w:p>
        </w:tc>
        <w:tc>
          <w:tcPr>
            <w:tcW w:w="12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品目预算(元)</w:t>
            </w:r>
          </w:p>
        </w:tc>
        <w:tc>
          <w:tcPr>
            <w:tcW w:w="12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7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8-1</w:t>
            </w:r>
          </w:p>
        </w:tc>
        <w:tc>
          <w:tcPr>
            <w:tcW w:w="20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天然林保护工程施工</w:t>
            </w:r>
          </w:p>
        </w:tc>
        <w:tc>
          <w:tcPr>
            <w:tcW w:w="28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2022年封山育林项目建设采购</w:t>
            </w:r>
          </w:p>
        </w:tc>
        <w:tc>
          <w:tcPr>
            <w:tcW w:w="9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1(项)</w:t>
            </w:r>
          </w:p>
        </w:tc>
        <w:tc>
          <w:tcPr>
            <w:tcW w:w="11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详见采购文件</w:t>
            </w:r>
          </w:p>
        </w:tc>
        <w:tc>
          <w:tcPr>
            <w:tcW w:w="12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338,400.00</w:t>
            </w:r>
          </w:p>
        </w:tc>
        <w:tc>
          <w:tcPr>
            <w:tcW w:w="12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338,400.00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合同履行期限：160日历天</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合同包9(九标段):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合同包预算金额：366,600.00元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合同包最高限价：366,600.00元</w:t>
      </w:r>
    </w:p>
    <w:tbl>
      <w:tblPr>
        <w:tblStyle w:val="28"/>
        <w:tblW w:w="102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23"/>
        <w:gridCol w:w="2027"/>
        <w:gridCol w:w="2865"/>
        <w:gridCol w:w="966"/>
        <w:gridCol w:w="1153"/>
        <w:gridCol w:w="1258"/>
        <w:gridCol w:w="12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7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品目号</w:t>
            </w:r>
          </w:p>
        </w:tc>
        <w:tc>
          <w:tcPr>
            <w:tcW w:w="20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品目名称</w:t>
            </w:r>
          </w:p>
        </w:tc>
        <w:tc>
          <w:tcPr>
            <w:tcW w:w="28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采购标的</w:t>
            </w:r>
          </w:p>
        </w:tc>
        <w:tc>
          <w:tcPr>
            <w:tcW w:w="9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数量（单位）</w:t>
            </w:r>
          </w:p>
        </w:tc>
        <w:tc>
          <w:tcPr>
            <w:tcW w:w="11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技术规格、参数及要求</w:t>
            </w:r>
          </w:p>
        </w:tc>
        <w:tc>
          <w:tcPr>
            <w:tcW w:w="12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品目预算(元)</w:t>
            </w:r>
          </w:p>
        </w:tc>
        <w:tc>
          <w:tcPr>
            <w:tcW w:w="12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7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9-1</w:t>
            </w:r>
          </w:p>
        </w:tc>
        <w:tc>
          <w:tcPr>
            <w:tcW w:w="20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天然林保护工程施工</w:t>
            </w:r>
          </w:p>
        </w:tc>
        <w:tc>
          <w:tcPr>
            <w:tcW w:w="28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2022年封山育林项目建设采购</w:t>
            </w:r>
          </w:p>
        </w:tc>
        <w:tc>
          <w:tcPr>
            <w:tcW w:w="9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1(项)</w:t>
            </w:r>
          </w:p>
        </w:tc>
        <w:tc>
          <w:tcPr>
            <w:tcW w:w="11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详见采购文件</w:t>
            </w:r>
          </w:p>
        </w:tc>
        <w:tc>
          <w:tcPr>
            <w:tcW w:w="12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366,600.00</w:t>
            </w:r>
          </w:p>
        </w:tc>
        <w:tc>
          <w:tcPr>
            <w:tcW w:w="12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366,600.00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合同履行期限：160日历天</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合同包10(十标段):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合同包预算金额：385,400.00元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合同包最高限价：385,400.00元</w:t>
      </w:r>
    </w:p>
    <w:tbl>
      <w:tblPr>
        <w:tblStyle w:val="28"/>
        <w:tblW w:w="102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12"/>
        <w:gridCol w:w="2064"/>
        <w:gridCol w:w="2921"/>
        <w:gridCol w:w="954"/>
        <w:gridCol w:w="1063"/>
        <w:gridCol w:w="1275"/>
        <w:gridCol w:w="12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7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品目号</w:t>
            </w:r>
          </w:p>
        </w:tc>
        <w:tc>
          <w:tcPr>
            <w:tcW w:w="20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品目名称</w:t>
            </w:r>
          </w:p>
        </w:tc>
        <w:tc>
          <w:tcPr>
            <w:tcW w:w="29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采购标的</w:t>
            </w:r>
          </w:p>
        </w:tc>
        <w:tc>
          <w:tcPr>
            <w:tcW w:w="9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数量（单位）</w:t>
            </w:r>
          </w:p>
        </w:tc>
        <w:tc>
          <w:tcPr>
            <w:tcW w:w="10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技术规格、参数及要求</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品目预算(元)</w:t>
            </w:r>
          </w:p>
        </w:tc>
        <w:tc>
          <w:tcPr>
            <w:tcW w:w="12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7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10-1</w:t>
            </w:r>
          </w:p>
        </w:tc>
        <w:tc>
          <w:tcPr>
            <w:tcW w:w="20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天然林保护工程施工</w:t>
            </w:r>
          </w:p>
        </w:tc>
        <w:tc>
          <w:tcPr>
            <w:tcW w:w="29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2022年封山育林项目建设采购</w:t>
            </w:r>
          </w:p>
        </w:tc>
        <w:tc>
          <w:tcPr>
            <w:tcW w:w="9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1(项)</w:t>
            </w:r>
          </w:p>
        </w:tc>
        <w:tc>
          <w:tcPr>
            <w:tcW w:w="10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详见采购文件</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385,400.00</w:t>
            </w:r>
          </w:p>
        </w:tc>
        <w:tc>
          <w:tcPr>
            <w:tcW w:w="12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385,400.00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合同履行期限：160日历天</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合同包11(十一标段):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合同包预算金额：347,800.00元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合同包最高限价：347,800.00元</w:t>
      </w:r>
    </w:p>
    <w:tbl>
      <w:tblPr>
        <w:tblStyle w:val="28"/>
        <w:tblW w:w="102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22"/>
        <w:gridCol w:w="2027"/>
        <w:gridCol w:w="2865"/>
        <w:gridCol w:w="966"/>
        <w:gridCol w:w="1203"/>
        <w:gridCol w:w="1223"/>
        <w:gridCol w:w="11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7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品目号</w:t>
            </w:r>
          </w:p>
        </w:tc>
        <w:tc>
          <w:tcPr>
            <w:tcW w:w="20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品目名称</w:t>
            </w:r>
          </w:p>
        </w:tc>
        <w:tc>
          <w:tcPr>
            <w:tcW w:w="28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采购标的</w:t>
            </w:r>
          </w:p>
        </w:tc>
        <w:tc>
          <w:tcPr>
            <w:tcW w:w="9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数量（单位）</w:t>
            </w:r>
          </w:p>
        </w:tc>
        <w:tc>
          <w:tcPr>
            <w:tcW w:w="12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技术规格、参数及要求</w:t>
            </w:r>
          </w:p>
        </w:tc>
        <w:tc>
          <w:tcPr>
            <w:tcW w:w="12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品目预算(元)</w:t>
            </w:r>
          </w:p>
        </w:tc>
        <w:tc>
          <w:tcPr>
            <w:tcW w:w="11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7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11-1</w:t>
            </w:r>
          </w:p>
        </w:tc>
        <w:tc>
          <w:tcPr>
            <w:tcW w:w="20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天然林保护工程施工</w:t>
            </w:r>
          </w:p>
        </w:tc>
        <w:tc>
          <w:tcPr>
            <w:tcW w:w="28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2022年封山育林项目建设采购</w:t>
            </w:r>
          </w:p>
        </w:tc>
        <w:tc>
          <w:tcPr>
            <w:tcW w:w="9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1(项)</w:t>
            </w:r>
          </w:p>
        </w:tc>
        <w:tc>
          <w:tcPr>
            <w:tcW w:w="12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详见采购文件</w:t>
            </w:r>
          </w:p>
        </w:tc>
        <w:tc>
          <w:tcPr>
            <w:tcW w:w="12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347,800.00</w:t>
            </w:r>
          </w:p>
        </w:tc>
        <w:tc>
          <w:tcPr>
            <w:tcW w:w="11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347,800.00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合同履行期限：160日历天</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合同包12(十二标段):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合同包预算金额：366,600.00元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合同包最高限价：366,600.00元</w:t>
      </w:r>
    </w:p>
    <w:tbl>
      <w:tblPr>
        <w:tblStyle w:val="28"/>
        <w:tblW w:w="102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08"/>
        <w:gridCol w:w="2054"/>
        <w:gridCol w:w="2906"/>
        <w:gridCol w:w="949"/>
        <w:gridCol w:w="1123"/>
        <w:gridCol w:w="1241"/>
        <w:gridCol w:w="12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7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品目号</w:t>
            </w:r>
          </w:p>
        </w:tc>
        <w:tc>
          <w:tcPr>
            <w:tcW w:w="20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品目名称</w:t>
            </w:r>
          </w:p>
        </w:tc>
        <w:tc>
          <w:tcPr>
            <w:tcW w:w="29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采购标的</w:t>
            </w:r>
          </w:p>
        </w:tc>
        <w:tc>
          <w:tcPr>
            <w:tcW w:w="9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数量（单位）</w:t>
            </w:r>
          </w:p>
        </w:tc>
        <w:tc>
          <w:tcPr>
            <w:tcW w:w="11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技术规格、参数及要求</w:t>
            </w:r>
          </w:p>
        </w:tc>
        <w:tc>
          <w:tcPr>
            <w:tcW w:w="12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品目预算(元)</w:t>
            </w:r>
          </w:p>
        </w:tc>
        <w:tc>
          <w:tcPr>
            <w:tcW w:w="12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7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12-1</w:t>
            </w:r>
          </w:p>
        </w:tc>
        <w:tc>
          <w:tcPr>
            <w:tcW w:w="20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天然林保护工程施工</w:t>
            </w:r>
          </w:p>
        </w:tc>
        <w:tc>
          <w:tcPr>
            <w:tcW w:w="29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2022年封山育林项目建设采购</w:t>
            </w:r>
          </w:p>
        </w:tc>
        <w:tc>
          <w:tcPr>
            <w:tcW w:w="9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1(项)</w:t>
            </w:r>
          </w:p>
        </w:tc>
        <w:tc>
          <w:tcPr>
            <w:tcW w:w="11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详见采购文件</w:t>
            </w:r>
          </w:p>
        </w:tc>
        <w:tc>
          <w:tcPr>
            <w:tcW w:w="12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366,600.00</w:t>
            </w:r>
          </w:p>
        </w:tc>
        <w:tc>
          <w:tcPr>
            <w:tcW w:w="12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366,600.00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合同履行期限：160日历天</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合同包13(十三标段):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合同包预算金额：385,400.00元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合同包最高限价：385,400.00元</w:t>
      </w:r>
    </w:p>
    <w:tbl>
      <w:tblPr>
        <w:tblStyle w:val="28"/>
        <w:tblW w:w="1016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10"/>
        <w:gridCol w:w="1481"/>
        <w:gridCol w:w="2029"/>
        <w:gridCol w:w="1179"/>
        <w:gridCol w:w="2149"/>
        <w:gridCol w:w="1385"/>
        <w:gridCol w:w="12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7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品目号</w:t>
            </w:r>
          </w:p>
        </w:tc>
        <w:tc>
          <w:tcPr>
            <w:tcW w:w="14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品目名称</w:t>
            </w:r>
          </w:p>
        </w:tc>
        <w:tc>
          <w:tcPr>
            <w:tcW w:w="20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采购标的</w:t>
            </w:r>
          </w:p>
        </w:tc>
        <w:tc>
          <w:tcPr>
            <w:tcW w:w="11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数量（单位）</w:t>
            </w:r>
          </w:p>
        </w:tc>
        <w:tc>
          <w:tcPr>
            <w:tcW w:w="21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技术规格、参数及要求</w:t>
            </w:r>
          </w:p>
        </w:tc>
        <w:tc>
          <w:tcPr>
            <w:tcW w:w="13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品目预算(元)</w:t>
            </w:r>
          </w:p>
        </w:tc>
        <w:tc>
          <w:tcPr>
            <w:tcW w:w="12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6" w:hRule="atLeast"/>
          <w:jc w:val="center"/>
        </w:trPr>
        <w:tc>
          <w:tcPr>
            <w:tcW w:w="7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13-1</w:t>
            </w:r>
          </w:p>
        </w:tc>
        <w:tc>
          <w:tcPr>
            <w:tcW w:w="14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天然林保护工程施工</w:t>
            </w:r>
          </w:p>
        </w:tc>
        <w:tc>
          <w:tcPr>
            <w:tcW w:w="20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2022年封山育林项目建设采购</w:t>
            </w:r>
          </w:p>
        </w:tc>
        <w:tc>
          <w:tcPr>
            <w:tcW w:w="11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1(项)</w:t>
            </w:r>
          </w:p>
        </w:tc>
        <w:tc>
          <w:tcPr>
            <w:tcW w:w="21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详见采购文件</w:t>
            </w:r>
          </w:p>
        </w:tc>
        <w:tc>
          <w:tcPr>
            <w:tcW w:w="13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385,400.00</w:t>
            </w:r>
          </w:p>
        </w:tc>
        <w:tc>
          <w:tcPr>
            <w:tcW w:w="12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385,400.00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合同履行期限：160日历天</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合同包14(十四标段):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合同包预算金额：338,400.00元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Times New Roman" w:hAnsi="Times New Roman" w:eastAsia="宋体" w:cs="Times New Roman"/>
          <w:b/>
          <w:bCs/>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合同包最高限价：338,400.00元</w:t>
      </w:r>
    </w:p>
    <w:tbl>
      <w:tblPr>
        <w:tblStyle w:val="28"/>
        <w:tblW w:w="102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23"/>
        <w:gridCol w:w="2027"/>
        <w:gridCol w:w="2865"/>
        <w:gridCol w:w="966"/>
        <w:gridCol w:w="1066"/>
        <w:gridCol w:w="1246"/>
        <w:gridCol w:w="13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7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品目号</w:t>
            </w:r>
          </w:p>
        </w:tc>
        <w:tc>
          <w:tcPr>
            <w:tcW w:w="20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品目名称</w:t>
            </w:r>
          </w:p>
        </w:tc>
        <w:tc>
          <w:tcPr>
            <w:tcW w:w="28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采购标的</w:t>
            </w:r>
          </w:p>
        </w:tc>
        <w:tc>
          <w:tcPr>
            <w:tcW w:w="9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数量（单位）</w:t>
            </w:r>
          </w:p>
        </w:tc>
        <w:tc>
          <w:tcPr>
            <w:tcW w:w="10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技术规格、参数及要求</w:t>
            </w:r>
          </w:p>
        </w:tc>
        <w:tc>
          <w:tcPr>
            <w:tcW w:w="12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品目预算(元)</w:t>
            </w:r>
          </w:p>
        </w:tc>
        <w:tc>
          <w:tcPr>
            <w:tcW w:w="13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7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14-1</w:t>
            </w:r>
          </w:p>
        </w:tc>
        <w:tc>
          <w:tcPr>
            <w:tcW w:w="20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天然林保护工程施工</w:t>
            </w:r>
          </w:p>
        </w:tc>
        <w:tc>
          <w:tcPr>
            <w:tcW w:w="28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2022年封山育林项目建设采购</w:t>
            </w:r>
          </w:p>
        </w:tc>
        <w:tc>
          <w:tcPr>
            <w:tcW w:w="9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1(项)</w:t>
            </w:r>
          </w:p>
        </w:tc>
        <w:tc>
          <w:tcPr>
            <w:tcW w:w="10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详见采购文件</w:t>
            </w:r>
          </w:p>
        </w:tc>
        <w:tc>
          <w:tcPr>
            <w:tcW w:w="12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338,400.00</w:t>
            </w:r>
          </w:p>
        </w:tc>
        <w:tc>
          <w:tcPr>
            <w:tcW w:w="13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338,400.00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合同履行期限：160日历天</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合同包15(十五标段):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合同包预算金额：402,000.00元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合同包最高限价：402,000.00元</w:t>
      </w:r>
    </w:p>
    <w:tbl>
      <w:tblPr>
        <w:tblStyle w:val="28"/>
        <w:tblW w:w="102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23"/>
        <w:gridCol w:w="2027"/>
        <w:gridCol w:w="2865"/>
        <w:gridCol w:w="966"/>
        <w:gridCol w:w="1228"/>
        <w:gridCol w:w="1197"/>
        <w:gridCol w:w="11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7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品目号</w:t>
            </w:r>
          </w:p>
        </w:tc>
        <w:tc>
          <w:tcPr>
            <w:tcW w:w="20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品目名称</w:t>
            </w:r>
          </w:p>
        </w:tc>
        <w:tc>
          <w:tcPr>
            <w:tcW w:w="28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采购标的</w:t>
            </w:r>
          </w:p>
        </w:tc>
        <w:tc>
          <w:tcPr>
            <w:tcW w:w="9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数量（单位）</w:t>
            </w:r>
          </w:p>
        </w:tc>
        <w:tc>
          <w:tcPr>
            <w:tcW w:w="12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技术规格、参数及要求</w:t>
            </w:r>
          </w:p>
        </w:tc>
        <w:tc>
          <w:tcPr>
            <w:tcW w:w="11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品目预算(元)</w:t>
            </w:r>
          </w:p>
        </w:tc>
        <w:tc>
          <w:tcPr>
            <w:tcW w:w="11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bCs/>
                <w:i w:val="0"/>
                <w:iCs w:val="0"/>
                <w:caps w:val="0"/>
                <w:color w:val="auto"/>
                <w:spacing w:val="0"/>
                <w:sz w:val="21"/>
                <w:szCs w:val="21"/>
                <w:shd w:val="clear" w:fill="FFFFFF"/>
              </w:rPr>
            </w:pPr>
            <w:r>
              <w:rPr>
                <w:rStyle w:val="31"/>
                <w:rFonts w:ascii="Times New Roman" w:hAnsi="Times New Roman" w:eastAsia="宋体" w:cs="Times New Roman"/>
                <w:b/>
                <w:bCs/>
                <w:i w:val="0"/>
                <w:iCs w:val="0"/>
                <w:caps w:val="0"/>
                <w:color w:val="auto"/>
                <w:spacing w:val="0"/>
                <w:sz w:val="21"/>
                <w:szCs w:val="21"/>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7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15-1</w:t>
            </w:r>
          </w:p>
        </w:tc>
        <w:tc>
          <w:tcPr>
            <w:tcW w:w="20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天然林保护工程施工</w:t>
            </w:r>
          </w:p>
        </w:tc>
        <w:tc>
          <w:tcPr>
            <w:tcW w:w="28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2022年封山育林项目建设采购</w:t>
            </w:r>
          </w:p>
        </w:tc>
        <w:tc>
          <w:tcPr>
            <w:tcW w:w="9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1(项)</w:t>
            </w:r>
          </w:p>
        </w:tc>
        <w:tc>
          <w:tcPr>
            <w:tcW w:w="12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详见采购文件</w:t>
            </w:r>
          </w:p>
        </w:tc>
        <w:tc>
          <w:tcPr>
            <w:tcW w:w="11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402,000.00</w:t>
            </w:r>
          </w:p>
        </w:tc>
        <w:tc>
          <w:tcPr>
            <w:tcW w:w="11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ascii="Times New Roman" w:hAnsi="Times New Roman" w:eastAsia="宋体" w:cs="Times New Roman"/>
                <w:b w:val="0"/>
                <w:bCs w:val="0"/>
                <w:i w:val="0"/>
                <w:iCs w:val="0"/>
                <w:caps w:val="0"/>
                <w:color w:val="auto"/>
                <w:spacing w:val="0"/>
                <w:sz w:val="21"/>
                <w:szCs w:val="21"/>
                <w:shd w:val="clear" w:fill="FFFFFF"/>
              </w:rPr>
            </w:pPr>
            <w:r>
              <w:rPr>
                <w:rStyle w:val="31"/>
                <w:rFonts w:ascii="Times New Roman" w:hAnsi="Times New Roman" w:eastAsia="宋体" w:cs="Times New Roman"/>
                <w:b w:val="0"/>
                <w:bCs w:val="0"/>
                <w:i w:val="0"/>
                <w:iCs w:val="0"/>
                <w:caps w:val="0"/>
                <w:color w:val="auto"/>
                <w:spacing w:val="0"/>
                <w:sz w:val="21"/>
                <w:szCs w:val="21"/>
                <w:shd w:val="clear" w:fill="FFFFFF"/>
                <w:lang w:val="en-US" w:eastAsia="zh-CN"/>
              </w:rPr>
              <w:t>402,000.00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合同履行期限：160日历天</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bCs/>
          <w:i w:val="0"/>
          <w:iCs w:val="0"/>
          <w:caps w:val="0"/>
          <w:color w:val="auto"/>
          <w:spacing w:val="0"/>
          <w:sz w:val="21"/>
          <w:szCs w:val="21"/>
          <w:shd w:val="clear" w:fill="FFFFFF"/>
        </w:rPr>
      </w:pPr>
      <w:r>
        <w:rPr>
          <w:rStyle w:val="31"/>
          <w:rFonts w:hint="eastAsia" w:ascii="微软雅黑" w:hAnsi="微软雅黑" w:eastAsia="微软雅黑" w:cs="微软雅黑"/>
          <w:b/>
          <w:bCs/>
          <w:i w:val="0"/>
          <w:iCs w:val="0"/>
          <w:caps w:val="0"/>
          <w:color w:val="auto"/>
          <w:spacing w:val="0"/>
          <w:sz w:val="21"/>
          <w:szCs w:val="21"/>
          <w:shd w:val="clear" w:fill="FFFFFF"/>
        </w:rPr>
        <w:t>二、申请人的资格要求：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1.满足《中华人民共和国政府采购法》第二十二条规定;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2.落实政府采购政策需满足的资格要求：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合同包1(一标段)落实政府采购政策需满足的资格要求如下: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lang w:eastAsia="zh-CN"/>
        </w:rPr>
        <w:t>（</w:t>
      </w:r>
      <w:r>
        <w:rPr>
          <w:rStyle w:val="31"/>
          <w:rFonts w:hint="eastAsia" w:ascii="微软雅黑" w:hAnsi="微软雅黑" w:eastAsia="微软雅黑" w:cs="微软雅黑"/>
          <w:b w:val="0"/>
          <w:bCs w:val="0"/>
          <w:i w:val="0"/>
          <w:iCs w:val="0"/>
          <w:caps w:val="0"/>
          <w:color w:val="auto"/>
          <w:spacing w:val="0"/>
          <w:sz w:val="21"/>
          <w:szCs w:val="21"/>
          <w:shd w:val="clear" w:fill="FFFFFF"/>
          <w:lang w:val="en-US" w:eastAsia="zh-CN"/>
        </w:rPr>
        <w:t>1</w:t>
      </w:r>
      <w:r>
        <w:rPr>
          <w:rStyle w:val="31"/>
          <w:rFonts w:hint="eastAsia" w:ascii="微软雅黑" w:hAnsi="微软雅黑" w:eastAsia="微软雅黑" w:cs="微软雅黑"/>
          <w:b w:val="0"/>
          <w:bCs w:val="0"/>
          <w:i w:val="0"/>
          <w:iCs w:val="0"/>
          <w:caps w:val="0"/>
          <w:color w:val="auto"/>
          <w:spacing w:val="0"/>
          <w:sz w:val="21"/>
          <w:szCs w:val="21"/>
          <w:shd w:val="clear" w:fill="FFFFFF"/>
          <w:lang w:eastAsia="zh-CN"/>
        </w:rPr>
        <w:t>）</w:t>
      </w:r>
      <w:r>
        <w:rPr>
          <w:rStyle w:val="31"/>
          <w:rFonts w:hint="eastAsia" w:ascii="微软雅黑" w:hAnsi="微软雅黑" w:eastAsia="微软雅黑" w:cs="微软雅黑"/>
          <w:b w:val="0"/>
          <w:bCs w:val="0"/>
          <w:i w:val="0"/>
          <w:iCs w:val="0"/>
          <w:caps w:val="0"/>
          <w:color w:val="auto"/>
          <w:spacing w:val="0"/>
          <w:sz w:val="21"/>
          <w:szCs w:val="21"/>
          <w:shd w:val="clear" w:fill="FFFFFF"/>
        </w:rPr>
        <w:t>《政府采购促进中小企业发展管理办法》（财库﹝2020﹞46号）；（2）《财政部司法部关于政府采购支持监狱企业发展有关问题的通知》（财库〔2014〕68号）；（3）《三部门联合发布关于促进残疾人就业政府采购政策的通知》（财库〔2017〕141号）；（4）《节能产品政府采购实施意见》（财库[2004]185号）；（5）《财政部环保总局关于环境标志产品政府采购实施的意见》（财库〔2006〕90号）；（6）《国务院办公厅关于建立政府强制采购节能产品制度的通知》（国办发〔2007〕51号）；（7）《财政部发展改革委生态环境部市场监管总局关于调整优化节能产品、环境标志产品政府采购执行机制的通知》》（财库〔2019〕9号）；（8）陕西省财政厅关于印发《陕西省中小企业政府采购信用融资办法》（陕财办采〔2018〕23号）；（9）《关于运用政府采购政策支持乡村产业振兴的通知》（财库〔2021〕19号）；（10）《关于进一步加大政府采购支持中小企业力度的通知》（财库〔2022〕19号）；（11）陕西省财政厅《关于进一步加强政府绿色采购有关问题的通知》陕财办采〔2021〕29号；（12）本项目专门面向中小企业采购（提供中小企业声明函）；（13）其他需落实的政府采购政策。</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合同包2(二标段)落实政府采购政策需满足的资格要求如下: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合同包3(三标段)落实政府采购政策需满足的资格要求如下: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合同包4(四标段)落实政府采购政策需满足的资格要求如下: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合同包5(五标段)落实政府采购政策需满足的资格要求如下: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合同包6(六标段)落实政府采购政策需满足的资格要求如下: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合同包7(七标段)落实政府采购政策需满足的资格要求如下: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合同包8(八标段)落实政府采购政策需满足的资格要求如下: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合同包9(九标段)落实政府采购政策需满足的资格要求如下: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合同包10(十标段)落实政府采购政策需满足的资格要求如下: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合同包11(十一标段)落实政府采购政策需满足的资格要求如下: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合同包12(十二标段)落实政府采购政策需满足的资格要求如下: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合同包13(十三标段)落实政府采购政策需满足的资格要求如下: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合同包14(十四标段)落实政府采购政策需满足的资格要求如下: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合同包15(十五标段)落实政府采购政策需满足的资格要求如下: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3.本项目的特定资格要求：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合同包1(一标段)特定资格要求如下: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1、提供合格有效的法人或者其他组织的营业执照等证明文件，自然人的身份证明；2、提供法定代表人授权书（附法定代表人、被授权人身份证复印件）及被授权人身份证原件（法定代表人直接参加投标，须提供法定代表人身份证明及身份证原件）；3、财务状况：提供2021年度的财务审计报告（至少包括资产负债表和利润表，成立时间至提交投标文件截止时间不足一年的可提供成立后任意时段的资产负债表）或开标时间前六个月内银行出具的资信证明及基本存款账户开户许可证；4、税收缴纳证明：提供投标截止日前近一年内任意一个月的纳税证明或完税证明（任意税种），依法免税的单位应提供相关证明材料；5、社会保障资金缴纳证明：提供投标截止日前近一年内任意一个月的社会保障资金缴存单据或社保机构开具的社会保险参保缴费情况证明，依法不需要缴纳社会保障资金的单位应提供相关证明材料6、供应商应在招标文件发售期至投标截止时间前通过“信用中国”网站(www.creditchina.gov.cn)、中国政府采购网(www.ccgp.gov.cn)查询相关主体信用记录；7、参加政府采购活动前3年内，在经营活动中没有重大违法记录的书面声明；8、提供具有履行合同所必需的设备和专业技术能力的书面承诺；9、投标保证金缴纳凭证或担保机构出具的保函；10、本项目专门面向中小企业采购（提供中小企业声明函）。注：单位负责人为同一人或者存在控股、管理关系的不同单位，不得同时参加本项目的投标。为本项目提供整体设计、规范编制或者项目管理、监理、检测等服务的投标人，不得再参加本项目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合同包2(二标段)特定资格要求如下: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合同包3(三标段)特定资格要求如下: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合同包4(四标段)特定资格要求如下: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合同包5(五标段)特定资格要求如下: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合同包6(六标段)特定资格要求如下: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合同包7(七标段)特定资格要求如下: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合同包8(八标段)特定资格要求如下: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合同包9(九标段)特定资格要求如下: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合同包10(十标段)特定资格要求如下: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合同包11(十一标段)特定资格要求如下: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合同包12(十二标段)特定资格要求如下: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合同包13(十三标段)特定资格要求如下: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合同包14(十四标段)特定资格要求如下: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合同包15(十五标段)特定资格要求如下: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同合同包1（一标段）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bCs/>
          <w:i w:val="0"/>
          <w:iCs w:val="0"/>
          <w:caps w:val="0"/>
          <w:color w:val="auto"/>
          <w:spacing w:val="0"/>
          <w:sz w:val="21"/>
          <w:szCs w:val="21"/>
          <w:shd w:val="clear" w:fill="FFFFFF"/>
        </w:rPr>
      </w:pPr>
      <w:r>
        <w:rPr>
          <w:rStyle w:val="31"/>
          <w:rFonts w:hint="eastAsia" w:ascii="微软雅黑" w:hAnsi="微软雅黑" w:eastAsia="微软雅黑" w:cs="微软雅黑"/>
          <w:b/>
          <w:bCs/>
          <w:i w:val="0"/>
          <w:iCs w:val="0"/>
          <w:caps w:val="0"/>
          <w:color w:val="auto"/>
          <w:spacing w:val="0"/>
          <w:sz w:val="21"/>
          <w:szCs w:val="21"/>
          <w:shd w:val="clear" w:fill="FFFFFF"/>
        </w:rPr>
        <w:t>三、获取招标文件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时间：2022年11月09日至2022年11月15日，每天上午08:00:00至12:00:00，下午1</w:t>
      </w:r>
      <w:r>
        <w:rPr>
          <w:rStyle w:val="31"/>
          <w:rFonts w:hint="eastAsia" w:ascii="微软雅黑" w:hAnsi="微软雅黑" w:eastAsia="微软雅黑" w:cs="微软雅黑"/>
          <w:b w:val="0"/>
          <w:bCs w:val="0"/>
          <w:i w:val="0"/>
          <w:iCs w:val="0"/>
          <w:caps w:val="0"/>
          <w:color w:val="auto"/>
          <w:spacing w:val="0"/>
          <w:sz w:val="21"/>
          <w:szCs w:val="21"/>
          <w:shd w:val="clear" w:fill="FFFFFF"/>
          <w:lang w:val="en-US" w:eastAsia="zh-CN"/>
        </w:rPr>
        <w:t>4</w:t>
      </w:r>
      <w:r>
        <w:rPr>
          <w:rStyle w:val="31"/>
          <w:rFonts w:hint="eastAsia" w:ascii="微软雅黑" w:hAnsi="微软雅黑" w:eastAsia="微软雅黑" w:cs="微软雅黑"/>
          <w:b w:val="0"/>
          <w:bCs w:val="0"/>
          <w:i w:val="0"/>
          <w:iCs w:val="0"/>
          <w:caps w:val="0"/>
          <w:color w:val="auto"/>
          <w:spacing w:val="0"/>
          <w:sz w:val="21"/>
          <w:szCs w:val="21"/>
          <w:shd w:val="clear" w:fill="FFFFFF"/>
        </w:rPr>
        <w:t>:00:00至18:00:00（北京时间）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途径：陕西省商南县滨河路逸安嘉园503室</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方式：现场获取</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售价：300元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bCs/>
          <w:i w:val="0"/>
          <w:iCs w:val="0"/>
          <w:caps w:val="0"/>
          <w:color w:val="auto"/>
          <w:spacing w:val="0"/>
          <w:sz w:val="21"/>
          <w:szCs w:val="21"/>
          <w:shd w:val="clear" w:fill="FFFFFF"/>
        </w:rPr>
      </w:pPr>
      <w:r>
        <w:rPr>
          <w:rStyle w:val="31"/>
          <w:rFonts w:hint="eastAsia" w:ascii="微软雅黑" w:hAnsi="微软雅黑" w:eastAsia="微软雅黑" w:cs="微软雅黑"/>
          <w:b/>
          <w:bCs/>
          <w:i w:val="0"/>
          <w:iCs w:val="0"/>
          <w:caps w:val="0"/>
          <w:color w:val="auto"/>
          <w:spacing w:val="0"/>
          <w:sz w:val="21"/>
          <w:szCs w:val="21"/>
          <w:shd w:val="clear" w:fill="FFFFFF"/>
        </w:rPr>
        <w:t>四、提交投标文件截止时间、开标时间和地点</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时间：2022年11月30日 09时30分00秒（北京时间）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提交投标文件地点：商南县西街景龙国际11楼会议室</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开标地点：商南县西街景龙国际11楼会议室</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bCs/>
          <w:i w:val="0"/>
          <w:iCs w:val="0"/>
          <w:caps w:val="0"/>
          <w:color w:val="auto"/>
          <w:spacing w:val="0"/>
          <w:sz w:val="21"/>
          <w:szCs w:val="21"/>
          <w:shd w:val="clear" w:fill="FFFFFF"/>
        </w:rPr>
      </w:pPr>
      <w:r>
        <w:rPr>
          <w:rStyle w:val="31"/>
          <w:rFonts w:hint="eastAsia" w:ascii="微软雅黑" w:hAnsi="微软雅黑" w:eastAsia="微软雅黑" w:cs="微软雅黑"/>
          <w:b/>
          <w:bCs/>
          <w:i w:val="0"/>
          <w:iCs w:val="0"/>
          <w:caps w:val="0"/>
          <w:color w:val="auto"/>
          <w:spacing w:val="0"/>
          <w:sz w:val="21"/>
          <w:szCs w:val="21"/>
          <w:shd w:val="clear" w:fill="FFFFFF"/>
        </w:rPr>
        <w:t>五、公告期限</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自本公告发布之日起5个工作日。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bCs/>
          <w:i w:val="0"/>
          <w:iCs w:val="0"/>
          <w:caps w:val="0"/>
          <w:color w:val="auto"/>
          <w:spacing w:val="0"/>
          <w:sz w:val="21"/>
          <w:szCs w:val="21"/>
          <w:shd w:val="clear" w:fill="FFFFFF"/>
        </w:rPr>
      </w:pPr>
      <w:r>
        <w:rPr>
          <w:rStyle w:val="31"/>
          <w:rFonts w:hint="eastAsia" w:ascii="微软雅黑" w:hAnsi="微软雅黑" w:eastAsia="微软雅黑" w:cs="微软雅黑"/>
          <w:b/>
          <w:bCs/>
          <w:i w:val="0"/>
          <w:iCs w:val="0"/>
          <w:caps w:val="0"/>
          <w:color w:val="auto"/>
          <w:spacing w:val="0"/>
          <w:sz w:val="21"/>
          <w:szCs w:val="21"/>
          <w:shd w:val="clear" w:fill="FFFFFF"/>
        </w:rPr>
        <w:t>六、其他补充事宜</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1、获取招标文件时，请携带单位介绍信原件、经办人身份证原件及加盖公章复印件3份，本项目仅支持现场报名获取，谢绝邮寄。</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2、请供应商按照陕西省财政厅《关于政府采购供应商注册登记有关事项的通知》中的要求，通过陕西省政府采购网（http://www.ccgp-shaan</w:t>
      </w:r>
      <w:r>
        <w:rPr>
          <w:rStyle w:val="31"/>
          <w:rFonts w:hint="eastAsia" w:ascii="微软雅黑" w:hAnsi="微软雅黑" w:eastAsia="微软雅黑" w:cs="微软雅黑"/>
          <w:b w:val="0"/>
          <w:bCs w:val="0"/>
          <w:i w:val="0"/>
          <w:iCs w:val="0"/>
          <w:caps w:val="0"/>
          <w:color w:val="auto"/>
          <w:spacing w:val="0"/>
          <w:sz w:val="21"/>
          <w:szCs w:val="21"/>
          <w:shd w:val="clear" w:fill="FFFFFF"/>
          <w:lang w:eastAsia="zh-CN"/>
        </w:rPr>
        <w:t>×</w:t>
      </w:r>
      <w:r>
        <w:rPr>
          <w:rStyle w:val="31"/>
          <w:rFonts w:hint="eastAsia" w:ascii="微软雅黑" w:hAnsi="微软雅黑" w:eastAsia="微软雅黑" w:cs="微软雅黑"/>
          <w:b w:val="0"/>
          <w:bCs w:val="0"/>
          <w:i w:val="0"/>
          <w:iCs w:val="0"/>
          <w:caps w:val="0"/>
          <w:color w:val="auto"/>
          <w:spacing w:val="0"/>
          <w:sz w:val="21"/>
          <w:szCs w:val="21"/>
          <w:shd w:val="clear" w:fill="FFFFFF"/>
        </w:rPr>
        <w:t>i.gov.cn/）注册登记加入陕西省政府采购供应商库。</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3、投标供应商只能中其中一个标段。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4、严格遵守国家防疫政策、报名及开标做好个人防护。</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bCs/>
          <w:i w:val="0"/>
          <w:iCs w:val="0"/>
          <w:caps w:val="0"/>
          <w:color w:val="auto"/>
          <w:spacing w:val="0"/>
          <w:sz w:val="21"/>
          <w:szCs w:val="21"/>
          <w:shd w:val="clear" w:fill="FFFFFF"/>
        </w:rPr>
      </w:pPr>
      <w:r>
        <w:rPr>
          <w:rStyle w:val="31"/>
          <w:rFonts w:hint="eastAsia" w:ascii="微软雅黑" w:hAnsi="微软雅黑" w:eastAsia="微软雅黑" w:cs="微软雅黑"/>
          <w:b/>
          <w:bCs/>
          <w:i w:val="0"/>
          <w:iCs w:val="0"/>
          <w:caps w:val="0"/>
          <w:color w:val="auto"/>
          <w:spacing w:val="0"/>
          <w:sz w:val="21"/>
          <w:szCs w:val="21"/>
          <w:shd w:val="clear" w:fill="FFFFFF"/>
        </w:rPr>
        <w:t>七、对本次招标提出询问，请按以下方式联系。</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1.采购人信息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名称：商南县野生动物和天然林保护管理中心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地址：商南县城关街道办事处育才路2号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联系方式：13389147919</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2.采购代理机构信息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名称：中拓达建项目管理有限公司</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地址：陕西省商南县滨河路逸安嘉园503室</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联系方式：15877456091</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3.项目联系方式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项目联系人：杨娟</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电话：15877456091</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right"/>
        <w:outlineLvl w:val="9"/>
        <w:rPr>
          <w:rStyle w:val="31"/>
          <w:rFonts w:hint="eastAsia" w:ascii="微软雅黑" w:hAnsi="微软雅黑" w:eastAsia="微软雅黑" w:cs="微软雅黑"/>
          <w:b w:val="0"/>
          <w:bCs w:val="0"/>
          <w:i w:val="0"/>
          <w:iCs w:val="0"/>
          <w:caps w:val="0"/>
          <w:color w:val="auto"/>
          <w:spacing w:val="0"/>
          <w:sz w:val="21"/>
          <w:szCs w:val="21"/>
          <w:shd w:val="clear" w:fill="FFFFFF"/>
        </w:rPr>
      </w:pPr>
      <w:r>
        <w:rPr>
          <w:rStyle w:val="31"/>
          <w:rFonts w:hint="eastAsia" w:ascii="微软雅黑" w:hAnsi="微软雅黑" w:eastAsia="微软雅黑" w:cs="微软雅黑"/>
          <w:b w:val="0"/>
          <w:bCs w:val="0"/>
          <w:i w:val="0"/>
          <w:iCs w:val="0"/>
          <w:caps w:val="0"/>
          <w:color w:val="auto"/>
          <w:spacing w:val="0"/>
          <w:sz w:val="21"/>
          <w:szCs w:val="21"/>
          <w:shd w:val="clear" w:fill="FFFFFF"/>
        </w:rPr>
        <w:t>中拓达建项目管理有限公司</w:t>
      </w:r>
    </w:p>
    <w:p>
      <w:pPr>
        <w:wordWrap/>
        <w:rPr>
          <w:rFonts w:hint="default" w:eastAsia="微软雅黑"/>
          <w:color w:val="auto"/>
          <w:lang w:val="en-US" w:eastAsia="zh-CN"/>
        </w:rPr>
      </w:pPr>
      <w:r>
        <w:rPr>
          <w:rStyle w:val="31"/>
          <w:rFonts w:hint="eastAsia" w:ascii="微软雅黑" w:hAnsi="微软雅黑" w:eastAsia="微软雅黑" w:cs="微软雅黑"/>
          <w:b w:val="0"/>
          <w:bCs w:val="0"/>
          <w:i w:val="0"/>
          <w:iCs w:val="0"/>
          <w:caps w:val="0"/>
          <w:color w:val="auto"/>
          <w:spacing w:val="0"/>
          <w:sz w:val="21"/>
          <w:szCs w:val="21"/>
          <w:shd w:val="clear" w:fill="FFFFFF"/>
          <w:lang w:val="en-US" w:eastAsia="zh-CN"/>
        </w:rPr>
        <w:t xml:space="preserve">                                                               2022年11月08日</w:t>
      </w:r>
    </w:p>
    <w:p>
      <w:pPr>
        <w:jc w:val="right"/>
        <w:rPr>
          <w:color w:val="auto"/>
        </w:rPr>
      </w:pPr>
    </w:p>
    <w:p>
      <w:pPr>
        <w:pStyle w:val="4"/>
        <w:keepNext w:val="0"/>
        <w:pageBreakBefore/>
        <w:spacing w:line="35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第二章</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投标人须知</w:t>
      </w:r>
      <w:bookmarkEnd w:id="3"/>
      <w:bookmarkEnd w:id="4"/>
      <w:bookmarkEnd w:id="5"/>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投标人须知前附表</w:t>
      </w:r>
    </w:p>
    <w:tbl>
      <w:tblPr>
        <w:tblStyle w:val="28"/>
        <w:tblpPr w:leftFromText="180" w:rightFromText="180" w:vertAnchor="text" w:horzAnchor="page" w:tblpX="1536" w:tblpY="532"/>
        <w:tblOverlap w:val="never"/>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966"/>
        <w:gridCol w:w="6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85" w:type="dxa"/>
            <w:vAlign w:val="center"/>
          </w:tcPr>
          <w:p>
            <w:pPr>
              <w:spacing w:line="360" w:lineRule="auto"/>
              <w:jc w:val="center"/>
              <w:rPr>
                <w:rFonts w:ascii="宋体" w:hAnsi="宋体" w:cs="宋体"/>
                <w:b/>
                <w:bCs/>
                <w:color w:val="auto"/>
                <w:sz w:val="24"/>
                <w:szCs w:val="24"/>
              </w:rPr>
            </w:pPr>
            <w:bookmarkStart w:id="6" w:name="_Toc420591642"/>
            <w:bookmarkStart w:id="7" w:name="_Toc19675"/>
            <w:bookmarkStart w:id="8" w:name="_Toc421778364"/>
            <w:bookmarkStart w:id="9" w:name="_Toc29034"/>
            <w:r>
              <w:rPr>
                <w:rFonts w:hint="eastAsia" w:ascii="宋体" w:hAnsi="宋体" w:cs="宋体"/>
                <w:b/>
                <w:bCs/>
                <w:color w:val="auto"/>
                <w:sz w:val="24"/>
                <w:szCs w:val="24"/>
              </w:rPr>
              <w:t>条款号</w:t>
            </w:r>
          </w:p>
        </w:tc>
        <w:tc>
          <w:tcPr>
            <w:tcW w:w="1966" w:type="dxa"/>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条款名称</w:t>
            </w:r>
          </w:p>
        </w:tc>
        <w:tc>
          <w:tcPr>
            <w:tcW w:w="6341" w:type="dxa"/>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1.1.2</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采购人</w:t>
            </w:r>
          </w:p>
        </w:tc>
        <w:tc>
          <w:tcPr>
            <w:tcW w:w="6341"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采购人：商南县野生动物和天然林保护管理中心</w:t>
            </w:r>
          </w:p>
          <w:p>
            <w:pPr>
              <w:spacing w:line="360" w:lineRule="auto"/>
              <w:rPr>
                <w:rFonts w:ascii="宋体" w:hAnsi="宋体" w:cs="宋体"/>
                <w:color w:val="auto"/>
                <w:sz w:val="24"/>
                <w:szCs w:val="24"/>
              </w:rPr>
            </w:pPr>
            <w:r>
              <w:rPr>
                <w:rFonts w:hint="eastAsia" w:ascii="宋体" w:hAnsi="宋体" w:cs="宋体"/>
                <w:color w:val="auto"/>
                <w:sz w:val="24"/>
                <w:szCs w:val="24"/>
              </w:rPr>
              <w:t>地址：商南县城关街道办事处育才路2号</w:t>
            </w:r>
          </w:p>
          <w:p>
            <w:pPr>
              <w:spacing w:line="360" w:lineRule="auto"/>
              <w:rPr>
                <w:rFonts w:ascii="宋体" w:hAnsi="宋体" w:cs="宋体"/>
                <w:color w:val="auto"/>
                <w:sz w:val="24"/>
                <w:szCs w:val="24"/>
              </w:rPr>
            </w:pPr>
            <w:r>
              <w:rPr>
                <w:rFonts w:hint="eastAsia" w:ascii="宋体" w:hAnsi="宋体" w:cs="宋体"/>
                <w:color w:val="auto"/>
                <w:sz w:val="24"/>
                <w:szCs w:val="24"/>
              </w:rPr>
              <w:t>联系人：商南县野生动物和天然林保护管理中心经办</w:t>
            </w:r>
          </w:p>
          <w:p>
            <w:pPr>
              <w:spacing w:line="360" w:lineRule="auto"/>
              <w:rPr>
                <w:rFonts w:ascii="宋体" w:hAnsi="宋体" w:cs="宋体"/>
                <w:color w:val="auto"/>
                <w:sz w:val="24"/>
                <w:szCs w:val="24"/>
              </w:rPr>
            </w:pPr>
            <w:r>
              <w:rPr>
                <w:rFonts w:hint="eastAsia" w:ascii="宋体" w:hAnsi="宋体" w:cs="宋体"/>
                <w:color w:val="auto"/>
                <w:sz w:val="24"/>
                <w:szCs w:val="24"/>
              </w:rPr>
              <w:t>电话：13389147919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1.1.3</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采购代理机构</w:t>
            </w:r>
          </w:p>
        </w:tc>
        <w:tc>
          <w:tcPr>
            <w:tcW w:w="6341" w:type="dxa"/>
            <w:vAlign w:val="center"/>
          </w:tcPr>
          <w:p>
            <w:pPr>
              <w:spacing w:line="360" w:lineRule="auto"/>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名称：中拓达建项目管理有限公司</w:t>
            </w:r>
          </w:p>
          <w:p>
            <w:pPr>
              <w:spacing w:line="360" w:lineRule="auto"/>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地址：陕西省商南县滨河路逸安嘉园503室</w:t>
            </w:r>
          </w:p>
          <w:p>
            <w:pPr>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联系人：杨娟</w:t>
            </w:r>
          </w:p>
          <w:p>
            <w:pPr>
              <w:spacing w:line="360" w:lineRule="auto"/>
              <w:rPr>
                <w:rFonts w:ascii="宋体" w:hAnsi="宋体" w:cs="宋体" w:eastAsiaTheme="minorEastAsia"/>
                <w:color w:val="auto"/>
                <w:sz w:val="24"/>
                <w:szCs w:val="24"/>
              </w:rPr>
            </w:pPr>
            <w:r>
              <w:rPr>
                <w:rFonts w:hint="eastAsia" w:cs="宋体" w:asciiTheme="minorEastAsia" w:hAnsiTheme="minorEastAsia" w:eastAsiaTheme="minorEastAsia"/>
                <w:color w:val="auto"/>
                <w:sz w:val="24"/>
                <w:szCs w:val="24"/>
              </w:rPr>
              <w:t>电话：15877456091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1.1.</w:t>
            </w:r>
            <w:r>
              <w:rPr>
                <w:rFonts w:ascii="宋体" w:hAnsi="宋体" w:cs="宋体"/>
                <w:color w:val="auto"/>
                <w:sz w:val="24"/>
                <w:szCs w:val="24"/>
              </w:rPr>
              <w:t>4</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项目</w:t>
            </w:r>
            <w:r>
              <w:rPr>
                <w:rFonts w:ascii="宋体" w:hAnsi="宋体" w:cs="宋体"/>
                <w:color w:val="auto"/>
                <w:sz w:val="24"/>
                <w:szCs w:val="24"/>
              </w:rPr>
              <w:t>名称</w:t>
            </w:r>
          </w:p>
        </w:tc>
        <w:tc>
          <w:tcPr>
            <w:tcW w:w="6341" w:type="dxa"/>
            <w:vAlign w:val="center"/>
          </w:tcPr>
          <w:p>
            <w:pPr>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2022年封山育林项目建设采购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1.1.5</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作业区域及内容</w:t>
            </w:r>
          </w:p>
        </w:tc>
        <w:tc>
          <w:tcPr>
            <w:tcW w:w="6341" w:type="dxa"/>
            <w:vAlign w:val="center"/>
          </w:tcPr>
          <w:p>
            <w:pPr>
              <w:pStyle w:val="25"/>
              <w:spacing w:line="360" w:lineRule="auto"/>
              <w:rPr>
                <w:rFonts w:asciiTheme="minorEastAsia" w:hAnsiTheme="minorEastAsia" w:eastAsiaTheme="minorEastAsia"/>
                <w:color w:val="auto"/>
                <w:kern w:val="2"/>
                <w:szCs w:val="24"/>
              </w:rPr>
            </w:pPr>
            <w:r>
              <w:rPr>
                <w:rFonts w:hint="eastAsia" w:cs="宋体" w:asciiTheme="minorEastAsia" w:hAnsiTheme="minorEastAsia" w:eastAsiaTheme="minorEastAsia"/>
                <w:color w:val="auto"/>
                <w:kern w:val="2"/>
                <w:szCs w:val="24"/>
              </w:rPr>
              <w:t>详见第五章项目概况及技术要求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1.2.1</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资金来源</w:t>
            </w:r>
          </w:p>
        </w:tc>
        <w:tc>
          <w:tcPr>
            <w:tcW w:w="6341" w:type="dxa"/>
            <w:vAlign w:val="center"/>
          </w:tcPr>
          <w:p>
            <w:pPr>
              <w:pStyle w:val="2"/>
              <w:ind w:left="0" w:leftChars="0" w:firstLine="0" w:firstLineChars="0"/>
              <w:rPr>
                <w:rFonts w:hint="eastAsia" w:ascii="宋体" w:hAnsi="宋体" w:eastAsia="仿宋" w:cs="宋体"/>
                <w:color w:val="auto"/>
                <w:sz w:val="24"/>
                <w:szCs w:val="24"/>
                <w:lang w:eastAsia="zh-CN"/>
              </w:rPr>
            </w:pPr>
            <w:r>
              <w:rPr>
                <w:rFonts w:hint="eastAsia" w:ascii="宋体" w:hAnsi="宋体" w:cs="宋体"/>
                <w:color w:val="auto"/>
                <w:sz w:val="24"/>
                <w:szCs w:val="24"/>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1.2.2</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资金落实情况</w:t>
            </w:r>
          </w:p>
        </w:tc>
        <w:tc>
          <w:tcPr>
            <w:tcW w:w="6341"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1.3.1</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招标范围</w:t>
            </w:r>
          </w:p>
        </w:tc>
        <w:tc>
          <w:tcPr>
            <w:tcW w:w="6341"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本项目招标文件所包含的所有施工内容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1.3.2</w:t>
            </w:r>
          </w:p>
        </w:tc>
        <w:tc>
          <w:tcPr>
            <w:tcW w:w="1966" w:type="dxa"/>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工期</w:t>
            </w:r>
          </w:p>
        </w:tc>
        <w:tc>
          <w:tcPr>
            <w:tcW w:w="6341" w:type="dxa"/>
            <w:vAlign w:val="center"/>
          </w:tcPr>
          <w:p>
            <w:pPr>
              <w:spacing w:line="360" w:lineRule="auto"/>
              <w:rPr>
                <w:rFonts w:ascii="宋体" w:hAnsi="宋体" w:cs="宋体"/>
                <w:b/>
                <w:bCs/>
                <w:color w:val="auto"/>
                <w:sz w:val="24"/>
                <w:szCs w:val="24"/>
              </w:rPr>
            </w:pPr>
            <w:r>
              <w:rPr>
                <w:rFonts w:hint="eastAsia" w:ascii="宋体" w:hAnsi="宋体" w:cs="宋体"/>
                <w:b/>
                <w:bCs/>
                <w:color w:val="auto"/>
                <w:sz w:val="24"/>
                <w:szCs w:val="24"/>
              </w:rPr>
              <w:t>自合同签订之日起</w:t>
            </w:r>
            <w:r>
              <w:rPr>
                <w:rFonts w:hint="eastAsia" w:ascii="宋体" w:hAnsi="宋体" w:cs="宋体"/>
                <w:b/>
                <w:bCs/>
                <w:color w:val="auto"/>
                <w:sz w:val="24"/>
                <w:szCs w:val="24"/>
                <w:lang w:val="en-US" w:eastAsia="zh-CN"/>
              </w:rPr>
              <w:t>160</w:t>
            </w:r>
            <w:r>
              <w:rPr>
                <w:rFonts w:hint="eastAsia" w:ascii="宋体" w:hAnsi="宋体" w:cs="宋体"/>
                <w:b/>
                <w:bCs/>
                <w:color w:val="auto"/>
                <w:sz w:val="24"/>
                <w:szCs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1.3.3</w:t>
            </w:r>
          </w:p>
        </w:tc>
        <w:tc>
          <w:tcPr>
            <w:tcW w:w="1966" w:type="dxa"/>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封育期</w:t>
            </w:r>
          </w:p>
        </w:tc>
        <w:tc>
          <w:tcPr>
            <w:tcW w:w="6341" w:type="dxa"/>
            <w:vAlign w:val="center"/>
          </w:tcPr>
          <w:p>
            <w:pPr>
              <w:spacing w:line="360" w:lineRule="auto"/>
              <w:rPr>
                <w:rFonts w:ascii="宋体" w:hAnsi="宋体" w:cs="宋体"/>
                <w:b/>
                <w:bCs/>
                <w:color w:val="auto"/>
                <w:sz w:val="24"/>
                <w:szCs w:val="24"/>
              </w:rPr>
            </w:pPr>
            <w:r>
              <w:rPr>
                <w:rFonts w:hint="eastAsia" w:ascii="宋体" w:hAnsi="宋体" w:cs="宋体"/>
                <w:b/>
                <w:bCs/>
                <w:color w:val="auto"/>
                <w:sz w:val="24"/>
                <w:szCs w:val="24"/>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1.3.4</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质量标准</w:t>
            </w:r>
          </w:p>
        </w:tc>
        <w:tc>
          <w:tcPr>
            <w:tcW w:w="6341" w:type="dxa"/>
            <w:vAlign w:val="center"/>
          </w:tcPr>
          <w:p>
            <w:pPr>
              <w:spacing w:line="360" w:lineRule="auto"/>
              <w:rPr>
                <w:rFonts w:ascii="宋体" w:hAnsi="宋体" w:cs="宋体"/>
                <w:color w:val="auto"/>
                <w:sz w:val="24"/>
                <w:szCs w:val="24"/>
              </w:rPr>
            </w:pPr>
            <w:bookmarkStart w:id="10" w:name="OLE_LINK18"/>
            <w:bookmarkStart w:id="11" w:name="OLE_LINK34"/>
            <w:r>
              <w:rPr>
                <w:rFonts w:hint="eastAsia" w:ascii="宋体" w:hAnsi="宋体" w:cs="宋体"/>
                <w:color w:val="auto"/>
                <w:kern w:val="0"/>
                <w:sz w:val="24"/>
                <w:szCs w:val="24"/>
              </w:rPr>
              <w:t>符合国家现行有关质量验收规范“合格”要求。</w:t>
            </w:r>
            <w:bookmarkEnd w:id="10"/>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1.4.1</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资格审查条件</w:t>
            </w:r>
          </w:p>
          <w:p>
            <w:pPr>
              <w:spacing w:line="360" w:lineRule="auto"/>
              <w:jc w:val="center"/>
              <w:rPr>
                <w:rFonts w:ascii="宋体" w:hAnsi="宋体" w:cs="宋体"/>
                <w:color w:val="auto"/>
                <w:sz w:val="24"/>
                <w:szCs w:val="24"/>
              </w:rPr>
            </w:pPr>
          </w:p>
        </w:tc>
        <w:tc>
          <w:tcPr>
            <w:tcW w:w="6341" w:type="dxa"/>
            <w:vAlign w:val="center"/>
          </w:tcPr>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资格证明文件：</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提供合格有效的法人或者其他组织的营业执照等证明文件，自然人的身份证明；</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提供法定代表人授权书（附法定代表人、被授权人身份证复印件）及被授权人身份证原件（法定代表人直接参加投标，须提供法定代表人身份证明及身份证原件）；</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财务状况：提供2021年度的财务审计报告（至少包括资产负债表和利润表，成立时间至提交投标文件截止时间不足一年的可提供成立后任意时段的资产负债表）或开标时间前六个月内</w:t>
            </w:r>
            <w:r>
              <w:rPr>
                <w:rFonts w:hint="eastAsia" w:ascii="宋体" w:hAnsi="宋体" w:cs="宋体"/>
                <w:color w:val="auto"/>
                <w:kern w:val="0"/>
                <w:sz w:val="24"/>
                <w:szCs w:val="24"/>
              </w:rPr>
              <w:t>基本存款账户开户银行出具的资信证明</w:t>
            </w:r>
            <w:r>
              <w:rPr>
                <w:rFonts w:hint="eastAsia" w:ascii="宋体" w:hAnsi="宋体" w:eastAsia="宋体" w:cs="宋体"/>
                <w:color w:val="auto"/>
                <w:sz w:val="24"/>
                <w:szCs w:val="24"/>
                <w:highlight w:val="none"/>
                <w:lang w:eastAsia="zh-CN"/>
              </w:rPr>
              <w:t>及基本存款账户开户许可证；</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税收缴纳证明：提供投标截止日前近一年内任意一个月的纳税证明或完税证明（任意税种），依法免税的单位应提供相关证明材料；</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社会保障资金缴纳证明：提供投标截止日前近一年内任意一个月的社会保障资金缴存单据或社保机构开具的社会保险参保缴费情况证明，依法不需要缴纳社会保障资金的单位应提供相关证明材料；</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供应商应在招标文件发售期至投标截止时间前通过“信用中国”网站(www.creditchina.gov.cn)、中国政府采购网(www.ccgp.gov.cn)查询相关主体信用记录；</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参加政府采购活动前3年内，在经营活动中没有重大违法记录的书面声明；</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提供具有履行合同所必需的设备和专业技术能力的书面承诺；</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投标保证金缴纳凭证或担保机构出具的保函；</w:t>
            </w:r>
            <w:r>
              <w:rPr>
                <w:rFonts w:hint="eastAsia" w:ascii="宋体" w:hAnsi="宋体" w:eastAsia="宋体" w:cs="宋体"/>
                <w:color w:val="auto"/>
                <w:sz w:val="24"/>
                <w:szCs w:val="24"/>
                <w:highlight w:val="none"/>
                <w:lang w:val="en-US" w:eastAsia="zh-CN"/>
              </w:rPr>
              <w:t xml:space="preserve">  </w:t>
            </w:r>
          </w:p>
          <w:p>
            <w:pPr>
              <w:numPr>
                <w:ilvl w:val="0"/>
                <w:numId w:val="0"/>
              </w:numPr>
              <w:spacing w:line="360" w:lineRule="auto"/>
              <w:ind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本项目专门面向中小企业采购（提供中小企业声明函）</w:t>
            </w:r>
          </w:p>
          <w:p>
            <w:pPr>
              <w:pStyle w:val="12"/>
              <w:spacing w:line="360" w:lineRule="auto"/>
              <w:ind w:firstLine="482" w:firstLineChars="200"/>
              <w:rPr>
                <w:color w:val="auto"/>
              </w:rPr>
            </w:pPr>
            <w:r>
              <w:rPr>
                <w:rFonts w:hint="eastAsia" w:ascii="宋体" w:hAnsi="宋体" w:cs="宋体"/>
                <w:b/>
                <w:bCs/>
                <w:color w:val="auto"/>
                <w:sz w:val="24"/>
                <w:szCs w:val="24"/>
              </w:rPr>
              <w:t>以上（1-</w:t>
            </w:r>
            <w:r>
              <w:rPr>
                <w:rFonts w:ascii="宋体" w:hAnsi="宋体" w:cs="宋体"/>
                <w:b/>
                <w:bCs/>
                <w:color w:val="auto"/>
                <w:sz w:val="24"/>
                <w:szCs w:val="24"/>
              </w:rPr>
              <w:t>1</w:t>
            </w:r>
            <w:r>
              <w:rPr>
                <w:rFonts w:hint="eastAsia" w:ascii="宋体" w:hAnsi="宋体" w:cs="宋体"/>
                <w:b/>
                <w:bCs/>
                <w:color w:val="auto"/>
                <w:sz w:val="24"/>
                <w:szCs w:val="24"/>
                <w:lang w:val="en-US" w:eastAsia="zh-CN"/>
              </w:rPr>
              <w:t>0</w:t>
            </w:r>
            <w:r>
              <w:rPr>
                <w:rFonts w:hint="eastAsia" w:ascii="宋体" w:hAnsi="宋体" w:cs="宋体"/>
                <w:b/>
                <w:bCs/>
                <w:color w:val="auto"/>
                <w:sz w:val="24"/>
                <w:szCs w:val="24"/>
              </w:rPr>
              <w:t>）为必备资质，缺一项或某项达不到要求，按无效投标处理。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1.4.2</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招标文件发售时间</w:t>
            </w:r>
          </w:p>
        </w:tc>
        <w:tc>
          <w:tcPr>
            <w:tcW w:w="6341" w:type="dxa"/>
            <w:vAlign w:val="center"/>
          </w:tcPr>
          <w:p>
            <w:pPr>
              <w:spacing w:line="420" w:lineRule="exact"/>
              <w:rPr>
                <w:rFonts w:ascii="宋体" w:hAnsi="宋体" w:cs="宋体"/>
                <w:color w:val="auto"/>
                <w:sz w:val="24"/>
                <w:szCs w:val="24"/>
              </w:rPr>
            </w:pPr>
            <w:r>
              <w:rPr>
                <w:rFonts w:hint="eastAsia" w:asciiTheme="minorEastAsia" w:hAnsiTheme="minorEastAsia" w:eastAsiaTheme="minorEastAsia"/>
                <w:color w:val="auto"/>
                <w:sz w:val="24"/>
                <w:szCs w:val="24"/>
                <w:highlight w:val="none"/>
              </w:rPr>
              <w:t>202</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年1</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lang w:val="en-US" w:eastAsia="zh-CN"/>
              </w:rPr>
              <w:t>10</w:t>
            </w:r>
            <w:r>
              <w:rPr>
                <w:rFonts w:hint="eastAsia" w:asciiTheme="minorEastAsia" w:hAnsiTheme="minorEastAsia" w:eastAsiaTheme="minorEastAsia"/>
                <w:color w:val="auto"/>
                <w:sz w:val="24"/>
                <w:szCs w:val="24"/>
                <w:highlight w:val="none"/>
              </w:rPr>
              <w:t>日起至202</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年1</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lang w:val="en-US" w:eastAsia="zh-CN"/>
              </w:rPr>
              <w:t>16</w:t>
            </w:r>
            <w:r>
              <w:rPr>
                <w:rFonts w:hint="eastAsia" w:asciiTheme="minorEastAsia" w:hAnsiTheme="minorEastAsia" w:eastAsiaTheme="minorEastAsia"/>
                <w:color w:val="auto"/>
                <w:sz w:val="24"/>
                <w:szCs w:val="24"/>
                <w:highlight w:val="none"/>
              </w:rPr>
              <w:t>日每天上午08:00至12:00，下午1</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:00至18:00（北京时间）（双休日及法定节假日除外</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1.9</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踏勘现场</w:t>
            </w:r>
          </w:p>
        </w:tc>
        <w:tc>
          <w:tcPr>
            <w:tcW w:w="6341" w:type="dxa"/>
            <w:vAlign w:val="center"/>
          </w:tcPr>
          <w:p>
            <w:pPr>
              <w:spacing w:line="420" w:lineRule="exact"/>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Theme="minorEastAsia" w:hAnsiTheme="minorEastAsia" w:eastAsiaTheme="minorEastAsia" w:cstheme="minorEastAsia"/>
                <w:color w:val="auto"/>
                <w:sz w:val="24"/>
                <w:szCs w:val="24"/>
              </w:rPr>
              <w:t>采购</w:t>
            </w:r>
            <w:r>
              <w:rPr>
                <w:rFonts w:hint="eastAsia" w:ascii="宋体" w:hAnsi="宋体" w:cs="宋体"/>
                <w:color w:val="auto"/>
                <w:kern w:val="0"/>
                <w:sz w:val="24"/>
                <w:szCs w:val="24"/>
              </w:rPr>
              <w:t>代理机构不组织统一踏勘，各投标人自行踏勘，相关费用及安全由投标人自行承担，踏勘时遵守相关规定，不得扰民。</w:t>
            </w:r>
          </w:p>
          <w:p>
            <w:pPr>
              <w:spacing w:line="420" w:lineRule="exact"/>
              <w:rPr>
                <w:rFonts w:ascii="宋体" w:hAnsi="宋体" w:cs="宋体"/>
                <w:color w:val="auto"/>
                <w:kern w:val="0"/>
                <w:sz w:val="24"/>
                <w:szCs w:val="24"/>
              </w:rPr>
            </w:pPr>
            <w:r>
              <w:rPr>
                <w:rFonts w:hint="eastAsia" w:ascii="宋体" w:hAnsi="宋体" w:cs="宋体"/>
                <w:color w:val="auto"/>
                <w:kern w:val="0"/>
                <w:sz w:val="24"/>
                <w:szCs w:val="24"/>
              </w:rPr>
              <w:t>2）踏勘内容包含：完成本次招标所需要的现场工况及周围环境等资料。</w:t>
            </w:r>
          </w:p>
          <w:p>
            <w:pPr>
              <w:pStyle w:val="25"/>
              <w:spacing w:line="420" w:lineRule="exact"/>
              <w:rPr>
                <w:rFonts w:ascii="宋体" w:hAnsi="宋体" w:cs="宋体"/>
                <w:color w:val="auto"/>
                <w:szCs w:val="24"/>
              </w:rPr>
            </w:pPr>
            <w:r>
              <w:rPr>
                <w:rFonts w:hint="eastAsia" w:ascii="宋体" w:hAnsi="宋体" w:cs="宋体"/>
                <w:color w:val="auto"/>
                <w:szCs w:val="24"/>
              </w:rPr>
              <w:t>联系人：商南县野生动物和天然林保护管理中心经办</w:t>
            </w:r>
          </w:p>
          <w:p>
            <w:pPr>
              <w:pStyle w:val="25"/>
              <w:spacing w:line="420" w:lineRule="exact"/>
              <w:rPr>
                <w:rFonts w:cs="宋体" w:asciiTheme="minorEastAsia" w:hAnsiTheme="minorEastAsia" w:eastAsiaTheme="minorEastAsia"/>
                <w:color w:val="auto"/>
                <w:szCs w:val="24"/>
                <w:shd w:val="clear" w:color="auto" w:fill="FFFFFF"/>
              </w:rPr>
            </w:pPr>
            <w:r>
              <w:rPr>
                <w:rFonts w:hint="eastAsia" w:ascii="宋体" w:hAnsi="宋体" w:cs="宋体"/>
                <w:color w:val="auto"/>
                <w:szCs w:val="24"/>
              </w:rPr>
              <w:t>电话：13389147919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1.10</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投标答疑会</w:t>
            </w:r>
          </w:p>
        </w:tc>
        <w:tc>
          <w:tcPr>
            <w:tcW w:w="6341"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不召开；若有疑问，均应在购买招标文件后7个工作日内以书面形式向采购代理机构提出。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1.11</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分包</w:t>
            </w:r>
          </w:p>
        </w:tc>
        <w:tc>
          <w:tcPr>
            <w:tcW w:w="6341"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3.</w:t>
            </w:r>
            <w:r>
              <w:rPr>
                <w:rFonts w:ascii="宋体" w:hAnsi="宋体" w:cs="宋体"/>
                <w:color w:val="auto"/>
                <w:sz w:val="24"/>
                <w:szCs w:val="24"/>
              </w:rPr>
              <w:t>2</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构成投标文件的其他材料</w:t>
            </w:r>
          </w:p>
        </w:tc>
        <w:tc>
          <w:tcPr>
            <w:tcW w:w="6341"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投标人按照招标文件的要求认为有利于投标的材料。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3.4.1</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投标报价</w:t>
            </w:r>
          </w:p>
        </w:tc>
        <w:tc>
          <w:tcPr>
            <w:tcW w:w="6341" w:type="dxa"/>
            <w:vAlign w:val="center"/>
          </w:tcPr>
          <w:p>
            <w:pPr>
              <w:spacing w:line="360" w:lineRule="auto"/>
              <w:rPr>
                <w:color w:val="auto"/>
              </w:rPr>
            </w:pPr>
            <w:r>
              <w:rPr>
                <w:rFonts w:hint="eastAsia" w:ascii="宋体" w:hAnsi="宋体" w:cs="宋体"/>
                <w:color w:val="auto"/>
                <w:sz w:val="24"/>
                <w:szCs w:val="24"/>
              </w:rPr>
              <w:t>以中标价为依据签订总价合同。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3.</w:t>
            </w:r>
            <w:r>
              <w:rPr>
                <w:rFonts w:ascii="宋体" w:hAnsi="宋体" w:cs="宋体"/>
                <w:color w:val="auto"/>
                <w:sz w:val="24"/>
                <w:szCs w:val="24"/>
              </w:rPr>
              <w:t>5</w:t>
            </w:r>
            <w:r>
              <w:rPr>
                <w:rFonts w:hint="eastAsia" w:ascii="宋体" w:hAnsi="宋体" w:cs="宋体"/>
                <w:color w:val="auto"/>
                <w:sz w:val="24"/>
                <w:szCs w:val="24"/>
              </w:rPr>
              <w:t>.1</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投标有效期</w:t>
            </w:r>
          </w:p>
        </w:tc>
        <w:tc>
          <w:tcPr>
            <w:tcW w:w="6341" w:type="dxa"/>
            <w:vAlign w:val="center"/>
          </w:tcPr>
          <w:p>
            <w:pPr>
              <w:spacing w:line="360" w:lineRule="auto"/>
              <w:jc w:val="left"/>
              <w:rPr>
                <w:rFonts w:ascii="宋体" w:hAnsi="宋体" w:cs="宋体"/>
                <w:color w:val="auto"/>
                <w:sz w:val="24"/>
                <w:szCs w:val="24"/>
              </w:rPr>
            </w:pPr>
            <w:r>
              <w:rPr>
                <w:rFonts w:hint="eastAsia" w:ascii="宋体" w:hAnsi="宋体" w:cs="宋体"/>
                <w:color w:val="auto"/>
                <w:sz w:val="24"/>
                <w:szCs w:val="24"/>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3.</w:t>
            </w:r>
            <w:r>
              <w:rPr>
                <w:rFonts w:ascii="宋体" w:hAnsi="宋体" w:cs="宋体"/>
                <w:color w:val="auto"/>
                <w:sz w:val="24"/>
                <w:szCs w:val="24"/>
              </w:rPr>
              <w:t>6</w:t>
            </w:r>
            <w:r>
              <w:rPr>
                <w:rFonts w:hint="eastAsia" w:ascii="宋体" w:hAnsi="宋体" w:cs="宋体"/>
                <w:color w:val="auto"/>
                <w:sz w:val="24"/>
                <w:szCs w:val="24"/>
              </w:rPr>
              <w:t>.1</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投标保证金</w:t>
            </w:r>
          </w:p>
        </w:tc>
        <w:tc>
          <w:tcPr>
            <w:tcW w:w="6341"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本次投标活动投标人需交纳投标保证金为:</w:t>
            </w:r>
          </w:p>
          <w:p>
            <w:pPr>
              <w:spacing w:line="360" w:lineRule="auto"/>
              <w:rPr>
                <w:rFonts w:ascii="宋体" w:hAnsi="宋体" w:cs="宋体"/>
                <w:color w:val="auto"/>
                <w:sz w:val="24"/>
                <w:szCs w:val="24"/>
              </w:rPr>
            </w:pPr>
            <w:r>
              <w:rPr>
                <w:rFonts w:hint="eastAsia" w:ascii="宋体" w:hAnsi="宋体" w:cs="宋体"/>
                <w:b/>
                <w:bCs/>
                <w:color w:val="auto"/>
                <w:sz w:val="24"/>
                <w:szCs w:val="24"/>
              </w:rPr>
              <w:t>第一包至</w:t>
            </w:r>
            <w:r>
              <w:rPr>
                <w:rFonts w:ascii="宋体" w:hAnsi="宋体" w:cs="宋体"/>
                <w:b/>
                <w:bCs/>
                <w:color w:val="auto"/>
                <w:sz w:val="24"/>
                <w:szCs w:val="24"/>
              </w:rPr>
              <w:t>第十</w:t>
            </w:r>
            <w:r>
              <w:rPr>
                <w:rFonts w:hint="eastAsia" w:ascii="宋体" w:hAnsi="宋体" w:cs="宋体"/>
                <w:b/>
                <w:bCs/>
                <w:color w:val="auto"/>
                <w:sz w:val="24"/>
                <w:szCs w:val="24"/>
                <w:lang w:eastAsia="zh-CN"/>
              </w:rPr>
              <w:t>五</w:t>
            </w:r>
            <w:r>
              <w:rPr>
                <w:rFonts w:ascii="宋体" w:hAnsi="宋体" w:cs="宋体"/>
                <w:b/>
                <w:bCs/>
                <w:color w:val="auto"/>
                <w:sz w:val="24"/>
                <w:szCs w:val="24"/>
              </w:rPr>
              <w:t>包</w:t>
            </w:r>
            <w:r>
              <w:rPr>
                <w:rFonts w:hint="eastAsia" w:ascii="宋体" w:hAnsi="宋体" w:cs="宋体"/>
                <w:b/>
                <w:bCs/>
                <w:color w:val="auto"/>
                <w:sz w:val="24"/>
                <w:szCs w:val="24"/>
              </w:rPr>
              <w:t>每</w:t>
            </w:r>
            <w:r>
              <w:rPr>
                <w:rFonts w:ascii="宋体" w:hAnsi="宋体" w:cs="宋体"/>
                <w:b/>
                <w:bCs/>
                <w:color w:val="auto"/>
                <w:sz w:val="24"/>
                <w:szCs w:val="24"/>
              </w:rPr>
              <w:t>包</w:t>
            </w:r>
            <w:r>
              <w:rPr>
                <w:rFonts w:hint="eastAsia" w:ascii="宋体" w:hAnsi="宋体" w:cs="宋体"/>
                <w:b/>
                <w:bCs/>
                <w:color w:val="auto"/>
                <w:sz w:val="24"/>
                <w:szCs w:val="24"/>
              </w:rPr>
              <w:t>：人民币伍仟元整（￥5000.00）</w:t>
            </w:r>
          </w:p>
          <w:p>
            <w:pPr>
              <w:spacing w:line="360" w:lineRule="auto"/>
              <w:rPr>
                <w:rFonts w:ascii="宋体" w:hAnsi="宋体" w:cs="宋体"/>
                <w:color w:val="auto"/>
                <w:sz w:val="24"/>
                <w:szCs w:val="24"/>
              </w:rPr>
            </w:pPr>
            <w:r>
              <w:rPr>
                <w:rFonts w:hint="eastAsia" w:ascii="宋体" w:hAnsi="宋体" w:cs="宋体"/>
                <w:color w:val="auto"/>
                <w:sz w:val="24"/>
                <w:szCs w:val="24"/>
              </w:rPr>
              <w:t>投标保证金的交纳形式：转账、电汇、担保机构保函。投标人以银行转账、电汇形式交纳投标保证金的(</w:t>
            </w:r>
            <w:r>
              <w:rPr>
                <w:rFonts w:hint="eastAsia" w:ascii="宋体" w:hAnsi="宋体" w:cs="宋体"/>
                <w:b/>
                <w:color w:val="auto"/>
                <w:sz w:val="24"/>
                <w:szCs w:val="24"/>
              </w:rPr>
              <w:t>转账时请注明所投</w:t>
            </w:r>
            <w:r>
              <w:rPr>
                <w:rFonts w:hint="eastAsia" w:ascii="宋体" w:hAnsi="宋体" w:cs="宋体"/>
                <w:b/>
                <w:bCs/>
                <w:color w:val="auto"/>
                <w:sz w:val="24"/>
                <w:szCs w:val="24"/>
              </w:rPr>
              <w:t>项目</w:t>
            </w:r>
            <w:r>
              <w:rPr>
                <w:rFonts w:hint="eastAsia" w:ascii="宋体" w:hAnsi="宋体" w:cs="宋体"/>
                <w:b/>
                <w:bCs/>
                <w:color w:val="auto"/>
                <w:sz w:val="24"/>
                <w:szCs w:val="24"/>
                <w:lang w:eastAsia="zh-CN"/>
              </w:rPr>
              <w:t>名称及标段</w:t>
            </w:r>
            <w:r>
              <w:rPr>
                <w:rFonts w:hint="eastAsia" w:ascii="宋体" w:hAnsi="宋体" w:cs="宋体"/>
                <w:b/>
                <w:bCs/>
                <w:color w:val="auto"/>
                <w:sz w:val="24"/>
                <w:szCs w:val="24"/>
              </w:rPr>
              <w:t>)</w:t>
            </w:r>
            <w:r>
              <w:rPr>
                <w:rFonts w:hint="eastAsia" w:ascii="宋体" w:hAnsi="宋体" w:cs="宋体"/>
                <w:color w:val="auto"/>
                <w:sz w:val="24"/>
                <w:szCs w:val="24"/>
              </w:rPr>
              <w:t>，招标结束之后以转账形式退到投标人的基本账户。投标人以保函形式缴纳投标保证金的，在投标文件递交截止时间前须将担保机构保函</w:t>
            </w:r>
            <w:r>
              <w:rPr>
                <w:rFonts w:hint="eastAsia" w:ascii="宋体" w:hAnsi="宋体" w:cs="宋体"/>
                <w:b/>
                <w:bCs/>
                <w:color w:val="auto"/>
                <w:sz w:val="24"/>
                <w:szCs w:val="24"/>
              </w:rPr>
              <w:t>正本原件</w:t>
            </w:r>
            <w:r>
              <w:rPr>
                <w:rFonts w:hint="eastAsia" w:ascii="宋体" w:hAnsi="宋体" w:cs="宋体"/>
                <w:color w:val="auto"/>
                <w:sz w:val="24"/>
                <w:szCs w:val="24"/>
              </w:rPr>
              <w:t>提交至采购代理机构备案，招标结束之后在规定时间内将保函正本原件退回。</w:t>
            </w:r>
          </w:p>
          <w:p>
            <w:pPr>
              <w:spacing w:line="360" w:lineRule="auto"/>
              <w:rPr>
                <w:rFonts w:ascii="宋体" w:hAnsi="宋体" w:cs="宋体"/>
                <w:color w:val="auto"/>
                <w:sz w:val="24"/>
                <w:szCs w:val="24"/>
              </w:rPr>
            </w:pPr>
            <w:r>
              <w:rPr>
                <w:rFonts w:hint="eastAsia" w:ascii="宋体" w:hAnsi="宋体" w:cs="宋体"/>
                <w:color w:val="auto"/>
                <w:sz w:val="24"/>
                <w:szCs w:val="24"/>
              </w:rPr>
              <w:t>投标人以银行转账、电汇形式缴纳投标保证金的截止时间：</w:t>
            </w:r>
          </w:p>
          <w:p>
            <w:pPr>
              <w:spacing w:line="360" w:lineRule="auto"/>
              <w:rPr>
                <w:rFonts w:ascii="宋体" w:hAnsi="宋体" w:cs="宋体"/>
                <w:b/>
                <w:bCs/>
                <w:color w:val="auto"/>
                <w:sz w:val="24"/>
                <w:szCs w:val="24"/>
              </w:rPr>
            </w:pPr>
            <w:r>
              <w:rPr>
                <w:rFonts w:hint="eastAsia" w:ascii="宋体" w:hAnsi="宋体" w:cs="宋体"/>
                <w:color w:val="auto"/>
                <w:sz w:val="24"/>
                <w:szCs w:val="24"/>
              </w:rPr>
              <w:t>须在投标文件递交截止前到达以下帐户。</w:t>
            </w:r>
            <w:r>
              <w:rPr>
                <w:rFonts w:hint="eastAsia" w:ascii="宋体" w:hAnsi="宋体" w:cs="宋体"/>
                <w:b/>
                <w:bCs/>
                <w:color w:val="auto"/>
                <w:sz w:val="24"/>
                <w:szCs w:val="24"/>
              </w:rPr>
              <w:t>由于转账当天不一定能够到账，为避免因保证金未到账而导致投标被拒绝，建议至少提前2个工作日转账。</w:t>
            </w:r>
          </w:p>
          <w:p>
            <w:pPr>
              <w:spacing w:line="360" w:lineRule="auto"/>
              <w:rPr>
                <w:rFonts w:hint="eastAsia" w:ascii="宋体" w:hAnsi="宋体" w:cs="宋体"/>
                <w:b w:val="0"/>
                <w:bCs/>
                <w:color w:val="auto"/>
                <w:sz w:val="24"/>
                <w:szCs w:val="24"/>
              </w:rPr>
            </w:pPr>
            <w:r>
              <w:rPr>
                <w:rFonts w:hint="eastAsia" w:ascii="宋体" w:hAnsi="宋体" w:cs="宋体"/>
                <w:b/>
                <w:color w:val="auto"/>
                <w:sz w:val="24"/>
                <w:szCs w:val="24"/>
              </w:rPr>
              <w:t>户名：</w:t>
            </w:r>
            <w:r>
              <w:rPr>
                <w:rFonts w:hint="eastAsia" w:ascii="宋体" w:hAnsi="宋体" w:eastAsia="宋体" w:cs="宋体"/>
                <w:color w:val="auto"/>
                <w:sz w:val="24"/>
                <w:szCs w:val="24"/>
                <w:highlight w:val="none"/>
              </w:rPr>
              <w:t>中拓达建项目管理有限公司</w:t>
            </w:r>
          </w:p>
          <w:p>
            <w:pPr>
              <w:spacing w:line="360" w:lineRule="auto"/>
              <w:rPr>
                <w:rFonts w:hint="eastAsia" w:ascii="宋体" w:hAnsi="宋体" w:cs="宋体"/>
                <w:b/>
                <w:color w:val="auto"/>
                <w:sz w:val="24"/>
                <w:szCs w:val="24"/>
              </w:rPr>
            </w:pPr>
            <w:r>
              <w:rPr>
                <w:rFonts w:hint="eastAsia" w:ascii="宋体" w:hAnsi="宋体" w:cs="宋体"/>
                <w:b/>
                <w:color w:val="auto"/>
                <w:sz w:val="24"/>
                <w:szCs w:val="24"/>
              </w:rPr>
              <w:t>账号：</w:t>
            </w:r>
            <w:r>
              <w:rPr>
                <w:rFonts w:hint="eastAsia" w:ascii="宋体" w:hAnsi="宋体" w:eastAsia="宋体" w:cs="宋体"/>
                <w:color w:val="auto"/>
                <w:sz w:val="24"/>
                <w:szCs w:val="24"/>
                <w:highlight w:val="none"/>
              </w:rPr>
              <w:t>102096682216</w:t>
            </w:r>
          </w:p>
          <w:p>
            <w:pPr>
              <w:spacing w:line="360" w:lineRule="auto"/>
              <w:rPr>
                <w:rFonts w:ascii="宋体" w:hAnsi="宋体" w:cs="宋体"/>
                <w:b/>
                <w:color w:val="auto"/>
                <w:sz w:val="24"/>
                <w:szCs w:val="24"/>
              </w:rPr>
            </w:pPr>
            <w:r>
              <w:rPr>
                <w:rFonts w:hint="eastAsia" w:ascii="宋体" w:hAnsi="宋体" w:cs="宋体"/>
                <w:b/>
                <w:color w:val="auto"/>
                <w:sz w:val="24"/>
                <w:szCs w:val="24"/>
              </w:rPr>
              <w:t>开户银行：</w:t>
            </w:r>
            <w:r>
              <w:rPr>
                <w:rFonts w:hint="eastAsia" w:ascii="宋体" w:hAnsi="宋体" w:eastAsia="宋体" w:cs="宋体"/>
                <w:color w:val="auto"/>
                <w:sz w:val="24"/>
                <w:szCs w:val="24"/>
                <w:highlight w:val="none"/>
              </w:rPr>
              <w:t>中国银行股份有限公司西安雁展路支行</w:t>
            </w:r>
          </w:p>
          <w:p>
            <w:pPr>
              <w:spacing w:line="360" w:lineRule="auto"/>
              <w:rPr>
                <w:rFonts w:ascii="宋体" w:hAnsi="宋体" w:cs="宋体"/>
                <w:color w:val="auto"/>
                <w:sz w:val="24"/>
                <w:szCs w:val="24"/>
              </w:rPr>
            </w:pPr>
            <w:r>
              <w:rPr>
                <w:rFonts w:hint="eastAsia" w:ascii="宋体" w:hAnsi="宋体" w:cs="宋体"/>
                <w:color w:val="auto"/>
                <w:sz w:val="24"/>
                <w:szCs w:val="24"/>
              </w:rPr>
              <w:t>投标保证金到达采购代理机构指定账户后，投标人须与采购代理机构联系确认，确认到帐后请将</w:t>
            </w:r>
            <w:r>
              <w:rPr>
                <w:rFonts w:hint="eastAsia" w:ascii="宋体" w:hAnsi="宋体" w:cs="宋体"/>
                <w:b/>
                <w:bCs/>
                <w:color w:val="auto"/>
                <w:sz w:val="24"/>
                <w:szCs w:val="24"/>
              </w:rPr>
              <w:t>投标保证金缴纳凭证复印件</w:t>
            </w:r>
            <w:r>
              <w:rPr>
                <w:rFonts w:hint="eastAsia" w:ascii="宋体" w:hAnsi="宋体" w:cs="宋体"/>
                <w:color w:val="auto"/>
                <w:sz w:val="24"/>
                <w:szCs w:val="24"/>
              </w:rPr>
              <w:t>粘贴于招标文件规定处。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85" w:type="dxa"/>
            <w:vAlign w:val="center"/>
          </w:tcPr>
          <w:p>
            <w:pPr>
              <w:spacing w:line="360" w:lineRule="auto"/>
              <w:jc w:val="center"/>
              <w:rPr>
                <w:rFonts w:hint="default" w:ascii="宋体" w:hAnsi="宋体" w:cs="宋体"/>
                <w:color w:val="auto"/>
                <w:sz w:val="24"/>
                <w:szCs w:val="24"/>
                <w:lang w:val="en-US"/>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6.2</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代理服务费</w:t>
            </w:r>
          </w:p>
        </w:tc>
        <w:tc>
          <w:tcPr>
            <w:tcW w:w="6341" w:type="dxa"/>
            <w:vAlign w:val="center"/>
          </w:tcPr>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1.收费标准：按国家计委颁发的《招标代理服务收费管理暂行办法》（计价格[2002]1980号）和国家发展改革委员会办公厅颁发的《关于招标代理服务收费有关问题的通知》（发改办价格[2003]857号）的有关标准执行</w:t>
            </w:r>
            <w:r>
              <w:rPr>
                <w:rFonts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2.代理服务费由中标单位承担，中标单位在领取中标通知书前，须向采购代理机构一次性支付招标代理服务费。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3.</w:t>
            </w:r>
            <w:r>
              <w:rPr>
                <w:rFonts w:ascii="宋体" w:hAnsi="宋体" w:cs="宋体"/>
                <w:color w:val="auto"/>
                <w:sz w:val="24"/>
                <w:szCs w:val="24"/>
              </w:rPr>
              <w:t>7</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是否允许递交</w:t>
            </w:r>
          </w:p>
          <w:p>
            <w:pPr>
              <w:spacing w:line="360" w:lineRule="auto"/>
              <w:jc w:val="center"/>
              <w:rPr>
                <w:rFonts w:ascii="宋体" w:hAnsi="宋体" w:cs="宋体"/>
                <w:color w:val="auto"/>
                <w:sz w:val="24"/>
                <w:szCs w:val="24"/>
              </w:rPr>
            </w:pPr>
            <w:r>
              <w:rPr>
                <w:rFonts w:hint="eastAsia" w:ascii="宋体" w:hAnsi="宋体" w:cs="宋体"/>
                <w:color w:val="auto"/>
                <w:sz w:val="24"/>
                <w:szCs w:val="24"/>
              </w:rPr>
              <w:t>备选投标方案</w:t>
            </w:r>
          </w:p>
        </w:tc>
        <w:tc>
          <w:tcPr>
            <w:tcW w:w="6341"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3.</w:t>
            </w:r>
            <w:r>
              <w:rPr>
                <w:rFonts w:ascii="宋体" w:hAnsi="宋体" w:cs="宋体"/>
                <w:color w:val="auto"/>
                <w:sz w:val="24"/>
                <w:szCs w:val="24"/>
              </w:rPr>
              <w:t>8</w:t>
            </w:r>
            <w:r>
              <w:rPr>
                <w:rFonts w:hint="eastAsia" w:ascii="宋体" w:hAnsi="宋体" w:cs="宋体"/>
                <w:color w:val="auto"/>
                <w:sz w:val="24"/>
                <w:szCs w:val="24"/>
              </w:rPr>
              <w:t>.3</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签字或盖章要求</w:t>
            </w:r>
          </w:p>
        </w:tc>
        <w:tc>
          <w:tcPr>
            <w:tcW w:w="6341" w:type="dxa"/>
            <w:vAlign w:val="center"/>
          </w:tcPr>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投标文件封面、投标函及其它有要求处必须加盖投标人公章并经法定代表人或其委托代理人签字或盖章。</w:t>
            </w:r>
            <w:bookmarkStart w:id="12" w:name="_Toc343511347"/>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投标文件应无涂改或行间插字和增删。如确需修改，修改处必须由投标人加盖投标人公章并经法定代表人或其委托代理人签字或盖章。</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3.</w:t>
            </w:r>
            <w:r>
              <w:rPr>
                <w:rFonts w:ascii="宋体" w:hAnsi="宋体" w:cs="宋体"/>
                <w:color w:val="auto"/>
                <w:sz w:val="24"/>
                <w:szCs w:val="24"/>
              </w:rPr>
              <w:t>8</w:t>
            </w:r>
            <w:r>
              <w:rPr>
                <w:rFonts w:hint="eastAsia" w:ascii="宋体" w:hAnsi="宋体" w:cs="宋体"/>
                <w:color w:val="auto"/>
                <w:sz w:val="24"/>
                <w:szCs w:val="24"/>
              </w:rPr>
              <w:t>.4</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highlight w:val="none"/>
              </w:rPr>
              <w:t>投标文件份数</w:t>
            </w:r>
          </w:p>
        </w:tc>
        <w:tc>
          <w:tcPr>
            <w:tcW w:w="6341" w:type="dxa"/>
            <w:vAlign w:val="center"/>
          </w:tcPr>
          <w:p>
            <w:pPr>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rPr>
              <w:t>投标文件正本</w:t>
            </w:r>
            <w:r>
              <w:rPr>
                <w:rFonts w:hint="eastAsia" w:ascii="宋体" w:hAnsi="宋体" w:cs="宋体"/>
                <w:color w:val="auto"/>
                <w:sz w:val="24"/>
                <w:szCs w:val="24"/>
                <w:u w:val="single"/>
              </w:rPr>
              <w:t>壹</w:t>
            </w:r>
            <w:r>
              <w:rPr>
                <w:rFonts w:hint="eastAsia" w:ascii="宋体" w:hAnsi="宋体" w:cs="宋体"/>
                <w:color w:val="auto"/>
                <w:sz w:val="24"/>
                <w:szCs w:val="24"/>
              </w:rPr>
              <w:t>份,副本</w:t>
            </w:r>
            <w:r>
              <w:rPr>
                <w:rFonts w:hint="eastAsia" w:ascii="宋体" w:hAnsi="宋体" w:cs="宋体"/>
                <w:color w:val="auto"/>
                <w:sz w:val="24"/>
                <w:szCs w:val="24"/>
                <w:u w:val="single"/>
              </w:rPr>
              <w:t>贰</w:t>
            </w:r>
            <w:r>
              <w:rPr>
                <w:rFonts w:hint="eastAsia" w:ascii="宋体" w:hAnsi="宋体" w:cs="宋体"/>
                <w:color w:val="auto"/>
                <w:sz w:val="24"/>
                <w:szCs w:val="24"/>
              </w:rPr>
              <w:t>份,投标文件电子版</w:t>
            </w:r>
            <w:r>
              <w:rPr>
                <w:rFonts w:hint="eastAsia" w:ascii="宋体" w:hAnsi="宋体" w:cs="宋体"/>
                <w:color w:val="auto"/>
                <w:sz w:val="24"/>
                <w:szCs w:val="24"/>
                <w:u w:val="single"/>
              </w:rPr>
              <w:t>壹</w:t>
            </w:r>
            <w:r>
              <w:rPr>
                <w:rFonts w:hint="eastAsia" w:ascii="宋体" w:hAnsi="宋体" w:cs="宋体"/>
                <w:color w:val="auto"/>
                <w:sz w:val="24"/>
                <w:szCs w:val="24"/>
              </w:rPr>
              <w:t>份（</w:t>
            </w:r>
            <w:r>
              <w:rPr>
                <w:rFonts w:hint="eastAsia" w:ascii="宋体" w:hAnsi="宋体" w:eastAsia="宋体" w:cs="宋体"/>
                <w:color w:val="auto"/>
                <w:sz w:val="24"/>
                <w:szCs w:val="24"/>
                <w:highlight w:val="none"/>
                <w:lang w:eastAsia="zh-CN"/>
              </w:rPr>
              <w:t>光盘或</w:t>
            </w:r>
            <w:r>
              <w:rPr>
                <w:rFonts w:hint="eastAsia" w:ascii="宋体" w:hAnsi="宋体" w:eastAsia="宋体" w:cs="宋体"/>
                <w:color w:val="auto"/>
                <w:sz w:val="24"/>
                <w:szCs w:val="24"/>
                <w:highlight w:val="none"/>
                <w:lang w:val="en-US" w:eastAsia="zh-CN"/>
              </w:rPr>
              <w:t>U盘</w:t>
            </w:r>
            <w:r>
              <w:rPr>
                <w:rFonts w:hint="eastAsia" w:ascii="宋体" w:hAnsi="宋体" w:cs="宋体"/>
                <w:color w:val="auto"/>
                <w:sz w:val="24"/>
                <w:szCs w:val="24"/>
              </w:rPr>
              <w:t>）</w:t>
            </w:r>
            <w:r>
              <w:rPr>
                <w:rFonts w:hint="eastAsia" w:ascii="宋体" w:hAnsi="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4.1.2</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投标文件密封</w:t>
            </w:r>
          </w:p>
        </w:tc>
        <w:tc>
          <w:tcPr>
            <w:tcW w:w="6341" w:type="dxa"/>
            <w:vAlign w:val="center"/>
          </w:tcPr>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1、投标文件正、副本应分别装订成册，装订应牢固、不易拆散和换页，不得采用活页装订。封袋应加贴封条，并在封线处由法定代表人或委托代理人签字盖章后加盖投标人公章。</w:t>
            </w:r>
          </w:p>
          <w:p>
            <w:pPr>
              <w:spacing w:line="360" w:lineRule="auto"/>
              <w:rPr>
                <w:rFonts w:ascii="宋体" w:hAnsi="宋体" w:cs="宋体"/>
                <w:color w:val="auto"/>
                <w:sz w:val="24"/>
                <w:szCs w:val="24"/>
              </w:rPr>
            </w:pPr>
            <w:r>
              <w:rPr>
                <w:rFonts w:hint="eastAsia" w:ascii="宋体" w:hAnsi="宋体" w:cs="宋体"/>
                <w:color w:val="auto"/>
                <w:sz w:val="24"/>
                <w:szCs w:val="24"/>
              </w:rPr>
              <w:t>2、密封包装方式：</w:t>
            </w:r>
          </w:p>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rPr>
              <w:t>投标文件正本、副本、电子版密封在一个封袋内。</w:t>
            </w:r>
            <w:r>
              <w:rPr>
                <w:rFonts w:hint="eastAsia" w:ascii="宋体" w:hAnsi="宋体" w:eastAsia="宋体" w:cs="宋体"/>
                <w:color w:val="auto"/>
                <w:kern w:val="2"/>
                <w:sz w:val="24"/>
                <w:szCs w:val="24"/>
                <w:highlight w:val="none"/>
                <w:lang w:val="en-US" w:eastAsia="zh-CN" w:bidi="ar-SA"/>
              </w:rPr>
              <w:t>电子版文件载体上应标明投标人名称。</w:t>
            </w:r>
          </w:p>
          <w:p>
            <w:pPr>
              <w:spacing w:line="360" w:lineRule="auto"/>
              <w:rPr>
                <w:rFonts w:ascii="宋体" w:hAnsi="宋体" w:cs="宋体"/>
                <w:color w:val="auto"/>
                <w:sz w:val="24"/>
                <w:szCs w:val="24"/>
              </w:rPr>
            </w:pPr>
            <w:r>
              <w:rPr>
                <w:rFonts w:hint="eastAsia" w:ascii="宋体" w:hAnsi="宋体" w:cs="宋体"/>
                <w:color w:val="auto"/>
                <w:sz w:val="24"/>
                <w:szCs w:val="24"/>
              </w:rPr>
              <w:t>3、外层包装请按以下要求标记：</w:t>
            </w:r>
          </w:p>
          <w:p>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项目名称：2022年封山育林项目建设采购（第</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none"/>
                <w:lang w:eastAsia="zh-CN"/>
              </w:rPr>
              <w:t>标段</w:t>
            </w:r>
            <w:r>
              <w:rPr>
                <w:rFonts w:hint="eastAsia" w:asciiTheme="minorEastAsia" w:hAnsiTheme="minorEastAsia" w:eastAsiaTheme="minorEastAsia"/>
                <w:color w:val="auto"/>
                <w:sz w:val="24"/>
                <w:szCs w:val="24"/>
              </w:rPr>
              <w:t>）</w:t>
            </w:r>
          </w:p>
          <w:p>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项目编号：ZCSP-商南县-2022-00467</w:t>
            </w:r>
          </w:p>
          <w:p>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投标人名称：</w:t>
            </w:r>
          </w:p>
          <w:p>
            <w:pPr>
              <w:pStyle w:val="12"/>
              <w:rPr>
                <w:rFonts w:ascii="宋体" w:hAnsi="宋体" w:cs="宋体"/>
                <w:color w:val="auto"/>
                <w:sz w:val="24"/>
                <w:szCs w:val="24"/>
              </w:rPr>
            </w:pPr>
            <w:r>
              <w:rPr>
                <w:rFonts w:hint="eastAsia"/>
                <w:color w:val="auto"/>
              </w:rPr>
              <w:t xml:space="preserve">    </w:t>
            </w:r>
            <w:r>
              <w:rPr>
                <w:rFonts w:hint="eastAsia" w:ascii="宋体" w:hAnsi="宋体" w:cs="宋体"/>
                <w:color w:val="auto"/>
                <w:sz w:val="24"/>
                <w:szCs w:val="24"/>
              </w:rPr>
              <w:t>投标人法定代表人或授权代表：（签字或盖章）</w:t>
            </w:r>
          </w:p>
          <w:p>
            <w:pPr>
              <w:spacing w:line="360" w:lineRule="auto"/>
              <w:rPr>
                <w:rFonts w:hint="eastAsia" w:ascii="宋体" w:hAnsi="宋体" w:cs="宋体"/>
                <w:color w:val="auto"/>
                <w:sz w:val="24"/>
                <w:szCs w:val="24"/>
              </w:rPr>
            </w:pPr>
            <w:r>
              <w:rPr>
                <w:rFonts w:hint="eastAsia" w:ascii="宋体" w:hAnsi="宋体" w:cs="宋体"/>
                <w:color w:val="auto"/>
                <w:sz w:val="24"/>
                <w:szCs w:val="24"/>
              </w:rPr>
              <w:t>投标文件在</w:t>
            </w:r>
            <w:r>
              <w:rPr>
                <w:rFonts w:hint="eastAsia" w:ascii="宋体" w:hAnsi="宋体" w:cs="宋体"/>
                <w:color w:val="auto"/>
                <w:sz w:val="24"/>
                <w:szCs w:val="24"/>
                <w:u w:val="single"/>
              </w:rPr>
              <w:t>2022</w:t>
            </w:r>
            <w:r>
              <w:rPr>
                <w:rFonts w:hint="eastAsia" w:ascii="宋体" w:hAnsi="宋体" w:cs="宋体"/>
                <w:color w:val="auto"/>
                <w:sz w:val="24"/>
                <w:szCs w:val="24"/>
              </w:rPr>
              <w:t>年</w:t>
            </w:r>
            <w:r>
              <w:rPr>
                <w:rFonts w:hint="eastAsia" w:ascii="宋体" w:hAnsi="宋体" w:cs="宋体"/>
                <w:color w:val="auto"/>
                <w:sz w:val="24"/>
                <w:szCs w:val="24"/>
                <w:u w:val="single"/>
              </w:rPr>
              <w:t>1</w:t>
            </w:r>
            <w:r>
              <w:rPr>
                <w:rFonts w:hint="eastAsia" w:ascii="宋体" w:hAnsi="宋体" w:cs="宋体"/>
                <w:color w:val="auto"/>
                <w:sz w:val="24"/>
                <w:szCs w:val="24"/>
                <w:u w:val="single"/>
                <w:lang w:val="en-US" w:eastAsia="zh-CN"/>
              </w:rPr>
              <w:t>1</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30</w:t>
            </w:r>
            <w:r>
              <w:rPr>
                <w:rFonts w:hint="eastAsia" w:ascii="宋体" w:hAnsi="宋体" w:cs="宋体"/>
                <w:color w:val="auto"/>
                <w:sz w:val="24"/>
                <w:szCs w:val="24"/>
              </w:rPr>
              <w:t>日</w:t>
            </w:r>
            <w:r>
              <w:rPr>
                <w:rFonts w:hint="eastAsia" w:ascii="宋体" w:hAnsi="宋体" w:cs="宋体"/>
                <w:color w:val="auto"/>
                <w:sz w:val="24"/>
                <w:szCs w:val="24"/>
                <w:u w:val="single"/>
              </w:rPr>
              <w:t>9</w:t>
            </w:r>
            <w:r>
              <w:rPr>
                <w:rFonts w:hint="eastAsia" w:ascii="宋体" w:hAnsi="宋体" w:cs="宋体"/>
                <w:color w:val="auto"/>
                <w:sz w:val="24"/>
                <w:szCs w:val="24"/>
              </w:rPr>
              <w:t>时</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w:t>
            </w:r>
            <w:r>
              <w:rPr>
                <w:rFonts w:hint="eastAsia" w:ascii="宋体" w:hAnsi="宋体" w:cs="宋体"/>
                <w:color w:val="auto"/>
                <w:sz w:val="24"/>
                <w:szCs w:val="24"/>
              </w:rPr>
              <w:t>分前不得开启</w:t>
            </w:r>
          </w:p>
          <w:p>
            <w:pPr>
              <w:spacing w:line="360" w:lineRule="auto"/>
              <w:rPr>
                <w:rFonts w:ascii="宋体" w:hAnsi="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开标的</w:t>
            </w:r>
            <w:r>
              <w:rPr>
                <w:rFonts w:hint="eastAsia" w:ascii="宋体" w:hAnsi="宋体" w:eastAsia="宋体" w:cs="宋体"/>
                <w:color w:val="auto"/>
                <w:sz w:val="24"/>
                <w:szCs w:val="24"/>
              </w:rPr>
              <w:t>人员均需携带口罩等防护措施。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4.2.2</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递交投标文件截止时间、地点</w:t>
            </w:r>
          </w:p>
        </w:tc>
        <w:tc>
          <w:tcPr>
            <w:tcW w:w="6341"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时间：</w:t>
            </w:r>
            <w:r>
              <w:rPr>
                <w:rFonts w:hint="eastAsia" w:ascii="宋体" w:hAnsi="宋体" w:cs="宋体"/>
                <w:color w:val="auto"/>
                <w:sz w:val="24"/>
                <w:szCs w:val="24"/>
                <w:u w:val="single"/>
              </w:rPr>
              <w:t>2022</w:t>
            </w:r>
            <w:r>
              <w:rPr>
                <w:rFonts w:hint="eastAsia" w:ascii="宋体" w:hAnsi="宋体" w:cs="宋体"/>
                <w:color w:val="auto"/>
                <w:sz w:val="24"/>
                <w:szCs w:val="24"/>
              </w:rPr>
              <w:t>年</w:t>
            </w:r>
            <w:r>
              <w:rPr>
                <w:rFonts w:hint="eastAsia" w:ascii="宋体" w:hAnsi="宋体" w:cs="宋体"/>
                <w:color w:val="auto"/>
                <w:sz w:val="24"/>
                <w:szCs w:val="24"/>
                <w:u w:val="single"/>
              </w:rPr>
              <w:t>1</w:t>
            </w:r>
            <w:r>
              <w:rPr>
                <w:rFonts w:hint="eastAsia" w:ascii="宋体" w:hAnsi="宋体" w:cs="宋体"/>
                <w:color w:val="auto"/>
                <w:sz w:val="24"/>
                <w:szCs w:val="24"/>
                <w:u w:val="single"/>
                <w:lang w:val="en-US" w:eastAsia="zh-CN"/>
              </w:rPr>
              <w:t>1</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30</w:t>
            </w:r>
            <w:r>
              <w:rPr>
                <w:rFonts w:hint="eastAsia" w:ascii="宋体" w:hAnsi="宋体" w:cs="宋体"/>
                <w:color w:val="auto"/>
                <w:sz w:val="24"/>
                <w:szCs w:val="24"/>
              </w:rPr>
              <w:t>日</w:t>
            </w:r>
            <w:r>
              <w:rPr>
                <w:rFonts w:hint="eastAsia" w:ascii="宋体" w:hAnsi="宋体" w:cs="宋体"/>
                <w:color w:val="auto"/>
                <w:sz w:val="24"/>
                <w:szCs w:val="24"/>
                <w:u w:val="single"/>
              </w:rPr>
              <w:t>9</w:t>
            </w:r>
            <w:r>
              <w:rPr>
                <w:rFonts w:hint="eastAsia" w:ascii="宋体" w:hAnsi="宋体" w:cs="宋体"/>
                <w:color w:val="auto"/>
                <w:sz w:val="24"/>
                <w:szCs w:val="24"/>
              </w:rPr>
              <w:t>时</w:t>
            </w:r>
            <w:r>
              <w:rPr>
                <w:rFonts w:hint="eastAsia" w:ascii="宋体" w:hAnsi="宋体" w:cs="宋体"/>
                <w:color w:val="auto"/>
                <w:sz w:val="24"/>
                <w:szCs w:val="24"/>
                <w:u w:val="single"/>
                <w:lang w:val="en-US" w:eastAsia="zh-CN"/>
              </w:rPr>
              <w:t>30</w:t>
            </w:r>
            <w:r>
              <w:rPr>
                <w:rFonts w:hint="eastAsia" w:ascii="宋体" w:hAnsi="宋体" w:cs="宋体"/>
                <w:color w:val="auto"/>
                <w:sz w:val="24"/>
                <w:szCs w:val="24"/>
              </w:rPr>
              <w:t>分</w:t>
            </w:r>
          </w:p>
          <w:p>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rPr>
              <w:t>地点</w:t>
            </w:r>
            <w:r>
              <w:rPr>
                <w:rFonts w:hint="eastAsia" w:ascii="宋体" w:hAnsi="宋体" w:cs="宋体"/>
                <w:color w:val="auto"/>
                <w:sz w:val="24"/>
                <w:szCs w:val="24"/>
                <w:lang w:val="en-US" w:eastAsia="zh-CN"/>
              </w:rPr>
              <w:t>:</w:t>
            </w:r>
            <w:r>
              <w:rPr>
                <w:rFonts w:hint="eastAsia" w:ascii="宋体" w:hAnsi="宋体" w:cs="宋体"/>
                <w:color w:val="auto"/>
                <w:sz w:val="24"/>
                <w:szCs w:val="24"/>
              </w:rPr>
              <w:t>商南县西街景龙国际11楼会议室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4.2.3</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是否退还投标文件</w:t>
            </w:r>
          </w:p>
        </w:tc>
        <w:tc>
          <w:tcPr>
            <w:tcW w:w="6341"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5.1</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开标时间和地点</w:t>
            </w:r>
          </w:p>
        </w:tc>
        <w:tc>
          <w:tcPr>
            <w:tcW w:w="6341"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开标时间：</w:t>
            </w:r>
            <w:r>
              <w:rPr>
                <w:rFonts w:hint="eastAsia" w:ascii="宋体" w:hAnsi="宋体" w:cs="宋体"/>
                <w:color w:val="auto"/>
                <w:sz w:val="24"/>
                <w:szCs w:val="24"/>
                <w:u w:val="single"/>
              </w:rPr>
              <w:t>2022</w:t>
            </w:r>
            <w:r>
              <w:rPr>
                <w:rFonts w:hint="eastAsia" w:ascii="宋体" w:hAnsi="宋体" w:cs="宋体"/>
                <w:color w:val="auto"/>
                <w:sz w:val="24"/>
                <w:szCs w:val="24"/>
              </w:rPr>
              <w:t>年</w:t>
            </w:r>
            <w:r>
              <w:rPr>
                <w:rFonts w:hint="eastAsia" w:ascii="宋体" w:hAnsi="宋体" w:cs="宋体"/>
                <w:color w:val="auto"/>
                <w:sz w:val="24"/>
                <w:szCs w:val="24"/>
                <w:u w:val="single"/>
              </w:rPr>
              <w:t>1</w:t>
            </w:r>
            <w:r>
              <w:rPr>
                <w:rFonts w:hint="eastAsia" w:ascii="宋体" w:hAnsi="宋体" w:cs="宋体"/>
                <w:color w:val="auto"/>
                <w:sz w:val="24"/>
                <w:szCs w:val="24"/>
                <w:u w:val="single"/>
                <w:lang w:val="en-US" w:eastAsia="zh-CN"/>
              </w:rPr>
              <w:t>1</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30</w:t>
            </w:r>
            <w:r>
              <w:rPr>
                <w:rFonts w:hint="eastAsia" w:ascii="宋体" w:hAnsi="宋体" w:cs="宋体"/>
                <w:color w:val="auto"/>
                <w:sz w:val="24"/>
                <w:szCs w:val="24"/>
              </w:rPr>
              <w:t>日</w:t>
            </w:r>
            <w:r>
              <w:rPr>
                <w:rFonts w:hint="eastAsia" w:ascii="宋体" w:hAnsi="宋体" w:cs="宋体"/>
                <w:color w:val="auto"/>
                <w:sz w:val="24"/>
                <w:szCs w:val="24"/>
                <w:u w:val="single"/>
              </w:rPr>
              <w:t>9</w:t>
            </w:r>
            <w:r>
              <w:rPr>
                <w:rFonts w:hint="eastAsia" w:ascii="宋体" w:hAnsi="宋体" w:cs="宋体"/>
                <w:color w:val="auto"/>
                <w:sz w:val="24"/>
                <w:szCs w:val="24"/>
              </w:rPr>
              <w:t>时</w:t>
            </w:r>
            <w:r>
              <w:rPr>
                <w:rFonts w:hint="eastAsia" w:ascii="宋体" w:hAnsi="宋体" w:cs="宋体"/>
                <w:color w:val="auto"/>
                <w:sz w:val="24"/>
                <w:szCs w:val="24"/>
                <w:u w:val="single"/>
                <w:lang w:val="en-US" w:eastAsia="zh-CN"/>
              </w:rPr>
              <w:t>30</w:t>
            </w:r>
            <w:r>
              <w:rPr>
                <w:rFonts w:hint="eastAsia" w:ascii="宋体" w:hAnsi="宋体" w:cs="宋体"/>
                <w:color w:val="auto"/>
                <w:sz w:val="24"/>
                <w:szCs w:val="24"/>
              </w:rPr>
              <w:t>分</w:t>
            </w:r>
          </w:p>
          <w:p>
            <w:pPr>
              <w:pStyle w:val="12"/>
              <w:spacing w:line="360" w:lineRule="auto"/>
              <w:rPr>
                <w:color w:val="auto"/>
              </w:rPr>
            </w:pPr>
            <w:r>
              <w:rPr>
                <w:rFonts w:hint="eastAsia" w:ascii="宋体" w:hAnsi="宋体" w:cs="宋体"/>
                <w:color w:val="auto"/>
                <w:sz w:val="24"/>
                <w:szCs w:val="24"/>
              </w:rPr>
              <w:t xml:space="preserve">开标地点:商南县西街景龙国际11楼会议室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7.1</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是否授权评标委员会确定中标人</w:t>
            </w:r>
          </w:p>
        </w:tc>
        <w:tc>
          <w:tcPr>
            <w:tcW w:w="6341"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否,</w:t>
            </w:r>
            <w:bookmarkStart w:id="13" w:name="OLE_LINK6"/>
            <w:r>
              <w:rPr>
                <w:rFonts w:hint="eastAsia" w:ascii="宋体" w:hAnsi="宋体" w:cs="宋体"/>
                <w:color w:val="auto"/>
                <w:sz w:val="24"/>
                <w:szCs w:val="24"/>
              </w:rPr>
              <w:t>每包推荐3名中标候选人</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8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7.3.1</w:t>
            </w:r>
          </w:p>
        </w:tc>
        <w:tc>
          <w:tcPr>
            <w:tcW w:w="1966"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履约担保</w:t>
            </w:r>
          </w:p>
        </w:tc>
        <w:tc>
          <w:tcPr>
            <w:tcW w:w="6341" w:type="dxa"/>
            <w:vAlign w:val="center"/>
          </w:tcPr>
          <w:p>
            <w:pPr>
              <w:spacing w:line="360" w:lineRule="auto"/>
              <w:rPr>
                <w:rFonts w:ascii="宋体" w:hAnsi="宋体" w:cs="宋体"/>
                <w:color w:val="auto"/>
                <w:sz w:val="24"/>
                <w:szCs w:val="24"/>
              </w:rPr>
            </w:pPr>
            <w:bookmarkStart w:id="14" w:name="OLE_LINK97"/>
            <w:r>
              <w:rPr>
                <w:rFonts w:hint="eastAsia" w:ascii="宋体" w:hAnsi="宋体" w:cs="宋体"/>
                <w:color w:val="auto"/>
                <w:sz w:val="24"/>
                <w:szCs w:val="24"/>
              </w:rPr>
              <w:t>履约保证金的形式：电汇、转账、支票</w:t>
            </w:r>
          </w:p>
          <w:bookmarkEnd w:id="14"/>
          <w:p>
            <w:pPr>
              <w:spacing w:line="360" w:lineRule="auto"/>
              <w:rPr>
                <w:rFonts w:ascii="宋体" w:hAnsi="宋体" w:cs="宋体"/>
                <w:color w:val="auto"/>
                <w:sz w:val="24"/>
                <w:szCs w:val="24"/>
              </w:rPr>
            </w:pPr>
            <w:bookmarkStart w:id="15" w:name="OLE_LINK2"/>
            <w:r>
              <w:rPr>
                <w:rFonts w:hint="eastAsia" w:ascii="宋体" w:hAnsi="宋体" w:cs="宋体"/>
                <w:color w:val="auto"/>
                <w:sz w:val="24"/>
                <w:szCs w:val="24"/>
              </w:rPr>
              <w:t>履约保证金</w:t>
            </w:r>
            <w:bookmarkEnd w:id="15"/>
            <w:r>
              <w:rPr>
                <w:rFonts w:hint="eastAsia" w:ascii="宋体" w:hAnsi="宋体" w:cs="宋体"/>
                <w:color w:val="auto"/>
                <w:sz w:val="24"/>
                <w:szCs w:val="24"/>
              </w:rPr>
              <w:t>的金额：/</w:t>
            </w:r>
          </w:p>
          <w:p>
            <w:pPr>
              <w:spacing w:line="360" w:lineRule="auto"/>
              <w:rPr>
                <w:rFonts w:ascii="宋体" w:hAnsi="宋体" w:cs="宋体"/>
                <w:color w:val="auto"/>
                <w:sz w:val="24"/>
                <w:szCs w:val="24"/>
              </w:rPr>
            </w:pPr>
            <w:bookmarkStart w:id="16" w:name="OLE_LINK98"/>
            <w:r>
              <w:rPr>
                <w:rFonts w:hint="eastAsia" w:ascii="宋体" w:hAnsi="宋体" w:cs="宋体"/>
                <w:color w:val="auto"/>
                <w:sz w:val="24"/>
                <w:szCs w:val="24"/>
              </w:rPr>
              <w:t>履约保证金的退还：/</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292" w:type="dxa"/>
            <w:gridSpan w:val="3"/>
            <w:vAlign w:val="center"/>
          </w:tcPr>
          <w:p>
            <w:pPr>
              <w:spacing w:line="360" w:lineRule="auto"/>
              <w:ind w:left="110" w:leftChars="52" w:hanging="1"/>
              <w:rPr>
                <w:rFonts w:ascii="宋体" w:hAnsi="宋体" w:cs="宋体"/>
                <w:color w:val="auto"/>
                <w:sz w:val="24"/>
                <w:szCs w:val="24"/>
              </w:rPr>
            </w:pPr>
            <w:r>
              <w:rPr>
                <w:rFonts w:hint="eastAsia" w:ascii="宋体" w:hAnsi="宋体" w:cs="宋体"/>
                <w:color w:val="auto"/>
                <w:sz w:val="24"/>
                <w:szCs w:val="24"/>
              </w:rPr>
              <w:t>10.1知识产权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292" w:type="dxa"/>
            <w:gridSpan w:val="3"/>
            <w:vAlign w:val="center"/>
          </w:tcPr>
          <w:p>
            <w:pPr>
              <w:spacing w:line="360" w:lineRule="auto"/>
              <w:ind w:left="110" w:leftChars="52" w:hanging="1"/>
              <w:rPr>
                <w:rFonts w:ascii="宋体" w:hAnsi="宋体" w:cs="宋体"/>
                <w:color w:val="auto"/>
                <w:sz w:val="24"/>
                <w:szCs w:val="24"/>
              </w:rPr>
            </w:pPr>
            <w:r>
              <w:rPr>
                <w:rFonts w:hint="eastAsia" w:ascii="宋体" w:hAnsi="宋体" w:cs="宋体"/>
                <w:color w:val="auto"/>
                <w:sz w:val="24"/>
                <w:szCs w:val="24"/>
              </w:rPr>
              <w:t>构成本招标文件各个组成部分的文件，未经采购人书面同意，投标人不得擅自复印和用于非本招标项目所需的其他目的。采购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292" w:type="dxa"/>
            <w:gridSpan w:val="3"/>
            <w:vAlign w:val="center"/>
          </w:tcPr>
          <w:p>
            <w:pPr>
              <w:spacing w:line="360" w:lineRule="auto"/>
              <w:ind w:left="110" w:leftChars="52" w:hanging="1"/>
              <w:rPr>
                <w:rFonts w:ascii="宋体" w:hAnsi="宋体" w:cs="宋体"/>
                <w:color w:val="auto"/>
                <w:sz w:val="24"/>
                <w:szCs w:val="24"/>
              </w:rPr>
            </w:pPr>
            <w:r>
              <w:rPr>
                <w:rFonts w:hint="eastAsia" w:ascii="宋体" w:hAnsi="宋体" w:cs="宋体"/>
                <w:color w:val="auto"/>
                <w:sz w:val="24"/>
                <w:szCs w:val="24"/>
              </w:rPr>
              <w:t>10.2重新招标的其他情形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292" w:type="dxa"/>
            <w:gridSpan w:val="3"/>
            <w:vAlign w:val="center"/>
          </w:tcPr>
          <w:p>
            <w:pPr>
              <w:spacing w:line="360" w:lineRule="auto"/>
              <w:ind w:left="110" w:leftChars="52" w:hanging="1"/>
              <w:rPr>
                <w:rFonts w:ascii="宋体" w:hAnsi="宋体" w:cs="宋体"/>
                <w:color w:val="auto"/>
                <w:sz w:val="24"/>
                <w:szCs w:val="24"/>
              </w:rPr>
            </w:pPr>
            <w:r>
              <w:rPr>
                <w:rFonts w:hint="eastAsia" w:ascii="宋体" w:hAnsi="宋体" w:cs="宋体"/>
                <w:color w:val="auto"/>
                <w:sz w:val="24"/>
                <w:szCs w:val="24"/>
              </w:rPr>
              <w:t>除投标人须知正文第8条规定的情形外，除非已经产生中标候选人，在投标有效期内同意延长投标有效期的投标人少于三个的，采购人应当依法重新招标。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292" w:type="dxa"/>
            <w:gridSpan w:val="3"/>
            <w:vAlign w:val="center"/>
          </w:tcPr>
          <w:p>
            <w:pPr>
              <w:spacing w:line="360" w:lineRule="auto"/>
              <w:ind w:left="110" w:leftChars="52" w:hanging="1"/>
              <w:rPr>
                <w:rFonts w:ascii="宋体" w:hAnsi="宋体" w:cs="宋体"/>
                <w:color w:val="auto"/>
                <w:sz w:val="24"/>
                <w:szCs w:val="24"/>
              </w:rPr>
            </w:pPr>
            <w:r>
              <w:rPr>
                <w:rFonts w:hint="eastAsia" w:ascii="宋体" w:hAnsi="宋体" w:cs="宋体"/>
                <w:color w:val="auto"/>
                <w:sz w:val="24"/>
                <w:szCs w:val="24"/>
              </w:rPr>
              <w:t>10.3同义词语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292" w:type="dxa"/>
            <w:gridSpan w:val="3"/>
            <w:vAlign w:val="center"/>
          </w:tcPr>
          <w:p>
            <w:pPr>
              <w:spacing w:line="360" w:lineRule="auto"/>
              <w:ind w:left="110" w:leftChars="52" w:hanging="1"/>
              <w:rPr>
                <w:rFonts w:ascii="宋体" w:hAnsi="宋体" w:cs="宋体"/>
                <w:color w:val="auto"/>
                <w:sz w:val="24"/>
                <w:szCs w:val="24"/>
              </w:rPr>
            </w:pPr>
            <w:r>
              <w:rPr>
                <w:rFonts w:hint="eastAsia" w:ascii="宋体" w:hAnsi="宋体" w:cs="宋体"/>
                <w:color w:val="auto"/>
                <w:sz w:val="24"/>
                <w:szCs w:val="24"/>
              </w:rPr>
              <w:t>构成招标文件组成部分的“通用合同条款”、“专用合同条款”、“技术标准和要求”等章节中出现的措辞“发包人”和“承包人”，在招标投标阶段应当分别按“</w:t>
            </w:r>
            <w:r>
              <w:rPr>
                <w:rFonts w:hint="eastAsia" w:asciiTheme="minorEastAsia" w:hAnsiTheme="minorEastAsia" w:eastAsiaTheme="minorEastAsia" w:cstheme="minorEastAsia"/>
                <w:color w:val="auto"/>
                <w:sz w:val="24"/>
                <w:szCs w:val="24"/>
              </w:rPr>
              <w:t>采购人</w:t>
            </w:r>
            <w:r>
              <w:rPr>
                <w:rFonts w:hint="eastAsia" w:ascii="宋体" w:hAnsi="宋体" w:cs="宋体"/>
                <w:color w:val="auto"/>
                <w:sz w:val="24"/>
                <w:szCs w:val="24"/>
              </w:rPr>
              <w:t>”和“投标人”进行理解。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9292" w:type="dxa"/>
            <w:gridSpan w:val="3"/>
            <w:vAlign w:val="center"/>
          </w:tcPr>
          <w:p>
            <w:pPr>
              <w:spacing w:line="360" w:lineRule="auto"/>
              <w:ind w:left="68" w:leftChars="-2" w:hanging="72" w:hangingChars="30"/>
              <w:rPr>
                <w:rFonts w:ascii="宋体" w:hAnsi="宋体" w:cs="宋体"/>
                <w:color w:val="auto"/>
                <w:sz w:val="24"/>
                <w:szCs w:val="24"/>
              </w:rPr>
            </w:pPr>
            <w:r>
              <w:rPr>
                <w:rFonts w:hint="eastAsia" w:ascii="宋体" w:hAnsi="宋体" w:cs="宋体"/>
                <w:color w:val="auto"/>
                <w:sz w:val="24"/>
                <w:szCs w:val="24"/>
              </w:rPr>
              <w:t>10.4解释权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9292" w:type="dxa"/>
            <w:gridSpan w:val="3"/>
            <w:vAlign w:val="center"/>
          </w:tcPr>
          <w:p>
            <w:pPr>
              <w:spacing w:line="360" w:lineRule="auto"/>
              <w:ind w:left="68" w:leftChars="-2" w:hanging="72" w:hangingChars="30"/>
              <w:rPr>
                <w:rFonts w:ascii="宋体" w:hAnsi="宋体" w:cs="宋体"/>
                <w:color w:val="auto"/>
                <w:sz w:val="24"/>
                <w:szCs w:val="24"/>
              </w:rPr>
            </w:pPr>
            <w:r>
              <w:rPr>
                <w:rFonts w:hint="eastAsia" w:ascii="宋体" w:hAnsi="宋体" w:cs="宋体"/>
                <w:color w:val="auto"/>
                <w:sz w:val="24"/>
                <w:szCs w:val="24"/>
              </w:rPr>
              <w:t>本招标文件由采购人和采购代理机构负责解释。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exact"/>
        </w:trPr>
        <w:tc>
          <w:tcPr>
            <w:tcW w:w="9292" w:type="dxa"/>
            <w:gridSpan w:val="3"/>
            <w:vAlign w:val="center"/>
          </w:tcPr>
          <w:p>
            <w:pPr>
              <w:spacing w:line="500" w:lineRule="exact"/>
              <w:rPr>
                <w:rFonts w:ascii="宋体" w:hAnsi="宋体" w:cs="宋体"/>
                <w:b/>
                <w:bCs/>
                <w:color w:val="auto"/>
                <w:sz w:val="24"/>
                <w:szCs w:val="24"/>
              </w:rPr>
            </w:pPr>
            <w:r>
              <w:rPr>
                <w:rFonts w:hint="eastAsia" w:ascii="宋体" w:hAnsi="宋体" w:cs="宋体"/>
                <w:b/>
                <w:bCs/>
                <w:color w:val="auto"/>
                <w:sz w:val="24"/>
                <w:szCs w:val="24"/>
              </w:rPr>
              <w:t>备注：供应商注册登记提醒：</w:t>
            </w:r>
          </w:p>
          <w:p>
            <w:pPr>
              <w:spacing w:line="360" w:lineRule="auto"/>
              <w:ind w:left="68" w:leftChars="-2" w:hanging="72" w:hangingChars="30"/>
              <w:jc w:val="left"/>
              <w:rPr>
                <w:rFonts w:ascii="宋体" w:hAnsi="宋体" w:cs="宋体"/>
                <w:color w:val="auto"/>
                <w:sz w:val="24"/>
                <w:szCs w:val="24"/>
              </w:rPr>
            </w:pPr>
            <w:r>
              <w:rPr>
                <w:rFonts w:hint="eastAsia" w:ascii="宋体" w:hAnsi="宋体" w:cs="宋体"/>
                <w:b/>
                <w:bCs/>
                <w:color w:val="auto"/>
                <w:sz w:val="24"/>
                <w:szCs w:val="24"/>
              </w:rPr>
              <w:t>根据陕西省财政厅关于政府采购供应商注册登记有关事项的通知，如所投本项目的供应商未在陕西省政府采购</w:t>
            </w:r>
            <w:r>
              <w:rPr>
                <w:rFonts w:hint="eastAsia" w:ascii="宋体" w:hAnsi="宋体" w:cs="宋体"/>
                <w:b/>
                <w:bCs/>
                <w:color w:val="auto"/>
                <w:sz w:val="24"/>
                <w:szCs w:val="24"/>
                <w:highlight w:val="none"/>
              </w:rPr>
              <w:t>网（</w:t>
            </w:r>
            <w:r>
              <w:rPr>
                <w:color w:val="auto"/>
                <w:highlight w:val="none"/>
              </w:rPr>
              <w:fldChar w:fldCharType="begin"/>
            </w:r>
            <w:r>
              <w:rPr>
                <w:color w:val="auto"/>
                <w:highlight w:val="none"/>
              </w:rPr>
              <w:instrText xml:space="preserve"> HYPERLINK "http://www.ccgp-shaanxi.gov.cn/information/informationDetail.do?informationguid=8a85be3567ed23460167ed36804d0009" </w:instrText>
            </w:r>
            <w:r>
              <w:rPr>
                <w:color w:val="auto"/>
                <w:highlight w:val="none"/>
              </w:rPr>
              <w:fldChar w:fldCharType="separate"/>
            </w:r>
            <w:r>
              <w:rPr>
                <w:rFonts w:hint="eastAsia" w:ascii="宋体" w:hAnsi="宋体" w:cs="宋体"/>
                <w:b/>
                <w:bCs/>
                <w:color w:val="auto"/>
                <w:sz w:val="24"/>
                <w:szCs w:val="24"/>
                <w:highlight w:val="none"/>
              </w:rPr>
              <w:t>http://www.ccgp-shaan</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i.gov.cn/information/informationDetail.do?informationguid=8a85be3567ed23460167ed36804d0009</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t>）</w:t>
            </w:r>
            <w:r>
              <w:rPr>
                <w:rFonts w:hint="eastAsia" w:ascii="宋体" w:hAnsi="宋体" w:cs="宋体"/>
                <w:b/>
                <w:bCs/>
                <w:color w:val="auto"/>
                <w:sz w:val="24"/>
                <w:szCs w:val="24"/>
              </w:rPr>
              <w:t>注册登记加入陕西省政府采购供应商库的，应按要求及时办理注册登记，并接受财政部门监督管理。</w:t>
            </w:r>
          </w:p>
        </w:tc>
      </w:tr>
      <w:bookmarkEnd w:id="6"/>
      <w:bookmarkEnd w:id="7"/>
      <w:bookmarkEnd w:id="8"/>
      <w:bookmarkEnd w:id="9"/>
    </w:tbl>
    <w:p>
      <w:pPr>
        <w:rPr>
          <w:rFonts w:asciiTheme="minorEastAsia" w:hAnsiTheme="minorEastAsia" w:eastAsiaTheme="minorEastAsia" w:cstheme="minorEastAsia"/>
          <w:color w:val="auto"/>
          <w:sz w:val="30"/>
          <w:szCs w:val="30"/>
        </w:rPr>
      </w:pPr>
      <w:bookmarkStart w:id="17" w:name="_Toc363474017"/>
      <w:bookmarkStart w:id="18" w:name="_Toc363473972"/>
      <w:bookmarkStart w:id="19" w:name="_Toc403077639"/>
      <w:bookmarkStart w:id="20" w:name="_Toc8072"/>
      <w:bookmarkStart w:id="21" w:name="_Toc29568"/>
      <w:r>
        <w:rPr>
          <w:rFonts w:hint="eastAsia" w:asciiTheme="minorEastAsia" w:hAnsiTheme="minorEastAsia" w:eastAsiaTheme="minorEastAsia" w:cstheme="minorEastAsia"/>
          <w:color w:val="auto"/>
          <w:sz w:val="30"/>
          <w:szCs w:val="30"/>
        </w:rPr>
        <w:br w:type="page"/>
      </w:r>
    </w:p>
    <w:bookmarkEnd w:id="17"/>
    <w:bookmarkEnd w:id="18"/>
    <w:bookmarkEnd w:id="19"/>
    <w:p>
      <w:pPr>
        <w:jc w:val="center"/>
        <w:rPr>
          <w:rFonts w:asciiTheme="minorEastAsia" w:hAnsiTheme="minorEastAsia" w:eastAsiaTheme="minorEastAsia" w:cstheme="minorEastAsia"/>
          <w:color w:val="auto"/>
        </w:rPr>
      </w:pPr>
      <w:r>
        <w:rPr>
          <w:rFonts w:hint="eastAsia"/>
          <w:b/>
          <w:bCs/>
          <w:color w:val="auto"/>
          <w:sz w:val="28"/>
          <w:szCs w:val="28"/>
        </w:rPr>
        <w:t>投标人须知</w:t>
      </w:r>
      <w:bookmarkEnd w:id="20"/>
      <w:bookmarkEnd w:id="21"/>
    </w:p>
    <w:p>
      <w:pPr>
        <w:spacing w:beforeLines="50" w:afterLines="50" w:line="360" w:lineRule="auto"/>
        <w:rPr>
          <w:rFonts w:asciiTheme="minorEastAsia" w:hAnsiTheme="minorEastAsia" w:eastAsiaTheme="minorEastAsia" w:cstheme="minorEastAsia"/>
          <w:b/>
          <w:bCs/>
          <w:color w:val="auto"/>
          <w:sz w:val="24"/>
          <w:szCs w:val="24"/>
        </w:rPr>
      </w:pPr>
      <w:bookmarkStart w:id="22" w:name="_Toc420591643"/>
      <w:bookmarkStart w:id="23" w:name="_Toc421778365"/>
      <w:bookmarkStart w:id="24" w:name="_Toc425240464"/>
      <w:r>
        <w:rPr>
          <w:rFonts w:hint="eastAsia" w:asciiTheme="minorEastAsia" w:hAnsiTheme="minorEastAsia" w:eastAsiaTheme="minorEastAsia" w:cstheme="minorEastAsia"/>
          <w:b/>
          <w:bCs/>
          <w:color w:val="auto"/>
          <w:sz w:val="24"/>
          <w:szCs w:val="24"/>
        </w:rPr>
        <w:t>1</w:t>
      </w:r>
      <w:bookmarkEnd w:id="22"/>
      <w:bookmarkEnd w:id="23"/>
      <w:bookmarkEnd w:id="24"/>
      <w:r>
        <w:rPr>
          <w:rFonts w:hint="eastAsia" w:asciiTheme="minorEastAsia" w:hAnsiTheme="minorEastAsia" w:eastAsiaTheme="minorEastAsia" w:cstheme="minorEastAsia"/>
          <w:b/>
          <w:bCs/>
          <w:color w:val="auto"/>
          <w:sz w:val="24"/>
          <w:szCs w:val="24"/>
        </w:rPr>
        <w:t>．总则</w:t>
      </w:r>
    </w:p>
    <w:p>
      <w:pPr>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 项目概况</w:t>
      </w:r>
    </w:p>
    <w:p>
      <w:pPr>
        <w:pStyle w:val="11"/>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 根据《中华人民共和国政府采购法》、《中华人民共和国招标投标法》等有关法律、法规和规章的规定，本招标项目</w:t>
      </w:r>
      <w:r>
        <w:rPr>
          <w:rFonts w:hint="eastAsia" w:asciiTheme="minorEastAsia" w:hAnsiTheme="minorEastAsia" w:eastAsiaTheme="minorEastAsia" w:cstheme="minorEastAsia"/>
          <w:color w:val="auto"/>
          <w:sz w:val="24"/>
          <w:szCs w:val="24"/>
          <w:lang w:eastAsia="zh-CN"/>
        </w:rPr>
        <w:t>已</w:t>
      </w:r>
      <w:r>
        <w:rPr>
          <w:rFonts w:hint="eastAsia" w:asciiTheme="minorEastAsia" w:hAnsiTheme="minorEastAsia" w:eastAsiaTheme="minorEastAsia" w:cstheme="minorEastAsia"/>
          <w:color w:val="auto"/>
          <w:sz w:val="24"/>
          <w:szCs w:val="24"/>
        </w:rPr>
        <w:t>具备招标条件，现对本招标项目施工进行招标。</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 本招标项目采购人：见投标人须知前附表。</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1.1.3 本招标项目采购代理机构：见投标人须知前附表。</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1.1.4本招标项目名称：见投标人须知前附表。</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1.1.5本招标项目作业区域及内容：见投标人须知前附表。</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1.2 资金来源和落实情况</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 本招标项目的资金来源：见投标人须知前附表。</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 本招标项目的资金落实情况：见投标人须知前附表。</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1.3 招标范围、计划工期和质量要求</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 本次招标范围：见投标人须知前附表。</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 本招标项目的计划工期：</w:t>
      </w:r>
      <w:bookmarkStart w:id="25" w:name="OLE_LINK8"/>
      <w:r>
        <w:rPr>
          <w:rFonts w:hint="eastAsia" w:asciiTheme="minorEastAsia" w:hAnsiTheme="minorEastAsia" w:eastAsiaTheme="minorEastAsia" w:cstheme="minorEastAsia"/>
          <w:color w:val="auto"/>
          <w:sz w:val="24"/>
          <w:szCs w:val="24"/>
        </w:rPr>
        <w:t>见投标人须知前附表。</w:t>
      </w:r>
      <w:bookmarkEnd w:id="25"/>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1.3.3 本招标项目的封育期</w:t>
      </w:r>
      <w:r>
        <w:rPr>
          <w:rFonts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见投标人须知前附表。</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1.3.4本招标项目的质量要求：见投标人须知前附表。</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1.4 投标人资格要求及招标文件发售时间</w:t>
      </w:r>
    </w:p>
    <w:p>
      <w:pPr>
        <w:pStyle w:val="11"/>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1.4.1资格审查条件：见投标人须知前附表。</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1.4.2招标文件发售时间：见投标人须知前附表。</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1.5 费用承担</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投标人准备和参加投标活动发生的费用自理。</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1.6 保密</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参与招标投标活动的各方应对招标文件和投标文件中的商业和技术等秘密保密，违者应对由此造成的后果承担法律责任。</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1.7 语言文字</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除专用术语外，与招标投标有关的语言均使用中文。必要时专用术语应附有中文注释。</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1.8 计量单位</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所有计量均采用中华人民共和国法定计量单位。</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1.9 踏勘现场</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1.9.1见投标人须知前附表。</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1.9.2 投标人踏勘现场发生的费用自理，并自行负责在踏勘现场中所发生的人员伤亡和财产损失。</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1.9.3 投标人应对工程现场及周围环境进行踏勘，充分了解现场环境、总体布置情况、工程地形地貌、工程现场道路、工程储存空间、运输、装卸等限制条件及其它任何足以影响投标报价的情况，以便各投标人获取须自主考虑的有关投标文件编制和合同签署所需的相关资料和数据，任何因忽视或误解工地情况而导致的索赔或工期延长申请将不获批准。</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1.9.4 采购人在踏勘现场中介绍的工程场地和相关的周边环境情况，供投标人在编制投标文件时参考，采购人不对投标人据此作出的判断和决策负责。</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1.10 投标答疑会</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不召开；若有疑问，均应在购买招标文件后7个工作日内以书面形式向采购代理机构提出。</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1.11 分包</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不允许。</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1.12 偏离</w:t>
      </w:r>
    </w:p>
    <w:p>
      <w:pPr>
        <w:spacing w:beforeLines="50" w:afterLines="50" w:line="360" w:lineRule="auto"/>
        <w:ind w:firstLine="480" w:firstLineChars="200"/>
        <w:rPr>
          <w:rFonts w:asciiTheme="minorEastAsia" w:hAnsiTheme="minorEastAsia" w:eastAsiaTheme="minorEastAsia" w:cstheme="minorEastAsia"/>
          <w:color w:val="auto"/>
          <w:sz w:val="24"/>
          <w:szCs w:val="24"/>
        </w:rPr>
      </w:pPr>
      <w:bookmarkStart w:id="26" w:name="_Toc425240465"/>
      <w:bookmarkStart w:id="27" w:name="_Toc421778366"/>
      <w:bookmarkStart w:id="28" w:name="_Toc420591644"/>
      <w:r>
        <w:rPr>
          <w:rFonts w:hint="eastAsia" w:asciiTheme="minorEastAsia" w:hAnsiTheme="minorEastAsia" w:eastAsiaTheme="minorEastAsia" w:cstheme="minorEastAsia"/>
          <w:color w:val="auto"/>
          <w:sz w:val="24"/>
          <w:szCs w:val="24"/>
        </w:rPr>
        <w:t>不满足评标办法中初步评审标准的，视为发生重大偏离，其投标被否决。其余偏离视为细微偏离，评标委员会将通过澄清方式对细微偏离进行澄清或修改。</w:t>
      </w:r>
    </w:p>
    <w:p>
      <w:pPr>
        <w:spacing w:beforeLines="50" w:afterLines="50"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2．招标文件</w:t>
      </w:r>
      <w:bookmarkEnd w:id="26"/>
      <w:bookmarkEnd w:id="27"/>
      <w:bookmarkEnd w:id="28"/>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 招标文件的组成</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本招标文件包括：</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(1）招标公告；</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(2）投标人须知前附表及投标人须知；</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(3）评标办法；</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(4）合同条款及格式；</w:t>
      </w:r>
    </w:p>
    <w:p>
      <w:p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(5）项目概况及技术要求</w:t>
      </w:r>
      <w:r>
        <w:rPr>
          <w:rFonts w:hint="eastAsia" w:asciiTheme="minorEastAsia" w:hAnsiTheme="minorEastAsia" w:eastAsiaTheme="minorEastAsia" w:cstheme="minorEastAsia"/>
          <w:color w:val="auto"/>
          <w:sz w:val="24"/>
          <w:szCs w:val="24"/>
          <w:lang w:eastAsia="zh-CN"/>
        </w:rPr>
        <w:t>；</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(6）投标文件格式。</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根据本章第1.10 款、第2.2 款对招标文件所作的澄清、修改，构成招标文件的组成部分。</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 招标文件的澄清及修改</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2.2.1在投标文件递交截止时间三个工作日前，采购代理机构可以视采购具体情况，延长投标截止时间和开标时间并在财政部门指定的媒体上发布变更公告，同时将变更时间书面通知所有招标文件收受人。</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采购代理机构如果对已发出的招标文件进行修改，将在招标文件要求提交投标文件截止时间十五日前，在发布招标公告的财政部门指定媒体上发布更正公告，并以书面形式通知所有招标文件收受人。该澄清或者修改的内容为招标文件的组成部分。</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2.2.3已经购买招标文件的投标人对招标文件有疑问的，均应在购买招标文件后7个工作日内以书面形式向采购代理机构提出。采购代理机构视情况必要时将书面答复传送给所有招标文件收受人。</w:t>
      </w:r>
    </w:p>
    <w:p>
      <w:pPr>
        <w:spacing w:line="360" w:lineRule="auto"/>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2.2.4投标人在收到上述通知后，应立即向采购代理机构回函确认。</w:t>
      </w:r>
    </w:p>
    <w:p>
      <w:pPr>
        <w:spacing w:beforeLines="50" w:afterLines="50" w:line="360" w:lineRule="auto"/>
        <w:rPr>
          <w:rFonts w:asciiTheme="minorEastAsia" w:hAnsiTheme="minorEastAsia" w:eastAsiaTheme="minorEastAsia" w:cstheme="minorEastAsia"/>
          <w:b/>
          <w:bCs/>
          <w:color w:val="auto"/>
          <w:sz w:val="24"/>
          <w:szCs w:val="24"/>
        </w:rPr>
      </w:pPr>
      <w:bookmarkStart w:id="29" w:name="_Toc421778367"/>
      <w:bookmarkStart w:id="30" w:name="_Toc420591645"/>
      <w:bookmarkStart w:id="31" w:name="_Toc425240466"/>
      <w:r>
        <w:rPr>
          <w:rFonts w:hint="eastAsia" w:asciiTheme="minorEastAsia" w:hAnsiTheme="minorEastAsia" w:eastAsiaTheme="minorEastAsia" w:cstheme="minorEastAsia"/>
          <w:b/>
          <w:bCs/>
          <w:color w:val="auto"/>
          <w:sz w:val="24"/>
          <w:szCs w:val="24"/>
        </w:rPr>
        <w:t>3．投标文件</w:t>
      </w:r>
      <w:bookmarkEnd w:id="29"/>
      <w:bookmarkEnd w:id="30"/>
      <w:bookmarkEnd w:id="31"/>
    </w:p>
    <w:p>
      <w:pPr>
        <w:spacing w:line="360" w:lineRule="auto"/>
        <w:ind w:firstLine="482"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3.1. 投标语言和投标货币</w:t>
      </w:r>
    </w:p>
    <w:p>
      <w:pPr>
        <w:spacing w:line="360" w:lineRule="auto"/>
        <w:ind w:firstLine="480"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3.1.1投标人提交的投标文件以及投标人与采购代理机构就有关投标的所有来往函电均应使用中文。</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3.1.2投标应以人民币报价。任何包含非人民币报价的投标将按无效投标处理。</w:t>
      </w:r>
    </w:p>
    <w:p>
      <w:pPr>
        <w:spacing w:line="360" w:lineRule="auto"/>
        <w:ind w:firstLine="482"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3.2.投标文件的构成</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3.2.1 投标人提交的投标文件应包含下列部分的内容：</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1）按照投标人须知的要求和招标文件规定格式填写的投标函、开标一览表、法定代表人授权委托书。</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2）按照招标文件的要求编制的投标方案说明书。</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3）按照招标文件投标人须知前附表的要求提交的资格证明文件。</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4）按照本须知第3.6条要求提交的投标保证金。</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5）招标文件中要求的其他证明文件。</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3.2.2 如果在招标文件中没有允许提供备选方案，则每个投标人只允许提交一个投标方案，否则，其投标将被作无效响应处理。</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3.2.3 本次投标</w:t>
      </w:r>
      <w:r>
        <w:rPr>
          <w:rFonts w:hint="eastAsia" w:asciiTheme="minorEastAsia" w:hAnsiTheme="minorEastAsia" w:eastAsiaTheme="minorEastAsia" w:cstheme="minorEastAsia"/>
          <w:color w:val="auto"/>
          <w:sz w:val="24"/>
          <w:szCs w:val="24"/>
          <w:highlight w:val="none"/>
        </w:rPr>
        <w:t>的最小单元为“包”</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kern w:val="0"/>
          <w:sz w:val="24"/>
          <w:szCs w:val="24"/>
        </w:rPr>
        <w:t>可根据自身的资质情况和经营范围对本次项目进行投标，不得将其子目再行分解或进行不完全投标，任何不完全的响应将会被拒绝。</w:t>
      </w:r>
    </w:p>
    <w:p>
      <w:pPr>
        <w:spacing w:line="360" w:lineRule="auto"/>
        <w:ind w:firstLine="482"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3.3.投标文件格式</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.1 投标人应按照招标文件中第六章“投标文件构成及格式”所提供的格式和要求制作投标文件，明确表达投标意愿，详细说明投标方案、承诺及价格。</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3.3.2按招标文件第六章提供的格式和要求编写其投标文件，投标人不得缺少或留空任何招标文件要求填写的表格或提交的资料。</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3.4 投标报价</w:t>
      </w:r>
    </w:p>
    <w:p>
      <w:pPr>
        <w:spacing w:line="360" w:lineRule="auto"/>
        <w:ind w:firstLine="496" w:firstLineChars="207"/>
        <w:rPr>
          <w:rFonts w:ascii="宋体" w:hAnsi="宋体" w:cs="宋体"/>
          <w:color w:val="auto"/>
          <w:sz w:val="24"/>
          <w:szCs w:val="24"/>
        </w:rPr>
      </w:pPr>
      <w:r>
        <w:rPr>
          <w:rFonts w:hint="eastAsia" w:ascii="宋体" w:hAnsi="宋体" w:cs="宋体"/>
          <w:color w:val="auto"/>
          <w:sz w:val="24"/>
          <w:szCs w:val="24"/>
        </w:rPr>
        <w:t>3.4.1以中标固定总价为依据签订合同。</w:t>
      </w:r>
    </w:p>
    <w:p>
      <w:pPr>
        <w:spacing w:line="360" w:lineRule="auto"/>
        <w:ind w:firstLine="480" w:firstLineChars="200"/>
        <w:rPr>
          <w:rFonts w:ascii="宋体"/>
          <w:color w:val="auto"/>
          <w:sz w:val="24"/>
          <w:szCs w:val="24"/>
        </w:rPr>
      </w:pPr>
      <w:r>
        <w:rPr>
          <w:rFonts w:ascii="宋体" w:hAnsi="宋体" w:cs="宋体"/>
          <w:color w:val="auto"/>
          <w:sz w:val="24"/>
          <w:szCs w:val="24"/>
        </w:rPr>
        <w:t>3.</w:t>
      </w:r>
      <w:r>
        <w:rPr>
          <w:rFonts w:hint="eastAsia" w:ascii="宋体" w:hAnsi="宋体" w:cs="宋体"/>
          <w:color w:val="auto"/>
          <w:sz w:val="24"/>
          <w:szCs w:val="24"/>
        </w:rPr>
        <w:t>4</w:t>
      </w:r>
      <w:r>
        <w:rPr>
          <w:rFonts w:ascii="宋体" w:hAnsi="宋体" w:cs="宋体"/>
          <w:color w:val="auto"/>
          <w:sz w:val="24"/>
          <w:szCs w:val="24"/>
        </w:rPr>
        <w:t>.</w:t>
      </w:r>
      <w:r>
        <w:rPr>
          <w:rFonts w:hint="eastAsia" w:ascii="宋体" w:hAnsi="宋体" w:cs="宋体"/>
          <w:color w:val="auto"/>
          <w:sz w:val="24"/>
          <w:szCs w:val="24"/>
        </w:rPr>
        <w:t>2</w:t>
      </w:r>
      <w:bookmarkStart w:id="32" w:name="OLE_LINK44"/>
      <w:r>
        <w:rPr>
          <w:rFonts w:hint="eastAsia" w:ascii="宋体" w:hAnsi="宋体" w:cs="宋体"/>
          <w:color w:val="auto"/>
          <w:sz w:val="24"/>
          <w:szCs w:val="24"/>
        </w:rPr>
        <w:t>本工程投标组价时应妥善考虑，正式施工时固定总价不因国家法律、行政法规和国家政策变化及原材料市场价发生变化等进行调整。</w:t>
      </w:r>
    </w:p>
    <w:bookmarkEnd w:id="32"/>
    <w:p>
      <w:pPr>
        <w:spacing w:line="360" w:lineRule="auto"/>
        <w:ind w:firstLine="480" w:firstLineChars="200"/>
        <w:rPr>
          <w:rFonts w:ascii="宋体"/>
          <w:color w:val="auto"/>
          <w:sz w:val="24"/>
          <w:szCs w:val="24"/>
        </w:rPr>
      </w:pPr>
      <w:r>
        <w:rPr>
          <w:rFonts w:ascii="宋体" w:hAnsi="宋体" w:cs="宋体"/>
          <w:color w:val="auto"/>
          <w:sz w:val="24"/>
          <w:szCs w:val="24"/>
        </w:rPr>
        <w:t>3.4.3</w:t>
      </w:r>
      <w:r>
        <w:rPr>
          <w:rFonts w:hint="eastAsia" w:ascii="宋体" w:hAnsi="宋体" w:cs="宋体"/>
          <w:color w:val="auto"/>
          <w:sz w:val="24"/>
          <w:szCs w:val="24"/>
        </w:rPr>
        <w:t>投标人应先到工地踏勘以充分了解工地位置、情况、道路、储存空间、装卸限制及任何其他足以影响投标价的情况，任何因投标人忽视或误解工地情况而导致的其提出的任何索赔或工期延长申请将不被批准。凡因投标人对招标文件阅读疏忽或误解，或因对施工现场、施工环境、市场行情等了解不清而造成的后果和风险，均由投标人负责。</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编制投标报价的其他约定</w:t>
      </w:r>
    </w:p>
    <w:p>
      <w:pPr>
        <w:spacing w:line="360" w:lineRule="auto"/>
        <w:ind w:firstLine="480" w:firstLineChars="200"/>
        <w:rPr>
          <w:rFonts w:asciiTheme="minorEastAsia" w:hAnsiTheme="minorEastAsia" w:eastAsiaTheme="minorEastAsia" w:cstheme="minorEastAsia"/>
          <w:color w:val="auto"/>
          <w:sz w:val="24"/>
          <w:szCs w:val="24"/>
        </w:rPr>
      </w:pPr>
      <w:bookmarkStart w:id="33" w:name="OLE_LINK21"/>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w:t>
      </w:r>
      <w:bookmarkEnd w:id="33"/>
      <w:r>
        <w:rPr>
          <w:rFonts w:hint="eastAsia" w:asciiTheme="minorEastAsia" w:hAnsiTheme="minorEastAsia" w:eastAsiaTheme="minorEastAsia" w:cstheme="minorEastAsia"/>
          <w:color w:val="auto"/>
          <w:sz w:val="24"/>
          <w:szCs w:val="24"/>
        </w:rPr>
        <w:t>1投标人根据自行确定的施工组织设计或施工方案进行自主报价。投标总价包含</w:t>
      </w:r>
      <w:r>
        <w:rPr>
          <w:rFonts w:hint="eastAsia" w:asciiTheme="minorEastAsia" w:hAnsiTheme="minorEastAsia" w:eastAsiaTheme="minorEastAsia" w:cstheme="minorEastAsia"/>
          <w:color w:val="auto"/>
          <w:sz w:val="24"/>
          <w:szCs w:val="24"/>
          <w:lang w:eastAsia="zh-CN"/>
        </w:rPr>
        <w:t>机械围栏、补植、</w:t>
      </w:r>
      <w:r>
        <w:rPr>
          <w:rFonts w:hint="eastAsia" w:asciiTheme="minorEastAsia" w:hAnsiTheme="minorEastAsia" w:eastAsiaTheme="minorEastAsia" w:cstheme="minorEastAsia"/>
          <w:color w:val="auto"/>
          <w:sz w:val="24"/>
          <w:szCs w:val="24"/>
        </w:rPr>
        <w:t>综合抚育及其他一切费用；</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.2投标人应针对拟建工程编制保证安全施工、文明施工和环境保护的技术措施方案。</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.3投标人因承包本合同工程需缴纳的一切税费均由投标人承担，并包含在所报的单价或总额价内。</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4投标人应为建设工程和施工场地内自有人员及第三方人员生命财产及运至施工场地内用于工程的材料办理保险，投标人的投标价中应含的保险费，承包人装备险和承包人职工的（人身）事故险由投标人在其他项目清单保险费栏内自主列报，中标后包干使用。施工期间在施工区域内因非采购人原因发生的设备、材料、人员等的损害、伤害，采购人不再承担任何责任和费用。</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.5投标报价中的总价要与综合单价相对应。</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6投标函中的投标报价应与“投标总价”表中的投标总价数字相符，不允许在投标文件中出现两个报价。任何有选择的报价将不予接受，如“若我方中标，愿在中标价基础上再优惠或下浮多少”等类似报价方法,否则按无效投标处理。</w:t>
      </w:r>
      <w:bookmarkStart w:id="34" w:name="OLE_LINK74"/>
      <w:bookmarkStart w:id="35" w:name="OLE_LINK64"/>
      <w:bookmarkStart w:id="36" w:name="OLE_LINK20"/>
      <w:bookmarkStart w:id="37" w:name="OLE_LINK63"/>
      <w:bookmarkStart w:id="38" w:name="OLE_LINK113"/>
      <w:bookmarkStart w:id="39" w:name="OLE_LINK114"/>
    </w:p>
    <w:bookmarkEnd w:id="34"/>
    <w:bookmarkEnd w:id="35"/>
    <w:bookmarkEnd w:id="36"/>
    <w:bookmarkEnd w:id="37"/>
    <w:bookmarkEnd w:id="38"/>
    <w:bookmarkEnd w:id="39"/>
    <w:p>
      <w:pPr>
        <w:spacing w:line="360" w:lineRule="auto"/>
        <w:ind w:firstLine="480" w:firstLineChars="200"/>
        <w:rPr>
          <w:rFonts w:ascii="宋体" w:hAnsi="宋体" w:cs="宋体"/>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7服务费收费标准：按国家计委颁发的《招标代理服务收费管理暂行办法》（计价格[2002]1980号）和国家发展改革委员会办公厅颁发的《关于招标代理服务收费有关问题的通知》（发改办价格[2003]857号）的有关标准执行</w:t>
      </w:r>
      <w:r>
        <w:rPr>
          <w:rFonts w:ascii="宋体" w:hAnsi="宋体" w:cs="宋体"/>
          <w:color w:val="auto"/>
          <w:sz w:val="24"/>
          <w:szCs w:val="24"/>
          <w:highlight w:val="none"/>
        </w:rPr>
        <w:t>。</w:t>
      </w:r>
      <w:r>
        <w:rPr>
          <w:rFonts w:hint="eastAsia" w:ascii="宋体" w:hAnsi="宋体" w:cs="宋体"/>
          <w:color w:val="auto"/>
          <w:sz w:val="24"/>
          <w:szCs w:val="24"/>
        </w:rPr>
        <w:t>代理服务费由中标单位承担，中标单位在领取中标通知书前，须向采购代理机构一次性支付招标代理服务费。</w:t>
      </w:r>
    </w:p>
    <w:p>
      <w:pPr>
        <w:spacing w:line="360" w:lineRule="auto"/>
        <w:ind w:firstLine="480" w:firstLineChars="200"/>
        <w:rPr>
          <w:rFonts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rPr>
        <w:t>.</w:t>
      </w:r>
      <w:r>
        <w:rPr>
          <w:rFonts w:asciiTheme="minorEastAsia" w:hAnsiTheme="minorEastAsia" w:eastAsiaTheme="minorEastAsia" w:cstheme="minorEastAsia"/>
          <w:b w:val="0"/>
          <w:bCs w:val="0"/>
          <w:color w:val="auto"/>
          <w:sz w:val="24"/>
          <w:szCs w:val="24"/>
        </w:rPr>
        <w:t>5</w:t>
      </w:r>
      <w:r>
        <w:rPr>
          <w:rFonts w:hint="eastAsia" w:asciiTheme="minorEastAsia" w:hAnsiTheme="minorEastAsia" w:eastAsiaTheme="minorEastAsia" w:cstheme="minorEastAsia"/>
          <w:b w:val="0"/>
          <w:bCs w:val="0"/>
          <w:color w:val="auto"/>
          <w:sz w:val="24"/>
          <w:szCs w:val="24"/>
        </w:rPr>
        <w:t>本项目招标最高限价即采购预算。</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w:t>
      </w:r>
      <w:r>
        <w:rPr>
          <w:rFonts w:asciiTheme="minorEastAsia" w:hAnsiTheme="minorEastAsia" w:eastAsiaTheme="minorEastAsia" w:cstheme="minorEastAsia"/>
          <w:b/>
          <w:bCs/>
          <w:color w:val="auto"/>
          <w:sz w:val="24"/>
          <w:szCs w:val="24"/>
        </w:rPr>
        <w:t>5</w:t>
      </w:r>
      <w:r>
        <w:rPr>
          <w:rFonts w:hint="eastAsia" w:asciiTheme="minorEastAsia" w:hAnsiTheme="minorEastAsia" w:eastAsiaTheme="minorEastAsia" w:cstheme="minorEastAsia"/>
          <w:b/>
          <w:bCs/>
          <w:color w:val="auto"/>
          <w:sz w:val="24"/>
          <w:szCs w:val="24"/>
        </w:rPr>
        <w:t>投标有效期</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rPr>
        <w:t>.1 在投标人须知前附表规定的投标有效期内，投标人不得要求撤销或修改其投标文件。</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rPr>
        <w:t>.2 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w:t>
      </w:r>
      <w:r>
        <w:rPr>
          <w:rFonts w:asciiTheme="minorEastAsia" w:hAnsiTheme="minorEastAsia" w:eastAsiaTheme="minorEastAsia" w:cstheme="minorEastAsia"/>
          <w:b/>
          <w:bCs/>
          <w:color w:val="auto"/>
          <w:sz w:val="24"/>
          <w:szCs w:val="24"/>
        </w:rPr>
        <w:t>6</w:t>
      </w:r>
      <w:r>
        <w:rPr>
          <w:rFonts w:hint="eastAsia" w:asciiTheme="minorEastAsia" w:hAnsiTheme="minorEastAsia" w:eastAsiaTheme="minorEastAsia" w:cstheme="minorEastAsia"/>
          <w:b/>
          <w:bCs/>
          <w:color w:val="auto"/>
          <w:sz w:val="24"/>
          <w:szCs w:val="24"/>
        </w:rPr>
        <w:t>投标保证金</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rPr>
        <w:t>.1投标人在投标时应向</w:t>
      </w:r>
      <w:r>
        <w:rPr>
          <w:rFonts w:hint="eastAsia" w:asciiTheme="minorEastAsia" w:hAnsiTheme="minorEastAsia" w:eastAsiaTheme="minorEastAsia" w:cstheme="minorEastAsia"/>
          <w:color w:val="auto"/>
          <w:sz w:val="24"/>
          <w:szCs w:val="24"/>
          <w:lang w:eastAsia="zh-CN"/>
        </w:rPr>
        <w:t>中拓达建项目管理有限公司</w:t>
      </w:r>
      <w:r>
        <w:rPr>
          <w:rFonts w:hint="eastAsia" w:asciiTheme="minorEastAsia" w:hAnsiTheme="minorEastAsia" w:eastAsiaTheme="minorEastAsia" w:cstheme="minorEastAsia"/>
          <w:color w:val="auto"/>
          <w:sz w:val="24"/>
          <w:szCs w:val="24"/>
        </w:rPr>
        <w:t>提交“投标人须知前附表”规定数额的投标保证金,并作为其投标的一部分。</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rPr>
        <w:t>.2投标保证金是为了保护采购人和采购代理机构免遭因投标人的行为而蒙受损失。采购人和采购代理机构在因投标人的行为受到损害时可根据本须知的规定第3.</w:t>
      </w:r>
      <w:r>
        <w:rPr>
          <w:rFonts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rPr>
        <w:t>.</w:t>
      </w:r>
      <w:r>
        <w:rPr>
          <w:rFonts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rPr>
        <w:t>条没收投标人的投标保证金。</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rPr>
        <w:t>.3投标保证金的缴纳形式：转账、电汇、担保机构保函</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rPr>
        <w:t>.4投标保证金必须按照招标文件“投标人须知前附表”中规定的缴纳金额及方式办理。</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rPr>
        <w:t>.5开标后经审查，未提交投标保证金、未按时间提交投标保证金、投标保证金金额不足或投标保证金缴纳凭证未附在投标文件内的投标将按无效投标处理。</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rPr>
        <w:t>.6未中标人的投标保证金，将在中标通知书发出后五个工作日内退还；中标人的投标保证金，在施工合同签订后五个工作日内退还</w:t>
      </w:r>
      <w:r>
        <w:rPr>
          <w:rFonts w:hint="eastAsia" w:asciiTheme="minorEastAsia" w:hAnsiTheme="minorEastAsia" w:eastAsiaTheme="minorEastAsia" w:cstheme="minorEastAsia"/>
          <w:b/>
          <w:bCs/>
          <w:color w:val="auto"/>
          <w:sz w:val="24"/>
          <w:szCs w:val="24"/>
        </w:rPr>
        <w:t>（退还时，须向采购代理机构提供采购合同原件壹份）</w:t>
      </w:r>
      <w:r>
        <w:rPr>
          <w:rFonts w:hint="eastAsia" w:asciiTheme="minorEastAsia" w:hAnsiTheme="minorEastAsia" w:eastAsiaTheme="minorEastAsia" w:cstheme="minorEastAsia"/>
          <w:color w:val="auto"/>
          <w:sz w:val="24"/>
          <w:szCs w:val="24"/>
        </w:rPr>
        <w:t>。</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rPr>
        <w:t>.7投标人以担保机构保函形式缴纳投标保证金的，招标结束之后将担保机构保函原件退回（退换时间参照3.</w:t>
      </w:r>
      <w:r>
        <w:rPr>
          <w:rFonts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rPr>
        <w:t>.6条款）；</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rPr>
        <w:t>.8下列任何情况发生时，视为投标人违约，其投标保证金将被没收：</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投标人在投标有效期内撤回其投标；</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投标人中标后放弃成交、未能按规定签订合同</w:t>
      </w:r>
      <w:bookmarkStart w:id="40" w:name="OLE_LINK3"/>
      <w:r>
        <w:rPr>
          <w:rFonts w:hint="eastAsia" w:asciiTheme="minorEastAsia" w:hAnsiTheme="minorEastAsia" w:eastAsiaTheme="minorEastAsia" w:cstheme="minorEastAsia"/>
          <w:color w:val="auto"/>
          <w:sz w:val="24"/>
          <w:szCs w:val="24"/>
        </w:rPr>
        <w:t>、</w:t>
      </w:r>
      <w:bookmarkEnd w:id="40"/>
      <w:r>
        <w:rPr>
          <w:rFonts w:hint="eastAsia" w:asciiTheme="minorEastAsia" w:hAnsiTheme="minorEastAsia" w:eastAsiaTheme="minorEastAsia" w:cstheme="minorEastAsia"/>
          <w:color w:val="auto"/>
          <w:sz w:val="24"/>
          <w:szCs w:val="24"/>
        </w:rPr>
        <w:t>未按招标文件规定提交履约担保；</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3）投标人中标后将中标项目转让给他人，或者在投标文件中未说明，且未经采购人同意，将中标项目分包给他人的；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4）投标人事先未通告无故不参加投标活动的；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5）投标人在投标文件中提供伪造、套改、虚假资料参加投标的；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6）投标人不按法定程序进行质疑和投诉,捏造事实，查无实据，造成恶劣影响</w:t>
      </w:r>
    </w:p>
    <w:p>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导致采购活动无法正常进行的；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rPr>
        <w:t>.9投标保证金的有</w:t>
      </w:r>
      <w:bookmarkStart w:id="41" w:name="OLE_LINK47"/>
      <w:r>
        <w:rPr>
          <w:rFonts w:hint="eastAsia" w:asciiTheme="minorEastAsia" w:hAnsiTheme="minorEastAsia" w:eastAsiaTheme="minorEastAsia" w:cstheme="minorEastAsia"/>
          <w:color w:val="auto"/>
          <w:sz w:val="24"/>
          <w:szCs w:val="24"/>
        </w:rPr>
        <w:t>效</w:t>
      </w:r>
      <w:bookmarkEnd w:id="41"/>
      <w:r>
        <w:rPr>
          <w:rFonts w:hint="eastAsia" w:asciiTheme="minorEastAsia" w:hAnsiTheme="minorEastAsia" w:eastAsiaTheme="minorEastAsia" w:cstheme="minorEastAsia"/>
          <w:color w:val="auto"/>
          <w:sz w:val="24"/>
          <w:szCs w:val="24"/>
        </w:rPr>
        <w:t>期与投标有效期一致。投标保函有效期为投标有效期后30天，如果投标日期发生变更，投标保函有效期自动顺延，招标方无需为此专门通知担保方。</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w:t>
      </w:r>
      <w:r>
        <w:rPr>
          <w:rFonts w:asciiTheme="minorEastAsia" w:hAnsiTheme="minorEastAsia" w:eastAsiaTheme="minorEastAsia" w:cstheme="minorEastAsia"/>
          <w:b/>
          <w:bCs/>
          <w:color w:val="auto"/>
          <w:sz w:val="24"/>
          <w:szCs w:val="24"/>
        </w:rPr>
        <w:t>7</w:t>
      </w:r>
      <w:r>
        <w:rPr>
          <w:rFonts w:hint="eastAsia" w:asciiTheme="minorEastAsia" w:hAnsiTheme="minorEastAsia" w:eastAsiaTheme="minorEastAsia" w:cstheme="minorEastAsia"/>
          <w:b/>
          <w:bCs/>
          <w:color w:val="auto"/>
          <w:sz w:val="24"/>
          <w:szCs w:val="24"/>
        </w:rPr>
        <w:t>备选投标方案</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除投标人须知前附表另有规定外，投标人不得递交备选投标方案。</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w:t>
      </w:r>
      <w:r>
        <w:rPr>
          <w:rFonts w:asciiTheme="minorEastAsia" w:hAnsiTheme="minorEastAsia" w:eastAsiaTheme="minorEastAsia" w:cstheme="minorEastAsia"/>
          <w:b/>
          <w:bCs/>
          <w:color w:val="auto"/>
          <w:sz w:val="24"/>
          <w:szCs w:val="24"/>
        </w:rPr>
        <w:t>8</w:t>
      </w:r>
      <w:r>
        <w:rPr>
          <w:rFonts w:hint="eastAsia" w:asciiTheme="minorEastAsia" w:hAnsiTheme="minorEastAsia" w:eastAsiaTheme="minorEastAsia" w:cstheme="minorEastAsia"/>
          <w:b/>
          <w:bCs/>
          <w:color w:val="auto"/>
          <w:sz w:val="24"/>
          <w:szCs w:val="24"/>
        </w:rPr>
        <w:t>投标文件的编制</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rPr>
        <w:t>.1 投标文件应按“投标文件格式”进行编写，如有必要，可以增加附页，作为投标文件的组成部分。</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rPr>
        <w:t>.2 投标文件应当对招标文件有关工期、投标有效期、质量要求、技术标准和要求、招标范围等实质性内容作出响应。</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rPr>
        <w:t>.3 投标文件需打印或用不褪色的蓝(黑)色墨水(汁)书写,并由投标人法定代表人或经法定代表人正式授权的代表签字。投标文件若由授权代表签署，须按招标文件规定的格式出具的“法定代表人授权委托书”原件附在投标文件中。所有要求签字（名）处，均须由签字（名）者本人用不褪色的蓝(黑)色墨水(汁)书写，不得用任何形式的图章代替。</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rPr>
        <w:t>.4 投标文件正本、副本份数见投标人须知前附表。正本和副本的封面上应清楚地标记“正本”或“副本”的字样。当副本和正本不一致时，以正本为准。电子版投标文件内容包括投标文件的所有内容。</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rPr>
        <w:t>.5 所有投标文件正本和副本须按第六章规定的顺序编排、编制目录、</w:t>
      </w:r>
      <w:r>
        <w:rPr>
          <w:rFonts w:hint="eastAsia" w:asciiTheme="minorEastAsia" w:hAnsiTheme="minorEastAsia" w:eastAsiaTheme="minorEastAsia" w:cstheme="minorEastAsia"/>
          <w:b/>
          <w:bCs/>
          <w:color w:val="auto"/>
          <w:sz w:val="24"/>
          <w:szCs w:val="24"/>
        </w:rPr>
        <w:t>投标文件正本需逐页加盖投标人公章</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rPr>
        <w:t>每一页的正下方清楚标第几页、共几页等字样</w:t>
      </w:r>
      <w:r>
        <w:rPr>
          <w:rFonts w:hint="eastAsia" w:asciiTheme="minorEastAsia" w:hAnsiTheme="minorEastAsia" w:eastAsiaTheme="minorEastAsia" w:cstheme="minorEastAsia"/>
          <w:color w:val="auto"/>
          <w:sz w:val="24"/>
          <w:szCs w:val="24"/>
        </w:rPr>
        <w:t>，并分别胶装成册。否则按无效标处理。</w:t>
      </w:r>
    </w:p>
    <w:p>
      <w:pPr>
        <w:spacing w:beforeLines="50" w:afterLines="50" w:line="360" w:lineRule="auto"/>
        <w:rPr>
          <w:rFonts w:asciiTheme="minorEastAsia" w:hAnsiTheme="minorEastAsia" w:eastAsiaTheme="minorEastAsia" w:cstheme="minorEastAsia"/>
          <w:b/>
          <w:bCs/>
          <w:color w:val="auto"/>
          <w:sz w:val="24"/>
          <w:szCs w:val="24"/>
        </w:rPr>
      </w:pPr>
      <w:bookmarkStart w:id="42" w:name="_Toc420591646"/>
      <w:bookmarkStart w:id="43" w:name="_Toc425240467"/>
      <w:bookmarkStart w:id="44" w:name="_Toc421778368"/>
      <w:r>
        <w:rPr>
          <w:rFonts w:hint="eastAsia" w:asciiTheme="minorEastAsia" w:hAnsiTheme="minorEastAsia" w:eastAsiaTheme="minorEastAsia" w:cstheme="minorEastAsia"/>
          <w:b/>
          <w:bCs/>
          <w:color w:val="auto"/>
          <w:sz w:val="24"/>
          <w:szCs w:val="24"/>
        </w:rPr>
        <w:t>4．投标</w:t>
      </w:r>
      <w:bookmarkEnd w:id="42"/>
      <w:bookmarkEnd w:id="43"/>
      <w:bookmarkEnd w:id="44"/>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4.1 投标文件的密封和标记</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4.1.1投标文件的密封：投标文件须胶装成套且须用密封袋密封，将投标文件正本、副本、投标文件电子版按要求封装于一个密封袋内</w:t>
      </w:r>
      <w:r>
        <w:rPr>
          <w:rFonts w:hint="eastAsia" w:asciiTheme="minorEastAsia" w:hAnsiTheme="minorEastAsia" w:eastAsiaTheme="minorEastAsia" w:cstheme="minorEastAsia"/>
          <w:color w:val="auto"/>
          <w:sz w:val="24"/>
          <w:szCs w:val="24"/>
          <w:lang w:eastAsia="zh-CN"/>
        </w:rPr>
        <w:t>，</w:t>
      </w:r>
      <w:r>
        <w:rPr>
          <w:rFonts w:hint="eastAsia" w:ascii="宋体" w:hAnsi="宋体" w:eastAsia="宋体" w:cs="宋体"/>
          <w:color w:val="auto"/>
          <w:kern w:val="2"/>
          <w:sz w:val="24"/>
          <w:szCs w:val="24"/>
          <w:highlight w:val="none"/>
          <w:lang w:val="en-US" w:eastAsia="zh-CN" w:bidi="ar-SA"/>
        </w:rPr>
        <w:t>电子版文件载体上应标明投标人名称</w:t>
      </w:r>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4.1.2投标文件的封套上应写明的其他内容见投标人须知前附表。</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4.1.3未按本章第4.1.1项要求密封的投标文件，采购人将予以拒绝。</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4.2 投标文件的递交</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4.2.1 投标人应在投标人须知前附表第4.2.2 项规定的投标截止时间前递交投标文件。</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4.2.2 投标人递交投标文件的地点：见投标人须知前附表。</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4.2.3 投标人所递交的投标文件不予退还。</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4.2.4逾期送达的或者未送达指定地点的投标文件，</w:t>
      </w:r>
      <w:bookmarkStart w:id="45" w:name="OLE_LINK50"/>
      <w:r>
        <w:rPr>
          <w:rFonts w:hint="eastAsia" w:asciiTheme="minorEastAsia" w:hAnsiTheme="minorEastAsia" w:eastAsiaTheme="minorEastAsia" w:cstheme="minorEastAsia"/>
          <w:color w:val="auto"/>
          <w:sz w:val="24"/>
          <w:szCs w:val="24"/>
        </w:rPr>
        <w:t>采购代理机构</w:t>
      </w:r>
      <w:bookmarkEnd w:id="45"/>
      <w:r>
        <w:rPr>
          <w:rFonts w:hint="eastAsia" w:asciiTheme="minorEastAsia" w:hAnsiTheme="minorEastAsia" w:eastAsiaTheme="minorEastAsia" w:cstheme="minorEastAsia"/>
          <w:color w:val="auto"/>
          <w:sz w:val="24"/>
          <w:szCs w:val="24"/>
        </w:rPr>
        <w:t>不予受理。</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4.3 投标文件的修改与撤回</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4.3.1 在投标人须知前附表第4.2.2 项规定的投标截止时间前，投标人可以修改或撤回已递交的投标文件，但应以书面形式通知采购人。</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4.3.2 投标人修改或撤回已递交投标文件的书面通知应按照本章第3.</w:t>
      </w:r>
      <w:r>
        <w:rPr>
          <w:rFonts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rPr>
        <w:t>.3项的要求签字和盖章。</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4.3.3 修改的内容为投标文件的组成部分。修改的投标文件应按照本章第</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条、第4条规定进行编制、密封、标记和递交，并标明“修改”字样。</w:t>
      </w:r>
    </w:p>
    <w:p>
      <w:pPr>
        <w:spacing w:beforeLines="50" w:afterLines="50" w:line="360" w:lineRule="auto"/>
        <w:rPr>
          <w:rFonts w:asciiTheme="minorEastAsia" w:hAnsiTheme="minorEastAsia" w:eastAsiaTheme="minorEastAsia" w:cstheme="minorEastAsia"/>
          <w:b/>
          <w:bCs/>
          <w:color w:val="auto"/>
          <w:sz w:val="24"/>
          <w:szCs w:val="24"/>
        </w:rPr>
      </w:pPr>
      <w:bookmarkStart w:id="46" w:name="_Toc425240468"/>
      <w:bookmarkStart w:id="47" w:name="_Toc421778369"/>
      <w:bookmarkStart w:id="48" w:name="_Toc420591647"/>
      <w:r>
        <w:rPr>
          <w:rFonts w:hint="eastAsia" w:asciiTheme="minorEastAsia" w:hAnsiTheme="minorEastAsia" w:eastAsiaTheme="minorEastAsia" w:cstheme="minorEastAsia"/>
          <w:b/>
          <w:bCs/>
          <w:color w:val="auto"/>
          <w:sz w:val="24"/>
          <w:szCs w:val="24"/>
        </w:rPr>
        <w:t>5．开标</w:t>
      </w:r>
      <w:bookmarkEnd w:id="46"/>
      <w:bookmarkEnd w:id="47"/>
      <w:bookmarkEnd w:id="48"/>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5.1 开标时间和地点</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见投标人须知前附表。</w:t>
      </w:r>
    </w:p>
    <w:p>
      <w:pPr>
        <w:spacing w:beforeLines="50" w:afterLines="50" w:line="360" w:lineRule="auto"/>
        <w:rPr>
          <w:rFonts w:asciiTheme="minorEastAsia" w:hAnsiTheme="minorEastAsia" w:eastAsiaTheme="minorEastAsia" w:cstheme="minorEastAsia"/>
          <w:b/>
          <w:bCs/>
          <w:color w:val="auto"/>
          <w:sz w:val="24"/>
          <w:szCs w:val="24"/>
        </w:rPr>
      </w:pPr>
      <w:bookmarkStart w:id="49" w:name="_Toc425240469"/>
      <w:bookmarkStart w:id="50" w:name="_Toc421778370"/>
      <w:bookmarkStart w:id="51" w:name="_Toc420591648"/>
      <w:r>
        <w:rPr>
          <w:rFonts w:hint="eastAsia" w:asciiTheme="minorEastAsia" w:hAnsiTheme="minorEastAsia" w:eastAsiaTheme="minorEastAsia" w:cstheme="minorEastAsia"/>
          <w:b/>
          <w:bCs/>
          <w:color w:val="auto"/>
          <w:sz w:val="24"/>
          <w:szCs w:val="24"/>
        </w:rPr>
        <w:t>6．评标</w:t>
      </w:r>
      <w:bookmarkEnd w:id="49"/>
      <w:bookmarkEnd w:id="50"/>
      <w:bookmarkEnd w:id="51"/>
    </w:p>
    <w:p>
      <w:pPr>
        <w:spacing w:line="360" w:lineRule="auto"/>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6.1 评标委员会</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6.1.1 评标由采购人依法组建的评标委员会负责。评标委员会由采购人代表和具备相关专业的专家等5人以上单数组成评标委员会；</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6.1.2 评标委员会成员有下列情形之一的，应当回避：</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(1）投标人或投标人的主要负责人的近亲属；</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(2）与投标人有经济利益关系，可能影响对投标公正评审的；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(3）曾因在招标、评标以及其他与招标投标有关活动中从事违法行为而受过行政处罚或刑事处罚的。</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6.2 评标原则</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评标活动遵循公平、公正、科学和择优的原则。</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6.3 评标</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6.3.1评标委员会按照第三章“评标办法”规定的方法、评审因素、标准和程序对投标文件进行评审。第三章“评标办法”没有规定的方法、评审因素和标准，不作为评标依据。</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6.3.2评标过程的保密</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（1）开标后，直至授予中标人合同为止，凡属于对投标文件的审查、补遗、评价和比较的有关资料以及中标候选人的推荐情况等均严格保密。</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（2）在投标文件的评审、中标候选人推荐以及授予合同的过程中，投标人向采购人和评标委员会施加影响的任何行为，都将会导致其投标被拒绝直至取消其中标资格。</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（3）中标人确定后，采购人不对未中标人就评标过程以及未能中标原因作出任何解释。未中标人不得向评标委员会组成人员或其他有关人员索问评标过程的情况和材料。</w:t>
      </w:r>
    </w:p>
    <w:p>
      <w:pPr>
        <w:spacing w:beforeLines="50" w:afterLines="50" w:line="360" w:lineRule="auto"/>
        <w:rPr>
          <w:rFonts w:asciiTheme="minorEastAsia" w:hAnsiTheme="minorEastAsia" w:eastAsiaTheme="minorEastAsia" w:cstheme="minorEastAsia"/>
          <w:b/>
          <w:bCs/>
          <w:color w:val="auto"/>
          <w:sz w:val="24"/>
          <w:szCs w:val="24"/>
        </w:rPr>
      </w:pPr>
      <w:bookmarkStart w:id="52" w:name="_Toc425240470"/>
      <w:bookmarkStart w:id="53" w:name="_Toc420591649"/>
      <w:bookmarkStart w:id="54" w:name="_Toc421778371"/>
      <w:r>
        <w:rPr>
          <w:rFonts w:hint="eastAsia" w:asciiTheme="minorEastAsia" w:hAnsiTheme="minorEastAsia" w:eastAsiaTheme="minorEastAsia" w:cstheme="minorEastAsia"/>
          <w:b/>
          <w:bCs/>
          <w:color w:val="auto"/>
          <w:sz w:val="24"/>
          <w:szCs w:val="24"/>
        </w:rPr>
        <w:t>7．合同授予</w:t>
      </w:r>
      <w:bookmarkEnd w:id="52"/>
      <w:bookmarkEnd w:id="53"/>
      <w:bookmarkEnd w:id="54"/>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7.1 定标方式</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评标委员会推荐3名中标候选人，并标明推荐顺序，采购人依据评标委员会推荐的中标候选人确定中标人。</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7.2 中标通知</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在本章规定的投标有效期内，经采购人同意由采购代理机构以书面形式向中标人发出中标通知书。</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7.3 履约担保</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7.3.1在签订合同前，中标人应按投标人须知前附表规定的金额、担保形式和招标文件第二章“投标人须知前附表”规定的履约担保格式向采购人提交履约担保</w:t>
      </w:r>
      <w:r>
        <w:rPr>
          <w:rFonts w:hint="eastAsia" w:asciiTheme="minorEastAsia" w:hAnsiTheme="minorEastAsia" w:eastAsiaTheme="minorEastAsia" w:cstheme="minorEastAsia"/>
          <w:color w:val="auto"/>
          <w:sz w:val="24"/>
          <w:szCs w:val="24"/>
          <w:highlight w:val="none"/>
        </w:rPr>
        <w:t>。联合体中标的，其履约担保由牵头人递交，并应符合投标人须知前附表规定的金额、担保形式按招标文件第二章“投标人须知前附表”规定的履约担保格式要求。</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7.3.2 中标人不能按本章第7.3.1项要求提交履约担保的，视为放弃中标，其投标保证金不予退还，给采购人造成的损失超过投标保证金数额的，中标人还应当对超过部分予以赔偿。</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7.4 签订合同</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7.4.1 采购人和中标人应当自中标通知书发出之日起30天内，根据招标文件和中标人的投标文件订立书面合同；中标人无正当理由拒签合同的，采购人取消其中标资格，其投标保证金不予退还；给采购人和采购代理机构造成的损失超过投标保证金数额的，中标人还应当对超过部分予以赔偿。</w:t>
      </w:r>
    </w:p>
    <w:p>
      <w:pPr>
        <w:spacing w:beforeLines="50" w:afterLines="50" w:line="360" w:lineRule="auto"/>
        <w:rPr>
          <w:rFonts w:asciiTheme="minorEastAsia" w:hAnsiTheme="minorEastAsia" w:eastAsiaTheme="minorEastAsia" w:cstheme="minorEastAsia"/>
          <w:b/>
          <w:bCs/>
          <w:color w:val="auto"/>
          <w:sz w:val="24"/>
          <w:szCs w:val="24"/>
        </w:rPr>
      </w:pPr>
      <w:bookmarkStart w:id="55" w:name="_Toc420591650"/>
      <w:bookmarkStart w:id="56" w:name="_Toc421778372"/>
      <w:bookmarkStart w:id="57" w:name="_Toc425240471"/>
      <w:r>
        <w:rPr>
          <w:rFonts w:hint="eastAsia" w:asciiTheme="minorEastAsia" w:hAnsiTheme="minorEastAsia" w:eastAsiaTheme="minorEastAsia" w:cstheme="minorEastAsia"/>
          <w:b/>
          <w:bCs/>
          <w:color w:val="auto"/>
          <w:sz w:val="24"/>
          <w:szCs w:val="24"/>
        </w:rPr>
        <w:t>8．重新招标和不再招标</w:t>
      </w:r>
      <w:bookmarkEnd w:id="55"/>
      <w:bookmarkEnd w:id="56"/>
      <w:bookmarkEnd w:id="57"/>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8.1 重新招标</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有下列情形之一的，采购人将重新招标：</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（l）投标截止时间止，投标人少于3个的；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（2）经评标委员会评审后否决所有投标的。</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8.2 不再招标</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重新招标后投标人仍少于3个或者所有投标被否决的，属于必须审批或核准的工程建设项目，经原审批或核准部门批准后不再进行招标。</w:t>
      </w:r>
    </w:p>
    <w:p>
      <w:pPr>
        <w:spacing w:beforeLines="50" w:afterLines="50" w:line="360" w:lineRule="auto"/>
        <w:rPr>
          <w:rFonts w:asciiTheme="minorEastAsia" w:hAnsiTheme="minorEastAsia" w:eastAsiaTheme="minorEastAsia" w:cstheme="minorEastAsia"/>
          <w:b/>
          <w:bCs/>
          <w:color w:val="auto"/>
          <w:sz w:val="24"/>
          <w:szCs w:val="24"/>
        </w:rPr>
      </w:pPr>
      <w:bookmarkStart w:id="58" w:name="_Toc420591651"/>
      <w:bookmarkStart w:id="59" w:name="_Toc425240472"/>
      <w:bookmarkStart w:id="60" w:name="_Toc421778373"/>
      <w:r>
        <w:rPr>
          <w:rFonts w:hint="eastAsia" w:asciiTheme="minorEastAsia" w:hAnsiTheme="minorEastAsia" w:eastAsiaTheme="minorEastAsia" w:cstheme="minorEastAsia"/>
          <w:b/>
          <w:bCs/>
          <w:color w:val="auto"/>
          <w:sz w:val="24"/>
          <w:szCs w:val="24"/>
        </w:rPr>
        <w:t>9．纪律和监督</w:t>
      </w:r>
      <w:bookmarkEnd w:id="58"/>
      <w:bookmarkEnd w:id="59"/>
      <w:bookmarkEnd w:id="60"/>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9.1 对采购人的纪律要求</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采购人不得泄漏招标投标活动中应当保密的情况和资料，不得与投标人串通损害国家利益、社会公共利益或者他人合法权益。</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9.2 对投标人的纪律要求</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9.3 对评标委员会成员的纪律要求</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9.4 对与评标活动有关的工作人员的纪律要求</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9.5 投诉</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投标人和其他利害关系人认为本次招标活动违反法律、法规和规章规定的，有权向有关行政监督部门投诉。</w:t>
      </w:r>
    </w:p>
    <w:p>
      <w:pPr>
        <w:spacing w:beforeLines="50" w:afterLines="50" w:line="360" w:lineRule="auto"/>
        <w:rPr>
          <w:rFonts w:asciiTheme="minorEastAsia" w:hAnsiTheme="minorEastAsia" w:eastAsiaTheme="minorEastAsia" w:cstheme="minorEastAsia"/>
          <w:b/>
          <w:bCs/>
          <w:color w:val="auto"/>
          <w:sz w:val="24"/>
          <w:szCs w:val="24"/>
        </w:rPr>
      </w:pPr>
      <w:bookmarkStart w:id="61" w:name="_Toc420591652"/>
      <w:bookmarkStart w:id="62" w:name="_Toc425240473"/>
      <w:bookmarkStart w:id="63" w:name="_Toc421778374"/>
      <w:r>
        <w:rPr>
          <w:rFonts w:hint="eastAsia" w:asciiTheme="minorEastAsia" w:hAnsiTheme="minorEastAsia" w:eastAsiaTheme="minorEastAsia" w:cstheme="minorEastAsia"/>
          <w:b/>
          <w:bCs/>
          <w:color w:val="auto"/>
          <w:sz w:val="24"/>
          <w:szCs w:val="24"/>
        </w:rPr>
        <w:t>10、需要补充的其他内容：</w:t>
      </w:r>
      <w:bookmarkStart w:id="64" w:name="_Toc356305901"/>
      <w:r>
        <w:rPr>
          <w:rFonts w:hint="eastAsia" w:asciiTheme="minorEastAsia" w:hAnsiTheme="minorEastAsia" w:eastAsiaTheme="minorEastAsia" w:cstheme="minorEastAsia"/>
          <w:b/>
          <w:bCs/>
          <w:color w:val="auto"/>
          <w:sz w:val="24"/>
          <w:szCs w:val="24"/>
        </w:rPr>
        <w:t>详见投标人须知前附表</w:t>
      </w:r>
      <w:bookmarkEnd w:id="64"/>
      <w:r>
        <w:rPr>
          <w:rFonts w:hint="eastAsia" w:asciiTheme="minorEastAsia" w:hAnsiTheme="minorEastAsia" w:eastAsiaTheme="minorEastAsia" w:cstheme="minorEastAsia"/>
          <w:b/>
          <w:bCs/>
          <w:color w:val="auto"/>
          <w:sz w:val="24"/>
          <w:szCs w:val="24"/>
        </w:rPr>
        <w:t>。</w:t>
      </w:r>
      <w:bookmarkEnd w:id="61"/>
      <w:bookmarkEnd w:id="62"/>
      <w:bookmarkEnd w:id="63"/>
    </w:p>
    <w:p>
      <w:pPr>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w:t>
      </w:r>
      <w:r>
        <w:rPr>
          <w:rFonts w:asciiTheme="minorEastAsia" w:hAnsiTheme="minorEastAsia" w:eastAsiaTheme="minorEastAsia" w:cstheme="minorEastAsia"/>
          <w:b/>
          <w:bCs/>
          <w:color w:val="auto"/>
          <w:sz w:val="24"/>
          <w:szCs w:val="24"/>
        </w:rPr>
        <w:t>1</w:t>
      </w:r>
      <w:r>
        <w:rPr>
          <w:rFonts w:hint="eastAsia" w:asciiTheme="minorEastAsia" w:hAnsiTheme="minorEastAsia" w:eastAsiaTheme="minorEastAsia" w:cstheme="minorEastAsia"/>
          <w:b/>
          <w:bCs/>
          <w:color w:val="auto"/>
          <w:sz w:val="24"/>
          <w:szCs w:val="24"/>
        </w:rPr>
        <w:t>.质疑</w:t>
      </w:r>
    </w:p>
    <w:p>
      <w:pPr>
        <w:spacing w:line="360" w:lineRule="auto"/>
        <w:ind w:right="12"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.1投标人认为招标文件、招标过程、中标结果使自己的权益受到损害的，可以在知道或者应知其权益受到损害之日起7个工作日内，以书面形式向采购人、采购代理机构提出质疑。</w:t>
      </w:r>
    </w:p>
    <w:p>
      <w:pPr>
        <w:spacing w:line="360" w:lineRule="auto"/>
        <w:ind w:right="12" w:firstLine="480"/>
        <w:rPr>
          <w:rStyle w:val="31"/>
          <w:rFonts w:asciiTheme="minorEastAsia" w:hAnsiTheme="minorEastAsia" w:eastAsiaTheme="minorEastAsia" w:cstheme="minorEastAsia"/>
          <w:bCs w:val="0"/>
          <w:color w:val="auto"/>
          <w:sz w:val="24"/>
          <w:szCs w:val="24"/>
          <w:shd w:val="clear" w:color="auto" w:fill="FFFFFF"/>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.2投标人必须在法定质疑期内一次性提出针对同一采购程序环节的质疑。</w:t>
      </w:r>
    </w:p>
    <w:p>
      <w:pPr>
        <w:spacing w:line="360" w:lineRule="auto"/>
        <w:ind w:left="3" w:firstLine="518" w:firstLineChars="216"/>
        <w:rPr>
          <w:rStyle w:val="31"/>
          <w:rFonts w:asciiTheme="minorEastAsia" w:hAnsiTheme="minorEastAsia" w:eastAsiaTheme="minorEastAsia" w:cstheme="minorEastAsia"/>
          <w:color w:val="auto"/>
          <w:sz w:val="24"/>
          <w:szCs w:val="24"/>
          <w:shd w:val="clear" w:color="auto" w:fill="FFFFFF"/>
        </w:rPr>
      </w:pPr>
      <w:r>
        <w:rPr>
          <w:rStyle w:val="31"/>
          <w:rFonts w:hint="eastAsia" w:asciiTheme="minorEastAsia" w:hAnsiTheme="minorEastAsia" w:eastAsiaTheme="minorEastAsia" w:cstheme="minorEastAsia"/>
          <w:color w:val="auto"/>
          <w:sz w:val="24"/>
          <w:szCs w:val="24"/>
          <w:shd w:val="clear" w:color="auto" w:fill="FFFFFF"/>
        </w:rPr>
        <w:t>1</w:t>
      </w:r>
      <w:r>
        <w:rPr>
          <w:rStyle w:val="31"/>
          <w:rFonts w:asciiTheme="minorEastAsia" w:hAnsiTheme="minorEastAsia" w:eastAsiaTheme="minorEastAsia" w:cstheme="minorEastAsia"/>
          <w:color w:val="auto"/>
          <w:sz w:val="24"/>
          <w:szCs w:val="24"/>
          <w:shd w:val="clear" w:color="auto" w:fill="FFFFFF"/>
        </w:rPr>
        <w:t>1</w:t>
      </w:r>
      <w:r>
        <w:rPr>
          <w:rStyle w:val="31"/>
          <w:rFonts w:hint="eastAsia" w:asciiTheme="minorEastAsia" w:hAnsiTheme="minorEastAsia" w:eastAsiaTheme="minorEastAsia" w:cstheme="minorEastAsia"/>
          <w:color w:val="auto"/>
          <w:sz w:val="24"/>
          <w:szCs w:val="24"/>
          <w:shd w:val="clear" w:color="auto" w:fill="FFFFFF"/>
        </w:rPr>
        <w:t>.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spacing w:line="360" w:lineRule="auto"/>
        <w:ind w:left="3" w:firstLine="518" w:firstLineChars="216"/>
        <w:rPr>
          <w:rStyle w:val="31"/>
          <w:rFonts w:asciiTheme="minorEastAsia" w:hAnsiTheme="minorEastAsia" w:eastAsiaTheme="minorEastAsia" w:cstheme="minorEastAsia"/>
          <w:color w:val="auto"/>
          <w:sz w:val="24"/>
          <w:szCs w:val="24"/>
          <w:shd w:val="clear" w:color="auto" w:fill="FFFFFF"/>
        </w:rPr>
      </w:pPr>
      <w:r>
        <w:rPr>
          <w:rStyle w:val="31"/>
          <w:rFonts w:hint="eastAsia" w:asciiTheme="minorEastAsia" w:hAnsiTheme="minorEastAsia" w:eastAsiaTheme="minorEastAsia" w:cstheme="minorEastAsia"/>
          <w:color w:val="auto"/>
          <w:sz w:val="24"/>
          <w:szCs w:val="24"/>
          <w:shd w:val="clear" w:color="auto" w:fill="FFFFFF"/>
        </w:rPr>
        <w:t>1</w:t>
      </w:r>
      <w:r>
        <w:rPr>
          <w:rStyle w:val="31"/>
          <w:rFonts w:asciiTheme="minorEastAsia" w:hAnsiTheme="minorEastAsia" w:eastAsiaTheme="minorEastAsia" w:cstheme="minorEastAsia"/>
          <w:color w:val="auto"/>
          <w:sz w:val="24"/>
          <w:szCs w:val="24"/>
          <w:shd w:val="clear" w:color="auto" w:fill="FFFFFF"/>
        </w:rPr>
        <w:t>1</w:t>
      </w:r>
      <w:r>
        <w:rPr>
          <w:rStyle w:val="31"/>
          <w:rFonts w:hint="eastAsia" w:asciiTheme="minorEastAsia" w:hAnsiTheme="minorEastAsia" w:eastAsiaTheme="minorEastAsia" w:cstheme="minorEastAsia"/>
          <w:color w:val="auto"/>
          <w:sz w:val="24"/>
          <w:szCs w:val="24"/>
          <w:shd w:val="clear" w:color="auto" w:fill="FFFFFF"/>
        </w:rPr>
        <w:t>.4以联合体形式参加政府采购活动的，其质疑应当由组成联合体的所有投标人共同提出。</w:t>
      </w:r>
    </w:p>
    <w:p>
      <w:pPr>
        <w:spacing w:line="360" w:lineRule="auto"/>
        <w:ind w:right="12" w:firstLine="480" w:firstLineChars="200"/>
        <w:rPr>
          <w:rFonts w:asciiTheme="minorEastAsia" w:hAnsiTheme="minorEastAsia" w:eastAsiaTheme="minorEastAsia" w:cstheme="minorEastAsia"/>
          <w:color w:val="auto"/>
          <w:sz w:val="24"/>
          <w:szCs w:val="24"/>
        </w:rPr>
      </w:pPr>
      <w:r>
        <w:rPr>
          <w:rStyle w:val="31"/>
          <w:rFonts w:hint="eastAsia" w:asciiTheme="minorEastAsia" w:hAnsiTheme="minorEastAsia" w:eastAsiaTheme="minorEastAsia" w:cstheme="minorEastAsia"/>
          <w:color w:val="auto"/>
          <w:sz w:val="24"/>
          <w:szCs w:val="24"/>
          <w:shd w:val="clear" w:color="auto" w:fill="FFFFFF"/>
        </w:rPr>
        <w:t>1</w:t>
      </w:r>
      <w:r>
        <w:rPr>
          <w:rStyle w:val="31"/>
          <w:rFonts w:asciiTheme="minorEastAsia" w:hAnsiTheme="minorEastAsia" w:eastAsiaTheme="minorEastAsia" w:cstheme="minorEastAsia"/>
          <w:color w:val="auto"/>
          <w:sz w:val="24"/>
          <w:szCs w:val="24"/>
          <w:shd w:val="clear" w:color="auto" w:fill="FFFFFF"/>
        </w:rPr>
        <w:t>1</w:t>
      </w:r>
      <w:r>
        <w:rPr>
          <w:rFonts w:hint="eastAsia" w:asciiTheme="minorEastAsia" w:hAnsiTheme="minorEastAsia" w:eastAsiaTheme="minorEastAsia" w:cstheme="minorEastAsia"/>
          <w:color w:val="auto"/>
          <w:sz w:val="24"/>
          <w:szCs w:val="24"/>
        </w:rPr>
        <w:t>.5投标人提出质疑应当提交质疑函和必要的证明材料。质疑函应当包括下列内容：</w:t>
      </w:r>
    </w:p>
    <w:p>
      <w:pPr>
        <w:spacing w:line="360" w:lineRule="auto"/>
        <w:ind w:right="12"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.5.1投标人的姓名或者名称、地址、邮编、联系人及联系电话；</w:t>
      </w:r>
    </w:p>
    <w:p>
      <w:pPr>
        <w:spacing w:line="360" w:lineRule="auto"/>
        <w:ind w:right="12"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.5.2质疑项目的名称、编号；</w:t>
      </w:r>
    </w:p>
    <w:p>
      <w:pPr>
        <w:spacing w:line="360" w:lineRule="auto"/>
        <w:ind w:right="12"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.5.3具体、明确的质疑事项和与质疑事项相关的请求；</w:t>
      </w:r>
    </w:p>
    <w:p>
      <w:pPr>
        <w:spacing w:line="360" w:lineRule="auto"/>
        <w:ind w:right="12"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.5.4事实依据；</w:t>
      </w:r>
    </w:p>
    <w:p>
      <w:pPr>
        <w:spacing w:line="360" w:lineRule="auto"/>
        <w:ind w:right="12"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.5.5必要的法律依据；</w:t>
      </w:r>
    </w:p>
    <w:p>
      <w:pPr>
        <w:spacing w:line="360" w:lineRule="auto"/>
        <w:ind w:right="12" w:firstLine="480" w:firstLineChars="200"/>
        <w:rPr>
          <w:rStyle w:val="31"/>
          <w:rFonts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.5.6提出质疑的日期。</w:t>
      </w:r>
    </w:p>
    <w:p>
      <w:pPr>
        <w:widowControl/>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.6有下列情形之一的，属于无效质疑，采购代理机构和采购人不予受理：</w:t>
      </w:r>
    </w:p>
    <w:p>
      <w:pPr>
        <w:widowControl/>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.6.1质疑投标人不是参与本次政府采购项目的投标人；</w:t>
      </w:r>
    </w:p>
    <w:p>
      <w:pPr>
        <w:widowControl/>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.6.2质疑投标人与质疑事项不存在利害关系的；</w:t>
      </w:r>
    </w:p>
    <w:p>
      <w:pPr>
        <w:widowControl/>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.6.3未在法定期限内提出质疑的；</w:t>
      </w:r>
    </w:p>
    <w:p>
      <w:pPr>
        <w:widowControl/>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.6.4质疑未以书面形式提出，或质疑函主要内容构成不完整的；</w:t>
      </w:r>
    </w:p>
    <w:p>
      <w:pPr>
        <w:widowControl/>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.6.5应当提交授权书而未提交的；</w:t>
      </w:r>
    </w:p>
    <w:p>
      <w:pPr>
        <w:widowControl/>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.6.6以非法手段取得证据、材料的；</w:t>
      </w:r>
    </w:p>
    <w:p>
      <w:pPr>
        <w:widowControl/>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.6.7质疑答复后，同一质疑人就同一事项或同一采购程序环节再次提出质疑的；</w:t>
      </w:r>
    </w:p>
    <w:p>
      <w:pPr>
        <w:widowControl/>
        <w:spacing w:line="360" w:lineRule="auto"/>
        <w:ind w:firstLine="480" w:firstLineChars="200"/>
        <w:rPr>
          <w:rStyle w:val="31"/>
          <w:rFonts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.6.8不符合法律、法规、规章和政府采购监管机构规定的其他条件的。</w:t>
      </w:r>
    </w:p>
    <w:p>
      <w:pPr>
        <w:spacing w:line="360" w:lineRule="auto"/>
        <w:ind w:right="12"/>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.7质疑答复</w:t>
      </w:r>
    </w:p>
    <w:p>
      <w:pPr>
        <w:pStyle w:val="39"/>
        <w:spacing w:line="360" w:lineRule="auto"/>
        <w:ind w:firstLine="48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.7.1采购人或采购代理机构在收到质疑函后7个工作日内作出答复，并以书面形式通知质疑投标人和其他有关投标人。</w:t>
      </w:r>
    </w:p>
    <w:p>
      <w:pPr>
        <w:pStyle w:val="39"/>
        <w:spacing w:line="360" w:lineRule="auto"/>
        <w:ind w:firstLine="480" w:firstLineChars="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.7.2质疑投标人对采购人、采购代理机构的答复不满意，或者采购人、采购代理机构未在规定时间内作出答复的，可以在答复期满后15个工作日内向项目主管财政部门提起投诉。</w:t>
      </w:r>
    </w:p>
    <w:p>
      <w:pPr>
        <w:pStyle w:val="39"/>
        <w:spacing w:line="360" w:lineRule="auto"/>
        <w:ind w:firstLine="480" w:firstLineChars="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8质疑函须按财政部《质疑函范本》给定的格式进行填写，范本下载详见【财政部国库司（gks.mof.gov.cn）】网站〖首页·政府采购管理〗栏目中的《政府采购供应商质疑函范本》。《政府采购供应商质疑函范本》链接地址：</w:t>
      </w:r>
    </w:p>
    <w:p>
      <w:pPr>
        <w:pStyle w:val="39"/>
        <w:spacing w:line="360" w:lineRule="auto"/>
        <w:ind w:firstLine="480" w:firstLineChars="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http://gks.mof.gov.cn/zhengfucaigouguanli/201802/t20180201_2804589.html</w:t>
      </w:r>
    </w:p>
    <w:p>
      <w:pPr>
        <w:pStyle w:val="39"/>
        <w:spacing w:line="360" w:lineRule="auto"/>
        <w:ind w:firstLine="480" w:firstLineChars="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.8.</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接收质疑函的方式：书面形式</w:t>
      </w:r>
    </w:p>
    <w:p>
      <w:pPr>
        <w:pStyle w:val="39"/>
        <w:spacing w:line="360" w:lineRule="auto"/>
        <w:ind w:firstLine="48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.8.</w:t>
      </w:r>
      <w:r>
        <w:rPr>
          <w:rFonts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联系部门：</w:t>
      </w:r>
      <w:r>
        <w:rPr>
          <w:rFonts w:hint="eastAsia" w:asciiTheme="minorEastAsia" w:hAnsiTheme="minorEastAsia" w:eastAsiaTheme="minorEastAsia" w:cstheme="minorEastAsia"/>
          <w:color w:val="auto"/>
          <w:sz w:val="24"/>
          <w:szCs w:val="24"/>
          <w:lang w:eastAsia="zh-CN"/>
        </w:rPr>
        <w:t>中拓达建项目管理有限公司</w:t>
      </w:r>
    </w:p>
    <w:p>
      <w:pPr>
        <w:pStyle w:val="39"/>
        <w:spacing w:line="360" w:lineRule="auto"/>
        <w:ind w:firstLine="480" w:firstLineChars="0"/>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.8.</w:t>
      </w:r>
      <w:r>
        <w:rPr>
          <w:rFonts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rPr>
        <w:t>联系电话：0914-</w:t>
      </w:r>
      <w:r>
        <w:rPr>
          <w:rFonts w:hint="eastAsia" w:asciiTheme="minorEastAsia" w:hAnsiTheme="minorEastAsia" w:eastAsiaTheme="minorEastAsia" w:cstheme="minorEastAsia"/>
          <w:color w:val="auto"/>
          <w:sz w:val="24"/>
          <w:szCs w:val="24"/>
          <w:lang w:val="en-US" w:eastAsia="zh-CN"/>
        </w:rPr>
        <w:t>6323611</w:t>
      </w:r>
    </w:p>
    <w:p>
      <w:p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asciiTheme="minorEastAsia" w:hAnsiTheme="minorEastAsia" w:eastAsiaTheme="minorEastAsia" w:cstheme="minorEastAsia"/>
          <w:color w:val="auto"/>
          <w:sz w:val="24"/>
          <w:szCs w:val="24"/>
        </w:rPr>
        <w:t>11</w:t>
      </w:r>
      <w:r>
        <w:rPr>
          <w:rFonts w:hint="eastAsia" w:asciiTheme="minorEastAsia" w:hAnsiTheme="minorEastAsia" w:eastAsiaTheme="minorEastAsia" w:cstheme="minorEastAsia"/>
          <w:color w:val="auto"/>
          <w:sz w:val="24"/>
          <w:szCs w:val="24"/>
        </w:rPr>
        <w:t>.8.</w:t>
      </w:r>
      <w:r>
        <w:rPr>
          <w:rFonts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通讯地址：</w:t>
      </w:r>
      <w:r>
        <w:rPr>
          <w:rFonts w:hint="eastAsia" w:asciiTheme="minorEastAsia" w:hAnsiTheme="minorEastAsia" w:eastAsiaTheme="minorEastAsia" w:cstheme="minorEastAsia"/>
          <w:color w:val="auto"/>
          <w:sz w:val="24"/>
          <w:szCs w:val="24"/>
          <w:lang w:eastAsia="zh-CN"/>
        </w:rPr>
        <w:t>陕西省商南县滨河路逸安嘉园503室</w:t>
      </w:r>
    </w:p>
    <w:p>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1</w:t>
      </w:r>
      <w:r>
        <w:rPr>
          <w:rFonts w:asciiTheme="minorEastAsia" w:hAnsiTheme="minorEastAsia" w:eastAsiaTheme="minorEastAsia" w:cstheme="minorEastAsia"/>
          <w:b/>
          <w:bCs/>
          <w:color w:val="auto"/>
          <w:sz w:val="24"/>
          <w:szCs w:val="24"/>
        </w:rPr>
        <w:t>2</w:t>
      </w:r>
      <w:r>
        <w:rPr>
          <w:rFonts w:hint="eastAsia" w:asciiTheme="minorEastAsia" w:hAnsiTheme="minorEastAsia" w:eastAsiaTheme="minorEastAsia" w:cstheme="minorEastAsia"/>
          <w:b/>
          <w:bCs/>
          <w:color w:val="auto"/>
          <w:sz w:val="24"/>
          <w:szCs w:val="24"/>
        </w:rPr>
        <w:t>.其他</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.1 废标的情形</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.1.1招标采购中，出现下列情形之一的，应予以废标：</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（1）符合专业条件的投标人或者对招标文件作实质响应的投标人不足3家的；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（2）出现影响采购公正的违法、违规行为的；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（3）投标人的报价均超过了采购预算，采购人不能支付的；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（4）因重大变故，采购任务取消的。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.1.2废标后，采购代理机构应在财政部门指定采购网上公告，并公告废标的详细理由。</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.2变更采购方式</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.2.1存在下列情形之一的，除采购任务取消情形外，采购人经同级财政部门同意后，可按《政府采购货物和服务招标投标管理办法》（财政部87号令）第四十三条规定的方式处理：</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（1）投标截止后参加投标的人不足3家的；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（2）通过资格审查的投标人不足3家的；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（3）通过符合性审查的投标人不足3家的。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.2.2通过符合性审查的投标人只有2家时，经采购人经同意后，可以按《政府采购非招标采购方式管理办法》（财政部第74号令）的规定继续开标。</w:t>
      </w:r>
    </w:p>
    <w:p>
      <w:pPr>
        <w:pStyle w:val="13"/>
        <w:spacing w:line="360" w:lineRule="auto"/>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w:t>
      </w:r>
      <w:r>
        <w:rPr>
          <w:rFonts w:asciiTheme="minorEastAsia" w:hAnsiTheme="minorEastAsia" w:eastAsiaTheme="minorEastAsia" w:cstheme="minorEastAsia"/>
          <w:b/>
          <w:bCs/>
          <w:color w:val="auto"/>
          <w:sz w:val="24"/>
          <w:szCs w:val="24"/>
        </w:rPr>
        <w:t>3</w:t>
      </w:r>
      <w:r>
        <w:rPr>
          <w:rFonts w:hint="eastAsia" w:asciiTheme="minorEastAsia" w:hAnsiTheme="minorEastAsia" w:eastAsiaTheme="minorEastAsia" w:cstheme="minorEastAsia"/>
          <w:b/>
          <w:bCs/>
          <w:color w:val="auto"/>
          <w:sz w:val="24"/>
          <w:szCs w:val="24"/>
        </w:rPr>
        <w:t>.信用担保</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（一）陕西省信用担保及信用融资政策</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i.gov.cn/)重要通知专栏中查询了解。</w:t>
      </w:r>
    </w:p>
    <w:p>
      <w:pPr>
        <w:pStyle w:val="4"/>
        <w:keepNext w:val="0"/>
        <w:pageBreakBefore/>
        <w:numPr>
          <w:ilvl w:val="0"/>
          <w:numId w:val="1"/>
        </w:numPr>
        <w:spacing w:beforeLines="50" w:afterLines="50"/>
        <w:jc w:val="center"/>
        <w:rPr>
          <w:rFonts w:asciiTheme="minorEastAsia" w:hAnsiTheme="minorEastAsia" w:eastAsiaTheme="minorEastAsia" w:cstheme="minorEastAsia"/>
          <w:bCs/>
          <w:color w:val="auto"/>
          <w:sz w:val="36"/>
          <w:szCs w:val="36"/>
        </w:rPr>
      </w:pPr>
      <w:bookmarkStart w:id="65" w:name="_Toc8864"/>
      <w:bookmarkStart w:id="66" w:name="_Toc14086"/>
      <w:bookmarkStart w:id="67" w:name="_Toc13146"/>
      <w:bookmarkStart w:id="68" w:name="_Toc30469"/>
      <w:bookmarkStart w:id="69" w:name="_Toc2711"/>
      <w:bookmarkStart w:id="70" w:name="_Toc389582038"/>
      <w:bookmarkStart w:id="71" w:name="_Toc11450"/>
      <w:bookmarkStart w:id="72" w:name="_Toc23856"/>
      <w:bookmarkStart w:id="73" w:name="_Toc20481"/>
      <w:bookmarkStart w:id="74" w:name="_Toc1025"/>
      <w:bookmarkStart w:id="75" w:name="_Toc4053"/>
      <w:bookmarkStart w:id="76" w:name="_Toc421778377"/>
      <w:bookmarkStart w:id="77" w:name="_Toc19346"/>
      <w:bookmarkStart w:id="78" w:name="_Toc221523521"/>
      <w:bookmarkStart w:id="79" w:name="_Toc351989128"/>
      <w:bookmarkStart w:id="80" w:name="_Toc9479"/>
      <w:r>
        <w:rPr>
          <w:rFonts w:hint="eastAsia" w:asciiTheme="minorEastAsia" w:hAnsiTheme="minorEastAsia" w:eastAsiaTheme="minorEastAsia" w:cstheme="minorEastAsia"/>
          <w:bCs/>
          <w:color w:val="auto"/>
          <w:sz w:val="36"/>
          <w:szCs w:val="36"/>
        </w:rPr>
        <w:t>评审方法</w:t>
      </w:r>
      <w:bookmarkEnd w:id="65"/>
      <w:bookmarkEnd w:id="66"/>
      <w:bookmarkEnd w:id="67"/>
      <w:bookmarkEnd w:id="68"/>
    </w:p>
    <w:bookmarkEnd w:id="69"/>
    <w:bookmarkEnd w:id="70"/>
    <w:bookmarkEnd w:id="71"/>
    <w:bookmarkEnd w:id="72"/>
    <w:bookmarkEnd w:id="73"/>
    <w:bookmarkEnd w:id="74"/>
    <w:bookmarkEnd w:id="75"/>
    <w:p>
      <w:pPr>
        <w:spacing w:beforeLines="50" w:line="360" w:lineRule="auto"/>
        <w:rPr>
          <w:rFonts w:asciiTheme="minorEastAsia" w:hAnsiTheme="minorEastAsia" w:eastAsiaTheme="minorEastAsia" w:cstheme="minorEastAsia"/>
          <w:b/>
          <w:color w:val="auto"/>
          <w:spacing w:val="4"/>
          <w:sz w:val="24"/>
          <w:szCs w:val="24"/>
        </w:rPr>
      </w:pPr>
      <w:r>
        <w:rPr>
          <w:rFonts w:hint="eastAsia" w:asciiTheme="minorEastAsia" w:hAnsiTheme="minorEastAsia" w:eastAsiaTheme="minorEastAsia" w:cstheme="minorEastAsia"/>
          <w:b/>
          <w:color w:val="auto"/>
          <w:spacing w:val="4"/>
          <w:sz w:val="24"/>
          <w:szCs w:val="24"/>
        </w:rPr>
        <w:t>一．评标方法</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照《中华人民共和国政府采购法》及实施条例和中华人民共和国财政部令第87号--《政府采购货物和服务招标投标管理办法》、《中华人民共和国招标投标法》及其实施条例的规定，本次评标采用综合评分法，即在最大限度地满足招标文件实质性要求前提下，按照招标文件中规定的各项因素和相应的权重分值进行综合评审后，以总得分最高的投标人作为中标候选人并依次排序（最低报价不是中标的唯一标准）。</w:t>
      </w:r>
    </w:p>
    <w:p>
      <w:pPr>
        <w:spacing w:beforeLines="50" w:line="360" w:lineRule="auto"/>
        <w:rPr>
          <w:rFonts w:asciiTheme="minorEastAsia" w:hAnsiTheme="minorEastAsia" w:eastAsiaTheme="minorEastAsia" w:cstheme="minorEastAsia"/>
          <w:b/>
          <w:color w:val="auto"/>
          <w:spacing w:val="4"/>
          <w:sz w:val="24"/>
          <w:szCs w:val="24"/>
        </w:rPr>
      </w:pPr>
      <w:r>
        <w:rPr>
          <w:rFonts w:hint="eastAsia" w:asciiTheme="minorEastAsia" w:hAnsiTheme="minorEastAsia" w:eastAsiaTheme="minorEastAsia" w:cstheme="minorEastAsia"/>
          <w:b/>
          <w:color w:val="auto"/>
          <w:spacing w:val="4"/>
          <w:sz w:val="24"/>
          <w:szCs w:val="24"/>
        </w:rPr>
        <w:t>二．评标委员会负责具体评标事务，并独立履行下列职责：</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（一）审查、评价投标文件是否符合招标文件的商务、技术等实质性要求；</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（二）要求投标人对投标文件有关事项作出澄清或者说明；</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（三）对投标文件进行比较和评价；</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（四）确定中标候选人名单，以及根据采购人委托直接确定中标人；</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（五）向采购人、采购代理机构或者有关部门报告评标中发现的违法行为。</w:t>
      </w:r>
    </w:p>
    <w:p>
      <w:pPr>
        <w:spacing w:beforeLines="50" w:line="360" w:lineRule="auto"/>
        <w:rPr>
          <w:rFonts w:asciiTheme="minorEastAsia" w:hAnsiTheme="minorEastAsia" w:eastAsiaTheme="minorEastAsia" w:cstheme="minorEastAsia"/>
          <w:b/>
          <w:color w:val="auto"/>
          <w:spacing w:val="4"/>
          <w:sz w:val="24"/>
          <w:szCs w:val="24"/>
        </w:rPr>
      </w:pPr>
      <w:r>
        <w:rPr>
          <w:rFonts w:hint="eastAsia" w:asciiTheme="minorEastAsia" w:hAnsiTheme="minorEastAsia" w:eastAsiaTheme="minorEastAsia" w:cstheme="minorEastAsia"/>
          <w:b/>
          <w:color w:val="auto"/>
          <w:spacing w:val="4"/>
          <w:sz w:val="24"/>
          <w:szCs w:val="24"/>
        </w:rPr>
        <w:t>三.投标人存在下列情况之一的，投标无效：</w:t>
      </w:r>
    </w:p>
    <w:p>
      <w:pPr>
        <w:tabs>
          <w:tab w:val="left" w:pos="1260"/>
        </w:tabs>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1）没有按照招标文件要求提供的投标文件或投标文件构成有重大缺项；</w:t>
      </w:r>
    </w:p>
    <w:p>
      <w:pPr>
        <w:kinsoku w:val="0"/>
        <w:spacing w:line="360" w:lineRule="auto"/>
        <w:ind w:firstLine="482" w:firstLineChars="200"/>
        <w:rPr>
          <w:rFonts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z w:val="24"/>
          <w:szCs w:val="24"/>
        </w:rPr>
        <w:t>2）投标</w:t>
      </w:r>
      <w:r>
        <w:rPr>
          <w:rFonts w:hint="eastAsia" w:asciiTheme="minorEastAsia" w:hAnsiTheme="minorEastAsia" w:eastAsiaTheme="minorEastAsia" w:cstheme="minorEastAsia"/>
          <w:b/>
          <w:bCs/>
          <w:color w:val="auto"/>
          <w:spacing w:val="-6"/>
          <w:sz w:val="24"/>
          <w:szCs w:val="24"/>
        </w:rPr>
        <w:t>文件</w:t>
      </w:r>
      <w:r>
        <w:rPr>
          <w:rFonts w:hint="eastAsia" w:asciiTheme="minorEastAsia" w:hAnsiTheme="minorEastAsia" w:eastAsiaTheme="minorEastAsia" w:cstheme="minorEastAsia"/>
          <w:b/>
          <w:bCs/>
          <w:color w:val="auto"/>
          <w:sz w:val="24"/>
          <w:szCs w:val="24"/>
        </w:rPr>
        <w:t>未按招标文件要求密封、签署、盖章的；</w:t>
      </w:r>
    </w:p>
    <w:p>
      <w:pPr>
        <w:tabs>
          <w:tab w:val="left" w:pos="1260"/>
        </w:tabs>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3）投标人未提交有效的投标保证金或金额不足的、投标保证金形式不符合招标文件要求的；</w:t>
      </w:r>
    </w:p>
    <w:p>
      <w:pPr>
        <w:tabs>
          <w:tab w:val="left" w:pos="1260"/>
        </w:tabs>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4）资格证明文件不全的或无效的，或不符合国家规定的；</w:t>
      </w:r>
    </w:p>
    <w:p>
      <w:pPr>
        <w:tabs>
          <w:tab w:val="left" w:pos="1260"/>
        </w:tabs>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5）投标文件无投标人公章、无法定代表人或授权人签章或签章人无法定代表人有效委托书的；</w:t>
      </w:r>
    </w:p>
    <w:p>
      <w:pPr>
        <w:tabs>
          <w:tab w:val="left" w:pos="1260"/>
        </w:tabs>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6）</w:t>
      </w:r>
      <w:r>
        <w:rPr>
          <w:rFonts w:hint="eastAsia" w:asciiTheme="minorEastAsia" w:hAnsiTheme="minorEastAsia" w:eastAsiaTheme="minorEastAsia" w:cstheme="minorEastAsia"/>
          <w:b/>
          <w:bCs/>
          <w:color w:val="auto"/>
          <w:spacing w:val="-6"/>
          <w:sz w:val="24"/>
          <w:szCs w:val="24"/>
        </w:rPr>
        <w:t>无投标有效期或有效期达不到招标文件要求的</w:t>
      </w:r>
      <w:r>
        <w:rPr>
          <w:rFonts w:hint="eastAsia" w:asciiTheme="minorEastAsia" w:hAnsiTheme="minorEastAsia" w:eastAsiaTheme="minorEastAsia" w:cstheme="minorEastAsia"/>
          <w:b/>
          <w:bCs/>
          <w:color w:val="auto"/>
          <w:sz w:val="24"/>
          <w:szCs w:val="24"/>
        </w:rPr>
        <w:t>；</w:t>
      </w:r>
    </w:p>
    <w:p>
      <w:pPr>
        <w:tabs>
          <w:tab w:val="left" w:pos="1260"/>
        </w:tabs>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7）投标人在同一份投标文件中，对同一招标产品报有两个或多个报价的；</w:t>
      </w:r>
    </w:p>
    <w:p>
      <w:pPr>
        <w:tabs>
          <w:tab w:val="left" w:pos="1260"/>
        </w:tabs>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8）存在有重大缺漏项和重大技术偏离的投标产品；</w:t>
      </w:r>
    </w:p>
    <w:p>
      <w:pPr>
        <w:tabs>
          <w:tab w:val="left" w:pos="1260"/>
        </w:tabs>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9）投标人有串通投标、以他人名义投标、弄虚作假、行贿等违法行为的；</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10）投标总报价低于成本或者高于招标文件公布的采购预算的。</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11）提供虚假投标文件和资料的。</w:t>
      </w:r>
    </w:p>
    <w:p>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w:t>
      </w: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）法律、法规和招标文件规定的其他无效情形；</w:t>
      </w:r>
    </w:p>
    <w:p>
      <w:pPr>
        <w:spacing w:beforeLines="50" w:line="360" w:lineRule="auto"/>
        <w:rPr>
          <w:rFonts w:asciiTheme="minorEastAsia" w:hAnsiTheme="minorEastAsia" w:eastAsiaTheme="minorEastAsia" w:cstheme="minorEastAsia"/>
          <w:b/>
          <w:color w:val="auto"/>
          <w:spacing w:val="4"/>
          <w:sz w:val="24"/>
          <w:szCs w:val="24"/>
        </w:rPr>
      </w:pPr>
      <w:r>
        <w:rPr>
          <w:rFonts w:hint="eastAsia" w:asciiTheme="minorEastAsia" w:hAnsiTheme="minorEastAsia" w:eastAsiaTheme="minorEastAsia" w:cstheme="minorEastAsia"/>
          <w:b/>
          <w:color w:val="auto"/>
          <w:spacing w:val="4"/>
          <w:sz w:val="24"/>
          <w:szCs w:val="24"/>
        </w:rPr>
        <w:t>四.投标人有下列情形之一的，视为投标人串通投标，其投标无效：</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（一）不同投标人的投标文件由同一单位或者个人编制；</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（二）不同投标人委托同一单位或者个人办理投标事宜；</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（三）不同投标人的投标文件载明的项目管理成员或者联系人员为同一人；</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（四）不同投标人的投标文件异常一致或者投标报价呈规律性差异；</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（五）不同投标人的投标文件相互混装；</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（六）不同投标人的投标保证金从同一单位或者个人的账户转出。</w:t>
      </w:r>
    </w:p>
    <w:p>
      <w:pPr>
        <w:spacing w:beforeLines="50" w:line="360" w:lineRule="auto"/>
        <w:rPr>
          <w:rFonts w:asciiTheme="minorEastAsia" w:hAnsiTheme="minorEastAsia" w:eastAsiaTheme="minorEastAsia" w:cstheme="minorEastAsia"/>
          <w:b/>
          <w:color w:val="auto"/>
          <w:spacing w:val="4"/>
          <w:sz w:val="24"/>
          <w:szCs w:val="24"/>
        </w:rPr>
      </w:pPr>
      <w:r>
        <w:rPr>
          <w:rFonts w:hint="eastAsia" w:asciiTheme="minorEastAsia" w:hAnsiTheme="minorEastAsia" w:eastAsiaTheme="minorEastAsia" w:cstheme="minorEastAsia"/>
          <w:b/>
          <w:color w:val="auto"/>
          <w:spacing w:val="4"/>
          <w:sz w:val="24"/>
          <w:szCs w:val="24"/>
        </w:rPr>
        <w:t>五. 评标程序</w:t>
      </w:r>
    </w:p>
    <w:p>
      <w:pPr>
        <w:spacing w:line="360" w:lineRule="auto"/>
        <w:ind w:firstLine="482"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1、投标文件的资格性审查：</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评标委员会</w:t>
      </w:r>
      <w:r>
        <w:rPr>
          <w:rFonts w:hint="eastAsia" w:asciiTheme="minorEastAsia" w:hAnsiTheme="minorEastAsia" w:eastAsiaTheme="minorEastAsia" w:cstheme="minorEastAsia"/>
          <w:color w:val="auto"/>
          <w:sz w:val="24"/>
          <w:szCs w:val="24"/>
        </w:rPr>
        <w:t>对投标人的投标文件进行资格性审查，以确定其是否满足招标文件的资格要求。</w:t>
      </w:r>
    </w:p>
    <w:p>
      <w:pPr>
        <w:spacing w:line="360" w:lineRule="auto"/>
        <w:ind w:firstLine="482"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2、投标文件的符合性审查：</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评标委员会对符合资格的投标人的投标文件进行符合性审查，以确定其是否满足招标文件的商务、技术等实质性要求。</w:t>
      </w:r>
    </w:p>
    <w:p>
      <w:pPr>
        <w:spacing w:line="360" w:lineRule="auto"/>
        <w:ind w:firstLine="482"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3、评标委员会对报价明显偏低的审查：</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2"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4、澄清有关问题：</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4.2投标文件报价出现前后不一致的，按照下列规定修正：</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（一）大写金额和小写金额不一致的，以大写金额为准；</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（二）单价金额小数点或者百分比有明显错位的，以开标一览表的总价为准，并修改单价；</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（三）总价金额与按单价汇总金额不一致的，以单价金额计算结果为准。</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同时出现两种以上不一致的，按照前款规定的顺序修正。修正后的报价经投标人书面确认后产生约束力，投标人不确认的，其投标无效。</w:t>
      </w:r>
    </w:p>
    <w:p>
      <w:pPr>
        <w:spacing w:line="360" w:lineRule="auto"/>
        <w:jc w:val="lef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5、需要落实的政府采购政策</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投标企业政府采购政策</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5.1.1中小企业落实政府采购政策</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（1）中小企业应符合工信部联企业[2011]300号文件规定，采购活动执行《政府采购促进中小企业发展暂行办法》的规定。</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（2）投标供应商出具《中小企业声明函》，由评委会审定，符合条件的企业享受政府采购政策。</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5.1.2监狱和戒毒企业应符合《财政部司法部关于政府采购支持监狱企业发展有关问题的通知》--财库〔2014〕68号，并提供由省级以上监狱管理局、戒毒管理局(含新疆生产建设兵团)出具的属于监狱企业的证明。</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5.1.3投标供应商应如实提供以上证明文件，如存在虚假应标，将取消其投标资格。</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5.2投标产品政府采购政策</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5.2.1节能产品根据《国务院办公厅关于建立政府强制采购节能产品制度的通知》（国办发〔2007〕51号）的规定，以中国政府采购网（http://www.ccgp.gov.cn/）公布的最新一期节能产品政府采购清单为准。</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5.2.2环境标志产品根据《环境标志产品政府采购实施的意见》（财库[2006]90号）的规定，以中国政府采购网（http://www.ccgp.gov.cn/）公布的最新一期环境标志产品政府采购清单为准。</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5.2.3投标单位在投标文件中对所投标产品为节能、环保、环境标志产品清单中的产品，在投标总报价时必须对此类产品单独分项报价，计算出小计及占投标总报价总金额的百分比，并提供属于清单内产品的证明资料（从中国政府采购网上下载的网页公告等），未提供节能、环保、环境标志产品计分明细表及属于清单内产品的证明资料的不给予计分。</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5.2.4若节能、环保、环境标志清单内的产品仅是构成投标产品的部件、组件或零件的，则该投标产品不享受鼓励优惠政策。</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5.2.5同一标段的节能、环保、环境标志产品部分计分只对属于清单内的非强制类产品进行计分，强制类产品不给予计分。 </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5.2.6节能、环保、环境标志产品不重复计分；同时列入国家级清单和省级清单的产品不重复计分。</w:t>
      </w:r>
    </w:p>
    <w:p>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5.2.7获得上述认证的产品在投标时应提供有效证明材料。以上所有证明文件复印件须加盖投标供应商公章并注明“与原件一致”，否则不予计分。</w:t>
      </w:r>
    </w:p>
    <w:p>
      <w:pPr>
        <w:spacing w:beforeLines="50" w:line="360" w:lineRule="auto"/>
        <w:rPr>
          <w:rFonts w:asciiTheme="minorEastAsia" w:hAnsiTheme="minorEastAsia" w:eastAsiaTheme="minorEastAsia" w:cstheme="minorEastAsia"/>
          <w:b/>
          <w:color w:val="auto"/>
          <w:spacing w:val="4"/>
          <w:sz w:val="24"/>
          <w:szCs w:val="24"/>
        </w:rPr>
      </w:pPr>
      <w:r>
        <w:rPr>
          <w:rFonts w:hint="eastAsia" w:asciiTheme="minorEastAsia" w:hAnsiTheme="minorEastAsia" w:eastAsiaTheme="minorEastAsia" w:cstheme="minorEastAsia"/>
          <w:b/>
          <w:color w:val="auto"/>
          <w:spacing w:val="4"/>
          <w:sz w:val="24"/>
          <w:szCs w:val="24"/>
        </w:rPr>
        <w:t>6、比较与评价：</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评委会各成员按照《评审因素量化赋分表》规定的内容，独立进行综合比较、评价打分。</w:t>
      </w:r>
    </w:p>
    <w:p>
      <w:pPr>
        <w:spacing w:beforeLines="50" w:line="360" w:lineRule="auto"/>
        <w:rPr>
          <w:rFonts w:asciiTheme="minorEastAsia" w:hAnsiTheme="minorEastAsia" w:eastAsiaTheme="minorEastAsia" w:cstheme="minorEastAsia"/>
          <w:b/>
          <w:color w:val="auto"/>
          <w:spacing w:val="4"/>
          <w:sz w:val="24"/>
          <w:szCs w:val="24"/>
        </w:rPr>
      </w:pPr>
      <w:r>
        <w:rPr>
          <w:rFonts w:hint="eastAsia" w:asciiTheme="minorEastAsia" w:hAnsiTheme="minorEastAsia" w:eastAsiaTheme="minorEastAsia" w:cstheme="minorEastAsia"/>
          <w:b/>
          <w:color w:val="auto"/>
          <w:spacing w:val="4"/>
          <w:sz w:val="24"/>
          <w:szCs w:val="24"/>
        </w:rPr>
        <w:t>7、推荐中标候选人名单：</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7.1汇总全体评委对每个投标人的赋分，计算出每个投标人的综合得分，按标段得分从高到低顺序排列，推荐前1～3名为中标候选人。</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7.2得分相同的，按投标报价由低到高顺序排列。得分且投标报价相同的并列。</w:t>
      </w:r>
    </w:p>
    <w:p>
      <w:pPr>
        <w:spacing w:line="360" w:lineRule="auto"/>
        <w:ind w:right="40" w:rightChars="19" w:firstLine="42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Cs w:val="28"/>
        </w:rPr>
        <w:br w:type="page"/>
      </w:r>
    </w:p>
    <w:p>
      <w:pPr>
        <w:pStyle w:val="13"/>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b/>
          <w:bCs/>
          <w:color w:val="auto"/>
          <w:szCs w:val="28"/>
        </w:rPr>
        <w:t>附件1：</w:t>
      </w:r>
    </w:p>
    <w:p>
      <w:pPr>
        <w:pStyle w:val="13"/>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初步审查要素表</w:t>
      </w:r>
    </w:p>
    <w:tbl>
      <w:tblPr>
        <w:tblStyle w:val="28"/>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560"/>
        <w:gridCol w:w="522"/>
        <w:gridCol w:w="2185"/>
        <w:gridCol w:w="5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04" w:type="dxa"/>
            <w:gridSpan w:val="2"/>
            <w:vAlign w:val="center"/>
          </w:tcPr>
          <w:p>
            <w:pPr>
              <w:tabs>
                <w:tab w:val="left" w:pos="0"/>
              </w:tabs>
              <w:adjustRightInd w:val="0"/>
              <w:snapToGrid w:val="0"/>
              <w:jc w:val="center"/>
              <w:rPr>
                <w:rFonts w:ascii="宋体" w:hAnsi="宋体" w:cs="宋体"/>
                <w:b/>
                <w:color w:val="auto"/>
                <w:sz w:val="24"/>
                <w:szCs w:val="24"/>
              </w:rPr>
            </w:pPr>
            <w:r>
              <w:rPr>
                <w:rFonts w:hint="eastAsia" w:ascii="宋体" w:hAnsi="宋体" w:cs="宋体"/>
                <w:b/>
                <w:color w:val="auto"/>
                <w:sz w:val="24"/>
                <w:szCs w:val="24"/>
              </w:rPr>
              <w:t>条款号</w:t>
            </w:r>
          </w:p>
        </w:tc>
        <w:tc>
          <w:tcPr>
            <w:tcW w:w="2707" w:type="dxa"/>
            <w:gridSpan w:val="2"/>
            <w:vAlign w:val="center"/>
          </w:tcPr>
          <w:p>
            <w:pPr>
              <w:tabs>
                <w:tab w:val="left" w:pos="0"/>
              </w:tabs>
              <w:adjustRightInd w:val="0"/>
              <w:snapToGrid w:val="0"/>
              <w:jc w:val="center"/>
              <w:rPr>
                <w:rFonts w:ascii="宋体" w:hAnsi="宋体" w:cs="宋体"/>
                <w:b/>
                <w:color w:val="auto"/>
                <w:sz w:val="24"/>
                <w:szCs w:val="24"/>
              </w:rPr>
            </w:pPr>
            <w:r>
              <w:rPr>
                <w:rFonts w:hint="eastAsia" w:ascii="宋体" w:hAnsi="宋体" w:cs="宋体"/>
                <w:b/>
                <w:color w:val="auto"/>
                <w:sz w:val="24"/>
                <w:szCs w:val="24"/>
              </w:rPr>
              <w:t>评审因素</w:t>
            </w:r>
          </w:p>
        </w:tc>
        <w:tc>
          <w:tcPr>
            <w:tcW w:w="5170" w:type="dxa"/>
            <w:vAlign w:val="center"/>
          </w:tcPr>
          <w:p>
            <w:pPr>
              <w:tabs>
                <w:tab w:val="left" w:pos="0"/>
              </w:tabs>
              <w:adjustRightInd w:val="0"/>
              <w:snapToGrid w:val="0"/>
              <w:jc w:val="center"/>
              <w:rPr>
                <w:rFonts w:ascii="宋体" w:hAnsi="宋体" w:cs="宋体"/>
                <w:b/>
                <w:color w:val="auto"/>
                <w:sz w:val="24"/>
                <w:szCs w:val="24"/>
              </w:rPr>
            </w:pPr>
            <w:r>
              <w:rPr>
                <w:rFonts w:hint="eastAsia" w:ascii="宋体" w:hAnsi="宋体" w:cs="宋体"/>
                <w:b/>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844" w:type="dxa"/>
            <w:vMerge w:val="restart"/>
            <w:vAlign w:val="center"/>
          </w:tcPr>
          <w:p>
            <w:pPr>
              <w:tabs>
                <w:tab w:val="left" w:pos="0"/>
              </w:tabs>
              <w:adjustRightInd w:val="0"/>
              <w:snapToGrid w:val="0"/>
              <w:jc w:val="center"/>
              <w:rPr>
                <w:rFonts w:ascii="宋体" w:hAnsi="宋体" w:cs="宋体"/>
                <w:b/>
                <w:color w:val="auto"/>
                <w:sz w:val="24"/>
                <w:szCs w:val="24"/>
              </w:rPr>
            </w:pPr>
            <w:r>
              <w:rPr>
                <w:rFonts w:hint="eastAsia" w:ascii="宋体" w:hAnsi="宋体" w:cs="宋体"/>
                <w:b/>
                <w:color w:val="auto"/>
                <w:sz w:val="24"/>
                <w:szCs w:val="24"/>
              </w:rPr>
              <w:t>2.1.1</w:t>
            </w:r>
          </w:p>
        </w:tc>
        <w:tc>
          <w:tcPr>
            <w:tcW w:w="560" w:type="dxa"/>
            <w:vMerge w:val="restart"/>
            <w:vAlign w:val="center"/>
          </w:tcPr>
          <w:p>
            <w:pPr>
              <w:tabs>
                <w:tab w:val="left" w:pos="0"/>
              </w:tabs>
              <w:adjustRightInd w:val="0"/>
              <w:snapToGrid w:val="0"/>
              <w:jc w:val="center"/>
              <w:rPr>
                <w:rFonts w:ascii="宋体" w:hAnsi="宋体" w:cs="宋体"/>
                <w:b/>
                <w:color w:val="auto"/>
                <w:sz w:val="24"/>
                <w:szCs w:val="24"/>
              </w:rPr>
            </w:pPr>
            <w:r>
              <w:rPr>
                <w:rFonts w:hint="eastAsia" w:ascii="宋体" w:hAnsi="宋体" w:cs="宋体"/>
                <w:b/>
                <w:color w:val="auto"/>
                <w:sz w:val="24"/>
                <w:szCs w:val="24"/>
              </w:rPr>
              <w:t>资格评审</w:t>
            </w:r>
          </w:p>
          <w:p>
            <w:pPr>
              <w:tabs>
                <w:tab w:val="left" w:pos="0"/>
              </w:tabs>
              <w:adjustRightInd w:val="0"/>
              <w:snapToGrid w:val="0"/>
              <w:jc w:val="center"/>
              <w:rPr>
                <w:rFonts w:ascii="宋体" w:hAnsi="宋体" w:cs="宋体"/>
                <w:b/>
                <w:color w:val="auto"/>
                <w:sz w:val="24"/>
                <w:szCs w:val="24"/>
              </w:rPr>
            </w:pPr>
            <w:r>
              <w:rPr>
                <w:rFonts w:hint="eastAsia" w:ascii="宋体" w:hAnsi="宋体" w:cs="宋体"/>
                <w:b/>
                <w:color w:val="auto"/>
                <w:sz w:val="24"/>
                <w:szCs w:val="24"/>
              </w:rPr>
              <w:t>标准</w:t>
            </w:r>
          </w:p>
        </w:tc>
        <w:tc>
          <w:tcPr>
            <w:tcW w:w="2707" w:type="dxa"/>
            <w:gridSpan w:val="2"/>
            <w:vAlign w:val="center"/>
          </w:tcPr>
          <w:p>
            <w:pPr>
              <w:tabs>
                <w:tab w:val="left" w:pos="0"/>
              </w:tabs>
              <w:adjustRightInd w:val="0"/>
              <w:snapToGrid w:val="0"/>
              <w:jc w:val="center"/>
              <w:rPr>
                <w:rFonts w:ascii="宋体" w:hAnsi="宋体" w:cs="宋体"/>
                <w:b/>
                <w:color w:val="auto"/>
                <w:sz w:val="24"/>
                <w:szCs w:val="24"/>
              </w:rPr>
            </w:pPr>
            <w:r>
              <w:rPr>
                <w:rFonts w:hint="eastAsia" w:ascii="宋体" w:hAnsi="宋体" w:cs="宋体"/>
                <w:b/>
                <w:color w:val="auto"/>
                <w:sz w:val="24"/>
                <w:szCs w:val="24"/>
              </w:rPr>
              <w:t>营业执照等主体资格证明文件</w:t>
            </w:r>
          </w:p>
        </w:tc>
        <w:tc>
          <w:tcPr>
            <w:tcW w:w="5170" w:type="dxa"/>
            <w:vAlign w:val="center"/>
          </w:tcPr>
          <w:p>
            <w:pPr>
              <w:tabs>
                <w:tab w:val="left" w:pos="0"/>
              </w:tabs>
              <w:adjustRightInd w:val="0"/>
              <w:snapToGrid w:val="0"/>
              <w:jc w:val="left"/>
              <w:rPr>
                <w:rFonts w:ascii="宋体" w:hAnsi="宋体" w:cs="宋体"/>
                <w:color w:val="auto"/>
                <w:sz w:val="24"/>
                <w:szCs w:val="24"/>
              </w:rPr>
            </w:pPr>
            <w:r>
              <w:rPr>
                <w:rFonts w:hint="eastAsia" w:ascii="宋体" w:hAnsi="宋体" w:cs="宋体"/>
                <w:color w:val="auto"/>
                <w:sz w:val="24"/>
                <w:szCs w:val="24"/>
              </w:rPr>
              <w:t>提供合格有效的法人或者其他组织的营业执照等证明文件自然人的身份证明；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844" w:type="dxa"/>
            <w:vMerge w:val="continue"/>
            <w:vAlign w:val="center"/>
          </w:tcPr>
          <w:p>
            <w:pPr>
              <w:tabs>
                <w:tab w:val="left" w:pos="0"/>
              </w:tabs>
              <w:adjustRightInd w:val="0"/>
              <w:snapToGrid w:val="0"/>
              <w:jc w:val="center"/>
              <w:rPr>
                <w:rFonts w:ascii="宋体" w:hAnsi="宋体" w:cs="宋体"/>
                <w:b/>
                <w:color w:val="auto"/>
                <w:sz w:val="24"/>
                <w:szCs w:val="24"/>
              </w:rPr>
            </w:pPr>
          </w:p>
        </w:tc>
        <w:tc>
          <w:tcPr>
            <w:tcW w:w="560" w:type="dxa"/>
            <w:vMerge w:val="continue"/>
            <w:vAlign w:val="center"/>
          </w:tcPr>
          <w:p>
            <w:pPr>
              <w:tabs>
                <w:tab w:val="left" w:pos="0"/>
              </w:tabs>
              <w:adjustRightInd w:val="0"/>
              <w:snapToGrid w:val="0"/>
              <w:jc w:val="center"/>
              <w:rPr>
                <w:rFonts w:ascii="宋体" w:hAnsi="宋体" w:cs="宋体"/>
                <w:b/>
                <w:color w:val="auto"/>
                <w:sz w:val="24"/>
                <w:szCs w:val="24"/>
              </w:rPr>
            </w:pPr>
          </w:p>
        </w:tc>
        <w:tc>
          <w:tcPr>
            <w:tcW w:w="2707" w:type="dxa"/>
            <w:gridSpan w:val="2"/>
            <w:vAlign w:val="center"/>
          </w:tcPr>
          <w:p>
            <w:pPr>
              <w:tabs>
                <w:tab w:val="left" w:pos="0"/>
              </w:tabs>
              <w:adjustRightInd w:val="0"/>
              <w:snapToGrid w:val="0"/>
              <w:jc w:val="center"/>
              <w:rPr>
                <w:rFonts w:ascii="宋体" w:hAnsi="宋体" w:cs="宋体"/>
                <w:b/>
                <w:color w:val="auto"/>
                <w:sz w:val="24"/>
                <w:szCs w:val="24"/>
              </w:rPr>
            </w:pPr>
            <w:r>
              <w:rPr>
                <w:rFonts w:hint="eastAsia" w:ascii="宋体" w:hAnsi="宋体" w:cs="宋体"/>
                <w:b/>
                <w:color w:val="auto"/>
                <w:sz w:val="24"/>
                <w:szCs w:val="24"/>
              </w:rPr>
              <w:t>法定代表人授权书/法定</w:t>
            </w:r>
          </w:p>
          <w:p>
            <w:pPr>
              <w:tabs>
                <w:tab w:val="left" w:pos="0"/>
              </w:tabs>
              <w:adjustRightInd w:val="0"/>
              <w:snapToGrid w:val="0"/>
              <w:jc w:val="center"/>
              <w:rPr>
                <w:rFonts w:ascii="宋体" w:hAnsi="宋体" w:cs="宋体"/>
                <w:b/>
                <w:color w:val="auto"/>
                <w:sz w:val="24"/>
                <w:szCs w:val="24"/>
              </w:rPr>
            </w:pPr>
            <w:r>
              <w:rPr>
                <w:rFonts w:hint="eastAsia" w:ascii="宋体" w:hAnsi="宋体" w:cs="宋体"/>
                <w:b/>
                <w:color w:val="auto"/>
                <w:sz w:val="24"/>
                <w:szCs w:val="24"/>
              </w:rPr>
              <w:t>代表人身份证明</w:t>
            </w:r>
          </w:p>
        </w:tc>
        <w:tc>
          <w:tcPr>
            <w:tcW w:w="5170" w:type="dxa"/>
            <w:vAlign w:val="center"/>
          </w:tcPr>
          <w:p>
            <w:pPr>
              <w:tabs>
                <w:tab w:val="left" w:pos="0"/>
              </w:tabs>
              <w:adjustRightInd w:val="0"/>
              <w:snapToGrid w:val="0"/>
              <w:jc w:val="left"/>
              <w:rPr>
                <w:rFonts w:ascii="宋体" w:hAnsi="宋体" w:cs="宋体"/>
                <w:color w:val="auto"/>
                <w:sz w:val="24"/>
                <w:szCs w:val="24"/>
              </w:rPr>
            </w:pPr>
            <w:r>
              <w:rPr>
                <w:rFonts w:hint="eastAsia" w:ascii="宋体" w:hAnsi="宋体" w:cs="宋体"/>
                <w:color w:val="auto"/>
                <w:sz w:val="24"/>
                <w:szCs w:val="24"/>
              </w:rPr>
              <w:t>法定代表人授权书（附法定代表人、被授权人身份证复印件）及被授权人身份证原件（法定代表人直接参加投标，须提供法定代表人身份证明及身份证原件）；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 w:type="dxa"/>
            <w:vMerge w:val="continue"/>
            <w:vAlign w:val="center"/>
          </w:tcPr>
          <w:p>
            <w:pPr>
              <w:tabs>
                <w:tab w:val="left" w:pos="0"/>
              </w:tabs>
              <w:adjustRightInd w:val="0"/>
              <w:snapToGrid w:val="0"/>
              <w:jc w:val="center"/>
              <w:rPr>
                <w:rFonts w:ascii="宋体" w:hAnsi="宋体" w:cs="宋体"/>
                <w:b/>
                <w:color w:val="auto"/>
                <w:sz w:val="24"/>
                <w:szCs w:val="24"/>
              </w:rPr>
            </w:pPr>
          </w:p>
        </w:tc>
        <w:tc>
          <w:tcPr>
            <w:tcW w:w="560" w:type="dxa"/>
            <w:vMerge w:val="continue"/>
            <w:vAlign w:val="center"/>
          </w:tcPr>
          <w:p>
            <w:pPr>
              <w:tabs>
                <w:tab w:val="left" w:pos="0"/>
              </w:tabs>
              <w:adjustRightInd w:val="0"/>
              <w:snapToGrid w:val="0"/>
              <w:jc w:val="center"/>
              <w:rPr>
                <w:rFonts w:ascii="宋体" w:hAnsi="宋体" w:cs="宋体"/>
                <w:b/>
                <w:color w:val="auto"/>
                <w:sz w:val="24"/>
                <w:szCs w:val="24"/>
              </w:rPr>
            </w:pPr>
          </w:p>
        </w:tc>
        <w:tc>
          <w:tcPr>
            <w:tcW w:w="2707" w:type="dxa"/>
            <w:gridSpan w:val="2"/>
            <w:vAlign w:val="center"/>
          </w:tcPr>
          <w:p>
            <w:pPr>
              <w:tabs>
                <w:tab w:val="left" w:pos="0"/>
              </w:tabs>
              <w:adjustRightInd w:val="0"/>
              <w:snapToGrid w:val="0"/>
              <w:jc w:val="center"/>
              <w:rPr>
                <w:rFonts w:ascii="宋体" w:hAnsi="宋体" w:cs="宋体"/>
                <w:b/>
                <w:color w:val="auto"/>
                <w:sz w:val="24"/>
                <w:szCs w:val="24"/>
              </w:rPr>
            </w:pPr>
            <w:r>
              <w:rPr>
                <w:rFonts w:hint="eastAsia" w:ascii="宋体" w:hAnsi="宋体" w:cs="宋体"/>
                <w:b/>
                <w:color w:val="auto"/>
                <w:sz w:val="24"/>
                <w:szCs w:val="24"/>
              </w:rPr>
              <w:t>财务状况</w:t>
            </w:r>
          </w:p>
        </w:tc>
        <w:tc>
          <w:tcPr>
            <w:tcW w:w="5170" w:type="dxa"/>
            <w:vAlign w:val="center"/>
          </w:tcPr>
          <w:p>
            <w:pPr>
              <w:pStyle w:val="12"/>
              <w:rPr>
                <w:color w:val="auto"/>
              </w:rPr>
            </w:pPr>
            <w:r>
              <w:rPr>
                <w:rFonts w:hint="eastAsia" w:ascii="宋体" w:hAnsi="宋体" w:cs="宋体"/>
                <w:color w:val="auto"/>
                <w:kern w:val="0"/>
                <w:sz w:val="24"/>
                <w:szCs w:val="24"/>
              </w:rPr>
              <w:t>提供202</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年度的财务审计报告（至少包括资产负债表和利润表，成立时间至提交投标文件截止时间不足一年的可提供成立后任意时段的资产负债表），或其基本存款账户开户银行出具的资信证明及基本存款账户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 w:type="dxa"/>
            <w:vMerge w:val="continue"/>
            <w:vAlign w:val="center"/>
          </w:tcPr>
          <w:p>
            <w:pPr>
              <w:tabs>
                <w:tab w:val="left" w:pos="0"/>
              </w:tabs>
              <w:adjustRightInd w:val="0"/>
              <w:snapToGrid w:val="0"/>
              <w:jc w:val="center"/>
              <w:rPr>
                <w:rFonts w:ascii="宋体" w:hAnsi="宋体" w:cs="宋体"/>
                <w:b/>
                <w:color w:val="auto"/>
                <w:sz w:val="24"/>
                <w:szCs w:val="24"/>
              </w:rPr>
            </w:pPr>
          </w:p>
        </w:tc>
        <w:tc>
          <w:tcPr>
            <w:tcW w:w="560" w:type="dxa"/>
            <w:vMerge w:val="continue"/>
            <w:vAlign w:val="center"/>
          </w:tcPr>
          <w:p>
            <w:pPr>
              <w:tabs>
                <w:tab w:val="left" w:pos="0"/>
              </w:tabs>
              <w:adjustRightInd w:val="0"/>
              <w:snapToGrid w:val="0"/>
              <w:jc w:val="center"/>
              <w:rPr>
                <w:rFonts w:ascii="宋体" w:hAnsi="宋体" w:cs="宋体"/>
                <w:b/>
                <w:color w:val="auto"/>
                <w:sz w:val="24"/>
                <w:szCs w:val="24"/>
              </w:rPr>
            </w:pPr>
          </w:p>
        </w:tc>
        <w:tc>
          <w:tcPr>
            <w:tcW w:w="2707" w:type="dxa"/>
            <w:gridSpan w:val="2"/>
            <w:vAlign w:val="center"/>
          </w:tcPr>
          <w:p>
            <w:pPr>
              <w:tabs>
                <w:tab w:val="left" w:pos="0"/>
              </w:tabs>
              <w:adjustRightInd w:val="0"/>
              <w:snapToGrid w:val="0"/>
              <w:jc w:val="center"/>
              <w:rPr>
                <w:rFonts w:ascii="宋体" w:hAnsi="宋体" w:cs="宋体"/>
                <w:b/>
                <w:color w:val="auto"/>
                <w:sz w:val="24"/>
                <w:szCs w:val="24"/>
              </w:rPr>
            </w:pPr>
            <w:r>
              <w:rPr>
                <w:rFonts w:hint="eastAsia" w:ascii="宋体" w:hAnsi="宋体" w:cs="宋体"/>
                <w:b/>
                <w:color w:val="auto"/>
                <w:sz w:val="24"/>
                <w:szCs w:val="24"/>
              </w:rPr>
              <w:t>税收缴纳证明</w:t>
            </w:r>
          </w:p>
        </w:tc>
        <w:tc>
          <w:tcPr>
            <w:tcW w:w="5170" w:type="dxa"/>
            <w:vAlign w:val="center"/>
          </w:tcPr>
          <w:p>
            <w:pPr>
              <w:tabs>
                <w:tab w:val="left" w:pos="0"/>
              </w:tabs>
              <w:adjustRightInd w:val="0"/>
              <w:snapToGrid w:val="0"/>
              <w:jc w:val="left"/>
              <w:rPr>
                <w:rFonts w:ascii="宋体" w:hAnsi="宋体" w:cs="宋体"/>
                <w:color w:val="auto"/>
                <w:kern w:val="0"/>
                <w:sz w:val="24"/>
                <w:szCs w:val="24"/>
              </w:rPr>
            </w:pPr>
            <w:r>
              <w:rPr>
                <w:rFonts w:hint="eastAsia" w:ascii="宋体" w:hAnsi="宋体" w:cs="宋体"/>
                <w:color w:val="auto"/>
                <w:kern w:val="0"/>
                <w:sz w:val="24"/>
                <w:szCs w:val="24"/>
              </w:rPr>
              <w:t>提供投标截止日前近一年内任意一个月的纳税证明或完税证明（任意税种），依法免税的单位应提供相关证明材料；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844" w:type="dxa"/>
            <w:vMerge w:val="continue"/>
            <w:vAlign w:val="center"/>
          </w:tcPr>
          <w:p>
            <w:pPr>
              <w:tabs>
                <w:tab w:val="left" w:pos="0"/>
              </w:tabs>
              <w:adjustRightInd w:val="0"/>
              <w:snapToGrid w:val="0"/>
              <w:jc w:val="center"/>
              <w:rPr>
                <w:rFonts w:ascii="宋体" w:hAnsi="宋体" w:cs="宋体"/>
                <w:b/>
                <w:color w:val="auto"/>
                <w:sz w:val="24"/>
                <w:szCs w:val="24"/>
              </w:rPr>
            </w:pPr>
          </w:p>
        </w:tc>
        <w:tc>
          <w:tcPr>
            <w:tcW w:w="560" w:type="dxa"/>
            <w:vMerge w:val="continue"/>
            <w:vAlign w:val="center"/>
          </w:tcPr>
          <w:p>
            <w:pPr>
              <w:tabs>
                <w:tab w:val="left" w:pos="0"/>
              </w:tabs>
              <w:adjustRightInd w:val="0"/>
              <w:snapToGrid w:val="0"/>
              <w:jc w:val="center"/>
              <w:rPr>
                <w:rFonts w:ascii="宋体" w:hAnsi="宋体" w:cs="宋体"/>
                <w:b/>
                <w:color w:val="auto"/>
                <w:sz w:val="24"/>
                <w:szCs w:val="24"/>
              </w:rPr>
            </w:pPr>
          </w:p>
        </w:tc>
        <w:tc>
          <w:tcPr>
            <w:tcW w:w="2707" w:type="dxa"/>
            <w:gridSpan w:val="2"/>
            <w:vAlign w:val="center"/>
          </w:tcPr>
          <w:p>
            <w:pPr>
              <w:tabs>
                <w:tab w:val="left" w:pos="0"/>
              </w:tabs>
              <w:adjustRightInd w:val="0"/>
              <w:snapToGrid w:val="0"/>
              <w:jc w:val="center"/>
              <w:rPr>
                <w:rFonts w:ascii="宋体" w:hAnsi="宋体" w:cs="宋体"/>
                <w:b/>
                <w:color w:val="auto"/>
                <w:sz w:val="24"/>
                <w:szCs w:val="24"/>
              </w:rPr>
            </w:pPr>
            <w:r>
              <w:rPr>
                <w:rFonts w:hint="eastAsia" w:ascii="宋体" w:hAnsi="宋体" w:cs="宋体"/>
                <w:b/>
                <w:color w:val="auto"/>
                <w:sz w:val="24"/>
                <w:szCs w:val="24"/>
              </w:rPr>
              <w:t>社会保障资金缴纳证明</w:t>
            </w:r>
          </w:p>
        </w:tc>
        <w:tc>
          <w:tcPr>
            <w:tcW w:w="5170" w:type="dxa"/>
            <w:vAlign w:val="center"/>
          </w:tcPr>
          <w:p>
            <w:pPr>
              <w:tabs>
                <w:tab w:val="left" w:pos="0"/>
              </w:tabs>
              <w:adjustRightInd w:val="0"/>
              <w:snapToGrid w:val="0"/>
              <w:jc w:val="left"/>
              <w:rPr>
                <w:rFonts w:ascii="宋体" w:hAnsi="宋体" w:cs="宋体"/>
                <w:color w:val="auto"/>
                <w:kern w:val="0"/>
                <w:sz w:val="24"/>
                <w:szCs w:val="24"/>
              </w:rPr>
            </w:pPr>
            <w:r>
              <w:rPr>
                <w:rFonts w:hint="eastAsia" w:ascii="宋体" w:hAnsi="宋体" w:cs="宋体"/>
                <w:color w:val="auto"/>
                <w:kern w:val="0"/>
                <w:sz w:val="24"/>
                <w:szCs w:val="24"/>
              </w:rPr>
              <w:t>提供投标截止日前近一年内任意一个月的社会保障资金缴存单据或社保机构开具的社会保险参保缴费情况证明，依法不需要缴纳社会保障资金的单位应提供相关证明材料；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844" w:type="dxa"/>
            <w:vMerge w:val="continue"/>
            <w:vAlign w:val="center"/>
          </w:tcPr>
          <w:p>
            <w:pPr>
              <w:tabs>
                <w:tab w:val="left" w:pos="0"/>
              </w:tabs>
              <w:adjustRightInd w:val="0"/>
              <w:snapToGrid w:val="0"/>
              <w:jc w:val="center"/>
              <w:rPr>
                <w:rFonts w:ascii="宋体" w:hAnsi="宋体" w:cs="宋体"/>
                <w:b/>
                <w:color w:val="auto"/>
                <w:sz w:val="24"/>
                <w:szCs w:val="24"/>
              </w:rPr>
            </w:pPr>
          </w:p>
        </w:tc>
        <w:tc>
          <w:tcPr>
            <w:tcW w:w="560" w:type="dxa"/>
            <w:vMerge w:val="continue"/>
            <w:vAlign w:val="center"/>
          </w:tcPr>
          <w:p>
            <w:pPr>
              <w:tabs>
                <w:tab w:val="left" w:pos="0"/>
              </w:tabs>
              <w:adjustRightInd w:val="0"/>
              <w:snapToGrid w:val="0"/>
              <w:jc w:val="center"/>
              <w:rPr>
                <w:rFonts w:ascii="宋体" w:hAnsi="宋体" w:cs="宋体"/>
                <w:b/>
                <w:color w:val="auto"/>
                <w:sz w:val="24"/>
                <w:szCs w:val="24"/>
              </w:rPr>
            </w:pPr>
          </w:p>
        </w:tc>
        <w:tc>
          <w:tcPr>
            <w:tcW w:w="2707" w:type="dxa"/>
            <w:gridSpan w:val="2"/>
            <w:vAlign w:val="center"/>
          </w:tcPr>
          <w:p>
            <w:pPr>
              <w:tabs>
                <w:tab w:val="left" w:pos="0"/>
              </w:tabs>
              <w:adjustRightInd w:val="0"/>
              <w:snapToGrid w:val="0"/>
              <w:jc w:val="center"/>
              <w:rPr>
                <w:rFonts w:ascii="宋体" w:hAnsi="宋体" w:cs="宋体"/>
                <w:b/>
                <w:color w:val="auto"/>
                <w:sz w:val="24"/>
                <w:szCs w:val="24"/>
              </w:rPr>
            </w:pPr>
            <w:r>
              <w:rPr>
                <w:rFonts w:hint="eastAsia" w:ascii="宋体" w:hAnsi="宋体" w:cs="宋体"/>
                <w:b/>
                <w:color w:val="auto"/>
                <w:sz w:val="24"/>
                <w:szCs w:val="24"/>
              </w:rPr>
              <w:t>信用记录</w:t>
            </w:r>
          </w:p>
        </w:tc>
        <w:tc>
          <w:tcPr>
            <w:tcW w:w="5170" w:type="dxa"/>
            <w:vAlign w:val="center"/>
          </w:tcPr>
          <w:p>
            <w:pPr>
              <w:tabs>
                <w:tab w:val="left" w:pos="0"/>
              </w:tabs>
              <w:adjustRightInd w:val="0"/>
              <w:snapToGrid w:val="0"/>
              <w:jc w:val="left"/>
              <w:rPr>
                <w:rFonts w:ascii="宋体" w:hAnsi="宋体" w:cs="宋体"/>
                <w:color w:val="auto"/>
                <w:kern w:val="0"/>
                <w:sz w:val="24"/>
                <w:szCs w:val="24"/>
              </w:rPr>
            </w:pPr>
            <w:r>
              <w:rPr>
                <w:rFonts w:hint="eastAsia" w:ascii="宋体" w:hAnsi="宋体" w:cs="宋体"/>
                <w:color w:val="auto"/>
                <w:kern w:val="0"/>
                <w:sz w:val="24"/>
                <w:szCs w:val="24"/>
              </w:rPr>
              <w:t>供应商应在招标文件发售期至投标截止时间前通过“信用中国”网站(www.creditchina.gov.cn)、中国政府采购网(www.ccgp.gov.cn)查询相关主体信用记录；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44" w:type="dxa"/>
            <w:vMerge w:val="continue"/>
            <w:vAlign w:val="center"/>
          </w:tcPr>
          <w:p>
            <w:pPr>
              <w:tabs>
                <w:tab w:val="left" w:pos="0"/>
              </w:tabs>
              <w:adjustRightInd w:val="0"/>
              <w:snapToGrid w:val="0"/>
              <w:jc w:val="center"/>
              <w:rPr>
                <w:rFonts w:ascii="宋体" w:hAnsi="宋体" w:cs="宋体"/>
                <w:b/>
                <w:color w:val="auto"/>
                <w:sz w:val="24"/>
                <w:szCs w:val="24"/>
              </w:rPr>
            </w:pPr>
          </w:p>
        </w:tc>
        <w:tc>
          <w:tcPr>
            <w:tcW w:w="560" w:type="dxa"/>
            <w:vMerge w:val="continue"/>
            <w:vAlign w:val="center"/>
          </w:tcPr>
          <w:p>
            <w:pPr>
              <w:tabs>
                <w:tab w:val="left" w:pos="0"/>
              </w:tabs>
              <w:adjustRightInd w:val="0"/>
              <w:snapToGrid w:val="0"/>
              <w:jc w:val="center"/>
              <w:rPr>
                <w:rFonts w:ascii="宋体" w:hAnsi="宋体" w:cs="宋体"/>
                <w:b/>
                <w:color w:val="auto"/>
                <w:sz w:val="24"/>
                <w:szCs w:val="24"/>
              </w:rPr>
            </w:pPr>
          </w:p>
        </w:tc>
        <w:tc>
          <w:tcPr>
            <w:tcW w:w="2707" w:type="dxa"/>
            <w:gridSpan w:val="2"/>
            <w:vAlign w:val="center"/>
          </w:tcPr>
          <w:p>
            <w:pPr>
              <w:tabs>
                <w:tab w:val="left" w:pos="0"/>
              </w:tabs>
              <w:adjustRightInd w:val="0"/>
              <w:snapToGrid w:val="0"/>
              <w:jc w:val="center"/>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书面承诺书</w:t>
            </w:r>
          </w:p>
        </w:tc>
        <w:tc>
          <w:tcPr>
            <w:tcW w:w="5170" w:type="dxa"/>
            <w:vAlign w:val="center"/>
          </w:tcPr>
          <w:p>
            <w:pPr>
              <w:tabs>
                <w:tab w:val="left" w:pos="0"/>
              </w:tabs>
              <w:adjustRightInd w:val="0"/>
              <w:snapToGrid w:val="0"/>
              <w:jc w:val="left"/>
              <w:rPr>
                <w:rFonts w:ascii="宋体" w:hAnsi="宋体" w:cs="宋体"/>
                <w:color w:val="auto"/>
                <w:sz w:val="24"/>
                <w:szCs w:val="24"/>
              </w:rPr>
            </w:pPr>
            <w:r>
              <w:rPr>
                <w:rFonts w:hint="eastAsia" w:ascii="宋体" w:hAnsi="宋体" w:cs="宋体"/>
                <w:color w:val="auto"/>
                <w:kern w:val="0"/>
                <w:sz w:val="24"/>
                <w:szCs w:val="24"/>
              </w:rPr>
              <w:t>提供具有履行合同所必需的设备和专业技术能力的书面承诺；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44" w:type="dxa"/>
            <w:vMerge w:val="continue"/>
            <w:vAlign w:val="center"/>
          </w:tcPr>
          <w:p>
            <w:pPr>
              <w:tabs>
                <w:tab w:val="left" w:pos="0"/>
              </w:tabs>
              <w:adjustRightInd w:val="0"/>
              <w:snapToGrid w:val="0"/>
              <w:jc w:val="center"/>
              <w:rPr>
                <w:rFonts w:ascii="宋体" w:hAnsi="宋体" w:cs="宋体"/>
                <w:b/>
                <w:color w:val="auto"/>
                <w:sz w:val="24"/>
                <w:szCs w:val="24"/>
              </w:rPr>
            </w:pPr>
          </w:p>
        </w:tc>
        <w:tc>
          <w:tcPr>
            <w:tcW w:w="560" w:type="dxa"/>
            <w:vMerge w:val="continue"/>
            <w:vAlign w:val="center"/>
          </w:tcPr>
          <w:p>
            <w:pPr>
              <w:tabs>
                <w:tab w:val="left" w:pos="0"/>
              </w:tabs>
              <w:adjustRightInd w:val="0"/>
              <w:snapToGrid w:val="0"/>
              <w:jc w:val="center"/>
              <w:rPr>
                <w:rFonts w:ascii="宋体" w:hAnsi="宋体" w:cs="宋体"/>
                <w:b/>
                <w:color w:val="auto"/>
                <w:sz w:val="24"/>
                <w:szCs w:val="24"/>
              </w:rPr>
            </w:pPr>
          </w:p>
        </w:tc>
        <w:tc>
          <w:tcPr>
            <w:tcW w:w="2707" w:type="dxa"/>
            <w:gridSpan w:val="2"/>
            <w:vAlign w:val="center"/>
          </w:tcPr>
          <w:p>
            <w:pPr>
              <w:tabs>
                <w:tab w:val="left" w:pos="0"/>
              </w:tabs>
              <w:adjustRightInd w:val="0"/>
              <w:snapToGrid w:val="0"/>
              <w:jc w:val="center"/>
              <w:rPr>
                <w:rFonts w:ascii="宋体" w:hAnsi="宋体" w:cs="宋体"/>
                <w:b/>
                <w:color w:val="auto"/>
                <w:sz w:val="24"/>
                <w:szCs w:val="24"/>
              </w:rPr>
            </w:pPr>
            <w:r>
              <w:rPr>
                <w:rFonts w:hint="eastAsia" w:ascii="宋体" w:hAnsi="宋体" w:cs="宋体"/>
                <w:b/>
                <w:color w:val="auto"/>
                <w:sz w:val="24"/>
                <w:szCs w:val="24"/>
              </w:rPr>
              <w:t>书面声明</w:t>
            </w:r>
          </w:p>
        </w:tc>
        <w:tc>
          <w:tcPr>
            <w:tcW w:w="5170" w:type="dxa"/>
            <w:vAlign w:val="center"/>
          </w:tcPr>
          <w:p>
            <w:pPr>
              <w:tabs>
                <w:tab w:val="left" w:pos="0"/>
              </w:tabs>
              <w:adjustRightInd w:val="0"/>
              <w:snapToGrid w:val="0"/>
              <w:jc w:val="left"/>
              <w:rPr>
                <w:rFonts w:ascii="宋体" w:hAnsi="宋体" w:cs="宋体"/>
                <w:color w:val="auto"/>
                <w:sz w:val="24"/>
                <w:szCs w:val="24"/>
              </w:rPr>
            </w:pPr>
            <w:r>
              <w:rPr>
                <w:rFonts w:hint="eastAsia" w:ascii="宋体" w:hAnsi="宋体" w:cs="宋体"/>
                <w:color w:val="auto"/>
                <w:sz w:val="24"/>
                <w:szCs w:val="24"/>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 w:type="dxa"/>
            <w:vMerge w:val="continue"/>
            <w:vAlign w:val="center"/>
          </w:tcPr>
          <w:p>
            <w:pPr>
              <w:tabs>
                <w:tab w:val="left" w:pos="0"/>
              </w:tabs>
              <w:adjustRightInd w:val="0"/>
              <w:snapToGrid w:val="0"/>
              <w:jc w:val="center"/>
              <w:rPr>
                <w:rFonts w:ascii="宋体" w:hAnsi="宋体" w:cs="宋体"/>
                <w:b/>
                <w:color w:val="auto"/>
                <w:sz w:val="24"/>
                <w:szCs w:val="24"/>
              </w:rPr>
            </w:pPr>
          </w:p>
        </w:tc>
        <w:tc>
          <w:tcPr>
            <w:tcW w:w="560" w:type="dxa"/>
            <w:vMerge w:val="continue"/>
            <w:vAlign w:val="center"/>
          </w:tcPr>
          <w:p>
            <w:pPr>
              <w:tabs>
                <w:tab w:val="left" w:pos="0"/>
              </w:tabs>
              <w:adjustRightInd w:val="0"/>
              <w:snapToGrid w:val="0"/>
              <w:jc w:val="center"/>
              <w:rPr>
                <w:rFonts w:ascii="宋体" w:hAnsi="宋体" w:cs="宋体"/>
                <w:b/>
                <w:color w:val="auto"/>
                <w:sz w:val="24"/>
                <w:szCs w:val="24"/>
              </w:rPr>
            </w:pPr>
          </w:p>
        </w:tc>
        <w:tc>
          <w:tcPr>
            <w:tcW w:w="2707" w:type="dxa"/>
            <w:gridSpan w:val="2"/>
            <w:vAlign w:val="center"/>
          </w:tcPr>
          <w:p>
            <w:pPr>
              <w:tabs>
                <w:tab w:val="left" w:pos="0"/>
              </w:tabs>
              <w:adjustRightInd w:val="0"/>
              <w:snapToGrid w:val="0"/>
              <w:jc w:val="center"/>
              <w:rPr>
                <w:rFonts w:ascii="宋体" w:hAnsi="宋体" w:cs="宋体"/>
                <w:b/>
                <w:color w:val="auto"/>
                <w:sz w:val="24"/>
                <w:szCs w:val="24"/>
              </w:rPr>
            </w:pPr>
            <w:r>
              <w:rPr>
                <w:rFonts w:hint="eastAsia" w:ascii="宋体" w:hAnsi="宋体" w:cs="宋体"/>
                <w:b/>
                <w:color w:val="auto"/>
                <w:sz w:val="24"/>
                <w:szCs w:val="24"/>
              </w:rPr>
              <w:t>保证金</w:t>
            </w:r>
          </w:p>
        </w:tc>
        <w:tc>
          <w:tcPr>
            <w:tcW w:w="5170" w:type="dxa"/>
            <w:vAlign w:val="center"/>
          </w:tcPr>
          <w:p>
            <w:pPr>
              <w:tabs>
                <w:tab w:val="left" w:pos="0"/>
              </w:tabs>
              <w:adjustRightInd w:val="0"/>
              <w:snapToGrid w:val="0"/>
              <w:jc w:val="left"/>
              <w:rPr>
                <w:rFonts w:ascii="宋体" w:hAnsi="宋体" w:cs="宋体"/>
                <w:bCs/>
                <w:color w:val="auto"/>
                <w:sz w:val="24"/>
                <w:szCs w:val="24"/>
              </w:rPr>
            </w:pPr>
            <w:r>
              <w:rPr>
                <w:rFonts w:hint="eastAsia" w:ascii="宋体" w:hAnsi="宋体" w:cs="宋体"/>
                <w:color w:val="auto"/>
                <w:sz w:val="24"/>
                <w:szCs w:val="24"/>
              </w:rPr>
              <w:t>投标保证金缴纳凭证或担保机构出具的保函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 w:type="dxa"/>
            <w:vMerge w:val="continue"/>
            <w:vAlign w:val="center"/>
          </w:tcPr>
          <w:p>
            <w:pPr>
              <w:tabs>
                <w:tab w:val="left" w:pos="0"/>
              </w:tabs>
              <w:adjustRightInd w:val="0"/>
              <w:snapToGrid w:val="0"/>
              <w:jc w:val="center"/>
              <w:rPr>
                <w:rFonts w:ascii="宋体" w:hAnsi="宋体" w:cs="宋体"/>
                <w:b/>
                <w:color w:val="auto"/>
                <w:sz w:val="24"/>
                <w:szCs w:val="24"/>
              </w:rPr>
            </w:pPr>
          </w:p>
        </w:tc>
        <w:tc>
          <w:tcPr>
            <w:tcW w:w="560" w:type="dxa"/>
            <w:vMerge w:val="continue"/>
            <w:vAlign w:val="center"/>
          </w:tcPr>
          <w:p>
            <w:pPr>
              <w:tabs>
                <w:tab w:val="left" w:pos="0"/>
              </w:tabs>
              <w:adjustRightInd w:val="0"/>
              <w:snapToGrid w:val="0"/>
              <w:jc w:val="center"/>
              <w:rPr>
                <w:rFonts w:ascii="宋体" w:hAnsi="宋体" w:cs="宋体"/>
                <w:b/>
                <w:color w:val="auto"/>
                <w:sz w:val="24"/>
                <w:szCs w:val="24"/>
              </w:rPr>
            </w:pPr>
          </w:p>
        </w:tc>
        <w:tc>
          <w:tcPr>
            <w:tcW w:w="2707" w:type="dxa"/>
            <w:gridSpan w:val="2"/>
            <w:vAlign w:val="center"/>
          </w:tcPr>
          <w:p>
            <w:pPr>
              <w:tabs>
                <w:tab w:val="left" w:pos="0"/>
              </w:tabs>
              <w:adjustRightInd w:val="0"/>
              <w:snapToGrid w:val="0"/>
              <w:jc w:val="center"/>
              <w:rPr>
                <w:rFonts w:hint="eastAsia" w:ascii="宋体" w:hAnsi="宋体" w:eastAsia="宋体" w:cs="宋体"/>
                <w:b/>
                <w:color w:val="auto"/>
                <w:sz w:val="24"/>
                <w:szCs w:val="24"/>
                <w:lang w:eastAsia="zh-CN"/>
              </w:rPr>
            </w:pPr>
            <w:r>
              <w:rPr>
                <w:rFonts w:hint="eastAsia" w:ascii="宋体" w:hAnsi="宋体" w:cs="宋体"/>
                <w:b/>
                <w:color w:val="auto"/>
                <w:sz w:val="24"/>
                <w:szCs w:val="24"/>
                <w:lang w:eastAsia="zh-CN"/>
              </w:rPr>
              <w:t>是否中小企业</w:t>
            </w:r>
          </w:p>
        </w:tc>
        <w:tc>
          <w:tcPr>
            <w:tcW w:w="5170" w:type="dxa"/>
            <w:vAlign w:val="center"/>
          </w:tcPr>
          <w:p>
            <w:pPr>
              <w:tabs>
                <w:tab w:val="left" w:pos="0"/>
              </w:tabs>
              <w:adjustRightInd w:val="0"/>
              <w:snapToGrid w:val="0"/>
              <w:jc w:val="left"/>
              <w:rPr>
                <w:rFonts w:hint="eastAsia" w:ascii="宋体" w:hAnsi="宋体" w:cs="宋体"/>
                <w:color w:val="auto"/>
                <w:sz w:val="24"/>
                <w:szCs w:val="24"/>
              </w:rPr>
            </w:pPr>
            <w:r>
              <w:rPr>
                <w:rFonts w:hint="eastAsia" w:ascii="宋体" w:hAnsi="宋体" w:cs="宋体"/>
                <w:color w:val="auto"/>
                <w:sz w:val="24"/>
                <w:szCs w:val="24"/>
              </w:rPr>
              <w:t>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281" w:type="dxa"/>
            <w:gridSpan w:val="5"/>
            <w:vAlign w:val="center"/>
          </w:tcPr>
          <w:p>
            <w:pPr>
              <w:tabs>
                <w:tab w:val="left" w:pos="0"/>
              </w:tabs>
              <w:adjustRightInd w:val="0"/>
              <w:snapToGrid w:val="0"/>
              <w:jc w:val="left"/>
              <w:rPr>
                <w:rFonts w:ascii="宋体" w:hAnsi="宋体" w:cs="宋体"/>
                <w:b/>
                <w:color w:val="auto"/>
                <w:sz w:val="24"/>
                <w:szCs w:val="24"/>
              </w:rPr>
            </w:pPr>
            <w:r>
              <w:rPr>
                <w:rFonts w:hint="eastAsia" w:ascii="宋体" w:hAnsi="宋体" w:cs="宋体"/>
                <w:b/>
                <w:color w:val="auto"/>
                <w:sz w:val="24"/>
                <w:szCs w:val="24"/>
              </w:rPr>
              <w:t>注：以上为必备资质，缺一项或某项达不到要求，按无效投标处理。资格审查时以投标文件中所附证明材料为准</w:t>
            </w:r>
            <w:r>
              <w:rPr>
                <w:rFonts w:hint="eastAsia" w:ascii="宋体" w:hAnsi="宋体" w:cs="宋体"/>
                <w:b/>
                <w:color w:val="auto"/>
                <w:sz w:val="24"/>
                <w:szCs w:val="24"/>
                <w:lang w:eastAsia="zh-CN"/>
              </w:rPr>
              <w:t>，原件备查</w:t>
            </w:r>
            <w:r>
              <w:rPr>
                <w:rFonts w:hint="eastAsia" w:ascii="宋体" w:hAnsi="宋体" w:cs="宋体"/>
                <w:b/>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 w:type="dxa"/>
            <w:vMerge w:val="restart"/>
            <w:vAlign w:val="center"/>
          </w:tcPr>
          <w:p>
            <w:pPr>
              <w:tabs>
                <w:tab w:val="left" w:pos="0"/>
              </w:tabs>
              <w:adjustRightInd w:val="0"/>
              <w:snapToGrid w:val="0"/>
              <w:spacing w:line="360" w:lineRule="auto"/>
              <w:jc w:val="center"/>
              <w:rPr>
                <w:rFonts w:ascii="宋体" w:hAnsi="宋体" w:cs="宋体"/>
                <w:color w:val="auto"/>
                <w:sz w:val="24"/>
                <w:szCs w:val="24"/>
              </w:rPr>
            </w:pPr>
            <w:r>
              <w:rPr>
                <w:rFonts w:hint="eastAsia" w:ascii="宋体" w:hAnsi="宋体" w:cs="宋体"/>
                <w:b/>
                <w:bCs/>
                <w:color w:val="auto"/>
                <w:sz w:val="24"/>
                <w:szCs w:val="24"/>
              </w:rPr>
              <w:t>2.1.2</w:t>
            </w:r>
          </w:p>
        </w:tc>
        <w:tc>
          <w:tcPr>
            <w:tcW w:w="560" w:type="dxa"/>
            <w:vMerge w:val="restart"/>
            <w:vAlign w:val="center"/>
          </w:tcPr>
          <w:p>
            <w:pPr>
              <w:tabs>
                <w:tab w:val="left" w:pos="0"/>
              </w:tabs>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符合性评审标准</w:t>
            </w:r>
          </w:p>
        </w:tc>
        <w:tc>
          <w:tcPr>
            <w:tcW w:w="522" w:type="dxa"/>
            <w:vMerge w:val="restart"/>
            <w:vAlign w:val="center"/>
          </w:tcPr>
          <w:p>
            <w:pPr>
              <w:tabs>
                <w:tab w:val="left" w:pos="0"/>
              </w:tabs>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有效性审查</w:t>
            </w:r>
          </w:p>
        </w:tc>
        <w:tc>
          <w:tcPr>
            <w:tcW w:w="2185" w:type="dxa"/>
            <w:vAlign w:val="center"/>
          </w:tcPr>
          <w:p>
            <w:pPr>
              <w:tabs>
                <w:tab w:val="left" w:pos="0"/>
              </w:tabs>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投标文件的签署盖章</w:t>
            </w:r>
          </w:p>
        </w:tc>
        <w:tc>
          <w:tcPr>
            <w:tcW w:w="5170" w:type="dxa"/>
            <w:vAlign w:val="center"/>
          </w:tcPr>
          <w:p>
            <w:pPr>
              <w:tabs>
                <w:tab w:val="left" w:pos="0"/>
              </w:tabs>
              <w:adjustRightInd w:val="0"/>
              <w:snapToGrid w:val="0"/>
              <w:rPr>
                <w:rFonts w:ascii="宋体" w:hAnsi="宋体" w:cs="宋体"/>
                <w:color w:val="auto"/>
                <w:sz w:val="24"/>
                <w:szCs w:val="24"/>
              </w:rPr>
            </w:pPr>
            <w:r>
              <w:rPr>
                <w:rFonts w:hint="eastAsia" w:ascii="宋体" w:hAnsi="宋体" w:cs="宋体"/>
                <w:color w:val="auto"/>
                <w:sz w:val="24"/>
                <w:szCs w:val="24"/>
              </w:rPr>
              <w:t>投标文件上法定代表人或其授权代表人的签字齐全并加盖公章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 w:type="dxa"/>
            <w:vMerge w:val="continue"/>
          </w:tcPr>
          <w:p>
            <w:pPr>
              <w:tabs>
                <w:tab w:val="left" w:pos="0"/>
              </w:tabs>
              <w:adjustRightInd w:val="0"/>
              <w:snapToGrid w:val="0"/>
              <w:spacing w:line="360" w:lineRule="auto"/>
              <w:rPr>
                <w:rFonts w:ascii="宋体" w:hAnsi="宋体" w:cs="宋体"/>
                <w:color w:val="auto"/>
                <w:sz w:val="24"/>
                <w:szCs w:val="24"/>
              </w:rPr>
            </w:pPr>
          </w:p>
        </w:tc>
        <w:tc>
          <w:tcPr>
            <w:tcW w:w="560" w:type="dxa"/>
            <w:vMerge w:val="continue"/>
          </w:tcPr>
          <w:p>
            <w:pPr>
              <w:tabs>
                <w:tab w:val="left" w:pos="0"/>
              </w:tabs>
              <w:adjustRightInd w:val="0"/>
              <w:snapToGrid w:val="0"/>
              <w:spacing w:line="360" w:lineRule="auto"/>
              <w:rPr>
                <w:rFonts w:ascii="宋体" w:hAnsi="宋体" w:cs="宋体"/>
                <w:b/>
                <w:bCs/>
                <w:color w:val="auto"/>
                <w:sz w:val="24"/>
                <w:szCs w:val="24"/>
              </w:rPr>
            </w:pPr>
          </w:p>
        </w:tc>
        <w:tc>
          <w:tcPr>
            <w:tcW w:w="522" w:type="dxa"/>
            <w:vMerge w:val="continue"/>
          </w:tcPr>
          <w:p>
            <w:pPr>
              <w:tabs>
                <w:tab w:val="left" w:pos="0"/>
              </w:tabs>
              <w:adjustRightInd w:val="0"/>
              <w:snapToGrid w:val="0"/>
              <w:spacing w:line="360" w:lineRule="auto"/>
              <w:rPr>
                <w:rFonts w:ascii="宋体" w:hAnsi="宋体" w:cs="宋体"/>
                <w:b/>
                <w:bCs/>
                <w:color w:val="auto"/>
                <w:sz w:val="24"/>
                <w:szCs w:val="24"/>
              </w:rPr>
            </w:pPr>
          </w:p>
        </w:tc>
        <w:tc>
          <w:tcPr>
            <w:tcW w:w="2185" w:type="dxa"/>
            <w:vAlign w:val="center"/>
          </w:tcPr>
          <w:p>
            <w:pPr>
              <w:tabs>
                <w:tab w:val="left" w:pos="0"/>
              </w:tabs>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投标文件格式</w:t>
            </w:r>
          </w:p>
        </w:tc>
        <w:tc>
          <w:tcPr>
            <w:tcW w:w="5170" w:type="dxa"/>
            <w:vAlign w:val="center"/>
          </w:tcPr>
          <w:p>
            <w:pPr>
              <w:tabs>
                <w:tab w:val="left" w:pos="0"/>
              </w:tabs>
              <w:adjustRightInd w:val="0"/>
              <w:snapToGrid w:val="0"/>
              <w:rPr>
                <w:rFonts w:ascii="宋体" w:hAnsi="宋体" w:cs="宋体"/>
                <w:color w:val="auto"/>
                <w:sz w:val="24"/>
                <w:szCs w:val="24"/>
              </w:rPr>
            </w:pPr>
            <w:r>
              <w:rPr>
                <w:rFonts w:hint="eastAsia" w:ascii="宋体" w:hAnsi="宋体" w:cs="宋体"/>
                <w:color w:val="auto"/>
                <w:sz w:val="24"/>
                <w:szCs w:val="24"/>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44" w:type="dxa"/>
            <w:vMerge w:val="continue"/>
          </w:tcPr>
          <w:p>
            <w:pPr>
              <w:tabs>
                <w:tab w:val="left" w:pos="0"/>
              </w:tabs>
              <w:adjustRightInd w:val="0"/>
              <w:snapToGrid w:val="0"/>
              <w:spacing w:line="360" w:lineRule="auto"/>
              <w:rPr>
                <w:rFonts w:ascii="宋体" w:hAnsi="宋体" w:cs="宋体"/>
                <w:color w:val="auto"/>
                <w:sz w:val="24"/>
                <w:szCs w:val="24"/>
              </w:rPr>
            </w:pPr>
          </w:p>
        </w:tc>
        <w:tc>
          <w:tcPr>
            <w:tcW w:w="560" w:type="dxa"/>
            <w:vMerge w:val="continue"/>
          </w:tcPr>
          <w:p>
            <w:pPr>
              <w:tabs>
                <w:tab w:val="left" w:pos="0"/>
              </w:tabs>
              <w:adjustRightInd w:val="0"/>
              <w:snapToGrid w:val="0"/>
              <w:spacing w:line="360" w:lineRule="auto"/>
              <w:rPr>
                <w:rFonts w:ascii="宋体" w:hAnsi="宋体" w:cs="宋体"/>
                <w:b/>
                <w:bCs/>
                <w:color w:val="auto"/>
                <w:sz w:val="24"/>
                <w:szCs w:val="24"/>
              </w:rPr>
            </w:pPr>
          </w:p>
        </w:tc>
        <w:tc>
          <w:tcPr>
            <w:tcW w:w="522" w:type="dxa"/>
            <w:vMerge w:val="continue"/>
          </w:tcPr>
          <w:p>
            <w:pPr>
              <w:tabs>
                <w:tab w:val="left" w:pos="0"/>
              </w:tabs>
              <w:adjustRightInd w:val="0"/>
              <w:snapToGrid w:val="0"/>
              <w:spacing w:line="360" w:lineRule="auto"/>
              <w:rPr>
                <w:rFonts w:ascii="宋体" w:hAnsi="宋体" w:cs="宋体"/>
                <w:b/>
                <w:bCs/>
                <w:color w:val="auto"/>
                <w:sz w:val="24"/>
                <w:szCs w:val="24"/>
              </w:rPr>
            </w:pPr>
          </w:p>
        </w:tc>
        <w:tc>
          <w:tcPr>
            <w:tcW w:w="2185" w:type="dxa"/>
            <w:vAlign w:val="center"/>
          </w:tcPr>
          <w:p>
            <w:pPr>
              <w:tabs>
                <w:tab w:val="left" w:pos="0"/>
              </w:tabs>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报价唯一</w:t>
            </w:r>
          </w:p>
        </w:tc>
        <w:tc>
          <w:tcPr>
            <w:tcW w:w="5170" w:type="dxa"/>
            <w:vAlign w:val="center"/>
          </w:tcPr>
          <w:p>
            <w:pPr>
              <w:tabs>
                <w:tab w:val="left" w:pos="0"/>
              </w:tabs>
              <w:adjustRightInd w:val="0"/>
              <w:snapToGrid w:val="0"/>
              <w:rPr>
                <w:rFonts w:ascii="宋体" w:hAnsi="宋体" w:cs="宋体"/>
                <w:color w:val="auto"/>
                <w:sz w:val="24"/>
                <w:szCs w:val="24"/>
              </w:rPr>
            </w:pPr>
            <w:r>
              <w:rPr>
                <w:rFonts w:hint="eastAsia" w:ascii="宋体" w:hAnsi="宋体" w:cs="宋体"/>
                <w:color w:val="auto"/>
                <w:sz w:val="24"/>
                <w:szCs w:val="24"/>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44" w:type="dxa"/>
            <w:vMerge w:val="continue"/>
            <w:vAlign w:val="center"/>
          </w:tcPr>
          <w:p>
            <w:pPr>
              <w:tabs>
                <w:tab w:val="left" w:pos="0"/>
              </w:tabs>
              <w:adjustRightInd w:val="0"/>
              <w:snapToGrid w:val="0"/>
              <w:spacing w:line="360" w:lineRule="auto"/>
              <w:jc w:val="center"/>
              <w:rPr>
                <w:rFonts w:ascii="宋体" w:hAnsi="宋体" w:cs="宋体"/>
                <w:color w:val="auto"/>
                <w:sz w:val="24"/>
                <w:szCs w:val="24"/>
              </w:rPr>
            </w:pPr>
          </w:p>
        </w:tc>
        <w:tc>
          <w:tcPr>
            <w:tcW w:w="560" w:type="dxa"/>
            <w:vMerge w:val="continue"/>
            <w:vAlign w:val="center"/>
          </w:tcPr>
          <w:p>
            <w:pPr>
              <w:tabs>
                <w:tab w:val="left" w:pos="0"/>
              </w:tabs>
              <w:adjustRightInd w:val="0"/>
              <w:snapToGrid w:val="0"/>
              <w:jc w:val="center"/>
              <w:rPr>
                <w:rFonts w:ascii="宋体" w:hAnsi="宋体" w:cs="宋体"/>
                <w:b/>
                <w:bCs/>
                <w:color w:val="auto"/>
                <w:sz w:val="24"/>
                <w:szCs w:val="24"/>
              </w:rPr>
            </w:pPr>
          </w:p>
        </w:tc>
        <w:tc>
          <w:tcPr>
            <w:tcW w:w="522" w:type="dxa"/>
            <w:vMerge w:val="restart"/>
            <w:vAlign w:val="center"/>
          </w:tcPr>
          <w:p>
            <w:pPr>
              <w:tabs>
                <w:tab w:val="left" w:pos="0"/>
              </w:tabs>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完整性审查</w:t>
            </w:r>
          </w:p>
        </w:tc>
        <w:tc>
          <w:tcPr>
            <w:tcW w:w="2185" w:type="dxa"/>
            <w:vAlign w:val="center"/>
          </w:tcPr>
          <w:p>
            <w:pPr>
              <w:tabs>
                <w:tab w:val="left" w:pos="0"/>
              </w:tabs>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投标文件份数</w:t>
            </w:r>
          </w:p>
        </w:tc>
        <w:tc>
          <w:tcPr>
            <w:tcW w:w="5170" w:type="dxa"/>
            <w:vAlign w:val="center"/>
          </w:tcPr>
          <w:p>
            <w:pPr>
              <w:tabs>
                <w:tab w:val="left" w:pos="0"/>
              </w:tabs>
              <w:adjustRightInd w:val="0"/>
              <w:snapToGrid w:val="0"/>
              <w:rPr>
                <w:rFonts w:ascii="宋体" w:hAnsi="宋体" w:cs="宋体"/>
                <w:color w:val="auto"/>
                <w:sz w:val="24"/>
                <w:szCs w:val="24"/>
              </w:rPr>
            </w:pPr>
            <w:r>
              <w:rPr>
                <w:rFonts w:hint="eastAsia" w:ascii="宋体" w:hAnsi="宋体" w:cs="宋体"/>
                <w:color w:val="auto"/>
                <w:sz w:val="24"/>
                <w:szCs w:val="24"/>
              </w:rPr>
              <w:t>应符合“投标人须知前附表”规定的正本、副本、电子文件数量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 w:type="dxa"/>
            <w:vMerge w:val="continue"/>
          </w:tcPr>
          <w:p>
            <w:pPr>
              <w:tabs>
                <w:tab w:val="left" w:pos="0"/>
              </w:tabs>
              <w:adjustRightInd w:val="0"/>
              <w:snapToGrid w:val="0"/>
              <w:spacing w:line="360" w:lineRule="auto"/>
              <w:rPr>
                <w:rFonts w:ascii="宋体" w:hAnsi="宋体" w:cs="宋体"/>
                <w:color w:val="auto"/>
                <w:sz w:val="24"/>
                <w:szCs w:val="24"/>
              </w:rPr>
            </w:pPr>
          </w:p>
        </w:tc>
        <w:tc>
          <w:tcPr>
            <w:tcW w:w="560" w:type="dxa"/>
            <w:vMerge w:val="continue"/>
          </w:tcPr>
          <w:p>
            <w:pPr>
              <w:tabs>
                <w:tab w:val="left" w:pos="0"/>
              </w:tabs>
              <w:adjustRightInd w:val="0"/>
              <w:snapToGrid w:val="0"/>
              <w:spacing w:line="360" w:lineRule="auto"/>
              <w:rPr>
                <w:rFonts w:ascii="宋体" w:hAnsi="宋体" w:cs="宋体"/>
                <w:b/>
                <w:bCs/>
                <w:color w:val="auto"/>
                <w:sz w:val="24"/>
                <w:szCs w:val="24"/>
              </w:rPr>
            </w:pPr>
          </w:p>
        </w:tc>
        <w:tc>
          <w:tcPr>
            <w:tcW w:w="522" w:type="dxa"/>
            <w:vMerge w:val="continue"/>
          </w:tcPr>
          <w:p>
            <w:pPr>
              <w:tabs>
                <w:tab w:val="left" w:pos="0"/>
              </w:tabs>
              <w:adjustRightInd w:val="0"/>
              <w:snapToGrid w:val="0"/>
              <w:spacing w:line="360" w:lineRule="auto"/>
              <w:rPr>
                <w:rFonts w:ascii="宋体" w:hAnsi="宋体" w:cs="宋体"/>
                <w:b/>
                <w:bCs/>
                <w:color w:val="auto"/>
                <w:sz w:val="24"/>
                <w:szCs w:val="24"/>
              </w:rPr>
            </w:pPr>
          </w:p>
        </w:tc>
        <w:tc>
          <w:tcPr>
            <w:tcW w:w="2185" w:type="dxa"/>
            <w:vAlign w:val="center"/>
          </w:tcPr>
          <w:p>
            <w:pPr>
              <w:tabs>
                <w:tab w:val="left" w:pos="0"/>
              </w:tabs>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投标文件内容</w:t>
            </w:r>
          </w:p>
        </w:tc>
        <w:tc>
          <w:tcPr>
            <w:tcW w:w="5170" w:type="dxa"/>
            <w:vAlign w:val="center"/>
          </w:tcPr>
          <w:p>
            <w:pPr>
              <w:tabs>
                <w:tab w:val="left" w:pos="0"/>
              </w:tabs>
              <w:adjustRightInd w:val="0"/>
              <w:snapToGrid w:val="0"/>
              <w:rPr>
                <w:rFonts w:ascii="宋体" w:hAnsi="宋体" w:cs="宋体"/>
                <w:color w:val="auto"/>
                <w:sz w:val="24"/>
                <w:szCs w:val="24"/>
              </w:rPr>
            </w:pPr>
            <w:r>
              <w:rPr>
                <w:rFonts w:hint="eastAsia" w:ascii="宋体" w:hAnsi="宋体" w:cs="宋体"/>
                <w:color w:val="auto"/>
                <w:sz w:val="24"/>
                <w:szCs w:val="24"/>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 w:type="dxa"/>
            <w:vMerge w:val="continue"/>
            <w:vAlign w:val="center"/>
          </w:tcPr>
          <w:p>
            <w:pPr>
              <w:tabs>
                <w:tab w:val="left" w:pos="0"/>
              </w:tabs>
              <w:adjustRightInd w:val="0"/>
              <w:snapToGrid w:val="0"/>
              <w:spacing w:line="360" w:lineRule="auto"/>
              <w:jc w:val="center"/>
              <w:rPr>
                <w:rFonts w:ascii="宋体" w:hAnsi="宋体" w:cs="宋体"/>
                <w:color w:val="auto"/>
                <w:sz w:val="24"/>
                <w:szCs w:val="24"/>
              </w:rPr>
            </w:pPr>
          </w:p>
        </w:tc>
        <w:tc>
          <w:tcPr>
            <w:tcW w:w="560" w:type="dxa"/>
            <w:vMerge w:val="continue"/>
            <w:vAlign w:val="center"/>
          </w:tcPr>
          <w:p>
            <w:pPr>
              <w:tabs>
                <w:tab w:val="left" w:pos="0"/>
              </w:tabs>
              <w:adjustRightInd w:val="0"/>
              <w:snapToGrid w:val="0"/>
              <w:jc w:val="center"/>
              <w:rPr>
                <w:rFonts w:ascii="宋体" w:hAnsi="宋体" w:cs="宋体"/>
                <w:b/>
                <w:bCs/>
                <w:color w:val="auto"/>
                <w:sz w:val="24"/>
                <w:szCs w:val="24"/>
              </w:rPr>
            </w:pPr>
          </w:p>
        </w:tc>
        <w:tc>
          <w:tcPr>
            <w:tcW w:w="522" w:type="dxa"/>
            <w:vMerge w:val="restart"/>
            <w:vAlign w:val="center"/>
          </w:tcPr>
          <w:p>
            <w:pPr>
              <w:tabs>
                <w:tab w:val="left" w:pos="0"/>
              </w:tabs>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响应性审查</w:t>
            </w:r>
          </w:p>
        </w:tc>
        <w:tc>
          <w:tcPr>
            <w:tcW w:w="2185" w:type="dxa"/>
            <w:vAlign w:val="center"/>
          </w:tcPr>
          <w:p>
            <w:pPr>
              <w:tabs>
                <w:tab w:val="left" w:pos="0"/>
              </w:tabs>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对招标文件响应程度</w:t>
            </w:r>
          </w:p>
        </w:tc>
        <w:tc>
          <w:tcPr>
            <w:tcW w:w="5170" w:type="dxa"/>
            <w:vAlign w:val="center"/>
          </w:tcPr>
          <w:p>
            <w:pPr>
              <w:tabs>
                <w:tab w:val="left" w:pos="0"/>
              </w:tabs>
              <w:adjustRightInd w:val="0"/>
              <w:snapToGrid w:val="0"/>
              <w:rPr>
                <w:rFonts w:ascii="宋体" w:hAnsi="宋体" w:cs="宋体"/>
                <w:color w:val="auto"/>
                <w:sz w:val="24"/>
                <w:szCs w:val="24"/>
              </w:rPr>
            </w:pPr>
            <w:r>
              <w:rPr>
                <w:rFonts w:hint="eastAsia" w:ascii="宋体" w:hAnsi="宋体" w:cs="宋体"/>
                <w:color w:val="auto"/>
                <w:sz w:val="24"/>
                <w:szCs w:val="24"/>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 w:type="dxa"/>
            <w:vMerge w:val="continue"/>
          </w:tcPr>
          <w:p>
            <w:pPr>
              <w:tabs>
                <w:tab w:val="left" w:pos="0"/>
              </w:tabs>
              <w:adjustRightInd w:val="0"/>
              <w:snapToGrid w:val="0"/>
              <w:spacing w:line="360" w:lineRule="auto"/>
              <w:rPr>
                <w:rFonts w:ascii="宋体" w:hAnsi="宋体" w:cs="宋体"/>
                <w:color w:val="auto"/>
                <w:sz w:val="24"/>
                <w:szCs w:val="24"/>
              </w:rPr>
            </w:pPr>
          </w:p>
        </w:tc>
        <w:tc>
          <w:tcPr>
            <w:tcW w:w="560" w:type="dxa"/>
            <w:vMerge w:val="continue"/>
          </w:tcPr>
          <w:p>
            <w:pPr>
              <w:tabs>
                <w:tab w:val="left" w:pos="0"/>
              </w:tabs>
              <w:adjustRightInd w:val="0"/>
              <w:snapToGrid w:val="0"/>
              <w:spacing w:line="360" w:lineRule="auto"/>
              <w:rPr>
                <w:rFonts w:ascii="宋体" w:hAnsi="宋体" w:cs="宋体"/>
                <w:b/>
                <w:bCs/>
                <w:color w:val="auto"/>
                <w:sz w:val="24"/>
                <w:szCs w:val="24"/>
              </w:rPr>
            </w:pPr>
          </w:p>
        </w:tc>
        <w:tc>
          <w:tcPr>
            <w:tcW w:w="522" w:type="dxa"/>
            <w:vMerge w:val="continue"/>
          </w:tcPr>
          <w:p>
            <w:pPr>
              <w:tabs>
                <w:tab w:val="left" w:pos="0"/>
              </w:tabs>
              <w:adjustRightInd w:val="0"/>
              <w:snapToGrid w:val="0"/>
              <w:spacing w:line="360" w:lineRule="auto"/>
              <w:rPr>
                <w:rFonts w:ascii="宋体" w:hAnsi="宋体" w:cs="宋体"/>
                <w:b/>
                <w:bCs/>
                <w:color w:val="auto"/>
                <w:sz w:val="24"/>
                <w:szCs w:val="24"/>
              </w:rPr>
            </w:pPr>
          </w:p>
        </w:tc>
        <w:tc>
          <w:tcPr>
            <w:tcW w:w="2185" w:type="dxa"/>
            <w:vAlign w:val="center"/>
          </w:tcPr>
          <w:p>
            <w:pPr>
              <w:tabs>
                <w:tab w:val="left" w:pos="0"/>
              </w:tabs>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工期</w:t>
            </w:r>
          </w:p>
        </w:tc>
        <w:tc>
          <w:tcPr>
            <w:tcW w:w="5170" w:type="dxa"/>
            <w:vAlign w:val="center"/>
          </w:tcPr>
          <w:p>
            <w:pPr>
              <w:tabs>
                <w:tab w:val="left" w:pos="0"/>
              </w:tabs>
              <w:adjustRightInd w:val="0"/>
              <w:snapToGrid w:val="0"/>
              <w:rPr>
                <w:rFonts w:ascii="宋体" w:hAnsi="宋体" w:cs="宋体"/>
                <w:color w:val="auto"/>
                <w:sz w:val="24"/>
                <w:szCs w:val="24"/>
              </w:rPr>
            </w:pPr>
            <w:r>
              <w:rPr>
                <w:rFonts w:hint="eastAsia" w:ascii="宋体" w:hAnsi="宋体" w:cs="宋体"/>
                <w:color w:val="auto"/>
                <w:sz w:val="24"/>
                <w:szCs w:val="24"/>
              </w:rPr>
              <w:t>应满足招标文件中要求的服务期限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 w:type="dxa"/>
            <w:vMerge w:val="continue"/>
          </w:tcPr>
          <w:p>
            <w:pPr>
              <w:tabs>
                <w:tab w:val="left" w:pos="0"/>
              </w:tabs>
              <w:adjustRightInd w:val="0"/>
              <w:snapToGrid w:val="0"/>
              <w:spacing w:line="360" w:lineRule="auto"/>
              <w:rPr>
                <w:rFonts w:ascii="宋体" w:hAnsi="宋体" w:cs="宋体"/>
                <w:color w:val="auto"/>
                <w:sz w:val="24"/>
                <w:szCs w:val="24"/>
              </w:rPr>
            </w:pPr>
          </w:p>
        </w:tc>
        <w:tc>
          <w:tcPr>
            <w:tcW w:w="560" w:type="dxa"/>
            <w:vMerge w:val="continue"/>
          </w:tcPr>
          <w:p>
            <w:pPr>
              <w:tabs>
                <w:tab w:val="left" w:pos="0"/>
              </w:tabs>
              <w:adjustRightInd w:val="0"/>
              <w:snapToGrid w:val="0"/>
              <w:spacing w:line="360" w:lineRule="auto"/>
              <w:rPr>
                <w:rFonts w:ascii="宋体" w:hAnsi="宋体" w:cs="宋体"/>
                <w:b/>
                <w:bCs/>
                <w:color w:val="auto"/>
                <w:sz w:val="24"/>
                <w:szCs w:val="24"/>
              </w:rPr>
            </w:pPr>
          </w:p>
        </w:tc>
        <w:tc>
          <w:tcPr>
            <w:tcW w:w="522" w:type="dxa"/>
            <w:vMerge w:val="continue"/>
          </w:tcPr>
          <w:p>
            <w:pPr>
              <w:tabs>
                <w:tab w:val="left" w:pos="0"/>
              </w:tabs>
              <w:adjustRightInd w:val="0"/>
              <w:snapToGrid w:val="0"/>
              <w:spacing w:line="360" w:lineRule="auto"/>
              <w:rPr>
                <w:rFonts w:ascii="宋体" w:hAnsi="宋体" w:cs="宋体"/>
                <w:b/>
                <w:bCs/>
                <w:color w:val="auto"/>
                <w:sz w:val="24"/>
                <w:szCs w:val="24"/>
              </w:rPr>
            </w:pPr>
          </w:p>
        </w:tc>
        <w:tc>
          <w:tcPr>
            <w:tcW w:w="2185" w:type="dxa"/>
            <w:vAlign w:val="center"/>
          </w:tcPr>
          <w:p>
            <w:pPr>
              <w:tabs>
                <w:tab w:val="left" w:pos="0"/>
              </w:tabs>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投标有效期</w:t>
            </w:r>
          </w:p>
        </w:tc>
        <w:tc>
          <w:tcPr>
            <w:tcW w:w="5170" w:type="dxa"/>
            <w:vAlign w:val="center"/>
          </w:tcPr>
          <w:p>
            <w:pPr>
              <w:tabs>
                <w:tab w:val="left" w:pos="0"/>
              </w:tabs>
              <w:adjustRightInd w:val="0"/>
              <w:snapToGrid w:val="0"/>
              <w:rPr>
                <w:rFonts w:ascii="宋体" w:hAnsi="宋体" w:cs="宋体"/>
                <w:color w:val="auto"/>
                <w:sz w:val="24"/>
                <w:szCs w:val="24"/>
              </w:rPr>
            </w:pPr>
            <w:r>
              <w:rPr>
                <w:rFonts w:hint="eastAsia" w:ascii="宋体" w:hAnsi="宋体" w:cs="宋体"/>
                <w:color w:val="auto"/>
                <w:sz w:val="24"/>
                <w:szCs w:val="24"/>
              </w:rPr>
              <w:t>应满足招标文件中的规定</w:t>
            </w:r>
          </w:p>
        </w:tc>
      </w:tr>
    </w:tbl>
    <w:p>
      <w:pPr>
        <w:spacing w:line="600" w:lineRule="exact"/>
        <w:jc w:val="left"/>
        <w:rPr>
          <w:rFonts w:asciiTheme="minorEastAsia" w:hAnsiTheme="minorEastAsia" w:eastAsiaTheme="minorEastAsia" w:cstheme="minorEastAsia"/>
          <w:b/>
          <w:color w:val="auto"/>
          <w:sz w:val="28"/>
          <w:szCs w:val="28"/>
        </w:rPr>
      </w:pPr>
    </w:p>
    <w:p>
      <w:pPr>
        <w:spacing w:line="600" w:lineRule="exact"/>
        <w:jc w:val="left"/>
        <w:rPr>
          <w:rFonts w:asciiTheme="minorEastAsia" w:hAnsiTheme="minorEastAsia" w:eastAsiaTheme="minorEastAsia" w:cstheme="minorEastAsia"/>
          <w:b/>
          <w:color w:val="auto"/>
          <w:sz w:val="28"/>
          <w:szCs w:val="28"/>
        </w:rPr>
      </w:pPr>
    </w:p>
    <w:p>
      <w:pPr>
        <w:spacing w:line="600" w:lineRule="exact"/>
        <w:jc w:val="left"/>
        <w:rPr>
          <w:rFonts w:asciiTheme="minorEastAsia" w:hAnsiTheme="minorEastAsia" w:eastAsiaTheme="minorEastAsia" w:cstheme="minorEastAsia"/>
          <w:b/>
          <w:color w:val="auto"/>
          <w:sz w:val="28"/>
          <w:szCs w:val="28"/>
        </w:rPr>
      </w:pPr>
    </w:p>
    <w:p>
      <w:pPr>
        <w:spacing w:line="600" w:lineRule="exact"/>
        <w:jc w:val="left"/>
        <w:rPr>
          <w:rFonts w:asciiTheme="minorEastAsia" w:hAnsiTheme="minorEastAsia" w:eastAsiaTheme="minorEastAsia" w:cstheme="minorEastAsia"/>
          <w:b/>
          <w:color w:val="auto"/>
          <w:sz w:val="28"/>
          <w:szCs w:val="28"/>
        </w:rPr>
      </w:pPr>
    </w:p>
    <w:p>
      <w:pPr>
        <w:spacing w:line="600" w:lineRule="exact"/>
        <w:jc w:val="left"/>
        <w:rPr>
          <w:rFonts w:asciiTheme="minorEastAsia" w:hAnsiTheme="minorEastAsia" w:eastAsiaTheme="minorEastAsia" w:cstheme="minorEastAsia"/>
          <w:b/>
          <w:color w:val="auto"/>
          <w:sz w:val="28"/>
          <w:szCs w:val="28"/>
        </w:rPr>
      </w:pPr>
    </w:p>
    <w:p>
      <w:pPr>
        <w:spacing w:line="600" w:lineRule="exact"/>
        <w:jc w:val="left"/>
        <w:rPr>
          <w:rFonts w:asciiTheme="minorEastAsia" w:hAnsiTheme="minorEastAsia" w:eastAsiaTheme="minorEastAsia" w:cstheme="minorEastAsia"/>
          <w:b/>
          <w:color w:val="auto"/>
          <w:sz w:val="28"/>
          <w:szCs w:val="28"/>
        </w:rPr>
      </w:pPr>
    </w:p>
    <w:p>
      <w:pPr>
        <w:spacing w:line="600" w:lineRule="exact"/>
        <w:jc w:val="left"/>
        <w:rPr>
          <w:rFonts w:asciiTheme="minorEastAsia" w:hAnsiTheme="minorEastAsia" w:eastAsiaTheme="minorEastAsia" w:cstheme="minorEastAsia"/>
          <w:b/>
          <w:color w:val="auto"/>
          <w:sz w:val="28"/>
          <w:szCs w:val="28"/>
        </w:rPr>
      </w:pPr>
    </w:p>
    <w:p>
      <w:pPr>
        <w:spacing w:line="600" w:lineRule="exact"/>
        <w:jc w:val="left"/>
        <w:rPr>
          <w:rFonts w:asciiTheme="minorEastAsia" w:hAnsiTheme="minorEastAsia" w:eastAsiaTheme="minorEastAsia" w:cstheme="minorEastAsia"/>
          <w:b/>
          <w:color w:val="auto"/>
          <w:sz w:val="28"/>
          <w:szCs w:val="28"/>
        </w:rPr>
      </w:pPr>
    </w:p>
    <w:p>
      <w:pPr>
        <w:spacing w:line="600" w:lineRule="exact"/>
        <w:jc w:val="left"/>
        <w:rPr>
          <w:rFonts w:asciiTheme="minorEastAsia" w:hAnsiTheme="minorEastAsia" w:eastAsiaTheme="minorEastAsia" w:cstheme="minorEastAsia"/>
          <w:b/>
          <w:color w:val="auto"/>
          <w:sz w:val="28"/>
          <w:szCs w:val="28"/>
        </w:rPr>
      </w:pPr>
    </w:p>
    <w:p>
      <w:pPr>
        <w:pStyle w:val="7"/>
        <w:rPr>
          <w:rFonts w:asciiTheme="minorEastAsia" w:hAnsiTheme="minorEastAsia" w:eastAsiaTheme="minorEastAsia" w:cstheme="minorEastAsia"/>
          <w:b/>
          <w:color w:val="auto"/>
          <w:sz w:val="28"/>
          <w:szCs w:val="28"/>
        </w:rPr>
      </w:pPr>
    </w:p>
    <w:p>
      <w:pPr>
        <w:pStyle w:val="8"/>
        <w:rPr>
          <w:rFonts w:asciiTheme="minorEastAsia" w:hAnsiTheme="minorEastAsia" w:eastAsiaTheme="minorEastAsia" w:cstheme="minorEastAsia"/>
          <w:b/>
          <w:color w:val="auto"/>
          <w:sz w:val="28"/>
          <w:szCs w:val="28"/>
        </w:rPr>
      </w:pPr>
    </w:p>
    <w:p>
      <w:pPr>
        <w:rPr>
          <w:rFonts w:asciiTheme="minorEastAsia" w:hAnsiTheme="minorEastAsia" w:eastAsiaTheme="minorEastAsia" w:cstheme="minorEastAsia"/>
          <w:b/>
          <w:color w:val="auto"/>
          <w:sz w:val="28"/>
          <w:szCs w:val="28"/>
        </w:rPr>
      </w:pPr>
    </w:p>
    <w:p>
      <w:pPr>
        <w:pStyle w:val="7"/>
        <w:rPr>
          <w:rFonts w:asciiTheme="minorEastAsia" w:hAnsiTheme="minorEastAsia" w:eastAsiaTheme="minorEastAsia" w:cstheme="minorEastAsia"/>
          <w:b/>
          <w:color w:val="auto"/>
          <w:sz w:val="28"/>
          <w:szCs w:val="28"/>
        </w:rPr>
      </w:pPr>
    </w:p>
    <w:p>
      <w:pPr>
        <w:pStyle w:val="8"/>
        <w:rPr>
          <w:rFonts w:asciiTheme="minorEastAsia" w:hAnsiTheme="minorEastAsia" w:eastAsiaTheme="minorEastAsia" w:cstheme="minorEastAsia"/>
          <w:b/>
          <w:color w:val="auto"/>
          <w:sz w:val="28"/>
          <w:szCs w:val="28"/>
        </w:rPr>
      </w:pPr>
    </w:p>
    <w:p>
      <w:pPr>
        <w:rPr>
          <w:rFonts w:asciiTheme="minorEastAsia" w:hAnsiTheme="minorEastAsia" w:eastAsiaTheme="minorEastAsia" w:cstheme="minorEastAsia"/>
          <w:b/>
          <w:color w:val="auto"/>
          <w:sz w:val="28"/>
          <w:szCs w:val="28"/>
        </w:rPr>
      </w:pPr>
    </w:p>
    <w:p>
      <w:pPr>
        <w:pStyle w:val="7"/>
        <w:rPr>
          <w:rFonts w:asciiTheme="minorEastAsia" w:hAnsiTheme="minorEastAsia" w:eastAsiaTheme="minorEastAsia" w:cstheme="minorEastAsia"/>
          <w:b/>
          <w:color w:val="auto"/>
          <w:sz w:val="28"/>
          <w:szCs w:val="28"/>
        </w:rPr>
      </w:pPr>
    </w:p>
    <w:p>
      <w:pPr>
        <w:spacing w:line="600" w:lineRule="exact"/>
        <w:jc w:val="left"/>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附件2</w:t>
      </w:r>
      <w:r>
        <w:rPr>
          <w:rFonts w:hint="eastAsia" w:asciiTheme="minorEastAsia" w:hAnsiTheme="minorEastAsia" w:eastAsiaTheme="minorEastAsia" w:cstheme="minorEastAsia"/>
          <w:b/>
          <w:color w:val="auto"/>
          <w:sz w:val="28"/>
          <w:szCs w:val="28"/>
          <w:lang w:eastAsia="zh-CN"/>
        </w:rPr>
        <w:t>：</w:t>
      </w:r>
      <w:r>
        <w:rPr>
          <w:rFonts w:hint="eastAsia" w:asciiTheme="minorEastAsia" w:hAnsiTheme="minorEastAsia" w:eastAsiaTheme="minorEastAsia" w:cstheme="minorEastAsia"/>
          <w:b/>
          <w:color w:val="auto"/>
          <w:sz w:val="28"/>
          <w:szCs w:val="28"/>
        </w:rPr>
        <w:t>分值构成与评分标准</w:t>
      </w:r>
    </w:p>
    <w:tbl>
      <w:tblPr>
        <w:tblStyle w:val="28"/>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61"/>
        <w:gridCol w:w="2113"/>
        <w:gridCol w:w="5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7" w:type="dxa"/>
            <w:vAlign w:val="center"/>
          </w:tcPr>
          <w:p>
            <w:pPr>
              <w:spacing w:line="480" w:lineRule="exact"/>
              <w:jc w:val="center"/>
              <w:rPr>
                <w:rFonts w:ascii="宋体" w:hAnsi="宋体" w:cs="宋体"/>
                <w:b/>
                <w:color w:val="auto"/>
                <w:sz w:val="24"/>
                <w:szCs w:val="24"/>
              </w:rPr>
            </w:pPr>
            <w:r>
              <w:rPr>
                <w:rFonts w:hint="eastAsia" w:ascii="宋体" w:hAnsi="宋体" w:cs="宋体"/>
                <w:b/>
                <w:color w:val="auto"/>
                <w:sz w:val="24"/>
                <w:szCs w:val="24"/>
              </w:rPr>
              <w:t>评分因素</w:t>
            </w:r>
          </w:p>
        </w:tc>
        <w:tc>
          <w:tcPr>
            <w:tcW w:w="1261" w:type="dxa"/>
            <w:vAlign w:val="center"/>
          </w:tcPr>
          <w:p>
            <w:pPr>
              <w:spacing w:line="480" w:lineRule="exact"/>
              <w:jc w:val="center"/>
              <w:rPr>
                <w:rFonts w:ascii="宋体" w:hAnsi="宋体" w:cs="宋体"/>
                <w:b/>
                <w:color w:val="auto"/>
                <w:sz w:val="24"/>
                <w:szCs w:val="24"/>
              </w:rPr>
            </w:pPr>
            <w:r>
              <w:rPr>
                <w:rFonts w:hint="eastAsia" w:ascii="宋体" w:hAnsi="宋体" w:cs="宋体"/>
                <w:b/>
                <w:color w:val="auto"/>
                <w:sz w:val="24"/>
                <w:szCs w:val="24"/>
              </w:rPr>
              <w:t>总分</w:t>
            </w:r>
          </w:p>
          <w:p>
            <w:pPr>
              <w:spacing w:line="480" w:lineRule="exact"/>
              <w:jc w:val="center"/>
              <w:rPr>
                <w:rFonts w:ascii="宋体" w:hAnsi="宋体" w:cs="宋体"/>
                <w:b/>
                <w:color w:val="auto"/>
                <w:sz w:val="24"/>
                <w:szCs w:val="24"/>
              </w:rPr>
            </w:pPr>
            <w:r>
              <w:rPr>
                <w:rFonts w:hint="eastAsia" w:ascii="宋体" w:hAnsi="宋体" w:cs="宋体"/>
                <w:b/>
                <w:color w:val="auto"/>
                <w:sz w:val="24"/>
                <w:szCs w:val="24"/>
              </w:rPr>
              <w:t>（100分）</w:t>
            </w:r>
          </w:p>
        </w:tc>
        <w:tc>
          <w:tcPr>
            <w:tcW w:w="2113" w:type="dxa"/>
            <w:vAlign w:val="center"/>
          </w:tcPr>
          <w:p>
            <w:pPr>
              <w:spacing w:line="480" w:lineRule="exact"/>
              <w:jc w:val="center"/>
              <w:rPr>
                <w:rFonts w:ascii="宋体" w:hAnsi="宋体" w:cs="宋体"/>
                <w:b/>
                <w:color w:val="auto"/>
                <w:sz w:val="24"/>
                <w:szCs w:val="24"/>
              </w:rPr>
            </w:pPr>
            <w:r>
              <w:rPr>
                <w:rFonts w:hint="eastAsia" w:ascii="宋体" w:hAnsi="宋体" w:cs="宋体"/>
                <w:b/>
                <w:color w:val="auto"/>
                <w:sz w:val="24"/>
                <w:szCs w:val="24"/>
              </w:rPr>
              <w:t>评审要素</w:t>
            </w:r>
          </w:p>
        </w:tc>
        <w:tc>
          <w:tcPr>
            <w:tcW w:w="5080" w:type="dxa"/>
            <w:vAlign w:val="center"/>
          </w:tcPr>
          <w:p>
            <w:pPr>
              <w:spacing w:line="480" w:lineRule="exact"/>
              <w:jc w:val="center"/>
              <w:rPr>
                <w:rFonts w:ascii="宋体" w:hAnsi="宋体" w:cs="宋体"/>
                <w:b/>
                <w:color w:val="auto"/>
                <w:sz w:val="24"/>
                <w:szCs w:val="24"/>
              </w:rPr>
            </w:pPr>
            <w:r>
              <w:rPr>
                <w:rFonts w:hint="eastAsia" w:ascii="宋体" w:hAnsi="宋体" w:cs="宋体"/>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827" w:type="dxa"/>
            <w:vMerge w:val="restart"/>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技术评审</w:t>
            </w:r>
          </w:p>
        </w:tc>
        <w:tc>
          <w:tcPr>
            <w:tcW w:w="1261" w:type="dxa"/>
            <w:vMerge w:val="restart"/>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（61分）</w:t>
            </w:r>
          </w:p>
        </w:tc>
        <w:tc>
          <w:tcPr>
            <w:tcW w:w="2113" w:type="dxa"/>
            <w:vAlign w:val="center"/>
          </w:tcPr>
          <w:p>
            <w:pPr>
              <w:spacing w:line="480" w:lineRule="exact"/>
              <w:rPr>
                <w:rFonts w:ascii="宋体" w:hAnsi="宋体" w:cs="宋体"/>
                <w:color w:val="auto"/>
                <w:sz w:val="24"/>
                <w:szCs w:val="24"/>
              </w:rPr>
            </w:pPr>
            <w:r>
              <w:rPr>
                <w:rFonts w:hint="eastAsia" w:ascii="宋体" w:hAnsi="宋体" w:cs="宋体"/>
                <w:color w:val="auto"/>
                <w:sz w:val="24"/>
                <w:szCs w:val="24"/>
              </w:rPr>
              <w:t>项目管理机构配备（10分）</w:t>
            </w:r>
          </w:p>
        </w:tc>
        <w:tc>
          <w:tcPr>
            <w:tcW w:w="5080" w:type="dxa"/>
            <w:vAlign w:val="center"/>
          </w:tcPr>
          <w:p>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rPr>
              <w:t>项目团队技术人员配备齐全，管理机构设置合理，得8-10分；</w:t>
            </w:r>
          </w:p>
          <w:p>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rPr>
              <w:t>项目管理机构基本满足要求得4-7分；</w:t>
            </w:r>
          </w:p>
          <w:p>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rPr>
              <w:t>项目管理机构配备较差得0-3分。</w:t>
            </w:r>
          </w:p>
          <w:p>
            <w:pPr>
              <w:pStyle w:val="1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827" w:type="dxa"/>
            <w:vMerge w:val="continue"/>
            <w:vAlign w:val="center"/>
          </w:tcPr>
          <w:p>
            <w:pPr>
              <w:spacing w:line="480" w:lineRule="exact"/>
              <w:jc w:val="center"/>
              <w:rPr>
                <w:rFonts w:ascii="宋体" w:hAnsi="宋体" w:cs="宋体"/>
                <w:color w:val="auto"/>
                <w:sz w:val="24"/>
                <w:szCs w:val="24"/>
              </w:rPr>
            </w:pPr>
          </w:p>
        </w:tc>
        <w:tc>
          <w:tcPr>
            <w:tcW w:w="1261" w:type="dxa"/>
            <w:vMerge w:val="continue"/>
            <w:vAlign w:val="center"/>
          </w:tcPr>
          <w:p>
            <w:pPr>
              <w:spacing w:line="480" w:lineRule="exact"/>
              <w:jc w:val="center"/>
              <w:rPr>
                <w:rFonts w:ascii="宋体" w:hAnsi="宋体" w:cs="宋体"/>
                <w:color w:val="auto"/>
                <w:sz w:val="24"/>
                <w:szCs w:val="24"/>
              </w:rPr>
            </w:pPr>
          </w:p>
        </w:tc>
        <w:tc>
          <w:tcPr>
            <w:tcW w:w="2113" w:type="dxa"/>
            <w:vAlign w:val="center"/>
          </w:tcPr>
          <w:p>
            <w:pPr>
              <w:spacing w:line="480" w:lineRule="exact"/>
              <w:rPr>
                <w:rFonts w:ascii="宋体" w:hAnsi="宋体" w:cs="宋体"/>
                <w:color w:val="auto"/>
                <w:sz w:val="24"/>
                <w:szCs w:val="24"/>
              </w:rPr>
            </w:pPr>
            <w:r>
              <w:rPr>
                <w:rFonts w:hint="eastAsia" w:ascii="宋体" w:hAnsi="宋体" w:cs="宋体"/>
                <w:color w:val="auto"/>
                <w:sz w:val="24"/>
                <w:szCs w:val="24"/>
              </w:rPr>
              <w:t>项目实施方案（16分）</w:t>
            </w:r>
          </w:p>
        </w:tc>
        <w:tc>
          <w:tcPr>
            <w:tcW w:w="5080" w:type="dxa"/>
            <w:vAlign w:val="center"/>
          </w:tcPr>
          <w:p>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rPr>
              <w:t>封禁、育林、森林灾害防护措施得力，考虑全面，施工工艺先进，工序安排合理得11-16分；</w:t>
            </w:r>
          </w:p>
          <w:p>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rPr>
              <w:t>封禁、育林、森林灾害防护措施比较得力，施工工艺，工序安排满足施工需要得5-10分；</w:t>
            </w:r>
          </w:p>
          <w:p>
            <w:pPr>
              <w:pStyle w:val="12"/>
              <w:ind w:firstLine="240" w:firstLineChars="100"/>
              <w:rPr>
                <w:color w:val="auto"/>
              </w:rPr>
            </w:pPr>
            <w:r>
              <w:rPr>
                <w:rFonts w:hint="eastAsia" w:ascii="宋体" w:hAnsi="宋体" w:cs="宋体"/>
                <w:color w:val="auto"/>
                <w:sz w:val="24"/>
                <w:szCs w:val="24"/>
              </w:rPr>
              <w:t>封禁、育林、森林灾害防护等措施较差得0-4分；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827" w:type="dxa"/>
            <w:vMerge w:val="continue"/>
            <w:vAlign w:val="center"/>
          </w:tcPr>
          <w:p>
            <w:pPr>
              <w:spacing w:line="480" w:lineRule="exact"/>
              <w:jc w:val="center"/>
              <w:rPr>
                <w:rFonts w:ascii="宋体" w:hAnsi="宋体" w:cs="宋体"/>
                <w:color w:val="auto"/>
                <w:sz w:val="24"/>
                <w:szCs w:val="24"/>
              </w:rPr>
            </w:pPr>
          </w:p>
        </w:tc>
        <w:tc>
          <w:tcPr>
            <w:tcW w:w="1261" w:type="dxa"/>
            <w:vMerge w:val="continue"/>
            <w:vAlign w:val="center"/>
          </w:tcPr>
          <w:p>
            <w:pPr>
              <w:spacing w:line="480" w:lineRule="exact"/>
              <w:jc w:val="center"/>
              <w:rPr>
                <w:rFonts w:ascii="宋体" w:hAnsi="宋体" w:cs="宋体"/>
                <w:color w:val="auto"/>
                <w:sz w:val="24"/>
                <w:szCs w:val="24"/>
              </w:rPr>
            </w:pPr>
          </w:p>
        </w:tc>
        <w:tc>
          <w:tcPr>
            <w:tcW w:w="2113" w:type="dxa"/>
            <w:vAlign w:val="center"/>
          </w:tcPr>
          <w:p>
            <w:pPr>
              <w:spacing w:line="480" w:lineRule="exact"/>
              <w:rPr>
                <w:rFonts w:ascii="宋体" w:hAnsi="宋体" w:cs="宋体"/>
                <w:color w:val="auto"/>
                <w:sz w:val="24"/>
                <w:szCs w:val="24"/>
              </w:rPr>
            </w:pPr>
            <w:r>
              <w:rPr>
                <w:rFonts w:hint="eastAsia" w:ascii="宋体" w:hAnsi="宋体" w:cs="宋体"/>
                <w:color w:val="auto"/>
                <w:sz w:val="24"/>
                <w:szCs w:val="24"/>
              </w:rPr>
              <w:t>确保工期和工程质量技术组织措施（15分）</w:t>
            </w:r>
          </w:p>
        </w:tc>
        <w:tc>
          <w:tcPr>
            <w:tcW w:w="5080" w:type="dxa"/>
            <w:vAlign w:val="center"/>
          </w:tcPr>
          <w:p>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rPr>
              <w:t>进度计划合理，工期目标明确，条理清晰，切实可行得11-15分；</w:t>
            </w:r>
          </w:p>
          <w:p>
            <w:pPr>
              <w:pStyle w:val="12"/>
              <w:ind w:firstLine="240" w:firstLineChars="100"/>
              <w:rPr>
                <w:rFonts w:ascii="宋体" w:hAnsi="宋体" w:cs="宋体"/>
                <w:color w:val="auto"/>
                <w:sz w:val="24"/>
                <w:szCs w:val="24"/>
              </w:rPr>
            </w:pPr>
            <w:r>
              <w:rPr>
                <w:rFonts w:hint="eastAsia" w:ascii="宋体" w:hAnsi="宋体" w:cs="宋体"/>
                <w:color w:val="auto"/>
                <w:sz w:val="24"/>
                <w:szCs w:val="24"/>
              </w:rPr>
              <w:t>所述措施条理清晰，基本满足要求得5-10分；</w:t>
            </w:r>
          </w:p>
          <w:p>
            <w:pPr>
              <w:pStyle w:val="12"/>
              <w:ind w:firstLine="240" w:firstLineChars="100"/>
              <w:rPr>
                <w:color w:val="auto"/>
              </w:rPr>
            </w:pPr>
            <w:r>
              <w:rPr>
                <w:rFonts w:hint="eastAsia" w:ascii="宋体" w:hAnsi="宋体" w:cs="宋体"/>
                <w:color w:val="auto"/>
                <w:sz w:val="24"/>
                <w:szCs w:val="24"/>
              </w:rPr>
              <w:t>所述措施较差得0-4分；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Merge w:val="continue"/>
            <w:vAlign w:val="center"/>
          </w:tcPr>
          <w:p>
            <w:pPr>
              <w:spacing w:line="480" w:lineRule="exact"/>
              <w:jc w:val="center"/>
              <w:rPr>
                <w:rFonts w:ascii="宋体" w:hAnsi="宋体" w:cs="宋体"/>
                <w:color w:val="auto"/>
                <w:sz w:val="24"/>
                <w:szCs w:val="24"/>
              </w:rPr>
            </w:pPr>
          </w:p>
        </w:tc>
        <w:tc>
          <w:tcPr>
            <w:tcW w:w="1261" w:type="dxa"/>
            <w:vMerge w:val="continue"/>
            <w:vAlign w:val="center"/>
          </w:tcPr>
          <w:p>
            <w:pPr>
              <w:spacing w:line="480" w:lineRule="exact"/>
              <w:jc w:val="center"/>
              <w:rPr>
                <w:rFonts w:ascii="宋体" w:hAnsi="宋体" w:cs="宋体"/>
                <w:color w:val="auto"/>
                <w:sz w:val="24"/>
                <w:szCs w:val="24"/>
              </w:rPr>
            </w:pPr>
          </w:p>
        </w:tc>
        <w:tc>
          <w:tcPr>
            <w:tcW w:w="2113" w:type="dxa"/>
            <w:vAlign w:val="center"/>
          </w:tcPr>
          <w:p>
            <w:pPr>
              <w:spacing w:line="480" w:lineRule="exact"/>
              <w:rPr>
                <w:rFonts w:ascii="宋体" w:hAnsi="宋体" w:cs="宋体"/>
                <w:color w:val="auto"/>
                <w:sz w:val="24"/>
                <w:szCs w:val="24"/>
              </w:rPr>
            </w:pPr>
            <w:r>
              <w:rPr>
                <w:rFonts w:hint="eastAsia" w:ascii="宋体" w:hAnsi="宋体" w:cs="宋体"/>
                <w:color w:val="auto"/>
                <w:sz w:val="24"/>
                <w:szCs w:val="24"/>
              </w:rPr>
              <w:t>主要机具、设备和劳动力配备情况（10分）</w:t>
            </w:r>
          </w:p>
        </w:tc>
        <w:tc>
          <w:tcPr>
            <w:tcW w:w="5080" w:type="dxa"/>
            <w:vAlign w:val="center"/>
          </w:tcPr>
          <w:p>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rPr>
              <w:t>投入的主要机具、设备先进，劳动力配备充足得8-10分；</w:t>
            </w:r>
          </w:p>
          <w:p>
            <w:pPr>
              <w:pStyle w:val="12"/>
              <w:ind w:firstLine="240" w:firstLineChars="100"/>
              <w:rPr>
                <w:rFonts w:ascii="宋体" w:hAnsi="宋体" w:cs="宋体"/>
                <w:color w:val="auto"/>
                <w:sz w:val="24"/>
                <w:szCs w:val="24"/>
              </w:rPr>
            </w:pPr>
            <w:r>
              <w:rPr>
                <w:rFonts w:hint="eastAsia" w:ascii="宋体" w:hAnsi="宋体" w:cs="宋体"/>
                <w:color w:val="auto"/>
                <w:sz w:val="24"/>
                <w:szCs w:val="24"/>
              </w:rPr>
              <w:t>投入的主要机具、设备、劳动力配备基本满足要求得4-7分；</w:t>
            </w:r>
          </w:p>
          <w:p>
            <w:pPr>
              <w:pStyle w:val="12"/>
              <w:ind w:firstLine="240" w:firstLineChars="100"/>
              <w:rPr>
                <w:color w:val="auto"/>
              </w:rPr>
            </w:pPr>
            <w:r>
              <w:rPr>
                <w:rFonts w:hint="eastAsia" w:ascii="宋体" w:hAnsi="宋体" w:cs="宋体"/>
                <w:color w:val="auto"/>
                <w:sz w:val="24"/>
                <w:szCs w:val="24"/>
              </w:rPr>
              <w:t>投入的主要机具、设备、劳动力配备不足得0-3分；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827" w:type="dxa"/>
            <w:vMerge w:val="continue"/>
            <w:vAlign w:val="center"/>
          </w:tcPr>
          <w:p>
            <w:pPr>
              <w:spacing w:line="480" w:lineRule="exact"/>
              <w:jc w:val="center"/>
              <w:rPr>
                <w:rFonts w:ascii="宋体" w:hAnsi="宋体" w:cs="宋体"/>
                <w:color w:val="auto"/>
                <w:sz w:val="24"/>
                <w:szCs w:val="24"/>
              </w:rPr>
            </w:pPr>
          </w:p>
        </w:tc>
        <w:tc>
          <w:tcPr>
            <w:tcW w:w="1261" w:type="dxa"/>
            <w:vMerge w:val="continue"/>
            <w:vAlign w:val="center"/>
          </w:tcPr>
          <w:p>
            <w:pPr>
              <w:spacing w:line="480" w:lineRule="exact"/>
              <w:jc w:val="center"/>
              <w:rPr>
                <w:rFonts w:ascii="宋体" w:hAnsi="宋体" w:cs="宋体"/>
                <w:color w:val="auto"/>
                <w:sz w:val="24"/>
                <w:szCs w:val="24"/>
              </w:rPr>
            </w:pPr>
          </w:p>
        </w:tc>
        <w:tc>
          <w:tcPr>
            <w:tcW w:w="2113" w:type="dxa"/>
            <w:vAlign w:val="center"/>
          </w:tcPr>
          <w:p>
            <w:pPr>
              <w:spacing w:line="480" w:lineRule="exact"/>
              <w:rPr>
                <w:rFonts w:ascii="宋体" w:hAnsi="宋体" w:cs="宋体"/>
                <w:color w:val="auto"/>
                <w:sz w:val="24"/>
                <w:szCs w:val="24"/>
              </w:rPr>
            </w:pPr>
            <w:r>
              <w:rPr>
                <w:rFonts w:hint="eastAsia" w:ascii="宋体" w:hAnsi="宋体" w:cs="宋体"/>
                <w:color w:val="auto"/>
                <w:sz w:val="24"/>
                <w:szCs w:val="24"/>
              </w:rPr>
              <w:t>确保安全文明施工的技术组织措施（10分）</w:t>
            </w:r>
          </w:p>
        </w:tc>
        <w:tc>
          <w:tcPr>
            <w:tcW w:w="5080" w:type="dxa"/>
            <w:vAlign w:val="center"/>
          </w:tcPr>
          <w:p>
            <w:pPr>
              <w:spacing w:line="480" w:lineRule="exact"/>
              <w:rPr>
                <w:rFonts w:ascii="宋体" w:hAnsi="宋体" w:cs="宋体"/>
                <w:color w:val="auto"/>
                <w:sz w:val="24"/>
                <w:szCs w:val="24"/>
              </w:rPr>
            </w:pPr>
            <w:r>
              <w:rPr>
                <w:rFonts w:hint="eastAsia" w:ascii="宋体" w:hAnsi="宋体" w:cs="宋体"/>
                <w:color w:val="auto"/>
                <w:sz w:val="24"/>
                <w:szCs w:val="24"/>
              </w:rPr>
              <w:t>所述措施得力切实可行得8-10分；</w:t>
            </w:r>
          </w:p>
          <w:p>
            <w:pPr>
              <w:pStyle w:val="12"/>
              <w:rPr>
                <w:rFonts w:ascii="宋体" w:hAnsi="宋体" w:cs="宋体"/>
                <w:color w:val="auto"/>
                <w:sz w:val="24"/>
                <w:szCs w:val="24"/>
              </w:rPr>
            </w:pPr>
            <w:r>
              <w:rPr>
                <w:rFonts w:hint="eastAsia" w:ascii="宋体" w:hAnsi="宋体" w:cs="宋体"/>
                <w:color w:val="auto"/>
                <w:sz w:val="24"/>
                <w:szCs w:val="24"/>
              </w:rPr>
              <w:t>所述措施基本满足要求得4-7分；</w:t>
            </w:r>
          </w:p>
          <w:p>
            <w:pPr>
              <w:pStyle w:val="12"/>
              <w:rPr>
                <w:color w:val="auto"/>
              </w:rPr>
            </w:pPr>
            <w:r>
              <w:rPr>
                <w:rFonts w:hint="eastAsia" w:ascii="宋体" w:hAnsi="宋体" w:cs="宋体"/>
                <w:color w:val="auto"/>
                <w:sz w:val="24"/>
                <w:szCs w:val="24"/>
              </w:rPr>
              <w:t>所述措施较差得0-3分；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827" w:type="dxa"/>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履约能力</w:t>
            </w:r>
          </w:p>
        </w:tc>
        <w:tc>
          <w:tcPr>
            <w:tcW w:w="1261" w:type="dxa"/>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（9分）</w:t>
            </w:r>
          </w:p>
        </w:tc>
        <w:tc>
          <w:tcPr>
            <w:tcW w:w="2113" w:type="dxa"/>
            <w:vAlign w:val="center"/>
          </w:tcPr>
          <w:p>
            <w:pPr>
              <w:spacing w:line="480" w:lineRule="exact"/>
              <w:rPr>
                <w:rFonts w:ascii="宋体" w:hAnsi="宋体" w:cs="宋体"/>
                <w:color w:val="auto"/>
                <w:sz w:val="24"/>
                <w:szCs w:val="24"/>
              </w:rPr>
            </w:pPr>
            <w:r>
              <w:rPr>
                <w:rFonts w:hint="eastAsia" w:ascii="宋体" w:hAnsi="宋体" w:cs="宋体"/>
                <w:color w:val="auto"/>
                <w:sz w:val="24"/>
                <w:szCs w:val="24"/>
              </w:rPr>
              <w:t>业绩（</w:t>
            </w:r>
            <w:r>
              <w:rPr>
                <w:rFonts w:ascii="宋体" w:hAnsi="宋体" w:cs="宋体"/>
                <w:color w:val="auto"/>
                <w:sz w:val="24"/>
                <w:szCs w:val="24"/>
              </w:rPr>
              <w:t>9</w:t>
            </w:r>
            <w:r>
              <w:rPr>
                <w:rFonts w:hint="eastAsia" w:ascii="宋体" w:hAnsi="宋体" w:cs="宋体"/>
                <w:color w:val="auto"/>
                <w:sz w:val="24"/>
                <w:szCs w:val="24"/>
              </w:rPr>
              <w:t>分）</w:t>
            </w:r>
          </w:p>
        </w:tc>
        <w:tc>
          <w:tcPr>
            <w:tcW w:w="5080" w:type="dxa"/>
            <w:vAlign w:val="center"/>
          </w:tcPr>
          <w:p>
            <w:pPr>
              <w:spacing w:line="480" w:lineRule="exact"/>
              <w:rPr>
                <w:rFonts w:ascii="宋体" w:hAnsi="宋体" w:cs="宋体"/>
                <w:color w:val="auto"/>
                <w:sz w:val="24"/>
                <w:szCs w:val="24"/>
              </w:rPr>
            </w:pPr>
            <w:r>
              <w:rPr>
                <w:rFonts w:hint="eastAsia" w:ascii="宋体" w:hAnsi="宋体" w:cs="宋体"/>
                <w:color w:val="auto"/>
                <w:sz w:val="24"/>
                <w:szCs w:val="24"/>
              </w:rPr>
              <w:t>投标人提供类似项目业绩，响应文件中附有说明其业绩证明材料（业绩以中标通知书或施工合同或竣工验收报告复印件为依据）。每个业绩计</w:t>
            </w:r>
            <w:r>
              <w:rPr>
                <w:rFonts w:ascii="宋体" w:hAnsi="宋体" w:cs="宋体"/>
                <w:color w:val="auto"/>
                <w:sz w:val="24"/>
                <w:szCs w:val="24"/>
              </w:rPr>
              <w:t>3</w:t>
            </w:r>
            <w:r>
              <w:rPr>
                <w:rFonts w:hint="eastAsia" w:ascii="宋体" w:hAnsi="宋体" w:cs="宋体"/>
                <w:color w:val="auto"/>
                <w:sz w:val="24"/>
                <w:szCs w:val="24"/>
              </w:rPr>
              <w:t>分，满足要求的</w:t>
            </w:r>
            <w:r>
              <w:rPr>
                <w:rFonts w:ascii="宋体" w:hAnsi="宋体" w:cs="宋体"/>
                <w:color w:val="auto"/>
                <w:sz w:val="24"/>
                <w:szCs w:val="24"/>
              </w:rPr>
              <w:t>3</w:t>
            </w:r>
            <w:r>
              <w:rPr>
                <w:rFonts w:hint="eastAsia" w:ascii="宋体" w:hAnsi="宋体" w:cs="宋体"/>
                <w:color w:val="auto"/>
                <w:sz w:val="24"/>
                <w:szCs w:val="24"/>
              </w:rPr>
              <w:t>个以上（含</w:t>
            </w:r>
            <w:r>
              <w:rPr>
                <w:rFonts w:ascii="宋体" w:hAnsi="宋体" w:cs="宋体"/>
                <w:color w:val="auto"/>
                <w:sz w:val="24"/>
                <w:szCs w:val="24"/>
              </w:rPr>
              <w:t>3</w:t>
            </w:r>
            <w:r>
              <w:rPr>
                <w:rFonts w:hint="eastAsia" w:ascii="宋体" w:hAnsi="宋体" w:cs="宋体"/>
                <w:color w:val="auto"/>
                <w:sz w:val="24"/>
                <w:szCs w:val="24"/>
              </w:rPr>
              <w:t>个）计</w:t>
            </w:r>
            <w:r>
              <w:rPr>
                <w:rFonts w:ascii="宋体" w:hAnsi="宋体" w:cs="宋体"/>
                <w:color w:val="auto"/>
                <w:sz w:val="24"/>
                <w:szCs w:val="24"/>
              </w:rPr>
              <w:t>9</w:t>
            </w:r>
            <w:r>
              <w:rPr>
                <w:rFonts w:hint="eastAsia" w:ascii="宋体" w:hAnsi="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827" w:type="dxa"/>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报价评分标准</w:t>
            </w:r>
          </w:p>
          <w:p>
            <w:pPr>
              <w:spacing w:line="480" w:lineRule="exact"/>
              <w:jc w:val="center"/>
              <w:rPr>
                <w:rFonts w:ascii="宋体" w:hAnsi="宋体" w:cs="宋体"/>
                <w:color w:val="auto"/>
                <w:sz w:val="24"/>
                <w:szCs w:val="24"/>
              </w:rPr>
            </w:pPr>
          </w:p>
        </w:tc>
        <w:tc>
          <w:tcPr>
            <w:tcW w:w="1261" w:type="dxa"/>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（30分）</w:t>
            </w:r>
          </w:p>
        </w:tc>
        <w:tc>
          <w:tcPr>
            <w:tcW w:w="2113" w:type="dxa"/>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投标报价评分标准</w:t>
            </w:r>
          </w:p>
        </w:tc>
        <w:tc>
          <w:tcPr>
            <w:tcW w:w="5080" w:type="dxa"/>
            <w:vAlign w:val="center"/>
          </w:tcPr>
          <w:p>
            <w:pPr>
              <w:spacing w:line="480" w:lineRule="exact"/>
              <w:rPr>
                <w:rFonts w:ascii="宋体" w:hAnsi="宋体" w:cs="宋体"/>
                <w:color w:val="auto"/>
                <w:sz w:val="24"/>
                <w:szCs w:val="24"/>
              </w:rPr>
            </w:pPr>
            <w:r>
              <w:rPr>
                <w:rFonts w:hint="eastAsia" w:ascii="宋体" w:hAnsi="宋体" w:cs="宋体"/>
                <w:color w:val="auto"/>
                <w:sz w:val="24"/>
                <w:szCs w:val="24"/>
              </w:rPr>
              <w:t>1.经初审合格的投标文件，其投标报价为有效投标价。对符合政策性扣减的有效投标报价进行政策性扣减，并依据扣减后的价格（评审价格）进行价格评审。</w:t>
            </w:r>
          </w:p>
          <w:p>
            <w:pPr>
              <w:spacing w:line="480" w:lineRule="exact"/>
              <w:rPr>
                <w:rFonts w:ascii="宋体" w:hAnsi="宋体" w:cs="宋体"/>
                <w:color w:val="auto"/>
                <w:sz w:val="24"/>
                <w:szCs w:val="24"/>
              </w:rPr>
            </w:pPr>
            <w:r>
              <w:rPr>
                <w:rFonts w:hint="eastAsia" w:ascii="宋体" w:hAnsi="宋体" w:cs="宋体"/>
                <w:color w:val="auto"/>
                <w:sz w:val="24"/>
                <w:szCs w:val="24"/>
              </w:rPr>
              <w:t>2.有效最低报价为基准价得30分。</w:t>
            </w:r>
          </w:p>
          <w:p>
            <w:pPr>
              <w:spacing w:line="480" w:lineRule="exact"/>
              <w:rPr>
                <w:rFonts w:ascii="宋体" w:hAnsi="宋体" w:cs="宋体"/>
                <w:color w:val="auto"/>
                <w:sz w:val="24"/>
                <w:szCs w:val="24"/>
              </w:rPr>
            </w:pPr>
            <w:r>
              <w:rPr>
                <w:rFonts w:hint="eastAsia" w:ascii="宋体" w:hAnsi="宋体" w:cs="宋体"/>
                <w:color w:val="auto"/>
                <w:sz w:val="24"/>
                <w:szCs w:val="24"/>
              </w:rPr>
              <w:t>3.按（有效最低报价/有效投标报价）×30的公式计算其得分。</w:t>
            </w:r>
          </w:p>
          <w:p>
            <w:pPr>
              <w:spacing w:line="480" w:lineRule="exact"/>
              <w:rPr>
                <w:rFonts w:ascii="宋体" w:hAnsi="宋体" w:cs="宋体"/>
                <w:color w:val="auto"/>
                <w:sz w:val="24"/>
                <w:szCs w:val="24"/>
              </w:rPr>
            </w:pPr>
            <w:r>
              <w:rPr>
                <w:rFonts w:hint="eastAsia" w:ascii="宋体" w:hAnsi="宋体" w:cs="宋体"/>
                <w:color w:val="auto"/>
                <w:sz w:val="24"/>
                <w:szCs w:val="24"/>
              </w:rPr>
              <w:t>4.投标报价不完整的，不进入评标标准价的计算，本项得0分。</w:t>
            </w:r>
          </w:p>
          <w:p>
            <w:pPr>
              <w:spacing w:line="480" w:lineRule="exact"/>
              <w:rPr>
                <w:rFonts w:ascii="宋体" w:hAnsi="宋体" w:cs="宋体"/>
                <w:color w:val="auto"/>
                <w:sz w:val="24"/>
                <w:szCs w:val="24"/>
              </w:rPr>
            </w:pPr>
            <w:r>
              <w:rPr>
                <w:rFonts w:hint="eastAsia" w:ascii="宋体" w:hAnsi="宋体" w:cs="宋体"/>
                <w:color w:val="auto"/>
                <w:sz w:val="24"/>
                <w:szCs w:val="24"/>
              </w:rPr>
              <w:t>5.经评委一致认定，投标人的投标总报价低于公认市场成本，或超过采购预算,其投标将被拒绝。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2088" w:type="dxa"/>
            <w:gridSpan w:val="2"/>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备注</w:t>
            </w:r>
          </w:p>
        </w:tc>
        <w:tc>
          <w:tcPr>
            <w:tcW w:w="7193" w:type="dxa"/>
            <w:gridSpan w:val="2"/>
            <w:vAlign w:val="center"/>
          </w:tcPr>
          <w:p>
            <w:pPr>
              <w:spacing w:line="360" w:lineRule="auto"/>
              <w:jc w:val="left"/>
              <w:rPr>
                <w:rFonts w:ascii="宋体" w:hAnsi="宋体" w:cs="宋体"/>
                <w:color w:val="auto"/>
                <w:sz w:val="24"/>
                <w:szCs w:val="24"/>
              </w:rPr>
            </w:pPr>
            <w:r>
              <w:rPr>
                <w:rFonts w:hint="eastAsia" w:ascii="宋体" w:hAnsi="宋体" w:cs="宋体"/>
                <w:color w:val="auto"/>
                <w:sz w:val="24"/>
                <w:szCs w:val="24"/>
              </w:rPr>
              <w:t>1）各评标委员会独立打分。</w:t>
            </w:r>
          </w:p>
          <w:p>
            <w:pPr>
              <w:spacing w:line="360" w:lineRule="auto"/>
              <w:jc w:val="left"/>
              <w:rPr>
                <w:rFonts w:ascii="宋体" w:hAnsi="宋体" w:cs="宋体"/>
                <w:color w:val="auto"/>
                <w:sz w:val="24"/>
                <w:szCs w:val="24"/>
              </w:rPr>
            </w:pPr>
            <w:r>
              <w:rPr>
                <w:rFonts w:hint="eastAsia" w:ascii="宋体" w:hAnsi="宋体" w:cs="宋体"/>
                <w:color w:val="auto"/>
                <w:sz w:val="24"/>
                <w:szCs w:val="24"/>
              </w:rPr>
              <w:t>2）评标委员会成员打分超过得分界限或未按本表规定赋分时，该成员的打分作废，不计入汇总分。</w:t>
            </w:r>
          </w:p>
          <w:p>
            <w:pPr>
              <w:spacing w:line="360" w:lineRule="auto"/>
              <w:jc w:val="left"/>
              <w:rPr>
                <w:rFonts w:ascii="宋体" w:hAnsi="宋体" w:cs="宋体"/>
                <w:color w:val="auto"/>
                <w:sz w:val="24"/>
                <w:szCs w:val="24"/>
              </w:rPr>
            </w:pPr>
            <w:r>
              <w:rPr>
                <w:rFonts w:hint="eastAsia" w:ascii="宋体" w:hAnsi="宋体" w:cs="宋体"/>
                <w:color w:val="auto"/>
                <w:sz w:val="24"/>
                <w:szCs w:val="24"/>
              </w:rPr>
              <w:t>3）若出现综合得分并列时，比较价格得分，此分项得分高者排序在前；若价格得分仍相同，比较技术得分，此分项得分高者排序在前；若技术得分仍相同，则由全体评标委员会成员无记名投票，得票高者排序在前。</w:t>
            </w:r>
          </w:p>
          <w:p>
            <w:pPr>
              <w:spacing w:line="360" w:lineRule="auto"/>
              <w:jc w:val="left"/>
              <w:rPr>
                <w:rFonts w:ascii="宋体" w:hAnsi="宋体" w:cs="宋体"/>
                <w:color w:val="auto"/>
                <w:sz w:val="24"/>
                <w:szCs w:val="24"/>
              </w:rPr>
            </w:pPr>
            <w:r>
              <w:rPr>
                <w:rFonts w:hint="eastAsia" w:ascii="宋体" w:hAnsi="宋体" w:cs="宋体"/>
                <w:color w:val="auto"/>
                <w:sz w:val="24"/>
                <w:szCs w:val="24"/>
              </w:rPr>
              <w:t>4）各种计算采用插入法，数字均保留一位小数，第二位“四舍五入”。</w:t>
            </w:r>
          </w:p>
          <w:p>
            <w:pPr>
              <w:tabs>
                <w:tab w:val="left" w:pos="1599"/>
              </w:tabs>
              <w:jc w:val="left"/>
              <w:rPr>
                <w:rFonts w:ascii="宋体" w:hAnsi="宋体" w:cs="宋体"/>
                <w:b/>
                <w:bCs/>
                <w:color w:val="auto"/>
                <w:sz w:val="24"/>
                <w:szCs w:val="24"/>
              </w:rPr>
            </w:pPr>
            <w:r>
              <w:rPr>
                <w:rFonts w:hint="eastAsia" w:ascii="宋体" w:hAnsi="宋体" w:cs="宋体"/>
                <w:color w:val="auto"/>
                <w:sz w:val="24"/>
                <w:szCs w:val="24"/>
              </w:rPr>
              <w:t>5）评审过程中，若出现特殊</w:t>
            </w:r>
            <w:r>
              <w:rPr>
                <w:rFonts w:hint="eastAsia" w:ascii="宋体" w:hAnsi="宋体" w:cs="宋体"/>
                <w:color w:val="auto"/>
                <w:sz w:val="24"/>
                <w:szCs w:val="24"/>
                <w:lang w:eastAsia="zh-CN"/>
              </w:rPr>
              <w:t>情况时，由评审委员会决定暂停评审，</w:t>
            </w:r>
            <w:r>
              <w:rPr>
                <w:rFonts w:hint="eastAsia" w:ascii="宋体" w:hAnsi="宋体" w:cs="宋体"/>
                <w:color w:val="auto"/>
                <w:sz w:val="24"/>
                <w:szCs w:val="24"/>
              </w:rPr>
              <w:t>并提出具体处理意见。</w:t>
            </w:r>
          </w:p>
        </w:tc>
      </w:tr>
    </w:tbl>
    <w:p>
      <w:pPr>
        <w:spacing w:line="360" w:lineRule="auto"/>
        <w:rPr>
          <w:rFonts w:asciiTheme="minorEastAsia" w:hAnsiTheme="minorEastAsia" w:eastAsiaTheme="minorEastAsia" w:cstheme="minorEastAsia"/>
          <w:b/>
          <w:color w:val="auto"/>
          <w:spacing w:val="4"/>
          <w:sz w:val="24"/>
          <w:szCs w:val="24"/>
        </w:rPr>
      </w:pPr>
      <w:r>
        <w:rPr>
          <w:rFonts w:hint="eastAsia" w:asciiTheme="minorEastAsia" w:hAnsiTheme="minorEastAsia" w:eastAsiaTheme="minorEastAsia" w:cstheme="minorEastAsia"/>
          <w:b/>
          <w:color w:val="auto"/>
          <w:spacing w:val="4"/>
          <w:sz w:val="24"/>
          <w:szCs w:val="24"/>
        </w:rPr>
        <w:t>五、定标：</w:t>
      </w:r>
    </w:p>
    <w:p>
      <w:pPr>
        <w:spacing w:line="360" w:lineRule="auto"/>
        <w:ind w:firstLine="496" w:firstLineChars="200"/>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1、评标结果由全体</w:t>
      </w:r>
      <w:r>
        <w:rPr>
          <w:rFonts w:hint="eastAsia" w:asciiTheme="minorEastAsia" w:hAnsiTheme="minorEastAsia" w:eastAsiaTheme="minorEastAsia" w:cstheme="minorEastAsia"/>
          <w:color w:val="auto"/>
          <w:sz w:val="24"/>
          <w:szCs w:val="24"/>
        </w:rPr>
        <w:t>评标委员会成员</w:t>
      </w:r>
      <w:r>
        <w:rPr>
          <w:rFonts w:hint="eastAsia" w:asciiTheme="minorEastAsia" w:hAnsiTheme="minorEastAsia" w:eastAsiaTheme="minorEastAsia" w:cstheme="minorEastAsia"/>
          <w:color w:val="auto"/>
          <w:spacing w:val="4"/>
          <w:sz w:val="24"/>
          <w:szCs w:val="24"/>
        </w:rPr>
        <w:t>签字确认。</w:t>
      </w:r>
    </w:p>
    <w:p>
      <w:pPr>
        <w:spacing w:line="360" w:lineRule="auto"/>
        <w:ind w:firstLine="496" w:firstLineChars="200"/>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2、</w:t>
      </w:r>
      <w:r>
        <w:rPr>
          <w:rFonts w:hint="eastAsia" w:asciiTheme="minorEastAsia" w:hAnsiTheme="minorEastAsia" w:eastAsiaTheme="minorEastAsia" w:cstheme="minorEastAsia"/>
          <w:color w:val="auto"/>
          <w:sz w:val="24"/>
          <w:szCs w:val="24"/>
        </w:rPr>
        <w:t>采购人</w:t>
      </w:r>
      <w:r>
        <w:rPr>
          <w:rFonts w:hint="eastAsia" w:asciiTheme="minorEastAsia" w:hAnsiTheme="minorEastAsia" w:eastAsiaTheme="minorEastAsia" w:cstheme="minorEastAsia"/>
          <w:color w:val="auto"/>
          <w:spacing w:val="4"/>
          <w:sz w:val="24"/>
          <w:szCs w:val="24"/>
        </w:rPr>
        <w:t>根据评标报告中推荐的中标候选人排列顺序确定中标人，以复函通知</w:t>
      </w:r>
      <w:r>
        <w:rPr>
          <w:rFonts w:hint="eastAsia" w:asciiTheme="minorEastAsia" w:hAnsiTheme="minorEastAsia" w:eastAsiaTheme="minorEastAsia" w:cstheme="minorEastAsia"/>
          <w:color w:val="auto"/>
          <w:sz w:val="24"/>
          <w:szCs w:val="24"/>
        </w:rPr>
        <w:t>采购</w:t>
      </w:r>
      <w:r>
        <w:rPr>
          <w:rFonts w:hint="eastAsia" w:asciiTheme="minorEastAsia" w:hAnsiTheme="minorEastAsia" w:eastAsiaTheme="minorEastAsia" w:cstheme="minorEastAsia"/>
          <w:color w:val="auto"/>
          <w:spacing w:val="4"/>
          <w:sz w:val="24"/>
          <w:szCs w:val="24"/>
        </w:rPr>
        <w:t>代理机构。</w:t>
      </w:r>
    </w:p>
    <w:p>
      <w:pPr>
        <w:spacing w:line="360" w:lineRule="auto"/>
        <w:rPr>
          <w:rFonts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color w:val="auto"/>
          <w:spacing w:val="4"/>
          <w:sz w:val="24"/>
          <w:szCs w:val="24"/>
        </w:rPr>
        <w:t>注：评标办法中要求提供原件的得分项，投标人如提供原件的同时须在投标文件中附相应的复印件或扫描件。</w:t>
      </w:r>
      <w:r>
        <w:rPr>
          <w:rFonts w:hint="eastAsia" w:asciiTheme="minorEastAsia" w:hAnsiTheme="minorEastAsia" w:eastAsiaTheme="minorEastAsia" w:cstheme="minorEastAsia"/>
          <w:color w:val="auto"/>
          <w:sz w:val="36"/>
          <w:szCs w:val="36"/>
        </w:rPr>
        <w:br w:type="page"/>
      </w:r>
    </w:p>
    <w:p>
      <w:pPr>
        <w:pStyle w:val="4"/>
        <w:spacing w:line="240" w:lineRule="auto"/>
        <w:jc w:val="center"/>
        <w:rPr>
          <w:rFonts w:asciiTheme="minorEastAsia" w:hAnsiTheme="minorEastAsia" w:eastAsiaTheme="minorEastAsia" w:cstheme="minorEastAsia"/>
          <w:bCs/>
          <w:color w:val="auto"/>
          <w:sz w:val="36"/>
          <w:szCs w:val="36"/>
        </w:rPr>
      </w:pPr>
      <w:bookmarkStart w:id="81" w:name="_Toc463"/>
      <w:r>
        <w:rPr>
          <w:rFonts w:hint="eastAsia" w:asciiTheme="minorEastAsia" w:hAnsiTheme="minorEastAsia" w:eastAsiaTheme="minorEastAsia" w:cstheme="minorEastAsia"/>
          <w:color w:val="auto"/>
          <w:sz w:val="36"/>
          <w:szCs w:val="36"/>
        </w:rPr>
        <w:t>第四章</w:t>
      </w:r>
      <w:bookmarkEnd w:id="76"/>
      <w:bookmarkEnd w:id="77"/>
      <w:bookmarkEnd w:id="78"/>
      <w:bookmarkEnd w:id="79"/>
      <w:bookmarkStart w:id="82" w:name="_Toc2068"/>
      <w:r>
        <w:rPr>
          <w:rFonts w:hint="eastAsia" w:asciiTheme="minorEastAsia" w:hAnsiTheme="minorEastAsia" w:eastAsiaTheme="minorEastAsia" w:cstheme="minorEastAsia"/>
          <w:color w:val="auto"/>
          <w:sz w:val="36"/>
          <w:szCs w:val="36"/>
        </w:rPr>
        <w:t xml:space="preserve">  </w:t>
      </w:r>
      <w:r>
        <w:rPr>
          <w:rFonts w:hint="eastAsia" w:asciiTheme="minorEastAsia" w:hAnsiTheme="minorEastAsia" w:eastAsiaTheme="minorEastAsia" w:cstheme="minorEastAsia"/>
          <w:bCs/>
          <w:color w:val="auto"/>
          <w:sz w:val="36"/>
          <w:szCs w:val="36"/>
        </w:rPr>
        <w:t>合同条款及格式</w:t>
      </w:r>
      <w:bookmarkEnd w:id="80"/>
      <w:bookmarkEnd w:id="81"/>
      <w:bookmarkEnd w:id="82"/>
    </w:p>
    <w:p>
      <w:pPr>
        <w:pStyle w:val="5"/>
        <w:spacing w:line="240" w:lineRule="auto"/>
        <w:jc w:val="center"/>
        <w:rPr>
          <w:rFonts w:asciiTheme="minorEastAsia" w:hAnsiTheme="minorEastAsia" w:eastAsiaTheme="minorEastAsia" w:cstheme="minorEastAsia"/>
          <w:color w:val="auto"/>
        </w:rPr>
      </w:pPr>
      <w:bookmarkStart w:id="83" w:name="_Toc6935"/>
      <w:bookmarkStart w:id="84" w:name="_Toc30560"/>
      <w:bookmarkStart w:id="85" w:name="_Toc4684"/>
      <w:r>
        <w:rPr>
          <w:rFonts w:hint="eastAsia" w:asciiTheme="minorEastAsia" w:hAnsiTheme="minorEastAsia" w:eastAsiaTheme="minorEastAsia" w:cstheme="minorEastAsia"/>
          <w:color w:val="auto"/>
        </w:rPr>
        <w:t>合同条款及格式前附表</w:t>
      </w:r>
      <w:bookmarkEnd w:id="83"/>
      <w:bookmarkEnd w:id="84"/>
      <w:bookmarkEnd w:id="85"/>
    </w:p>
    <w:p>
      <w:pPr>
        <w:ind w:firstLine="480" w:firstLineChars="200"/>
        <w:rPr>
          <w:rFonts w:asciiTheme="minorEastAsia" w:hAnsiTheme="minorEastAsia" w:eastAsiaTheme="minorEastAsia" w:cstheme="minorEastAsia"/>
          <w:bCs/>
          <w:color w:val="auto"/>
          <w:sz w:val="36"/>
          <w:szCs w:val="36"/>
        </w:rPr>
      </w:pPr>
      <w:r>
        <w:rPr>
          <w:rFonts w:hint="eastAsia" w:asciiTheme="minorEastAsia" w:hAnsiTheme="minorEastAsia" w:eastAsiaTheme="minorEastAsia" w:cstheme="minorEastAsia"/>
          <w:color w:val="auto"/>
          <w:sz w:val="24"/>
          <w:szCs w:val="24"/>
        </w:rPr>
        <w:t>本表是对合同条款的具体补充和修改，如有矛盾，应以本资料表为准。</w:t>
      </w:r>
    </w:p>
    <w:tbl>
      <w:tblPr>
        <w:tblStyle w:val="28"/>
        <w:tblW w:w="912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5"/>
        <w:gridCol w:w="77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5" w:type="dxa"/>
            <w:vAlign w:val="center"/>
          </w:tcPr>
          <w:p>
            <w:pPr>
              <w:spacing w:line="360" w:lineRule="auto"/>
              <w:jc w:val="center"/>
              <w:rPr>
                <w:rFonts w:ascii="宋体" w:hAnsi="宋体" w:cs="宋体"/>
                <w:b/>
                <w:color w:val="auto"/>
                <w:sz w:val="24"/>
                <w:szCs w:val="24"/>
              </w:rPr>
            </w:pPr>
            <w:bookmarkStart w:id="86" w:name="_Toc19246"/>
            <w:bookmarkStart w:id="87" w:name="_Toc389582037"/>
            <w:bookmarkStart w:id="88" w:name="_Toc29888"/>
            <w:bookmarkStart w:id="89" w:name="_Toc31520"/>
            <w:bookmarkStart w:id="90" w:name="_Toc26595"/>
            <w:bookmarkStart w:id="91" w:name="_Toc4679"/>
            <w:bookmarkStart w:id="92" w:name="_Toc8333"/>
            <w:bookmarkStart w:id="93" w:name="_Toc19199"/>
            <w:r>
              <w:rPr>
                <w:rFonts w:hint="eastAsia" w:ascii="宋体" w:hAnsi="宋体" w:cs="宋体"/>
                <w:b/>
                <w:color w:val="auto"/>
                <w:sz w:val="24"/>
                <w:szCs w:val="24"/>
              </w:rPr>
              <w:t>序号</w:t>
            </w:r>
          </w:p>
        </w:tc>
        <w:tc>
          <w:tcPr>
            <w:tcW w:w="7711" w:type="dxa"/>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15" w:type="dxa"/>
            <w:vAlign w:val="center"/>
          </w:tcPr>
          <w:p>
            <w:pPr>
              <w:jc w:val="center"/>
              <w:rPr>
                <w:rFonts w:ascii="宋体" w:hAnsi="宋体" w:cs="宋体"/>
                <w:color w:val="auto"/>
                <w:sz w:val="24"/>
                <w:szCs w:val="24"/>
              </w:rPr>
            </w:pPr>
            <w:r>
              <w:rPr>
                <w:rFonts w:hint="eastAsia" w:ascii="宋体" w:hAnsi="宋体" w:cs="宋体"/>
                <w:color w:val="auto"/>
                <w:sz w:val="24"/>
                <w:szCs w:val="24"/>
              </w:rPr>
              <w:t>1</w:t>
            </w:r>
          </w:p>
        </w:tc>
        <w:tc>
          <w:tcPr>
            <w:tcW w:w="7711" w:type="dxa"/>
            <w:vAlign w:val="center"/>
          </w:tcPr>
          <w:p>
            <w:pPr>
              <w:spacing w:line="336" w:lineRule="auto"/>
              <w:rPr>
                <w:rFonts w:ascii="宋体" w:hAnsi="宋体" w:cs="宋体"/>
                <w:color w:val="auto"/>
                <w:sz w:val="24"/>
                <w:szCs w:val="24"/>
              </w:rPr>
            </w:pPr>
            <w:r>
              <w:rPr>
                <w:rFonts w:hint="eastAsia" w:asciiTheme="minorEastAsia" w:hAnsiTheme="minorEastAsia" w:eastAsiaTheme="minorEastAsia" w:cstheme="minorEastAsia"/>
                <w:color w:val="auto"/>
                <w:sz w:val="24"/>
                <w:szCs w:val="24"/>
              </w:rPr>
              <w:t>采购人</w:t>
            </w:r>
            <w:r>
              <w:rPr>
                <w:rFonts w:hint="eastAsia" w:ascii="宋体" w:hAnsi="宋体" w:cs="宋体"/>
                <w:color w:val="auto"/>
                <w:sz w:val="24"/>
                <w:szCs w:val="24"/>
              </w:rPr>
              <w:t>名称：商南县野生动物和天然林保护管理中心</w:t>
            </w:r>
          </w:p>
          <w:p>
            <w:pPr>
              <w:spacing w:line="336" w:lineRule="auto"/>
              <w:rPr>
                <w:rFonts w:ascii="宋体" w:hAnsi="宋体" w:cs="宋体"/>
                <w:color w:val="auto"/>
                <w:sz w:val="24"/>
                <w:szCs w:val="24"/>
              </w:rPr>
            </w:pPr>
            <w:r>
              <w:rPr>
                <w:rFonts w:hint="eastAsia" w:ascii="宋体" w:hAnsi="宋体" w:cs="宋体"/>
                <w:color w:val="auto"/>
                <w:sz w:val="24"/>
                <w:szCs w:val="24"/>
              </w:rPr>
              <w:t>地址：商南县城关街道办事处育才路2号</w:t>
            </w:r>
          </w:p>
          <w:p>
            <w:pPr>
              <w:spacing w:line="360" w:lineRule="auto"/>
              <w:rPr>
                <w:rFonts w:ascii="宋体" w:hAnsi="宋体" w:cs="宋体"/>
                <w:color w:val="auto"/>
                <w:sz w:val="24"/>
                <w:szCs w:val="24"/>
              </w:rPr>
            </w:pPr>
            <w:r>
              <w:rPr>
                <w:rFonts w:hint="eastAsia" w:ascii="宋体" w:hAnsi="宋体" w:cs="宋体"/>
                <w:color w:val="auto"/>
                <w:sz w:val="24"/>
                <w:szCs w:val="24"/>
              </w:rPr>
              <w:t>项目名称：2022年封山育林项目建设采购</w:t>
            </w:r>
          </w:p>
          <w:p>
            <w:pPr>
              <w:spacing w:line="360" w:lineRule="auto"/>
              <w:rPr>
                <w:rFonts w:ascii="宋体" w:hAnsi="宋体" w:cs="宋体"/>
                <w:color w:val="auto"/>
                <w:sz w:val="24"/>
                <w:szCs w:val="24"/>
              </w:rPr>
            </w:pPr>
            <w:r>
              <w:rPr>
                <w:rFonts w:hint="eastAsia" w:ascii="宋体" w:hAnsi="宋体" w:cs="宋体"/>
                <w:color w:val="auto"/>
                <w:sz w:val="24"/>
                <w:szCs w:val="24"/>
              </w:rPr>
              <w:t>资金来源：</w:t>
            </w:r>
            <w:r>
              <w:rPr>
                <w:rFonts w:hint="eastAsia" w:ascii="宋体" w:hAnsi="宋体" w:cs="宋体"/>
                <w:color w:val="auto"/>
                <w:sz w:val="24"/>
                <w:szCs w:val="24"/>
                <w:highlight w:val="none"/>
                <w:lang w:eastAsia="zh-CN"/>
              </w:rPr>
              <w:t>财政</w:t>
            </w:r>
            <w:r>
              <w:rPr>
                <w:rFonts w:hint="eastAsia" w:ascii="宋体" w:hAnsi="宋体" w:cs="宋体"/>
                <w:color w:val="auto"/>
                <w:sz w:val="24"/>
                <w:szCs w:val="24"/>
                <w:highlight w:val="none"/>
              </w:rPr>
              <w:t>资金</w:t>
            </w:r>
            <w:r>
              <w:rPr>
                <w:rFonts w:hint="eastAsia" w:ascii="宋体" w:hAnsi="宋体" w:cs="宋体"/>
                <w:color w:val="auto"/>
                <w:sz w:val="24"/>
                <w:szCs w:val="24"/>
              </w:rPr>
              <w:t>，资金已落实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trPr>
        <w:tc>
          <w:tcPr>
            <w:tcW w:w="1415" w:type="dxa"/>
            <w:shd w:val="clear" w:color="auto" w:fill="auto"/>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2</w:t>
            </w:r>
          </w:p>
        </w:tc>
        <w:tc>
          <w:tcPr>
            <w:tcW w:w="7711" w:type="dxa"/>
            <w:shd w:val="clear" w:color="auto" w:fill="auto"/>
            <w:vAlign w:val="center"/>
          </w:tcPr>
          <w:p>
            <w:pPr>
              <w:pStyle w:val="12"/>
              <w:rPr>
                <w:color w:val="auto"/>
              </w:rPr>
            </w:pPr>
            <w:r>
              <w:rPr>
                <w:rFonts w:hint="eastAsia" w:ascii="宋体" w:hAnsi="宋体" w:cs="宋体"/>
                <w:color w:val="auto"/>
                <w:sz w:val="24"/>
                <w:szCs w:val="24"/>
              </w:rPr>
              <w:t>各包详细内容详见第五章项目概况及技术要求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1415" w:type="dxa"/>
            <w:shd w:val="clear" w:color="auto" w:fill="auto"/>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3</w:t>
            </w:r>
          </w:p>
        </w:tc>
        <w:tc>
          <w:tcPr>
            <w:tcW w:w="7711" w:type="dxa"/>
            <w:shd w:val="clear" w:color="auto" w:fill="auto"/>
            <w:vAlign w:val="center"/>
          </w:tcPr>
          <w:p>
            <w:pPr>
              <w:spacing w:line="360" w:lineRule="auto"/>
              <w:rPr>
                <w:rFonts w:hint="eastAsia" w:ascii="宋体" w:hAnsi="宋体" w:eastAsia="宋体" w:cs="宋体"/>
                <w:color w:val="auto"/>
                <w:kern w:val="0"/>
                <w:sz w:val="24"/>
                <w:szCs w:val="24"/>
                <w:lang w:eastAsia="zh-CN"/>
              </w:rPr>
            </w:pPr>
            <w:r>
              <w:rPr>
                <w:rFonts w:hint="eastAsia" w:ascii="宋体" w:hAnsi="宋体" w:cs="宋体"/>
                <w:color w:val="auto"/>
                <w:sz w:val="24"/>
                <w:szCs w:val="24"/>
              </w:rPr>
              <w:t>工期：</w:t>
            </w:r>
            <w:r>
              <w:rPr>
                <w:rFonts w:hint="eastAsia" w:ascii="宋体" w:hAnsi="宋体" w:cs="宋体"/>
                <w:b w:val="0"/>
                <w:bCs w:val="0"/>
                <w:color w:val="auto"/>
                <w:sz w:val="24"/>
                <w:szCs w:val="24"/>
              </w:rPr>
              <w:t>自合同签订之日起</w:t>
            </w:r>
            <w:r>
              <w:rPr>
                <w:rFonts w:hint="eastAsia" w:ascii="宋体" w:hAnsi="宋体" w:cs="宋体"/>
                <w:b w:val="0"/>
                <w:bCs w:val="0"/>
                <w:color w:val="auto"/>
                <w:sz w:val="24"/>
                <w:szCs w:val="24"/>
                <w:lang w:val="en-US" w:eastAsia="zh-CN"/>
              </w:rPr>
              <w:t>160</w:t>
            </w:r>
            <w:r>
              <w:rPr>
                <w:rFonts w:hint="eastAsia" w:ascii="宋体" w:hAnsi="宋体" w:cs="宋体"/>
                <w:b w:val="0"/>
                <w:bCs w:val="0"/>
                <w:color w:val="auto"/>
                <w:sz w:val="24"/>
                <w:szCs w:val="24"/>
              </w:rPr>
              <w:t>个日历日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1415" w:type="dxa"/>
            <w:shd w:val="clear" w:color="auto" w:fill="auto"/>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4</w:t>
            </w:r>
          </w:p>
        </w:tc>
        <w:tc>
          <w:tcPr>
            <w:tcW w:w="7711" w:type="dxa"/>
            <w:shd w:val="clear" w:color="auto" w:fill="auto"/>
            <w:vAlign w:val="center"/>
          </w:tcPr>
          <w:p>
            <w:pPr>
              <w:spacing w:line="360" w:lineRule="auto"/>
              <w:rPr>
                <w:rFonts w:ascii="宋体" w:hAnsi="宋体" w:cs="宋体"/>
                <w:color w:val="auto"/>
                <w:sz w:val="24"/>
                <w:szCs w:val="24"/>
              </w:rPr>
            </w:pPr>
            <w:r>
              <w:rPr>
                <w:rFonts w:hint="eastAsia" w:ascii="宋体" w:hAnsi="宋体" w:cs="宋体"/>
                <w:color w:val="auto"/>
                <w:sz w:val="24"/>
                <w:szCs w:val="24"/>
              </w:rPr>
              <w:t>封育期：6年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1415" w:type="dxa"/>
            <w:shd w:val="clear" w:color="auto" w:fill="auto"/>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5</w:t>
            </w:r>
          </w:p>
        </w:tc>
        <w:tc>
          <w:tcPr>
            <w:tcW w:w="7711" w:type="dxa"/>
            <w:shd w:val="clear" w:color="auto" w:fill="auto"/>
            <w:vAlign w:val="center"/>
          </w:tcPr>
          <w:p>
            <w:pPr>
              <w:spacing w:line="360" w:lineRule="auto"/>
              <w:rPr>
                <w:rFonts w:ascii="宋体" w:hAnsi="宋体" w:cs="宋体"/>
                <w:color w:val="auto"/>
                <w:sz w:val="24"/>
                <w:szCs w:val="24"/>
              </w:rPr>
            </w:pPr>
            <w:r>
              <w:rPr>
                <w:rFonts w:hint="eastAsia" w:ascii="宋体" w:hAnsi="宋体" w:cs="宋体"/>
                <w:color w:val="auto"/>
                <w:sz w:val="24"/>
                <w:szCs w:val="24"/>
              </w:rPr>
              <w:t>质量标准：符合国家现行有关质量验收规范“合格”要求。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1415" w:type="dxa"/>
            <w:shd w:val="clear" w:color="auto" w:fill="auto"/>
            <w:vAlign w:val="center"/>
          </w:tcPr>
          <w:p>
            <w:pPr>
              <w:spacing w:line="360" w:lineRule="auto"/>
              <w:jc w:val="center"/>
              <w:rPr>
                <w:rFonts w:ascii="宋体" w:hAnsi="宋体" w:cs="宋体"/>
                <w:color w:val="auto"/>
                <w:sz w:val="24"/>
                <w:szCs w:val="24"/>
                <w:highlight w:val="green"/>
              </w:rPr>
            </w:pPr>
            <w:r>
              <w:rPr>
                <w:rFonts w:hint="eastAsia" w:ascii="宋体" w:hAnsi="宋体" w:cs="宋体"/>
                <w:color w:val="auto"/>
                <w:sz w:val="24"/>
                <w:szCs w:val="24"/>
              </w:rPr>
              <w:t>6</w:t>
            </w:r>
          </w:p>
        </w:tc>
        <w:tc>
          <w:tcPr>
            <w:tcW w:w="7711" w:type="dxa"/>
            <w:shd w:val="clear" w:color="auto" w:fill="auto"/>
            <w:vAlign w:val="center"/>
          </w:tcPr>
          <w:p>
            <w:pPr>
              <w:spacing w:line="360" w:lineRule="auto"/>
              <w:rPr>
                <w:rFonts w:ascii="宋体" w:hAnsi="宋体" w:cs="宋体"/>
                <w:color w:val="auto"/>
                <w:sz w:val="24"/>
                <w:szCs w:val="24"/>
              </w:rPr>
            </w:pPr>
            <w:r>
              <w:rPr>
                <w:rFonts w:hint="eastAsia" w:ascii="宋体" w:hAnsi="宋体" w:cs="宋体"/>
                <w:color w:val="auto"/>
                <w:sz w:val="24"/>
                <w:szCs w:val="24"/>
              </w:rPr>
              <w:t>安全责任：工程施工过程中一切安全责任由中标人负责。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15" w:type="dxa"/>
            <w:vAlign w:val="center"/>
          </w:tcPr>
          <w:p>
            <w:pPr>
              <w:spacing w:line="360" w:lineRule="auto"/>
              <w:jc w:val="center"/>
              <w:rPr>
                <w:rFonts w:ascii="宋体" w:hAnsi="宋体" w:cs="宋体"/>
                <w:color w:val="auto"/>
                <w:sz w:val="24"/>
                <w:szCs w:val="24"/>
                <w:shd w:val="clear" w:color="FFFFFF" w:fill="D9D9D9"/>
              </w:rPr>
            </w:pPr>
            <w:r>
              <w:rPr>
                <w:rFonts w:ascii="宋体" w:hAnsi="宋体" w:cs="宋体"/>
                <w:color w:val="auto"/>
                <w:sz w:val="24"/>
                <w:szCs w:val="24"/>
              </w:rPr>
              <w:t>7</w:t>
            </w:r>
          </w:p>
        </w:tc>
        <w:tc>
          <w:tcPr>
            <w:tcW w:w="7711"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1.合同总价即中标价，中标报价采用固定总价。中标报价是招标文件所确定的全部工程内容的价格体现。任何有选择的报价将不予接受，按无效投标响应。投标人根据自行确定的施工组织设计或施工方案进行自主报价。</w:t>
            </w:r>
          </w:p>
          <w:p>
            <w:pPr>
              <w:spacing w:line="360" w:lineRule="auto"/>
              <w:rPr>
                <w:rFonts w:ascii="宋体" w:hAnsi="宋体" w:cs="宋体"/>
                <w:color w:val="auto"/>
                <w:sz w:val="24"/>
                <w:szCs w:val="24"/>
              </w:rPr>
            </w:pPr>
            <w:r>
              <w:rPr>
                <w:rFonts w:hint="eastAsia" w:ascii="宋体" w:hAnsi="宋体" w:cs="宋体"/>
                <w:color w:val="auto"/>
                <w:sz w:val="24"/>
                <w:szCs w:val="24"/>
              </w:rPr>
              <w:t>2.中标后合同总价不做调整，不再因为环境的变化和工程量的增减而变化，任何有选择的报价将不予接受。</w:t>
            </w:r>
          </w:p>
          <w:p>
            <w:pPr>
              <w:spacing w:line="360" w:lineRule="auto"/>
              <w:rPr>
                <w:rFonts w:ascii="宋体" w:hAnsi="宋体" w:cs="宋体"/>
                <w:color w:val="auto"/>
                <w:sz w:val="24"/>
                <w:szCs w:val="24"/>
              </w:rPr>
            </w:pPr>
            <w:r>
              <w:rPr>
                <w:rFonts w:hint="eastAsia" w:ascii="宋体" w:hAnsi="宋体" w:cs="宋体"/>
                <w:color w:val="auto"/>
                <w:sz w:val="24"/>
                <w:szCs w:val="24"/>
              </w:rPr>
              <w:t>3.付款方式和程序：</w:t>
            </w:r>
          </w:p>
          <w:p>
            <w:pPr>
              <w:spacing w:line="360" w:lineRule="auto"/>
              <w:rPr>
                <w:rFonts w:ascii="宋体" w:hAnsi="宋体" w:cs="宋体"/>
                <w:color w:val="auto"/>
                <w:sz w:val="24"/>
                <w:szCs w:val="24"/>
              </w:rPr>
            </w:pPr>
            <w:r>
              <w:rPr>
                <w:rFonts w:hint="eastAsia" w:ascii="宋体" w:hAnsi="宋体" w:cs="宋体"/>
                <w:color w:val="auto"/>
                <w:sz w:val="24"/>
                <w:szCs w:val="24"/>
              </w:rPr>
              <w:t>（1）结算方式：</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银行转账，项目实施完成并通过验收后，由中标供应商提供票据等财务报账所需材料进行报账。</w:t>
            </w:r>
          </w:p>
          <w:p>
            <w:pPr>
              <w:spacing w:line="360" w:lineRule="auto"/>
              <w:rPr>
                <w:rFonts w:ascii="宋体" w:hAnsi="宋体" w:cs="宋体"/>
                <w:color w:val="auto"/>
                <w:sz w:val="24"/>
                <w:szCs w:val="24"/>
              </w:rPr>
            </w:pPr>
            <w:r>
              <w:rPr>
                <w:rFonts w:hint="eastAsia" w:ascii="宋体" w:hAnsi="宋体" w:cs="宋体"/>
                <w:color w:val="auto"/>
                <w:sz w:val="24"/>
                <w:szCs w:val="24"/>
              </w:rPr>
              <w:t>（2）付款方式：</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签订合同后待工程完工并验收合格后全部付清。（具体以签订合同为准）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15" w:hRule="atLeast"/>
        </w:trPr>
        <w:tc>
          <w:tcPr>
            <w:tcW w:w="1415" w:type="dxa"/>
            <w:vAlign w:val="center"/>
          </w:tcPr>
          <w:p>
            <w:pPr>
              <w:spacing w:line="360" w:lineRule="auto"/>
              <w:jc w:val="center"/>
              <w:rPr>
                <w:rFonts w:ascii="宋体" w:hAnsi="宋体" w:cs="宋体"/>
                <w:color w:val="auto"/>
                <w:sz w:val="24"/>
                <w:szCs w:val="24"/>
              </w:rPr>
            </w:pPr>
            <w:r>
              <w:rPr>
                <w:rFonts w:ascii="宋体" w:hAnsi="宋体" w:cs="宋体"/>
                <w:color w:val="auto"/>
                <w:sz w:val="24"/>
                <w:szCs w:val="24"/>
              </w:rPr>
              <w:t>8</w:t>
            </w:r>
          </w:p>
        </w:tc>
        <w:tc>
          <w:tcPr>
            <w:tcW w:w="7711" w:type="dxa"/>
            <w:vAlign w:val="center"/>
          </w:tcPr>
          <w:p>
            <w:pPr>
              <w:pStyle w:val="16"/>
              <w:spacing w:line="360" w:lineRule="auto"/>
              <w:rPr>
                <w:rFonts w:hAnsi="宋体"/>
                <w:b/>
                <w:bCs/>
                <w:color w:val="auto"/>
                <w:kern w:val="0"/>
                <w:sz w:val="24"/>
                <w:szCs w:val="24"/>
              </w:rPr>
            </w:pPr>
            <w:r>
              <w:rPr>
                <w:rFonts w:hint="eastAsia" w:hAnsi="宋体"/>
                <w:b/>
                <w:bCs/>
                <w:color w:val="auto"/>
                <w:kern w:val="0"/>
                <w:sz w:val="24"/>
                <w:szCs w:val="24"/>
              </w:rPr>
              <w:t>质量保证：</w:t>
            </w:r>
          </w:p>
          <w:p>
            <w:pPr>
              <w:spacing w:line="520" w:lineRule="exact"/>
              <w:ind w:firstLine="360" w:firstLineChars="150"/>
              <w:rPr>
                <w:rFonts w:ascii="宋体" w:hAnsi="宋体" w:cs="宋体"/>
                <w:color w:val="auto"/>
                <w:kern w:val="0"/>
                <w:sz w:val="24"/>
                <w:szCs w:val="24"/>
              </w:rPr>
            </w:pPr>
            <w:r>
              <w:rPr>
                <w:rFonts w:hint="eastAsia" w:ascii="宋体" w:hAnsi="宋体" w:cs="宋体"/>
                <w:color w:val="auto"/>
                <w:sz w:val="24"/>
                <w:szCs w:val="24"/>
              </w:rPr>
              <w:t>投标人必须保证工程及服务质量可靠，并全面满足招标文件的要求，招标文件未明确要求的内容，投标人须按</w:t>
            </w:r>
            <w:r>
              <w:rPr>
                <w:rFonts w:hint="eastAsia" w:asciiTheme="minorEastAsia" w:hAnsiTheme="minorEastAsia" w:eastAsiaTheme="minorEastAsia" w:cstheme="minorEastAsia"/>
                <w:color w:val="auto"/>
                <w:sz w:val="24"/>
                <w:szCs w:val="24"/>
              </w:rPr>
              <w:t>采购人</w:t>
            </w:r>
            <w:r>
              <w:rPr>
                <w:rFonts w:hint="eastAsia" w:ascii="宋体" w:hAnsi="宋体" w:cs="宋体"/>
                <w:color w:val="auto"/>
                <w:sz w:val="24"/>
                <w:szCs w:val="24"/>
              </w:rPr>
              <w:t>的补充要求为准。技术标准严格按国家最新发布的规范标准执行，如发生质量问题由投标人承担全部责任。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15" w:type="dxa"/>
            <w:vAlign w:val="center"/>
          </w:tcPr>
          <w:p>
            <w:pPr>
              <w:spacing w:line="360" w:lineRule="auto"/>
              <w:jc w:val="center"/>
              <w:rPr>
                <w:rFonts w:ascii="宋体" w:hAnsi="宋体" w:cs="宋体"/>
                <w:color w:val="auto"/>
                <w:sz w:val="24"/>
                <w:szCs w:val="24"/>
              </w:rPr>
            </w:pPr>
            <w:r>
              <w:rPr>
                <w:rFonts w:ascii="宋体" w:hAnsi="宋体" w:cs="宋体"/>
                <w:color w:val="auto"/>
                <w:sz w:val="24"/>
                <w:szCs w:val="24"/>
              </w:rPr>
              <w:t>9</w:t>
            </w:r>
          </w:p>
        </w:tc>
        <w:tc>
          <w:tcPr>
            <w:tcW w:w="7711" w:type="dxa"/>
            <w:vAlign w:val="center"/>
          </w:tcPr>
          <w:p>
            <w:pPr>
              <w:spacing w:line="360" w:lineRule="auto"/>
              <w:rPr>
                <w:rFonts w:ascii="宋体" w:hAnsi="宋体" w:cs="宋体"/>
                <w:b/>
                <w:color w:val="auto"/>
                <w:sz w:val="24"/>
                <w:szCs w:val="24"/>
              </w:rPr>
            </w:pPr>
            <w:r>
              <w:rPr>
                <w:rFonts w:hint="eastAsia" w:ascii="宋体" w:hAnsi="宋体" w:cs="宋体"/>
                <w:b/>
                <w:color w:val="auto"/>
                <w:sz w:val="24"/>
                <w:szCs w:val="24"/>
              </w:rPr>
              <w:t>验收：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由采购人和供应商共同对项目进行整体验收，是否达到现行国家有关验收规范“合格”标准、是否按照采购人要求按时完工。</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1.所验各项内容最终验收达不到招标文件要求和投标文件承诺的，或在后续使用中发现采购人不能容忍的缺陷等，将视为验收不合格，供应商应在采购人要求的时间内无条件整改及恢复。</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2.若发现供应商有弄虚作假的，在投标阶段故意或随意夸大技术能力、工程、服务质量的，采购人有权解除合同，并且要求供应商赔偿相关损失。</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3.验收标准：按招标文件、投标文件及澄清函等技术指标进行验收</w:t>
            </w:r>
            <w:r>
              <w:rPr>
                <w:rFonts w:hint="eastAsia" w:ascii="宋体" w:hAnsi="宋体" w:cs="宋体"/>
                <w:color w:val="auto"/>
                <w:sz w:val="24"/>
                <w:szCs w:val="24"/>
                <w:lang w:eastAsia="zh-CN"/>
              </w:rPr>
              <w:t>，</w:t>
            </w:r>
            <w:r>
              <w:rPr>
                <w:rFonts w:hint="eastAsia" w:ascii="宋体" w:hAnsi="宋体" w:cs="宋体"/>
                <w:color w:val="auto"/>
                <w:sz w:val="24"/>
                <w:szCs w:val="24"/>
              </w:rPr>
              <w:t>各项指标均应符合验收标准及要求。</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4.验收合格后，填写验收单，双方签字生效。</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5.验收依据：</w:t>
            </w:r>
          </w:p>
          <w:p>
            <w:pPr>
              <w:numPr>
                <w:ilvl w:val="0"/>
                <w:numId w:val="2"/>
              </w:numPr>
              <w:tabs>
                <w:tab w:val="left" w:pos="498"/>
                <w:tab w:val="clear" w:pos="840"/>
              </w:tabs>
              <w:spacing w:line="360" w:lineRule="auto"/>
              <w:ind w:hanging="625"/>
              <w:rPr>
                <w:rFonts w:ascii="宋体" w:hAnsi="宋体" w:cs="宋体"/>
                <w:color w:val="auto"/>
                <w:sz w:val="24"/>
                <w:szCs w:val="24"/>
              </w:rPr>
            </w:pPr>
            <w:r>
              <w:rPr>
                <w:rFonts w:hint="eastAsia" w:ascii="宋体" w:hAnsi="宋体" w:cs="宋体"/>
                <w:color w:val="auto"/>
                <w:sz w:val="24"/>
                <w:szCs w:val="24"/>
              </w:rPr>
              <w:t>合同文本；</w:t>
            </w:r>
          </w:p>
          <w:p>
            <w:pPr>
              <w:numPr>
                <w:ilvl w:val="0"/>
                <w:numId w:val="2"/>
              </w:numPr>
              <w:tabs>
                <w:tab w:val="left" w:pos="498"/>
                <w:tab w:val="clear" w:pos="840"/>
              </w:tabs>
              <w:spacing w:line="360" w:lineRule="auto"/>
              <w:ind w:hanging="625"/>
              <w:rPr>
                <w:rFonts w:ascii="宋体" w:hAnsi="宋体" w:cs="宋体"/>
                <w:color w:val="auto"/>
                <w:sz w:val="24"/>
                <w:szCs w:val="24"/>
              </w:rPr>
            </w:pPr>
            <w:r>
              <w:rPr>
                <w:rFonts w:hint="eastAsia" w:ascii="宋体" w:hAnsi="宋体" w:cs="宋体"/>
                <w:color w:val="auto"/>
                <w:sz w:val="24"/>
                <w:szCs w:val="24"/>
              </w:rPr>
              <w:t>招标文件及澄清函、投标文件；</w:t>
            </w:r>
          </w:p>
          <w:p>
            <w:pPr>
              <w:numPr>
                <w:ilvl w:val="0"/>
                <w:numId w:val="2"/>
              </w:numPr>
              <w:tabs>
                <w:tab w:val="left" w:pos="498"/>
                <w:tab w:val="clear" w:pos="840"/>
              </w:tabs>
              <w:spacing w:line="360" w:lineRule="auto"/>
              <w:ind w:hanging="625"/>
              <w:rPr>
                <w:rFonts w:ascii="宋体" w:hAnsi="宋体" w:cs="宋体"/>
                <w:color w:val="auto"/>
                <w:sz w:val="24"/>
                <w:szCs w:val="24"/>
              </w:rPr>
            </w:pPr>
            <w:r>
              <w:rPr>
                <w:rFonts w:hint="eastAsia" w:ascii="宋体" w:hAnsi="宋体" w:cs="宋体"/>
                <w:color w:val="auto"/>
                <w:sz w:val="24"/>
                <w:szCs w:val="24"/>
              </w:rPr>
              <w:t>国家和行业制定的相应的标准和规范；</w:t>
            </w:r>
          </w:p>
          <w:p>
            <w:pPr>
              <w:tabs>
                <w:tab w:val="left" w:pos="498"/>
              </w:tabs>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15" w:type="dxa"/>
            <w:vAlign w:val="center"/>
          </w:tcPr>
          <w:p>
            <w:pPr>
              <w:pStyle w:val="16"/>
              <w:spacing w:line="360" w:lineRule="auto"/>
              <w:jc w:val="center"/>
              <w:rPr>
                <w:rFonts w:hAnsi="宋体"/>
                <w:color w:val="auto"/>
                <w:sz w:val="24"/>
                <w:szCs w:val="24"/>
              </w:rPr>
            </w:pPr>
            <w:r>
              <w:rPr>
                <w:rFonts w:hAnsi="宋体"/>
                <w:color w:val="auto"/>
                <w:sz w:val="24"/>
                <w:szCs w:val="24"/>
              </w:rPr>
              <w:t>10</w:t>
            </w:r>
          </w:p>
        </w:tc>
        <w:tc>
          <w:tcPr>
            <w:tcW w:w="7711" w:type="dxa"/>
            <w:vAlign w:val="center"/>
          </w:tcPr>
          <w:p>
            <w:pPr>
              <w:spacing w:line="360" w:lineRule="auto"/>
              <w:rPr>
                <w:rFonts w:ascii="宋体" w:hAnsi="宋体" w:cs="宋体"/>
                <w:b/>
                <w:color w:val="auto"/>
                <w:sz w:val="24"/>
                <w:szCs w:val="24"/>
              </w:rPr>
            </w:pPr>
            <w:r>
              <w:rPr>
                <w:rFonts w:hint="eastAsia" w:ascii="宋体" w:hAnsi="宋体" w:cs="宋体"/>
                <w:b/>
                <w:color w:val="auto"/>
                <w:sz w:val="24"/>
                <w:szCs w:val="24"/>
              </w:rPr>
              <w:t>知识产权：</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投标人应保证所供服务不会出现因第三方提出侵犯其专利权、商标权或其它知识产权而引发法律或经济纠纷，否则由投标人负责解决并承担全部责任；如因此影响到</w:t>
            </w:r>
            <w:r>
              <w:rPr>
                <w:rFonts w:hint="eastAsia" w:asciiTheme="minorEastAsia" w:hAnsiTheme="minorEastAsia" w:eastAsiaTheme="minorEastAsia" w:cstheme="minorEastAsia"/>
                <w:color w:val="auto"/>
                <w:sz w:val="24"/>
                <w:szCs w:val="24"/>
              </w:rPr>
              <w:t>采购人</w:t>
            </w:r>
            <w:r>
              <w:rPr>
                <w:rFonts w:hint="eastAsia" w:ascii="宋体" w:hAnsi="宋体" w:cs="宋体"/>
                <w:color w:val="auto"/>
                <w:sz w:val="24"/>
                <w:szCs w:val="24"/>
              </w:rPr>
              <w:t>的正常使用，</w:t>
            </w:r>
            <w:r>
              <w:rPr>
                <w:rFonts w:hint="eastAsia" w:asciiTheme="minorEastAsia" w:hAnsiTheme="minorEastAsia" w:eastAsiaTheme="minorEastAsia" w:cstheme="minorEastAsia"/>
                <w:color w:val="auto"/>
                <w:sz w:val="24"/>
                <w:szCs w:val="24"/>
              </w:rPr>
              <w:t>采购人</w:t>
            </w:r>
            <w:r>
              <w:rPr>
                <w:rFonts w:hint="eastAsia" w:ascii="宋体" w:hAnsi="宋体" w:cs="宋体"/>
                <w:color w:val="auto"/>
                <w:sz w:val="24"/>
                <w:szCs w:val="24"/>
              </w:rPr>
              <w:t>有权单方解除本合同，投标人应无条件向</w:t>
            </w:r>
            <w:r>
              <w:rPr>
                <w:rFonts w:hint="eastAsia" w:asciiTheme="minorEastAsia" w:hAnsiTheme="minorEastAsia" w:eastAsiaTheme="minorEastAsia" w:cstheme="minorEastAsia"/>
                <w:color w:val="auto"/>
                <w:sz w:val="24"/>
                <w:szCs w:val="24"/>
              </w:rPr>
              <w:t>采购人</w:t>
            </w:r>
            <w:r>
              <w:rPr>
                <w:rFonts w:hint="eastAsia" w:ascii="宋体" w:hAnsi="宋体" w:cs="宋体"/>
                <w:color w:val="auto"/>
                <w:sz w:val="24"/>
                <w:szCs w:val="24"/>
              </w:rPr>
              <w:t>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15" w:type="dxa"/>
            <w:vAlign w:val="center"/>
          </w:tcPr>
          <w:p>
            <w:pPr>
              <w:pStyle w:val="16"/>
              <w:spacing w:line="360" w:lineRule="auto"/>
              <w:jc w:val="center"/>
              <w:rPr>
                <w:rFonts w:hAnsi="宋体"/>
                <w:color w:val="auto"/>
                <w:sz w:val="24"/>
                <w:szCs w:val="24"/>
              </w:rPr>
            </w:pPr>
            <w:r>
              <w:rPr>
                <w:rFonts w:hint="eastAsia" w:hAnsi="宋体"/>
                <w:color w:val="auto"/>
                <w:sz w:val="24"/>
                <w:szCs w:val="24"/>
              </w:rPr>
              <w:t>1</w:t>
            </w:r>
            <w:r>
              <w:rPr>
                <w:rFonts w:hAnsi="宋体"/>
                <w:color w:val="auto"/>
                <w:sz w:val="24"/>
                <w:szCs w:val="24"/>
              </w:rPr>
              <w:t>1</w:t>
            </w:r>
          </w:p>
        </w:tc>
        <w:tc>
          <w:tcPr>
            <w:tcW w:w="7711" w:type="dxa"/>
            <w:vAlign w:val="center"/>
          </w:tcPr>
          <w:p>
            <w:pPr>
              <w:spacing w:line="360" w:lineRule="auto"/>
              <w:rPr>
                <w:rFonts w:ascii="宋体" w:hAnsi="宋体" w:cs="宋体"/>
                <w:b/>
                <w:color w:val="auto"/>
                <w:sz w:val="24"/>
                <w:szCs w:val="24"/>
              </w:rPr>
            </w:pPr>
            <w:r>
              <w:rPr>
                <w:rFonts w:hint="eastAsia" w:ascii="宋体" w:hAnsi="宋体" w:cs="宋体"/>
                <w:b/>
                <w:color w:val="auto"/>
                <w:sz w:val="24"/>
                <w:szCs w:val="24"/>
              </w:rPr>
              <w:t>违约责任：</w:t>
            </w:r>
          </w:p>
          <w:p>
            <w:pPr>
              <w:tabs>
                <w:tab w:val="left" w:pos="152"/>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1、按《中华人民共和国民法典》中的相关条款执行。</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2、未按合同要求提供服务或服务不能满足合同要求，</w:t>
            </w:r>
            <w:r>
              <w:rPr>
                <w:rFonts w:hint="eastAsia" w:asciiTheme="minorEastAsia" w:hAnsiTheme="minorEastAsia" w:eastAsiaTheme="minorEastAsia" w:cstheme="minorEastAsia"/>
                <w:color w:val="auto"/>
                <w:sz w:val="24"/>
                <w:szCs w:val="24"/>
              </w:rPr>
              <w:t>采购人</w:t>
            </w:r>
            <w:r>
              <w:rPr>
                <w:rFonts w:hint="eastAsia" w:ascii="宋体" w:hAnsi="宋体" w:cs="宋体"/>
                <w:color w:val="auto"/>
                <w:sz w:val="24"/>
                <w:szCs w:val="24"/>
              </w:rPr>
              <w:t>应当将服务商违约的情况以及拟采取的措施以书面形式报政府采购监管部门，根据政府采购监管部门的处理意见，</w:t>
            </w:r>
            <w:r>
              <w:rPr>
                <w:rFonts w:hint="eastAsia" w:asciiTheme="minorEastAsia" w:hAnsiTheme="minorEastAsia" w:eastAsiaTheme="minorEastAsia" w:cstheme="minorEastAsia"/>
                <w:color w:val="auto"/>
                <w:sz w:val="24"/>
                <w:szCs w:val="24"/>
              </w:rPr>
              <w:t>采购人</w:t>
            </w:r>
            <w:r>
              <w:rPr>
                <w:rFonts w:hint="eastAsia" w:ascii="宋体" w:hAnsi="宋体" w:cs="宋体"/>
                <w:color w:val="auto"/>
                <w:sz w:val="24"/>
                <w:szCs w:val="24"/>
              </w:rPr>
              <w:t>有权依据《中华人民共和国民法典》有关条款及合同约定终止合同，并要求服务商承担违约责任。同时，政府采购监管部门有权依据《政府采购法》及相关法律法规对服务商的违法行为进行相应的处罚。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0" w:hRule="atLeast"/>
        </w:trPr>
        <w:tc>
          <w:tcPr>
            <w:tcW w:w="141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2</w:t>
            </w:r>
          </w:p>
        </w:tc>
        <w:tc>
          <w:tcPr>
            <w:tcW w:w="7711" w:type="dxa"/>
            <w:vAlign w:val="center"/>
          </w:tcPr>
          <w:p>
            <w:pPr>
              <w:spacing w:line="360" w:lineRule="auto"/>
              <w:rPr>
                <w:rFonts w:ascii="宋体" w:hAnsi="宋体" w:cs="宋体"/>
                <w:b/>
                <w:color w:val="auto"/>
                <w:sz w:val="24"/>
                <w:szCs w:val="24"/>
              </w:rPr>
            </w:pPr>
            <w:r>
              <w:rPr>
                <w:rFonts w:hint="eastAsia" w:ascii="宋体" w:hAnsi="宋体" w:cs="宋体"/>
                <w:b/>
                <w:color w:val="auto"/>
                <w:sz w:val="24"/>
                <w:szCs w:val="24"/>
              </w:rPr>
              <w:t>政府采购合同：</w:t>
            </w:r>
          </w:p>
          <w:p>
            <w:pPr>
              <w:spacing w:line="360" w:lineRule="auto"/>
              <w:ind w:firstLine="480" w:firstLineChars="200"/>
              <w:rPr>
                <w:rFonts w:ascii="宋体" w:hAnsi="宋体" w:cs="宋体"/>
                <w:color w:val="auto"/>
                <w:sz w:val="24"/>
                <w:szCs w:val="24"/>
              </w:rPr>
            </w:pPr>
            <w:r>
              <w:rPr>
                <w:rFonts w:hint="eastAsia" w:asciiTheme="minorEastAsia" w:hAnsiTheme="minorEastAsia" w:eastAsiaTheme="minorEastAsia" w:cstheme="minorEastAsia"/>
                <w:color w:val="auto"/>
                <w:sz w:val="24"/>
                <w:szCs w:val="24"/>
              </w:rPr>
              <w:t>采购人</w:t>
            </w:r>
            <w:r>
              <w:rPr>
                <w:rFonts w:hint="eastAsia" w:ascii="宋体" w:hAnsi="宋体" w:cs="宋体"/>
                <w:color w:val="auto"/>
                <w:sz w:val="24"/>
                <w:szCs w:val="24"/>
              </w:rPr>
              <w:t>和投标人之间的权利和义务，应当按照平等、自愿的原则以合同方式约定。</w:t>
            </w:r>
            <w:r>
              <w:rPr>
                <w:rFonts w:hint="eastAsia" w:ascii="宋体" w:hAnsi="宋体" w:cs="宋体"/>
                <w:color w:val="auto"/>
                <w:sz w:val="24"/>
                <w:szCs w:val="24"/>
              </w:rPr>
              <w:br w:type="textWrapping"/>
            </w:r>
            <w:r>
              <w:rPr>
                <w:rFonts w:hint="eastAsia" w:ascii="宋体" w:hAnsi="宋体" w:cs="宋体"/>
                <w:color w:val="auto"/>
                <w:sz w:val="24"/>
                <w:szCs w:val="24"/>
              </w:rPr>
              <w:t>政府采购合同应当采用书面形式。</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国务院政府采购监督管理部门应当会同国务院有关部门，规定政府采购合同必须具备的条款。</w:t>
            </w:r>
            <w:r>
              <w:rPr>
                <w:rFonts w:hint="eastAsia" w:ascii="宋体" w:hAnsi="宋体" w:cs="宋体"/>
                <w:color w:val="auto"/>
                <w:sz w:val="24"/>
                <w:szCs w:val="24"/>
              </w:rPr>
              <w:br w:type="textWrapping"/>
            </w:r>
            <w:r>
              <w:rPr>
                <w:rFonts w:hint="eastAsia" w:asciiTheme="minorEastAsia" w:hAnsiTheme="minorEastAsia" w:eastAsiaTheme="minorEastAsia" w:cstheme="minorEastAsia"/>
                <w:color w:val="auto"/>
                <w:sz w:val="24"/>
                <w:szCs w:val="24"/>
              </w:rPr>
              <w:t xml:space="preserve">    采购人</w:t>
            </w:r>
            <w:r>
              <w:rPr>
                <w:rFonts w:hint="eastAsia" w:ascii="宋体" w:hAnsi="宋体" w:cs="宋体"/>
                <w:color w:val="auto"/>
                <w:sz w:val="24"/>
                <w:szCs w:val="24"/>
              </w:rPr>
              <w:t>与中标人应当在中标通知书发出之日起三十日内，按照招标文件确定的事项签订政府采购合同。</w:t>
            </w:r>
            <w:r>
              <w:rPr>
                <w:rFonts w:hint="eastAsia" w:ascii="宋体" w:hAnsi="宋体" w:cs="宋体"/>
                <w:color w:val="auto"/>
                <w:sz w:val="24"/>
                <w:szCs w:val="24"/>
              </w:rPr>
              <w:br w:type="textWrapping"/>
            </w:r>
            <w:r>
              <w:rPr>
                <w:rFonts w:ascii="宋体" w:hAnsi="宋体" w:cs="宋体"/>
                <w:color w:val="auto"/>
                <w:sz w:val="24"/>
                <w:szCs w:val="24"/>
              </w:rPr>
              <w:t xml:space="preserve">    </w:t>
            </w:r>
            <w:r>
              <w:rPr>
                <w:rFonts w:hint="eastAsia" w:ascii="宋体" w:hAnsi="宋体" w:cs="宋体"/>
                <w:color w:val="auto"/>
                <w:sz w:val="24"/>
                <w:szCs w:val="24"/>
              </w:rPr>
              <w:t>中标通知书对</w:t>
            </w:r>
            <w:r>
              <w:rPr>
                <w:rFonts w:hint="eastAsia" w:asciiTheme="minorEastAsia" w:hAnsiTheme="minorEastAsia" w:eastAsiaTheme="minorEastAsia" w:cstheme="minorEastAsia"/>
                <w:color w:val="auto"/>
                <w:sz w:val="24"/>
                <w:szCs w:val="24"/>
              </w:rPr>
              <w:t>采购人</w:t>
            </w:r>
            <w:r>
              <w:rPr>
                <w:rFonts w:hint="eastAsia" w:ascii="宋体" w:hAnsi="宋体" w:cs="宋体"/>
                <w:color w:val="auto"/>
                <w:sz w:val="24"/>
                <w:szCs w:val="24"/>
              </w:rPr>
              <w:t>和中标人均具有法律效力。中标通知书发出后，</w:t>
            </w:r>
            <w:r>
              <w:rPr>
                <w:rFonts w:hint="eastAsia" w:asciiTheme="minorEastAsia" w:hAnsiTheme="minorEastAsia" w:eastAsiaTheme="minorEastAsia" w:cstheme="minorEastAsia"/>
                <w:color w:val="auto"/>
                <w:sz w:val="24"/>
                <w:szCs w:val="24"/>
              </w:rPr>
              <w:t>采购人</w:t>
            </w:r>
            <w:r>
              <w:rPr>
                <w:rFonts w:hint="eastAsia" w:ascii="宋体" w:hAnsi="宋体" w:cs="宋体"/>
                <w:color w:val="auto"/>
                <w:sz w:val="24"/>
                <w:szCs w:val="24"/>
              </w:rPr>
              <w:t>改变中标结果的，或者中标人放弃中标项目的，应当依法承担法律责任。</w:t>
            </w:r>
          </w:p>
          <w:p>
            <w:pPr>
              <w:pStyle w:val="16"/>
              <w:spacing w:line="360" w:lineRule="auto"/>
              <w:ind w:firstLine="480" w:firstLineChars="200"/>
              <w:rPr>
                <w:rFonts w:hAnsi="宋体"/>
                <w:color w:val="auto"/>
                <w:sz w:val="24"/>
                <w:szCs w:val="24"/>
              </w:rPr>
            </w:pPr>
            <w:r>
              <w:rPr>
                <w:rFonts w:hint="eastAsia" w:hAnsi="宋体"/>
                <w:color w:val="auto"/>
                <w:sz w:val="24"/>
                <w:szCs w:val="24"/>
              </w:rPr>
              <w:t>政府采购项目的采购合同自签订之日起七个工作日内，</w:t>
            </w:r>
            <w:r>
              <w:rPr>
                <w:rFonts w:hint="eastAsia" w:asciiTheme="minorEastAsia" w:hAnsiTheme="minorEastAsia" w:eastAsiaTheme="minorEastAsia" w:cstheme="minorEastAsia"/>
                <w:color w:val="auto"/>
                <w:sz w:val="24"/>
                <w:szCs w:val="24"/>
              </w:rPr>
              <w:t>采购人</w:t>
            </w:r>
            <w:r>
              <w:rPr>
                <w:rFonts w:hint="eastAsia" w:hAnsi="宋体"/>
                <w:color w:val="auto"/>
                <w:sz w:val="24"/>
                <w:szCs w:val="24"/>
              </w:rPr>
              <w:t>应当将合同副本报同级政府采购监督管理部门和有关部门备案。</w:t>
            </w:r>
            <w:r>
              <w:rPr>
                <w:rFonts w:hint="eastAsia" w:hAnsi="宋体"/>
                <w:color w:val="auto"/>
                <w:sz w:val="24"/>
                <w:szCs w:val="24"/>
              </w:rPr>
              <w:br w:type="textWrapping"/>
            </w:r>
            <w:r>
              <w:rPr>
                <w:rFonts w:hint="eastAsia" w:hAnsi="宋体"/>
                <w:color w:val="auto"/>
                <w:sz w:val="24"/>
                <w:szCs w:val="24"/>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olor w:val="auto"/>
                <w:sz w:val="24"/>
                <w:szCs w:val="24"/>
              </w:rPr>
              <w:br w:type="textWrapping"/>
            </w:r>
            <w:r>
              <w:rPr>
                <w:rFonts w:hint="eastAsia" w:hAnsi="宋体"/>
                <w:color w:val="auto"/>
                <w:sz w:val="24"/>
                <w:szCs w:val="24"/>
              </w:rPr>
              <w:t xml:space="preserve">    政府采购合同的双方当事人不得擅自变更、中止或者终止合同。</w:t>
            </w:r>
            <w:r>
              <w:rPr>
                <w:rFonts w:hint="eastAsia" w:hAnsi="宋体"/>
                <w:color w:val="auto"/>
                <w:sz w:val="24"/>
                <w:szCs w:val="24"/>
              </w:rPr>
              <w:br w:type="textWrapping"/>
            </w:r>
            <w:r>
              <w:rPr>
                <w:rFonts w:hint="eastAsia" w:hAnsi="宋体"/>
                <w:color w:val="auto"/>
                <w:sz w:val="24"/>
                <w:szCs w:val="24"/>
              </w:rPr>
              <w:t>政府采购合同继续履行将损害国家利益和社会公共利益的，双方当事人应当变更、中止或者终止合同。有过错的一方应当承担赔偿责任，双方都有过错的，各自承担相应的责任。</w:t>
            </w:r>
          </w:p>
        </w:tc>
      </w:tr>
    </w:tbl>
    <w:p>
      <w:pPr>
        <w:spacing w:line="360" w:lineRule="auto"/>
        <w:jc w:val="center"/>
        <w:rPr>
          <w:rFonts w:asciiTheme="minorEastAsia" w:hAnsiTheme="minorEastAsia" w:eastAsiaTheme="minorEastAsia" w:cstheme="minorEastAsia"/>
          <w:b/>
          <w:bCs/>
          <w:color w:val="auto"/>
          <w:sz w:val="48"/>
          <w:szCs w:val="48"/>
        </w:rPr>
      </w:pPr>
    </w:p>
    <w:p>
      <w:pPr>
        <w:jc w:val="center"/>
        <w:rPr>
          <w:b/>
          <w:color w:val="auto"/>
          <w:sz w:val="44"/>
          <w:szCs w:val="44"/>
        </w:rPr>
      </w:pPr>
      <w:r>
        <w:rPr>
          <w:rFonts w:hint="eastAsia"/>
          <w:b/>
          <w:color w:val="auto"/>
          <w:sz w:val="44"/>
          <w:szCs w:val="44"/>
        </w:rPr>
        <w:t>2022年封山育林项目建设采购</w:t>
      </w:r>
    </w:p>
    <w:p>
      <w:pPr>
        <w:jc w:val="center"/>
        <w:rPr>
          <w:b/>
          <w:color w:val="auto"/>
          <w:sz w:val="44"/>
          <w:szCs w:val="44"/>
        </w:rPr>
      </w:pPr>
    </w:p>
    <w:p>
      <w:pPr>
        <w:spacing w:line="360" w:lineRule="auto"/>
        <w:jc w:val="center"/>
        <w:rPr>
          <w:rFonts w:asciiTheme="minorEastAsia" w:hAnsiTheme="minorEastAsia" w:eastAsiaTheme="minorEastAsia" w:cstheme="minorEastAsia"/>
          <w:b/>
          <w:bCs/>
          <w:color w:val="auto"/>
          <w:sz w:val="48"/>
          <w:szCs w:val="48"/>
        </w:rPr>
      </w:pPr>
      <w:r>
        <w:rPr>
          <w:rFonts w:hint="eastAsia"/>
          <w:b/>
          <w:color w:val="auto"/>
          <w:sz w:val="44"/>
          <w:szCs w:val="44"/>
        </w:rPr>
        <w:t>（示范文本）</w:t>
      </w:r>
      <w:r>
        <w:rPr>
          <w:rFonts w:hint="eastAsia" w:asciiTheme="minorEastAsia" w:hAnsiTheme="minorEastAsia" w:eastAsiaTheme="minorEastAsia" w:cstheme="minorEastAsia"/>
          <w:b/>
          <w:bCs/>
          <w:color w:val="auto"/>
          <w:sz w:val="48"/>
          <w:szCs w:val="48"/>
        </w:rPr>
        <w:br w:type="page"/>
      </w:r>
    </w:p>
    <w:p>
      <w:pPr>
        <w:pageBreakBefore/>
        <w:spacing w:afterLines="50" w:line="360" w:lineRule="auto"/>
        <w:jc w:val="center"/>
        <w:outlineLvl w:val="1"/>
        <w:rPr>
          <w:rFonts w:hAnsi="宋体"/>
          <w:b/>
          <w:color w:val="auto"/>
          <w:sz w:val="32"/>
          <w:szCs w:val="32"/>
        </w:rPr>
      </w:pPr>
      <w:bookmarkStart w:id="94" w:name="_Toc18407"/>
      <w:bookmarkStart w:id="95" w:name="_Toc826"/>
      <w:bookmarkStart w:id="96" w:name="_Toc27199"/>
      <w:r>
        <w:rPr>
          <w:rFonts w:hint="eastAsia" w:hAnsi="宋体"/>
          <w:b/>
          <w:color w:val="auto"/>
          <w:sz w:val="32"/>
          <w:szCs w:val="32"/>
        </w:rPr>
        <w:t>第一部分</w:t>
      </w:r>
      <w:r>
        <w:rPr>
          <w:rFonts w:hint="eastAsia" w:hAnsi="宋体"/>
          <w:b/>
          <w:color w:val="auto"/>
          <w:sz w:val="32"/>
          <w:szCs w:val="32"/>
          <w:lang w:val="en-US" w:eastAsia="zh-CN"/>
        </w:rPr>
        <w:t xml:space="preserve">  </w:t>
      </w:r>
      <w:r>
        <w:rPr>
          <w:rFonts w:hint="eastAsia" w:hAnsi="宋体"/>
          <w:b/>
          <w:color w:val="auto"/>
          <w:sz w:val="32"/>
          <w:szCs w:val="32"/>
        </w:rPr>
        <w:t>协议书</w:t>
      </w:r>
      <w:bookmarkEnd w:id="94"/>
      <w:bookmarkEnd w:id="95"/>
      <w:bookmarkEnd w:id="96"/>
    </w:p>
    <w:p>
      <w:pPr>
        <w:spacing w:beforeLines="100" w:afterLines="100" w:line="360" w:lineRule="auto"/>
        <w:ind w:firstLine="460" w:firstLineChars="192"/>
        <w:jc w:val="left"/>
        <w:rPr>
          <w:rFonts w:ascii="宋体" w:hAnsi="宋体" w:cs="宋体"/>
          <w:color w:val="auto"/>
          <w:sz w:val="24"/>
          <w:szCs w:val="24"/>
          <w:u w:val="single"/>
        </w:rPr>
      </w:pPr>
      <w:r>
        <w:rPr>
          <w:rFonts w:hint="eastAsia" w:ascii="宋体" w:hAnsi="宋体" w:cs="宋体"/>
          <w:color w:val="auto"/>
          <w:sz w:val="24"/>
          <w:szCs w:val="24"/>
        </w:rPr>
        <w:t>发包人（全称）：</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承包人（全称）：</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依照《中华人民共和国民法典》、《中华人民共和国建筑法》及其他有关法律、行政法规，遵循平等、自愿、公平和诚实信用的原则，双方就本建设工程施工事项协商一致，订立本合同。</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一、工程概况</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工程名称：</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工程地点：</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资金来源：</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二、工程承包范围</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承包范围：</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三、合同工期</w:t>
      </w:r>
    </w:p>
    <w:p>
      <w:pPr>
        <w:spacing w:beforeLines="100" w:afterLines="100" w:line="360" w:lineRule="auto"/>
        <w:ind w:firstLine="460" w:firstLineChars="192"/>
        <w:jc w:val="left"/>
        <w:rPr>
          <w:rFonts w:ascii="宋体" w:hAnsi="宋体" w:cs="宋体"/>
          <w:color w:val="auto"/>
          <w:sz w:val="24"/>
          <w:szCs w:val="24"/>
          <w:u w:val="single"/>
        </w:rPr>
      </w:pPr>
      <w:r>
        <w:rPr>
          <w:rFonts w:hint="eastAsia" w:ascii="宋体" w:hAnsi="宋体" w:cs="宋体"/>
          <w:color w:val="auto"/>
          <w:sz w:val="24"/>
          <w:szCs w:val="24"/>
        </w:rPr>
        <w:t>开工日期：</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竣工日期：</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合同工期总日历天数</w:t>
      </w:r>
      <w:r>
        <w:rPr>
          <w:rFonts w:hint="eastAsia" w:ascii="宋体" w:hAnsi="宋体" w:cs="宋体"/>
          <w:color w:val="auto"/>
          <w:sz w:val="24"/>
          <w:szCs w:val="24"/>
          <w:u w:val="single"/>
        </w:rPr>
        <w:t xml:space="preserve">         </w:t>
      </w:r>
      <w:r>
        <w:rPr>
          <w:rFonts w:hint="eastAsia" w:ascii="宋体" w:hAnsi="宋体" w:cs="宋体"/>
          <w:color w:val="auto"/>
          <w:sz w:val="24"/>
          <w:szCs w:val="24"/>
        </w:rPr>
        <w:t>日历日。</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四、质量标准</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工程质量标准：达到国家质量验收合格标准</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五、合同价款</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合同金额（大写）：</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合同总价即成交价，合同总价为总承包价，不受市场价变化或实际工作量变化的影响，合同价格为含税价，供应商提供本工程所发生的一切税（包括增值税）费等都已包含于合同价款中。</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六、组成合同的文件</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组成本合同的文件包括：</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1、本合同协议书</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2、本合同专用条款</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3、本合同通用条款</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4、中标通知书</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5、投标文件、工程报价单或预算书及其附件</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6、招标文件、答疑纪要</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7、标准、规范及有关技术文件</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双方为履行本合同的有关洽商、变更等书面协议或文件视为本合同的组成部分。</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七、本协议书中有关词语含义与本合同第二部分《通用条款》中分别赋予它们的定义相同。</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八、承包人向发包人承诺按照合同约定进行施工、竣工并在质量保修期内承担工程质量保修责任。</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九、发包人向承包人承诺按照合同约定的期限和方式支付合同价款及其他应当支付的款项。</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十、合同生效</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合同订立时间：</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合同订立地点：</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本合同双方约定</w:t>
      </w:r>
      <w:r>
        <w:rPr>
          <w:rFonts w:hint="eastAsia" w:ascii="宋体" w:hAnsi="宋体" w:cs="宋体"/>
          <w:color w:val="auto"/>
          <w:sz w:val="24"/>
          <w:szCs w:val="24"/>
          <w:u w:val="single"/>
        </w:rPr>
        <w:t>双方签字盖章后</w:t>
      </w:r>
      <w:r>
        <w:rPr>
          <w:rFonts w:hint="eastAsia" w:ascii="宋体" w:hAnsi="宋体" w:cs="宋体"/>
          <w:color w:val="auto"/>
          <w:sz w:val="24"/>
          <w:szCs w:val="24"/>
        </w:rPr>
        <w:t>生效。</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 xml:space="preserve">发包人：（公章）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 xml:space="preserve">          承包人：（公章）</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 xml:space="preserve">          法定代表人：</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委托代理人：</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 xml:space="preserve">          委托代理人：</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 xml:space="preserve">联系人：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 xml:space="preserve">          联系人：</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电话：</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 xml:space="preserve">          电话：</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传真：</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 xml:space="preserve">          传真：</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beforeLines="100" w:afterLines="100" w:line="360" w:lineRule="auto"/>
        <w:ind w:firstLine="460" w:firstLineChars="192"/>
        <w:jc w:val="left"/>
        <w:rPr>
          <w:rFonts w:ascii="宋体" w:hAnsi="宋体" w:cs="宋体"/>
          <w:color w:val="auto"/>
          <w:sz w:val="24"/>
          <w:szCs w:val="24"/>
        </w:rPr>
      </w:pPr>
      <w:r>
        <w:rPr>
          <w:rFonts w:hint="eastAsia" w:ascii="宋体" w:hAnsi="宋体" w:cs="宋体"/>
          <w:color w:val="auto"/>
          <w:sz w:val="24"/>
          <w:szCs w:val="24"/>
        </w:rPr>
        <w:t>开户银行：</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 xml:space="preserve">           开户银行：</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beforeLines="100" w:afterLines="100" w:line="360" w:lineRule="auto"/>
        <w:ind w:firstLine="460" w:firstLineChars="192"/>
        <w:jc w:val="left"/>
        <w:rPr>
          <w:rFonts w:ascii="宋体" w:hAnsi="宋体" w:cs="宋体"/>
          <w:color w:val="auto"/>
          <w:sz w:val="24"/>
          <w:szCs w:val="24"/>
        </w:rPr>
        <w:sectPr>
          <w:footerReference r:id="rId8" w:type="default"/>
          <w:pgSz w:w="11907" w:h="16840"/>
          <w:pgMar w:top="1418" w:right="1418" w:bottom="1418" w:left="1417" w:header="720" w:footer="720" w:gutter="0"/>
          <w:cols w:space="720" w:num="1"/>
        </w:sectPr>
      </w:pPr>
      <w:r>
        <w:rPr>
          <w:rFonts w:hint="eastAsia" w:ascii="宋体" w:hAnsi="宋体" w:cs="宋体"/>
          <w:color w:val="auto"/>
          <w:sz w:val="24"/>
          <w:szCs w:val="24"/>
        </w:rPr>
        <w:t xml:space="preserve">账号：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 xml:space="preserve">           账号：</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line="360" w:lineRule="auto"/>
        <w:ind w:firstLine="723" w:firstLineChars="200"/>
        <w:jc w:val="center"/>
        <w:rPr>
          <w:rFonts w:hAnsi="宋体"/>
          <w:color w:val="auto"/>
        </w:rPr>
      </w:pPr>
      <w:r>
        <w:rPr>
          <w:rFonts w:hint="eastAsia" w:hAnsi="宋体"/>
          <w:b/>
          <w:bCs/>
          <w:color w:val="auto"/>
          <w:sz w:val="36"/>
          <w:szCs w:val="36"/>
        </w:rPr>
        <w:t>第二部分</w:t>
      </w:r>
      <w:r>
        <w:rPr>
          <w:rFonts w:hint="eastAsia" w:hAnsi="宋体"/>
          <w:b/>
          <w:bCs/>
          <w:color w:val="auto"/>
          <w:sz w:val="36"/>
          <w:szCs w:val="36"/>
          <w:lang w:val="en-US" w:eastAsia="zh-CN"/>
        </w:rPr>
        <w:t xml:space="preserve">  </w:t>
      </w:r>
      <w:r>
        <w:rPr>
          <w:rFonts w:hint="eastAsia" w:hAnsi="宋体"/>
          <w:b/>
          <w:bCs/>
          <w:color w:val="auto"/>
          <w:sz w:val="36"/>
          <w:szCs w:val="36"/>
        </w:rPr>
        <w:t>通用合同条款</w:t>
      </w:r>
    </w:p>
    <w:p>
      <w:pPr>
        <w:pStyle w:val="25"/>
        <w:spacing w:line="300" w:lineRule="auto"/>
        <w:jc w:val="center"/>
        <w:rPr>
          <w:rFonts w:cs="宋体"/>
          <w:b/>
          <w:bCs/>
          <w:color w:val="auto"/>
          <w:sz w:val="28"/>
          <w:szCs w:val="28"/>
        </w:rPr>
      </w:pPr>
      <w:r>
        <w:rPr>
          <w:rFonts w:hint="eastAsia" w:cs="宋体"/>
          <w:b/>
          <w:bCs/>
          <w:color w:val="auto"/>
          <w:sz w:val="28"/>
          <w:szCs w:val="28"/>
        </w:rPr>
        <w:t>执行《陕西省建设工程施工合同》（示范文本）</w:t>
      </w:r>
    </w:p>
    <w:p>
      <w:pPr>
        <w:pStyle w:val="25"/>
        <w:spacing w:line="300" w:lineRule="auto"/>
        <w:jc w:val="center"/>
        <w:rPr>
          <w:rFonts w:cs="宋体"/>
          <w:b/>
          <w:bCs/>
          <w:color w:val="auto"/>
          <w:sz w:val="28"/>
          <w:szCs w:val="28"/>
        </w:rPr>
      </w:pPr>
    </w:p>
    <w:p>
      <w:pPr>
        <w:pStyle w:val="25"/>
        <w:spacing w:line="300" w:lineRule="auto"/>
        <w:jc w:val="center"/>
        <w:rPr>
          <w:rFonts w:cs="宋体"/>
          <w:b/>
          <w:bCs/>
          <w:color w:val="auto"/>
          <w:sz w:val="28"/>
          <w:szCs w:val="28"/>
        </w:rPr>
        <w:sectPr>
          <w:pgSz w:w="11850" w:h="16783"/>
          <w:pgMar w:top="1440" w:right="1797" w:bottom="1440" w:left="1400" w:header="720" w:footer="720" w:gutter="0"/>
          <w:cols w:space="720" w:num="1"/>
        </w:sectPr>
      </w:pPr>
    </w:p>
    <w:p>
      <w:pPr>
        <w:jc w:val="center"/>
        <w:rPr>
          <w:rFonts w:ascii="黑体" w:eastAsia="黑体"/>
          <w:color w:val="auto"/>
          <w:sz w:val="30"/>
          <w:szCs w:val="30"/>
        </w:rPr>
      </w:pPr>
      <w:r>
        <w:rPr>
          <w:rFonts w:hint="eastAsia" w:hAnsi="宋体"/>
          <w:b/>
          <w:bCs/>
          <w:color w:val="auto"/>
          <w:sz w:val="36"/>
          <w:szCs w:val="36"/>
        </w:rPr>
        <w:t>第三部分</w:t>
      </w:r>
      <w:r>
        <w:rPr>
          <w:rFonts w:hint="eastAsia" w:hAnsi="宋体"/>
          <w:b/>
          <w:bCs/>
          <w:color w:val="auto"/>
          <w:sz w:val="36"/>
          <w:szCs w:val="36"/>
          <w:lang w:val="en-US" w:eastAsia="zh-CN"/>
        </w:rPr>
        <w:t xml:space="preserve">  </w:t>
      </w:r>
      <w:r>
        <w:rPr>
          <w:rFonts w:hint="eastAsia" w:hAnsi="宋体"/>
          <w:b/>
          <w:bCs/>
          <w:color w:val="auto"/>
          <w:sz w:val="36"/>
          <w:szCs w:val="36"/>
        </w:rPr>
        <w:t>专用合同条款</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一、词语定义及合同文件</w:t>
      </w:r>
    </w:p>
    <w:p>
      <w:pPr>
        <w:spacing w:line="360" w:lineRule="auto"/>
        <w:ind w:firstLine="482" w:firstLineChars="200"/>
        <w:jc w:val="left"/>
        <w:rPr>
          <w:rFonts w:ascii="宋体" w:hAnsi="宋体" w:cs="宋体"/>
          <w:color w:val="auto"/>
          <w:sz w:val="24"/>
          <w:szCs w:val="24"/>
        </w:rPr>
      </w:pPr>
      <w:r>
        <w:rPr>
          <w:rFonts w:hint="eastAsia" w:ascii="宋体" w:hAnsi="宋体" w:cs="宋体"/>
          <w:b/>
          <w:bCs/>
          <w:color w:val="auto"/>
          <w:sz w:val="24"/>
          <w:szCs w:val="24"/>
        </w:rPr>
        <w:t>1、</w:t>
      </w:r>
      <w:r>
        <w:rPr>
          <w:rFonts w:hint="eastAsia" w:ascii="宋体" w:hAnsi="宋体" w:cs="宋体"/>
          <w:color w:val="auto"/>
          <w:sz w:val="24"/>
          <w:szCs w:val="24"/>
          <w:u w:val="single"/>
        </w:rPr>
        <w:t>专用合同条款是对通用条款中相应条款内容的解释、补充、删除或修改，其序号与通用条款中条款一一对应，未作改动的条款按通用条款执行。</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2、合同文件及解释顺序</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合同文件组成及解释顺序：</w:t>
      </w:r>
      <w:r>
        <w:rPr>
          <w:rFonts w:hint="eastAsia" w:ascii="宋体" w:hAnsi="宋体" w:cs="宋体"/>
          <w:color w:val="auto"/>
          <w:sz w:val="24"/>
          <w:szCs w:val="24"/>
          <w:u w:val="single"/>
        </w:rPr>
        <w:t>﹙1﹚本合同协议书；﹙2﹚本合同专用条款；﹙3﹚中标通知书；﹙4﹚招标文件答疑纪要；﹙5﹚本合同通用条款；﹙6﹚标准规范及有关技术文件；（7）其他。</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3、语言文字和适用法律语言文字和适用法律、标准及规范</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3.1  本合同除使用汉语外，还使用</w:t>
      </w:r>
      <w:r>
        <w:rPr>
          <w:rFonts w:hint="eastAsia" w:ascii="宋体" w:hAnsi="宋体" w:cs="宋体"/>
          <w:color w:val="auto"/>
          <w:sz w:val="24"/>
          <w:szCs w:val="24"/>
          <w:u w:val="single"/>
        </w:rPr>
        <w:t xml:space="preserve">          /          </w:t>
      </w:r>
      <w:r>
        <w:rPr>
          <w:rFonts w:hint="eastAsia" w:ascii="宋体" w:hAnsi="宋体" w:cs="宋体"/>
          <w:color w:val="auto"/>
          <w:sz w:val="24"/>
          <w:szCs w:val="24"/>
        </w:rPr>
        <w:t>语言文字。</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3.2  适用法律和法规需要明示的法律、行政法规：</w:t>
      </w:r>
      <w:r>
        <w:rPr>
          <w:rFonts w:hint="eastAsia" w:ascii="宋体" w:hAnsi="宋体" w:cs="宋体"/>
          <w:color w:val="auto"/>
          <w:sz w:val="24"/>
          <w:szCs w:val="24"/>
          <w:u w:val="single"/>
        </w:rPr>
        <w:t>本合同适用于中华人民共和国法律，行政法规、陕西省地方法规。</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3.3  适用标准、规范</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适用标准、规范的名称：</w:t>
      </w:r>
      <w:r>
        <w:rPr>
          <w:rFonts w:hint="eastAsia" w:ascii="宋体" w:hAnsi="宋体" w:cs="宋体"/>
          <w:color w:val="auto"/>
          <w:sz w:val="24"/>
          <w:szCs w:val="24"/>
          <w:u w:val="single"/>
        </w:rPr>
        <w:t>﹙1﹚国家现行和相关技术规程；﹙2﹚工程所在地建设主管部门的标准、规范；﹙3﹚工程所在地行业的标准、规范。</w:t>
      </w:r>
    </w:p>
    <w:p>
      <w:pPr>
        <w:spacing w:line="360" w:lineRule="auto"/>
        <w:ind w:firstLine="480" w:firstLineChars="200"/>
        <w:jc w:val="left"/>
        <w:rPr>
          <w:rFonts w:hint="eastAsia" w:ascii="宋体" w:hAnsi="宋体" w:eastAsia="宋体" w:cs="宋体"/>
          <w:color w:val="auto"/>
          <w:sz w:val="24"/>
          <w:szCs w:val="24"/>
          <w:u w:val="single"/>
          <w:lang w:eastAsia="zh-CN"/>
        </w:rPr>
      </w:pPr>
      <w:r>
        <w:rPr>
          <w:rFonts w:hint="eastAsia" w:ascii="宋体" w:hAnsi="宋体" w:cs="宋体"/>
          <w:color w:val="auto"/>
          <w:sz w:val="24"/>
          <w:szCs w:val="24"/>
        </w:rPr>
        <w:t>发包人提供标准、规范的时间：</w:t>
      </w:r>
      <w:r>
        <w:rPr>
          <w:rFonts w:hint="eastAsia" w:ascii="宋体" w:hAnsi="宋体" w:cs="宋体"/>
          <w:color w:val="auto"/>
          <w:sz w:val="24"/>
          <w:szCs w:val="24"/>
          <w:u w:val="single"/>
        </w:rPr>
        <w:t xml:space="preserve">               /                    </w:t>
      </w:r>
      <w:r>
        <w:rPr>
          <w:rFonts w:hint="eastAsia" w:ascii="宋体" w:hAnsi="宋体" w:cs="宋体"/>
          <w:color w:val="auto"/>
          <w:sz w:val="24"/>
          <w:szCs w:val="24"/>
          <w:u w:val="single"/>
          <w:lang w:eastAsia="zh-CN"/>
        </w:rPr>
        <w:t>。</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国内没有相应标准、规范时的约定：</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4、图纸</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4.1发包人向承包人提供图纸日期和套数</w:t>
      </w:r>
      <w:r>
        <w:rPr>
          <w:rFonts w:hint="eastAsia" w:ascii="宋体" w:hAnsi="宋体" w:cs="宋体"/>
          <w:color w:val="auto"/>
          <w:sz w:val="24"/>
          <w:szCs w:val="24"/>
          <w:u w:val="single"/>
        </w:rPr>
        <w:t>：    /                       。</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发包人对图纸的保密要求</w:t>
      </w:r>
      <w:r>
        <w:rPr>
          <w:rFonts w:hint="eastAsia" w:ascii="宋体" w:hAnsi="宋体" w:cs="宋体"/>
          <w:color w:val="auto"/>
          <w:sz w:val="24"/>
          <w:szCs w:val="24"/>
          <w:u w:val="single"/>
        </w:rPr>
        <w:t>：         /           。</w:t>
      </w:r>
    </w:p>
    <w:p>
      <w:pPr>
        <w:spacing w:line="360" w:lineRule="auto"/>
        <w:ind w:firstLine="480" w:firstLineChars="200"/>
        <w:jc w:val="left"/>
        <w:rPr>
          <w:rFonts w:hint="eastAsia" w:ascii="宋体" w:hAnsi="宋体" w:eastAsia="宋体" w:cs="宋体"/>
          <w:color w:val="auto"/>
          <w:sz w:val="24"/>
          <w:szCs w:val="24"/>
          <w:u w:val="thick"/>
          <w:lang w:eastAsia="zh-CN"/>
        </w:rPr>
      </w:pPr>
      <w:r>
        <w:rPr>
          <w:rFonts w:hint="eastAsia" w:ascii="宋体" w:hAnsi="宋体" w:cs="宋体"/>
          <w:color w:val="auto"/>
          <w:sz w:val="24"/>
          <w:szCs w:val="24"/>
        </w:rPr>
        <w:t>使用国外图纸的要求及费用承担：</w:t>
      </w:r>
      <w:r>
        <w:rPr>
          <w:rFonts w:hint="eastAsia" w:ascii="宋体" w:hAnsi="宋体" w:cs="宋体"/>
          <w:color w:val="auto"/>
          <w:sz w:val="24"/>
          <w:szCs w:val="24"/>
          <w:u w:val="single"/>
        </w:rPr>
        <w:t xml:space="preserve">    无    </w:t>
      </w:r>
      <w:r>
        <w:rPr>
          <w:rFonts w:hint="eastAsia" w:ascii="宋体" w:hAnsi="宋体" w:cs="宋体"/>
          <w:color w:val="auto"/>
          <w:sz w:val="24"/>
          <w:szCs w:val="24"/>
          <w:u w:val="single"/>
          <w:lang w:eastAsia="zh-CN"/>
        </w:rPr>
        <w:t>。</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二、双方一般权利和义务</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5、工程师</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1</w:t>
      </w:r>
      <w:r>
        <w:rPr>
          <w:rFonts w:hint="eastAsia" w:ascii="宋体" w:hAnsi="宋体" w:cs="宋体"/>
          <w:color w:val="auto"/>
          <w:sz w:val="24"/>
          <w:szCs w:val="24"/>
        </w:rPr>
        <w:t>监理单位委派的工程师</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职务：</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发包人委托的职权：</w:t>
      </w:r>
      <w:r>
        <w:rPr>
          <w:rFonts w:hint="eastAsia" w:ascii="宋体" w:hAnsi="宋体" w:cs="宋体"/>
          <w:color w:val="auto"/>
          <w:sz w:val="24"/>
          <w:szCs w:val="24"/>
          <w:u w:val="single"/>
        </w:rPr>
        <w:t xml:space="preserve">               /                   </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需要取得发包人批准才能行使的职权：</w:t>
      </w:r>
      <w:r>
        <w:rPr>
          <w:rFonts w:hint="eastAsia" w:ascii="宋体" w:hAnsi="宋体" w:cs="宋体"/>
          <w:color w:val="auto"/>
          <w:sz w:val="24"/>
          <w:szCs w:val="24"/>
          <w:u w:val="single"/>
        </w:rPr>
        <w:t xml:space="preserve">         /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2</w:t>
      </w:r>
      <w:r>
        <w:rPr>
          <w:rFonts w:hint="eastAsia" w:ascii="宋体" w:hAnsi="宋体" w:cs="宋体"/>
          <w:color w:val="auto"/>
          <w:sz w:val="24"/>
          <w:szCs w:val="24"/>
        </w:rPr>
        <w:t>发包人派驻的工程师</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职务：</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职权：</w:t>
      </w:r>
      <w:r>
        <w:rPr>
          <w:rFonts w:hint="eastAsia" w:ascii="宋体" w:hAnsi="宋体" w:eastAsia="宋体" w:cs="宋体"/>
          <w:color w:val="auto"/>
          <w:sz w:val="24"/>
          <w:szCs w:val="24"/>
          <w:highlight w:val="none"/>
          <w:u w:val="single"/>
        </w:rPr>
        <w:t xml:space="preserve">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3</w:t>
      </w:r>
      <w:r>
        <w:rPr>
          <w:rFonts w:hint="eastAsia" w:ascii="宋体" w:hAnsi="宋体" w:cs="宋体"/>
          <w:color w:val="auto"/>
          <w:sz w:val="24"/>
          <w:szCs w:val="24"/>
        </w:rPr>
        <w:t>不实行监理的，工程师的职权：</w:t>
      </w:r>
      <w:r>
        <w:rPr>
          <w:rFonts w:hint="eastAsia" w:ascii="宋体" w:hAnsi="宋体" w:cs="宋体"/>
          <w:color w:val="auto"/>
          <w:sz w:val="24"/>
          <w:szCs w:val="24"/>
          <w:u w:val="single"/>
        </w:rPr>
        <w:t xml:space="preserve">          /                   </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6、项目经理</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xml:space="preserve">           </w:t>
      </w:r>
      <w:r>
        <w:rPr>
          <w:rFonts w:hint="eastAsia" w:ascii="宋体" w:hAnsi="宋体" w:cs="宋体"/>
          <w:color w:val="auto"/>
          <w:sz w:val="24"/>
          <w:szCs w:val="24"/>
        </w:rPr>
        <w:t>职务：</w:t>
      </w:r>
      <w:r>
        <w:rPr>
          <w:rFonts w:hint="eastAsia" w:ascii="宋体" w:hAnsi="宋体" w:cs="宋体"/>
          <w:color w:val="auto"/>
          <w:sz w:val="24"/>
          <w:szCs w:val="24"/>
          <w:u w:val="single"/>
        </w:rPr>
        <w:t xml:space="preserve">                  </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7、发包人工作</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7.1发包人应按约定的时间和要求完成以下工作：</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（1）施工场地具备施工条件的要求及完成的时间：</w:t>
      </w:r>
      <w:r>
        <w:rPr>
          <w:rFonts w:hint="eastAsia" w:ascii="宋体" w:hAnsi="宋体" w:cs="宋体"/>
          <w:color w:val="auto"/>
          <w:sz w:val="24"/>
          <w:szCs w:val="24"/>
          <w:u w:val="single"/>
        </w:rPr>
        <w:t>工程开工前五日内完成。</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（2）将施工所需的水、电、电讯线路接至施工场地的时间、地点和供应要求：</w:t>
      </w:r>
      <w:r>
        <w:rPr>
          <w:rFonts w:hint="eastAsia" w:ascii="宋体" w:hAnsi="宋体" w:cs="宋体"/>
          <w:color w:val="auto"/>
          <w:sz w:val="24"/>
          <w:szCs w:val="24"/>
          <w:u w:val="single"/>
        </w:rPr>
        <w:t>本工程施工水源、电源、电讯均由承包人自行解决并承担费用。</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其计量和计价方法为：</w:t>
      </w:r>
      <w:r>
        <w:rPr>
          <w:rFonts w:hint="eastAsia" w:ascii="宋体" w:hAnsi="宋体" w:cs="宋体"/>
          <w:color w:val="auto"/>
          <w:sz w:val="24"/>
          <w:szCs w:val="24"/>
          <w:u w:val="single"/>
        </w:rPr>
        <w:t>由承包人承担费用，按不同来源在投标时自主报价，结算时不再调整。</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（3）施工场地与公共道路的通道开通时间和要求：</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（4）工程地质和地下管线资料的提供时间：</w:t>
      </w:r>
      <w:r>
        <w:rPr>
          <w:rFonts w:hint="eastAsia" w:ascii="宋体" w:hAnsi="宋体" w:cs="宋体"/>
          <w:color w:val="auto"/>
          <w:sz w:val="24"/>
          <w:szCs w:val="24"/>
          <w:u w:val="single"/>
        </w:rPr>
        <w:t>合同签订七日内提供发包人已知的情况，其它由承包人自行勘测和解决。</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（5）由发包人办理的施工所需证件、批件的名称和完成时间：</w:t>
      </w:r>
      <w:r>
        <w:rPr>
          <w:rFonts w:hint="eastAsia" w:ascii="宋体" w:hAnsi="宋体" w:cs="宋体"/>
          <w:color w:val="auto"/>
          <w:sz w:val="24"/>
          <w:szCs w:val="24"/>
          <w:u w:val="single"/>
        </w:rPr>
        <w:t>合同签订后发包人积极办理，需要承包人配合的承包人必须积极配合在开工前完成</w:t>
      </w:r>
      <w:r>
        <w:rPr>
          <w:rFonts w:hint="eastAsia" w:ascii="宋体" w:hAnsi="宋体" w:cs="宋体"/>
          <w:color w:val="auto"/>
          <w:sz w:val="24"/>
          <w:szCs w:val="24"/>
        </w:rPr>
        <w:t>。</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（6）水准点与座标控制点交验要求：</w:t>
      </w:r>
      <w:r>
        <w:rPr>
          <w:rFonts w:hint="eastAsia" w:ascii="宋体" w:hAnsi="宋体" w:cs="宋体"/>
          <w:color w:val="auto"/>
          <w:sz w:val="24"/>
          <w:szCs w:val="24"/>
          <w:u w:val="single"/>
        </w:rPr>
        <w:t>/。</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（7）施工交底时间：</w:t>
      </w:r>
      <w:r>
        <w:rPr>
          <w:rFonts w:hint="eastAsia" w:ascii="宋体" w:hAnsi="宋体" w:cs="宋体"/>
          <w:color w:val="auto"/>
          <w:sz w:val="24"/>
          <w:szCs w:val="24"/>
          <w:u w:val="single"/>
        </w:rPr>
        <w:t>。</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（8）协调处理施工场地周围地下管线和邻近建筑物、构筑物（含文物保护建筑）、古树名木的保护工作：</w:t>
      </w:r>
      <w:r>
        <w:rPr>
          <w:rFonts w:hint="eastAsia" w:ascii="宋体" w:hAnsi="宋体" w:cs="宋体"/>
          <w:color w:val="auto"/>
          <w:sz w:val="24"/>
          <w:szCs w:val="24"/>
          <w:u w:val="single"/>
        </w:rPr>
        <w:t>由发包人和承包人协商确定。</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（9）双方约定发包人应做的其他工作：</w:t>
      </w:r>
      <w:r>
        <w:rPr>
          <w:rFonts w:hint="eastAsia" w:ascii="宋体" w:hAnsi="宋体" w:cs="宋体"/>
          <w:color w:val="auto"/>
          <w:sz w:val="24"/>
          <w:szCs w:val="24"/>
          <w:u w:val="single"/>
        </w:rPr>
        <w:t>施工中的协调配合工作。</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7.2发包人委托承包人办理的工作：</w:t>
      </w:r>
      <w:r>
        <w:rPr>
          <w:rFonts w:hint="eastAsia" w:ascii="宋体" w:hAnsi="宋体" w:cs="宋体"/>
          <w:color w:val="auto"/>
          <w:sz w:val="24"/>
          <w:szCs w:val="24"/>
          <w:u w:val="single"/>
        </w:rPr>
        <w:t>配合发包人办理施工许可证、质量监督备案手续。</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8、承包人工作</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8.1承包人应按约定时间和要求，完成以下工作：</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（1）需由设计资质等级和业务范围允许的承包人完成的设计文件提交时间：</w:t>
      </w:r>
      <w:r>
        <w:rPr>
          <w:rFonts w:hint="eastAsia" w:ascii="宋体" w:hAnsi="宋体" w:cs="宋体"/>
          <w:color w:val="auto"/>
          <w:sz w:val="24"/>
          <w:szCs w:val="24"/>
          <w:u w:val="single"/>
        </w:rPr>
        <w:t>按发包人的要求提供。</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（2）应提供计划、报表的名称及完成时间：</w:t>
      </w:r>
      <w:r>
        <w:rPr>
          <w:rFonts w:hint="eastAsia" w:ascii="宋体" w:hAnsi="宋体" w:cs="宋体"/>
          <w:color w:val="auto"/>
          <w:sz w:val="24"/>
          <w:szCs w:val="24"/>
          <w:u w:val="single"/>
        </w:rPr>
        <w:t xml:space="preserve">        /          。</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（3）承担施工安全保卫工作及非夜间施工照明的责任和要求：</w:t>
      </w:r>
      <w:r>
        <w:rPr>
          <w:rFonts w:hint="eastAsia" w:ascii="宋体" w:hAnsi="宋体" w:cs="宋体"/>
          <w:color w:val="auto"/>
          <w:sz w:val="24"/>
          <w:szCs w:val="24"/>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（4）向发包人提供的办公和生活房屋及设施的要求：</w:t>
      </w:r>
      <w:r>
        <w:rPr>
          <w:rFonts w:hint="eastAsia" w:ascii="宋体" w:hAnsi="宋体" w:cs="宋体"/>
          <w:color w:val="auto"/>
          <w:sz w:val="24"/>
          <w:szCs w:val="24"/>
          <w:u w:val="single"/>
        </w:rPr>
        <w:t>/</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（5）需承包人办理的有关施工场地交通、环卫和施工噪音管理等手续：</w:t>
      </w:r>
      <w:r>
        <w:rPr>
          <w:rFonts w:hint="eastAsia" w:ascii="宋体" w:hAnsi="宋体" w:cs="宋体"/>
          <w:color w:val="auto"/>
          <w:sz w:val="24"/>
          <w:szCs w:val="24"/>
          <w:u w:val="single"/>
        </w:rPr>
        <w:t>由承包人负责各项手续的办理并承担费用。</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（6）已完工程成品保护的特殊要求及费用承担：</w:t>
      </w:r>
      <w:r>
        <w:rPr>
          <w:rFonts w:hint="eastAsia" w:ascii="宋体" w:hAnsi="宋体" w:cs="宋体"/>
          <w:color w:val="auto"/>
          <w:sz w:val="24"/>
          <w:szCs w:val="24"/>
          <w:u w:val="single"/>
        </w:rPr>
        <w:t>承包人负责，费用由承包人承担。</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（7）施工场地周围地下管线和邻近建筑物、构筑物（含文物保护建筑）、古树名木的保护要求及费用承担：</w:t>
      </w:r>
      <w:r>
        <w:rPr>
          <w:rFonts w:hint="eastAsia" w:ascii="宋体" w:hAnsi="宋体" w:cs="宋体"/>
          <w:color w:val="auto"/>
          <w:sz w:val="24"/>
          <w:szCs w:val="24"/>
          <w:u w:val="single"/>
        </w:rPr>
        <w:t>由发包人和承包人负责协商确定。</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（8）施工场地清洁卫生的要求：</w:t>
      </w:r>
      <w:r>
        <w:rPr>
          <w:rFonts w:hint="eastAsia" w:ascii="宋体" w:hAnsi="宋体" w:cs="宋体"/>
          <w:color w:val="auto"/>
          <w:sz w:val="24"/>
          <w:szCs w:val="24"/>
          <w:u w:val="single"/>
        </w:rPr>
        <w:t>由承包人负责。</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（9）双方约定承包人应做的其他工作：</w:t>
      </w:r>
      <w:r>
        <w:rPr>
          <w:rFonts w:hint="eastAsia" w:ascii="宋体" w:hAnsi="宋体" w:cs="宋体"/>
          <w:color w:val="auto"/>
          <w:sz w:val="24"/>
          <w:szCs w:val="24"/>
          <w:u w:val="single"/>
        </w:rPr>
        <w:t>相关的对外协调工作。</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三、施工组织设计和工期</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9、进度计划</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9.1承包人提供施工组织设计（施工方案）和进度计划的时间：</w:t>
      </w:r>
      <w:r>
        <w:rPr>
          <w:rFonts w:hint="eastAsia" w:ascii="宋体" w:hAnsi="宋体" w:cs="宋体"/>
          <w:color w:val="auto"/>
          <w:sz w:val="24"/>
          <w:szCs w:val="24"/>
          <w:u w:val="single"/>
        </w:rPr>
        <w:t>合同签订后15日内。</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工程师确认的时间：</w:t>
      </w:r>
      <w:r>
        <w:rPr>
          <w:rFonts w:hint="eastAsia" w:ascii="宋体" w:hAnsi="宋体" w:cs="宋体"/>
          <w:color w:val="auto"/>
          <w:sz w:val="24"/>
          <w:szCs w:val="24"/>
          <w:u w:val="single"/>
        </w:rPr>
        <w:t>承包人交接之日起七日内。</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9.2群体工程中有关进度计划的要求：</w:t>
      </w:r>
      <w:r>
        <w:rPr>
          <w:rFonts w:hint="eastAsia" w:ascii="宋体" w:hAnsi="宋体" w:cs="宋体"/>
          <w:color w:val="auto"/>
          <w:sz w:val="24"/>
          <w:szCs w:val="24"/>
          <w:u w:val="single"/>
        </w:rPr>
        <w:t>以发包人的要求为准。</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10、工期延误</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10.1双方约定工期顺延的其他情况：</w:t>
      </w:r>
      <w:r>
        <w:rPr>
          <w:rFonts w:hint="eastAsia" w:ascii="宋体" w:hAnsi="宋体" w:cs="宋体"/>
          <w:color w:val="auto"/>
          <w:sz w:val="24"/>
          <w:szCs w:val="24"/>
          <w:u w:val="single"/>
        </w:rPr>
        <w:t>执行《通用条款》。</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四、质量与检验</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11、隐蔽工程和中间验收</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11.1双方约定中间验收部位：</w:t>
      </w:r>
      <w:r>
        <w:rPr>
          <w:rFonts w:hint="eastAsia" w:ascii="宋体" w:hAnsi="宋体" w:cs="宋体"/>
          <w:color w:val="auto"/>
          <w:sz w:val="24"/>
          <w:szCs w:val="24"/>
          <w:u w:val="single"/>
        </w:rPr>
        <w:t>执行《通用条款》。</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12、工程试车</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12.1试车费用的承担：</w:t>
      </w:r>
      <w:r>
        <w:rPr>
          <w:rFonts w:hint="eastAsia" w:ascii="宋体" w:hAnsi="宋体" w:cs="宋体"/>
          <w:color w:val="auto"/>
          <w:sz w:val="24"/>
          <w:szCs w:val="24"/>
          <w:u w:val="single"/>
        </w:rPr>
        <w:t>由承包人承担。</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五、安全生产</w:t>
      </w:r>
    </w:p>
    <w:p>
      <w:pPr>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13、项目实施单位履行安全生产监管责任，项目施工单位履行安全生产主体责任。（详见作业设计说明书）</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六、合同价款</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合同价款约定</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本合同价款采用</w:t>
      </w:r>
      <w:r>
        <w:rPr>
          <w:rFonts w:hint="eastAsia" w:ascii="宋体" w:hAnsi="宋体" w:cs="宋体"/>
          <w:color w:val="auto"/>
          <w:sz w:val="24"/>
          <w:szCs w:val="24"/>
          <w:u w:val="single"/>
        </w:rPr>
        <w:t>（1）_</w:t>
      </w:r>
      <w:r>
        <w:rPr>
          <w:rFonts w:hint="eastAsia" w:ascii="宋体" w:hAnsi="宋体" w:cs="宋体"/>
          <w:color w:val="auto"/>
          <w:sz w:val="24"/>
          <w:szCs w:val="24"/>
        </w:rPr>
        <w:t>方式确定。</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（1）采用固定总价合同：</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（2）采用固定综合单价合同，综合单价中包括的风险范围：</w:t>
      </w:r>
      <w:r>
        <w:rPr>
          <w:rFonts w:hint="eastAsia" w:ascii="宋体" w:hAnsi="宋体" w:cs="宋体"/>
          <w:color w:val="auto"/>
          <w:sz w:val="24"/>
          <w:szCs w:val="24"/>
          <w:u w:val="single"/>
        </w:rPr>
        <w:t xml:space="preserve">  /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（3）采用可调价格合同，合同价款调整方法：</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14、合同价款调整</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14.1双方约定合同价款的其他调整因素：</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pPr>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15、工程预付款</w:t>
      </w:r>
    </w:p>
    <w:p>
      <w:pPr>
        <w:spacing w:line="360" w:lineRule="auto"/>
        <w:ind w:firstLine="480" w:firstLineChars="200"/>
        <w:jc w:val="left"/>
        <w:rPr>
          <w:rFonts w:ascii="宋体" w:hAnsi="宋体" w:cs="宋体"/>
          <w:color w:val="auto"/>
          <w:sz w:val="24"/>
          <w:szCs w:val="24"/>
          <w:u w:val="thick"/>
        </w:rPr>
      </w:pPr>
      <w:r>
        <w:rPr>
          <w:rFonts w:hint="eastAsia" w:ascii="宋体" w:hAnsi="宋体" w:cs="宋体"/>
          <w:color w:val="auto"/>
          <w:sz w:val="24"/>
          <w:szCs w:val="24"/>
        </w:rPr>
        <w:t>发包人向承包人预付工程款的时间和金额或占合同价款总额的比例：</w:t>
      </w:r>
      <w:r>
        <w:rPr>
          <w:rFonts w:hint="eastAsia" w:ascii="宋体" w:hAnsi="宋体" w:cs="宋体"/>
          <w:color w:val="auto"/>
          <w:sz w:val="24"/>
          <w:szCs w:val="24"/>
          <w:u w:val="single"/>
        </w:rPr>
        <w:t xml:space="preserve"> / </w:t>
      </w:r>
    </w:p>
    <w:p>
      <w:pPr>
        <w:widowControl/>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预付安全防护、文明施工措施费用的比例和时间：</w:t>
      </w:r>
      <w:r>
        <w:rPr>
          <w:rFonts w:hint="eastAsia" w:ascii="宋体" w:hAnsi="宋体" w:cs="宋体"/>
          <w:color w:val="auto"/>
          <w:sz w:val="24"/>
          <w:szCs w:val="24"/>
          <w:u w:val="single"/>
        </w:rPr>
        <w:t xml:space="preserve"> / </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16、工程量确认</w:t>
      </w:r>
    </w:p>
    <w:p>
      <w:pPr>
        <w:widowControl/>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16.1承包人向工程师提交已完工程量报告的时间：</w:t>
      </w:r>
      <w:r>
        <w:rPr>
          <w:rFonts w:hint="eastAsia" w:ascii="宋体" w:hAnsi="宋体" w:cs="宋体"/>
          <w:color w:val="auto"/>
          <w:sz w:val="24"/>
          <w:szCs w:val="24"/>
          <w:u w:val="single"/>
        </w:rPr>
        <w:t>每月的26日承包人向发包人提交25日以前已完工程量报告。</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17、工程进度款结算与支付</w:t>
      </w:r>
    </w:p>
    <w:p>
      <w:pPr>
        <w:widowControl/>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双方约定的工程进度款支付的方式、时间和比例是：详见合同条款及格式前附表</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七、材料设备供应</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31发包人供应材料设备，承包人应按计划领取使用，在结算时发包人按暂定价从工程款中扣除。</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31.4发包人供应的材料设备与一览表不符时，双方约定发包人承担责任如下：</w:t>
      </w:r>
    </w:p>
    <w:p>
      <w:pPr>
        <w:widowControl/>
        <w:spacing w:line="360" w:lineRule="auto"/>
        <w:ind w:firstLine="480" w:firstLineChars="200"/>
        <w:rPr>
          <w:rFonts w:ascii="宋体" w:hAnsi="宋体" w:cs="宋体"/>
          <w:color w:val="auto"/>
          <w:sz w:val="24"/>
          <w:szCs w:val="24"/>
          <w:u w:val="thick"/>
        </w:rPr>
      </w:pPr>
      <w:r>
        <w:rPr>
          <w:rFonts w:hint="eastAsia" w:ascii="宋体" w:hAnsi="宋体" w:cs="宋体"/>
          <w:color w:val="auto"/>
          <w:sz w:val="24"/>
          <w:szCs w:val="24"/>
        </w:rPr>
        <w:t>（1）材料设备单价与一览表不符：</w:t>
      </w:r>
      <w:r>
        <w:rPr>
          <w:rFonts w:hint="eastAsia" w:ascii="宋体" w:hAnsi="宋体" w:cs="宋体"/>
          <w:color w:val="auto"/>
          <w:sz w:val="24"/>
          <w:szCs w:val="24"/>
          <w:u w:val="single"/>
        </w:rPr>
        <w:t>执行《通用条款》31.4.（1）款。</w:t>
      </w:r>
    </w:p>
    <w:p>
      <w:pPr>
        <w:widowControl/>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（2）材料设备的品种、规格、型号、质量等级与一览表不符：</w:t>
      </w:r>
      <w:r>
        <w:rPr>
          <w:rFonts w:hint="eastAsia" w:ascii="宋体" w:hAnsi="宋体" w:cs="宋体"/>
          <w:color w:val="auto"/>
          <w:sz w:val="24"/>
          <w:szCs w:val="24"/>
          <w:u w:val="single"/>
        </w:rPr>
        <w:t>执行《通用条款》31.4(2)款。</w:t>
      </w:r>
    </w:p>
    <w:p>
      <w:pPr>
        <w:widowControl/>
        <w:spacing w:line="360" w:lineRule="auto"/>
        <w:ind w:firstLine="480" w:firstLineChars="200"/>
        <w:rPr>
          <w:rFonts w:ascii="宋体" w:hAnsi="宋体" w:cs="宋体"/>
          <w:color w:val="auto"/>
          <w:sz w:val="24"/>
          <w:szCs w:val="24"/>
          <w:u w:val="thick"/>
        </w:rPr>
      </w:pPr>
      <w:r>
        <w:rPr>
          <w:rFonts w:hint="eastAsia" w:ascii="宋体" w:hAnsi="宋体" w:cs="宋体"/>
          <w:color w:val="auto"/>
          <w:sz w:val="24"/>
          <w:szCs w:val="24"/>
        </w:rPr>
        <w:t>（3）承包人可代为调剂串换的材料：</w:t>
      </w:r>
      <w:r>
        <w:rPr>
          <w:rFonts w:hint="eastAsia" w:ascii="宋体" w:hAnsi="宋体" w:cs="宋体"/>
          <w:color w:val="auto"/>
          <w:sz w:val="24"/>
          <w:szCs w:val="24"/>
          <w:u w:val="single"/>
        </w:rPr>
        <w:t>执行《通用条款》31.4.（3）款。</w:t>
      </w:r>
    </w:p>
    <w:p>
      <w:pPr>
        <w:widowControl/>
        <w:spacing w:line="360" w:lineRule="auto"/>
        <w:ind w:firstLine="480" w:firstLineChars="200"/>
        <w:rPr>
          <w:rFonts w:ascii="宋体" w:hAnsi="宋体" w:cs="宋体"/>
          <w:color w:val="auto"/>
          <w:sz w:val="24"/>
          <w:szCs w:val="24"/>
          <w:u w:val="thick"/>
        </w:rPr>
      </w:pPr>
      <w:r>
        <w:rPr>
          <w:rFonts w:hint="eastAsia" w:ascii="宋体" w:hAnsi="宋体" w:cs="宋体"/>
          <w:color w:val="auto"/>
          <w:sz w:val="24"/>
          <w:szCs w:val="24"/>
        </w:rPr>
        <w:t>（4）到货地点与一览表不符：</w:t>
      </w:r>
      <w:r>
        <w:rPr>
          <w:rFonts w:hint="eastAsia" w:ascii="宋体" w:hAnsi="宋体" w:cs="宋体"/>
          <w:color w:val="auto"/>
          <w:sz w:val="24"/>
          <w:szCs w:val="24"/>
          <w:u w:val="single"/>
        </w:rPr>
        <w:t>执行《通用条款》31.4.（4）款。</w:t>
      </w:r>
    </w:p>
    <w:p>
      <w:pPr>
        <w:widowControl/>
        <w:spacing w:line="360" w:lineRule="auto"/>
        <w:ind w:firstLine="480" w:firstLineChars="200"/>
        <w:rPr>
          <w:rFonts w:ascii="宋体" w:hAnsi="宋体" w:cs="宋体"/>
          <w:color w:val="auto"/>
          <w:sz w:val="24"/>
          <w:szCs w:val="24"/>
          <w:u w:val="thick"/>
        </w:rPr>
      </w:pPr>
      <w:r>
        <w:rPr>
          <w:rFonts w:hint="eastAsia" w:ascii="宋体" w:hAnsi="宋体" w:cs="宋体"/>
          <w:color w:val="auto"/>
          <w:sz w:val="24"/>
          <w:szCs w:val="24"/>
        </w:rPr>
        <w:t>（5）供应数量与一览表不符：</w:t>
      </w:r>
      <w:r>
        <w:rPr>
          <w:rFonts w:hint="eastAsia" w:ascii="宋体" w:hAnsi="宋体" w:cs="宋体"/>
          <w:color w:val="auto"/>
          <w:sz w:val="24"/>
          <w:szCs w:val="24"/>
          <w:u w:val="single"/>
        </w:rPr>
        <w:t>执行《通用条款》31.4.（5）款。</w:t>
      </w:r>
    </w:p>
    <w:p>
      <w:pPr>
        <w:widowControl/>
        <w:spacing w:line="360" w:lineRule="auto"/>
        <w:ind w:firstLine="480" w:firstLineChars="200"/>
        <w:rPr>
          <w:rFonts w:ascii="宋体" w:hAnsi="宋体" w:cs="宋体"/>
          <w:color w:val="auto"/>
          <w:sz w:val="24"/>
          <w:szCs w:val="24"/>
          <w:u w:val="thick"/>
        </w:rPr>
      </w:pPr>
      <w:r>
        <w:rPr>
          <w:rFonts w:hint="eastAsia" w:ascii="宋体" w:hAnsi="宋体" w:cs="宋体"/>
          <w:color w:val="auto"/>
          <w:sz w:val="24"/>
          <w:szCs w:val="24"/>
        </w:rPr>
        <w:t>（6）到货时间与一览表不符：</w:t>
      </w:r>
      <w:r>
        <w:rPr>
          <w:rFonts w:hint="eastAsia" w:ascii="宋体" w:hAnsi="宋体" w:cs="宋体"/>
          <w:color w:val="auto"/>
          <w:sz w:val="24"/>
          <w:szCs w:val="24"/>
          <w:u w:val="single"/>
        </w:rPr>
        <w:t>执行《通用条款》31.4.（6）款。</w:t>
      </w:r>
    </w:p>
    <w:p>
      <w:pPr>
        <w:widowControl/>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31.6发包人供应材料设备的结算方法：</w:t>
      </w:r>
      <w:r>
        <w:rPr>
          <w:rFonts w:hint="eastAsia" w:ascii="宋体" w:hAnsi="宋体" w:cs="宋体"/>
          <w:color w:val="auto"/>
          <w:sz w:val="24"/>
          <w:szCs w:val="24"/>
          <w:u w:val="single"/>
        </w:rPr>
        <w:t>无</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32、承包人采购材料设备</w:t>
      </w:r>
    </w:p>
    <w:p>
      <w:pPr>
        <w:widowControl/>
        <w:spacing w:line="360" w:lineRule="auto"/>
        <w:ind w:firstLine="480" w:firstLineChars="200"/>
        <w:rPr>
          <w:rFonts w:ascii="宋体" w:hAnsi="宋体" w:cs="宋体"/>
          <w:color w:val="auto"/>
          <w:sz w:val="24"/>
          <w:szCs w:val="24"/>
          <w:u w:val="thick"/>
        </w:rPr>
      </w:pPr>
      <w:r>
        <w:rPr>
          <w:rFonts w:hint="eastAsia" w:ascii="宋体" w:hAnsi="宋体" w:cs="宋体"/>
          <w:color w:val="auto"/>
          <w:sz w:val="24"/>
          <w:szCs w:val="24"/>
        </w:rPr>
        <w:t>32.1承包人采购材料设备的约定：</w:t>
      </w:r>
      <w:r>
        <w:rPr>
          <w:rFonts w:hint="eastAsia" w:ascii="宋体" w:hAnsi="宋体" w:cs="宋体"/>
          <w:color w:val="auto"/>
          <w:sz w:val="24"/>
          <w:szCs w:val="24"/>
          <w:u w:val="single"/>
        </w:rPr>
        <w:t>乙方自行采购的材料规格型号应与施工图设计相符，质量等级必须合格。</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八、工程变更</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33、在本工程实施过程中若发生变更，按下列各项执行：</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33.1</w:t>
      </w:r>
      <w:r>
        <w:rPr>
          <w:rFonts w:hint="eastAsia" w:ascii="宋体" w:hAnsi="宋体" w:cs="宋体"/>
          <w:color w:val="auto"/>
          <w:sz w:val="24"/>
          <w:szCs w:val="24"/>
          <w:u w:val="single"/>
        </w:rPr>
        <w:t>合同中已有适用综合单价的，可参照类似综合单价调整；</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33.2</w:t>
      </w:r>
      <w:r>
        <w:rPr>
          <w:rFonts w:hint="eastAsia" w:ascii="宋体" w:hAnsi="宋体" w:cs="宋体"/>
          <w:color w:val="auto"/>
          <w:sz w:val="24"/>
          <w:szCs w:val="24"/>
          <w:u w:val="single"/>
        </w:rPr>
        <w:t>合同中有类似综合单价的，可参照类似综合单价调整；</w:t>
      </w:r>
    </w:p>
    <w:p>
      <w:pPr>
        <w:widowControl/>
        <w:spacing w:line="360" w:lineRule="auto"/>
        <w:ind w:firstLine="480" w:firstLineChars="200"/>
        <w:rPr>
          <w:rFonts w:ascii="宋体" w:hAnsi="宋体" w:cs="宋体"/>
          <w:color w:val="auto"/>
          <w:sz w:val="24"/>
          <w:szCs w:val="24"/>
          <w:u w:val="thick"/>
        </w:rPr>
      </w:pPr>
      <w:r>
        <w:rPr>
          <w:rFonts w:hint="eastAsia" w:ascii="宋体" w:hAnsi="宋体" w:cs="宋体"/>
          <w:color w:val="auto"/>
          <w:sz w:val="24"/>
          <w:szCs w:val="24"/>
        </w:rPr>
        <w:t>33.3</w:t>
      </w:r>
      <w:r>
        <w:rPr>
          <w:rFonts w:hint="eastAsia" w:ascii="宋体" w:hAnsi="宋体" w:cs="宋体"/>
          <w:color w:val="auto"/>
          <w:sz w:val="24"/>
          <w:szCs w:val="24"/>
          <w:u w:val="single"/>
        </w:rPr>
        <w:t>合同中没有适用或类似综合单价的承包人按照投标书人工工日、材料、机械台班单价进行组价，报发包人审核认可。</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九、竣工验收与结算</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36、竣工验收</w:t>
      </w:r>
    </w:p>
    <w:p>
      <w:pPr>
        <w:widowControl/>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36.1承包人提供竣工图的约定：</w:t>
      </w:r>
      <w:r>
        <w:rPr>
          <w:rFonts w:hint="eastAsia" w:ascii="宋体" w:hAnsi="宋体" w:cs="宋体"/>
          <w:color w:val="auto"/>
          <w:sz w:val="24"/>
          <w:szCs w:val="24"/>
          <w:u w:val="single"/>
        </w:rPr>
        <w:t>完整资料文件两套。</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36.6中间交工工程的范围和竣工时间：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37、竣工结算</w:t>
      </w:r>
    </w:p>
    <w:p>
      <w:pPr>
        <w:widowControl/>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结算审查期限：</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十、违约、索赔和争议</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39、违约</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39.1  本合同中关于发包人违约的具体责任如下：</w:t>
      </w:r>
    </w:p>
    <w:p>
      <w:pPr>
        <w:widowControl/>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本合同通用条款第28.1条约定发包人违约应承担的违约责任：</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pPr>
        <w:widowControl/>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本合同通用条款第30.5款约定发包人违约应承担的违约责任：</w:t>
      </w:r>
      <w:r>
        <w:rPr>
          <w:rFonts w:hint="eastAsia" w:ascii="宋体" w:hAnsi="宋体" w:cs="宋体"/>
          <w:color w:val="auto"/>
          <w:sz w:val="24"/>
          <w:szCs w:val="24"/>
          <w:u w:val="single"/>
        </w:rPr>
        <w:t>执行《通用条款》30.5款。</w:t>
      </w:r>
    </w:p>
    <w:p>
      <w:pPr>
        <w:widowControl/>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本合同通用条款第37.6款约定发包人违约应承担的违约责任：</w:t>
      </w:r>
      <w:r>
        <w:rPr>
          <w:rFonts w:hint="eastAsia" w:ascii="宋体" w:hAnsi="宋体" w:cs="宋体"/>
          <w:color w:val="auto"/>
          <w:sz w:val="24"/>
          <w:szCs w:val="24"/>
          <w:u w:val="single"/>
        </w:rPr>
        <w:t>执行《通用条款》37.6款。</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双方约定的发包人其他违约责任：</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   </w:t>
      </w:r>
      <w:r>
        <w:rPr>
          <w:rFonts w:hint="eastAsia" w:ascii="宋体" w:hAnsi="宋体" w:cs="宋体"/>
          <w:color w:val="auto"/>
          <w:sz w:val="24"/>
          <w:szCs w:val="24"/>
          <w:u w:val="single"/>
          <w:lang w:val="en-US" w:eastAsia="zh-CN"/>
        </w:rPr>
        <w:t xml:space="preserve">      </w:t>
      </w:r>
    </w:p>
    <w:p>
      <w:pPr>
        <w:widowControl/>
        <w:spacing w:line="360" w:lineRule="auto"/>
        <w:ind w:firstLine="480" w:firstLineChars="200"/>
        <w:rPr>
          <w:rFonts w:ascii="宋体" w:hAnsi="宋体" w:cs="宋体"/>
          <w:color w:val="auto"/>
          <w:sz w:val="24"/>
          <w:szCs w:val="24"/>
          <w:u w:val="thick"/>
        </w:rPr>
      </w:pPr>
      <w:r>
        <w:rPr>
          <w:rFonts w:hint="eastAsia" w:ascii="宋体" w:hAnsi="宋体" w:cs="宋体"/>
          <w:color w:val="auto"/>
          <w:sz w:val="24"/>
          <w:szCs w:val="24"/>
        </w:rPr>
        <w:t>39.2  本合同中关于承包人违约的具体责任如下：本合同通用条款第14.2款约定承包人违约承担的违约责任：</w:t>
      </w:r>
      <w:r>
        <w:rPr>
          <w:rFonts w:hint="eastAsia" w:ascii="宋体" w:hAnsi="宋体" w:cs="宋体"/>
          <w:color w:val="auto"/>
          <w:sz w:val="24"/>
          <w:szCs w:val="24"/>
          <w:u w:val="single"/>
        </w:rPr>
        <w:t>承包人工期每推迟一天罚款1000元，若影响到发包人使用另行赔偿给甲方造成的损失。</w:t>
      </w:r>
    </w:p>
    <w:p>
      <w:pPr>
        <w:widowControl/>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本合同通用条款第15.1款约定承包人违约应承担的违约责任：</w:t>
      </w:r>
      <w:r>
        <w:rPr>
          <w:rFonts w:hint="eastAsia" w:ascii="宋体" w:hAnsi="宋体" w:cs="宋体"/>
          <w:color w:val="auto"/>
          <w:sz w:val="24"/>
          <w:szCs w:val="24"/>
          <w:u w:val="single"/>
        </w:rPr>
        <w:t>承包方除按合同价款的2%承担违约金外，另按国务院279号令有关规定执行。</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双方约定的承包人其他违约责任：</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   </w:t>
      </w:r>
      <w:r>
        <w:rPr>
          <w:rFonts w:hint="eastAsia" w:ascii="宋体" w:hAnsi="宋体" w:cs="宋体"/>
          <w:color w:val="auto"/>
          <w:sz w:val="24"/>
          <w:szCs w:val="24"/>
          <w:u w:val="single"/>
          <w:lang w:val="en-US" w:eastAsia="zh-CN"/>
        </w:rPr>
        <w:t xml:space="preserve">      </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41、争议</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41.1双方当事人约定，在履行合同过程中产生争议时：</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（1）请_</w:t>
      </w:r>
      <w:r>
        <w:rPr>
          <w:rFonts w:hint="eastAsia" w:ascii="宋体" w:hAnsi="宋体" w:cs="宋体"/>
          <w:color w:val="auto"/>
          <w:sz w:val="24"/>
          <w:szCs w:val="24"/>
          <w:u w:val="single"/>
        </w:rPr>
        <w:t>合同管理部门和其他有关部门</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调解；</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（2）合同争议调解不成的，按下列第</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1）</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种方式解决：</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  1）提交</w:t>
      </w:r>
      <w:r>
        <w:rPr>
          <w:rFonts w:hint="eastAsia" w:ascii="宋体" w:hAnsi="宋体" w:cs="宋体"/>
          <w:color w:val="auto"/>
          <w:sz w:val="24"/>
          <w:szCs w:val="24"/>
          <w:u w:val="single"/>
        </w:rPr>
        <w:t>商南县</w:t>
      </w:r>
      <w:r>
        <w:rPr>
          <w:rFonts w:hint="eastAsia" w:ascii="宋体" w:hAnsi="宋体" w:cs="宋体"/>
          <w:color w:val="auto"/>
          <w:sz w:val="24"/>
          <w:szCs w:val="24"/>
        </w:rPr>
        <w:t>仲裁委员会申请仲裁；</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  2）依法</w:t>
      </w:r>
      <w:r>
        <w:rPr>
          <w:rFonts w:hint="eastAsia" w:ascii="宋体" w:hAnsi="宋体" w:cs="宋体"/>
          <w:color w:val="auto"/>
          <w:sz w:val="24"/>
          <w:szCs w:val="24"/>
          <w:u w:val="none"/>
        </w:rPr>
        <w:t>向</w:t>
      </w:r>
      <w:r>
        <w:rPr>
          <w:rFonts w:hint="eastAsia" w:ascii="宋体" w:hAnsi="宋体" w:cs="宋体"/>
          <w:color w:val="auto"/>
          <w:sz w:val="24"/>
          <w:szCs w:val="24"/>
        </w:rPr>
        <w:t>人民法院提起诉讼。</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十一、其他</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42、工程分包</w:t>
      </w:r>
    </w:p>
    <w:p>
      <w:pPr>
        <w:widowControl/>
        <w:spacing w:line="360" w:lineRule="auto"/>
        <w:ind w:firstLine="480" w:firstLineChars="200"/>
        <w:rPr>
          <w:rFonts w:ascii="宋体" w:hAnsi="宋体" w:cs="宋体"/>
          <w:color w:val="auto"/>
          <w:sz w:val="24"/>
          <w:szCs w:val="24"/>
          <w:u w:val="thick"/>
        </w:rPr>
      </w:pPr>
      <w:r>
        <w:rPr>
          <w:rFonts w:hint="eastAsia" w:ascii="宋体" w:hAnsi="宋体" w:cs="宋体"/>
          <w:color w:val="auto"/>
          <w:sz w:val="24"/>
          <w:szCs w:val="24"/>
        </w:rPr>
        <w:t>42.1本工程发包人同意承包人分包的专业工程：</w:t>
      </w:r>
      <w:r>
        <w:rPr>
          <w:rFonts w:hint="eastAsia" w:ascii="宋体" w:hAnsi="宋体" w:cs="宋体"/>
          <w:color w:val="auto"/>
          <w:sz w:val="24"/>
          <w:szCs w:val="24"/>
          <w:u w:val="single"/>
        </w:rPr>
        <w:t>无</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分包施工单位为：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   </w:t>
      </w:r>
      <w:r>
        <w:rPr>
          <w:rFonts w:hint="eastAsia" w:ascii="宋体" w:hAnsi="宋体" w:cs="宋体"/>
          <w:color w:val="auto"/>
          <w:sz w:val="24"/>
          <w:szCs w:val="24"/>
          <w:u w:val="single"/>
          <w:lang w:val="en-US" w:eastAsia="zh-CN"/>
        </w:rPr>
        <w:t xml:space="preserve">       </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43、不可抗力</w:t>
      </w:r>
    </w:p>
    <w:p>
      <w:pPr>
        <w:widowControl/>
        <w:spacing w:line="360" w:lineRule="auto"/>
        <w:ind w:firstLine="480" w:firstLineChars="200"/>
        <w:rPr>
          <w:rFonts w:ascii="宋体" w:hAnsi="宋体" w:cs="宋体"/>
          <w:color w:val="auto"/>
          <w:sz w:val="24"/>
          <w:szCs w:val="24"/>
          <w:u w:val="thick"/>
        </w:rPr>
      </w:pPr>
      <w:r>
        <w:rPr>
          <w:rFonts w:hint="eastAsia" w:ascii="宋体" w:hAnsi="宋体" w:cs="宋体"/>
          <w:color w:val="auto"/>
          <w:sz w:val="24"/>
          <w:szCs w:val="24"/>
        </w:rPr>
        <w:t>43.1双方关于不可抗力的约定：</w:t>
      </w:r>
      <w:r>
        <w:rPr>
          <w:rFonts w:hint="eastAsia" w:ascii="宋体" w:hAnsi="宋体" w:cs="宋体"/>
          <w:color w:val="auto"/>
          <w:sz w:val="24"/>
          <w:szCs w:val="24"/>
          <w:u w:val="single"/>
        </w:rPr>
        <w:t>_根据国家的法律规定执行。</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44、保险</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44.6本工程双方约定投保内容如下：</w:t>
      </w:r>
    </w:p>
    <w:p>
      <w:pPr>
        <w:widowControl/>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（1）发包人投保内容：</w:t>
      </w:r>
      <w:r>
        <w:rPr>
          <w:rFonts w:hint="eastAsia" w:ascii="宋体" w:hAnsi="宋体" w:cs="宋体"/>
          <w:color w:val="auto"/>
          <w:sz w:val="24"/>
          <w:szCs w:val="24"/>
          <w:u w:val="single"/>
        </w:rPr>
        <w:t>执行《通用条款》44.1款，费用由发包人承担。</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发包人委托承包人办理的保险事项：____________/________________</w:t>
      </w:r>
    </w:p>
    <w:p>
      <w:pPr>
        <w:widowControl/>
        <w:spacing w:line="360" w:lineRule="auto"/>
        <w:ind w:firstLine="480" w:firstLineChars="200"/>
        <w:rPr>
          <w:rFonts w:ascii="宋体" w:hAnsi="宋体" w:cs="宋体"/>
          <w:color w:val="auto"/>
          <w:sz w:val="24"/>
          <w:szCs w:val="24"/>
          <w:u w:val="thick"/>
        </w:rPr>
      </w:pPr>
      <w:r>
        <w:rPr>
          <w:rFonts w:hint="eastAsia" w:ascii="宋体" w:hAnsi="宋体" w:cs="宋体"/>
          <w:color w:val="auto"/>
          <w:sz w:val="24"/>
          <w:szCs w:val="24"/>
        </w:rPr>
        <w:t>（2）承包人投保内容：</w:t>
      </w:r>
      <w:r>
        <w:rPr>
          <w:rFonts w:hint="eastAsia" w:ascii="宋体" w:hAnsi="宋体" w:cs="宋体"/>
          <w:color w:val="auto"/>
          <w:sz w:val="24"/>
          <w:szCs w:val="24"/>
          <w:u w:val="single"/>
        </w:rPr>
        <w:t>执行《通用条款》44.4款，费用由承包人承担。</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45、担保</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45.3本工程双方约定担保事项如下：</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（1）发包人向承包人提供支付担保，担保方式为：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，担保金额：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，担保有效期：</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（2）承包人向发包人提供履约担保，担保方式为：</w:t>
      </w:r>
      <w:r>
        <w:rPr>
          <w:rFonts w:hint="eastAsia" w:ascii="宋体" w:hAnsi="宋体" w:cs="宋体"/>
          <w:color w:val="auto"/>
          <w:sz w:val="24"/>
          <w:szCs w:val="24"/>
          <w:u w:val="single"/>
        </w:rPr>
        <w:t xml:space="preserve">  /  </w:t>
      </w:r>
      <w:r>
        <w:rPr>
          <w:rFonts w:hint="eastAsia" w:ascii="宋体" w:hAnsi="宋体" w:cs="宋体"/>
          <w:color w:val="auto"/>
          <w:sz w:val="24"/>
          <w:szCs w:val="24"/>
        </w:rPr>
        <w:t>，担保金额：</w:t>
      </w:r>
      <w:r>
        <w:rPr>
          <w:rFonts w:hint="eastAsia" w:ascii="宋体" w:hAnsi="宋体" w:cs="宋体"/>
          <w:color w:val="auto"/>
          <w:sz w:val="24"/>
          <w:szCs w:val="24"/>
          <w:u w:val="single"/>
        </w:rPr>
        <w:t xml:space="preserve">  /  </w:t>
      </w:r>
      <w:r>
        <w:rPr>
          <w:rFonts w:hint="eastAsia" w:ascii="宋体" w:hAnsi="宋体" w:cs="宋体"/>
          <w:color w:val="auto"/>
          <w:sz w:val="24"/>
          <w:szCs w:val="24"/>
        </w:rPr>
        <w:t>，担保有效期：</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（3）双方约定的其他担保事项：</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   </w:t>
      </w:r>
      <w:r>
        <w:rPr>
          <w:rFonts w:hint="eastAsia" w:ascii="宋体" w:hAnsi="宋体" w:cs="宋体"/>
          <w:color w:val="auto"/>
          <w:sz w:val="24"/>
          <w:szCs w:val="24"/>
          <w:u w:val="single"/>
          <w:lang w:val="en-US" w:eastAsia="zh-CN"/>
        </w:rPr>
        <w:t xml:space="preserve">          </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50、合同份数</w:t>
      </w:r>
    </w:p>
    <w:p>
      <w:pPr>
        <w:widowControl/>
        <w:spacing w:line="360" w:lineRule="auto"/>
        <w:ind w:firstLine="480" w:firstLineChars="200"/>
        <w:rPr>
          <w:rFonts w:ascii="宋体" w:hAnsi="宋体" w:cs="宋体"/>
          <w:color w:val="auto"/>
          <w:sz w:val="24"/>
          <w:szCs w:val="24"/>
          <w:u w:val="thick"/>
        </w:rPr>
      </w:pPr>
      <w:r>
        <w:rPr>
          <w:rFonts w:hint="eastAsia" w:ascii="宋体" w:hAnsi="宋体" w:cs="宋体"/>
          <w:color w:val="auto"/>
          <w:sz w:val="24"/>
          <w:szCs w:val="24"/>
        </w:rPr>
        <w:t>50.2双方约定合同副本份数：</w:t>
      </w:r>
      <w:r>
        <w:rPr>
          <w:rFonts w:hint="eastAsia" w:ascii="宋体" w:hAnsi="宋体" w:cs="宋体"/>
          <w:color w:val="auto"/>
          <w:sz w:val="24"/>
          <w:szCs w:val="24"/>
          <w:u w:val="single"/>
        </w:rPr>
        <w:t>捌份</w:t>
      </w:r>
      <w:r>
        <w:rPr>
          <w:rFonts w:hint="eastAsia" w:ascii="宋体" w:hAnsi="宋体" w:cs="宋体"/>
          <w:color w:val="auto"/>
          <w:sz w:val="24"/>
          <w:szCs w:val="24"/>
          <w:u w:val="none"/>
        </w:rPr>
        <w:t>。</w:t>
      </w:r>
    </w:p>
    <w:p>
      <w:pPr>
        <w:widowControl/>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51、补充条款</w:t>
      </w:r>
    </w:p>
    <w:p>
      <w:pPr>
        <w:widowControl/>
        <w:spacing w:line="360" w:lineRule="auto"/>
        <w:ind w:firstLine="480" w:firstLineChars="200"/>
        <w:rPr>
          <w:rFonts w:ascii="宋体" w:hAnsi="宋体" w:cs="宋体"/>
          <w:color w:val="auto"/>
          <w:sz w:val="24"/>
          <w:szCs w:val="24"/>
          <w:u w:val="thick"/>
        </w:rPr>
      </w:pPr>
      <w:r>
        <w:rPr>
          <w:rFonts w:hint="eastAsia" w:ascii="宋体" w:hAnsi="宋体" w:cs="宋体"/>
          <w:color w:val="auto"/>
          <w:sz w:val="24"/>
          <w:szCs w:val="24"/>
        </w:rPr>
        <w:t>51.1</w:t>
      </w:r>
      <w:r>
        <w:rPr>
          <w:rFonts w:hint="eastAsia" w:ascii="宋体" w:hAnsi="宋体" w:cs="宋体"/>
          <w:color w:val="auto"/>
          <w:sz w:val="24"/>
          <w:szCs w:val="24"/>
          <w:u w:val="single"/>
        </w:rPr>
        <w:t>本工程禁止转包，若发现承包方私自转包和未经发包人许可私自分包，发包人有权终止合同，对已完工程不予结算，并由承包人赔偿因此给发包方造成的直接或间接的经济损失。</w:t>
      </w:r>
    </w:p>
    <w:p>
      <w:pPr>
        <w:widowControl/>
        <w:spacing w:line="360" w:lineRule="auto"/>
        <w:ind w:firstLine="480" w:firstLineChars="200"/>
        <w:rPr>
          <w:rFonts w:ascii="宋体" w:hAnsi="宋体" w:cs="宋体"/>
          <w:color w:val="auto"/>
          <w:sz w:val="24"/>
          <w:szCs w:val="24"/>
          <w:u w:val="thick"/>
        </w:rPr>
      </w:pPr>
      <w:r>
        <w:rPr>
          <w:rFonts w:hint="eastAsia" w:ascii="宋体" w:hAnsi="宋体" w:cs="宋体"/>
          <w:color w:val="auto"/>
          <w:sz w:val="24"/>
          <w:szCs w:val="24"/>
        </w:rPr>
        <w:t>51.2</w:t>
      </w:r>
      <w:r>
        <w:rPr>
          <w:rFonts w:hint="eastAsia" w:ascii="宋体" w:hAnsi="宋体" w:cs="宋体"/>
          <w:color w:val="auto"/>
          <w:sz w:val="24"/>
          <w:szCs w:val="24"/>
          <w:u w:val="single"/>
        </w:rPr>
        <w:t>施工企业须承诺按国务院及当地政府的规定按时、足额、实名方式支付农民工工资，否则发包人在工程款中代扣支付，并在工程结算时扣除。</w:t>
      </w:r>
    </w:p>
    <w:p>
      <w:pPr>
        <w:widowControl/>
        <w:spacing w:line="360" w:lineRule="auto"/>
        <w:ind w:firstLine="480" w:firstLineChars="200"/>
        <w:rPr>
          <w:rFonts w:ascii="宋体" w:hAnsi="宋体" w:cs="宋体"/>
          <w:color w:val="auto"/>
          <w:sz w:val="24"/>
          <w:szCs w:val="24"/>
          <w:u w:val="thick"/>
        </w:rPr>
      </w:pPr>
      <w:r>
        <w:rPr>
          <w:rFonts w:hint="eastAsia" w:ascii="宋体" w:hAnsi="宋体" w:cs="宋体"/>
          <w:color w:val="auto"/>
          <w:sz w:val="24"/>
          <w:szCs w:val="24"/>
        </w:rPr>
        <w:t>51.3</w:t>
      </w:r>
      <w:r>
        <w:rPr>
          <w:rFonts w:hint="eastAsia" w:ascii="宋体" w:hAnsi="宋体" w:cs="宋体"/>
          <w:color w:val="auto"/>
          <w:sz w:val="24"/>
          <w:szCs w:val="24"/>
          <w:u w:val="single"/>
        </w:rPr>
        <w:t>本工程竣工后，应免费将建筑物周围和施工单位生活区周围内施工现场清除干净；无建筑材料、无建筑设备、无建筑垃圾、和施工垃圾，做到场地整洁。</w:t>
      </w:r>
    </w:p>
    <w:p>
      <w:pPr>
        <w:widowControl/>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51.4</w:t>
      </w:r>
      <w:r>
        <w:rPr>
          <w:rFonts w:hint="eastAsia" w:ascii="宋体" w:hAnsi="宋体" w:cs="宋体"/>
          <w:color w:val="auto"/>
          <w:sz w:val="24"/>
          <w:szCs w:val="24"/>
          <w:u w:val="single"/>
        </w:rPr>
        <w:t>承包人在施工过程中应服从、遵守发包人和当地政府职能部门的管理制度。关于安全防护、文明施工措施费用的其他约定如下：</w:t>
      </w:r>
    </w:p>
    <w:p>
      <w:pPr>
        <w:numPr>
          <w:ilvl w:val="0"/>
          <w:numId w:val="3"/>
        </w:num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u w:val="single"/>
        </w:rPr>
        <w:t>承包人需提供安全防护、文明施工措施费用的支付计划落实情况；</w:t>
      </w:r>
    </w:p>
    <w:p>
      <w:pPr>
        <w:numPr>
          <w:ilvl w:val="0"/>
          <w:numId w:val="3"/>
        </w:num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u w:val="single"/>
        </w:rPr>
        <w:t>工程师对承包人落实安全防护、文明施工措施分情况进行现场监理，若发现承包人为落实安全防护、文明施工措施的，有权责令其立即整改；</w:t>
      </w:r>
    </w:p>
    <w:p>
      <w:pPr>
        <w:widowControl/>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3、</w:t>
      </w:r>
      <w:r>
        <w:rPr>
          <w:rFonts w:hint="eastAsia" w:ascii="宋体" w:hAnsi="宋体" w:cs="宋体"/>
          <w:color w:val="auto"/>
          <w:sz w:val="24"/>
          <w:szCs w:val="24"/>
          <w:u w:val="single"/>
        </w:rPr>
        <w:t>发包人和承包人应在财务管理中单独列支安全防护、文明施工措施项目费用的支付情况。</w:t>
      </w:r>
    </w:p>
    <w:p>
      <w:pPr>
        <w:spacing w:line="360" w:lineRule="auto"/>
        <w:ind w:firstLine="480" w:firstLineChars="200"/>
        <w:rPr>
          <w:rFonts w:hAnsi="宋体"/>
          <w:color w:val="auto"/>
          <w:szCs w:val="24"/>
        </w:rPr>
      </w:pPr>
      <w:r>
        <w:rPr>
          <w:rFonts w:hint="eastAsia" w:ascii="宋体" w:hAnsi="宋体" w:cs="宋体"/>
          <w:color w:val="auto"/>
          <w:sz w:val="24"/>
          <w:szCs w:val="24"/>
        </w:rPr>
        <w:t>51.5</w:t>
      </w:r>
      <w:r>
        <w:rPr>
          <w:rFonts w:hint="eastAsia" w:ascii="宋体" w:hAnsi="宋体" w:cs="宋体"/>
          <w:color w:val="auto"/>
          <w:sz w:val="24"/>
          <w:szCs w:val="24"/>
          <w:u w:val="single"/>
        </w:rPr>
        <w:t>以上未尽事宜，双方协商解决或另行签署补充协议。</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br w:type="page"/>
      </w:r>
    </w:p>
    <w:bookmarkEnd w:id="86"/>
    <w:bookmarkEnd w:id="87"/>
    <w:bookmarkEnd w:id="88"/>
    <w:bookmarkEnd w:id="89"/>
    <w:bookmarkEnd w:id="90"/>
    <w:bookmarkEnd w:id="91"/>
    <w:bookmarkEnd w:id="92"/>
    <w:bookmarkEnd w:id="93"/>
    <w:p>
      <w:pPr>
        <w:pStyle w:val="4"/>
        <w:jc w:val="center"/>
        <w:rPr>
          <w:rFonts w:asciiTheme="minorEastAsia" w:hAnsiTheme="minorEastAsia" w:eastAsiaTheme="minorEastAsia" w:cstheme="minorEastAsia"/>
          <w:color w:val="auto"/>
          <w:sz w:val="36"/>
          <w:szCs w:val="36"/>
        </w:rPr>
      </w:pPr>
      <w:bookmarkStart w:id="97" w:name="_Toc421778381"/>
      <w:bookmarkStart w:id="98" w:name="_Toc410"/>
      <w:bookmarkStart w:id="99" w:name="_Toc10860"/>
      <w:bookmarkStart w:id="100" w:name="_Toc344572156"/>
      <w:r>
        <w:rPr>
          <w:rFonts w:hint="eastAsia" w:asciiTheme="minorEastAsia" w:hAnsiTheme="minorEastAsia" w:eastAsiaTheme="minorEastAsia" w:cstheme="minorEastAsia"/>
          <w:color w:val="auto"/>
          <w:sz w:val="36"/>
          <w:szCs w:val="36"/>
        </w:rPr>
        <w:t>第五章   项目概况及技术要求</w:t>
      </w:r>
      <w:bookmarkEnd w:id="97"/>
      <w:bookmarkEnd w:id="98"/>
      <w:bookmarkEnd w:id="99"/>
      <w:bookmarkStart w:id="101" w:name="_Toc22720"/>
      <w:bookmarkStart w:id="102" w:name="_Toc446515589"/>
      <w:bookmarkStart w:id="103" w:name="_Toc8126"/>
    </w:p>
    <w:bookmarkEnd w:id="101"/>
    <w:bookmarkEnd w:id="102"/>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封育</w:t>
      </w:r>
      <w:r>
        <w:rPr>
          <w:rFonts w:hint="eastAsia" w:ascii="宋体" w:hAnsi="宋体" w:cs="宋体"/>
          <w:b w:val="0"/>
          <w:bCs w:val="0"/>
          <w:color w:val="auto"/>
          <w:sz w:val="24"/>
          <w:szCs w:val="24"/>
          <w:lang w:eastAsia="zh-CN"/>
        </w:rPr>
        <w:t>区范围与面积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商南县2022年封山育林</w:t>
      </w:r>
      <w:r>
        <w:rPr>
          <w:rFonts w:hint="eastAsia" w:ascii="宋体" w:hAnsi="宋体" w:cs="宋体"/>
          <w:b w:val="0"/>
          <w:bCs w:val="0"/>
          <w:color w:val="auto"/>
          <w:sz w:val="24"/>
          <w:szCs w:val="24"/>
          <w:lang w:eastAsia="zh-CN"/>
        </w:rPr>
        <w:t>建设项目</w:t>
      </w:r>
      <w:r>
        <w:rPr>
          <w:rFonts w:hint="eastAsia" w:ascii="宋体" w:hAnsi="宋体" w:eastAsia="宋体" w:cs="宋体"/>
          <w:b w:val="0"/>
          <w:bCs w:val="0"/>
          <w:color w:val="auto"/>
          <w:sz w:val="24"/>
          <w:szCs w:val="24"/>
        </w:rPr>
        <w:t>共涉及1个镇3个行政村，共区划了15个封育作业区，131个封育小班。封山育林区总面积68956.5亩，有效封育面积60000亩。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bookmarkStart w:id="129" w:name="_GoBack"/>
      <w:bookmarkEnd w:id="129"/>
      <w:r>
        <w:rPr>
          <w:rFonts w:hint="eastAsia" w:ascii="宋体" w:hAnsi="宋体" w:eastAsia="宋体" w:cs="宋体"/>
          <w:b w:val="0"/>
          <w:bCs w:val="0"/>
          <w:color w:val="auto"/>
          <w:sz w:val="24"/>
          <w:szCs w:val="24"/>
        </w:rPr>
        <w:t>详见表1。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表1</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封山育林区划统计表</w:t>
      </w:r>
    </w:p>
    <w:tbl>
      <w:tblPr>
        <w:tblStyle w:val="29"/>
        <w:tblpPr w:leftFromText="180" w:rightFromText="180" w:vertAnchor="text" w:tblpXSpec="center" w:tblpY="81"/>
        <w:tblOverlap w:val="never"/>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471"/>
        <w:gridCol w:w="1084"/>
        <w:gridCol w:w="1950"/>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lang w:eastAsia="zh-CN"/>
              </w:rPr>
            </w:pPr>
            <w:r>
              <w:rPr>
                <w:rFonts w:hint="eastAsia" w:ascii="宋体" w:hAnsi="宋体" w:cs="宋体"/>
                <w:b/>
                <w:bCs/>
                <w:color w:val="auto"/>
                <w:sz w:val="24"/>
                <w:szCs w:val="24"/>
                <w:vertAlign w:val="baseline"/>
                <w:lang w:eastAsia="zh-CN"/>
              </w:rPr>
              <w:t>封育单位</w:t>
            </w: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lang w:eastAsia="zh-CN"/>
              </w:rPr>
            </w:pPr>
            <w:r>
              <w:rPr>
                <w:rFonts w:hint="eastAsia" w:ascii="宋体" w:hAnsi="宋体" w:cs="宋体"/>
                <w:b/>
                <w:bCs/>
                <w:color w:val="auto"/>
                <w:sz w:val="24"/>
                <w:szCs w:val="24"/>
                <w:vertAlign w:val="baseline"/>
                <w:lang w:eastAsia="zh-CN"/>
              </w:rPr>
              <w:t>封育名称</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24"/>
                <w:szCs w:val="24"/>
                <w:vertAlign w:val="baseline"/>
                <w:lang w:eastAsia="zh-CN"/>
              </w:rPr>
            </w:pPr>
            <w:r>
              <w:rPr>
                <w:rFonts w:hint="eastAsia" w:ascii="宋体" w:hAnsi="宋体" w:cs="宋体"/>
                <w:b/>
                <w:bCs/>
                <w:color w:val="auto"/>
                <w:sz w:val="24"/>
                <w:szCs w:val="24"/>
                <w:vertAlign w:val="baseline"/>
                <w:lang w:eastAsia="zh-CN"/>
              </w:rPr>
              <w:t>小班数（个）</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24"/>
                <w:szCs w:val="24"/>
                <w:vertAlign w:val="baseline"/>
                <w:lang w:eastAsia="zh-CN"/>
              </w:rPr>
            </w:pPr>
            <w:r>
              <w:rPr>
                <w:rFonts w:hint="eastAsia" w:ascii="宋体" w:hAnsi="宋体" w:cs="宋体"/>
                <w:b/>
                <w:bCs/>
                <w:color w:val="auto"/>
                <w:sz w:val="24"/>
                <w:szCs w:val="24"/>
                <w:vertAlign w:val="baseline"/>
                <w:lang w:eastAsia="zh-CN"/>
              </w:rPr>
              <w:t>小班面积（亩）</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lang w:eastAsia="zh-CN"/>
              </w:rPr>
            </w:pPr>
            <w:r>
              <w:rPr>
                <w:rFonts w:hint="eastAsia" w:ascii="宋体" w:hAnsi="宋体" w:cs="宋体"/>
                <w:b/>
                <w:bCs/>
                <w:color w:val="auto"/>
                <w:sz w:val="24"/>
                <w:szCs w:val="24"/>
                <w:vertAlign w:val="baseline"/>
                <w:lang w:eastAsia="zh-CN"/>
              </w:rPr>
              <w:t>封育面积（亩）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合计</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131</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68956.5</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val="en-US" w:eastAsia="zh-CN"/>
              </w:rPr>
            </w:pPr>
          </w:p>
          <w:p>
            <w:pPr>
              <w:bidi w:val="0"/>
              <w:jc w:val="center"/>
              <w:rPr>
                <w:rFonts w:hint="eastAsia" w:ascii="Calibri" w:hAnsi="Calibri" w:eastAsia="宋体" w:cs="Times New Roman"/>
                <w:color w:val="auto"/>
                <w:kern w:val="2"/>
                <w:sz w:val="21"/>
                <w:szCs w:val="24"/>
                <w:lang w:val="en-US" w:eastAsia="zh-CN" w:bidi="ar-SA"/>
              </w:rPr>
            </w:pPr>
          </w:p>
          <w:p>
            <w:pPr>
              <w:bidi w:val="0"/>
              <w:jc w:val="center"/>
              <w:rPr>
                <w:rFonts w:hint="eastAsia"/>
                <w:color w:val="auto"/>
                <w:lang w:val="en-US" w:eastAsia="zh-CN"/>
              </w:rPr>
            </w:pPr>
          </w:p>
          <w:p>
            <w:pPr>
              <w:bidi w:val="0"/>
              <w:jc w:val="center"/>
              <w:rPr>
                <w:rFonts w:hint="eastAsia"/>
                <w:color w:val="auto"/>
                <w:lang w:val="en-US" w:eastAsia="zh-CN"/>
              </w:rPr>
            </w:pPr>
          </w:p>
          <w:p>
            <w:pPr>
              <w:bidi w:val="0"/>
              <w:jc w:val="center"/>
              <w:rPr>
                <w:rFonts w:hint="eastAsia"/>
                <w:color w:val="auto"/>
                <w:lang w:val="en-US" w:eastAsia="zh-CN"/>
              </w:rPr>
            </w:pPr>
            <w:r>
              <w:rPr>
                <w:rFonts w:hint="eastAsia"/>
                <w:color w:val="auto"/>
                <w:lang w:val="en-US" w:eastAsia="zh-CN"/>
              </w:rPr>
              <w:t>柳树湾村</w:t>
            </w: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计</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51</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27872.2</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eastAsia="zh-CN"/>
              </w:rPr>
              <w:t>一标段：小栗沟王家庄封育区</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9</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4702.6</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二标段：小栗沟洪福台封育区</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9</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4160.6</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三标段：小栗西沟封育区</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8</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4861.1</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四标段：小栗沟杨树坪封育区</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9</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5985.8</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五标段：碾子沟大西沟封育区</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10</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4284</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六标段：司法沟封育区</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6</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3878.1</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p>
            <w:pPr>
              <w:bidi w:val="0"/>
              <w:jc w:val="center"/>
              <w:rPr>
                <w:rFonts w:hint="eastAsia" w:ascii="Calibri" w:hAnsi="Calibri"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白玉沟村</w:t>
            </w: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计</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17</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9184.1</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cs="宋体"/>
                <w:color w:val="auto"/>
                <w:sz w:val="24"/>
                <w:szCs w:val="24"/>
                <w:vertAlign w:val="baseline"/>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eastAsia="zh-CN"/>
              </w:rPr>
              <w:t>七标段：白玉沟石梯子封育区</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9</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4809.2</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八标段：东西沟封育区</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8</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4374.9</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太平庄村</w:t>
            </w: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计</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63</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31900.2</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九标段：黄金沟太平庄封育区</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10</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4893.4</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十标段：涧水沟新台封育区</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12</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5060.5</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十一标段：峡峪沟封育区</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6</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3989</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十二标段：涧水沟柳树墩封育区</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8</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4191.4</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十三标段：涧水沟土地岭封育区</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8</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4726.7</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十四标段：涧水沟阎家沟封育区</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10</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4196.6</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十五标段：涧水沟东西湾封育区</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9</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4842.6</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4300</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rPr>
        <w:t>.2封育类型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根据封育区各小班立地条件和现有母树等植被情况，封育类型均设计为乔木型，封育有效面积60000亩，主要培育目标树种为栎类、硬阔、软阔、油松、马尾松。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rPr>
        <w:t>.3封育方式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根据封育区所处的地理位置和封育区森林植被生长情况，由于封育区各主要沟道均有村庄分布，且封育区部分封育小班周边或境内有耕地与园地分布，封育区人为活动难以避免，故封育方式均设计为半封。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rPr>
        <w:t>.4封育年限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根据封育条件和封育目的封育年限定为6年，始封时间从2022年10月31</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日起,至2028年10月31日解封。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rPr>
        <w:t>.5封禁措施设计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rPr>
        <w:t>.5.1人工巡护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由于本年度所选的封育区周边和境内均有村庄、耕地和园地分布，且交通</w:t>
      </w:r>
      <w:r>
        <w:rPr>
          <w:rFonts w:hint="eastAsia" w:ascii="宋体" w:hAnsi="宋体" w:cs="宋体"/>
          <w:b w:val="0"/>
          <w:bCs w:val="0"/>
          <w:color w:val="auto"/>
          <w:sz w:val="24"/>
          <w:szCs w:val="24"/>
          <w:lang w:eastAsia="zh-CN"/>
        </w:rPr>
        <w:t>方</w:t>
      </w:r>
      <w:r>
        <w:rPr>
          <w:rFonts w:hint="eastAsia" w:ascii="宋体" w:hAnsi="宋体" w:eastAsia="宋体" w:cs="宋体"/>
          <w:b w:val="0"/>
          <w:bCs w:val="0"/>
          <w:color w:val="auto"/>
          <w:sz w:val="24"/>
          <w:szCs w:val="24"/>
        </w:rPr>
        <w:t>便故管护难度大。为了便于管理，管护方式可采取人工定期和不定期巡护方式。根据封育</w:t>
      </w:r>
      <w:r>
        <w:rPr>
          <w:rFonts w:hint="eastAsia" w:ascii="宋体" w:hAnsi="宋体" w:eastAsia="宋体" w:cs="宋体"/>
          <w:color w:val="auto"/>
          <w:sz w:val="24"/>
          <w:szCs w:val="24"/>
        </w:rPr>
        <w:t>区面积和人为活动情况，封育区管护总面积68956.5亩，有效封育面积60000亩。按每人巡护面积5700亩计算需12人，但由于封育区周边人为活动频繁，各封育区分布较为分散，结合封育区的区位条件，每个封育区需设1名兼职护林人员巡护，故项目建设共需15名兼职护林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.5.2设置标志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了加强宣传，提高当地居民对封山育林的认识，明确封山育林的目的，以及封山育林的地点和范围等，封育区设置大型宣传牌6座，分别位于小栗沟王家庄封育区1小班沟口路旁，碾子沟大西沟封育区1小班沟口路旁，司法沟封育区1小班路旁，白玉沟石梯子封育区5小班沟口路旁，黄金沟太平庄封育区1小班沟口路旁，涧水沟新台封育区9小班沟口路旁。小型宣传标志牌6组，共35块，分别位于小栗沟王家庄封育区1小班直观坡面下部紧临丹江公路，碾子沟大西沟封育区3小班直观坡面下部紧临丹江公路，司法沟封育区1小班直观坡面下部紧临丹江公路，白玉沟石梯子封育区5小班直观坡面下部紧临丹江公路，黄金沟太平庄封育区1小班直观坡面下部紧临丹江公路，涧水沟新台封育区9小班直观坡面下部面向丹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b/>
          <w:bCs/>
          <w:color w:val="auto"/>
          <w:sz w:val="24"/>
          <w:szCs w:val="24"/>
        </w:rPr>
        <w:t>大型宣传牌</w:t>
      </w:r>
      <w:r>
        <w:rPr>
          <w:rFonts w:hint="eastAsia" w:ascii="宋体" w:hAnsi="宋体" w:eastAsia="宋体" w:cs="宋体"/>
          <w:color w:val="auto"/>
          <w:sz w:val="24"/>
          <w:szCs w:val="24"/>
        </w:rPr>
        <w:t>：高</w:t>
      </w:r>
      <w:r>
        <w:rPr>
          <w:rFonts w:hint="eastAsia" w:ascii="宋体" w:hAnsi="宋体" w:cs="宋体"/>
          <w:color w:val="auto"/>
          <w:sz w:val="24"/>
          <w:szCs w:val="24"/>
          <w:lang w:val="en-US" w:eastAsia="zh-CN"/>
        </w:rPr>
        <w:t>3m</w:t>
      </w:r>
      <w:r>
        <w:rPr>
          <w:rFonts w:hint="eastAsia" w:ascii="宋体" w:hAnsi="宋体" w:cs="宋体"/>
          <w:color w:val="auto"/>
          <w:sz w:val="24"/>
          <w:szCs w:val="24"/>
          <w:lang w:eastAsia="zh-CN"/>
        </w:rPr>
        <w:t>×</w:t>
      </w:r>
      <w:r>
        <w:rPr>
          <w:rFonts w:hint="eastAsia" w:ascii="宋体" w:hAnsi="宋体" w:eastAsia="宋体" w:cs="宋体"/>
          <w:color w:val="auto"/>
          <w:sz w:val="24"/>
          <w:szCs w:val="24"/>
        </w:rPr>
        <w:t>宽2m</w:t>
      </w:r>
      <w:r>
        <w:rPr>
          <w:rFonts w:hint="eastAsia" w:ascii="宋体" w:hAnsi="宋体" w:cs="宋体"/>
          <w:color w:val="auto"/>
          <w:sz w:val="24"/>
          <w:szCs w:val="24"/>
          <w:lang w:eastAsia="zh-CN"/>
        </w:rPr>
        <w:t>×</w:t>
      </w:r>
      <w:r>
        <w:rPr>
          <w:rFonts w:hint="eastAsia" w:ascii="宋体" w:hAnsi="宋体" w:eastAsia="宋体" w:cs="宋体"/>
          <w:color w:val="auto"/>
          <w:sz w:val="24"/>
          <w:szCs w:val="24"/>
        </w:rPr>
        <w:t>厚10cm，钢板喷成白底蓝字，立柱采用DN50N圆形钢管，底部高应在3米以上，立柱埋深1.0m</w:t>
      </w:r>
      <w:r>
        <w:rPr>
          <w:rFonts w:hint="eastAsia" w:ascii="宋体" w:hAnsi="宋体" w:cs="宋体"/>
          <w:color w:val="auto"/>
          <w:sz w:val="24"/>
          <w:szCs w:val="24"/>
          <w:lang w:eastAsia="zh-CN"/>
        </w:rPr>
        <w:t>，</w:t>
      </w:r>
      <w:r>
        <w:rPr>
          <w:rFonts w:hint="eastAsia" w:ascii="宋体" w:hAnsi="宋体" w:eastAsia="宋体" w:cs="宋体"/>
          <w:color w:val="auto"/>
          <w:sz w:val="24"/>
          <w:szCs w:val="24"/>
        </w:rPr>
        <w:t>碑上标明封育区项目简介、四至范围、封育面积、管护单位、责任人及管护制度等内容。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b/>
          <w:bCs/>
          <w:color w:val="auto"/>
          <w:sz w:val="24"/>
          <w:szCs w:val="24"/>
        </w:rPr>
        <w:t>小型宣传标志牌</w:t>
      </w:r>
      <w:r>
        <w:rPr>
          <w:rFonts w:hint="eastAsia" w:ascii="宋体" w:hAnsi="宋体" w:eastAsia="宋体" w:cs="宋体"/>
          <w:color w:val="auto"/>
          <w:sz w:val="24"/>
          <w:szCs w:val="24"/>
        </w:rPr>
        <w:t>：标志牌为镀锌铁牌，规格为1</w:t>
      </w:r>
      <w:r>
        <w:rPr>
          <w:rFonts w:hint="eastAsia" w:ascii="宋体" w:hAnsi="宋体" w:cs="宋体"/>
          <w:color w:val="auto"/>
          <w:sz w:val="24"/>
          <w:szCs w:val="24"/>
          <w:lang w:eastAsia="zh-CN"/>
        </w:rPr>
        <w:t>×</w:t>
      </w:r>
      <w:r>
        <w:rPr>
          <w:rFonts w:hint="eastAsia" w:ascii="宋体" w:hAnsi="宋体" w:eastAsia="宋体" w:cs="宋体"/>
          <w:color w:val="auto"/>
          <w:sz w:val="24"/>
          <w:szCs w:val="24"/>
        </w:rPr>
        <w:t>1.2m牌面，每牌一字，红底白字，分别为“秦”“岭”“南””麓““封”“育”“区”7个大字。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.5.3机械围栏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为了防止人</w:t>
      </w:r>
      <w:r>
        <w:rPr>
          <w:rFonts w:hint="eastAsia" w:ascii="宋体" w:hAnsi="宋体" w:cs="宋体"/>
          <w:color w:val="auto"/>
          <w:sz w:val="24"/>
          <w:szCs w:val="24"/>
          <w:lang w:eastAsia="zh-CN"/>
        </w:rPr>
        <w:t>畜</w:t>
      </w:r>
      <w:r>
        <w:rPr>
          <w:rFonts w:hint="eastAsia" w:ascii="宋体" w:hAnsi="宋体" w:eastAsia="宋体" w:cs="宋体"/>
          <w:color w:val="auto"/>
          <w:sz w:val="24"/>
          <w:szCs w:val="24"/>
        </w:rPr>
        <w:t>进入封育区，在封育区主要沟口和部分封育小班的缓坡地带（连片坡耕地）下部分段布设刺铁丝围栏，共设计机械围栏（刺铁丝）20706m。。机械围栏（刺铁丝）每3m布设钢筋混凝土桩1根（10cm</w:t>
      </w:r>
      <w:r>
        <w:rPr>
          <w:rFonts w:hint="eastAsia" w:ascii="宋体" w:hAnsi="宋体" w:cs="宋体"/>
          <w:color w:val="auto"/>
          <w:sz w:val="24"/>
          <w:szCs w:val="24"/>
          <w:lang w:eastAsia="zh-CN"/>
        </w:rPr>
        <w:t>×</w:t>
      </w:r>
      <w:r>
        <w:rPr>
          <w:rFonts w:hint="eastAsia" w:ascii="宋体" w:hAnsi="宋体" w:eastAsia="宋体" w:cs="宋体"/>
          <w:color w:val="auto"/>
          <w:sz w:val="24"/>
          <w:szCs w:val="24"/>
        </w:rPr>
        <w:t>10cm</w:t>
      </w:r>
      <w:r>
        <w:rPr>
          <w:rFonts w:hint="eastAsia" w:ascii="宋体" w:hAnsi="宋体" w:cs="宋体"/>
          <w:color w:val="auto"/>
          <w:sz w:val="24"/>
          <w:szCs w:val="24"/>
          <w:lang w:eastAsia="zh-CN"/>
        </w:rPr>
        <w:t>×</w:t>
      </w:r>
      <w:r>
        <w:rPr>
          <w:rFonts w:hint="eastAsia" w:ascii="宋体" w:hAnsi="宋体" w:eastAsia="宋体" w:cs="宋体"/>
          <w:color w:val="auto"/>
          <w:sz w:val="24"/>
          <w:szCs w:val="24"/>
        </w:rPr>
        <w:t>200cm)，桩高2m，埋深30cm，每两桩之间横向布设刺铁丝4道，对角各布设一道，方式为4纵6箍。各封育区机械围栏长度详见表2。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表2</w:t>
      </w:r>
      <w:r>
        <w:rPr>
          <w:rFonts w:hint="eastAsia" w:ascii="宋体" w:hAnsi="宋体" w:cs="宋体"/>
          <w:b/>
          <w:bCs/>
          <w:color w:val="auto"/>
          <w:sz w:val="24"/>
          <w:szCs w:val="24"/>
          <w:lang w:val="en-US" w:eastAsia="zh-CN"/>
        </w:rPr>
        <w:t xml:space="preserve">    封育区机械围栏长度统计表</w:t>
      </w:r>
    </w:p>
    <w:tbl>
      <w:tblPr>
        <w:tblStyle w:val="29"/>
        <w:tblpPr w:leftFromText="180" w:rightFromText="180" w:vertAnchor="text" w:tblpX="269" w:tblpY="81"/>
        <w:tblOverlap w:val="never"/>
        <w:tblW w:w="8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4017"/>
        <w:gridCol w:w="1533"/>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2"/>
                <w:szCs w:val="22"/>
                <w:vertAlign w:val="baseline"/>
                <w:lang w:eastAsia="zh-CN"/>
              </w:rPr>
            </w:pPr>
            <w:r>
              <w:rPr>
                <w:rFonts w:hint="eastAsia" w:ascii="宋体" w:hAnsi="宋体" w:cs="宋体"/>
                <w:b/>
                <w:bCs/>
                <w:color w:val="auto"/>
                <w:sz w:val="22"/>
                <w:szCs w:val="22"/>
                <w:vertAlign w:val="baseline"/>
                <w:lang w:eastAsia="zh-CN"/>
              </w:rPr>
              <w:t>封育单位</w:t>
            </w: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2"/>
                <w:szCs w:val="22"/>
                <w:vertAlign w:val="baseline"/>
                <w:lang w:eastAsia="zh-CN"/>
              </w:rPr>
            </w:pPr>
            <w:r>
              <w:rPr>
                <w:rFonts w:hint="eastAsia" w:ascii="宋体" w:hAnsi="宋体" w:cs="宋体"/>
                <w:b/>
                <w:bCs/>
                <w:color w:val="auto"/>
                <w:sz w:val="22"/>
                <w:szCs w:val="22"/>
                <w:vertAlign w:val="baseline"/>
                <w:lang w:eastAsia="zh-CN"/>
              </w:rPr>
              <w:t>封育名称</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2"/>
                <w:szCs w:val="22"/>
                <w:vertAlign w:val="baseline"/>
                <w:lang w:eastAsia="zh-CN"/>
              </w:rPr>
            </w:pPr>
            <w:r>
              <w:rPr>
                <w:rFonts w:hint="eastAsia" w:ascii="宋体" w:hAnsi="宋体" w:cs="宋体"/>
                <w:b/>
                <w:bCs/>
                <w:color w:val="auto"/>
                <w:sz w:val="20"/>
                <w:szCs w:val="20"/>
                <w:vertAlign w:val="baseline"/>
                <w:lang w:eastAsia="zh-CN"/>
              </w:rPr>
              <w:t>封育面积（亩）</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2"/>
                <w:szCs w:val="22"/>
                <w:vertAlign w:val="baseline"/>
                <w:lang w:eastAsia="zh-CN"/>
              </w:rPr>
            </w:pPr>
            <w:r>
              <w:rPr>
                <w:rFonts w:hint="eastAsia" w:ascii="宋体" w:hAnsi="宋体" w:cs="宋体"/>
                <w:b/>
                <w:bCs/>
                <w:color w:val="auto"/>
                <w:sz w:val="22"/>
                <w:szCs w:val="22"/>
                <w:vertAlign w:val="baseline"/>
                <w:lang w:eastAsia="zh-CN"/>
              </w:rPr>
              <w:t>机械围栏（</w:t>
            </w:r>
            <w:r>
              <w:rPr>
                <w:rFonts w:hint="eastAsia" w:ascii="宋体" w:hAnsi="宋体" w:cs="宋体"/>
                <w:b/>
                <w:bCs/>
                <w:color w:val="auto"/>
                <w:sz w:val="22"/>
                <w:szCs w:val="22"/>
                <w:vertAlign w:val="baseline"/>
                <w:lang w:val="en-US" w:eastAsia="zh-CN"/>
              </w:rPr>
              <w:t>m</w:t>
            </w:r>
            <w:r>
              <w:rPr>
                <w:rFonts w:hint="eastAsia" w:ascii="宋体" w:hAnsi="宋体" w:cs="宋体"/>
                <w:b/>
                <w:bCs/>
                <w:color w:val="auto"/>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合计</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60000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20706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val="en-US" w:eastAsia="zh-CN"/>
              </w:rPr>
            </w:pPr>
          </w:p>
          <w:p>
            <w:pPr>
              <w:bidi w:val="0"/>
              <w:jc w:val="center"/>
              <w:rPr>
                <w:rFonts w:hint="eastAsia" w:ascii="Calibri" w:hAnsi="Calibri" w:eastAsia="宋体" w:cs="Times New Roman"/>
                <w:color w:val="auto"/>
                <w:kern w:val="2"/>
                <w:sz w:val="21"/>
                <w:szCs w:val="24"/>
                <w:lang w:val="en-US" w:eastAsia="zh-CN" w:bidi="ar-SA"/>
              </w:rPr>
            </w:pPr>
          </w:p>
          <w:p>
            <w:pPr>
              <w:bidi w:val="0"/>
              <w:jc w:val="center"/>
              <w:rPr>
                <w:rFonts w:hint="eastAsia"/>
                <w:color w:val="auto"/>
                <w:lang w:val="en-US" w:eastAsia="zh-CN"/>
              </w:rPr>
            </w:pPr>
          </w:p>
          <w:p>
            <w:pPr>
              <w:bidi w:val="0"/>
              <w:jc w:val="center"/>
              <w:rPr>
                <w:rFonts w:hint="eastAsia"/>
                <w:color w:val="auto"/>
                <w:lang w:val="en-US" w:eastAsia="zh-CN"/>
              </w:rPr>
            </w:pPr>
          </w:p>
          <w:p>
            <w:pPr>
              <w:bidi w:val="0"/>
              <w:jc w:val="center"/>
              <w:rPr>
                <w:rFonts w:hint="eastAsia"/>
                <w:color w:val="auto"/>
                <w:lang w:val="en-US" w:eastAsia="zh-CN"/>
              </w:rPr>
            </w:pPr>
            <w:r>
              <w:rPr>
                <w:rFonts w:hint="eastAsia"/>
                <w:color w:val="auto"/>
                <w:lang w:val="en-US" w:eastAsia="zh-CN"/>
              </w:rPr>
              <w:t>柳树湾村</w:t>
            </w: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计</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24900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6796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eastAsia="zh-CN"/>
              </w:rPr>
              <w:t>第一标段：小栗沟王家庄封育区</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4100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第二标段：小栗沟洪福台封育区</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4000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第三标段：小栗西沟封育区</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4300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第四标段：小栗沟杨树坪封育区</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5000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第五标段：碾子沟大西沟封育区</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3800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第六标段：司法沟封育区</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3700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p>
            <w:pPr>
              <w:bidi w:val="0"/>
              <w:jc w:val="center"/>
              <w:rPr>
                <w:rFonts w:hint="eastAsia" w:ascii="Calibri" w:hAnsi="Calibri"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白玉沟村</w:t>
            </w: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24"/>
                <w:szCs w:val="24"/>
                <w:vertAlign w:val="baseline"/>
                <w:lang w:eastAsia="zh-CN"/>
              </w:rPr>
            </w:pPr>
            <w:r>
              <w:rPr>
                <w:rFonts w:hint="eastAsia" w:ascii="宋体" w:hAnsi="宋体" w:cs="宋体"/>
                <w:b/>
                <w:bCs/>
                <w:color w:val="auto"/>
                <w:sz w:val="24"/>
                <w:szCs w:val="24"/>
                <w:vertAlign w:val="baseline"/>
                <w:lang w:eastAsia="zh-CN"/>
              </w:rPr>
              <w:t>计</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rPr>
            </w:pPr>
            <w:r>
              <w:rPr>
                <w:rFonts w:hint="eastAsia" w:ascii="宋体" w:hAnsi="宋体" w:cs="宋体"/>
                <w:b/>
                <w:bCs/>
                <w:color w:val="auto"/>
                <w:sz w:val="24"/>
                <w:szCs w:val="24"/>
                <w:vertAlign w:val="baseline"/>
                <w:lang w:val="en-US" w:eastAsia="zh-CN"/>
              </w:rPr>
              <w:t>7500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rPr>
            </w:pPr>
            <w:r>
              <w:rPr>
                <w:rFonts w:hint="eastAsia" w:ascii="宋体" w:hAnsi="宋体" w:cs="宋体"/>
                <w:b/>
                <w:bCs/>
                <w:color w:val="auto"/>
                <w:sz w:val="24"/>
                <w:szCs w:val="24"/>
                <w:vertAlign w:val="baseline"/>
                <w:lang w:val="en-US" w:eastAsia="zh-CN"/>
              </w:rPr>
              <w:t>2440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eastAsia="zh-CN"/>
              </w:rPr>
              <w:t>第七标段：白玉沟石梯子封育区</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3900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第八标段：东西沟封育区</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3600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太平庄村</w:t>
            </w: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24"/>
                <w:szCs w:val="24"/>
                <w:vertAlign w:val="baseline"/>
                <w:lang w:eastAsia="zh-CN"/>
              </w:rPr>
            </w:pPr>
            <w:r>
              <w:rPr>
                <w:rFonts w:hint="eastAsia" w:ascii="宋体" w:hAnsi="宋体" w:cs="宋体"/>
                <w:b/>
                <w:bCs/>
                <w:color w:val="auto"/>
                <w:sz w:val="24"/>
                <w:szCs w:val="24"/>
                <w:vertAlign w:val="baseline"/>
                <w:lang w:eastAsia="zh-CN"/>
              </w:rPr>
              <w:t>计</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27600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5110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第九标段：黄金沟太平庄封育区</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3900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第十标段：涧水沟新台封育区</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4100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第十一标段：峡峪沟封育区</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3700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第十二标段：涧水沟柳树墩封育区</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3900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第十三标段：涧水沟土地岭封育区</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4100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第十四标段：涧水沟阎家沟封育区</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3600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第十五标段：涧水沟东西湾封育区</w:t>
            </w:r>
          </w:p>
        </w:tc>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4300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1510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.5.4界桩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由于各封育区四界十分明显，故不设界桩。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.5.5管护房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由于项目建设区各村均有村护林站，各封育区均距村护林站较近，故管护房充分利用现有的村护林站，不再进行新建或租用。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.6育林措施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.6.1人工补植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为了早日达到封育效果，设计对封育区林中空地和自然繁育能力不足或幼苗、幼树分布不均的林地、灌木林地需进行补植，经调查共设计补植面积777.6亩。各封育区补植面积详见表3。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表3</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封育区补植面积统计表</w:t>
      </w:r>
    </w:p>
    <w:tbl>
      <w:tblPr>
        <w:tblStyle w:val="29"/>
        <w:tblpPr w:leftFromText="180" w:rightFromText="180" w:vertAnchor="text" w:tblpX="572" w:tblpY="81"/>
        <w:tblOverlap w:val="never"/>
        <w:tblW w:w="8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9"/>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封育单位</w:t>
            </w: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封育名称</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补植面积（亩）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合计</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val="en-US" w:eastAsia="zh-CN"/>
              </w:rPr>
            </w:pPr>
          </w:p>
          <w:p>
            <w:pPr>
              <w:bidi w:val="0"/>
              <w:jc w:val="center"/>
              <w:rPr>
                <w:rFonts w:hint="eastAsia" w:ascii="Calibri" w:hAnsi="Calibri" w:eastAsia="宋体" w:cs="Times New Roman"/>
                <w:color w:val="auto"/>
                <w:kern w:val="2"/>
                <w:sz w:val="21"/>
                <w:szCs w:val="24"/>
                <w:lang w:val="en-US" w:eastAsia="zh-CN" w:bidi="ar-SA"/>
              </w:rPr>
            </w:pPr>
          </w:p>
          <w:p>
            <w:pPr>
              <w:bidi w:val="0"/>
              <w:jc w:val="center"/>
              <w:rPr>
                <w:rFonts w:hint="eastAsia"/>
                <w:color w:val="auto"/>
                <w:lang w:val="en-US" w:eastAsia="zh-CN"/>
              </w:rPr>
            </w:pPr>
          </w:p>
          <w:p>
            <w:pPr>
              <w:bidi w:val="0"/>
              <w:jc w:val="center"/>
              <w:rPr>
                <w:rFonts w:hint="eastAsia"/>
                <w:color w:val="auto"/>
                <w:lang w:val="en-US" w:eastAsia="zh-CN"/>
              </w:rPr>
            </w:pPr>
          </w:p>
          <w:p>
            <w:pPr>
              <w:bidi w:val="0"/>
              <w:jc w:val="center"/>
              <w:rPr>
                <w:rFonts w:hint="eastAsia"/>
                <w:color w:val="auto"/>
                <w:lang w:val="en-US" w:eastAsia="zh-CN"/>
              </w:rPr>
            </w:pPr>
            <w:r>
              <w:rPr>
                <w:rFonts w:hint="eastAsia"/>
                <w:color w:val="auto"/>
                <w:lang w:val="en-US" w:eastAsia="zh-CN"/>
              </w:rPr>
              <w:t>柳树湾村</w:t>
            </w: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计</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both"/>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eastAsia="zh-CN"/>
              </w:rPr>
              <w:t>第一标段：小栗沟王家庄封育区</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第二标段：小栗沟洪福台封育区</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第三标段：小栗西沟封育区</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第四标段：小栗沟杨树坪封育区</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第五标段：碾子沟大西沟封育区</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第六标段：司法沟封育区</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p>
            <w:pPr>
              <w:bidi w:val="0"/>
              <w:jc w:val="center"/>
              <w:rPr>
                <w:rFonts w:hint="eastAsia" w:ascii="Calibri" w:hAnsi="Calibri"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白玉沟村</w:t>
            </w: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计</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eastAsia="zh-CN"/>
              </w:rPr>
              <w:t>第七标段：白玉沟石梯子封育区</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第八标段：东西沟封育区</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太平庄村</w:t>
            </w: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计</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第九标段：黄金沟太平庄封育区</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第十标段：涧水沟新台封育区</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第十一标段：峡峪沟封育区</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第十二标段：涧水沟柳树墩封育区</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第十三标段：涧水沟土地岭封育区</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第十四标段：涧水沟阎家沟封育区</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2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第十五标段：涧水沟东西湾封育区</w:t>
            </w:r>
          </w:p>
        </w:tc>
        <w:tc>
          <w:tcPr>
            <w:tcW w:w="2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（1）树种选择：由于封育区主要为落叶阔叶林且立地条件较差，为了保障成活补植树种设计为侧柏，并与周边现有落叶树最终形成针阔混交林。部分紧临丹江公路沿线的封育小班设计栽植少量的紫薇。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种苗质量：补植苗木均采用“三证一签”的优质合格苗，且必须要求根系完整，顶芽饱满，木质化程度高，无病虫害。侧柏苗采用3-5年生容器苗，苗木地径＞1cm以上，苗高＞1m以上。紫薇采用土球苗，要求地径大于2cm，苗高1.20～1.5m，土球＞20c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（3）初植密度：侧柏167株</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亩（株行距2m</w:t>
      </w:r>
      <w:r>
        <w:rPr>
          <w:rFonts w:hint="eastAsia" w:ascii="宋体" w:hAnsi="宋体" w:cs="宋体"/>
          <w:color w:val="auto"/>
          <w:sz w:val="24"/>
          <w:szCs w:val="24"/>
          <w:lang w:eastAsia="zh-CN"/>
        </w:rPr>
        <w:t>×</w:t>
      </w:r>
      <w:r>
        <w:rPr>
          <w:rFonts w:hint="eastAsia" w:ascii="宋体" w:hAnsi="宋体" w:eastAsia="宋体" w:cs="宋体"/>
          <w:color w:val="auto"/>
          <w:sz w:val="24"/>
          <w:szCs w:val="24"/>
        </w:rPr>
        <w:t>2m，部分小班侧柏148株</w:t>
      </w:r>
      <w:r>
        <w:rPr>
          <w:rFonts w:hint="eastAsia" w:ascii="宋体" w:hAnsi="宋体" w:cs="宋体"/>
          <w:color w:val="auto"/>
          <w:sz w:val="24"/>
          <w:szCs w:val="24"/>
          <w:lang w:eastAsia="zh-CN"/>
        </w:rPr>
        <w:t>/</w:t>
      </w:r>
      <w:r>
        <w:rPr>
          <w:rFonts w:hint="eastAsia" w:ascii="宋体" w:hAnsi="宋体" w:eastAsia="宋体" w:cs="宋体"/>
          <w:color w:val="auto"/>
          <w:sz w:val="24"/>
          <w:szCs w:val="24"/>
        </w:rPr>
        <w:t>亩，紫薇19株</w:t>
      </w:r>
      <w:r>
        <w:rPr>
          <w:rFonts w:hint="eastAsia" w:ascii="宋体" w:hAnsi="宋体" w:cs="宋体"/>
          <w:color w:val="auto"/>
          <w:sz w:val="24"/>
          <w:szCs w:val="24"/>
          <w:lang w:eastAsia="zh-CN"/>
        </w:rPr>
        <w:t>/</w:t>
      </w:r>
      <w:r>
        <w:rPr>
          <w:rFonts w:hint="eastAsia" w:ascii="宋体" w:hAnsi="宋体" w:eastAsia="宋体" w:cs="宋体"/>
          <w:color w:val="auto"/>
          <w:sz w:val="24"/>
          <w:szCs w:val="24"/>
        </w:rPr>
        <w:t>亩（株行距2m</w:t>
      </w:r>
      <w:r>
        <w:rPr>
          <w:rFonts w:hint="eastAsia" w:ascii="宋体" w:hAnsi="宋体" w:cs="宋体"/>
          <w:color w:val="auto"/>
          <w:sz w:val="24"/>
          <w:szCs w:val="24"/>
          <w:lang w:eastAsia="zh-CN"/>
        </w:rPr>
        <w:t>×</w:t>
      </w:r>
      <w:r>
        <w:rPr>
          <w:rFonts w:hint="eastAsia" w:ascii="宋体" w:hAnsi="宋体" w:eastAsia="宋体" w:cs="宋体"/>
          <w:color w:val="auto"/>
          <w:sz w:val="24"/>
          <w:szCs w:val="24"/>
        </w:rPr>
        <w:t>2m）。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（4）整地与配置方式：整地方式为穴状，规格为50cm</w:t>
      </w:r>
      <w:r>
        <w:rPr>
          <w:rFonts w:hint="eastAsia" w:ascii="宋体" w:hAnsi="宋体" w:cs="宋体"/>
          <w:color w:val="auto"/>
          <w:sz w:val="24"/>
          <w:szCs w:val="24"/>
          <w:lang w:eastAsia="zh-CN"/>
        </w:rPr>
        <w:t>×</w:t>
      </w:r>
      <w:r>
        <w:rPr>
          <w:rFonts w:hint="eastAsia" w:ascii="宋体" w:hAnsi="宋体" w:eastAsia="宋体" w:cs="宋体"/>
          <w:color w:val="auto"/>
          <w:sz w:val="24"/>
          <w:szCs w:val="24"/>
        </w:rPr>
        <w:t>50cm</w:t>
      </w:r>
      <w:r>
        <w:rPr>
          <w:rFonts w:hint="eastAsia" w:ascii="宋体" w:hAnsi="宋体" w:cs="宋体"/>
          <w:color w:val="auto"/>
          <w:sz w:val="24"/>
          <w:szCs w:val="24"/>
          <w:lang w:eastAsia="zh-CN"/>
        </w:rPr>
        <w:t>×</w:t>
      </w:r>
      <w:r>
        <w:rPr>
          <w:rFonts w:hint="eastAsia" w:ascii="宋体" w:hAnsi="宋体" w:eastAsia="宋体" w:cs="宋体"/>
          <w:color w:val="auto"/>
          <w:sz w:val="24"/>
          <w:szCs w:val="24"/>
        </w:rPr>
        <w:t>40cm</w:t>
      </w:r>
      <w:r>
        <w:rPr>
          <w:rFonts w:hint="eastAsia" w:ascii="宋体" w:hAnsi="宋体" w:cs="宋体"/>
          <w:color w:val="auto"/>
          <w:sz w:val="24"/>
          <w:szCs w:val="24"/>
          <w:lang w:eastAsia="zh-CN"/>
        </w:rPr>
        <w:t>。</w:t>
      </w:r>
      <w:r>
        <w:rPr>
          <w:rFonts w:hint="eastAsia" w:ascii="宋体" w:hAnsi="宋体" w:eastAsia="宋体" w:cs="宋体"/>
          <w:color w:val="auto"/>
          <w:sz w:val="24"/>
          <w:szCs w:val="24"/>
        </w:rPr>
        <w:t>配置方式为三角形。为保证苗木成活率，整地时要对种植穴周围直径最小不低于1m范围内的杂灌杂草、藤本植物进行局部除草或割灌割藤。整地时要对回填土拣去石块、石料及硬核物质，确保苗木根系顺利生长。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（5）栽植：栽时要</w:t>
      </w:r>
      <w:r>
        <w:rPr>
          <w:rFonts w:hint="eastAsia" w:ascii="宋体" w:hAnsi="宋体" w:cs="宋体"/>
          <w:color w:val="auto"/>
          <w:sz w:val="24"/>
          <w:szCs w:val="24"/>
          <w:lang w:eastAsia="zh-CN"/>
        </w:rPr>
        <w:t>做</w:t>
      </w:r>
      <w:r>
        <w:rPr>
          <w:rFonts w:hint="eastAsia" w:ascii="宋体" w:hAnsi="宋体" w:eastAsia="宋体" w:cs="宋体"/>
          <w:color w:val="auto"/>
          <w:sz w:val="24"/>
          <w:szCs w:val="24"/>
        </w:rPr>
        <w:t>到“苗端、根展、深栽、砸实”。栽植时根系舒展，不可窝根或露根，覆土高度稍高于苗木根径5厘米为宜，分层踩实，保留15厘米左右深的坑，以利于蓄水保墒。具体做到“三埋两踩一提苗”，将树苗放入穴中央，用翻出的表土回填、覆盖树根（一埋）；再用手往上提一下树苗，使根系舒展（一提苗）；随后用脚将覆土踩实（一踩）；再回填表土，至与地面平齐（二埋）；然后再踩紧（二踩）；最后在苗木基部再盖一层松土（三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（6）补植时间：补植时间为2022年秋冬季，土壤封冻前。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（7）幼林抚育：对补植后的幼苗，经过一个生长期后进行补栽、割草、扩穴等幼林抚育，保障苗木成活并促进苗木生长，使其达到补植要求。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.6.2人工促进天然更新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有林地或有林地中块状分布的少量灌木林地和疏林地中幼树幼苗分布较多，但受周边灌草影响生长不良，以及有林地中天然下种能力强的母树周边灌草盖度较大的地块需进行人工促进天然更新。具体为乔木型封育对有较强天然下种能力的乔木，但因灌草盖度较大而影响种子触土的地块，可进行带状或块状割灌、除草、破土整地，实行人工促进更新，为了防止水土流失，保护生物多样性，要求砍除现有幼苗幼树周边1米范围内的灌草。项目建设共设计人工促进天然更新面积7131.2亩。各封育区人工促进天然更新面积详见表4。</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表4</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rPr>
        <w:t>封育区人工促进天然更新面积统计表</w:t>
      </w:r>
    </w:p>
    <w:tbl>
      <w:tblPr>
        <w:tblStyle w:val="29"/>
        <w:tblpPr w:leftFromText="180" w:rightFromText="180" w:vertAnchor="text" w:tblpXSpec="center" w:tblpY="81"/>
        <w:tblOverlap w:val="never"/>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4469"/>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封育单位</w:t>
            </w: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封育名称</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人促面积（亩）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合计</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7131.2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val="en-US" w:eastAsia="zh-CN"/>
              </w:rPr>
            </w:pPr>
          </w:p>
          <w:p>
            <w:pPr>
              <w:bidi w:val="0"/>
              <w:jc w:val="center"/>
              <w:rPr>
                <w:rFonts w:hint="eastAsia" w:ascii="Calibri" w:hAnsi="Calibri" w:eastAsia="宋体" w:cs="Times New Roman"/>
                <w:color w:val="auto"/>
                <w:kern w:val="2"/>
                <w:sz w:val="21"/>
                <w:szCs w:val="24"/>
                <w:lang w:val="en-US" w:eastAsia="zh-CN" w:bidi="ar-SA"/>
              </w:rPr>
            </w:pPr>
          </w:p>
          <w:p>
            <w:pPr>
              <w:bidi w:val="0"/>
              <w:jc w:val="center"/>
              <w:rPr>
                <w:rFonts w:hint="eastAsia"/>
                <w:color w:val="auto"/>
                <w:lang w:val="en-US" w:eastAsia="zh-CN"/>
              </w:rPr>
            </w:pPr>
          </w:p>
          <w:p>
            <w:pPr>
              <w:bidi w:val="0"/>
              <w:jc w:val="center"/>
              <w:rPr>
                <w:rFonts w:hint="eastAsia"/>
                <w:color w:val="auto"/>
                <w:lang w:val="en-US" w:eastAsia="zh-CN"/>
              </w:rPr>
            </w:pPr>
          </w:p>
          <w:p>
            <w:pPr>
              <w:bidi w:val="0"/>
              <w:jc w:val="center"/>
              <w:rPr>
                <w:rFonts w:hint="eastAsia"/>
                <w:color w:val="auto"/>
                <w:lang w:val="en-US" w:eastAsia="zh-CN"/>
              </w:rPr>
            </w:pPr>
            <w:r>
              <w:rPr>
                <w:rFonts w:hint="eastAsia"/>
                <w:color w:val="auto"/>
                <w:lang w:val="en-US" w:eastAsia="zh-CN"/>
              </w:rPr>
              <w:t>柳树湾村</w:t>
            </w: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计</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both"/>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eastAsia="zh-CN"/>
              </w:rPr>
              <w:t>第一标段：小栗沟王家庄封育区</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第二标段：小栗沟洪福台封育区</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第三标段：小栗西沟封育区</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第四标段：小栗沟杨树坪封育区</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第五标段：碾子沟大西沟封育区</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第六标段：司法沟封育区</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p>
            <w:pPr>
              <w:bidi w:val="0"/>
              <w:jc w:val="center"/>
              <w:rPr>
                <w:rFonts w:hint="eastAsia" w:ascii="Calibri" w:hAnsi="Calibri"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白玉沟村</w:t>
            </w: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计</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1174.6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eastAsia="zh-CN"/>
              </w:rPr>
              <w:t>第七标段：白玉沟石梯子封育区</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第八标段：东西沟封育区</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太平庄村</w:t>
            </w: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计</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3444.1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第九标段：黄金沟太平庄封育区</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第十标段：涧水沟新台封育区</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第十一标段：峡峪沟封育区</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653.5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第十二标段：涧水沟柳树墩封育区</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第十三标段：涧水沟土地岭封育区</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第十四标段：涧水沟阎家沟封育区</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c>
          <w:tcPr>
            <w:tcW w:w="4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第十五标段：涧水沟东西湾封育区</w:t>
            </w:r>
          </w:p>
        </w:tc>
        <w:tc>
          <w:tcPr>
            <w:tcW w:w="23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440.7</w:t>
            </w:r>
          </w:p>
        </w:tc>
      </w:tr>
    </w:tbl>
    <w:p>
      <w:pPr>
        <w:rPr>
          <w:rFonts w:hint="eastAsia" w:asciiTheme="minorEastAsia" w:hAnsiTheme="minorEastAsia" w:eastAsiaTheme="minorEastAsia" w:cstheme="minorEastAsia"/>
          <w:bCs/>
          <w:color w:val="auto"/>
          <w:sz w:val="36"/>
          <w:szCs w:val="36"/>
        </w:rPr>
      </w:pPr>
      <w:bookmarkStart w:id="104" w:name="_Toc10341"/>
      <w:r>
        <w:rPr>
          <w:rFonts w:hint="eastAsia" w:asciiTheme="minorEastAsia" w:hAnsiTheme="minorEastAsia" w:eastAsiaTheme="minorEastAsia" w:cstheme="minorEastAsia"/>
          <w:bCs/>
          <w:color w:val="auto"/>
          <w:sz w:val="36"/>
          <w:szCs w:val="36"/>
        </w:rPr>
        <w:br w:type="page"/>
      </w:r>
    </w:p>
    <w:p>
      <w:pPr>
        <w:rPr>
          <w:rFonts w:hint="eastAsia"/>
        </w:rPr>
      </w:pPr>
    </w:p>
    <w:p>
      <w:pPr>
        <w:pStyle w:val="4"/>
        <w:spacing w:line="360" w:lineRule="auto"/>
        <w:jc w:val="center"/>
        <w:rPr>
          <w:rFonts w:asciiTheme="minorEastAsia" w:hAnsiTheme="minorEastAsia" w:eastAsiaTheme="minorEastAsia" w:cstheme="minorEastAsia"/>
          <w:bCs/>
          <w:color w:val="auto"/>
          <w:sz w:val="36"/>
          <w:szCs w:val="36"/>
        </w:rPr>
      </w:pPr>
      <w:r>
        <w:rPr>
          <w:rFonts w:hint="eastAsia" w:asciiTheme="minorEastAsia" w:hAnsiTheme="minorEastAsia" w:eastAsiaTheme="minorEastAsia" w:cstheme="minorEastAsia"/>
          <w:bCs/>
          <w:color w:val="auto"/>
          <w:sz w:val="36"/>
          <w:szCs w:val="36"/>
        </w:rPr>
        <w:t>第六章  投标文件构成及格式</w:t>
      </w:r>
      <w:bookmarkEnd w:id="103"/>
      <w:bookmarkEnd w:id="104"/>
    </w:p>
    <w:p>
      <w:pPr>
        <w:rPr>
          <w:rFonts w:asciiTheme="minorEastAsia" w:hAnsiTheme="minorEastAsia" w:eastAsiaTheme="minorEastAsia" w:cstheme="minorEastAsia"/>
          <w:color w:val="auto"/>
        </w:rPr>
      </w:pPr>
    </w:p>
    <w:p>
      <w:pPr>
        <w:jc w:val="left"/>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 xml:space="preserve">项目编号：ZCSP-商南县-2022-00467 </w:t>
      </w:r>
    </w:p>
    <w:p>
      <w:pPr>
        <w:ind w:firstLine="6746" w:firstLineChars="2100"/>
        <w:jc w:val="left"/>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（正本或副本）</w:t>
      </w:r>
    </w:p>
    <w:p>
      <w:pPr>
        <w:jc w:val="center"/>
        <w:rPr>
          <w:rFonts w:hint="eastAsia" w:ascii="宋体" w:hAnsi="宋体" w:eastAsia="宋体" w:cs="宋体"/>
          <w:b/>
          <w:color w:val="auto"/>
          <w:sz w:val="40"/>
          <w:szCs w:val="40"/>
        </w:rPr>
      </w:pPr>
    </w:p>
    <w:p>
      <w:pPr>
        <w:pStyle w:val="7"/>
        <w:rPr>
          <w:rFonts w:hint="eastAsia" w:ascii="宋体" w:hAnsi="宋体" w:eastAsia="宋体" w:cs="宋体"/>
          <w:b/>
          <w:color w:val="auto"/>
          <w:sz w:val="40"/>
          <w:szCs w:val="40"/>
        </w:rPr>
      </w:pPr>
    </w:p>
    <w:p>
      <w:pPr>
        <w:pStyle w:val="8"/>
        <w:rPr>
          <w:rFonts w:hint="eastAsia"/>
          <w:color w:val="auto"/>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Style w:val="31"/>
          <w:rFonts w:hint="eastAsia" w:ascii="宋体" w:hAnsi="宋体" w:eastAsia="宋体" w:cs="宋体"/>
          <w:b/>
          <w:bCs/>
          <w:i w:val="0"/>
          <w:iCs w:val="0"/>
          <w:caps w:val="0"/>
          <w:color w:val="auto"/>
          <w:spacing w:val="0"/>
          <w:sz w:val="40"/>
          <w:szCs w:val="40"/>
          <w:shd w:val="clear" w:fill="FFFFFF"/>
        </w:rPr>
      </w:pPr>
      <w:r>
        <w:rPr>
          <w:rStyle w:val="31"/>
          <w:rFonts w:hint="eastAsia" w:ascii="宋体" w:hAnsi="宋体" w:eastAsia="宋体" w:cs="宋体"/>
          <w:b/>
          <w:bCs/>
          <w:i w:val="0"/>
          <w:iCs w:val="0"/>
          <w:caps w:val="0"/>
          <w:color w:val="auto"/>
          <w:spacing w:val="0"/>
          <w:sz w:val="40"/>
          <w:szCs w:val="40"/>
          <w:shd w:val="clear" w:fill="FFFFFF"/>
        </w:rPr>
        <w:t>2022年封山育林项目建设采购</w:t>
      </w:r>
    </w:p>
    <w:p>
      <w:pPr>
        <w:rPr>
          <w:rFonts w:hint="eastAsia"/>
          <w:color w:val="auto"/>
        </w:rPr>
      </w:pPr>
    </w:p>
    <w:p>
      <w:pPr>
        <w:jc w:val="center"/>
        <w:rPr>
          <w:rFonts w:hint="default" w:asciiTheme="minorEastAsia" w:hAnsiTheme="minorEastAsia" w:eastAsiaTheme="minorEastAsia" w:cstheme="minorEastAsia"/>
          <w:b/>
          <w:color w:val="auto"/>
          <w:sz w:val="40"/>
          <w:szCs w:val="40"/>
          <w:u w:val="none"/>
          <w:lang w:val="en-US" w:eastAsia="zh-CN"/>
        </w:rPr>
      </w:pPr>
      <w:r>
        <w:rPr>
          <w:rFonts w:hint="eastAsia" w:asciiTheme="minorEastAsia" w:hAnsiTheme="minorEastAsia" w:eastAsiaTheme="minorEastAsia" w:cstheme="minorEastAsia"/>
          <w:b/>
          <w:color w:val="auto"/>
          <w:sz w:val="40"/>
          <w:szCs w:val="40"/>
          <w:u w:val="single"/>
          <w:lang w:val="en-US" w:eastAsia="zh-CN"/>
        </w:rPr>
        <w:t xml:space="preserve">     </w:t>
      </w:r>
      <w:r>
        <w:rPr>
          <w:rFonts w:hint="eastAsia" w:asciiTheme="minorEastAsia" w:hAnsiTheme="minorEastAsia" w:eastAsiaTheme="minorEastAsia" w:cstheme="minorEastAsia"/>
          <w:b/>
          <w:color w:val="auto"/>
          <w:sz w:val="40"/>
          <w:szCs w:val="40"/>
          <w:u w:val="none"/>
          <w:lang w:val="en-US" w:eastAsia="zh-CN"/>
        </w:rPr>
        <w:t>标段</w:t>
      </w:r>
    </w:p>
    <w:p>
      <w:pPr>
        <w:pStyle w:val="13"/>
        <w:rPr>
          <w:color w:val="auto"/>
        </w:rPr>
      </w:pPr>
    </w:p>
    <w:p>
      <w:pPr>
        <w:rPr>
          <w:rFonts w:asciiTheme="minorEastAsia" w:hAnsiTheme="minorEastAsia" w:eastAsiaTheme="minorEastAsia" w:cstheme="minorEastAsia"/>
          <w:b/>
          <w:color w:val="auto"/>
          <w:sz w:val="48"/>
          <w:szCs w:val="48"/>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jc w:val="center"/>
        <w:rPr>
          <w:rFonts w:asciiTheme="minorEastAsia" w:hAnsiTheme="minorEastAsia" w:eastAsiaTheme="minorEastAsia" w:cstheme="minorEastAsia"/>
          <w:b/>
          <w:color w:val="auto"/>
          <w:sz w:val="72"/>
          <w:szCs w:val="72"/>
        </w:rPr>
      </w:pPr>
      <w:r>
        <w:rPr>
          <w:rFonts w:hint="eastAsia" w:asciiTheme="minorEastAsia" w:hAnsiTheme="minorEastAsia" w:eastAsiaTheme="minorEastAsia" w:cstheme="minorEastAsia"/>
          <w:b/>
          <w:color w:val="auto"/>
          <w:sz w:val="72"/>
          <w:szCs w:val="72"/>
        </w:rPr>
        <w:t>投标文件</w:t>
      </w:r>
    </w:p>
    <w:p>
      <w:pPr>
        <w:jc w:val="center"/>
        <w:rPr>
          <w:rFonts w:asciiTheme="minorEastAsia" w:hAnsiTheme="minorEastAsia" w:eastAsiaTheme="minorEastAsia" w:cstheme="minorEastAsia"/>
          <w:b/>
          <w:color w:val="auto"/>
          <w:sz w:val="72"/>
          <w:szCs w:val="72"/>
        </w:rPr>
      </w:pPr>
    </w:p>
    <w:p>
      <w:pPr>
        <w:rPr>
          <w:rFonts w:asciiTheme="minorEastAsia" w:hAnsiTheme="minorEastAsia" w:eastAsiaTheme="minorEastAsia" w:cstheme="minorEastAsia"/>
          <w:b/>
          <w:color w:val="auto"/>
          <w:sz w:val="36"/>
          <w:szCs w:val="36"/>
        </w:rPr>
      </w:pPr>
    </w:p>
    <w:p>
      <w:pPr>
        <w:spacing w:line="360" w:lineRule="auto"/>
        <w:rPr>
          <w:rFonts w:asciiTheme="minorEastAsia" w:hAnsiTheme="minorEastAsia" w:eastAsiaTheme="minorEastAsia" w:cstheme="minorEastAsia"/>
          <w:b/>
          <w:bCs/>
          <w:color w:val="auto"/>
          <w:sz w:val="28"/>
          <w:szCs w:val="28"/>
        </w:rPr>
      </w:pPr>
    </w:p>
    <w:p>
      <w:pPr>
        <w:spacing w:line="360" w:lineRule="auto"/>
        <w:rPr>
          <w:rFonts w:asciiTheme="minorEastAsia" w:hAnsiTheme="minorEastAsia" w:eastAsiaTheme="minorEastAsia" w:cstheme="minorEastAsia"/>
          <w:b/>
          <w:bCs/>
          <w:color w:val="auto"/>
          <w:sz w:val="28"/>
          <w:szCs w:val="28"/>
          <w:u w:val="single"/>
        </w:rPr>
      </w:pPr>
      <w:r>
        <w:rPr>
          <w:rFonts w:hint="eastAsia" w:asciiTheme="minorEastAsia" w:hAnsiTheme="minorEastAsia" w:eastAsiaTheme="minorEastAsia" w:cstheme="minorEastAsia"/>
          <w:b/>
          <w:bCs/>
          <w:color w:val="auto"/>
          <w:sz w:val="28"/>
          <w:szCs w:val="28"/>
        </w:rPr>
        <w:t>投标人名称：</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b/>
          <w:bCs/>
          <w:color w:val="auto"/>
          <w:sz w:val="28"/>
          <w:szCs w:val="28"/>
        </w:rPr>
        <w:t>（盖章）</w:t>
      </w:r>
    </w:p>
    <w:p>
      <w:pPr>
        <w:spacing w:line="360" w:lineRule="auto"/>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法定代表人或其委托代理人：</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b/>
          <w:bCs/>
          <w:color w:val="auto"/>
          <w:sz w:val="28"/>
          <w:szCs w:val="28"/>
        </w:rPr>
        <w:t>（签字或盖章）</w:t>
      </w:r>
    </w:p>
    <w:p>
      <w:pPr>
        <w:spacing w:line="360" w:lineRule="auto"/>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日      期：</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b/>
          <w:bCs/>
          <w:color w:val="auto"/>
          <w:sz w:val="28"/>
          <w:szCs w:val="28"/>
        </w:rPr>
        <w:t>年</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b/>
          <w:bCs/>
          <w:color w:val="auto"/>
          <w:sz w:val="28"/>
          <w:szCs w:val="28"/>
        </w:rPr>
        <w:t>月</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b/>
          <w:bCs/>
          <w:color w:val="auto"/>
          <w:sz w:val="28"/>
          <w:szCs w:val="28"/>
        </w:rPr>
        <w:t>日</w:t>
      </w:r>
    </w:p>
    <w:p>
      <w:pPr>
        <w:spacing w:line="360" w:lineRule="auto"/>
        <w:jc w:val="left"/>
        <w:rPr>
          <w:rFonts w:asciiTheme="minorEastAsia" w:hAnsiTheme="minorEastAsia" w:eastAsiaTheme="minorEastAsia" w:cstheme="minorEastAsia"/>
          <w:color w:val="auto"/>
        </w:rPr>
        <w:sectPr>
          <w:footerReference r:id="rId9" w:type="default"/>
          <w:pgSz w:w="11906" w:h="16838"/>
          <w:pgMar w:top="1417" w:right="1417" w:bottom="1417" w:left="1701" w:header="851" w:footer="992" w:gutter="0"/>
          <w:cols w:space="0" w:num="1"/>
          <w:docGrid w:type="lines" w:linePitch="312" w:charSpace="0"/>
        </w:sectPr>
      </w:pPr>
    </w:p>
    <w:bookmarkEnd w:id="100"/>
    <w:p>
      <w:pPr>
        <w:spacing w:before="156" w:beforeLines="50" w:after="156" w:afterLines="50" w:line="360" w:lineRule="auto"/>
        <w:jc w:val="center"/>
        <w:rPr>
          <w:rFonts w:asciiTheme="minorEastAsia" w:hAnsiTheme="minorEastAsia" w:eastAsiaTheme="minorEastAsia" w:cstheme="minorEastAsia"/>
          <w:b/>
          <w:bCs/>
          <w:color w:val="auto"/>
          <w:spacing w:val="4"/>
          <w:sz w:val="32"/>
          <w:szCs w:val="32"/>
        </w:rPr>
      </w:pPr>
      <w:r>
        <w:rPr>
          <w:rFonts w:hint="eastAsia" w:asciiTheme="minorEastAsia" w:hAnsiTheme="minorEastAsia" w:eastAsiaTheme="minorEastAsia" w:cstheme="minorEastAsia"/>
          <w:b/>
          <w:bCs/>
          <w:color w:val="auto"/>
          <w:spacing w:val="4"/>
          <w:sz w:val="32"/>
          <w:szCs w:val="32"/>
        </w:rPr>
        <w:t>目录</w:t>
      </w:r>
    </w:p>
    <w:p>
      <w:pPr>
        <w:spacing w:line="480" w:lineRule="auto"/>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（一）投标函</w:t>
      </w:r>
    </w:p>
    <w:p>
      <w:pPr>
        <w:spacing w:line="480" w:lineRule="auto"/>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（二）开标一览表</w:t>
      </w:r>
    </w:p>
    <w:p>
      <w:pPr>
        <w:spacing w:line="480" w:lineRule="auto"/>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（三）商务响应偏离表</w:t>
      </w:r>
    </w:p>
    <w:p>
      <w:pPr>
        <w:spacing w:line="480" w:lineRule="auto"/>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（四）投标方案说明书</w:t>
      </w:r>
    </w:p>
    <w:p>
      <w:pPr>
        <w:spacing w:line="480" w:lineRule="auto"/>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（五）企业类似业绩</w:t>
      </w:r>
    </w:p>
    <w:p>
      <w:pPr>
        <w:spacing w:line="480" w:lineRule="auto"/>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（六）陕西省政府采购投标人拒绝政府采购领域商业贿赂承诺书</w:t>
      </w:r>
    </w:p>
    <w:p>
      <w:pPr>
        <w:spacing w:line="480" w:lineRule="auto"/>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（七）资格证明文件</w:t>
      </w:r>
    </w:p>
    <w:p>
      <w:pPr>
        <w:spacing w:line="480" w:lineRule="auto"/>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（八）其他证明投标人履约能力的证明资料</w:t>
      </w:r>
    </w:p>
    <w:p>
      <w:pPr>
        <w:spacing w:line="480" w:lineRule="auto"/>
        <w:ind w:firstLine="496" w:firstLineChars="200"/>
        <w:rPr>
          <w:rFonts w:asciiTheme="minorEastAsia" w:hAnsiTheme="minorEastAsia" w:eastAsiaTheme="minorEastAsia" w:cstheme="minorEastAsia"/>
          <w:color w:val="auto"/>
          <w:spacing w:val="4"/>
          <w:sz w:val="24"/>
          <w:szCs w:val="24"/>
        </w:rPr>
      </w:pPr>
    </w:p>
    <w:p>
      <w:pPr>
        <w:rPr>
          <w:rFonts w:asciiTheme="minorEastAsia" w:hAnsiTheme="minorEastAsia" w:eastAsiaTheme="minorEastAsia" w:cstheme="minorEastAsia"/>
          <w:color w:val="auto"/>
          <w:sz w:val="28"/>
        </w:rPr>
      </w:pPr>
      <w:bookmarkStart w:id="105" w:name="_Toc22992"/>
      <w:r>
        <w:rPr>
          <w:rFonts w:hint="eastAsia" w:asciiTheme="minorEastAsia" w:hAnsiTheme="minorEastAsia" w:eastAsiaTheme="minorEastAsia" w:cstheme="minorEastAsia"/>
          <w:color w:val="auto"/>
          <w:sz w:val="28"/>
        </w:rPr>
        <w:br w:type="page"/>
      </w:r>
    </w:p>
    <w:bookmarkEnd w:id="105"/>
    <w:p>
      <w:pPr>
        <w:pStyle w:val="6"/>
        <w:spacing w:before="312" w:beforeLines="100" w:line="360" w:lineRule="auto"/>
        <w:rPr>
          <w:rFonts w:asciiTheme="minorEastAsia" w:hAnsiTheme="minorEastAsia" w:eastAsiaTheme="minorEastAsia" w:cstheme="minorEastAsia"/>
          <w:color w:val="auto"/>
          <w:sz w:val="32"/>
          <w:szCs w:val="32"/>
        </w:rPr>
      </w:pPr>
      <w:bookmarkStart w:id="106" w:name="_Toc29539"/>
      <w:bookmarkStart w:id="107" w:name="_Toc30488"/>
      <w:r>
        <w:rPr>
          <w:rFonts w:hint="eastAsia" w:asciiTheme="minorEastAsia" w:hAnsiTheme="minorEastAsia" w:eastAsiaTheme="minorEastAsia" w:cstheme="minorEastAsia"/>
          <w:color w:val="auto"/>
          <w:sz w:val="32"/>
          <w:szCs w:val="32"/>
        </w:rPr>
        <w:t>一、投标函</w:t>
      </w:r>
      <w:bookmarkEnd w:id="106"/>
      <w:bookmarkEnd w:id="107"/>
    </w:p>
    <w:p>
      <w:pPr>
        <w:spacing w:line="360" w:lineRule="auto"/>
        <w:jc w:val="left"/>
        <w:rPr>
          <w:rFonts w:asciiTheme="minorEastAsia" w:hAnsiTheme="minorEastAsia" w:eastAsiaTheme="minorEastAsia" w:cstheme="minorEastAsia"/>
          <w:color w:val="auto"/>
          <w:spacing w:val="4"/>
          <w:sz w:val="24"/>
          <w:szCs w:val="24"/>
          <w:u w:val="single"/>
        </w:rPr>
      </w:pPr>
      <w:r>
        <w:rPr>
          <w:rFonts w:hint="eastAsia" w:asciiTheme="minorEastAsia" w:hAnsiTheme="minorEastAsia" w:eastAsiaTheme="minorEastAsia" w:cstheme="minorEastAsia"/>
          <w:color w:val="auto"/>
          <w:spacing w:val="4"/>
          <w:sz w:val="24"/>
          <w:szCs w:val="24"/>
        </w:rPr>
        <w:t>致：</w:t>
      </w:r>
      <w:r>
        <w:rPr>
          <w:rFonts w:hint="eastAsia" w:asciiTheme="minorEastAsia" w:hAnsiTheme="minorEastAsia" w:eastAsiaTheme="minorEastAsia" w:cstheme="minorEastAsia"/>
          <w:color w:val="auto"/>
          <w:spacing w:val="4"/>
          <w:sz w:val="24"/>
          <w:szCs w:val="24"/>
          <w:lang w:eastAsia="zh-CN"/>
        </w:rPr>
        <w:t>中拓达建项目管理有限公司</w:t>
      </w:r>
    </w:p>
    <w:p>
      <w:pPr>
        <w:spacing w:line="360" w:lineRule="auto"/>
        <w:ind w:firstLine="496" w:firstLineChars="200"/>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根据贵方“</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pacing w:val="4"/>
          <w:sz w:val="24"/>
          <w:szCs w:val="24"/>
        </w:rPr>
        <w:t>”项目</w:t>
      </w:r>
      <w:r>
        <w:rPr>
          <w:rFonts w:hint="eastAsia" w:asciiTheme="minorEastAsia" w:hAnsiTheme="minorEastAsia" w:eastAsiaTheme="minorEastAsia" w:cstheme="minorEastAsia"/>
          <w:color w:val="auto"/>
          <w:spacing w:val="4"/>
          <w:sz w:val="24"/>
          <w:szCs w:val="24"/>
          <w:u w:val="single"/>
          <w:lang w:val="en-US" w:eastAsia="zh-CN"/>
        </w:rPr>
        <w:t xml:space="preserve">   </w:t>
      </w:r>
      <w:r>
        <w:rPr>
          <w:rFonts w:hint="eastAsia" w:asciiTheme="minorEastAsia" w:hAnsiTheme="minorEastAsia" w:eastAsiaTheme="minorEastAsia" w:cstheme="minorEastAsia"/>
          <w:color w:val="auto"/>
          <w:spacing w:val="4"/>
          <w:sz w:val="24"/>
          <w:szCs w:val="24"/>
          <w:u w:val="none"/>
          <w:lang w:val="en-US" w:eastAsia="zh-CN"/>
        </w:rPr>
        <w:t>标段</w:t>
      </w:r>
      <w:r>
        <w:rPr>
          <w:rFonts w:hint="eastAsia" w:asciiTheme="minorEastAsia" w:hAnsiTheme="minorEastAsia" w:eastAsiaTheme="minorEastAsia" w:cstheme="minorEastAsia"/>
          <w:color w:val="auto"/>
          <w:spacing w:val="4"/>
          <w:sz w:val="24"/>
          <w:szCs w:val="24"/>
        </w:rPr>
        <w:t>的投标邀请</w:t>
      </w:r>
      <w:r>
        <w:rPr>
          <w:rFonts w:hint="eastAsia" w:asciiTheme="minorEastAsia" w:hAnsiTheme="minorEastAsia" w:eastAsiaTheme="minorEastAsia" w:cstheme="minorEastAsia"/>
          <w:color w:val="auto"/>
          <w:spacing w:val="4"/>
          <w:sz w:val="24"/>
          <w:szCs w:val="24"/>
          <w:u w:val="single"/>
        </w:rPr>
        <w:t>(</w:t>
      </w:r>
      <w:r>
        <w:rPr>
          <w:rFonts w:hint="eastAsia" w:asciiTheme="minorEastAsia" w:hAnsiTheme="minorEastAsia" w:eastAsiaTheme="minorEastAsia" w:cstheme="minorEastAsia"/>
          <w:color w:val="auto"/>
          <w:spacing w:val="4"/>
          <w:sz w:val="24"/>
          <w:szCs w:val="24"/>
          <w:u w:val="single"/>
          <w:lang w:eastAsia="zh-CN"/>
        </w:rPr>
        <w:t>项目</w:t>
      </w:r>
      <w:r>
        <w:rPr>
          <w:rFonts w:hint="eastAsia" w:asciiTheme="minorEastAsia" w:hAnsiTheme="minorEastAsia" w:eastAsiaTheme="minorEastAsia" w:cstheme="minorEastAsia"/>
          <w:color w:val="auto"/>
          <w:spacing w:val="4"/>
          <w:sz w:val="24"/>
          <w:szCs w:val="24"/>
          <w:u w:val="single"/>
        </w:rPr>
        <w:t>编号</w:t>
      </w:r>
      <w:r>
        <w:rPr>
          <w:rFonts w:hint="eastAsia" w:asciiTheme="minorEastAsia" w:hAnsiTheme="minorEastAsia" w:eastAsiaTheme="minorEastAsia" w:cstheme="minorEastAsia"/>
          <w:color w:val="auto"/>
          <w:spacing w:val="4"/>
          <w:sz w:val="24"/>
          <w:szCs w:val="24"/>
          <w:u w:val="single"/>
          <w:lang w:eastAsia="zh-CN"/>
        </w:rPr>
        <w:t>：</w:t>
      </w:r>
      <w:r>
        <w:rPr>
          <w:rFonts w:hint="eastAsia" w:asciiTheme="minorEastAsia" w:hAnsiTheme="minorEastAsia" w:eastAsiaTheme="minorEastAsia" w:cstheme="minorEastAsia"/>
          <w:color w:val="auto"/>
          <w:spacing w:val="4"/>
          <w:sz w:val="24"/>
          <w:szCs w:val="24"/>
          <w:u w:val="single"/>
        </w:rPr>
        <w:t xml:space="preserve">               )</w:t>
      </w:r>
      <w:r>
        <w:rPr>
          <w:rFonts w:hint="eastAsia" w:asciiTheme="minorEastAsia" w:hAnsiTheme="minorEastAsia" w:eastAsiaTheme="minorEastAsia" w:cstheme="minorEastAsia"/>
          <w:color w:val="auto"/>
          <w:spacing w:val="4"/>
          <w:sz w:val="24"/>
          <w:szCs w:val="24"/>
        </w:rPr>
        <w:t>，签字代表</w:t>
      </w:r>
      <w:r>
        <w:rPr>
          <w:rFonts w:hint="eastAsia" w:asciiTheme="minorEastAsia" w:hAnsiTheme="minorEastAsia" w:eastAsiaTheme="minorEastAsia" w:cstheme="minorEastAsia"/>
          <w:color w:val="auto"/>
          <w:spacing w:val="4"/>
          <w:sz w:val="24"/>
          <w:szCs w:val="24"/>
          <w:u w:val="single"/>
        </w:rPr>
        <w:t>（全名、职务）</w:t>
      </w:r>
      <w:r>
        <w:rPr>
          <w:rFonts w:hint="eastAsia" w:asciiTheme="minorEastAsia" w:hAnsiTheme="minorEastAsia" w:eastAsiaTheme="minorEastAsia" w:cstheme="minorEastAsia"/>
          <w:color w:val="auto"/>
          <w:spacing w:val="4"/>
          <w:sz w:val="24"/>
          <w:szCs w:val="24"/>
        </w:rPr>
        <w:t>经正式授权并代表投标人</w:t>
      </w:r>
      <w:r>
        <w:rPr>
          <w:rFonts w:hint="eastAsia" w:asciiTheme="minorEastAsia" w:hAnsiTheme="minorEastAsia" w:eastAsiaTheme="minorEastAsia" w:cstheme="minorEastAsia"/>
          <w:color w:val="auto"/>
          <w:spacing w:val="4"/>
          <w:sz w:val="24"/>
          <w:szCs w:val="24"/>
          <w:u w:val="single"/>
        </w:rPr>
        <w:t>(投标人名称、地址)</w:t>
      </w:r>
      <w:r>
        <w:rPr>
          <w:rFonts w:hint="eastAsia" w:asciiTheme="minorEastAsia" w:hAnsiTheme="minorEastAsia" w:eastAsiaTheme="minorEastAsia" w:cstheme="minorEastAsia"/>
          <w:color w:val="auto"/>
          <w:spacing w:val="4"/>
          <w:sz w:val="24"/>
          <w:szCs w:val="24"/>
        </w:rPr>
        <w:t>提交公开招标响应文件正本</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pacing w:val="4"/>
          <w:sz w:val="24"/>
          <w:szCs w:val="24"/>
        </w:rPr>
        <w:t>份、副本一式</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pacing w:val="4"/>
          <w:sz w:val="24"/>
          <w:szCs w:val="24"/>
        </w:rPr>
        <w:t>份。并提交投标保证金，金额为</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pacing w:val="4"/>
          <w:sz w:val="24"/>
          <w:szCs w:val="24"/>
        </w:rPr>
        <w:t>。</w:t>
      </w:r>
    </w:p>
    <w:p>
      <w:pPr>
        <w:spacing w:line="360" w:lineRule="auto"/>
        <w:ind w:left="549" w:leftChars="251" w:hanging="22" w:hangingChars="9"/>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我方承诺如下：</w:t>
      </w:r>
    </w:p>
    <w:p>
      <w:pPr>
        <w:tabs>
          <w:tab w:val="left" w:pos="2160"/>
        </w:tabs>
        <w:spacing w:line="360" w:lineRule="auto"/>
        <w:ind w:firstLine="496" w:firstLineChars="2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1）投标总价为</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pacing w:val="4"/>
          <w:sz w:val="24"/>
          <w:szCs w:val="24"/>
        </w:rPr>
        <w:t>（人民币）（</w:t>
      </w:r>
      <w:r>
        <w:rPr>
          <w:rFonts w:hint="eastAsia" w:asciiTheme="minorEastAsia" w:hAnsiTheme="minorEastAsia" w:eastAsiaTheme="minorEastAsia" w:cstheme="minorEastAsia"/>
          <w:b/>
          <w:color w:val="auto"/>
          <w:spacing w:val="4"/>
          <w:sz w:val="24"/>
          <w:szCs w:val="24"/>
        </w:rPr>
        <w:t>用文字和数字表示的投标总价</w:t>
      </w:r>
      <w:r>
        <w:rPr>
          <w:rFonts w:hint="eastAsia" w:asciiTheme="minorEastAsia" w:hAnsiTheme="minorEastAsia" w:eastAsiaTheme="minorEastAsia" w:cstheme="minorEastAsia"/>
          <w:color w:val="auto"/>
          <w:spacing w:val="4"/>
          <w:sz w:val="24"/>
          <w:szCs w:val="24"/>
        </w:rPr>
        <w:t>）。</w:t>
      </w:r>
    </w:p>
    <w:p>
      <w:pPr>
        <w:tabs>
          <w:tab w:val="left" w:pos="2160"/>
        </w:tabs>
        <w:spacing w:line="360" w:lineRule="auto"/>
        <w:ind w:firstLine="496" w:firstLineChars="2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2）如果成交，我们根据公开招标文件的规定，履行合同的责任和义务。</w:t>
      </w:r>
    </w:p>
    <w:p>
      <w:pPr>
        <w:tabs>
          <w:tab w:val="left" w:pos="2160"/>
        </w:tabs>
        <w:spacing w:line="360" w:lineRule="auto"/>
        <w:ind w:firstLine="496" w:firstLineChars="2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3）我们已详细阅读和审核全部公开招标文件（含修改部分，如有的话），及有关附件，我们知道必须放弃提出含糊不清或误解的问题的权利。</w:t>
      </w:r>
    </w:p>
    <w:p>
      <w:pPr>
        <w:tabs>
          <w:tab w:val="left" w:pos="2160"/>
        </w:tabs>
        <w:spacing w:line="360" w:lineRule="auto"/>
        <w:ind w:firstLine="496" w:firstLineChars="2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4）我们同意在投标有效期内（</w:t>
      </w:r>
      <w:r>
        <w:rPr>
          <w:rFonts w:hint="eastAsia" w:asciiTheme="minorEastAsia" w:hAnsiTheme="minorEastAsia" w:eastAsiaTheme="minorEastAsia" w:cstheme="minorEastAsia"/>
          <w:color w:val="auto"/>
          <w:spacing w:val="4"/>
          <w:sz w:val="24"/>
          <w:szCs w:val="24"/>
          <w:u w:val="single"/>
        </w:rPr>
        <w:t>自投标截止之日起      天内</w:t>
      </w:r>
      <w:r>
        <w:rPr>
          <w:rFonts w:hint="eastAsia" w:asciiTheme="minorEastAsia" w:hAnsiTheme="minorEastAsia" w:eastAsiaTheme="minorEastAsia" w:cstheme="minorEastAsia"/>
          <w:color w:val="auto"/>
          <w:spacing w:val="4"/>
          <w:sz w:val="24"/>
          <w:szCs w:val="24"/>
        </w:rPr>
        <w:t>），本投标函对我方具有约束力。</w:t>
      </w:r>
    </w:p>
    <w:p>
      <w:pPr>
        <w:tabs>
          <w:tab w:val="left" w:pos="2160"/>
        </w:tabs>
        <w:spacing w:line="360" w:lineRule="auto"/>
        <w:ind w:firstLine="496" w:firstLineChars="2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5）如果在投标后规定的投标有效期内撤回投标，我们的投标保证金可被贵方没收。</w:t>
      </w:r>
    </w:p>
    <w:p>
      <w:pPr>
        <w:tabs>
          <w:tab w:val="left" w:pos="2160"/>
        </w:tabs>
        <w:spacing w:line="360" w:lineRule="auto"/>
        <w:ind w:firstLine="496" w:firstLineChars="2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6）同意提供贵方可能另外要求的与本投标有关的任何证据和资料。</w:t>
      </w:r>
    </w:p>
    <w:p>
      <w:pPr>
        <w:tabs>
          <w:tab w:val="left" w:pos="2160"/>
        </w:tabs>
        <w:spacing w:line="360" w:lineRule="auto"/>
        <w:ind w:firstLine="496" w:firstLineChars="2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7）与本投标有关的一切正式往来通讯为：</w:t>
      </w:r>
    </w:p>
    <w:p>
      <w:pPr>
        <w:spacing w:line="360" w:lineRule="auto"/>
        <w:ind w:firstLine="1240" w:firstLineChars="5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联系地址：</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line="360" w:lineRule="auto"/>
        <w:ind w:firstLine="1240" w:firstLineChars="5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邮政编码：</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line="360" w:lineRule="auto"/>
        <w:ind w:firstLine="1240" w:firstLineChars="5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电   话：</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line="360" w:lineRule="auto"/>
        <w:ind w:firstLine="1240" w:firstLineChars="5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传   真：</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line="360" w:lineRule="auto"/>
        <w:ind w:firstLine="1240" w:firstLineChars="5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投标人名称（盖章）：</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line="360" w:lineRule="auto"/>
        <w:ind w:firstLine="1240" w:firstLineChars="5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投标人法定代表人签字或盖章：</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line="360" w:lineRule="auto"/>
        <w:ind w:firstLine="1240" w:firstLineChars="5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日   期：</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pStyle w:val="6"/>
        <w:spacing w:before="312" w:beforeLines="100"/>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rPr>
        <w:br w:type="page"/>
      </w:r>
      <w:bookmarkStart w:id="108" w:name="_Toc13504"/>
      <w:bookmarkStart w:id="109" w:name="_Toc3285"/>
      <w:r>
        <w:rPr>
          <w:rFonts w:hint="eastAsia" w:asciiTheme="minorEastAsia" w:hAnsiTheme="minorEastAsia" w:eastAsiaTheme="minorEastAsia" w:cstheme="minorEastAsia"/>
          <w:color w:val="auto"/>
          <w:sz w:val="32"/>
          <w:szCs w:val="32"/>
        </w:rPr>
        <w:t>二、开标一览表</w:t>
      </w:r>
      <w:bookmarkEnd w:id="108"/>
      <w:bookmarkEnd w:id="109"/>
    </w:p>
    <w:p>
      <w:pPr>
        <w:jc w:val="center"/>
        <w:rPr>
          <w:rFonts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2.1报价一览表</w:t>
      </w:r>
    </w:p>
    <w:p>
      <w:pPr>
        <w:pStyle w:val="12"/>
        <w:rPr>
          <w:color w:val="auto"/>
        </w:rPr>
      </w:pPr>
    </w:p>
    <w:p>
      <w:pPr>
        <w:tabs>
          <w:tab w:val="left" w:pos="7080"/>
          <w:tab w:val="left" w:pos="8504"/>
        </w:tabs>
        <w:spacing w:line="360" w:lineRule="auto"/>
        <w:ind w:right="-1"/>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lang w:eastAsia="zh-CN"/>
        </w:rPr>
        <w:t>及标段</w:t>
      </w:r>
      <w:r>
        <w:rPr>
          <w:rFonts w:hint="eastAsia" w:asciiTheme="minorEastAsia" w:hAnsiTheme="minorEastAsia" w:eastAsiaTheme="minorEastAsia" w:cstheme="minorEastAsia"/>
          <w:color w:val="auto"/>
          <w:sz w:val="24"/>
          <w:szCs w:val="24"/>
        </w:rPr>
        <w:t>：</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tabs>
          <w:tab w:val="left" w:pos="7080"/>
          <w:tab w:val="left" w:pos="8504"/>
        </w:tabs>
        <w:spacing w:line="360" w:lineRule="auto"/>
        <w:ind w:right="-1"/>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z w:val="24"/>
          <w:szCs w:val="24"/>
        </w:rPr>
        <w:tab/>
      </w:r>
    </w:p>
    <w:tbl>
      <w:tblPr>
        <w:tblStyle w:val="28"/>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restart"/>
            <w:vAlign w:val="center"/>
          </w:tcPr>
          <w:p>
            <w:pPr>
              <w:jc w:val="center"/>
              <w:rPr>
                <w:rFonts w:ascii="宋体"/>
                <w:color w:val="auto"/>
                <w:sz w:val="24"/>
                <w:szCs w:val="24"/>
              </w:rPr>
            </w:pPr>
            <w:r>
              <w:rPr>
                <w:rFonts w:hint="eastAsia" w:ascii="宋体" w:hAnsi="宋体" w:cs="宋体"/>
                <w:color w:val="auto"/>
                <w:sz w:val="24"/>
                <w:szCs w:val="24"/>
              </w:rPr>
              <w:t>投标总报价（元）</w:t>
            </w:r>
          </w:p>
        </w:tc>
        <w:tc>
          <w:tcPr>
            <w:tcW w:w="6593" w:type="dxa"/>
            <w:vAlign w:val="center"/>
          </w:tcPr>
          <w:p>
            <w:pPr>
              <w:rPr>
                <w:rFonts w:ascii="宋体"/>
                <w:color w:val="auto"/>
                <w:sz w:val="24"/>
                <w:szCs w:val="24"/>
              </w:rPr>
            </w:pPr>
            <w:r>
              <w:rPr>
                <w:rFonts w:hint="eastAsia" w:ascii="宋体" w:hAnsi="宋体" w:cs="宋体"/>
                <w:color w:val="auto"/>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continue"/>
            <w:vAlign w:val="center"/>
          </w:tcPr>
          <w:p>
            <w:pPr>
              <w:rPr>
                <w:color w:val="auto"/>
              </w:rPr>
            </w:pPr>
          </w:p>
        </w:tc>
        <w:tc>
          <w:tcPr>
            <w:tcW w:w="6593" w:type="dxa"/>
            <w:vAlign w:val="center"/>
          </w:tcPr>
          <w:p>
            <w:pPr>
              <w:rPr>
                <w:rFonts w:ascii="宋体"/>
                <w:color w:val="auto"/>
                <w:sz w:val="24"/>
                <w:szCs w:val="24"/>
              </w:rPr>
            </w:pPr>
            <w:r>
              <w:rPr>
                <w:rFonts w:hint="eastAsia" w:ascii="宋体" w:hAnsi="宋体" w:cs="宋体"/>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pPr>
              <w:jc w:val="center"/>
              <w:rPr>
                <w:rFonts w:ascii="宋体" w:hAnsi="宋体" w:cs="宋体"/>
                <w:color w:val="auto"/>
                <w:sz w:val="24"/>
                <w:szCs w:val="24"/>
              </w:rPr>
            </w:pPr>
            <w:r>
              <w:rPr>
                <w:rFonts w:hint="eastAsia" w:ascii="宋体" w:hAnsi="宋体" w:cs="宋体"/>
                <w:color w:val="auto"/>
                <w:sz w:val="24"/>
                <w:szCs w:val="24"/>
              </w:rPr>
              <w:t>质量标准</w:t>
            </w:r>
          </w:p>
        </w:tc>
        <w:tc>
          <w:tcPr>
            <w:tcW w:w="6593" w:type="dxa"/>
            <w:vAlign w:val="center"/>
          </w:tcPr>
          <w:p>
            <w:pP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pPr>
              <w:jc w:val="center"/>
              <w:rPr>
                <w:rFonts w:ascii="宋体" w:hAnsi="宋体" w:cs="宋体"/>
                <w:color w:val="auto"/>
                <w:sz w:val="24"/>
                <w:szCs w:val="24"/>
              </w:rPr>
            </w:pPr>
            <w:r>
              <w:rPr>
                <w:rFonts w:hint="eastAsia" w:ascii="宋体" w:hAnsi="宋体" w:cs="宋体"/>
                <w:color w:val="auto"/>
                <w:sz w:val="24"/>
                <w:szCs w:val="24"/>
              </w:rPr>
              <w:t>工期</w:t>
            </w:r>
          </w:p>
        </w:tc>
        <w:tc>
          <w:tcPr>
            <w:tcW w:w="6593" w:type="dxa"/>
            <w:vAlign w:val="center"/>
          </w:tcPr>
          <w:p>
            <w:pP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pPr>
              <w:jc w:val="center"/>
              <w:rPr>
                <w:rFonts w:ascii="宋体"/>
                <w:color w:val="auto"/>
                <w:sz w:val="24"/>
                <w:szCs w:val="24"/>
              </w:rPr>
            </w:pPr>
            <w:r>
              <w:rPr>
                <w:rFonts w:hint="eastAsia" w:ascii="宋体" w:hAnsi="宋体" w:cs="宋体"/>
                <w:color w:val="auto"/>
                <w:sz w:val="24"/>
                <w:szCs w:val="24"/>
              </w:rPr>
              <w:t>备注</w:t>
            </w:r>
          </w:p>
        </w:tc>
        <w:tc>
          <w:tcPr>
            <w:tcW w:w="6593" w:type="dxa"/>
            <w:vAlign w:val="center"/>
          </w:tcPr>
          <w:p>
            <w:pPr>
              <w:rPr>
                <w:rFonts w:ascii="宋体"/>
                <w:color w:val="auto"/>
                <w:sz w:val="24"/>
                <w:szCs w:val="24"/>
              </w:rPr>
            </w:pPr>
          </w:p>
        </w:tc>
      </w:tr>
    </w:tbl>
    <w:p>
      <w:pPr>
        <w:spacing w:line="120" w:lineRule="exact"/>
        <w:rPr>
          <w:rFonts w:asciiTheme="minorEastAsia" w:hAnsiTheme="minorEastAsia" w:eastAsiaTheme="minorEastAsia" w:cstheme="minorEastAsia"/>
          <w:color w:val="auto"/>
          <w:sz w:val="24"/>
          <w:szCs w:val="24"/>
        </w:rPr>
      </w:pPr>
    </w:p>
    <w:p>
      <w:pPr>
        <w:spacing w:line="360" w:lineRule="auto"/>
        <w:rPr>
          <w:rFonts w:asciiTheme="minorEastAsia" w:hAnsiTheme="minorEastAsia" w:eastAsiaTheme="minorEastAsia" w:cstheme="minorEastAsia"/>
          <w:color w:val="auto"/>
          <w:sz w:val="24"/>
          <w:szCs w:val="24"/>
        </w:rPr>
      </w:pPr>
    </w:p>
    <w:p>
      <w:pPr>
        <w:spacing w:line="480" w:lineRule="exact"/>
        <w:ind w:firstLine="480" w:firstLineChars="200"/>
        <w:rPr>
          <w:rFonts w:asciiTheme="minorEastAsia" w:hAnsiTheme="minorEastAsia" w:eastAsiaTheme="minorEastAsia" w:cstheme="minorEastAsia"/>
          <w:b/>
          <w:color w:val="auto"/>
          <w:sz w:val="24"/>
          <w:szCs w:val="24"/>
          <w:u w:val="single"/>
        </w:rPr>
      </w:pPr>
      <w:r>
        <w:rPr>
          <w:rFonts w:hint="eastAsia" w:asciiTheme="minorEastAsia" w:hAnsiTheme="minorEastAsia" w:eastAsiaTheme="minorEastAsia" w:cstheme="minorEastAsia"/>
          <w:color w:val="auto"/>
          <w:sz w:val="24"/>
          <w:szCs w:val="24"/>
        </w:rPr>
        <w:t>投标人：</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z w:val="24"/>
          <w:szCs w:val="24"/>
        </w:rPr>
        <w:t>（单位公章）</w:t>
      </w:r>
    </w:p>
    <w:p>
      <w:pPr>
        <w:spacing w:line="480" w:lineRule="exact"/>
        <w:ind w:firstLine="480" w:firstLineChars="200"/>
        <w:rPr>
          <w:rFonts w:hint="eastAsia" w:asciiTheme="minorEastAsia" w:hAnsiTheme="minorEastAsia" w:eastAsiaTheme="minorEastAsia" w:cstheme="minorEastAsia"/>
          <w:color w:val="auto"/>
          <w:sz w:val="24"/>
          <w:szCs w:val="24"/>
        </w:rPr>
      </w:pPr>
    </w:p>
    <w:p>
      <w:pPr>
        <w:spacing w:line="480" w:lineRule="exact"/>
        <w:ind w:firstLine="480" w:firstLineChars="200"/>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法人代表或委托代理人（签字或盖章）：</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line="600" w:lineRule="exact"/>
        <w:ind w:firstLine="480" w:firstLineChars="200"/>
        <w:rPr>
          <w:rFonts w:hint="eastAsia" w:asciiTheme="minorEastAsia" w:hAnsiTheme="minorEastAsia" w:eastAsiaTheme="minorEastAsia" w:cstheme="minorEastAsia"/>
          <w:color w:val="auto"/>
          <w:sz w:val="24"/>
          <w:szCs w:val="24"/>
        </w:rPr>
      </w:pPr>
    </w:p>
    <w:p>
      <w:pPr>
        <w:spacing w:line="600" w:lineRule="exact"/>
        <w:ind w:firstLine="480"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日期：</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z w:val="24"/>
          <w:szCs w:val="24"/>
        </w:rPr>
        <w:t>日</w:t>
      </w:r>
    </w:p>
    <w:p>
      <w:pPr>
        <w:spacing w:before="156" w:beforeLines="50" w:after="156" w:afterLines="50" w:line="480" w:lineRule="auto"/>
        <w:ind w:firstLine="480" w:firstLineChars="200"/>
        <w:rPr>
          <w:rFonts w:asciiTheme="minorEastAsia" w:hAnsiTheme="minorEastAsia" w:eastAsiaTheme="minorEastAsia" w:cstheme="minorEastAsia"/>
          <w:color w:val="auto"/>
          <w:sz w:val="24"/>
          <w:szCs w:val="24"/>
        </w:rPr>
      </w:pPr>
    </w:p>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30"/>
          <w:szCs w:val="30"/>
        </w:rPr>
        <w:br w:type="page"/>
      </w:r>
      <w:r>
        <w:rPr>
          <w:rFonts w:hint="eastAsia" w:asciiTheme="minorEastAsia" w:hAnsiTheme="minorEastAsia" w:eastAsiaTheme="minorEastAsia" w:cstheme="minorEastAsia"/>
          <w:b/>
          <w:color w:val="auto"/>
          <w:sz w:val="30"/>
          <w:szCs w:val="30"/>
        </w:rPr>
        <w:t>2.2分项报价（格式自拟）</w:t>
      </w:r>
    </w:p>
    <w:p>
      <w:pPr>
        <w:jc w:val="center"/>
        <w:rPr>
          <w:rFonts w:asciiTheme="minorEastAsia" w:hAnsiTheme="minorEastAsia" w:eastAsiaTheme="minorEastAsia" w:cstheme="minorEastAsia"/>
          <w:color w:val="auto"/>
          <w:sz w:val="24"/>
        </w:rPr>
      </w:pPr>
    </w:p>
    <w:p>
      <w:pPr>
        <w:spacing w:before="156" w:beforeLines="50" w:after="156" w:afterLines="50" w:line="480" w:lineRule="auto"/>
        <w:rPr>
          <w:rFonts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color w:val="auto"/>
        </w:rPr>
        <w:br w:type="page"/>
      </w:r>
    </w:p>
    <w:p>
      <w:pPr>
        <w:pStyle w:val="6"/>
        <w:tabs>
          <w:tab w:val="left" w:pos="4860"/>
        </w:tabs>
        <w:spacing w:beforeLines="0" w:after="156" w:afterLines="50"/>
        <w:rPr>
          <w:rFonts w:asciiTheme="minorEastAsia" w:hAnsiTheme="minorEastAsia" w:eastAsiaTheme="minorEastAsia" w:cstheme="minorEastAsia"/>
          <w:color w:val="auto"/>
          <w:sz w:val="32"/>
          <w:szCs w:val="32"/>
        </w:rPr>
      </w:pPr>
      <w:bookmarkStart w:id="110" w:name="_Toc31089"/>
      <w:bookmarkStart w:id="111" w:name="_Toc344572163"/>
      <w:r>
        <w:rPr>
          <w:rFonts w:hint="eastAsia" w:asciiTheme="minorEastAsia" w:hAnsiTheme="minorEastAsia" w:eastAsiaTheme="minorEastAsia" w:cstheme="minorEastAsia"/>
          <w:color w:val="auto"/>
          <w:sz w:val="30"/>
          <w:szCs w:val="30"/>
        </w:rPr>
        <w:t>三、</w:t>
      </w:r>
      <w:r>
        <w:rPr>
          <w:rFonts w:hint="eastAsia" w:asciiTheme="minorEastAsia" w:hAnsiTheme="minorEastAsia" w:eastAsiaTheme="minorEastAsia" w:cstheme="minorEastAsia"/>
          <w:color w:val="auto"/>
          <w:sz w:val="32"/>
          <w:szCs w:val="32"/>
        </w:rPr>
        <w:t>商务响应偏离表</w:t>
      </w:r>
      <w:bookmarkEnd w:id="110"/>
    </w:p>
    <w:p>
      <w:pPr>
        <w:rPr>
          <w:color w:val="auto"/>
        </w:rPr>
      </w:pPr>
    </w:p>
    <w:p>
      <w:pPr>
        <w:spacing w:after="120" w:line="276" w:lineRule="auto"/>
        <w:rPr>
          <w:rFonts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项目名称</w:t>
      </w:r>
      <w:r>
        <w:rPr>
          <w:rFonts w:hint="eastAsia" w:asciiTheme="minorEastAsia" w:hAnsiTheme="minorEastAsia" w:eastAsiaTheme="minorEastAsia" w:cstheme="minorEastAsia"/>
          <w:color w:val="auto"/>
          <w:sz w:val="24"/>
          <w:szCs w:val="32"/>
          <w:lang w:eastAsia="zh-CN"/>
        </w:rPr>
        <w:t>及标段</w:t>
      </w:r>
      <w:r>
        <w:rPr>
          <w:rFonts w:hint="eastAsia" w:asciiTheme="minorEastAsia" w:hAnsiTheme="minorEastAsia" w:eastAsiaTheme="minorEastAsia" w:cstheme="minorEastAsia"/>
          <w:color w:val="auto"/>
          <w:sz w:val="24"/>
          <w:szCs w:val="32"/>
        </w:rPr>
        <w:t>:</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after="120" w:line="276" w:lineRule="auto"/>
        <w:rPr>
          <w:rFonts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项目编号：</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tbl>
      <w:tblPr>
        <w:tblStyle w:val="28"/>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90"/>
        <w:gridCol w:w="1995"/>
        <w:gridCol w:w="2688"/>
        <w:gridCol w:w="1212"/>
        <w:gridCol w:w="10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890" w:type="dxa"/>
            <w:vAlign w:val="center"/>
          </w:tcPr>
          <w:p>
            <w:pPr>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w:t>
            </w:r>
          </w:p>
        </w:tc>
        <w:tc>
          <w:tcPr>
            <w:tcW w:w="1995" w:type="dxa"/>
            <w:vAlign w:val="center"/>
          </w:tcPr>
          <w:p>
            <w:pPr>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招标文件商务要求</w:t>
            </w:r>
          </w:p>
        </w:tc>
        <w:tc>
          <w:tcPr>
            <w:tcW w:w="2688" w:type="dxa"/>
            <w:vAlign w:val="center"/>
          </w:tcPr>
          <w:p>
            <w:pPr>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投标文件商务响应</w:t>
            </w:r>
          </w:p>
        </w:tc>
        <w:tc>
          <w:tcPr>
            <w:tcW w:w="1212" w:type="dxa"/>
            <w:vAlign w:val="center"/>
          </w:tcPr>
          <w:p>
            <w:pPr>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偏离</w:t>
            </w:r>
          </w:p>
        </w:tc>
        <w:tc>
          <w:tcPr>
            <w:tcW w:w="1007" w:type="dxa"/>
            <w:vAlign w:val="center"/>
          </w:tcPr>
          <w:p>
            <w:pPr>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360" w:lineRule="auto"/>
              <w:jc w:val="center"/>
              <w:rPr>
                <w:rFonts w:asciiTheme="minorEastAsia" w:hAnsiTheme="minorEastAsia" w:eastAsiaTheme="minorEastAsia" w:cstheme="minorEastAsia"/>
                <w:color w:val="auto"/>
                <w:sz w:val="24"/>
                <w:szCs w:val="24"/>
              </w:rPr>
            </w:pPr>
          </w:p>
        </w:tc>
        <w:tc>
          <w:tcPr>
            <w:tcW w:w="1995" w:type="dxa"/>
          </w:tcPr>
          <w:p>
            <w:pPr>
              <w:spacing w:line="360" w:lineRule="auto"/>
              <w:jc w:val="center"/>
              <w:rPr>
                <w:rFonts w:asciiTheme="minorEastAsia" w:hAnsiTheme="minorEastAsia" w:eastAsiaTheme="minorEastAsia" w:cstheme="minorEastAsia"/>
                <w:color w:val="auto"/>
                <w:sz w:val="24"/>
                <w:szCs w:val="24"/>
              </w:rPr>
            </w:pPr>
          </w:p>
        </w:tc>
        <w:tc>
          <w:tcPr>
            <w:tcW w:w="2688" w:type="dxa"/>
          </w:tcPr>
          <w:p>
            <w:pPr>
              <w:spacing w:line="360" w:lineRule="auto"/>
              <w:jc w:val="center"/>
              <w:rPr>
                <w:rFonts w:asciiTheme="minorEastAsia" w:hAnsiTheme="minorEastAsia" w:eastAsiaTheme="minorEastAsia" w:cstheme="minorEastAsia"/>
                <w:color w:val="auto"/>
                <w:sz w:val="24"/>
                <w:szCs w:val="24"/>
              </w:rPr>
            </w:pPr>
          </w:p>
        </w:tc>
        <w:tc>
          <w:tcPr>
            <w:tcW w:w="1212" w:type="dxa"/>
          </w:tcPr>
          <w:p>
            <w:pPr>
              <w:spacing w:line="360" w:lineRule="auto"/>
              <w:jc w:val="center"/>
              <w:rPr>
                <w:rFonts w:asciiTheme="minorEastAsia" w:hAnsiTheme="minorEastAsia" w:eastAsiaTheme="minorEastAsia" w:cstheme="minorEastAsia"/>
                <w:color w:val="auto"/>
                <w:sz w:val="24"/>
                <w:szCs w:val="24"/>
              </w:rPr>
            </w:pPr>
          </w:p>
        </w:tc>
        <w:tc>
          <w:tcPr>
            <w:tcW w:w="1007" w:type="dxa"/>
          </w:tcPr>
          <w:p>
            <w:pPr>
              <w:spacing w:line="360" w:lineRule="auto"/>
              <w:jc w:val="center"/>
              <w:rPr>
                <w:rFonts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360" w:lineRule="auto"/>
              <w:jc w:val="center"/>
              <w:rPr>
                <w:rFonts w:asciiTheme="minorEastAsia" w:hAnsiTheme="minorEastAsia" w:eastAsiaTheme="minorEastAsia" w:cstheme="minorEastAsia"/>
                <w:color w:val="auto"/>
                <w:sz w:val="24"/>
                <w:szCs w:val="24"/>
              </w:rPr>
            </w:pPr>
          </w:p>
        </w:tc>
        <w:tc>
          <w:tcPr>
            <w:tcW w:w="1995" w:type="dxa"/>
          </w:tcPr>
          <w:p>
            <w:pPr>
              <w:spacing w:line="360" w:lineRule="auto"/>
              <w:jc w:val="center"/>
              <w:rPr>
                <w:rFonts w:asciiTheme="minorEastAsia" w:hAnsiTheme="minorEastAsia" w:eastAsiaTheme="minorEastAsia" w:cstheme="minorEastAsia"/>
                <w:color w:val="auto"/>
                <w:sz w:val="24"/>
                <w:szCs w:val="24"/>
              </w:rPr>
            </w:pPr>
          </w:p>
        </w:tc>
        <w:tc>
          <w:tcPr>
            <w:tcW w:w="2688" w:type="dxa"/>
          </w:tcPr>
          <w:p>
            <w:pPr>
              <w:spacing w:line="360" w:lineRule="auto"/>
              <w:jc w:val="center"/>
              <w:rPr>
                <w:rFonts w:asciiTheme="minorEastAsia" w:hAnsiTheme="minorEastAsia" w:eastAsiaTheme="minorEastAsia" w:cstheme="minorEastAsia"/>
                <w:color w:val="auto"/>
                <w:sz w:val="24"/>
                <w:szCs w:val="24"/>
              </w:rPr>
            </w:pPr>
          </w:p>
        </w:tc>
        <w:tc>
          <w:tcPr>
            <w:tcW w:w="1212" w:type="dxa"/>
          </w:tcPr>
          <w:p>
            <w:pPr>
              <w:spacing w:line="360" w:lineRule="auto"/>
              <w:jc w:val="center"/>
              <w:rPr>
                <w:rFonts w:asciiTheme="minorEastAsia" w:hAnsiTheme="minorEastAsia" w:eastAsiaTheme="minorEastAsia" w:cstheme="minorEastAsia"/>
                <w:color w:val="auto"/>
                <w:sz w:val="24"/>
                <w:szCs w:val="24"/>
              </w:rPr>
            </w:pPr>
          </w:p>
        </w:tc>
        <w:tc>
          <w:tcPr>
            <w:tcW w:w="1007" w:type="dxa"/>
          </w:tcPr>
          <w:p>
            <w:pPr>
              <w:spacing w:line="360" w:lineRule="auto"/>
              <w:jc w:val="center"/>
              <w:rPr>
                <w:rFonts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995" w:type="dxa"/>
          </w:tcPr>
          <w:p>
            <w:pPr>
              <w:spacing w:line="360" w:lineRule="auto"/>
              <w:jc w:val="center"/>
              <w:rPr>
                <w:rFonts w:asciiTheme="minorEastAsia" w:hAnsiTheme="minorEastAsia" w:eastAsiaTheme="minorEastAsia" w:cstheme="minorEastAsia"/>
                <w:color w:val="auto"/>
                <w:sz w:val="24"/>
                <w:szCs w:val="24"/>
              </w:rPr>
            </w:pPr>
          </w:p>
        </w:tc>
        <w:tc>
          <w:tcPr>
            <w:tcW w:w="2688" w:type="dxa"/>
          </w:tcPr>
          <w:p>
            <w:pPr>
              <w:spacing w:line="360" w:lineRule="auto"/>
              <w:jc w:val="center"/>
              <w:rPr>
                <w:rFonts w:asciiTheme="minorEastAsia" w:hAnsiTheme="minorEastAsia" w:eastAsiaTheme="minorEastAsia" w:cstheme="minorEastAsia"/>
                <w:color w:val="auto"/>
                <w:sz w:val="24"/>
                <w:szCs w:val="24"/>
              </w:rPr>
            </w:pPr>
          </w:p>
        </w:tc>
        <w:tc>
          <w:tcPr>
            <w:tcW w:w="1212" w:type="dxa"/>
          </w:tcPr>
          <w:p>
            <w:pPr>
              <w:spacing w:line="360" w:lineRule="auto"/>
              <w:jc w:val="center"/>
              <w:rPr>
                <w:rFonts w:asciiTheme="minorEastAsia" w:hAnsiTheme="minorEastAsia" w:eastAsiaTheme="minorEastAsia" w:cstheme="minorEastAsia"/>
                <w:color w:val="auto"/>
                <w:sz w:val="24"/>
                <w:szCs w:val="24"/>
              </w:rPr>
            </w:pPr>
          </w:p>
        </w:tc>
        <w:tc>
          <w:tcPr>
            <w:tcW w:w="1007" w:type="dxa"/>
          </w:tcPr>
          <w:p>
            <w:pPr>
              <w:spacing w:line="360" w:lineRule="auto"/>
              <w:jc w:val="center"/>
              <w:rPr>
                <w:rFonts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360" w:lineRule="auto"/>
              <w:jc w:val="center"/>
              <w:rPr>
                <w:rFonts w:asciiTheme="minorEastAsia" w:hAnsiTheme="minorEastAsia" w:eastAsiaTheme="minorEastAsia" w:cstheme="minorEastAsia"/>
                <w:color w:val="auto"/>
                <w:sz w:val="24"/>
                <w:szCs w:val="24"/>
              </w:rPr>
            </w:pPr>
          </w:p>
        </w:tc>
        <w:tc>
          <w:tcPr>
            <w:tcW w:w="1995" w:type="dxa"/>
          </w:tcPr>
          <w:p>
            <w:pPr>
              <w:spacing w:line="360" w:lineRule="auto"/>
              <w:jc w:val="center"/>
              <w:rPr>
                <w:rFonts w:asciiTheme="minorEastAsia" w:hAnsiTheme="minorEastAsia" w:eastAsiaTheme="minorEastAsia" w:cstheme="minorEastAsia"/>
                <w:color w:val="auto"/>
                <w:sz w:val="24"/>
                <w:szCs w:val="24"/>
              </w:rPr>
            </w:pPr>
          </w:p>
        </w:tc>
        <w:tc>
          <w:tcPr>
            <w:tcW w:w="2688" w:type="dxa"/>
          </w:tcPr>
          <w:p>
            <w:pPr>
              <w:spacing w:line="360" w:lineRule="auto"/>
              <w:jc w:val="center"/>
              <w:rPr>
                <w:rFonts w:asciiTheme="minorEastAsia" w:hAnsiTheme="minorEastAsia" w:eastAsiaTheme="minorEastAsia" w:cstheme="minorEastAsia"/>
                <w:color w:val="auto"/>
                <w:sz w:val="24"/>
                <w:szCs w:val="24"/>
              </w:rPr>
            </w:pPr>
          </w:p>
        </w:tc>
        <w:tc>
          <w:tcPr>
            <w:tcW w:w="1212" w:type="dxa"/>
          </w:tcPr>
          <w:p>
            <w:pPr>
              <w:spacing w:line="360" w:lineRule="auto"/>
              <w:jc w:val="center"/>
              <w:rPr>
                <w:rFonts w:asciiTheme="minorEastAsia" w:hAnsiTheme="minorEastAsia" w:eastAsiaTheme="minorEastAsia" w:cstheme="minorEastAsia"/>
                <w:color w:val="auto"/>
                <w:sz w:val="24"/>
                <w:szCs w:val="24"/>
              </w:rPr>
            </w:pPr>
          </w:p>
        </w:tc>
        <w:tc>
          <w:tcPr>
            <w:tcW w:w="1007" w:type="dxa"/>
          </w:tcPr>
          <w:p>
            <w:pPr>
              <w:spacing w:line="360" w:lineRule="auto"/>
              <w:jc w:val="center"/>
              <w:rPr>
                <w:rFonts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360" w:lineRule="auto"/>
              <w:jc w:val="center"/>
              <w:rPr>
                <w:rFonts w:asciiTheme="minorEastAsia" w:hAnsiTheme="minorEastAsia" w:eastAsiaTheme="minorEastAsia" w:cstheme="minorEastAsia"/>
                <w:color w:val="auto"/>
                <w:sz w:val="24"/>
                <w:szCs w:val="24"/>
              </w:rPr>
            </w:pPr>
          </w:p>
        </w:tc>
        <w:tc>
          <w:tcPr>
            <w:tcW w:w="1995" w:type="dxa"/>
          </w:tcPr>
          <w:p>
            <w:pPr>
              <w:spacing w:line="360" w:lineRule="auto"/>
              <w:jc w:val="center"/>
              <w:rPr>
                <w:rFonts w:asciiTheme="minorEastAsia" w:hAnsiTheme="minorEastAsia" w:eastAsiaTheme="minorEastAsia" w:cstheme="minorEastAsia"/>
                <w:color w:val="auto"/>
                <w:sz w:val="24"/>
                <w:szCs w:val="24"/>
              </w:rPr>
            </w:pPr>
          </w:p>
        </w:tc>
        <w:tc>
          <w:tcPr>
            <w:tcW w:w="2688" w:type="dxa"/>
          </w:tcPr>
          <w:p>
            <w:pPr>
              <w:spacing w:line="360" w:lineRule="auto"/>
              <w:jc w:val="center"/>
              <w:rPr>
                <w:rFonts w:asciiTheme="minorEastAsia" w:hAnsiTheme="minorEastAsia" w:eastAsiaTheme="minorEastAsia" w:cstheme="minorEastAsia"/>
                <w:color w:val="auto"/>
                <w:sz w:val="24"/>
                <w:szCs w:val="24"/>
              </w:rPr>
            </w:pPr>
          </w:p>
        </w:tc>
        <w:tc>
          <w:tcPr>
            <w:tcW w:w="1212" w:type="dxa"/>
          </w:tcPr>
          <w:p>
            <w:pPr>
              <w:spacing w:line="360" w:lineRule="auto"/>
              <w:jc w:val="center"/>
              <w:rPr>
                <w:rFonts w:asciiTheme="minorEastAsia" w:hAnsiTheme="minorEastAsia" w:eastAsiaTheme="minorEastAsia" w:cstheme="minorEastAsia"/>
                <w:color w:val="auto"/>
                <w:sz w:val="24"/>
                <w:szCs w:val="24"/>
              </w:rPr>
            </w:pPr>
          </w:p>
        </w:tc>
        <w:tc>
          <w:tcPr>
            <w:tcW w:w="1007" w:type="dxa"/>
          </w:tcPr>
          <w:p>
            <w:pPr>
              <w:spacing w:line="360" w:lineRule="auto"/>
              <w:jc w:val="center"/>
              <w:rPr>
                <w:rFonts w:asciiTheme="minorEastAsia" w:hAnsiTheme="minorEastAsia" w:eastAsiaTheme="minorEastAsia" w:cstheme="minorEastAsia"/>
                <w:color w:val="auto"/>
                <w:sz w:val="24"/>
                <w:szCs w:val="24"/>
              </w:rPr>
            </w:pPr>
          </w:p>
        </w:tc>
      </w:tr>
    </w:tbl>
    <w:p>
      <w:pPr>
        <w:spacing w:line="360" w:lineRule="auto"/>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声明：除本商务偏离表中所列的偏离项目外，其它所有商务均完全响应“招标文件”中的要求。</w:t>
      </w:r>
    </w:p>
    <w:bookmarkEnd w:id="111"/>
    <w:p>
      <w:pPr>
        <w:spacing w:line="312" w:lineRule="auto"/>
        <w:ind w:right="540" w:rightChars="257"/>
        <w:jc w:val="left"/>
        <w:rPr>
          <w:rFonts w:asciiTheme="minorEastAsia" w:hAnsiTheme="minorEastAsia" w:eastAsiaTheme="minorEastAsia" w:cstheme="minorEastAsia"/>
          <w:color w:val="auto"/>
          <w:sz w:val="24"/>
        </w:rPr>
      </w:pPr>
    </w:p>
    <w:p>
      <w:pPr>
        <w:spacing w:line="480" w:lineRule="exact"/>
        <w:ind w:firstLine="480" w:firstLineChars="200"/>
        <w:rPr>
          <w:rFonts w:asciiTheme="minorEastAsia" w:hAnsiTheme="minorEastAsia" w:eastAsiaTheme="minorEastAsia" w:cstheme="minorEastAsia"/>
          <w:b/>
          <w:color w:val="auto"/>
          <w:sz w:val="24"/>
          <w:szCs w:val="24"/>
          <w:u w:val="single"/>
        </w:rPr>
      </w:pPr>
      <w:r>
        <w:rPr>
          <w:rFonts w:hint="eastAsia" w:asciiTheme="minorEastAsia" w:hAnsiTheme="minorEastAsia" w:eastAsiaTheme="minorEastAsia" w:cstheme="minorEastAsia"/>
          <w:color w:val="auto"/>
          <w:sz w:val="24"/>
          <w:szCs w:val="24"/>
        </w:rPr>
        <w:t>投标人：</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z w:val="24"/>
          <w:szCs w:val="24"/>
        </w:rPr>
        <w:t>（单位公章）</w:t>
      </w:r>
    </w:p>
    <w:p>
      <w:pPr>
        <w:spacing w:line="480" w:lineRule="exact"/>
        <w:ind w:firstLine="480" w:firstLineChars="200"/>
        <w:rPr>
          <w:rFonts w:hint="eastAsia" w:asciiTheme="minorEastAsia" w:hAnsiTheme="minorEastAsia" w:eastAsiaTheme="minorEastAsia" w:cstheme="minorEastAsia"/>
          <w:color w:val="auto"/>
          <w:sz w:val="24"/>
          <w:szCs w:val="24"/>
        </w:rPr>
      </w:pPr>
    </w:p>
    <w:p>
      <w:pPr>
        <w:spacing w:line="480" w:lineRule="exact"/>
        <w:ind w:firstLine="480" w:firstLineChars="200"/>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法人代表或委托代理人（签字或盖章）：</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line="600" w:lineRule="exact"/>
        <w:ind w:firstLine="480" w:firstLineChars="200"/>
        <w:rPr>
          <w:rFonts w:hint="eastAsia" w:asciiTheme="minorEastAsia" w:hAnsiTheme="minorEastAsia" w:eastAsiaTheme="minorEastAsia" w:cstheme="minorEastAsia"/>
          <w:color w:val="auto"/>
          <w:sz w:val="24"/>
          <w:szCs w:val="24"/>
        </w:rPr>
      </w:pPr>
    </w:p>
    <w:p>
      <w:pPr>
        <w:spacing w:line="600" w:lineRule="exact"/>
        <w:ind w:firstLine="480"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日期：</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z w:val="24"/>
          <w:szCs w:val="24"/>
        </w:rPr>
        <w:t>日</w:t>
      </w:r>
    </w:p>
    <w:p>
      <w:pPr>
        <w:spacing w:line="312" w:lineRule="auto"/>
        <w:ind w:right="540" w:rightChars="257"/>
        <w:rPr>
          <w:rFonts w:asciiTheme="minorEastAsia" w:hAnsiTheme="minorEastAsia" w:eastAsiaTheme="minorEastAsia" w:cstheme="minorEastAsia"/>
          <w:color w:val="auto"/>
          <w:sz w:val="24"/>
        </w:rPr>
      </w:pPr>
    </w:p>
    <w:p>
      <w:pPr>
        <w:pStyle w:val="25"/>
        <w:rPr>
          <w:rFonts w:asciiTheme="minorEastAsia" w:hAnsiTheme="minorEastAsia" w:eastAsiaTheme="minorEastAsia" w:cstheme="minorEastAsia"/>
          <w:color w:val="auto"/>
        </w:rPr>
      </w:pPr>
    </w:p>
    <w:p>
      <w:pPr>
        <w:pStyle w:val="25"/>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说明：</w:t>
      </w:r>
    </w:p>
    <w:p>
      <w:pPr>
        <w:pStyle w:val="25"/>
        <w:spacing w:line="360" w:lineRule="auto"/>
        <w:ind w:firstLine="480"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1.本表只填写投标文件中与招标文件有偏离（包括正偏离和负偏离）的内容，投标文件中商务响应与招标文件要求完全一致的，不用在此表中列出，但必须提交空白表。</w:t>
      </w:r>
    </w:p>
    <w:p>
      <w:pPr>
        <w:pStyle w:val="25"/>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2.投标人必须据实填写，不得虚假响应，否则将取消其投标或中标资格，并按有关规定进处罚。</w:t>
      </w:r>
    </w:p>
    <w:p>
      <w:pPr>
        <w:pStyle w:val="25"/>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sz w:val="24"/>
        </w:rPr>
      </w:pPr>
    </w:p>
    <w:p>
      <w:pPr>
        <w:pStyle w:val="6"/>
        <w:spacing w:before="312" w:beforeLines="100"/>
        <w:rPr>
          <w:rFonts w:asciiTheme="minorEastAsia" w:hAnsiTheme="minorEastAsia" w:eastAsiaTheme="minorEastAsia" w:cstheme="minorEastAsia"/>
          <w:b w:val="0"/>
          <w:color w:val="auto"/>
        </w:rPr>
      </w:pPr>
      <w:r>
        <w:rPr>
          <w:rFonts w:hint="eastAsia" w:asciiTheme="minorEastAsia" w:hAnsiTheme="minorEastAsia" w:eastAsiaTheme="minorEastAsia" w:cstheme="minorEastAsia"/>
          <w:color w:val="auto"/>
          <w:sz w:val="32"/>
          <w:szCs w:val="32"/>
        </w:rPr>
        <w:br w:type="page"/>
      </w:r>
      <w:bookmarkStart w:id="112" w:name="_Toc400"/>
      <w:bookmarkStart w:id="113" w:name="_Toc28513"/>
      <w:r>
        <w:rPr>
          <w:rFonts w:hint="eastAsia" w:asciiTheme="minorEastAsia" w:hAnsiTheme="minorEastAsia" w:eastAsiaTheme="minorEastAsia" w:cstheme="minorEastAsia"/>
          <w:color w:val="auto"/>
          <w:sz w:val="32"/>
          <w:szCs w:val="32"/>
        </w:rPr>
        <w:t>四、投标方案说明书</w:t>
      </w:r>
      <w:bookmarkEnd w:id="112"/>
      <w:bookmarkEnd w:id="113"/>
    </w:p>
    <w:p>
      <w:pPr>
        <w:rPr>
          <w:rFonts w:asciiTheme="minorEastAsia" w:hAnsiTheme="minorEastAsia" w:eastAsiaTheme="minorEastAsia" w:cstheme="minorEastAsia"/>
          <w:color w:val="auto"/>
        </w:rPr>
      </w:pPr>
    </w:p>
    <w:p>
      <w:pPr>
        <w:adjustRightInd w:val="0"/>
        <w:spacing w:after="120"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按照招标文件的要求编制，根据评审办法进行编制，主要内容包含但不限于以下内容：</w:t>
      </w:r>
    </w:p>
    <w:p>
      <w:pPr>
        <w:spacing w:line="58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①项目管理及力量配备</w:t>
      </w:r>
    </w:p>
    <w:p>
      <w:pPr>
        <w:spacing w:line="580" w:lineRule="exact"/>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②</w:t>
      </w:r>
      <w:r>
        <w:rPr>
          <w:rFonts w:hint="eastAsia" w:asciiTheme="minorEastAsia" w:hAnsiTheme="minorEastAsia" w:eastAsiaTheme="minorEastAsia" w:cstheme="minorEastAsia"/>
          <w:color w:val="auto"/>
          <w:sz w:val="24"/>
          <w:szCs w:val="24"/>
          <w:lang w:eastAsia="zh-CN"/>
        </w:rPr>
        <w:t>项目实施方案</w:t>
      </w:r>
    </w:p>
    <w:p>
      <w:pPr>
        <w:spacing w:line="58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③确保工程质量和工期的技术组织措施</w:t>
      </w:r>
    </w:p>
    <w:p>
      <w:pPr>
        <w:spacing w:line="58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④主要机具、设备和劳动力配备情况</w:t>
      </w:r>
    </w:p>
    <w:p>
      <w:pPr>
        <w:spacing w:line="58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⑤确保工程安全和文明的技术组织措施</w:t>
      </w:r>
    </w:p>
    <w:p>
      <w:pPr>
        <w:spacing w:line="58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⑥投标人认为有必要说明的其他问题</w:t>
      </w:r>
    </w:p>
    <w:p>
      <w:pPr>
        <w:spacing w:line="580" w:lineRule="exact"/>
        <w:ind w:firstLine="480" w:firstLineChars="200"/>
        <w:rPr>
          <w:rFonts w:asciiTheme="minorEastAsia" w:hAnsiTheme="minorEastAsia" w:eastAsiaTheme="minorEastAsia" w:cstheme="minorEastAsia"/>
          <w:color w:val="auto"/>
          <w:sz w:val="24"/>
          <w:szCs w:val="24"/>
        </w:rPr>
      </w:pPr>
    </w:p>
    <w:p>
      <w:pPr>
        <w:kinsoku w:val="0"/>
        <w:spacing w:line="580" w:lineRule="exact"/>
        <w:rPr>
          <w:rFonts w:asciiTheme="minorEastAsia" w:hAnsiTheme="minorEastAsia" w:eastAsiaTheme="minorEastAsia" w:cstheme="minorEastAsia"/>
          <w:color w:val="auto"/>
          <w:sz w:val="24"/>
          <w:szCs w:val="24"/>
        </w:rPr>
      </w:pPr>
    </w:p>
    <w:p>
      <w:pPr>
        <w:spacing w:line="580" w:lineRule="exact"/>
        <w:rPr>
          <w:rFonts w:asciiTheme="minorEastAsia" w:hAnsiTheme="minorEastAsia" w:eastAsiaTheme="minorEastAsia" w:cstheme="minorEastAsia"/>
          <w:color w:val="auto"/>
          <w:sz w:val="24"/>
          <w:szCs w:val="24"/>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br w:type="page"/>
      </w:r>
    </w:p>
    <w:p>
      <w:pPr>
        <w:pStyle w:val="6"/>
        <w:spacing w:before="312" w:beforeLines="100"/>
        <w:rPr>
          <w:rFonts w:asciiTheme="minorEastAsia" w:hAnsiTheme="minorEastAsia" w:eastAsiaTheme="minorEastAsia" w:cstheme="minorEastAsia"/>
          <w:color w:val="auto"/>
          <w:spacing w:val="4"/>
          <w:sz w:val="28"/>
          <w:szCs w:val="28"/>
        </w:rPr>
      </w:pPr>
      <w:bookmarkStart w:id="114" w:name="_Toc14604"/>
      <w:r>
        <w:rPr>
          <w:rFonts w:hint="eastAsia" w:asciiTheme="minorEastAsia" w:hAnsiTheme="minorEastAsia" w:eastAsiaTheme="minorEastAsia" w:cstheme="minorEastAsia"/>
          <w:color w:val="auto"/>
          <w:spacing w:val="4"/>
          <w:sz w:val="28"/>
          <w:szCs w:val="28"/>
        </w:rPr>
        <w:t>五、企业类似业绩</w:t>
      </w:r>
      <w:bookmarkEnd w:id="114"/>
    </w:p>
    <w:p>
      <w:pPr>
        <w:spacing w:line="440" w:lineRule="exact"/>
        <w:jc w:val="center"/>
        <w:rPr>
          <w:rFonts w:asciiTheme="minorEastAsia" w:hAnsiTheme="minorEastAsia" w:eastAsiaTheme="minorEastAsia" w:cstheme="minorEastAsia"/>
          <w:b/>
          <w:color w:val="auto"/>
          <w:spacing w:val="4"/>
          <w:sz w:val="32"/>
          <w:szCs w:val="32"/>
        </w:rPr>
      </w:pPr>
    </w:p>
    <w:tbl>
      <w:tblPr>
        <w:tblStyle w:val="28"/>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62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项目所在地</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发包人名称</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发包人地址</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中标日期</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中标金额</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项目描述</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rPr>
            </w:pPr>
          </w:p>
        </w:tc>
      </w:tr>
    </w:tbl>
    <w:p>
      <w:pPr>
        <w:spacing w:line="360" w:lineRule="exact"/>
        <w:ind w:firstLine="479" w:firstLineChars="199"/>
        <w:rPr>
          <w:rFonts w:asciiTheme="minorEastAsia" w:hAnsiTheme="minorEastAsia" w:eastAsiaTheme="minorEastAsia" w:cstheme="minorEastAsia"/>
          <w:b/>
          <w:color w:val="auto"/>
          <w:sz w:val="24"/>
          <w:szCs w:val="24"/>
        </w:rPr>
      </w:pPr>
    </w:p>
    <w:p>
      <w:pPr>
        <w:spacing w:line="360" w:lineRule="exact"/>
        <w:ind w:firstLine="479" w:firstLineChars="19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备注：</w:t>
      </w:r>
    </w:p>
    <w:p>
      <w:pPr>
        <w:numPr>
          <w:ilvl w:val="0"/>
          <w:numId w:val="4"/>
        </w:numPr>
        <w:spacing w:line="360" w:lineRule="exact"/>
        <w:ind w:firstLine="477" w:firstLineChars="19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如有多个项目，每个项目填一张此表，附后。</w:t>
      </w:r>
    </w:p>
    <w:p>
      <w:pPr>
        <w:numPr>
          <w:ilvl w:val="0"/>
          <w:numId w:val="4"/>
        </w:numPr>
        <w:spacing w:line="360" w:lineRule="exact"/>
        <w:ind w:firstLine="477" w:firstLineChars="19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业绩以中标通知书或施工合同或竣工验收报告复印件为依据</w:t>
      </w:r>
    </w:p>
    <w:p>
      <w:pPr>
        <w:autoSpaceDE w:val="0"/>
        <w:autoSpaceDN w:val="0"/>
        <w:adjustRightInd w:val="0"/>
        <w:snapToGrid w:val="0"/>
        <w:spacing w:line="360" w:lineRule="exact"/>
        <w:ind w:firstLine="720" w:firstLineChars="300"/>
        <w:rPr>
          <w:rFonts w:asciiTheme="minorEastAsia" w:hAnsiTheme="minorEastAsia" w:eastAsiaTheme="minorEastAsia" w:cstheme="minorEastAsia"/>
          <w:color w:val="auto"/>
          <w:sz w:val="24"/>
          <w:szCs w:val="24"/>
        </w:rPr>
      </w:pPr>
    </w:p>
    <w:p>
      <w:pPr>
        <w:autoSpaceDE w:val="0"/>
        <w:autoSpaceDN w:val="0"/>
        <w:adjustRightInd w:val="0"/>
        <w:snapToGrid w:val="0"/>
        <w:spacing w:line="360" w:lineRule="exact"/>
        <w:ind w:firstLine="720" w:firstLineChars="300"/>
        <w:rPr>
          <w:rFonts w:asciiTheme="minorEastAsia" w:hAnsiTheme="minorEastAsia" w:eastAsiaTheme="minorEastAsia" w:cstheme="minorEastAsia"/>
          <w:color w:val="auto"/>
          <w:sz w:val="24"/>
          <w:szCs w:val="24"/>
        </w:rPr>
      </w:pPr>
    </w:p>
    <w:p>
      <w:pPr>
        <w:autoSpaceDE w:val="0"/>
        <w:autoSpaceDN w:val="0"/>
        <w:adjustRightInd w:val="0"/>
        <w:snapToGrid w:val="0"/>
        <w:spacing w:line="360" w:lineRule="exact"/>
        <w:ind w:firstLine="720" w:firstLineChars="300"/>
        <w:rPr>
          <w:rFonts w:asciiTheme="minorEastAsia" w:hAnsiTheme="minorEastAsia" w:eastAsiaTheme="minorEastAsia" w:cstheme="minorEastAsia"/>
          <w:color w:val="auto"/>
          <w:sz w:val="24"/>
          <w:szCs w:val="24"/>
        </w:rPr>
      </w:pPr>
    </w:p>
    <w:p>
      <w:pPr>
        <w:spacing w:line="480" w:lineRule="exact"/>
        <w:ind w:firstLine="480" w:firstLineChars="200"/>
        <w:rPr>
          <w:rFonts w:asciiTheme="minorEastAsia" w:hAnsiTheme="minorEastAsia" w:eastAsiaTheme="minorEastAsia" w:cstheme="minorEastAsia"/>
          <w:b/>
          <w:color w:val="auto"/>
          <w:sz w:val="24"/>
          <w:szCs w:val="24"/>
          <w:u w:val="single"/>
        </w:rPr>
      </w:pPr>
      <w:r>
        <w:rPr>
          <w:rFonts w:hint="eastAsia" w:asciiTheme="minorEastAsia" w:hAnsiTheme="minorEastAsia" w:eastAsiaTheme="minorEastAsia" w:cstheme="minorEastAsia"/>
          <w:color w:val="auto"/>
          <w:sz w:val="24"/>
          <w:szCs w:val="24"/>
        </w:rPr>
        <w:t>投标人：</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z w:val="24"/>
          <w:szCs w:val="24"/>
        </w:rPr>
        <w:t>（单位公章）</w:t>
      </w:r>
    </w:p>
    <w:p>
      <w:pPr>
        <w:spacing w:line="480" w:lineRule="exact"/>
        <w:ind w:firstLine="480" w:firstLineChars="200"/>
        <w:rPr>
          <w:rFonts w:hint="eastAsia" w:asciiTheme="minorEastAsia" w:hAnsiTheme="minorEastAsia" w:eastAsiaTheme="minorEastAsia" w:cstheme="minorEastAsia"/>
          <w:color w:val="auto"/>
          <w:sz w:val="24"/>
          <w:szCs w:val="24"/>
        </w:rPr>
      </w:pPr>
    </w:p>
    <w:p>
      <w:pPr>
        <w:spacing w:line="480" w:lineRule="exact"/>
        <w:ind w:firstLine="480" w:firstLineChars="200"/>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法人代表或委托代理人（签字或盖章）：</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spacing w:line="600" w:lineRule="exact"/>
        <w:ind w:firstLine="480" w:firstLineChars="200"/>
        <w:rPr>
          <w:rFonts w:hint="eastAsia" w:asciiTheme="minorEastAsia" w:hAnsiTheme="minorEastAsia" w:eastAsiaTheme="minorEastAsia" w:cstheme="minorEastAsia"/>
          <w:color w:val="auto"/>
          <w:sz w:val="24"/>
          <w:szCs w:val="24"/>
        </w:rPr>
      </w:pPr>
    </w:p>
    <w:p>
      <w:pPr>
        <w:spacing w:line="600" w:lineRule="exact"/>
        <w:ind w:firstLine="480"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日期：</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Theme="minorEastAsia" w:hAnsiTheme="minorEastAsia" w:eastAsiaTheme="minorEastAsia" w:cstheme="minorEastAsia"/>
          <w:color w:val="auto"/>
          <w:sz w:val="24"/>
          <w:szCs w:val="24"/>
        </w:rPr>
        <w:t>日</w:t>
      </w:r>
    </w:p>
    <w:p>
      <w:pPr>
        <w:autoSpaceDE w:val="0"/>
        <w:autoSpaceDN w:val="0"/>
        <w:adjustRightInd w:val="0"/>
        <w:snapToGrid w:val="0"/>
        <w:spacing w:after="100" w:afterAutospacing="1" w:line="360" w:lineRule="exact"/>
        <w:rPr>
          <w:rFonts w:asciiTheme="minorEastAsia" w:hAnsiTheme="minorEastAsia" w:eastAsiaTheme="minorEastAsia" w:cstheme="minorEastAsia"/>
          <w:color w:val="auto"/>
          <w:szCs w:val="21"/>
        </w:rPr>
      </w:pPr>
    </w:p>
    <w:p>
      <w:pPr>
        <w:rPr>
          <w:rFonts w:asciiTheme="minorEastAsia" w:hAnsiTheme="minorEastAsia" w:eastAsiaTheme="minorEastAsia" w:cstheme="minorEastAsia"/>
          <w:b/>
          <w:color w:val="auto"/>
          <w:spacing w:val="4"/>
          <w:sz w:val="28"/>
          <w:szCs w:val="28"/>
        </w:rPr>
      </w:pPr>
      <w:r>
        <w:rPr>
          <w:rFonts w:hint="eastAsia" w:asciiTheme="minorEastAsia" w:hAnsiTheme="minorEastAsia" w:eastAsiaTheme="minorEastAsia" w:cstheme="minorEastAsia"/>
          <w:b/>
          <w:color w:val="auto"/>
          <w:sz w:val="30"/>
          <w:szCs w:val="30"/>
        </w:rPr>
        <w:br w:type="page"/>
      </w:r>
    </w:p>
    <w:p>
      <w:pPr>
        <w:pStyle w:val="6"/>
        <w:spacing w:before="312" w:beforeLines="100"/>
        <w:rPr>
          <w:rFonts w:asciiTheme="minorEastAsia" w:hAnsiTheme="minorEastAsia" w:eastAsiaTheme="minorEastAsia" w:cstheme="minorEastAsia"/>
          <w:color w:val="auto"/>
          <w:sz w:val="28"/>
        </w:rPr>
      </w:pPr>
      <w:bookmarkStart w:id="115" w:name="_Toc27577"/>
      <w:r>
        <w:rPr>
          <w:rFonts w:hint="eastAsia" w:asciiTheme="minorEastAsia" w:hAnsiTheme="minorEastAsia" w:eastAsiaTheme="minorEastAsia" w:cstheme="minorEastAsia"/>
          <w:color w:val="auto"/>
          <w:sz w:val="28"/>
        </w:rPr>
        <w:t>六、陕西省政府采购投标人</w:t>
      </w:r>
      <w:r>
        <w:rPr>
          <w:rFonts w:hint="eastAsia" w:asciiTheme="minorEastAsia" w:hAnsiTheme="minorEastAsia" w:eastAsiaTheme="minorEastAsia" w:cstheme="minorEastAsia"/>
          <w:color w:val="auto"/>
          <w:spacing w:val="4"/>
          <w:sz w:val="28"/>
          <w:szCs w:val="28"/>
        </w:rPr>
        <w:t>拒绝政府采购领域商业贿赂承诺书</w:t>
      </w:r>
      <w:bookmarkEnd w:id="115"/>
    </w:p>
    <w:p>
      <w:pPr>
        <w:spacing w:line="60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为响应党中央、国务院关于治理政府采购领域商业贿赂行为的号召，我公司在此庄严承诺：</w:t>
      </w:r>
    </w:p>
    <w:p>
      <w:pPr>
        <w:spacing w:line="60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1、在参与政府采购活动中遵纪守法、诚信经营、公平竞标。</w:t>
      </w:r>
    </w:p>
    <w:p>
      <w:pPr>
        <w:spacing w:line="60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2、不向政府采购人、采购代理机构和政府采购评审专家进行任何形式的商业贿赂以谋取交易机会。</w:t>
      </w:r>
    </w:p>
    <w:p>
      <w:pPr>
        <w:spacing w:line="60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3、不向政府采购代理机构和采购人提供虚假资质文件或采用虚假应标方式参与政府采购市场竞争并谋取成交、成交。</w:t>
      </w:r>
    </w:p>
    <w:p>
      <w:pPr>
        <w:spacing w:line="60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4、不采取“围标、陪标”等商业欺诈手段获得政府采购定单。</w:t>
      </w:r>
    </w:p>
    <w:p>
      <w:pPr>
        <w:spacing w:line="60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5、不采取不正当手段诋毁、排挤其他投标人。</w:t>
      </w:r>
    </w:p>
    <w:p>
      <w:pPr>
        <w:spacing w:line="60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6、不在提供商品和服务时“偷梁换柱、以次充好”损害采购人的合法权益。</w:t>
      </w:r>
    </w:p>
    <w:p>
      <w:pPr>
        <w:spacing w:line="60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7、不与采购人、采购代理机构政府采购评审专家或其它投标人恶意串通，进行质疑和投诉，维护政府采购市场秩序。</w:t>
      </w:r>
    </w:p>
    <w:p>
      <w:pPr>
        <w:spacing w:line="60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8、尊重和接受政府采购监督管理部门的监督和政府采购代理机构招标采购要求，承担因违约行为给采购人造成的损失。</w:t>
      </w:r>
    </w:p>
    <w:p>
      <w:pPr>
        <w:spacing w:line="600" w:lineRule="exact"/>
        <w:ind w:left="681" w:leftChars="267" w:hanging="120" w:hangingChars="5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9、不发生其他有悖于政府采购公开、公平、公正和诚信原则的行为。</w:t>
      </w:r>
      <w:r>
        <w:rPr>
          <w:rFonts w:hint="eastAsia" w:asciiTheme="minorEastAsia" w:hAnsiTheme="minorEastAsia" w:eastAsiaTheme="minorEastAsia" w:cstheme="minorEastAsia"/>
          <w:color w:val="auto"/>
          <w:kern w:val="0"/>
          <w:sz w:val="24"/>
          <w:szCs w:val="24"/>
        </w:rPr>
        <w:br w:type="textWrapping"/>
      </w:r>
      <w:r>
        <w:rPr>
          <w:rFonts w:hint="eastAsia" w:asciiTheme="minorEastAsia" w:hAnsiTheme="minorEastAsia" w:eastAsiaTheme="minorEastAsia" w:cstheme="minorEastAsia"/>
          <w:color w:val="auto"/>
          <w:kern w:val="0"/>
          <w:sz w:val="24"/>
          <w:szCs w:val="24"/>
        </w:rPr>
        <w:t>承诺单位:</w:t>
      </w:r>
      <w:r>
        <w:rPr>
          <w:rFonts w:asciiTheme="minorEastAsia" w:hAnsiTheme="minorEastAsia" w:eastAsiaTheme="minorEastAsia" w:cstheme="minorEastAsia"/>
          <w:color w:val="auto"/>
          <w:kern w:val="0"/>
          <w:sz w:val="24"/>
          <w:szCs w:val="24"/>
        </w:rPr>
        <w:t xml:space="preserve"> </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u w:val="single"/>
        </w:rPr>
        <w:t>（盖章）</w:t>
      </w:r>
    </w:p>
    <w:p>
      <w:pPr>
        <w:spacing w:line="600" w:lineRule="exact"/>
        <w:ind w:left="701" w:leftChars="334"/>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被授权代表（签字或盖章）：</w:t>
      </w:r>
      <w:r>
        <w:rPr>
          <w:rFonts w:asciiTheme="minorEastAsia" w:hAnsiTheme="minorEastAsia" w:eastAsiaTheme="minorEastAsia" w:cstheme="minorEastAsia"/>
          <w:color w:val="auto"/>
          <w:kern w:val="0"/>
          <w:sz w:val="24"/>
          <w:szCs w:val="24"/>
          <w:u w:val="single"/>
        </w:rPr>
        <w:t xml:space="preserve">             </w:t>
      </w:r>
    </w:p>
    <w:p>
      <w:pPr>
        <w:spacing w:line="600" w:lineRule="exact"/>
        <w:ind w:left="701" w:leftChars="334"/>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地   址：</w:t>
      </w:r>
      <w:r>
        <w:rPr>
          <w:rFonts w:asciiTheme="minorEastAsia" w:hAnsiTheme="minorEastAsia" w:eastAsiaTheme="minorEastAsia" w:cstheme="minorEastAsia"/>
          <w:color w:val="auto"/>
          <w:kern w:val="0"/>
          <w:sz w:val="24"/>
          <w:szCs w:val="24"/>
          <w:u w:val="single"/>
        </w:rPr>
        <w:t xml:space="preserve">                                </w:t>
      </w:r>
    </w:p>
    <w:p>
      <w:pPr>
        <w:spacing w:line="600" w:lineRule="exact"/>
        <w:ind w:left="659" w:leftChars="314"/>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邮   编：</w:t>
      </w:r>
      <w:r>
        <w:rPr>
          <w:rFonts w:asciiTheme="minorEastAsia" w:hAnsiTheme="minorEastAsia" w:eastAsiaTheme="minorEastAsia" w:cstheme="minorEastAsia"/>
          <w:color w:val="auto"/>
          <w:kern w:val="0"/>
          <w:sz w:val="24"/>
          <w:szCs w:val="24"/>
          <w:u w:val="single"/>
        </w:rPr>
        <w:t xml:space="preserve">                               </w:t>
      </w:r>
    </w:p>
    <w:p>
      <w:pPr>
        <w:spacing w:line="600" w:lineRule="exact"/>
        <w:ind w:left="659" w:leftChars="314"/>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电   话：</w:t>
      </w:r>
      <w:r>
        <w:rPr>
          <w:rFonts w:asciiTheme="minorEastAsia" w:hAnsiTheme="minorEastAsia" w:eastAsiaTheme="minorEastAsia" w:cstheme="minorEastAsia"/>
          <w:color w:val="auto"/>
          <w:kern w:val="0"/>
          <w:sz w:val="24"/>
          <w:szCs w:val="24"/>
          <w:u w:val="single"/>
        </w:rPr>
        <w:t xml:space="preserve">                                </w:t>
      </w:r>
    </w:p>
    <w:p>
      <w:pPr>
        <w:spacing w:line="600" w:lineRule="exact"/>
        <w:ind w:left="659" w:leftChars="314"/>
        <w:jc w:val="right"/>
        <w:rPr>
          <w:rFonts w:asciiTheme="minorEastAsia" w:hAnsiTheme="minorEastAsia" w:eastAsiaTheme="minorEastAsia" w:cstheme="minorEastAsia"/>
          <w:color w:val="auto"/>
          <w:kern w:val="0"/>
          <w:sz w:val="24"/>
          <w:szCs w:val="24"/>
        </w:rPr>
      </w:pP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年</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月</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日</w:t>
      </w:r>
    </w:p>
    <w:p>
      <w:pPr>
        <w:spacing w:line="360" w:lineRule="auto"/>
        <w:rPr>
          <w:rFonts w:asciiTheme="minorEastAsia" w:hAnsiTheme="minorEastAsia" w:eastAsiaTheme="minorEastAsia" w:cstheme="minorEastAsia"/>
          <w:b/>
          <w:color w:val="auto"/>
          <w:kern w:val="0"/>
          <w:sz w:val="24"/>
          <w:szCs w:val="24"/>
        </w:rPr>
      </w:pPr>
    </w:p>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br w:type="page"/>
      </w:r>
    </w:p>
    <w:p>
      <w:pPr>
        <w:pStyle w:val="6"/>
        <w:spacing w:before="312" w:beforeLines="100"/>
        <w:rPr>
          <w:rFonts w:asciiTheme="minorEastAsia" w:hAnsiTheme="minorEastAsia" w:eastAsiaTheme="minorEastAsia" w:cstheme="minorEastAsia"/>
          <w:color w:val="auto"/>
          <w:sz w:val="32"/>
          <w:szCs w:val="32"/>
        </w:rPr>
      </w:pPr>
      <w:bookmarkStart w:id="116" w:name="_Toc11841"/>
      <w:r>
        <w:rPr>
          <w:rFonts w:hint="eastAsia" w:asciiTheme="minorEastAsia" w:hAnsiTheme="minorEastAsia" w:eastAsiaTheme="minorEastAsia" w:cstheme="minorEastAsia"/>
          <w:color w:val="auto"/>
          <w:sz w:val="32"/>
          <w:szCs w:val="32"/>
        </w:rPr>
        <w:t>七、资格证明文件</w:t>
      </w:r>
      <w:bookmarkEnd w:id="116"/>
    </w:p>
    <w:p>
      <w:pPr>
        <w:rPr>
          <w:color w:val="auto"/>
        </w:rPr>
      </w:pPr>
    </w:p>
    <w:p>
      <w:pPr>
        <w:pStyle w:val="12"/>
        <w:numPr>
          <w:ilvl w:val="0"/>
          <w:numId w:val="0"/>
        </w:numPr>
        <w:spacing w:line="360" w:lineRule="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auto"/>
          <w:spacing w:val="0"/>
          <w:sz w:val="24"/>
          <w:szCs w:val="24"/>
          <w:shd w:val="clear" w:fill="FFFFFF"/>
        </w:rPr>
        <w:t>提供合格有效的法人或者其他组织的营业执照等证明文件，自然人的身份证明；</w:t>
      </w:r>
    </w:p>
    <w:p>
      <w:pPr>
        <w:pStyle w:val="12"/>
        <w:numPr>
          <w:ilvl w:val="0"/>
          <w:numId w:val="0"/>
        </w:numPr>
        <w:spacing w:line="360" w:lineRule="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2、提供法定代表人授权书（附法定代表人、被授权人身份证复印件）及被授权人身份证原件（法定代表人直接参加投标，须提供法定代表人身份证明及身份证原件）；</w:t>
      </w:r>
    </w:p>
    <w:p>
      <w:pPr>
        <w:pStyle w:val="12"/>
        <w:numPr>
          <w:ilvl w:val="0"/>
          <w:numId w:val="0"/>
        </w:numPr>
        <w:spacing w:line="360" w:lineRule="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3、财务状况：提供2021年度的财务审计报告（至少包括资产负债表和利润表，成立时间至提交投标文件截止时间不足一年的可提供成立后任意时段的资产负债表）或开标时间前六个月内</w:t>
      </w:r>
      <w:r>
        <w:rPr>
          <w:rFonts w:hint="eastAsia" w:ascii="宋体" w:hAnsi="宋体" w:cs="宋体"/>
          <w:color w:val="auto"/>
          <w:kern w:val="0"/>
          <w:sz w:val="24"/>
          <w:szCs w:val="24"/>
        </w:rPr>
        <w:t>基本存款账户开户银行出具的资信证明</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及基本存款账户开户许可证；</w:t>
      </w:r>
    </w:p>
    <w:p>
      <w:pPr>
        <w:pStyle w:val="12"/>
        <w:numPr>
          <w:ilvl w:val="0"/>
          <w:numId w:val="0"/>
        </w:numPr>
        <w:spacing w:line="360" w:lineRule="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4、税收缴纳证明：提供投标截止日前近一年内任意一个月的纳税证明或完税证明（任意税种），依法免税的单位应提供相关证明材料；</w:t>
      </w:r>
    </w:p>
    <w:p>
      <w:pPr>
        <w:pStyle w:val="12"/>
        <w:numPr>
          <w:ilvl w:val="0"/>
          <w:numId w:val="0"/>
        </w:numPr>
        <w:spacing w:line="360" w:lineRule="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5、社会保障资金缴纳证明：提供投标截止日前近一年内任意一个月的社会保障资金缴存单据或社保机构开具的社会保险参保缴费情况证明，依法不需要缴纳社会保障资金的单位应提供相关证明材料；</w:t>
      </w:r>
    </w:p>
    <w:p>
      <w:pPr>
        <w:pStyle w:val="12"/>
        <w:numPr>
          <w:ilvl w:val="0"/>
          <w:numId w:val="0"/>
        </w:numPr>
        <w:spacing w:line="360" w:lineRule="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6、供应商应在招标文件发售期至投标截止时间前通过“信用中国”网站(www.creditchina.gov.cn)、中国政府采购网(www.ccgp.gov.cn) 查询相关主体信用记录； </w:t>
      </w:r>
    </w:p>
    <w:p>
      <w:pPr>
        <w:pStyle w:val="12"/>
        <w:numPr>
          <w:ilvl w:val="0"/>
          <w:numId w:val="0"/>
        </w:numPr>
        <w:spacing w:line="360" w:lineRule="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7、参加政府采购活动前3年内，在经营活动中没有重大违法记录的书面声明； </w:t>
      </w:r>
    </w:p>
    <w:p>
      <w:pPr>
        <w:pStyle w:val="12"/>
        <w:numPr>
          <w:ilvl w:val="0"/>
          <w:numId w:val="0"/>
        </w:numPr>
        <w:spacing w:line="360" w:lineRule="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8、提供具有履行合同所必需的设备和专业技术能力的书面承诺；</w:t>
      </w:r>
    </w:p>
    <w:p>
      <w:pPr>
        <w:pStyle w:val="12"/>
        <w:numPr>
          <w:ilvl w:val="0"/>
          <w:numId w:val="0"/>
        </w:numPr>
        <w:spacing w:line="360" w:lineRule="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9、投标保证金缴纳凭证或担保机构出具的保函；</w:t>
      </w:r>
    </w:p>
    <w:p>
      <w:pPr>
        <w:pStyle w:val="12"/>
        <w:numPr>
          <w:ilvl w:val="0"/>
          <w:numId w:val="0"/>
        </w:numPr>
        <w:spacing w:line="360" w:lineRule="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1</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0</w:t>
      </w:r>
      <w:r>
        <w:rPr>
          <w:rFonts w:hint="eastAsia" w:asciiTheme="minorEastAsia" w:hAnsiTheme="minorEastAsia" w:eastAsiaTheme="minorEastAsia" w:cstheme="minorEastAsia"/>
          <w:i w:val="0"/>
          <w:iCs w:val="0"/>
          <w:caps w:val="0"/>
          <w:color w:val="auto"/>
          <w:spacing w:val="0"/>
          <w:sz w:val="24"/>
          <w:szCs w:val="24"/>
          <w:shd w:val="clear" w:fill="FFFFFF"/>
        </w:rPr>
        <w:t>、本项目专门面向中小企业采购（提供中小企业声明函）</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p>
    <w:p>
      <w:pPr>
        <w:spacing w:line="560" w:lineRule="exact"/>
        <w:rPr>
          <w:rFonts w:hint="eastAsia" w:ascii="宋体" w:hAnsi="宋体" w:cs="宋体"/>
          <w:b/>
          <w:bCs/>
          <w:color w:val="auto"/>
          <w:sz w:val="24"/>
          <w:szCs w:val="24"/>
        </w:rPr>
      </w:pPr>
      <w:r>
        <w:rPr>
          <w:rFonts w:hint="eastAsia" w:ascii="宋体" w:hAnsi="宋体" w:cs="宋体"/>
          <w:b/>
          <w:bCs/>
          <w:color w:val="auto"/>
          <w:sz w:val="24"/>
          <w:szCs w:val="24"/>
        </w:rPr>
        <w:t>以上（1-</w:t>
      </w:r>
      <w:r>
        <w:rPr>
          <w:rFonts w:ascii="宋体" w:hAnsi="宋体" w:cs="宋体"/>
          <w:b/>
          <w:bCs/>
          <w:color w:val="auto"/>
          <w:sz w:val="24"/>
          <w:szCs w:val="24"/>
        </w:rPr>
        <w:t>1</w:t>
      </w:r>
      <w:r>
        <w:rPr>
          <w:rFonts w:hint="eastAsia" w:ascii="宋体" w:hAnsi="宋体" w:cs="宋体"/>
          <w:b/>
          <w:bCs/>
          <w:color w:val="auto"/>
          <w:sz w:val="24"/>
          <w:szCs w:val="24"/>
          <w:lang w:val="en-US" w:eastAsia="zh-CN"/>
        </w:rPr>
        <w:t>0</w:t>
      </w:r>
      <w:r>
        <w:rPr>
          <w:rFonts w:hint="eastAsia" w:ascii="宋体" w:hAnsi="宋体" w:cs="宋体"/>
          <w:b/>
          <w:bCs/>
          <w:color w:val="auto"/>
          <w:sz w:val="24"/>
          <w:szCs w:val="24"/>
        </w:rPr>
        <w:t>）为必备资质，缺一项或某项达不到要求，按无效投标处理。</w:t>
      </w:r>
    </w:p>
    <w:p>
      <w:pPr>
        <w:spacing w:line="560" w:lineRule="exac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后附相关格式：</w:t>
      </w:r>
    </w:p>
    <w:p>
      <w:pPr>
        <w:rPr>
          <w:rFonts w:asciiTheme="minorEastAsia" w:hAnsiTheme="minorEastAsia" w:eastAsiaTheme="minorEastAsia" w:cstheme="minorEastAsia"/>
          <w:b/>
          <w:bCs/>
          <w:color w:val="auto"/>
          <w:sz w:val="30"/>
          <w:szCs w:val="30"/>
        </w:rPr>
      </w:pPr>
      <w:bookmarkStart w:id="117" w:name="_Toc426457701"/>
      <w:bookmarkStart w:id="118" w:name="_Toc16097"/>
      <w:bookmarkStart w:id="119" w:name="_Toc363474028"/>
      <w:bookmarkStart w:id="120" w:name="_Toc4867"/>
      <w:bookmarkStart w:id="121" w:name="_Toc30210"/>
      <w:bookmarkStart w:id="122" w:name="_Toc19075"/>
      <w:bookmarkStart w:id="123" w:name="_Toc403077649"/>
      <w:bookmarkStart w:id="124" w:name="_Toc25348"/>
      <w:r>
        <w:rPr>
          <w:rFonts w:hint="eastAsia" w:asciiTheme="minorEastAsia" w:hAnsiTheme="minorEastAsia" w:eastAsiaTheme="minorEastAsia" w:cstheme="minorEastAsia"/>
          <w:b/>
          <w:bCs/>
          <w:color w:val="auto"/>
          <w:sz w:val="30"/>
          <w:szCs w:val="30"/>
        </w:rPr>
        <w:br w:type="page"/>
      </w:r>
    </w:p>
    <w:p>
      <w:pPr>
        <w:pStyle w:val="13"/>
        <w:rPr>
          <w:rFonts w:asciiTheme="minorEastAsia" w:hAnsiTheme="minorEastAsia" w:eastAsiaTheme="minorEastAsia" w:cstheme="minorEastAsia"/>
          <w:b/>
          <w:bCs/>
          <w:color w:val="auto"/>
          <w:szCs w:val="28"/>
        </w:rPr>
      </w:pPr>
      <w:r>
        <w:rPr>
          <w:rFonts w:hint="eastAsia" w:asciiTheme="minorEastAsia" w:hAnsiTheme="minorEastAsia" w:eastAsiaTheme="minorEastAsia" w:cstheme="minorEastAsia"/>
          <w:b/>
          <w:bCs/>
          <w:color w:val="auto"/>
          <w:szCs w:val="28"/>
        </w:rPr>
        <w:t>附件1：</w:t>
      </w:r>
    </w:p>
    <w:p>
      <w:pPr>
        <w:spacing w:before="312" w:beforeLines="100"/>
        <w:jc w:val="center"/>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法定代表人身份证明/法定代表人授权书</w:t>
      </w:r>
    </w:p>
    <w:p>
      <w:pPr>
        <w:pStyle w:val="13"/>
        <w:spacing w:before="156" w:beforeLines="50"/>
        <w:jc w:val="center"/>
        <w:rPr>
          <w:rFonts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法定代表人身份证明</w:t>
      </w:r>
    </w:p>
    <w:p>
      <w:pPr>
        <w:autoSpaceDE w:val="0"/>
        <w:autoSpaceDN w:val="0"/>
        <w:adjustRightInd w:val="0"/>
        <w:snapToGrid w:val="0"/>
        <w:spacing w:before="156" w:beforeLines="50"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w:t>
      </w:r>
      <w:r>
        <w:rPr>
          <w:rFonts w:asciiTheme="minorEastAsia" w:hAnsiTheme="minorEastAsia" w:eastAsiaTheme="minorEastAsia" w:cstheme="minorEastAsia"/>
          <w:color w:val="auto"/>
          <w:kern w:val="0"/>
          <w:sz w:val="24"/>
          <w:szCs w:val="24"/>
          <w:u w:val="single"/>
        </w:rPr>
        <w:t xml:space="preserve">                         </w:t>
      </w:r>
    </w:p>
    <w:p>
      <w:pPr>
        <w:autoSpaceDE w:val="0"/>
        <w:autoSpaceDN w:val="0"/>
        <w:adjustRightInd w:val="0"/>
        <w:snapToGrid w:val="0"/>
        <w:spacing w:before="156" w:beforeLines="50"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统一社会信用代码：</w:t>
      </w:r>
      <w:r>
        <w:rPr>
          <w:rFonts w:asciiTheme="minorEastAsia" w:hAnsiTheme="minorEastAsia" w:eastAsiaTheme="minorEastAsia" w:cstheme="minorEastAsia"/>
          <w:color w:val="auto"/>
          <w:kern w:val="0"/>
          <w:sz w:val="24"/>
          <w:szCs w:val="24"/>
          <w:u w:val="single"/>
        </w:rPr>
        <w:t xml:space="preserve">                    </w:t>
      </w:r>
    </w:p>
    <w:p>
      <w:pPr>
        <w:autoSpaceDE w:val="0"/>
        <w:autoSpaceDN w:val="0"/>
        <w:adjustRightInd w:val="0"/>
        <w:snapToGrid w:val="0"/>
        <w:spacing w:before="156" w:beforeLines="50"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注册地址：</w:t>
      </w:r>
      <w:r>
        <w:rPr>
          <w:rFonts w:asciiTheme="minorEastAsia" w:hAnsiTheme="minorEastAsia" w:eastAsiaTheme="minorEastAsia" w:cstheme="minorEastAsia"/>
          <w:color w:val="auto"/>
          <w:kern w:val="0"/>
          <w:sz w:val="24"/>
          <w:szCs w:val="24"/>
          <w:u w:val="single"/>
        </w:rPr>
        <w:t xml:space="preserve">                            </w:t>
      </w:r>
    </w:p>
    <w:p>
      <w:pPr>
        <w:autoSpaceDE w:val="0"/>
        <w:autoSpaceDN w:val="0"/>
        <w:adjustRightInd w:val="0"/>
        <w:snapToGrid w:val="0"/>
        <w:spacing w:before="156" w:beforeLines="50"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成立时间：</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sz w:val="24"/>
          <w:szCs w:val="24"/>
        </w:rPr>
        <w:t>年</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sz w:val="24"/>
          <w:szCs w:val="24"/>
        </w:rPr>
        <w:t>月</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sz w:val="24"/>
          <w:szCs w:val="24"/>
        </w:rPr>
        <w:t>日</w:t>
      </w:r>
    </w:p>
    <w:p>
      <w:pPr>
        <w:autoSpaceDE w:val="0"/>
        <w:autoSpaceDN w:val="0"/>
        <w:adjustRightInd w:val="0"/>
        <w:snapToGrid w:val="0"/>
        <w:spacing w:before="156" w:beforeLines="50" w:line="360" w:lineRule="auto"/>
        <w:jc w:val="left"/>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经营期限：</w:t>
      </w:r>
      <w:r>
        <w:rPr>
          <w:rFonts w:asciiTheme="minorEastAsia" w:hAnsiTheme="minorEastAsia" w:eastAsiaTheme="minorEastAsia" w:cstheme="minorEastAsia"/>
          <w:color w:val="auto"/>
          <w:kern w:val="0"/>
          <w:sz w:val="24"/>
          <w:szCs w:val="24"/>
          <w:u w:val="single"/>
        </w:rPr>
        <w:t xml:space="preserve">                          </w:t>
      </w:r>
    </w:p>
    <w:p>
      <w:pPr>
        <w:autoSpaceDE w:val="0"/>
        <w:autoSpaceDN w:val="0"/>
        <w:adjustRightInd w:val="0"/>
        <w:snapToGrid w:val="0"/>
        <w:spacing w:before="156" w:beforeLines="50"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sz w:val="24"/>
          <w:szCs w:val="24"/>
        </w:rPr>
        <w:t>性别：</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sz w:val="24"/>
          <w:szCs w:val="24"/>
        </w:rPr>
        <w:t>年龄：</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sz w:val="24"/>
          <w:szCs w:val="24"/>
        </w:rPr>
        <w:t>系</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sz w:val="24"/>
          <w:szCs w:val="24"/>
        </w:rPr>
        <w:t>（投标人名称）的法定代表人。</w:t>
      </w:r>
    </w:p>
    <w:p>
      <w:pPr>
        <w:autoSpaceDE w:val="0"/>
        <w:autoSpaceDN w:val="0"/>
        <w:adjustRightInd w:val="0"/>
        <w:snapToGrid w:val="0"/>
        <w:spacing w:before="156" w:beforeLines="50"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特此证明。</w:t>
      </w:r>
    </w:p>
    <w:p>
      <w:pPr>
        <w:autoSpaceDE w:val="0"/>
        <w:autoSpaceDN w:val="0"/>
        <w:adjustRightInd w:val="0"/>
        <w:snapToGrid w:val="0"/>
        <w:spacing w:before="156" w:beforeLines="50"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附：法定代表人身份证复印件</w:t>
      </w:r>
    </w:p>
    <w:tbl>
      <w:tblPr>
        <w:tblStyle w:val="29"/>
        <w:tblpPr w:leftFromText="180" w:rightFromText="180" w:vertAnchor="text" w:horzAnchor="margin" w:tblpXSpec="center" w:tblpY="104"/>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0"/>
        <w:gridCol w:w="5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trPr>
        <w:tc>
          <w:tcPr>
            <w:tcW w:w="5010" w:type="dxa"/>
            <w:vAlign w:val="center"/>
          </w:tcPr>
          <w:p>
            <w:pPr>
              <w:snapToGrid w:val="0"/>
              <w:spacing w:line="480" w:lineRule="auto"/>
              <w:jc w:val="center"/>
              <w:rPr>
                <w:rFonts w:asciiTheme="minorEastAsia" w:hAnsiTheme="minorEastAsia" w:eastAsiaTheme="minorEastAsia" w:cstheme="minorEastAsia"/>
                <w:color w:val="auto"/>
                <w:szCs w:val="21"/>
              </w:rPr>
            </w:pPr>
          </w:p>
          <w:p>
            <w:pPr>
              <w:snapToGrid w:val="0"/>
              <w:spacing w:line="480" w:lineRule="auto"/>
              <w:jc w:val="center"/>
              <w:rPr>
                <w:rFonts w:asciiTheme="minorEastAsia" w:hAnsiTheme="minorEastAsia" w:eastAsiaTheme="minorEastAsia" w:cstheme="minorEastAsia"/>
                <w:color w:val="auto"/>
                <w:szCs w:val="21"/>
              </w:rPr>
            </w:pPr>
          </w:p>
          <w:p>
            <w:pPr>
              <w:autoSpaceDE w:val="0"/>
              <w:autoSpaceDN w:val="0"/>
              <w:adjustRightInd w:val="0"/>
              <w:snapToGrid w:val="0"/>
              <w:spacing w:before="156"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法定代表人身份证复印件粘贴处</w:t>
            </w:r>
          </w:p>
          <w:p>
            <w:pPr>
              <w:pStyle w:val="13"/>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（正反面）</w:t>
            </w:r>
          </w:p>
          <w:p>
            <w:pPr>
              <w:snapToGrid w:val="0"/>
              <w:spacing w:line="480" w:lineRule="auto"/>
              <w:jc w:val="center"/>
              <w:rPr>
                <w:rFonts w:asciiTheme="minorEastAsia" w:hAnsiTheme="minorEastAsia" w:eastAsiaTheme="minorEastAsia" w:cstheme="minorEastAsia"/>
                <w:color w:val="auto"/>
                <w:szCs w:val="21"/>
              </w:rPr>
            </w:pPr>
          </w:p>
          <w:p>
            <w:pPr>
              <w:snapToGrid w:val="0"/>
              <w:spacing w:line="480" w:lineRule="auto"/>
              <w:jc w:val="center"/>
              <w:rPr>
                <w:rFonts w:asciiTheme="minorEastAsia" w:hAnsiTheme="minorEastAsia" w:eastAsiaTheme="minorEastAsia" w:cstheme="minorEastAsia"/>
                <w:color w:val="auto"/>
                <w:szCs w:val="21"/>
              </w:rPr>
            </w:pPr>
          </w:p>
        </w:tc>
        <w:tc>
          <w:tcPr>
            <w:tcW w:w="5010" w:type="dxa"/>
            <w:vAlign w:val="center"/>
          </w:tcPr>
          <w:p>
            <w:pPr>
              <w:autoSpaceDE w:val="0"/>
              <w:autoSpaceDN w:val="0"/>
              <w:adjustRightInd w:val="0"/>
              <w:snapToGrid w:val="0"/>
              <w:spacing w:before="156"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法定代表人身份证复印件粘贴处</w:t>
            </w:r>
          </w:p>
          <w:p>
            <w:pPr>
              <w:pStyle w:val="13"/>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（正反面）</w:t>
            </w:r>
          </w:p>
          <w:p>
            <w:pPr>
              <w:snapToGrid w:val="0"/>
              <w:spacing w:line="480" w:lineRule="auto"/>
              <w:jc w:val="center"/>
              <w:rPr>
                <w:rFonts w:asciiTheme="minorEastAsia" w:hAnsiTheme="minorEastAsia" w:eastAsiaTheme="minorEastAsia" w:cstheme="minorEastAsia"/>
                <w:color w:val="auto"/>
                <w:szCs w:val="21"/>
              </w:rPr>
            </w:pPr>
          </w:p>
        </w:tc>
      </w:tr>
    </w:tbl>
    <w:p>
      <w:pPr>
        <w:snapToGrid w:val="0"/>
        <w:spacing w:line="480" w:lineRule="auto"/>
        <w:rPr>
          <w:rFonts w:asciiTheme="minorEastAsia" w:hAnsiTheme="minorEastAsia" w:eastAsiaTheme="minorEastAsia" w:cstheme="minorEastAsia"/>
          <w:color w:val="auto"/>
          <w:szCs w:val="21"/>
        </w:rPr>
      </w:pPr>
    </w:p>
    <w:p>
      <w:pPr>
        <w:adjustRightInd w:val="0"/>
        <w:snapToGrid w:val="0"/>
        <w:spacing w:line="360" w:lineRule="auto"/>
        <w:ind w:right="420"/>
        <w:rPr>
          <w:rFonts w:asciiTheme="minorEastAsia" w:hAnsiTheme="minorEastAsia" w:eastAsiaTheme="minorEastAsia" w:cstheme="minorEastAsia"/>
          <w:color w:val="auto"/>
        </w:rPr>
      </w:pPr>
    </w:p>
    <w:p>
      <w:pPr>
        <w:adjustRightInd w:val="0"/>
        <w:snapToGrid w:val="0"/>
        <w:spacing w:line="360" w:lineRule="auto"/>
        <w:ind w:right="42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r>
        <w:rPr>
          <w:rFonts w:asciiTheme="minorEastAsia" w:hAnsiTheme="minorEastAsia" w:eastAsiaTheme="minorEastAsia" w:cstheme="minorEastAsia"/>
          <w:color w:val="auto"/>
          <w:kern w:val="0"/>
          <w:sz w:val="24"/>
          <w:szCs w:val="24"/>
          <w:u w:val="single"/>
        </w:rPr>
        <w:t xml:space="preserve">                   </w:t>
      </w:r>
    </w:p>
    <w:p>
      <w:pPr>
        <w:adjustRightInd w:val="0"/>
        <w:snapToGrid w:val="0"/>
        <w:spacing w:line="360" w:lineRule="auto"/>
        <w:ind w:right="420"/>
        <w:rPr>
          <w:rFonts w:hint="eastAsia" w:asciiTheme="minorEastAsia" w:hAnsiTheme="minorEastAsia" w:eastAsiaTheme="minorEastAsia" w:cstheme="minorEastAsia"/>
          <w:color w:val="auto"/>
          <w:sz w:val="24"/>
          <w:szCs w:val="24"/>
        </w:rPr>
      </w:pPr>
    </w:p>
    <w:p>
      <w:pPr>
        <w:adjustRightInd w:val="0"/>
        <w:snapToGrid w:val="0"/>
        <w:spacing w:line="360" w:lineRule="auto"/>
        <w:ind w:right="42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sz w:val="24"/>
          <w:szCs w:val="24"/>
        </w:rPr>
        <w:t>年</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sz w:val="24"/>
          <w:szCs w:val="24"/>
        </w:rPr>
        <w:t>月</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sz w:val="24"/>
          <w:szCs w:val="24"/>
        </w:rPr>
        <w:t>日</w:t>
      </w:r>
    </w:p>
    <w:p>
      <w:pPr>
        <w:adjustRightInd w:val="0"/>
        <w:snapToGrid w:val="0"/>
        <w:spacing w:line="360" w:lineRule="auto"/>
        <w:ind w:right="420"/>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br w:type="page"/>
      </w:r>
    </w:p>
    <w:p>
      <w:pPr>
        <w:keepNext/>
        <w:spacing w:before="312" w:beforeLines="100"/>
        <w:jc w:val="center"/>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法定代表人授权书</w:t>
      </w:r>
      <w:bookmarkEnd w:id="117"/>
      <w:bookmarkEnd w:id="118"/>
      <w:bookmarkEnd w:id="119"/>
      <w:bookmarkEnd w:id="120"/>
      <w:bookmarkEnd w:id="121"/>
      <w:bookmarkEnd w:id="122"/>
      <w:bookmarkEnd w:id="123"/>
      <w:bookmarkEnd w:id="124"/>
    </w:p>
    <w:p>
      <w:pPr>
        <w:spacing w:line="560" w:lineRule="exact"/>
        <w:jc w:val="left"/>
        <w:rPr>
          <w:rFonts w:hint="eastAsia" w:asciiTheme="minorEastAsia" w:hAnsiTheme="minorEastAsia" w:eastAsiaTheme="minorEastAsia" w:cstheme="minorEastAsia"/>
          <w:b/>
          <w:color w:val="auto"/>
          <w:spacing w:val="4"/>
          <w:sz w:val="24"/>
          <w:szCs w:val="24"/>
          <w:u w:val="single"/>
          <w:lang w:val="en-US" w:eastAsia="zh-CN"/>
        </w:rPr>
      </w:pPr>
      <w:r>
        <w:rPr>
          <w:rFonts w:hint="eastAsia" w:asciiTheme="minorEastAsia" w:hAnsiTheme="minorEastAsia" w:eastAsiaTheme="minorEastAsia" w:cstheme="minorEastAsia"/>
          <w:b/>
          <w:color w:val="auto"/>
          <w:spacing w:val="4"/>
          <w:sz w:val="24"/>
          <w:szCs w:val="24"/>
        </w:rPr>
        <w:t>致：</w:t>
      </w:r>
      <w:r>
        <w:rPr>
          <w:rFonts w:hint="eastAsia" w:asciiTheme="minorEastAsia" w:hAnsiTheme="minorEastAsia" w:eastAsiaTheme="minorEastAsia" w:cstheme="minorEastAsia"/>
          <w:b/>
          <w:color w:val="auto"/>
          <w:spacing w:val="4"/>
          <w:sz w:val="24"/>
          <w:szCs w:val="24"/>
          <w:u w:val="single"/>
          <w:lang w:val="en-US" w:eastAsia="zh-CN"/>
        </w:rPr>
        <w:t>中拓达建项目管理有限公司</w:t>
      </w:r>
    </w:p>
    <w:p>
      <w:pPr>
        <w:spacing w:line="560" w:lineRule="exact"/>
        <w:ind w:firstLine="744" w:firstLineChars="3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u w:val="single"/>
        </w:rPr>
        <w:t xml:space="preserve">(投标人名称) </w:t>
      </w:r>
      <w:r>
        <w:rPr>
          <w:rFonts w:hint="eastAsia" w:asciiTheme="minorEastAsia" w:hAnsiTheme="minorEastAsia" w:eastAsiaTheme="minorEastAsia" w:cstheme="minorEastAsia"/>
          <w:color w:val="auto"/>
          <w:spacing w:val="4"/>
          <w:sz w:val="24"/>
          <w:szCs w:val="24"/>
          <w:u w:val="single"/>
          <w:lang w:val="en-US" w:eastAsia="zh-CN"/>
        </w:rPr>
        <w:t xml:space="preserve">  </w:t>
      </w:r>
      <w:r>
        <w:rPr>
          <w:rFonts w:hint="eastAsia" w:asciiTheme="minorEastAsia" w:hAnsiTheme="minorEastAsia" w:eastAsiaTheme="minorEastAsia" w:cstheme="minorEastAsia"/>
          <w:color w:val="auto"/>
          <w:spacing w:val="4"/>
          <w:sz w:val="24"/>
          <w:szCs w:val="24"/>
          <w:u w:val="single"/>
        </w:rPr>
        <w:t xml:space="preserve">  </w:t>
      </w:r>
      <w:r>
        <w:rPr>
          <w:rFonts w:hint="eastAsia" w:asciiTheme="minorEastAsia" w:hAnsiTheme="minorEastAsia" w:eastAsiaTheme="minorEastAsia" w:cstheme="minorEastAsia"/>
          <w:color w:val="auto"/>
          <w:spacing w:val="4"/>
          <w:sz w:val="24"/>
          <w:szCs w:val="24"/>
        </w:rPr>
        <w:t>按中华人民共和国法律于</w:t>
      </w:r>
      <w:r>
        <w:rPr>
          <w:rFonts w:hint="eastAsia" w:asciiTheme="minorEastAsia" w:hAnsiTheme="minorEastAsia" w:eastAsiaTheme="minorEastAsia" w:cstheme="minorEastAsia"/>
          <w:color w:val="auto"/>
          <w:spacing w:val="4"/>
          <w:sz w:val="24"/>
          <w:szCs w:val="24"/>
          <w:u w:val="single"/>
        </w:rPr>
        <w:t>（年</w:t>
      </w:r>
      <w:r>
        <w:rPr>
          <w:rFonts w:hint="eastAsia" w:asciiTheme="minorEastAsia" w:hAnsiTheme="minorEastAsia" w:eastAsiaTheme="minorEastAsia" w:cstheme="minorEastAsia"/>
          <w:color w:val="auto"/>
          <w:spacing w:val="4"/>
          <w:sz w:val="24"/>
          <w:szCs w:val="24"/>
          <w:u w:val="single"/>
          <w:lang w:val="en-US" w:eastAsia="zh-CN"/>
        </w:rPr>
        <w:t xml:space="preserve">  </w:t>
      </w:r>
      <w:r>
        <w:rPr>
          <w:rFonts w:hint="eastAsia" w:asciiTheme="minorEastAsia" w:hAnsiTheme="minorEastAsia" w:eastAsiaTheme="minorEastAsia" w:cstheme="minorEastAsia"/>
          <w:color w:val="auto"/>
          <w:spacing w:val="4"/>
          <w:sz w:val="24"/>
          <w:szCs w:val="24"/>
          <w:u w:val="single"/>
        </w:rPr>
        <w:t>月</w:t>
      </w:r>
      <w:r>
        <w:rPr>
          <w:rFonts w:hint="eastAsia" w:asciiTheme="minorEastAsia" w:hAnsiTheme="minorEastAsia" w:eastAsiaTheme="minorEastAsia" w:cstheme="minorEastAsia"/>
          <w:color w:val="auto"/>
          <w:spacing w:val="4"/>
          <w:sz w:val="24"/>
          <w:szCs w:val="24"/>
          <w:u w:val="single"/>
          <w:lang w:val="en-US" w:eastAsia="zh-CN"/>
        </w:rPr>
        <w:t xml:space="preserve">  </w:t>
      </w:r>
      <w:r>
        <w:rPr>
          <w:rFonts w:hint="eastAsia" w:asciiTheme="minorEastAsia" w:hAnsiTheme="minorEastAsia" w:eastAsiaTheme="minorEastAsia" w:cstheme="minorEastAsia"/>
          <w:color w:val="auto"/>
          <w:spacing w:val="4"/>
          <w:sz w:val="24"/>
          <w:szCs w:val="24"/>
          <w:u w:val="single"/>
        </w:rPr>
        <w:t>日）</w:t>
      </w:r>
      <w:r>
        <w:rPr>
          <w:rFonts w:hint="eastAsia" w:asciiTheme="minorEastAsia" w:hAnsiTheme="minorEastAsia" w:eastAsiaTheme="minorEastAsia" w:cstheme="minorEastAsia"/>
          <w:color w:val="auto"/>
          <w:spacing w:val="4"/>
          <w:sz w:val="24"/>
          <w:szCs w:val="24"/>
        </w:rPr>
        <w:t>成立。</w:t>
      </w:r>
      <w:r>
        <w:rPr>
          <w:rFonts w:hint="eastAsia" w:asciiTheme="minorEastAsia" w:hAnsiTheme="minorEastAsia" w:eastAsiaTheme="minorEastAsia" w:cstheme="minorEastAsia"/>
          <w:color w:val="auto"/>
          <w:spacing w:val="4"/>
          <w:sz w:val="24"/>
          <w:szCs w:val="24"/>
          <w:u w:val="single"/>
        </w:rPr>
        <w:t>(</w:t>
      </w:r>
      <w:r>
        <w:rPr>
          <w:rFonts w:hint="eastAsia" w:asciiTheme="minorEastAsia" w:hAnsiTheme="minorEastAsia" w:eastAsiaTheme="minorEastAsia" w:cstheme="minorEastAsia"/>
          <w:color w:val="auto"/>
          <w:sz w:val="24"/>
          <w:szCs w:val="24"/>
          <w:u w:val="single"/>
        </w:rPr>
        <w:t>法定代表人</w:t>
      </w:r>
      <w:r>
        <w:rPr>
          <w:rFonts w:hint="eastAsia" w:asciiTheme="minorEastAsia" w:hAnsiTheme="minorEastAsia" w:eastAsiaTheme="minorEastAsia" w:cstheme="minorEastAsia"/>
          <w:color w:val="auto"/>
          <w:spacing w:val="4"/>
          <w:sz w:val="24"/>
          <w:szCs w:val="24"/>
          <w:u w:val="single"/>
        </w:rPr>
        <w:t>姓名)</w:t>
      </w:r>
      <w:r>
        <w:rPr>
          <w:rFonts w:hint="eastAsia" w:asciiTheme="minorEastAsia" w:hAnsiTheme="minorEastAsia" w:eastAsiaTheme="minorEastAsia" w:cstheme="minorEastAsia"/>
          <w:color w:val="auto"/>
          <w:spacing w:val="4"/>
          <w:sz w:val="24"/>
          <w:szCs w:val="24"/>
        </w:rPr>
        <w:t>特授权</w:t>
      </w:r>
      <w:r>
        <w:rPr>
          <w:rFonts w:hint="eastAsia" w:asciiTheme="minorEastAsia" w:hAnsiTheme="minorEastAsia" w:eastAsiaTheme="minorEastAsia" w:cstheme="minorEastAsia"/>
          <w:color w:val="auto"/>
          <w:spacing w:val="4"/>
          <w:sz w:val="24"/>
          <w:szCs w:val="24"/>
          <w:u w:val="single"/>
        </w:rPr>
        <w:t>（</w:t>
      </w:r>
      <w:r>
        <w:rPr>
          <w:rFonts w:hint="eastAsia" w:asciiTheme="minorEastAsia" w:hAnsiTheme="minorEastAsia" w:eastAsiaTheme="minorEastAsia" w:cstheme="minorEastAsia"/>
          <w:color w:val="auto"/>
          <w:sz w:val="24"/>
          <w:szCs w:val="24"/>
          <w:u w:val="single"/>
        </w:rPr>
        <w:t>授权代表</w:t>
      </w:r>
      <w:r>
        <w:rPr>
          <w:rFonts w:hint="eastAsia" w:asciiTheme="minorEastAsia" w:hAnsiTheme="minorEastAsia" w:eastAsiaTheme="minorEastAsia" w:cstheme="minorEastAsia"/>
          <w:color w:val="auto"/>
          <w:spacing w:val="4"/>
          <w:sz w:val="24"/>
          <w:szCs w:val="24"/>
          <w:u w:val="single"/>
        </w:rPr>
        <w:t>姓名）</w:t>
      </w:r>
      <w:r>
        <w:rPr>
          <w:rFonts w:hint="eastAsia" w:asciiTheme="minorEastAsia" w:hAnsiTheme="minorEastAsia" w:eastAsiaTheme="minorEastAsia" w:cstheme="minorEastAsia"/>
          <w:color w:val="auto"/>
          <w:spacing w:val="4"/>
          <w:sz w:val="24"/>
          <w:szCs w:val="24"/>
        </w:rPr>
        <w:t>代表我公司全权办理针对本次</w:t>
      </w:r>
      <w:r>
        <w:rPr>
          <w:rFonts w:hint="eastAsia" w:asciiTheme="minorEastAsia" w:hAnsiTheme="minorEastAsia" w:eastAsiaTheme="minorEastAsia" w:cstheme="minorEastAsia"/>
          <w:color w:val="auto"/>
          <w:spacing w:val="4"/>
          <w:sz w:val="24"/>
          <w:szCs w:val="24"/>
          <w:u w:val="single"/>
        </w:rPr>
        <w:t>（项目名称</w:t>
      </w:r>
      <w:r>
        <w:rPr>
          <w:rFonts w:hint="eastAsia" w:asciiTheme="minorEastAsia" w:hAnsiTheme="minorEastAsia" w:eastAsiaTheme="minorEastAsia" w:cstheme="minorEastAsia"/>
          <w:color w:val="auto"/>
          <w:spacing w:val="4"/>
          <w:sz w:val="24"/>
          <w:szCs w:val="24"/>
          <w:u w:val="single"/>
          <w:lang w:eastAsia="zh-CN"/>
        </w:rPr>
        <w:t>及标段</w:t>
      </w:r>
      <w:r>
        <w:rPr>
          <w:rFonts w:hint="eastAsia" w:asciiTheme="minorEastAsia" w:hAnsiTheme="minorEastAsia" w:eastAsiaTheme="minorEastAsia" w:cstheme="minorEastAsia"/>
          <w:color w:val="auto"/>
          <w:spacing w:val="4"/>
          <w:sz w:val="24"/>
          <w:szCs w:val="24"/>
          <w:u w:val="single"/>
        </w:rPr>
        <w:t>、项目编号）</w:t>
      </w:r>
      <w:r>
        <w:rPr>
          <w:rFonts w:hint="eastAsia" w:asciiTheme="minorEastAsia" w:hAnsiTheme="minorEastAsia" w:eastAsiaTheme="minorEastAsia" w:cstheme="minorEastAsia"/>
          <w:color w:val="auto"/>
          <w:spacing w:val="4"/>
          <w:sz w:val="24"/>
          <w:szCs w:val="24"/>
        </w:rPr>
        <w:t>投标、谈判、签约等具体工作，并签署全部有关的文件、协议及合同。</w:t>
      </w:r>
    </w:p>
    <w:p>
      <w:pPr>
        <w:spacing w:line="560" w:lineRule="exact"/>
        <w:ind w:firstLine="496" w:firstLineChars="2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我公司对</w:t>
      </w:r>
      <w:r>
        <w:rPr>
          <w:rFonts w:hint="eastAsia" w:asciiTheme="minorEastAsia" w:hAnsiTheme="minorEastAsia" w:eastAsiaTheme="minorEastAsia" w:cstheme="minorEastAsia"/>
          <w:color w:val="auto"/>
          <w:sz w:val="24"/>
          <w:szCs w:val="24"/>
        </w:rPr>
        <w:t>授权代表</w:t>
      </w:r>
      <w:r>
        <w:rPr>
          <w:rFonts w:hint="eastAsia" w:asciiTheme="minorEastAsia" w:hAnsiTheme="minorEastAsia" w:eastAsiaTheme="minorEastAsia" w:cstheme="minorEastAsia"/>
          <w:color w:val="auto"/>
          <w:spacing w:val="4"/>
          <w:sz w:val="24"/>
          <w:szCs w:val="24"/>
        </w:rPr>
        <w:t>的签名负全部责任。</w:t>
      </w:r>
    </w:p>
    <w:p>
      <w:pPr>
        <w:spacing w:line="560" w:lineRule="exact"/>
        <w:ind w:right="540" w:rightChars="257"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委托期限：</w:t>
      </w:r>
      <w:r>
        <w:rPr>
          <w:rFonts w:hint="eastAsia" w:asciiTheme="minorEastAsia" w:hAnsiTheme="minorEastAsia" w:eastAsiaTheme="minorEastAsia" w:cstheme="minorEastAsia"/>
          <w:color w:val="auto"/>
          <w:sz w:val="24"/>
          <w:szCs w:val="24"/>
          <w:lang w:val="zh-CN"/>
        </w:rPr>
        <w:t>自</w:t>
      </w:r>
      <w:r>
        <w:rPr>
          <w:rFonts w:hint="eastAsia" w:asciiTheme="minorEastAsia" w:hAnsiTheme="minorEastAsia" w:eastAsiaTheme="minorEastAsia" w:cstheme="minorEastAsia"/>
          <w:color w:val="auto"/>
          <w:sz w:val="24"/>
          <w:szCs w:val="24"/>
        </w:rPr>
        <w:t>投标截止</w:t>
      </w:r>
      <w:r>
        <w:rPr>
          <w:rFonts w:hint="eastAsia" w:asciiTheme="minorEastAsia" w:hAnsiTheme="minorEastAsia" w:eastAsiaTheme="minorEastAsia" w:cstheme="minorEastAsia"/>
          <w:color w:val="auto"/>
          <w:sz w:val="24"/>
          <w:szCs w:val="24"/>
          <w:lang w:val="zh-CN"/>
        </w:rPr>
        <w:t>之日起</w:t>
      </w:r>
      <w:r>
        <w:rPr>
          <w:rFonts w:hint="eastAsia" w:asciiTheme="minorEastAsia" w:hAnsiTheme="minorEastAsia" w:eastAsiaTheme="minorEastAsia" w:cstheme="minorEastAsia"/>
          <w:color w:val="auto"/>
          <w:sz w:val="24"/>
          <w:szCs w:val="24"/>
        </w:rPr>
        <w:t>90</w:t>
      </w:r>
      <w:r>
        <w:rPr>
          <w:rFonts w:hint="eastAsia" w:asciiTheme="minorEastAsia" w:hAnsiTheme="minorEastAsia" w:eastAsiaTheme="minorEastAsia" w:cstheme="minorEastAsia"/>
          <w:color w:val="auto"/>
          <w:sz w:val="24"/>
          <w:szCs w:val="24"/>
          <w:lang w:val="zh-CN"/>
        </w:rPr>
        <w:t>天。</w:t>
      </w:r>
    </w:p>
    <w:p>
      <w:pPr>
        <w:spacing w:line="560" w:lineRule="exact"/>
        <w:ind w:firstLine="496" w:firstLineChars="200"/>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本授权书于</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spacing w:val="4"/>
          <w:sz w:val="24"/>
          <w:szCs w:val="24"/>
          <w:u w:val="single"/>
        </w:rPr>
        <w:t>年</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spacing w:val="4"/>
          <w:sz w:val="24"/>
          <w:szCs w:val="24"/>
          <w:u w:val="single"/>
        </w:rPr>
        <w:t>月</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spacing w:val="4"/>
          <w:sz w:val="24"/>
          <w:szCs w:val="24"/>
          <w:u w:val="single"/>
        </w:rPr>
        <w:t>日</w:t>
      </w:r>
      <w:r>
        <w:rPr>
          <w:rFonts w:hint="eastAsia" w:asciiTheme="minorEastAsia" w:hAnsiTheme="minorEastAsia" w:eastAsiaTheme="minorEastAsia" w:cstheme="minorEastAsia"/>
          <w:color w:val="auto"/>
          <w:spacing w:val="4"/>
          <w:sz w:val="24"/>
          <w:szCs w:val="24"/>
        </w:rPr>
        <w:t>签章生效，特此证明。</w:t>
      </w:r>
    </w:p>
    <w:tbl>
      <w:tblPr>
        <w:tblStyle w:val="28"/>
        <w:tblW w:w="8999" w:type="dxa"/>
        <w:jc w:val="center"/>
        <w:tblLayout w:type="fixed"/>
        <w:tblCellMar>
          <w:top w:w="0" w:type="dxa"/>
          <w:left w:w="108" w:type="dxa"/>
          <w:bottom w:w="0" w:type="dxa"/>
          <w:right w:w="108" w:type="dxa"/>
        </w:tblCellMar>
      </w:tblPr>
      <w:tblGrid>
        <w:gridCol w:w="4615"/>
        <w:gridCol w:w="4384"/>
      </w:tblGrid>
      <w:tr>
        <w:tblPrEx>
          <w:tblCellMar>
            <w:top w:w="0" w:type="dxa"/>
            <w:left w:w="108" w:type="dxa"/>
            <w:bottom w:w="0" w:type="dxa"/>
            <w:right w:w="108" w:type="dxa"/>
          </w:tblCellMar>
        </w:tblPrEx>
        <w:trPr>
          <w:trHeight w:val="643" w:hRule="atLeast"/>
          <w:jc w:val="center"/>
        </w:trPr>
        <w:tc>
          <w:tcPr>
            <w:tcW w:w="4615" w:type="dxa"/>
          </w:tcPr>
          <w:p>
            <w:pPr>
              <w:spacing w:line="520" w:lineRule="exact"/>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被授权人签字或盖章：</w:t>
            </w:r>
            <w:r>
              <w:rPr>
                <w:rFonts w:asciiTheme="minorEastAsia" w:hAnsiTheme="minorEastAsia" w:eastAsiaTheme="minorEastAsia" w:cstheme="minorEastAsia"/>
                <w:color w:val="auto"/>
                <w:kern w:val="0"/>
                <w:sz w:val="24"/>
                <w:szCs w:val="24"/>
                <w:u w:val="single"/>
              </w:rPr>
              <w:t xml:space="preserve">             </w:t>
            </w:r>
          </w:p>
        </w:tc>
        <w:tc>
          <w:tcPr>
            <w:tcW w:w="4384" w:type="dxa"/>
          </w:tcPr>
          <w:p>
            <w:pPr>
              <w:spacing w:line="520" w:lineRule="exact"/>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pacing w:val="4"/>
                <w:sz w:val="24"/>
                <w:szCs w:val="24"/>
              </w:rPr>
              <w:t>签字或盖章：</w:t>
            </w:r>
            <w:r>
              <w:rPr>
                <w:rFonts w:asciiTheme="minorEastAsia" w:hAnsiTheme="minorEastAsia" w:eastAsiaTheme="minorEastAsia" w:cstheme="minorEastAsia"/>
                <w:color w:val="auto"/>
                <w:kern w:val="0"/>
                <w:sz w:val="24"/>
                <w:szCs w:val="24"/>
                <w:u w:val="single"/>
              </w:rPr>
              <w:t xml:space="preserve">            </w:t>
            </w:r>
          </w:p>
        </w:tc>
      </w:tr>
      <w:tr>
        <w:tblPrEx>
          <w:tblCellMar>
            <w:top w:w="0" w:type="dxa"/>
            <w:left w:w="108" w:type="dxa"/>
            <w:bottom w:w="0" w:type="dxa"/>
            <w:right w:w="108" w:type="dxa"/>
          </w:tblCellMar>
        </w:tblPrEx>
        <w:trPr>
          <w:trHeight w:val="643" w:hRule="atLeast"/>
          <w:jc w:val="center"/>
        </w:trPr>
        <w:tc>
          <w:tcPr>
            <w:tcW w:w="4615" w:type="dxa"/>
          </w:tcPr>
          <w:p>
            <w:pPr>
              <w:spacing w:line="520" w:lineRule="exact"/>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职务：</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u w:val="single"/>
                <w:lang w:val="en-US" w:eastAsia="zh-CN"/>
              </w:rPr>
              <w:t xml:space="preserve"> </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u w:val="single"/>
                <w:lang w:val="en-US" w:eastAsia="zh-CN"/>
              </w:rPr>
              <w:t xml:space="preserve"> </w:t>
            </w:r>
            <w:r>
              <w:rPr>
                <w:rFonts w:asciiTheme="minorEastAsia" w:hAnsiTheme="minorEastAsia" w:eastAsiaTheme="minorEastAsia" w:cstheme="minorEastAsia"/>
                <w:color w:val="auto"/>
                <w:kern w:val="0"/>
                <w:sz w:val="24"/>
                <w:szCs w:val="24"/>
                <w:u w:val="single"/>
              </w:rPr>
              <w:t xml:space="preserve">    </w:t>
            </w:r>
          </w:p>
        </w:tc>
        <w:tc>
          <w:tcPr>
            <w:tcW w:w="4384" w:type="dxa"/>
          </w:tcPr>
          <w:p>
            <w:pPr>
              <w:spacing w:line="520" w:lineRule="exact"/>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职务：</w:t>
            </w:r>
            <w:r>
              <w:rPr>
                <w:rFonts w:asciiTheme="minorEastAsia" w:hAnsiTheme="minorEastAsia" w:eastAsiaTheme="minorEastAsia" w:cstheme="minorEastAsia"/>
                <w:color w:val="auto"/>
                <w:kern w:val="0"/>
                <w:sz w:val="24"/>
                <w:szCs w:val="24"/>
                <w:u w:val="single"/>
              </w:rPr>
              <w:t xml:space="preserve">                            </w:t>
            </w:r>
          </w:p>
        </w:tc>
      </w:tr>
      <w:tr>
        <w:tblPrEx>
          <w:tblCellMar>
            <w:top w:w="0" w:type="dxa"/>
            <w:left w:w="108" w:type="dxa"/>
            <w:bottom w:w="0" w:type="dxa"/>
            <w:right w:w="108" w:type="dxa"/>
          </w:tblCellMar>
        </w:tblPrEx>
        <w:trPr>
          <w:trHeight w:val="643" w:hRule="atLeast"/>
          <w:jc w:val="center"/>
        </w:trPr>
        <w:tc>
          <w:tcPr>
            <w:tcW w:w="4615" w:type="dxa"/>
          </w:tcPr>
          <w:p>
            <w:pPr>
              <w:spacing w:line="520" w:lineRule="exact"/>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身份证号：</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u w:val="single"/>
                <w:lang w:val="en-US" w:eastAsia="zh-CN"/>
              </w:rPr>
              <w:t xml:space="preserve">   </w:t>
            </w:r>
            <w:r>
              <w:rPr>
                <w:rFonts w:asciiTheme="minorEastAsia" w:hAnsiTheme="minorEastAsia" w:eastAsiaTheme="minorEastAsia" w:cstheme="minorEastAsia"/>
                <w:color w:val="auto"/>
                <w:kern w:val="0"/>
                <w:sz w:val="24"/>
                <w:szCs w:val="24"/>
                <w:u w:val="single"/>
              </w:rPr>
              <w:t xml:space="preserve">      </w:t>
            </w:r>
          </w:p>
        </w:tc>
        <w:tc>
          <w:tcPr>
            <w:tcW w:w="4384" w:type="dxa"/>
          </w:tcPr>
          <w:p>
            <w:pPr>
              <w:spacing w:line="520" w:lineRule="exact"/>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身份证号：</w:t>
            </w:r>
            <w:r>
              <w:rPr>
                <w:rFonts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u w:val="single"/>
                <w:lang w:val="en-US" w:eastAsia="zh-CN"/>
              </w:rPr>
              <w:t xml:space="preserve"> </w:t>
            </w:r>
            <w:r>
              <w:rPr>
                <w:rFonts w:asciiTheme="minorEastAsia" w:hAnsiTheme="minorEastAsia" w:eastAsiaTheme="minorEastAsia" w:cstheme="minorEastAsia"/>
                <w:color w:val="auto"/>
                <w:kern w:val="0"/>
                <w:sz w:val="24"/>
                <w:szCs w:val="24"/>
                <w:u w:val="single"/>
              </w:rPr>
              <w:t xml:space="preserve">           </w:t>
            </w:r>
          </w:p>
        </w:tc>
      </w:tr>
      <w:tr>
        <w:tblPrEx>
          <w:tblCellMar>
            <w:top w:w="0" w:type="dxa"/>
            <w:left w:w="108" w:type="dxa"/>
            <w:bottom w:w="0" w:type="dxa"/>
            <w:right w:w="108" w:type="dxa"/>
          </w:tblCellMar>
        </w:tblPrEx>
        <w:trPr>
          <w:trHeight w:val="643" w:hRule="atLeast"/>
          <w:jc w:val="center"/>
        </w:trPr>
        <w:tc>
          <w:tcPr>
            <w:tcW w:w="4615" w:type="dxa"/>
          </w:tcPr>
          <w:p>
            <w:pPr>
              <w:spacing w:line="520" w:lineRule="exact"/>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所在部门：</w:t>
            </w:r>
            <w:r>
              <w:rPr>
                <w:rFonts w:asciiTheme="minorEastAsia" w:hAnsiTheme="minorEastAsia" w:eastAsiaTheme="minorEastAsia" w:cstheme="minorEastAsia"/>
                <w:color w:val="auto"/>
                <w:kern w:val="0"/>
                <w:sz w:val="24"/>
                <w:szCs w:val="24"/>
                <w:u w:val="single"/>
              </w:rPr>
              <w:t xml:space="preserve">       </w:t>
            </w:r>
          </w:p>
        </w:tc>
        <w:tc>
          <w:tcPr>
            <w:tcW w:w="4384" w:type="dxa"/>
          </w:tcPr>
          <w:p>
            <w:pPr>
              <w:spacing w:line="520" w:lineRule="exact"/>
              <w:jc w:val="left"/>
              <w:rPr>
                <w:rFonts w:asciiTheme="minorEastAsia" w:hAnsiTheme="minorEastAsia" w:eastAsiaTheme="minorEastAsia" w:cstheme="minorEastAsia"/>
                <w:color w:val="auto"/>
                <w:spacing w:val="4"/>
                <w:sz w:val="24"/>
                <w:szCs w:val="24"/>
              </w:rPr>
            </w:pPr>
          </w:p>
        </w:tc>
      </w:tr>
    </w:tbl>
    <w:p>
      <w:pPr>
        <w:spacing w:before="240" w:line="360" w:lineRule="auto"/>
        <w:ind w:firstLine="960" w:firstLineChars="400"/>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lang w:val="zh-CN"/>
        </w:rPr>
        <w:t>附法定代表人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授权代表身份证复印件</w:t>
      </w:r>
    </w:p>
    <w:tbl>
      <w:tblPr>
        <w:tblStyle w:val="28"/>
        <w:tblW w:w="9799" w:type="dxa"/>
        <w:jc w:val="center"/>
        <w:tblLayout w:type="fixed"/>
        <w:tblCellMar>
          <w:top w:w="0" w:type="dxa"/>
          <w:left w:w="108" w:type="dxa"/>
          <w:bottom w:w="0" w:type="dxa"/>
          <w:right w:w="108" w:type="dxa"/>
        </w:tblCellMar>
      </w:tblPr>
      <w:tblGrid>
        <w:gridCol w:w="4978"/>
        <w:gridCol w:w="4821"/>
      </w:tblGrid>
      <w:tr>
        <w:tblPrEx>
          <w:tblCellMar>
            <w:top w:w="0" w:type="dxa"/>
            <w:left w:w="108" w:type="dxa"/>
            <w:bottom w:w="0" w:type="dxa"/>
            <w:right w:w="108" w:type="dxa"/>
          </w:tblCellMar>
        </w:tblPrEx>
        <w:trPr>
          <w:trHeight w:val="3532" w:hRule="atLeast"/>
          <w:jc w:val="center"/>
        </w:trPr>
        <w:tc>
          <w:tcPr>
            <w:tcW w:w="497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法定代表人身份证复印件粘贴处</w:t>
            </w:r>
          </w:p>
          <w:p>
            <w:pPr>
              <w:spacing w:line="360" w:lineRule="auto"/>
              <w:jc w:val="center"/>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lang w:val="zh-CN"/>
              </w:rPr>
              <w:t>（正反面）</w:t>
            </w:r>
          </w:p>
        </w:tc>
        <w:tc>
          <w:tcPr>
            <w:tcW w:w="48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before="156" w:beforeLines="50"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授权代表身份证复印件粘贴处</w:t>
            </w:r>
          </w:p>
          <w:p>
            <w:pPr>
              <w:autoSpaceDE w:val="0"/>
              <w:autoSpaceDN w:val="0"/>
              <w:adjustRightInd w:val="0"/>
              <w:snapToGrid w:val="0"/>
              <w:spacing w:before="156" w:beforeLines="50" w:line="360" w:lineRule="auto"/>
              <w:jc w:val="center"/>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（正反面）</w:t>
            </w:r>
          </w:p>
        </w:tc>
      </w:tr>
    </w:tbl>
    <w:p>
      <w:pPr>
        <w:spacing w:line="480" w:lineRule="auto"/>
        <w:ind w:left="424" w:leftChars="202" w:right="540" w:rightChars="257"/>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w:t>
      </w:r>
      <w:r>
        <w:rPr>
          <w:rFonts w:hint="eastAsia" w:asciiTheme="minorEastAsia" w:hAnsiTheme="minorEastAsia" w:eastAsiaTheme="minorEastAsia" w:cstheme="minorEastAsia"/>
          <w:color w:val="auto"/>
          <w:sz w:val="24"/>
          <w:szCs w:val="24"/>
          <w:u w:val="single"/>
        </w:rPr>
        <w:t xml:space="preserve">            （加盖单位公章）</w:t>
      </w:r>
    </w:p>
    <w:p>
      <w:pPr>
        <w:spacing w:line="440" w:lineRule="exact"/>
        <w:ind w:left="424" w:leftChars="202"/>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日期：</w:t>
      </w:r>
      <w:r>
        <w:rPr>
          <w:rFonts w:asciiTheme="minorEastAsia" w:hAnsiTheme="minorEastAsia" w:eastAsiaTheme="minorEastAsia" w:cstheme="minorEastAsia"/>
          <w:color w:val="auto"/>
          <w:kern w:val="0"/>
          <w:sz w:val="24"/>
          <w:szCs w:val="24"/>
          <w:u w:val="single"/>
        </w:rPr>
        <w:t xml:space="preserve">                            </w:t>
      </w:r>
    </w:p>
    <w:p>
      <w:pPr>
        <w:ind w:firstLine="422" w:firstLineChars="200"/>
        <w:rPr>
          <w:rFonts w:asciiTheme="minorEastAsia" w:hAnsiTheme="minorEastAsia" w:eastAsiaTheme="minorEastAsia" w:cstheme="minorEastAsia"/>
          <w:b/>
          <w:bCs/>
          <w:color w:val="auto"/>
          <w:lang w:val="zh-CN"/>
        </w:rPr>
      </w:pPr>
    </w:p>
    <w:p>
      <w:pPr>
        <w:rPr>
          <w:rFonts w:asciiTheme="minorEastAsia" w:hAnsiTheme="minorEastAsia" w:eastAsiaTheme="minorEastAsia" w:cstheme="minorEastAsia"/>
          <w:color w:val="auto"/>
        </w:rPr>
      </w:pPr>
      <w:bookmarkStart w:id="125" w:name="_Toc25905"/>
      <w:r>
        <w:rPr>
          <w:rFonts w:hint="eastAsia" w:asciiTheme="minorEastAsia" w:hAnsiTheme="minorEastAsia" w:eastAsiaTheme="minorEastAsia" w:cstheme="minorEastAsia"/>
          <w:color w:val="auto"/>
          <w:spacing w:val="4"/>
          <w:szCs w:val="30"/>
        </w:rPr>
        <w:br w:type="page"/>
      </w:r>
      <w:bookmarkEnd w:id="125"/>
    </w:p>
    <w:p>
      <w:pPr>
        <w:ind w:firstLine="562"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附件2：</w:t>
      </w:r>
    </w:p>
    <w:p>
      <w:pPr>
        <w:spacing w:before="156" w:beforeLines="50" w:after="156" w:afterLines="50" w:line="360" w:lineRule="auto"/>
        <w:jc w:val="center"/>
        <w:rPr>
          <w:rFonts w:hAnsi="宋体" w:cs="宋体"/>
          <w:color w:val="auto"/>
          <w:szCs w:val="24"/>
        </w:rPr>
      </w:pPr>
      <w:r>
        <w:rPr>
          <w:rFonts w:hint="eastAsia" w:hAnsi="宋体" w:cs="宋体"/>
          <w:b/>
          <w:color w:val="auto"/>
          <w:sz w:val="28"/>
          <w:szCs w:val="28"/>
        </w:rPr>
        <w:t>中小企业声明函</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hAnsi="宋体" w:cs="宋体"/>
          <w:color w:val="auto"/>
          <w:sz w:val="24"/>
          <w:szCs w:val="24"/>
        </w:rPr>
      </w:pPr>
      <w:r>
        <w:rPr>
          <w:rFonts w:hint="eastAsia" w:hAnsi="宋体" w:cs="宋体"/>
          <w:color w:val="auto"/>
          <w:sz w:val="24"/>
          <w:szCs w:val="24"/>
          <w:lang w:val="en-US" w:eastAsia="zh-CN"/>
        </w:rPr>
        <w:t xml:space="preserve">    </w:t>
      </w:r>
      <w:r>
        <w:rPr>
          <w:rFonts w:hint="eastAsia" w:hAnsi="宋体" w:cs="宋体"/>
          <w:color w:val="auto"/>
          <w:sz w:val="24"/>
          <w:szCs w:val="24"/>
        </w:rPr>
        <w:t>本</w:t>
      </w:r>
      <w:r>
        <w:rPr>
          <w:rFonts w:hint="eastAsia" w:hAnsi="宋体" w:cs="宋体"/>
          <w:color w:val="auto"/>
          <w:sz w:val="24"/>
          <w:szCs w:val="24"/>
          <w:lang w:eastAsia="zh-CN"/>
        </w:rPr>
        <w:t>单位</w:t>
      </w:r>
      <w:r>
        <w:rPr>
          <w:rFonts w:hint="eastAsia" w:hAnsi="宋体" w:cs="宋体"/>
          <w:color w:val="auto"/>
          <w:sz w:val="24"/>
          <w:szCs w:val="24"/>
        </w:rPr>
        <w:t>郑重声明，根据《政府采购促进中小企业发展管理办法》（财库﹝2020﹞46 号）的规定，参加</w:t>
      </w:r>
      <w:r>
        <w:rPr>
          <w:rFonts w:hint="eastAsia" w:hAnsi="宋体" w:cs="宋体"/>
          <w:color w:val="auto"/>
          <w:sz w:val="24"/>
          <w:szCs w:val="24"/>
          <w:u w:val="single"/>
        </w:rPr>
        <w:t>商南县野生动物和天然林保护管理中心</w:t>
      </w:r>
      <w:r>
        <w:rPr>
          <w:rFonts w:hint="eastAsia" w:hAnsi="宋体" w:cs="宋体"/>
          <w:color w:val="auto"/>
          <w:sz w:val="24"/>
          <w:szCs w:val="24"/>
        </w:rPr>
        <w:t>的</w:t>
      </w:r>
      <w:r>
        <w:rPr>
          <w:rFonts w:hint="eastAsia" w:hAnsi="宋体" w:cs="宋体"/>
          <w:color w:val="auto"/>
          <w:sz w:val="24"/>
          <w:szCs w:val="24"/>
          <w:u w:val="single"/>
        </w:rPr>
        <w:t>2022年封山育林项目建设采购</w:t>
      </w:r>
      <w:r>
        <w:rPr>
          <w:rFonts w:hint="eastAsia" w:hAnsi="宋体" w:cs="宋体"/>
          <w:color w:val="auto"/>
          <w:sz w:val="24"/>
          <w:szCs w:val="24"/>
        </w:rPr>
        <w:t>活动，工程的施工单位为符合政策要求的中小企业</w:t>
      </w:r>
      <w:r>
        <w:rPr>
          <w:rFonts w:hint="eastAsia" w:hAnsi="宋体" w:cs="宋体"/>
          <w:color w:val="auto"/>
          <w:sz w:val="24"/>
          <w:szCs w:val="24"/>
          <w:lang w:eastAsia="zh-CN"/>
        </w:rPr>
        <w:t>。</w:t>
      </w:r>
      <w:r>
        <w:rPr>
          <w:rFonts w:hint="eastAsia" w:hAnsi="宋体" w:cs="宋体"/>
          <w:color w:val="auto"/>
          <w:sz w:val="24"/>
          <w:szCs w:val="24"/>
        </w:rPr>
        <w:t>企业的具体情况如下：</w:t>
      </w:r>
    </w:p>
    <w:p>
      <w:pPr>
        <w:tabs>
          <w:tab w:val="left" w:pos="1620"/>
          <w:tab w:val="left" w:pos="1800"/>
        </w:tabs>
        <w:spacing w:line="500" w:lineRule="exact"/>
        <w:ind w:firstLine="480" w:firstLineChars="200"/>
        <w:rPr>
          <w:rFonts w:hAnsi="宋体" w:cs="宋体"/>
          <w:color w:val="auto"/>
          <w:sz w:val="24"/>
          <w:szCs w:val="24"/>
        </w:rPr>
      </w:pPr>
      <w:r>
        <w:rPr>
          <w:rFonts w:hint="eastAsia" w:hAnsi="宋体" w:cs="宋体"/>
          <w:color w:val="auto"/>
          <w:sz w:val="24"/>
          <w:szCs w:val="24"/>
        </w:rPr>
        <w:t>承建企业为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ab/>
      </w:r>
      <w:r>
        <w:rPr>
          <w:rFonts w:hint="eastAsia" w:hAnsi="宋体" w:cs="宋体"/>
          <w:color w:val="auto"/>
          <w:sz w:val="24"/>
          <w:szCs w:val="24"/>
          <w:u w:val="single"/>
          <w:lang w:val="en-US" w:eastAsia="zh-CN"/>
        </w:rPr>
        <w:t xml:space="preserve"> </w:t>
      </w:r>
      <w:r>
        <w:rPr>
          <w:rFonts w:hint="eastAsia" w:hAnsi="宋体" w:cs="宋体"/>
          <w:color w:val="auto"/>
          <w:sz w:val="24"/>
          <w:szCs w:val="24"/>
        </w:rPr>
        <w:t>人，营业收入</w:t>
      </w:r>
      <w:r>
        <w:rPr>
          <w:rFonts w:hint="eastAsia" w:hAnsi="宋体" w:cs="宋体"/>
          <w:b w:val="0"/>
          <w:bCs w:val="0"/>
          <w:color w:val="auto"/>
          <w:sz w:val="24"/>
          <w:szCs w:val="24"/>
          <w:u w:val="none"/>
        </w:rPr>
        <w:t>为</w:t>
      </w:r>
      <w:r>
        <w:rPr>
          <w:rFonts w:hint="eastAsia" w:hAnsi="宋体" w:cs="宋体"/>
          <w:b w:val="0"/>
          <w:bCs w:val="0"/>
          <w:color w:val="auto"/>
          <w:sz w:val="24"/>
          <w:szCs w:val="24"/>
          <w:u w:val="single"/>
          <w:lang w:val="en-US" w:eastAsia="zh-CN"/>
        </w:rPr>
        <w:t xml:space="preserve">    </w:t>
      </w:r>
      <w:r>
        <w:rPr>
          <w:rFonts w:hint="eastAsia" w:hAnsi="宋体" w:cs="宋体"/>
          <w:color w:val="auto"/>
          <w:sz w:val="24"/>
          <w:szCs w:val="24"/>
          <w:u w:val="single"/>
        </w:rPr>
        <w:tab/>
      </w:r>
      <w:r>
        <w:rPr>
          <w:rFonts w:hint="eastAsia" w:hAnsi="宋体" w:cs="宋体"/>
          <w:color w:val="auto"/>
          <w:sz w:val="24"/>
          <w:szCs w:val="24"/>
        </w:rPr>
        <w:t>万元，资产总额为</w:t>
      </w:r>
      <w:r>
        <w:rPr>
          <w:rFonts w:hint="eastAsia" w:hAnsi="宋体" w:cs="宋体"/>
          <w:color w:val="auto"/>
          <w:sz w:val="24"/>
          <w:szCs w:val="24"/>
          <w:u w:val="single"/>
          <w:lang w:val="en-US" w:eastAsia="zh-CN"/>
        </w:rPr>
        <w:t xml:space="preserve">    </w:t>
      </w:r>
      <w:r>
        <w:rPr>
          <w:rFonts w:hint="eastAsia" w:hAnsi="宋体" w:cs="宋体"/>
          <w:color w:val="auto"/>
          <w:sz w:val="24"/>
          <w:szCs w:val="24"/>
        </w:rPr>
        <w:t>万元，属于</w:t>
      </w:r>
      <w:r>
        <w:rPr>
          <w:rFonts w:hint="eastAsia" w:hAnsi="宋体" w:cs="宋体"/>
          <w:color w:val="auto"/>
          <w:sz w:val="24"/>
          <w:szCs w:val="24"/>
          <w:u w:val="single"/>
        </w:rPr>
        <w:t>（中型企业、小型企业、微型企业）</w:t>
      </w:r>
      <w:r>
        <w:rPr>
          <w:rFonts w:hint="eastAsia" w:hAnsi="宋体" w:cs="宋体"/>
          <w:color w:val="auto"/>
          <w:sz w:val="24"/>
          <w:szCs w:val="24"/>
        </w:rPr>
        <w:t>；</w:t>
      </w:r>
    </w:p>
    <w:p>
      <w:pPr>
        <w:tabs>
          <w:tab w:val="left" w:pos="1620"/>
          <w:tab w:val="left" w:pos="1800"/>
        </w:tabs>
        <w:spacing w:line="500" w:lineRule="exact"/>
        <w:ind w:firstLine="480" w:firstLineChars="200"/>
        <w:rPr>
          <w:rFonts w:hAnsi="宋体" w:cs="宋体"/>
          <w:color w:val="auto"/>
          <w:sz w:val="24"/>
          <w:szCs w:val="24"/>
        </w:rPr>
      </w:pPr>
      <w:r>
        <w:rPr>
          <w:rFonts w:hint="eastAsia" w:hAnsi="宋体" w:cs="宋体"/>
          <w:color w:val="auto"/>
          <w:sz w:val="24"/>
          <w:szCs w:val="24"/>
          <w:lang w:eastAsia="zh-CN"/>
        </w:rPr>
        <w:t>本单位</w:t>
      </w:r>
      <w:r>
        <w:rPr>
          <w:rFonts w:hint="eastAsia" w:hAnsi="宋体" w:cs="宋体"/>
          <w:color w:val="auto"/>
          <w:sz w:val="24"/>
          <w:szCs w:val="24"/>
        </w:rPr>
        <w:t>不属于大企业的分支机构，不存在控股股东为大企业的情形，也不存在与大企业的负责人为同一人的情形。</w:t>
      </w:r>
    </w:p>
    <w:p>
      <w:pPr>
        <w:tabs>
          <w:tab w:val="left" w:pos="1620"/>
          <w:tab w:val="left" w:pos="1800"/>
        </w:tabs>
        <w:spacing w:line="500" w:lineRule="exact"/>
        <w:ind w:firstLine="480" w:firstLineChars="200"/>
        <w:rPr>
          <w:rFonts w:hAnsi="宋体" w:cs="宋体"/>
          <w:color w:val="auto"/>
          <w:sz w:val="24"/>
          <w:szCs w:val="24"/>
        </w:rPr>
      </w:pPr>
      <w:r>
        <w:rPr>
          <w:rFonts w:hint="eastAsia" w:hAnsi="宋体" w:cs="宋体"/>
          <w:color w:val="auto"/>
          <w:sz w:val="24"/>
          <w:szCs w:val="24"/>
        </w:rPr>
        <w:t>本</w:t>
      </w:r>
      <w:r>
        <w:rPr>
          <w:rFonts w:hint="eastAsia" w:hAnsi="宋体" w:cs="宋体"/>
          <w:color w:val="auto"/>
          <w:sz w:val="24"/>
          <w:szCs w:val="24"/>
          <w:lang w:eastAsia="zh-CN"/>
        </w:rPr>
        <w:t>单位</w:t>
      </w:r>
      <w:r>
        <w:rPr>
          <w:rFonts w:hint="eastAsia" w:hAnsi="宋体" w:cs="宋体"/>
          <w:color w:val="auto"/>
          <w:sz w:val="24"/>
          <w:szCs w:val="24"/>
        </w:rPr>
        <w:t>对上述声明内容的真实性负责。如有虚假，将依法承担相应责任。</w:t>
      </w:r>
    </w:p>
    <w:p>
      <w:pPr>
        <w:tabs>
          <w:tab w:val="left" w:pos="1620"/>
          <w:tab w:val="left" w:pos="1800"/>
        </w:tabs>
        <w:spacing w:line="500" w:lineRule="exact"/>
        <w:rPr>
          <w:rFonts w:hAnsi="宋体" w:cs="宋体"/>
          <w:color w:val="auto"/>
          <w:sz w:val="24"/>
          <w:szCs w:val="24"/>
        </w:rPr>
      </w:pPr>
    </w:p>
    <w:p>
      <w:pPr>
        <w:tabs>
          <w:tab w:val="left" w:pos="1620"/>
          <w:tab w:val="left" w:pos="1800"/>
        </w:tabs>
        <w:spacing w:line="500" w:lineRule="exact"/>
        <w:rPr>
          <w:rFonts w:hAnsi="宋体" w:cs="宋体"/>
          <w:color w:val="auto"/>
          <w:sz w:val="24"/>
          <w:szCs w:val="24"/>
        </w:rPr>
      </w:pPr>
    </w:p>
    <w:p>
      <w:pPr>
        <w:tabs>
          <w:tab w:val="left" w:pos="1620"/>
          <w:tab w:val="left" w:pos="1800"/>
        </w:tabs>
        <w:spacing w:line="500" w:lineRule="exact"/>
        <w:ind w:firstLine="4800" w:firstLineChars="2000"/>
        <w:rPr>
          <w:rFonts w:hAnsi="宋体" w:cs="宋体"/>
          <w:color w:val="auto"/>
          <w:sz w:val="24"/>
          <w:szCs w:val="24"/>
        </w:rPr>
      </w:pPr>
      <w:r>
        <w:rPr>
          <w:rFonts w:hint="eastAsia" w:hAnsi="宋体" w:cs="宋体"/>
          <w:color w:val="auto"/>
          <w:sz w:val="24"/>
          <w:szCs w:val="24"/>
          <w:lang w:eastAsia="zh-CN"/>
        </w:rPr>
        <w:t>单位</w:t>
      </w:r>
      <w:r>
        <w:rPr>
          <w:rFonts w:hint="eastAsia" w:hAnsi="宋体" w:cs="宋体"/>
          <w:color w:val="auto"/>
          <w:sz w:val="24"/>
          <w:szCs w:val="24"/>
        </w:rPr>
        <w:t>名称（盖章）：</w:t>
      </w:r>
    </w:p>
    <w:p>
      <w:pPr>
        <w:tabs>
          <w:tab w:val="left" w:pos="1620"/>
          <w:tab w:val="left" w:pos="1800"/>
        </w:tabs>
        <w:spacing w:line="500" w:lineRule="exact"/>
        <w:ind w:firstLine="4800" w:firstLineChars="2000"/>
        <w:rPr>
          <w:rFonts w:hAnsi="宋体" w:cs="宋体"/>
          <w:color w:val="auto"/>
          <w:sz w:val="24"/>
          <w:szCs w:val="24"/>
        </w:rPr>
      </w:pPr>
      <w:r>
        <w:rPr>
          <w:rFonts w:hint="eastAsia" w:hAnsi="宋体" w:cs="宋体"/>
          <w:color w:val="auto"/>
          <w:sz w:val="24"/>
          <w:szCs w:val="24"/>
        </w:rPr>
        <w:t>日期：</w:t>
      </w:r>
    </w:p>
    <w:p>
      <w:pPr>
        <w:tabs>
          <w:tab w:val="left" w:pos="1620"/>
          <w:tab w:val="left" w:pos="1800"/>
        </w:tabs>
        <w:spacing w:line="500" w:lineRule="exact"/>
        <w:rPr>
          <w:rFonts w:hAnsi="宋体" w:cs="宋体"/>
          <w:color w:val="auto"/>
          <w:sz w:val="24"/>
          <w:szCs w:val="24"/>
        </w:rPr>
      </w:pPr>
      <w:r>
        <w:rPr>
          <w:rFonts w:hint="eastAsia" w:hAnsi="宋体" w:cs="宋体"/>
          <w:color w:val="auto"/>
          <w:sz w:val="24"/>
          <w:szCs w:val="24"/>
        </w:rPr>
        <w:t>备注：</w:t>
      </w:r>
    </w:p>
    <w:p>
      <w:pPr>
        <w:tabs>
          <w:tab w:val="left" w:pos="1620"/>
          <w:tab w:val="left" w:pos="1800"/>
        </w:tabs>
        <w:spacing w:line="500" w:lineRule="exact"/>
        <w:rPr>
          <w:rFonts w:hAnsi="宋体" w:cs="宋体"/>
          <w:color w:val="auto"/>
          <w:sz w:val="24"/>
          <w:szCs w:val="24"/>
        </w:rPr>
      </w:pPr>
      <w:r>
        <w:rPr>
          <w:rFonts w:hint="eastAsia" w:hAnsi="宋体" w:cs="宋体"/>
          <w:color w:val="auto"/>
          <w:sz w:val="24"/>
          <w:szCs w:val="24"/>
        </w:rPr>
        <w:t>1.资产总额：从业人员、营业收入、资产总额填报上一年度数据，无上一年度数据的新成立企业可不填报。</w:t>
      </w:r>
    </w:p>
    <w:p>
      <w:pP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pPr>
        <w:spacing w:line="360" w:lineRule="auto"/>
        <w:jc w:val="left"/>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附件3（如有）：</w:t>
      </w:r>
    </w:p>
    <w:p>
      <w:pPr>
        <w:spacing w:line="360" w:lineRule="auto"/>
        <w:jc w:val="center"/>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投标产品属节能、环境标志产品列表</w:t>
      </w:r>
    </w:p>
    <w:p>
      <w:pPr>
        <w:spacing w:line="360" w:lineRule="auto"/>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项目名称：</w:t>
      </w:r>
    </w:p>
    <w:p>
      <w:pPr>
        <w:spacing w:line="360" w:lineRule="auto"/>
        <w:jc w:val="left"/>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项目编号、包号：</w:t>
      </w:r>
    </w:p>
    <w:tbl>
      <w:tblPr>
        <w:tblStyle w:val="28"/>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186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单价</w:t>
            </w:r>
          </w:p>
          <w:p>
            <w:pPr>
              <w:spacing w:after="120"/>
              <w:jc w:val="center"/>
              <w:rPr>
                <w:rFonts w:asciiTheme="minorEastAsia" w:hAnsiTheme="minorEastAsia" w:eastAsiaTheme="minorEastAsia" w:cstheme="minorEastAsia"/>
                <w:bCs/>
                <w:color w:val="auto"/>
              </w:rPr>
            </w:pPr>
            <w:r>
              <w:rPr>
                <w:rFonts w:hint="eastAsia" w:asciiTheme="minorEastAsia" w:hAnsiTheme="minorEastAsia" w:eastAsiaTheme="minorEastAsia" w:cstheme="minorEastAsia"/>
                <w:color w:val="auto"/>
              </w:rPr>
              <w:t>（元）</w:t>
            </w:r>
          </w:p>
        </w:tc>
        <w:tc>
          <w:tcPr>
            <w:tcW w:w="131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bCs/>
                <w:color w:val="auto"/>
              </w:rPr>
            </w:pPr>
            <w:r>
              <w:rPr>
                <w:rFonts w:hint="eastAsia" w:asciiTheme="minorEastAsia" w:hAnsiTheme="minorEastAsia" w:eastAsiaTheme="minorEastAsia" w:cstheme="minorEastAsia"/>
                <w:bCs/>
                <w:color w:val="auto"/>
              </w:rPr>
              <w:t>总价</w:t>
            </w:r>
          </w:p>
          <w:p>
            <w:pPr>
              <w:spacing w:after="120"/>
              <w:jc w:val="center"/>
              <w:rPr>
                <w:rFonts w:asciiTheme="minorEastAsia" w:hAnsiTheme="minorEastAsia" w:eastAsiaTheme="minorEastAsia" w:cstheme="minorEastAsia"/>
                <w:bCs/>
                <w:color w:val="auto"/>
              </w:rPr>
            </w:pPr>
            <w:r>
              <w:rPr>
                <w:rFonts w:hint="eastAsia" w:asciiTheme="minorEastAsia" w:hAnsiTheme="minorEastAsia" w:eastAsiaTheme="minorEastAsia" w:cstheme="minorEastAsia"/>
                <w:bCs/>
                <w:color w:val="auto"/>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186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131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asciiTheme="minorEastAsia" w:hAnsiTheme="minorEastAsia" w:eastAsiaTheme="minorEastAsia" w:cstheme="minorEastAsia"/>
                <w:color w:val="auto"/>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asciiTheme="minorEastAsia" w:hAnsiTheme="minorEastAsia" w:eastAsiaTheme="minorEastAsia" w:cstheme="minorEastAsia"/>
                <w:color w:val="auto"/>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大写：小写：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保留小数点后两位。</w:t>
            </w:r>
          </w:p>
        </w:tc>
      </w:tr>
    </w:tbl>
    <w:p>
      <w:pPr>
        <w:adjustRightInd w:val="0"/>
        <w:snapToGrid w:val="0"/>
        <w:spacing w:line="360" w:lineRule="auto"/>
        <w:rPr>
          <w:rFonts w:asciiTheme="minorEastAsia" w:hAnsiTheme="minorEastAsia" w:eastAsiaTheme="minorEastAsia" w:cstheme="minorEastAsia"/>
          <w:color w:val="auto"/>
          <w:szCs w:val="21"/>
        </w:rPr>
      </w:pPr>
    </w:p>
    <w:p>
      <w:pPr>
        <w:adjustRightInd w:val="0"/>
        <w:snapToGrid w:val="0"/>
        <w:spacing w:line="360" w:lineRule="auto"/>
        <w:rPr>
          <w:rFonts w:asciiTheme="minorEastAsia" w:hAnsiTheme="minorEastAsia" w:eastAsiaTheme="minorEastAsia" w:cstheme="minorEastAsia"/>
          <w:color w:val="auto"/>
          <w:szCs w:val="21"/>
        </w:rPr>
      </w:pPr>
    </w:p>
    <w:p>
      <w:pPr>
        <w:adjustRightInd w:val="0"/>
        <w:snapToGrid w:val="0"/>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说明：</w:t>
      </w:r>
      <w:r>
        <w:rPr>
          <w:rFonts w:hint="eastAsia" w:asciiTheme="minorEastAsia" w:hAnsiTheme="minorEastAsia" w:eastAsiaTheme="minorEastAsia" w:cstheme="minorEastAsia"/>
          <w:bCs/>
          <w:color w:val="auto"/>
          <w:szCs w:val="21"/>
        </w:rPr>
        <w:t>1、</w:t>
      </w:r>
      <w:r>
        <w:rPr>
          <w:rFonts w:hint="eastAsia" w:asciiTheme="minorEastAsia" w:hAnsiTheme="minorEastAsia" w:eastAsiaTheme="minorEastAsia" w:cstheme="minorEastAsia"/>
          <w:color w:val="auto"/>
          <w:szCs w:val="21"/>
        </w:rPr>
        <w:t>投标人提供的产品</w:t>
      </w:r>
      <w:r>
        <w:rPr>
          <w:rFonts w:hint="eastAsia" w:asciiTheme="minorEastAsia" w:hAnsiTheme="minorEastAsia" w:eastAsiaTheme="minorEastAsia" w:cstheme="minorEastAsia"/>
          <w:bCs/>
          <w:color w:val="auto"/>
          <w:szCs w:val="21"/>
        </w:rPr>
        <w:t>属于《节能产品政府采购清单》中节能产品，《环境标志产品政府采购清单》中环境标志产品，应按招标文件要求</w:t>
      </w:r>
      <w:r>
        <w:rPr>
          <w:rFonts w:hint="eastAsia" w:asciiTheme="minorEastAsia" w:hAnsiTheme="minorEastAsia" w:eastAsiaTheme="minorEastAsia" w:cstheme="minorEastAsia"/>
          <w:color w:val="auto"/>
          <w:szCs w:val="21"/>
        </w:rPr>
        <w:t>提供相关证明材料。</w:t>
      </w:r>
    </w:p>
    <w:p>
      <w:pPr>
        <w:pStyle w:val="40"/>
        <w:spacing w:line="400" w:lineRule="exact"/>
        <w:ind w:left="420" w:leftChars="200" w:firstLine="210" w:firstLineChars="1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Cs/>
          <w:color w:val="auto"/>
        </w:rPr>
        <w:t>2、未按上述要求提供、</w:t>
      </w:r>
      <w:r>
        <w:rPr>
          <w:rFonts w:hint="eastAsia" w:asciiTheme="minorEastAsia" w:hAnsiTheme="minorEastAsia" w:eastAsiaTheme="minorEastAsia" w:cstheme="minorEastAsia"/>
          <w:color w:val="auto"/>
        </w:rPr>
        <w:t>填写</w:t>
      </w:r>
      <w:r>
        <w:rPr>
          <w:rFonts w:hint="eastAsia" w:asciiTheme="minorEastAsia" w:hAnsiTheme="minorEastAsia" w:eastAsiaTheme="minorEastAsia" w:cstheme="minorEastAsia"/>
          <w:bCs/>
          <w:color w:val="auto"/>
        </w:rPr>
        <w:t>的，评标时不予以考虑。</w:t>
      </w:r>
    </w:p>
    <w:p>
      <w:pPr>
        <w:spacing w:before="100" w:beforeAutospacing="1" w:after="156" w:afterLines="50" w:line="360" w:lineRule="auto"/>
        <w:jc w:val="left"/>
        <w:rPr>
          <w:rFonts w:asciiTheme="minorEastAsia" w:hAnsiTheme="minorEastAsia" w:eastAsiaTheme="minorEastAsia" w:cstheme="minorEastAsia"/>
          <w:color w:val="auto"/>
          <w:szCs w:val="24"/>
        </w:rPr>
      </w:pPr>
    </w:p>
    <w:p>
      <w:pPr>
        <w:spacing w:before="100" w:beforeAutospacing="1" w:after="156" w:afterLines="50" w:line="360" w:lineRule="auto"/>
        <w:rPr>
          <w:rFonts w:asciiTheme="minorEastAsia" w:hAnsiTheme="minorEastAsia" w:eastAsiaTheme="minorEastAsia" w:cstheme="minorEastAsia"/>
          <w:color w:val="auto"/>
          <w:szCs w:val="24"/>
        </w:rPr>
      </w:pPr>
    </w:p>
    <w:p>
      <w:pPr>
        <w:spacing w:before="100" w:beforeAutospacing="1" w:after="156" w:afterLines="50" w:line="360" w:lineRule="auto"/>
        <w:rPr>
          <w:rFonts w:asciiTheme="minorEastAsia" w:hAnsiTheme="minorEastAsia" w:eastAsiaTheme="minorEastAsia" w:cstheme="minorEastAsia"/>
          <w:b/>
          <w:bCs/>
          <w:color w:val="auto"/>
          <w:spacing w:val="6"/>
          <w:sz w:val="30"/>
          <w:szCs w:val="30"/>
        </w:rPr>
      </w:pPr>
      <w:r>
        <w:rPr>
          <w:rFonts w:hint="eastAsia" w:asciiTheme="minorEastAsia" w:hAnsiTheme="minorEastAsia" w:eastAsiaTheme="minorEastAsia" w:cstheme="minorEastAsia"/>
          <w:color w:val="auto"/>
          <w:szCs w:val="24"/>
        </w:rPr>
        <w:br w:type="page"/>
      </w:r>
      <w:r>
        <w:rPr>
          <w:rFonts w:hint="eastAsia" w:asciiTheme="minorEastAsia" w:hAnsiTheme="minorEastAsia" w:eastAsiaTheme="minorEastAsia" w:cstheme="minorEastAsia"/>
          <w:b/>
          <w:bCs/>
          <w:color w:val="auto"/>
          <w:spacing w:val="6"/>
          <w:sz w:val="28"/>
          <w:szCs w:val="28"/>
        </w:rPr>
        <w:t>附件4（如有）：</w:t>
      </w:r>
    </w:p>
    <w:p>
      <w:pPr>
        <w:spacing w:line="588" w:lineRule="exact"/>
        <w:jc w:val="center"/>
        <w:rPr>
          <w:rFonts w:asciiTheme="minorEastAsia" w:hAnsiTheme="minorEastAsia" w:eastAsiaTheme="minorEastAsia" w:cstheme="minorEastAsia"/>
          <w:b/>
          <w:color w:val="auto"/>
          <w:spacing w:val="6"/>
          <w:sz w:val="32"/>
          <w:szCs w:val="32"/>
        </w:rPr>
      </w:pPr>
      <w:bookmarkStart w:id="126" w:name="OLE_LINK13"/>
      <w:bookmarkStart w:id="127" w:name="OLE_LINK14"/>
      <w:r>
        <w:rPr>
          <w:rFonts w:hint="eastAsia" w:asciiTheme="minorEastAsia" w:hAnsiTheme="minorEastAsia" w:eastAsiaTheme="minorEastAsia" w:cstheme="minorEastAsia"/>
          <w:b/>
          <w:color w:val="auto"/>
          <w:spacing w:val="6"/>
          <w:sz w:val="32"/>
          <w:szCs w:val="32"/>
        </w:rPr>
        <w:t>残疾人福利性单位声明函</w:t>
      </w:r>
    </w:p>
    <w:bookmarkEnd w:id="126"/>
    <w:bookmarkEnd w:id="127"/>
    <w:p>
      <w:pPr>
        <w:spacing w:line="588" w:lineRule="exact"/>
        <w:rPr>
          <w:rFonts w:asciiTheme="minorEastAsia" w:hAnsiTheme="minorEastAsia" w:eastAsiaTheme="minorEastAsia" w:cstheme="minorEastAsia"/>
          <w:b/>
          <w:color w:val="auto"/>
          <w:spacing w:val="6"/>
          <w:sz w:val="30"/>
          <w:szCs w:val="30"/>
        </w:rPr>
      </w:pPr>
    </w:p>
    <w:p>
      <w:pPr>
        <w:spacing w:line="588" w:lineRule="exact"/>
        <w:ind w:firstLine="444" w:firstLineChars="200"/>
        <w:rPr>
          <w:rFonts w:asciiTheme="minorEastAsia" w:hAnsiTheme="minorEastAsia" w:eastAsiaTheme="minorEastAsia" w:cstheme="minorEastAsia"/>
          <w:color w:val="auto"/>
          <w:spacing w:val="6"/>
          <w:szCs w:val="24"/>
        </w:rPr>
      </w:pPr>
      <w:r>
        <w:rPr>
          <w:rFonts w:hint="eastAsia" w:asciiTheme="minorEastAsia" w:hAnsiTheme="minorEastAsia" w:eastAsiaTheme="minorEastAsia" w:cstheme="minorEastAsia"/>
          <w:color w:val="auto"/>
          <w:spacing w:val="6"/>
          <w:szCs w:val="24"/>
        </w:rPr>
        <w:t>本单位郑重声明，根据《财政部民政部中国残疾人联合会关于促进残疾人就业政府采购政策的通知》（财库</w:t>
      </w:r>
      <w:r>
        <w:rPr>
          <w:rFonts w:hint="eastAsia" w:asciiTheme="minorEastAsia" w:hAnsiTheme="minorEastAsia" w:eastAsiaTheme="minorEastAsia" w:cstheme="minorEastAsia"/>
          <w:color w:val="auto"/>
          <w:szCs w:val="24"/>
        </w:rPr>
        <w:t>〔2017〕 141</w:t>
      </w:r>
      <w:r>
        <w:rPr>
          <w:rFonts w:hint="eastAsia" w:asciiTheme="minorEastAsia" w:hAnsiTheme="minorEastAsia" w:eastAsiaTheme="minorEastAsia" w:cstheme="minorEastAsia"/>
          <w:color w:val="auto"/>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asciiTheme="minorEastAsia" w:hAnsiTheme="minorEastAsia" w:eastAsiaTheme="minorEastAsia" w:cstheme="minorEastAsia"/>
          <w:color w:val="auto"/>
          <w:spacing w:val="6"/>
          <w:szCs w:val="24"/>
        </w:rPr>
      </w:pPr>
      <w:r>
        <w:rPr>
          <w:rFonts w:hint="eastAsia" w:asciiTheme="minorEastAsia" w:hAnsiTheme="minorEastAsia" w:eastAsiaTheme="minorEastAsia" w:cstheme="minorEastAsia"/>
          <w:color w:val="auto"/>
          <w:spacing w:val="6"/>
          <w:szCs w:val="24"/>
        </w:rPr>
        <w:t>本单位对上述声明的真实性负责。如有虚假，将依法承担相应责任。</w:t>
      </w:r>
    </w:p>
    <w:p>
      <w:pPr>
        <w:spacing w:line="588" w:lineRule="exact"/>
        <w:ind w:firstLine="444" w:firstLineChars="200"/>
        <w:rPr>
          <w:rFonts w:asciiTheme="minorEastAsia" w:hAnsiTheme="minorEastAsia" w:eastAsiaTheme="minorEastAsia" w:cstheme="minorEastAsia"/>
          <w:color w:val="auto"/>
          <w:spacing w:val="6"/>
          <w:szCs w:val="24"/>
        </w:rPr>
      </w:pPr>
    </w:p>
    <w:p>
      <w:pPr>
        <w:spacing w:line="588" w:lineRule="exact"/>
        <w:ind w:firstLine="444" w:firstLineChars="200"/>
        <w:rPr>
          <w:rFonts w:asciiTheme="minorEastAsia" w:hAnsiTheme="minorEastAsia" w:eastAsiaTheme="minorEastAsia" w:cstheme="minorEastAsia"/>
          <w:color w:val="auto"/>
          <w:spacing w:val="6"/>
          <w:szCs w:val="24"/>
        </w:rPr>
      </w:pPr>
    </w:p>
    <w:p>
      <w:pPr>
        <w:spacing w:line="588" w:lineRule="exact"/>
        <w:ind w:firstLine="444" w:firstLineChars="200"/>
        <w:rPr>
          <w:rFonts w:asciiTheme="minorEastAsia" w:hAnsiTheme="minorEastAsia" w:eastAsiaTheme="minorEastAsia" w:cstheme="minorEastAsia"/>
          <w:color w:val="auto"/>
          <w:spacing w:val="6"/>
          <w:szCs w:val="24"/>
        </w:rPr>
      </w:pPr>
    </w:p>
    <w:p>
      <w:pPr>
        <w:spacing w:line="588" w:lineRule="exact"/>
        <w:ind w:firstLine="444" w:firstLineChars="200"/>
        <w:rPr>
          <w:rFonts w:asciiTheme="minorEastAsia" w:hAnsiTheme="minorEastAsia" w:eastAsiaTheme="minorEastAsia" w:cstheme="minorEastAsia"/>
          <w:color w:val="auto"/>
          <w:spacing w:val="6"/>
          <w:szCs w:val="24"/>
        </w:rPr>
      </w:pPr>
    </w:p>
    <w:p>
      <w:pPr>
        <w:tabs>
          <w:tab w:val="left" w:pos="4860"/>
        </w:tabs>
        <w:spacing w:line="588" w:lineRule="exact"/>
        <w:ind w:right="1560" w:firstLine="444" w:firstLineChars="200"/>
        <w:jc w:val="center"/>
        <w:rPr>
          <w:rFonts w:asciiTheme="minorEastAsia" w:hAnsiTheme="minorEastAsia" w:eastAsiaTheme="minorEastAsia" w:cstheme="minorEastAsia"/>
          <w:color w:val="auto"/>
          <w:spacing w:val="6"/>
          <w:szCs w:val="24"/>
        </w:rPr>
      </w:pPr>
      <w:r>
        <w:rPr>
          <w:rFonts w:hint="eastAsia" w:asciiTheme="minorEastAsia" w:hAnsiTheme="minorEastAsia" w:eastAsiaTheme="minorEastAsia" w:cstheme="minorEastAsia"/>
          <w:color w:val="auto"/>
          <w:spacing w:val="6"/>
          <w:szCs w:val="24"/>
        </w:rPr>
        <w:t>单位名称（盖章）：</w:t>
      </w:r>
    </w:p>
    <w:p>
      <w:pPr>
        <w:tabs>
          <w:tab w:val="left" w:pos="4860"/>
        </w:tabs>
        <w:spacing w:line="588" w:lineRule="exact"/>
        <w:ind w:right="1560" w:firstLine="444" w:firstLineChars="200"/>
        <w:jc w:val="center"/>
        <w:rPr>
          <w:rFonts w:asciiTheme="minorEastAsia" w:hAnsiTheme="minorEastAsia" w:eastAsiaTheme="minorEastAsia" w:cstheme="minorEastAsia"/>
          <w:color w:val="auto"/>
          <w:spacing w:val="6"/>
          <w:szCs w:val="24"/>
        </w:rPr>
      </w:pPr>
      <w:r>
        <w:rPr>
          <w:rFonts w:hint="eastAsia" w:asciiTheme="minorEastAsia" w:hAnsiTheme="minorEastAsia" w:eastAsiaTheme="minorEastAsia" w:cstheme="minorEastAsia"/>
          <w:color w:val="auto"/>
          <w:spacing w:val="6"/>
          <w:szCs w:val="24"/>
        </w:rPr>
        <w:t>日期：</w:t>
      </w:r>
    </w:p>
    <w:p>
      <w:pPr>
        <w:rPr>
          <w:rFonts w:asciiTheme="minorEastAsia" w:hAnsiTheme="minorEastAsia" w:eastAsiaTheme="minorEastAsia" w:cstheme="minorEastAsia"/>
          <w:color w:val="auto"/>
        </w:rPr>
      </w:pPr>
    </w:p>
    <w:sectPr>
      <w:pgSz w:w="11906" w:h="16838"/>
      <w:pgMar w:top="1417" w:right="1417"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7N1u80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sk&#10;Tx+woqqHQHVxuPNDKp3iSMHEemjBpi/xYZQncc9XcdUQmUyX1qv1uqSUpNzsEE7xeD0AxrfKW5aM&#10;mgO9XhZVnN5jHEvnktTN+XttDMVFZdxfAcIcIyqvwHQ7MRknTlYc9sNEY++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7N1u80BAACnAwAADgAAAAAAAAABACAAAAAeAQAAZHJzL2Uy&#10;b0RvYy54bWxQSwUGAAAAAAYABgBZAQAAXQ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pPr>
                          <w:r>
                            <w:fldChar w:fldCharType="begin"/>
                          </w:r>
                          <w:r>
                            <w:instrText xml:space="preserve"> PAGE  \* MERGEFORMAT </w:instrText>
                          </w:r>
                          <w:r>
                            <w:fldChar w:fldCharType="separate"/>
                          </w:r>
                          <w:r>
                            <w:t>65</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m1yKs0BAACnAwAADgAAAAAAAAABACAAAAAeAQAAZHJzL2Uy&#10;b0RvYy54bWxQSwUGAAAAAAYABgBZAQAAXQ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bookmarkStart w:id="128" w:name="OLE_LINK16"/>
    <w:r>
      <w:rPr>
        <w:rStyle w:val="31"/>
        <w:rFonts w:hint="eastAsia" w:ascii="微软雅黑" w:hAnsi="微软雅黑" w:eastAsia="微软雅黑" w:cs="微软雅黑"/>
        <w:b w:val="0"/>
        <w:bCs w:val="0"/>
        <w:i w:val="0"/>
        <w:iCs w:val="0"/>
        <w:caps w:val="0"/>
        <w:color w:val="333333"/>
        <w:spacing w:val="0"/>
        <w:sz w:val="21"/>
        <w:szCs w:val="21"/>
        <w:shd w:val="clear" w:fill="FFFFFF"/>
      </w:rPr>
      <w:t>2022年封山育林项目建设采购</w:t>
    </w:r>
    <w:r>
      <w:rPr>
        <w:rFonts w:hint="eastAsia" w:ascii="宋体" w:hAnsi="宋体"/>
      </w:rPr>
      <w:t xml:space="preserve">            </w:t>
    </w:r>
    <w:r>
      <w:rPr>
        <w:rFonts w:hint="eastAsia" w:ascii="宋体" w:hAnsi="宋体"/>
        <w:lang w:val="en-US" w:eastAsia="zh-CN"/>
      </w:rPr>
      <w:t xml:space="preserve">                                             </w:t>
    </w:r>
    <w:r>
      <w:rPr>
        <w:rFonts w:hint="eastAsia" w:ascii="宋体" w:hAnsi="宋体"/>
      </w:rPr>
      <w:t>招标文件</w:t>
    </w:r>
    <w:bookmarkEnd w:id="12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762E0"/>
    <w:multiLevelType w:val="singleLevel"/>
    <w:tmpl w:val="B03762E0"/>
    <w:lvl w:ilvl="0" w:tentative="0">
      <w:start w:val="1"/>
      <w:numFmt w:val="decimal"/>
      <w:suff w:val="nothing"/>
      <w:lvlText w:val="%1、"/>
      <w:lvlJc w:val="left"/>
    </w:lvl>
  </w:abstractNum>
  <w:abstractNum w:abstractNumId="1">
    <w:nsid w:val="BBFEDF9E"/>
    <w:multiLevelType w:val="singleLevel"/>
    <w:tmpl w:val="BBFEDF9E"/>
    <w:lvl w:ilvl="0" w:tentative="0">
      <w:start w:val="1"/>
      <w:numFmt w:val="decimal"/>
      <w:suff w:val="nothing"/>
      <w:lvlText w:val="%1、"/>
      <w:lvlJc w:val="left"/>
    </w:lvl>
  </w:abstractNum>
  <w:abstractNum w:abstractNumId="2">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550BB5CF"/>
    <w:multiLevelType w:val="singleLevel"/>
    <w:tmpl w:val="550BB5CF"/>
    <w:lvl w:ilvl="0" w:tentative="0">
      <w:start w:val="3"/>
      <w:numFmt w:val="chineseCounting"/>
      <w:suff w:val="space"/>
      <w:lvlText w:val="第%1章"/>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MGNkNDQ0MDg5NzYyMjdkZWZkYjFjOWRiY2RmYWEifQ=="/>
  </w:docVars>
  <w:rsids>
    <w:rsidRoot w:val="00172A27"/>
    <w:rsid w:val="00006459"/>
    <w:rsid w:val="00022AD7"/>
    <w:rsid w:val="00030DCF"/>
    <w:rsid w:val="00044C6D"/>
    <w:rsid w:val="0006138B"/>
    <w:rsid w:val="000614D4"/>
    <w:rsid w:val="000648DD"/>
    <w:rsid w:val="00067DD7"/>
    <w:rsid w:val="00075362"/>
    <w:rsid w:val="000A0428"/>
    <w:rsid w:val="000E02AD"/>
    <w:rsid w:val="000F7591"/>
    <w:rsid w:val="00107CD6"/>
    <w:rsid w:val="00143875"/>
    <w:rsid w:val="0015516C"/>
    <w:rsid w:val="00164F97"/>
    <w:rsid w:val="00167322"/>
    <w:rsid w:val="00170304"/>
    <w:rsid w:val="00172A27"/>
    <w:rsid w:val="0019127F"/>
    <w:rsid w:val="00195A16"/>
    <w:rsid w:val="001A1E1B"/>
    <w:rsid w:val="001B1CDA"/>
    <w:rsid w:val="001B4469"/>
    <w:rsid w:val="001B4F80"/>
    <w:rsid w:val="001D165F"/>
    <w:rsid w:val="001E0F78"/>
    <w:rsid w:val="001E2A55"/>
    <w:rsid w:val="002000E7"/>
    <w:rsid w:val="0020361A"/>
    <w:rsid w:val="00227B73"/>
    <w:rsid w:val="00230355"/>
    <w:rsid w:val="0024067A"/>
    <w:rsid w:val="0024578F"/>
    <w:rsid w:val="002966F2"/>
    <w:rsid w:val="00297CF4"/>
    <w:rsid w:val="002C77A7"/>
    <w:rsid w:val="002D05C6"/>
    <w:rsid w:val="002D0AA5"/>
    <w:rsid w:val="002F588F"/>
    <w:rsid w:val="002F78A0"/>
    <w:rsid w:val="00300471"/>
    <w:rsid w:val="0030266D"/>
    <w:rsid w:val="00332B0B"/>
    <w:rsid w:val="00332D24"/>
    <w:rsid w:val="003528D7"/>
    <w:rsid w:val="00373AA4"/>
    <w:rsid w:val="00375DD9"/>
    <w:rsid w:val="00384BAF"/>
    <w:rsid w:val="003C1454"/>
    <w:rsid w:val="003F1C6E"/>
    <w:rsid w:val="00413044"/>
    <w:rsid w:val="00420602"/>
    <w:rsid w:val="0042111E"/>
    <w:rsid w:val="00425295"/>
    <w:rsid w:val="00473028"/>
    <w:rsid w:val="004B2FBB"/>
    <w:rsid w:val="004B53C7"/>
    <w:rsid w:val="004D7F07"/>
    <w:rsid w:val="004F1AEA"/>
    <w:rsid w:val="005006E7"/>
    <w:rsid w:val="005010CF"/>
    <w:rsid w:val="0054336A"/>
    <w:rsid w:val="005755FF"/>
    <w:rsid w:val="005C3281"/>
    <w:rsid w:val="005C59C1"/>
    <w:rsid w:val="005C7FC4"/>
    <w:rsid w:val="005D2499"/>
    <w:rsid w:val="005D3D50"/>
    <w:rsid w:val="005F05F2"/>
    <w:rsid w:val="00600B87"/>
    <w:rsid w:val="00601DAB"/>
    <w:rsid w:val="0060408A"/>
    <w:rsid w:val="00605D5C"/>
    <w:rsid w:val="0062509C"/>
    <w:rsid w:val="00632D09"/>
    <w:rsid w:val="00634DB8"/>
    <w:rsid w:val="00667536"/>
    <w:rsid w:val="00671E5C"/>
    <w:rsid w:val="006B1242"/>
    <w:rsid w:val="006D4D82"/>
    <w:rsid w:val="006F4243"/>
    <w:rsid w:val="00715C6F"/>
    <w:rsid w:val="00727BAB"/>
    <w:rsid w:val="00745B0A"/>
    <w:rsid w:val="00747E33"/>
    <w:rsid w:val="007A5351"/>
    <w:rsid w:val="007B0A1F"/>
    <w:rsid w:val="007B38B9"/>
    <w:rsid w:val="007B457A"/>
    <w:rsid w:val="007D7006"/>
    <w:rsid w:val="008010FC"/>
    <w:rsid w:val="00812448"/>
    <w:rsid w:val="00821E5A"/>
    <w:rsid w:val="00824545"/>
    <w:rsid w:val="00827E45"/>
    <w:rsid w:val="00834FBA"/>
    <w:rsid w:val="008356A1"/>
    <w:rsid w:val="00856D4B"/>
    <w:rsid w:val="008664A3"/>
    <w:rsid w:val="008A5735"/>
    <w:rsid w:val="008B4F8D"/>
    <w:rsid w:val="008B71B0"/>
    <w:rsid w:val="008C0853"/>
    <w:rsid w:val="008F08A5"/>
    <w:rsid w:val="0091340E"/>
    <w:rsid w:val="0092646C"/>
    <w:rsid w:val="00936646"/>
    <w:rsid w:val="0095512B"/>
    <w:rsid w:val="009567E3"/>
    <w:rsid w:val="009B41C9"/>
    <w:rsid w:val="009D62FB"/>
    <w:rsid w:val="009F3612"/>
    <w:rsid w:val="00A11A8E"/>
    <w:rsid w:val="00A13DE2"/>
    <w:rsid w:val="00A15DBE"/>
    <w:rsid w:val="00A3303E"/>
    <w:rsid w:val="00A44C46"/>
    <w:rsid w:val="00A539B1"/>
    <w:rsid w:val="00A603A5"/>
    <w:rsid w:val="00A63BEA"/>
    <w:rsid w:val="00A8015F"/>
    <w:rsid w:val="00A83EDA"/>
    <w:rsid w:val="00A86764"/>
    <w:rsid w:val="00A97787"/>
    <w:rsid w:val="00AA44C7"/>
    <w:rsid w:val="00AC5112"/>
    <w:rsid w:val="00AC55B5"/>
    <w:rsid w:val="00AD2D0A"/>
    <w:rsid w:val="00AD3289"/>
    <w:rsid w:val="00AD5C87"/>
    <w:rsid w:val="00AE2B6B"/>
    <w:rsid w:val="00B101FC"/>
    <w:rsid w:val="00B14517"/>
    <w:rsid w:val="00B27ABB"/>
    <w:rsid w:val="00B32C0C"/>
    <w:rsid w:val="00B37D6B"/>
    <w:rsid w:val="00B44218"/>
    <w:rsid w:val="00B5776E"/>
    <w:rsid w:val="00B632AD"/>
    <w:rsid w:val="00B81827"/>
    <w:rsid w:val="00B96CCE"/>
    <w:rsid w:val="00BC5DC4"/>
    <w:rsid w:val="00BD7EF1"/>
    <w:rsid w:val="00BF4470"/>
    <w:rsid w:val="00BF4B25"/>
    <w:rsid w:val="00C07634"/>
    <w:rsid w:val="00C140C0"/>
    <w:rsid w:val="00C1512E"/>
    <w:rsid w:val="00C26C9B"/>
    <w:rsid w:val="00C7753D"/>
    <w:rsid w:val="00C81501"/>
    <w:rsid w:val="00C8595C"/>
    <w:rsid w:val="00CA3966"/>
    <w:rsid w:val="00CB0C3B"/>
    <w:rsid w:val="00CB0D08"/>
    <w:rsid w:val="00CD3C49"/>
    <w:rsid w:val="00CD7494"/>
    <w:rsid w:val="00CE175D"/>
    <w:rsid w:val="00D02E1B"/>
    <w:rsid w:val="00D10014"/>
    <w:rsid w:val="00D179A7"/>
    <w:rsid w:val="00D37C65"/>
    <w:rsid w:val="00D61742"/>
    <w:rsid w:val="00D642EA"/>
    <w:rsid w:val="00D704DD"/>
    <w:rsid w:val="00D740F9"/>
    <w:rsid w:val="00D8028D"/>
    <w:rsid w:val="00D954EE"/>
    <w:rsid w:val="00DA46DE"/>
    <w:rsid w:val="00DA5F5E"/>
    <w:rsid w:val="00DB710C"/>
    <w:rsid w:val="00DC5318"/>
    <w:rsid w:val="00DC7CC3"/>
    <w:rsid w:val="00DD5B75"/>
    <w:rsid w:val="00DD65C1"/>
    <w:rsid w:val="00DE72F8"/>
    <w:rsid w:val="00E00352"/>
    <w:rsid w:val="00E260AC"/>
    <w:rsid w:val="00E30694"/>
    <w:rsid w:val="00E63391"/>
    <w:rsid w:val="00E719D5"/>
    <w:rsid w:val="00E72F85"/>
    <w:rsid w:val="00E82343"/>
    <w:rsid w:val="00E86508"/>
    <w:rsid w:val="00E95ACE"/>
    <w:rsid w:val="00EB4B2A"/>
    <w:rsid w:val="00EE0015"/>
    <w:rsid w:val="00EE7B93"/>
    <w:rsid w:val="00EF49AD"/>
    <w:rsid w:val="00F141D6"/>
    <w:rsid w:val="00F5191E"/>
    <w:rsid w:val="00F834AA"/>
    <w:rsid w:val="00FA4D8C"/>
    <w:rsid w:val="00FB1125"/>
    <w:rsid w:val="00FD511B"/>
    <w:rsid w:val="00FF554F"/>
    <w:rsid w:val="01B46797"/>
    <w:rsid w:val="01BC6535"/>
    <w:rsid w:val="01C421EA"/>
    <w:rsid w:val="021F1A11"/>
    <w:rsid w:val="02613983"/>
    <w:rsid w:val="030F1162"/>
    <w:rsid w:val="03FC35BC"/>
    <w:rsid w:val="041F054D"/>
    <w:rsid w:val="04D640E3"/>
    <w:rsid w:val="05242269"/>
    <w:rsid w:val="052732C7"/>
    <w:rsid w:val="05283431"/>
    <w:rsid w:val="053708FF"/>
    <w:rsid w:val="06116E94"/>
    <w:rsid w:val="061571D6"/>
    <w:rsid w:val="063459CA"/>
    <w:rsid w:val="068A7924"/>
    <w:rsid w:val="06927542"/>
    <w:rsid w:val="07131CDD"/>
    <w:rsid w:val="07964574"/>
    <w:rsid w:val="07AF406D"/>
    <w:rsid w:val="07EB54DF"/>
    <w:rsid w:val="08561B2D"/>
    <w:rsid w:val="090911EF"/>
    <w:rsid w:val="092F6FCD"/>
    <w:rsid w:val="09473807"/>
    <w:rsid w:val="098B0B6C"/>
    <w:rsid w:val="09A414E9"/>
    <w:rsid w:val="09CF19F0"/>
    <w:rsid w:val="09D37127"/>
    <w:rsid w:val="0A715AED"/>
    <w:rsid w:val="0A9477F6"/>
    <w:rsid w:val="0AD017FF"/>
    <w:rsid w:val="0B641BAD"/>
    <w:rsid w:val="0B6E13BF"/>
    <w:rsid w:val="0BE77AE1"/>
    <w:rsid w:val="0C025E77"/>
    <w:rsid w:val="0C567367"/>
    <w:rsid w:val="0C750A2F"/>
    <w:rsid w:val="0C921641"/>
    <w:rsid w:val="0C932991"/>
    <w:rsid w:val="0DEC2BF3"/>
    <w:rsid w:val="0E5A6BAA"/>
    <w:rsid w:val="0E7610EC"/>
    <w:rsid w:val="0EAB7F23"/>
    <w:rsid w:val="0EB421D9"/>
    <w:rsid w:val="0EBB7BFD"/>
    <w:rsid w:val="0EEE16F4"/>
    <w:rsid w:val="0F5965E2"/>
    <w:rsid w:val="0FB64C71"/>
    <w:rsid w:val="0FDB0B07"/>
    <w:rsid w:val="0FE4359D"/>
    <w:rsid w:val="10480E2B"/>
    <w:rsid w:val="10866292"/>
    <w:rsid w:val="10D20E9D"/>
    <w:rsid w:val="111A25A5"/>
    <w:rsid w:val="117136B6"/>
    <w:rsid w:val="119542EB"/>
    <w:rsid w:val="11DE3370"/>
    <w:rsid w:val="11DE3DA6"/>
    <w:rsid w:val="12280C6C"/>
    <w:rsid w:val="12883761"/>
    <w:rsid w:val="12B55AA0"/>
    <w:rsid w:val="12C707D5"/>
    <w:rsid w:val="13102E15"/>
    <w:rsid w:val="13410312"/>
    <w:rsid w:val="1343740D"/>
    <w:rsid w:val="135D4C39"/>
    <w:rsid w:val="137529DA"/>
    <w:rsid w:val="138008DC"/>
    <w:rsid w:val="13900552"/>
    <w:rsid w:val="13AA0B25"/>
    <w:rsid w:val="13D41F7E"/>
    <w:rsid w:val="13E477CD"/>
    <w:rsid w:val="141164F6"/>
    <w:rsid w:val="143E047F"/>
    <w:rsid w:val="148B7473"/>
    <w:rsid w:val="14DB7368"/>
    <w:rsid w:val="15545B7C"/>
    <w:rsid w:val="15817CF1"/>
    <w:rsid w:val="170E4039"/>
    <w:rsid w:val="17B2155B"/>
    <w:rsid w:val="17F3504B"/>
    <w:rsid w:val="18021447"/>
    <w:rsid w:val="182175F5"/>
    <w:rsid w:val="18355116"/>
    <w:rsid w:val="18954A05"/>
    <w:rsid w:val="191424EE"/>
    <w:rsid w:val="19235F91"/>
    <w:rsid w:val="19300867"/>
    <w:rsid w:val="19701E5F"/>
    <w:rsid w:val="19BF6F98"/>
    <w:rsid w:val="19C21C4E"/>
    <w:rsid w:val="19DB7B23"/>
    <w:rsid w:val="1A2B5A0D"/>
    <w:rsid w:val="1A381F10"/>
    <w:rsid w:val="1A5E600C"/>
    <w:rsid w:val="1A7D057D"/>
    <w:rsid w:val="1ACA778D"/>
    <w:rsid w:val="1AED14DC"/>
    <w:rsid w:val="1B38680B"/>
    <w:rsid w:val="1B447BB6"/>
    <w:rsid w:val="1B514392"/>
    <w:rsid w:val="1BE51C24"/>
    <w:rsid w:val="1BFE64B3"/>
    <w:rsid w:val="1C93305A"/>
    <w:rsid w:val="1CFE705F"/>
    <w:rsid w:val="1D520676"/>
    <w:rsid w:val="1D75461E"/>
    <w:rsid w:val="1D7B6C95"/>
    <w:rsid w:val="1D8E3BF5"/>
    <w:rsid w:val="1E29229C"/>
    <w:rsid w:val="1E6E3BEA"/>
    <w:rsid w:val="1E7F7CE4"/>
    <w:rsid w:val="1EBE7F7F"/>
    <w:rsid w:val="1EBF49AE"/>
    <w:rsid w:val="1EC3782A"/>
    <w:rsid w:val="1F120DE9"/>
    <w:rsid w:val="1F1A7531"/>
    <w:rsid w:val="1F2F028B"/>
    <w:rsid w:val="1F6126BC"/>
    <w:rsid w:val="1FCF29CF"/>
    <w:rsid w:val="205B7610"/>
    <w:rsid w:val="20764BB6"/>
    <w:rsid w:val="21487EB7"/>
    <w:rsid w:val="21EF67C9"/>
    <w:rsid w:val="224909C3"/>
    <w:rsid w:val="22587460"/>
    <w:rsid w:val="2322012E"/>
    <w:rsid w:val="233B1878"/>
    <w:rsid w:val="23686ACB"/>
    <w:rsid w:val="23E84E31"/>
    <w:rsid w:val="24042151"/>
    <w:rsid w:val="24125624"/>
    <w:rsid w:val="245A195E"/>
    <w:rsid w:val="24CB595D"/>
    <w:rsid w:val="24FF3D57"/>
    <w:rsid w:val="255C1E6E"/>
    <w:rsid w:val="260C31EB"/>
    <w:rsid w:val="26344938"/>
    <w:rsid w:val="263B3166"/>
    <w:rsid w:val="265C0A8A"/>
    <w:rsid w:val="2673111B"/>
    <w:rsid w:val="267A11BB"/>
    <w:rsid w:val="26E57AD3"/>
    <w:rsid w:val="26E9382C"/>
    <w:rsid w:val="270A0914"/>
    <w:rsid w:val="2714160F"/>
    <w:rsid w:val="27624F4C"/>
    <w:rsid w:val="27D17500"/>
    <w:rsid w:val="285E1D92"/>
    <w:rsid w:val="2890116A"/>
    <w:rsid w:val="29296871"/>
    <w:rsid w:val="294854B7"/>
    <w:rsid w:val="29A26CD6"/>
    <w:rsid w:val="29D5599D"/>
    <w:rsid w:val="2A36189D"/>
    <w:rsid w:val="2A377AEF"/>
    <w:rsid w:val="2A577F1C"/>
    <w:rsid w:val="2A8B7E3A"/>
    <w:rsid w:val="2AAD745B"/>
    <w:rsid w:val="2AD577B0"/>
    <w:rsid w:val="2ADB5882"/>
    <w:rsid w:val="2AE83537"/>
    <w:rsid w:val="2BAD70FD"/>
    <w:rsid w:val="2BEE61D7"/>
    <w:rsid w:val="2C214B46"/>
    <w:rsid w:val="2C3813BB"/>
    <w:rsid w:val="2C506768"/>
    <w:rsid w:val="2D2D2C04"/>
    <w:rsid w:val="2DB04A37"/>
    <w:rsid w:val="2DBB4593"/>
    <w:rsid w:val="2DCA6ECC"/>
    <w:rsid w:val="2DD91AAB"/>
    <w:rsid w:val="2DF301D1"/>
    <w:rsid w:val="2E1D04B8"/>
    <w:rsid w:val="2E7E3103"/>
    <w:rsid w:val="2EAE09C1"/>
    <w:rsid w:val="2ED03D0A"/>
    <w:rsid w:val="2F026BF0"/>
    <w:rsid w:val="2F270C20"/>
    <w:rsid w:val="2F4875FA"/>
    <w:rsid w:val="2F8D29E4"/>
    <w:rsid w:val="2F93522D"/>
    <w:rsid w:val="2F984B4F"/>
    <w:rsid w:val="306D7693"/>
    <w:rsid w:val="30EC1632"/>
    <w:rsid w:val="30EE7385"/>
    <w:rsid w:val="31184A7B"/>
    <w:rsid w:val="31D40319"/>
    <w:rsid w:val="31FB7654"/>
    <w:rsid w:val="330247C5"/>
    <w:rsid w:val="3330157F"/>
    <w:rsid w:val="334A41AB"/>
    <w:rsid w:val="336D6E92"/>
    <w:rsid w:val="33746A8C"/>
    <w:rsid w:val="338A49CA"/>
    <w:rsid w:val="33B82D95"/>
    <w:rsid w:val="33FE342B"/>
    <w:rsid w:val="34364998"/>
    <w:rsid w:val="34365D32"/>
    <w:rsid w:val="3459592F"/>
    <w:rsid w:val="348F397D"/>
    <w:rsid w:val="3533240F"/>
    <w:rsid w:val="354B5379"/>
    <w:rsid w:val="35710369"/>
    <w:rsid w:val="35BB7B52"/>
    <w:rsid w:val="36212568"/>
    <w:rsid w:val="36545584"/>
    <w:rsid w:val="36657792"/>
    <w:rsid w:val="3673214A"/>
    <w:rsid w:val="36C902AA"/>
    <w:rsid w:val="371E406C"/>
    <w:rsid w:val="375813ED"/>
    <w:rsid w:val="37715BA6"/>
    <w:rsid w:val="37727C90"/>
    <w:rsid w:val="37BB447E"/>
    <w:rsid w:val="37C52E2A"/>
    <w:rsid w:val="37D30AEB"/>
    <w:rsid w:val="383F0B99"/>
    <w:rsid w:val="38583268"/>
    <w:rsid w:val="38C40D39"/>
    <w:rsid w:val="3985415E"/>
    <w:rsid w:val="39BB42E9"/>
    <w:rsid w:val="39D00BC7"/>
    <w:rsid w:val="39EA027C"/>
    <w:rsid w:val="3A0A0D7C"/>
    <w:rsid w:val="3A694F6C"/>
    <w:rsid w:val="3A70238B"/>
    <w:rsid w:val="3ABA4320"/>
    <w:rsid w:val="3B711BC6"/>
    <w:rsid w:val="3B822415"/>
    <w:rsid w:val="3B9D543B"/>
    <w:rsid w:val="3BBC17D1"/>
    <w:rsid w:val="3BBF7944"/>
    <w:rsid w:val="3BCB5591"/>
    <w:rsid w:val="3BE3139B"/>
    <w:rsid w:val="3C660568"/>
    <w:rsid w:val="3CB71C20"/>
    <w:rsid w:val="3CD734DF"/>
    <w:rsid w:val="3D0816E4"/>
    <w:rsid w:val="3D7B5AED"/>
    <w:rsid w:val="3D8C1AA8"/>
    <w:rsid w:val="3DEF61AC"/>
    <w:rsid w:val="3DF80EEB"/>
    <w:rsid w:val="3E412DA2"/>
    <w:rsid w:val="3E447AF3"/>
    <w:rsid w:val="3EDD3ACE"/>
    <w:rsid w:val="3EFA73DD"/>
    <w:rsid w:val="3F461B07"/>
    <w:rsid w:val="3F4866A7"/>
    <w:rsid w:val="3F594E23"/>
    <w:rsid w:val="3F7C478F"/>
    <w:rsid w:val="3FFC1746"/>
    <w:rsid w:val="405C4B2A"/>
    <w:rsid w:val="40C477AB"/>
    <w:rsid w:val="410138D0"/>
    <w:rsid w:val="416203C9"/>
    <w:rsid w:val="41AD4734"/>
    <w:rsid w:val="41B77BD7"/>
    <w:rsid w:val="41C07F72"/>
    <w:rsid w:val="420E33D3"/>
    <w:rsid w:val="42191AC1"/>
    <w:rsid w:val="431928C9"/>
    <w:rsid w:val="43831A2F"/>
    <w:rsid w:val="438C2C56"/>
    <w:rsid w:val="43CF4837"/>
    <w:rsid w:val="43D52591"/>
    <w:rsid w:val="43FF5F3D"/>
    <w:rsid w:val="44526E5A"/>
    <w:rsid w:val="44857F97"/>
    <w:rsid w:val="448C236A"/>
    <w:rsid w:val="4492209A"/>
    <w:rsid w:val="44D957F5"/>
    <w:rsid w:val="44EA4663"/>
    <w:rsid w:val="44FE4B9F"/>
    <w:rsid w:val="45675258"/>
    <w:rsid w:val="45693C95"/>
    <w:rsid w:val="459D5D78"/>
    <w:rsid w:val="45BE4637"/>
    <w:rsid w:val="460803A8"/>
    <w:rsid w:val="461810FC"/>
    <w:rsid w:val="46665B57"/>
    <w:rsid w:val="466B3B11"/>
    <w:rsid w:val="469D0831"/>
    <w:rsid w:val="471E63F5"/>
    <w:rsid w:val="47462CC7"/>
    <w:rsid w:val="47F2045C"/>
    <w:rsid w:val="48021483"/>
    <w:rsid w:val="48BF0F83"/>
    <w:rsid w:val="491D3A13"/>
    <w:rsid w:val="4937360E"/>
    <w:rsid w:val="494E57BD"/>
    <w:rsid w:val="495A5060"/>
    <w:rsid w:val="495C7E9F"/>
    <w:rsid w:val="49B00420"/>
    <w:rsid w:val="49E135D9"/>
    <w:rsid w:val="4A9768D8"/>
    <w:rsid w:val="4AA373E6"/>
    <w:rsid w:val="4B0F34BE"/>
    <w:rsid w:val="4B176725"/>
    <w:rsid w:val="4B221C9D"/>
    <w:rsid w:val="4B274486"/>
    <w:rsid w:val="4B405527"/>
    <w:rsid w:val="4B4F7A37"/>
    <w:rsid w:val="4BBB7ECB"/>
    <w:rsid w:val="4BC55D24"/>
    <w:rsid w:val="4CA50292"/>
    <w:rsid w:val="4CB708CE"/>
    <w:rsid w:val="4CBA2F49"/>
    <w:rsid w:val="4CD6215E"/>
    <w:rsid w:val="4CE808FE"/>
    <w:rsid w:val="4D4A49E0"/>
    <w:rsid w:val="4D9E0950"/>
    <w:rsid w:val="4DD13DB7"/>
    <w:rsid w:val="4E541B72"/>
    <w:rsid w:val="4E686078"/>
    <w:rsid w:val="4E7E7051"/>
    <w:rsid w:val="4EA6517F"/>
    <w:rsid w:val="4EC445FF"/>
    <w:rsid w:val="4EF75830"/>
    <w:rsid w:val="4F08489B"/>
    <w:rsid w:val="5074270E"/>
    <w:rsid w:val="50BA3A50"/>
    <w:rsid w:val="50EA7604"/>
    <w:rsid w:val="5122082A"/>
    <w:rsid w:val="512964E0"/>
    <w:rsid w:val="5132266D"/>
    <w:rsid w:val="518237D8"/>
    <w:rsid w:val="51965F64"/>
    <w:rsid w:val="51EF6AFB"/>
    <w:rsid w:val="52105F6D"/>
    <w:rsid w:val="536B7208"/>
    <w:rsid w:val="536F7A4A"/>
    <w:rsid w:val="53BE2640"/>
    <w:rsid w:val="53CF0C5C"/>
    <w:rsid w:val="54300593"/>
    <w:rsid w:val="54383293"/>
    <w:rsid w:val="544955B5"/>
    <w:rsid w:val="54617393"/>
    <w:rsid w:val="546654FD"/>
    <w:rsid w:val="54932A0B"/>
    <w:rsid w:val="54B77366"/>
    <w:rsid w:val="54CE3FFD"/>
    <w:rsid w:val="54F71AA5"/>
    <w:rsid w:val="54FD2C72"/>
    <w:rsid w:val="55C847A2"/>
    <w:rsid w:val="55D50038"/>
    <w:rsid w:val="55FF3307"/>
    <w:rsid w:val="562C5F96"/>
    <w:rsid w:val="56427575"/>
    <w:rsid w:val="565347B6"/>
    <w:rsid w:val="56556031"/>
    <w:rsid w:val="56C34335"/>
    <w:rsid w:val="57173E04"/>
    <w:rsid w:val="57443C4F"/>
    <w:rsid w:val="57B50DB0"/>
    <w:rsid w:val="57DB71F6"/>
    <w:rsid w:val="584E4E49"/>
    <w:rsid w:val="5882708A"/>
    <w:rsid w:val="58E123A7"/>
    <w:rsid w:val="58FD4D1C"/>
    <w:rsid w:val="590D7AE9"/>
    <w:rsid w:val="5A5A6AE7"/>
    <w:rsid w:val="5B2B1AC0"/>
    <w:rsid w:val="5B553294"/>
    <w:rsid w:val="5B805039"/>
    <w:rsid w:val="5B8322E4"/>
    <w:rsid w:val="5B8A7C55"/>
    <w:rsid w:val="5B8F35E9"/>
    <w:rsid w:val="5B9D3156"/>
    <w:rsid w:val="5BBC56DC"/>
    <w:rsid w:val="5BF979BC"/>
    <w:rsid w:val="5C076030"/>
    <w:rsid w:val="5C39779C"/>
    <w:rsid w:val="5C3B4D5B"/>
    <w:rsid w:val="5C5970FB"/>
    <w:rsid w:val="5CA359AC"/>
    <w:rsid w:val="5CCA7BB6"/>
    <w:rsid w:val="5D302F64"/>
    <w:rsid w:val="5D603594"/>
    <w:rsid w:val="5D677FB9"/>
    <w:rsid w:val="5D861C18"/>
    <w:rsid w:val="5E1B2CA8"/>
    <w:rsid w:val="5EB83AD6"/>
    <w:rsid w:val="5F08270F"/>
    <w:rsid w:val="5F0D4B21"/>
    <w:rsid w:val="5F9340F2"/>
    <w:rsid w:val="5FCE2CE8"/>
    <w:rsid w:val="60170067"/>
    <w:rsid w:val="60400EFA"/>
    <w:rsid w:val="60453C66"/>
    <w:rsid w:val="60967A11"/>
    <w:rsid w:val="60E15005"/>
    <w:rsid w:val="61531164"/>
    <w:rsid w:val="61886EF5"/>
    <w:rsid w:val="618E7A04"/>
    <w:rsid w:val="61907D1A"/>
    <w:rsid w:val="625D789D"/>
    <w:rsid w:val="62787485"/>
    <w:rsid w:val="62B72874"/>
    <w:rsid w:val="633809D1"/>
    <w:rsid w:val="63406832"/>
    <w:rsid w:val="63ED189D"/>
    <w:rsid w:val="64100965"/>
    <w:rsid w:val="641D3121"/>
    <w:rsid w:val="648B546D"/>
    <w:rsid w:val="64CE16D2"/>
    <w:rsid w:val="64F1663F"/>
    <w:rsid w:val="654737DE"/>
    <w:rsid w:val="655565F0"/>
    <w:rsid w:val="65C47053"/>
    <w:rsid w:val="6660041B"/>
    <w:rsid w:val="666B5E35"/>
    <w:rsid w:val="66974E96"/>
    <w:rsid w:val="66E93F22"/>
    <w:rsid w:val="679C132B"/>
    <w:rsid w:val="67E95605"/>
    <w:rsid w:val="680E2F36"/>
    <w:rsid w:val="68325815"/>
    <w:rsid w:val="688B27D8"/>
    <w:rsid w:val="691D5F89"/>
    <w:rsid w:val="696739C1"/>
    <w:rsid w:val="69AA4EE0"/>
    <w:rsid w:val="69BA1D8E"/>
    <w:rsid w:val="6A3D763A"/>
    <w:rsid w:val="6A8037E4"/>
    <w:rsid w:val="6AC34D98"/>
    <w:rsid w:val="6AEF4F2E"/>
    <w:rsid w:val="6AFE5050"/>
    <w:rsid w:val="6B53412F"/>
    <w:rsid w:val="6BA26E13"/>
    <w:rsid w:val="6BFD1C3F"/>
    <w:rsid w:val="6BFF5D29"/>
    <w:rsid w:val="6C227A0E"/>
    <w:rsid w:val="6CA1310D"/>
    <w:rsid w:val="6D365028"/>
    <w:rsid w:val="6D492796"/>
    <w:rsid w:val="6D8039C3"/>
    <w:rsid w:val="6D9B2D1F"/>
    <w:rsid w:val="6DDD1A9E"/>
    <w:rsid w:val="6DF66D12"/>
    <w:rsid w:val="6E4266DC"/>
    <w:rsid w:val="6E4A1B23"/>
    <w:rsid w:val="6E4C47B8"/>
    <w:rsid w:val="6E5024FA"/>
    <w:rsid w:val="6E661BB9"/>
    <w:rsid w:val="6EBC0F1A"/>
    <w:rsid w:val="6EC82F50"/>
    <w:rsid w:val="6F0B7E5B"/>
    <w:rsid w:val="6F15104E"/>
    <w:rsid w:val="6F5412F4"/>
    <w:rsid w:val="6FBB0530"/>
    <w:rsid w:val="6FC0544C"/>
    <w:rsid w:val="6FC42778"/>
    <w:rsid w:val="6FDE756B"/>
    <w:rsid w:val="70724A71"/>
    <w:rsid w:val="7078703C"/>
    <w:rsid w:val="70EB4636"/>
    <w:rsid w:val="70F822E3"/>
    <w:rsid w:val="7133560F"/>
    <w:rsid w:val="7158482E"/>
    <w:rsid w:val="71A91895"/>
    <w:rsid w:val="724265FE"/>
    <w:rsid w:val="726036A6"/>
    <w:rsid w:val="732E6B82"/>
    <w:rsid w:val="73833566"/>
    <w:rsid w:val="73F5728B"/>
    <w:rsid w:val="740116E1"/>
    <w:rsid w:val="744548E3"/>
    <w:rsid w:val="74C52498"/>
    <w:rsid w:val="74C74C01"/>
    <w:rsid w:val="75147188"/>
    <w:rsid w:val="75812E5C"/>
    <w:rsid w:val="75B17B55"/>
    <w:rsid w:val="76024771"/>
    <w:rsid w:val="76290C74"/>
    <w:rsid w:val="764030D7"/>
    <w:rsid w:val="76A47810"/>
    <w:rsid w:val="76B0418D"/>
    <w:rsid w:val="76C07AF1"/>
    <w:rsid w:val="77470212"/>
    <w:rsid w:val="77742A87"/>
    <w:rsid w:val="77B82307"/>
    <w:rsid w:val="77E23352"/>
    <w:rsid w:val="7858377C"/>
    <w:rsid w:val="79960744"/>
    <w:rsid w:val="7A1E1F2C"/>
    <w:rsid w:val="7A250C81"/>
    <w:rsid w:val="7B212B22"/>
    <w:rsid w:val="7BD342ED"/>
    <w:rsid w:val="7BDC4D9B"/>
    <w:rsid w:val="7C24670B"/>
    <w:rsid w:val="7C5840AD"/>
    <w:rsid w:val="7D0629E6"/>
    <w:rsid w:val="7D4E1F2C"/>
    <w:rsid w:val="7D4F1987"/>
    <w:rsid w:val="7D8A547F"/>
    <w:rsid w:val="7DD2469C"/>
    <w:rsid w:val="7DD452B8"/>
    <w:rsid w:val="7DFE06F3"/>
    <w:rsid w:val="7E015E6B"/>
    <w:rsid w:val="7ED25666"/>
    <w:rsid w:val="7F014E71"/>
    <w:rsid w:val="7F506301"/>
    <w:rsid w:val="7F9046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qFormat="1" w:unhideWhenUsed="0"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99" w:semiHidden="0" w:name="Body Text Indent 3"/>
    <w:lsdException w:qFormat="1" w:unhideWhenUsed="0" w:uiPriority="0" w:semiHidden="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qFormat/>
    <w:uiPriority w:val="99"/>
    <w:pPr>
      <w:keepNext/>
      <w:keepLines/>
      <w:spacing w:before="260" w:after="260" w:line="416" w:lineRule="auto"/>
      <w:jc w:val="left"/>
      <w:outlineLvl w:val="1"/>
    </w:pPr>
    <w:rPr>
      <w:rFonts w:ascii="Cambria" w:hAnsi="Cambria" w:cs="Cambria"/>
      <w:b/>
      <w:bCs/>
      <w:sz w:val="32"/>
      <w:szCs w:val="32"/>
    </w:rPr>
  </w:style>
  <w:style w:type="paragraph" w:styleId="6">
    <w:name w:val="heading 3"/>
    <w:basedOn w:val="1"/>
    <w:next w:val="7"/>
    <w:qFormat/>
    <w:uiPriority w:val="0"/>
    <w:pPr>
      <w:keepNext/>
      <w:spacing w:beforeLines="200" w:line="400" w:lineRule="exact"/>
      <w:jc w:val="center"/>
      <w:outlineLvl w:val="2"/>
    </w:pPr>
    <w:rPr>
      <w:b/>
      <w:bCs/>
      <w:sz w:val="24"/>
      <w:szCs w:val="24"/>
    </w:rPr>
  </w:style>
  <w:style w:type="paragraph" w:styleId="9">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10">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val="0"/>
      <w:spacing w:after="120" w:line="360" w:lineRule="auto"/>
      <w:ind w:left="1440" w:leftChars="700" w:right="1440" w:rightChars="700"/>
      <w:jc w:val="both"/>
    </w:pPr>
    <w:rPr>
      <w:rFonts w:ascii="Calibri" w:hAnsi="Calibri" w:eastAsia="仿宋" w:cs="Times New Roman"/>
      <w:kern w:val="2"/>
      <w:sz w:val="21"/>
      <w:szCs w:val="28"/>
      <w:lang w:val="en-US" w:eastAsia="zh-CN" w:bidi="ar-SA"/>
    </w:rPr>
  </w:style>
  <w:style w:type="paragraph" w:styleId="3">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7">
    <w:name w:val="Normal Indent"/>
    <w:basedOn w:val="1"/>
    <w:next w:val="8"/>
    <w:qFormat/>
    <w:uiPriority w:val="0"/>
    <w:pPr>
      <w:spacing w:line="300" w:lineRule="auto"/>
      <w:ind w:firstLine="420" w:firstLineChars="200"/>
    </w:pPr>
    <w:rPr>
      <w:szCs w:val="24"/>
    </w:rPr>
  </w:style>
  <w:style w:type="paragraph" w:styleId="8">
    <w:name w:val="index 5"/>
    <w:basedOn w:val="1"/>
    <w:next w:val="1"/>
    <w:qFormat/>
    <w:uiPriority w:val="99"/>
    <w:pPr>
      <w:jc w:val="left"/>
    </w:pPr>
    <w:rPr>
      <w:rFonts w:ascii="黑体" w:hAnsi="黑体" w:eastAsia="黑体"/>
      <w:sz w:val="32"/>
      <w:szCs w:val="32"/>
    </w:rPr>
  </w:style>
  <w:style w:type="paragraph" w:styleId="11">
    <w:name w:val="annotation text"/>
    <w:basedOn w:val="1"/>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rPr>
      <w:rFonts w:ascii="仿宋_GB2312" w:eastAsia="仿宋_GB2312"/>
      <w:spacing w:val="-20"/>
      <w:sz w:val="28"/>
      <w:szCs w:val="20"/>
    </w:rPr>
  </w:style>
  <w:style w:type="paragraph" w:styleId="14">
    <w:name w:val="Body Text Indent"/>
    <w:basedOn w:val="1"/>
    <w:qFormat/>
    <w:uiPriority w:val="0"/>
    <w:pPr>
      <w:widowControl/>
      <w:ind w:firstLine="652" w:firstLineChars="233"/>
    </w:pPr>
    <w:rPr>
      <w:kern w:val="0"/>
      <w:sz w:val="28"/>
    </w:rPr>
  </w:style>
  <w:style w:type="paragraph" w:styleId="15">
    <w:name w:val="toc 3"/>
    <w:basedOn w:val="1"/>
    <w:next w:val="1"/>
    <w:qFormat/>
    <w:uiPriority w:val="0"/>
    <w:pPr>
      <w:ind w:left="840" w:leftChars="400"/>
    </w:pPr>
  </w:style>
  <w:style w:type="paragraph" w:styleId="16">
    <w:name w:val="Plain Text"/>
    <w:basedOn w:val="1"/>
    <w:qFormat/>
    <w:uiPriority w:val="99"/>
    <w:rPr>
      <w:rFonts w:ascii="宋体" w:hAnsi="Courier New" w:cs="宋体"/>
    </w:rPr>
  </w:style>
  <w:style w:type="paragraph" w:styleId="17">
    <w:name w:val="Date"/>
    <w:basedOn w:val="1"/>
    <w:next w:val="1"/>
    <w:qFormat/>
    <w:uiPriority w:val="0"/>
    <w:rPr>
      <w:sz w:val="28"/>
    </w:rPr>
  </w:style>
  <w:style w:type="paragraph" w:styleId="18">
    <w:name w:val="footer"/>
    <w:basedOn w:val="1"/>
    <w:qFormat/>
    <w:uiPriority w:val="99"/>
    <w:pPr>
      <w:tabs>
        <w:tab w:val="center" w:pos="4153"/>
        <w:tab w:val="right" w:pos="8306"/>
      </w:tabs>
      <w:snapToGrid w:val="0"/>
      <w:jc w:val="left"/>
    </w:pPr>
    <w:rPr>
      <w:sz w:val="18"/>
      <w:szCs w:val="18"/>
    </w:rPr>
  </w:style>
  <w:style w:type="paragraph" w:styleId="1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4"/>
    <w:basedOn w:val="1"/>
    <w:next w:val="1"/>
    <w:qFormat/>
    <w:uiPriority w:val="0"/>
    <w:pPr>
      <w:ind w:left="1260" w:leftChars="600"/>
    </w:pPr>
  </w:style>
  <w:style w:type="paragraph" w:styleId="22">
    <w:name w:val="Body Text Indent 3"/>
    <w:basedOn w:val="1"/>
    <w:qFormat/>
    <w:uiPriority w:val="99"/>
    <w:pPr>
      <w:spacing w:line="360" w:lineRule="auto"/>
      <w:ind w:left="420" w:firstLine="480"/>
    </w:pPr>
    <w:rPr>
      <w:rFonts w:ascii="宋体" w:hAnsi="宋体" w:cs="宋体"/>
      <w:sz w:val="24"/>
      <w:szCs w:val="24"/>
    </w:rPr>
  </w:style>
  <w:style w:type="paragraph" w:styleId="23">
    <w:name w:val="toc 2"/>
    <w:basedOn w:val="1"/>
    <w:next w:val="1"/>
    <w:unhideWhenUsed/>
    <w:qFormat/>
    <w:uiPriority w:val="39"/>
    <w:pPr>
      <w:ind w:left="420" w:leftChars="200"/>
    </w:pPr>
  </w:style>
  <w:style w:type="paragraph" w:styleId="24">
    <w:name w:val="Body Text 2"/>
    <w:basedOn w:val="1"/>
    <w:qFormat/>
    <w:uiPriority w:val="0"/>
    <w:pPr>
      <w:adjustRightInd w:val="0"/>
      <w:snapToGrid w:val="0"/>
      <w:spacing w:line="480" w:lineRule="atLeast"/>
    </w:pPr>
    <w:rPr>
      <w:rFonts w:ascii="宋体" w:hAnsi="宋体"/>
      <w:sz w:val="28"/>
    </w:rPr>
  </w:style>
  <w:style w:type="paragraph" w:styleId="25">
    <w:name w:val="Normal (Web)"/>
    <w:basedOn w:val="1"/>
    <w:qFormat/>
    <w:uiPriority w:val="99"/>
    <w:pPr>
      <w:jc w:val="left"/>
    </w:pPr>
    <w:rPr>
      <w:color w:val="3D3D3D"/>
      <w:kern w:val="0"/>
      <w:sz w:val="24"/>
    </w:rPr>
  </w:style>
  <w:style w:type="paragraph" w:styleId="26">
    <w:name w:val="Body Text First Indent"/>
    <w:basedOn w:val="13"/>
    <w:qFormat/>
    <w:uiPriority w:val="0"/>
    <w:pPr>
      <w:ind w:firstLine="420" w:firstLineChars="100"/>
    </w:pPr>
    <w:rPr>
      <w:rFonts w:ascii="Times New Roman" w:eastAsia="宋体"/>
    </w:rPr>
  </w:style>
  <w:style w:type="paragraph" w:styleId="27">
    <w:name w:val="Body Text First Indent 2"/>
    <w:basedOn w:val="14"/>
    <w:qFormat/>
    <w:uiPriority w:val="99"/>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Cs/>
    </w:rPr>
  </w:style>
  <w:style w:type="character" w:styleId="32">
    <w:name w:val="FollowedHyperlink"/>
    <w:basedOn w:val="30"/>
    <w:semiHidden/>
    <w:unhideWhenUsed/>
    <w:qFormat/>
    <w:uiPriority w:val="0"/>
    <w:rPr>
      <w:color w:val="954F72" w:themeColor="followedHyperlink"/>
      <w:u w:val="single"/>
      <w14:textFill>
        <w14:solidFill>
          <w14:schemeClr w14:val="folHlink"/>
        </w14:solidFill>
      </w14:textFill>
    </w:rPr>
  </w:style>
  <w:style w:type="character" w:styleId="33">
    <w:name w:val="Hyperlink"/>
    <w:basedOn w:val="30"/>
    <w:qFormat/>
    <w:uiPriority w:val="0"/>
    <w:rPr>
      <w:color w:val="0000FF"/>
      <w:u w:val="single"/>
    </w:rPr>
  </w:style>
  <w:style w:type="paragraph" w:customStyle="1" w:styleId="34">
    <w:name w:val="列出段落1"/>
    <w:basedOn w:val="1"/>
    <w:qFormat/>
    <w:uiPriority w:val="34"/>
    <w:pPr>
      <w:ind w:firstLine="420" w:firstLineChars="200"/>
    </w:pPr>
  </w:style>
  <w:style w:type="paragraph" w:customStyle="1" w:styleId="35">
    <w:name w:val="List Paragraph1"/>
    <w:qFormat/>
    <w:uiPriority w:val="0"/>
    <w:pPr>
      <w:ind w:firstLine="420" w:firstLineChars="200"/>
    </w:pPr>
    <w:rPr>
      <w:rFonts w:ascii="Calibri" w:hAnsi="Calibri" w:eastAsia="宋体" w:cs="Times New Roman"/>
      <w:sz w:val="21"/>
      <w:szCs w:val="22"/>
      <w:lang w:val="en-US" w:eastAsia="zh-CN" w:bidi="ar-SA"/>
    </w:rPr>
  </w:style>
  <w:style w:type="paragraph" w:customStyle="1" w:styleId="36">
    <w:name w:val="样式 标题 2 Char + (西文) 黑体 段前: 6 磅 段后: 0.5 行 行距: 1.5 倍行距"/>
    <w:basedOn w:val="5"/>
    <w:qFormat/>
    <w:uiPriority w:val="0"/>
    <w:pPr>
      <w:spacing w:before="120" w:line="360" w:lineRule="auto"/>
    </w:pPr>
    <w:rPr>
      <w:rFonts w:ascii="黑体" w:hAnsi="黑体" w:cs="宋体"/>
      <w:sz w:val="28"/>
      <w:szCs w:val="20"/>
    </w:rPr>
  </w:style>
  <w:style w:type="paragraph" w:customStyle="1" w:styleId="37">
    <w:name w:val="样式1"/>
    <w:next w:val="3"/>
    <w:qFormat/>
    <w:uiPriority w:val="0"/>
    <w:pPr>
      <w:widowControl w:val="0"/>
      <w:ind w:firstLine="200" w:firstLineChars="200"/>
      <w:jc w:val="both"/>
    </w:pPr>
    <w:rPr>
      <w:rFonts w:ascii="仿宋_GB2312" w:hAnsi="Times New Roman" w:eastAsia="仿宋_GB2312" w:cs="Times New Roman"/>
      <w:kern w:val="2"/>
      <w:sz w:val="28"/>
      <w:szCs w:val="28"/>
      <w:lang w:val="en-US" w:eastAsia="zh-CN" w:bidi="ar-SA"/>
    </w:rPr>
  </w:style>
  <w:style w:type="paragraph" w:customStyle="1" w:styleId="38">
    <w:name w:val="p0"/>
    <w:basedOn w:val="1"/>
    <w:qFormat/>
    <w:uiPriority w:val="0"/>
    <w:pPr>
      <w:widowControl/>
    </w:pPr>
    <w:rPr>
      <w:kern w:val="0"/>
      <w:sz w:val="32"/>
      <w:szCs w:val="21"/>
    </w:rPr>
  </w:style>
  <w:style w:type="paragraph" w:customStyle="1" w:styleId="39">
    <w:name w:val="List Paragraph_2b5ace25-7929-4310-8a1a-2bf2c1be16a7"/>
    <w:basedOn w:val="1"/>
    <w:qFormat/>
    <w:uiPriority w:val="34"/>
    <w:pPr>
      <w:ind w:firstLine="420" w:firstLineChars="200"/>
    </w:pPr>
  </w:style>
  <w:style w:type="paragraph" w:customStyle="1" w:styleId="40">
    <w:name w:val="Char1"/>
    <w:basedOn w:val="1"/>
    <w:qFormat/>
    <w:uiPriority w:val="0"/>
    <w:pPr>
      <w:tabs>
        <w:tab w:val="left" w:pos="360"/>
      </w:tabs>
      <w:ind w:left="360" w:hanging="360" w:hangingChars="200"/>
    </w:pPr>
    <w:rPr>
      <w:szCs w:val="24"/>
    </w:rPr>
  </w:style>
  <w:style w:type="character" w:customStyle="1" w:styleId="41">
    <w:name w:val="font01"/>
    <w:basedOn w:val="30"/>
    <w:qFormat/>
    <w:uiPriority w:val="0"/>
    <w:rPr>
      <w:rFonts w:hint="eastAsia" w:ascii="宋体" w:hAnsi="宋体" w:eastAsia="宋体" w:cs="宋体"/>
      <w:color w:val="000000"/>
      <w:sz w:val="20"/>
      <w:szCs w:val="20"/>
      <w:u w:val="none"/>
    </w:rPr>
  </w:style>
  <w:style w:type="paragraph" w:customStyle="1" w:styleId="42">
    <w:name w:val="title1"/>
    <w:basedOn w:val="1"/>
    <w:qFormat/>
    <w:uiPriority w:val="0"/>
    <w:pPr>
      <w:widowControl/>
      <w:jc w:val="left"/>
    </w:pPr>
    <w:rPr>
      <w:rFonts w:ascii="宋体" w:hAnsi="宋体" w:cs="宋体"/>
      <w:kern w:val="0"/>
      <w:sz w:val="24"/>
      <w:szCs w:val="24"/>
    </w:rPr>
  </w:style>
  <w:style w:type="paragraph" w:styleId="43">
    <w:name w:val="List Paragraph"/>
    <w:basedOn w:val="1"/>
    <w:qFormat/>
    <w:uiPriority w:val="99"/>
    <w:pPr>
      <w:ind w:firstLine="420" w:firstLineChars="200"/>
    </w:pPr>
  </w:style>
  <w:style w:type="paragraph" w:customStyle="1" w:styleId="44">
    <w:name w:val="样式 标题 3 + 小三"/>
    <w:basedOn w:val="6"/>
    <w:unhideWhenUsed/>
    <w:qFormat/>
    <w:uiPriority w:val="0"/>
    <w:pPr>
      <w:keepLines/>
      <w:widowControl/>
      <w:spacing w:beforeLines="0" w:line="240" w:lineRule="auto"/>
      <w:ind w:firstLine="113"/>
      <w:jc w:val="left"/>
    </w:pPr>
    <w:rPr>
      <w:rFonts w:ascii="黑体" w:hAnsi="黑体" w:eastAsia="黑体"/>
      <w:b w:val="0"/>
      <w:bCs w:val="0"/>
      <w:sz w:val="30"/>
    </w:rPr>
  </w:style>
  <w:style w:type="paragraph" w:customStyle="1" w:styleId="45">
    <w:name w:val="title12"/>
    <w:basedOn w:val="1"/>
    <w:qFormat/>
    <w:uiPriority w:val="0"/>
    <w:pPr>
      <w:widowControl/>
      <w:spacing w:before="209" w:line="710" w:lineRule="atLeast"/>
      <w:jc w:val="left"/>
    </w:pPr>
    <w:rPr>
      <w:rFonts w:ascii="宋体" w:hAnsi="宋体" w:cs="宋体"/>
      <w:b/>
      <w:bCs/>
      <w:kern w:val="0"/>
      <w:sz w:val="31"/>
      <w:szCs w:val="3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431E1-6DF0-4322-B2B3-09A6AC5CFFB6}">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76</Pages>
  <Words>32436</Words>
  <Characters>35739</Characters>
  <Lines>313</Lines>
  <Paragraphs>88</Paragraphs>
  <TotalTime>3</TotalTime>
  <ScaleCrop>false</ScaleCrop>
  <LinksUpToDate>false</LinksUpToDate>
  <CharactersWithSpaces>38485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2018-10-16T06:10:00Z</dcterms:created>
  <dc:creator>天海1415003450</dc:creator>
  <cp:lastModifiedBy>梦如人生</cp:lastModifiedBy>
  <cp:lastPrinted>2022-11-25T05:17:00Z</cp:lastPrinted>
  <dcterms:modified xsi:type="dcterms:W3CDTF">2022-11-25T09:21:30Z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6DE28BD768084A42B9F9BA3B0F51B887</vt:lpwstr>
  </property>
</Properties>
</file>