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ZMZB2022SYJK-288</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hint="eastAsia" w:ascii="宋体" w:hAnsi="宋体" w:eastAsia="宋体" w:cs="宋体"/>
          <w:b/>
          <w:sz w:val="48"/>
          <w:szCs w:val="48"/>
          <w:lang w:eastAsia="zh-CN"/>
        </w:rPr>
      </w:pPr>
      <w:bookmarkStart w:id="1" w:name="OLE_LINK10"/>
      <w:r>
        <w:rPr>
          <w:rFonts w:hint="eastAsia" w:ascii="宋体" w:hAnsi="宋体" w:cs="宋体"/>
          <w:b/>
          <w:sz w:val="48"/>
          <w:szCs w:val="48"/>
          <w:lang w:eastAsia="zh-CN"/>
        </w:rPr>
        <w:t>山阳县疾病预防控制中心</w:t>
      </w:r>
    </w:p>
    <w:p>
      <w:pPr>
        <w:adjustRightInd w:val="0"/>
        <w:snapToGrid w:val="0"/>
        <w:spacing w:line="360" w:lineRule="auto"/>
        <w:jc w:val="center"/>
        <w:rPr>
          <w:rFonts w:hint="eastAsia" w:ascii="宋体" w:hAnsi="宋体" w:eastAsia="宋体" w:cs="宋体"/>
          <w:b/>
          <w:sz w:val="48"/>
          <w:szCs w:val="48"/>
          <w:lang w:eastAsia="zh-CN"/>
        </w:rPr>
      </w:pPr>
      <w:r>
        <w:rPr>
          <w:rFonts w:hint="eastAsia" w:ascii="宋体" w:hAnsi="宋体" w:cs="宋体"/>
          <w:b/>
          <w:sz w:val="48"/>
          <w:szCs w:val="48"/>
          <w:lang w:eastAsia="zh-CN"/>
        </w:rPr>
        <w:t>山阳县农村职业技能培训基地附属设施采购项目</w:t>
      </w:r>
    </w:p>
    <w:bookmarkEnd w:id="1"/>
    <w:p>
      <w:pPr>
        <w:adjustRightInd w:val="0"/>
        <w:snapToGrid w:val="0"/>
        <w:spacing w:line="360" w:lineRule="auto"/>
        <w:jc w:val="left"/>
        <w:rPr>
          <w:rFonts w:ascii="宋体" w:hAnsi="宋体" w:cs="宋体"/>
          <w:b/>
          <w:i/>
          <w:sz w:val="48"/>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1640840</wp:posOffset>
            </wp:positionH>
            <wp:positionV relativeFrom="paragraph">
              <wp:posOffset>452755</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2"/>
                    <a:stretch>
                      <a:fillRect/>
                    </a:stretch>
                  </pic:blipFill>
                  <pic:spPr>
                    <a:xfrm>
                      <a:off x="0" y="0"/>
                      <a:ext cx="2095500" cy="1087120"/>
                    </a:xfrm>
                    <a:prstGeom prst="rect">
                      <a:avLst/>
                    </a:prstGeom>
                    <a:noFill/>
                    <a:ln>
                      <a:noFill/>
                    </a:ln>
                  </pic:spPr>
                </pic:pic>
              </a:graphicData>
            </a:graphic>
          </wp:anchor>
        </w:drawing>
      </w:r>
    </w:p>
    <w:p>
      <w:pPr>
        <w:adjustRightInd w:val="0"/>
        <w:snapToGrid w:val="0"/>
        <w:spacing w:line="360" w:lineRule="auto"/>
        <w:jc w:val="left"/>
        <w:rPr>
          <w:rFonts w:ascii="宋体" w:hAnsi="宋体" w:cs="宋体"/>
          <w:b/>
          <w:sz w:val="52"/>
          <w:szCs w:val="52"/>
        </w:rPr>
      </w:pPr>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10</w:t>
      </w:r>
      <w:r>
        <w:rPr>
          <w:rFonts w:hint="eastAsia" w:ascii="宋体" w:hAnsi="宋体" w:cs="宋体"/>
          <w:b/>
          <w:sz w:val="36"/>
          <w:szCs w:val="36"/>
        </w:rPr>
        <w:t>月</w:t>
      </w:r>
    </w:p>
    <w:p>
      <w:pPr>
        <w:pStyle w:val="21"/>
        <w:tabs>
          <w:tab w:val="right" w:leader="dot" w:pos="8306"/>
        </w:tabs>
        <w:spacing w:line="360" w:lineRule="auto"/>
        <w:jc w:val="center"/>
        <w:rPr>
          <w:rFonts w:ascii="宋体" w:hAnsi="宋体" w:cs="宋体"/>
          <w:b/>
          <w:bCs/>
          <w:sz w:val="36"/>
          <w:szCs w:val="36"/>
        </w:rPr>
      </w:pPr>
    </w:p>
    <w:p>
      <w:pPr>
        <w:pStyle w:val="21"/>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spacing w:before="0" w:beforeLines="0" w:after="0" w:afterLines="0" w:line="240" w:lineRule="auto"/>
        <w:ind w:left="0" w:leftChars="0" w:right="0" w:rightChars="0" w:firstLine="0" w:firstLineChars="0"/>
        <w:jc w:val="center"/>
      </w:pPr>
    </w:p>
    <w:p>
      <w:pPr>
        <w:pStyle w:val="21"/>
        <w:tabs>
          <w:tab w:val="right" w:leader="dot" w:pos="8620"/>
        </w:tabs>
      </w:pPr>
      <w:r>
        <w:fldChar w:fldCharType="begin"/>
      </w:r>
      <w:r>
        <w:instrText xml:space="preserve">TOC \o "1-3" \h \u </w:instrText>
      </w:r>
      <w:r>
        <w:fldChar w:fldCharType="separate"/>
      </w:r>
      <w:r>
        <w:fldChar w:fldCharType="begin"/>
      </w:r>
      <w:r>
        <w:instrText xml:space="preserve"> HYPERLINK \l _Toc20412 </w:instrText>
      </w:r>
      <w:r>
        <w:fldChar w:fldCharType="separate"/>
      </w:r>
      <w:r>
        <w:rPr>
          <w:rFonts w:hint="eastAsia" w:ascii="宋体" w:hAnsi="宋体" w:cs="宋体"/>
          <w:szCs w:val="36"/>
        </w:rPr>
        <w:t>第一部分  公开招标公告</w:t>
      </w:r>
      <w:r>
        <w:tab/>
      </w:r>
      <w:r>
        <w:fldChar w:fldCharType="begin"/>
      </w:r>
      <w:r>
        <w:instrText xml:space="preserve"> PAGEREF _Toc20412 \h </w:instrText>
      </w:r>
      <w:r>
        <w:fldChar w:fldCharType="separate"/>
      </w:r>
      <w:r>
        <w:t>1</w:t>
      </w:r>
      <w:r>
        <w:fldChar w:fldCharType="end"/>
      </w:r>
      <w:r>
        <w:fldChar w:fldCharType="end"/>
      </w:r>
    </w:p>
    <w:p>
      <w:pPr>
        <w:pStyle w:val="21"/>
        <w:tabs>
          <w:tab w:val="right" w:leader="dot" w:pos="8620"/>
        </w:tabs>
      </w:pPr>
      <w:r>
        <w:fldChar w:fldCharType="begin"/>
      </w:r>
      <w:r>
        <w:instrText xml:space="preserve"> HYPERLINK \l _Toc29325 </w:instrText>
      </w:r>
      <w:r>
        <w:fldChar w:fldCharType="separate"/>
      </w:r>
      <w:r>
        <w:rPr>
          <w:rFonts w:hint="eastAsia" w:ascii="宋体" w:hAnsi="宋体" w:cs="宋体"/>
          <w:szCs w:val="36"/>
        </w:rPr>
        <w:t>第二部分  供应商须知前附表</w:t>
      </w:r>
      <w:r>
        <w:tab/>
      </w:r>
      <w:r>
        <w:fldChar w:fldCharType="begin"/>
      </w:r>
      <w:r>
        <w:instrText xml:space="preserve"> PAGEREF _Toc29325 \h </w:instrText>
      </w:r>
      <w:r>
        <w:fldChar w:fldCharType="separate"/>
      </w:r>
      <w:r>
        <w:t>5</w:t>
      </w:r>
      <w:r>
        <w:fldChar w:fldCharType="end"/>
      </w:r>
      <w:r>
        <w:fldChar w:fldCharType="end"/>
      </w:r>
    </w:p>
    <w:p>
      <w:pPr>
        <w:pStyle w:val="21"/>
        <w:tabs>
          <w:tab w:val="right" w:leader="dot" w:pos="8620"/>
        </w:tabs>
      </w:pPr>
      <w:r>
        <w:fldChar w:fldCharType="begin"/>
      </w:r>
      <w:r>
        <w:instrText xml:space="preserve"> HYPERLINK \l _Toc4652 </w:instrText>
      </w:r>
      <w:r>
        <w:fldChar w:fldCharType="separate"/>
      </w:r>
      <w:r>
        <w:rPr>
          <w:rFonts w:hint="eastAsia" w:ascii="宋体" w:hAnsi="宋体" w:cs="宋体"/>
          <w:szCs w:val="36"/>
        </w:rPr>
        <w:t>第三部分  供应商须知</w:t>
      </w:r>
      <w:r>
        <w:tab/>
      </w:r>
      <w:r>
        <w:fldChar w:fldCharType="begin"/>
      </w:r>
      <w:r>
        <w:instrText xml:space="preserve"> PAGEREF _Toc4652 \h </w:instrText>
      </w:r>
      <w:r>
        <w:fldChar w:fldCharType="separate"/>
      </w:r>
      <w:r>
        <w:t>11</w:t>
      </w:r>
      <w:r>
        <w:fldChar w:fldCharType="end"/>
      </w:r>
      <w:r>
        <w:fldChar w:fldCharType="end"/>
      </w:r>
    </w:p>
    <w:p>
      <w:pPr>
        <w:pStyle w:val="22"/>
        <w:tabs>
          <w:tab w:val="right" w:leader="dot" w:pos="8620"/>
        </w:tabs>
      </w:pPr>
      <w:r>
        <w:fldChar w:fldCharType="begin"/>
      </w:r>
      <w:r>
        <w:instrText xml:space="preserve"> HYPERLINK \l _Toc1290 </w:instrText>
      </w:r>
      <w:r>
        <w:fldChar w:fldCharType="separate"/>
      </w:r>
      <w:r>
        <w:rPr>
          <w:rFonts w:hint="eastAsia" w:ascii="宋体" w:hAnsi="宋体" w:cs="宋体"/>
          <w:bCs/>
          <w:szCs w:val="32"/>
        </w:rPr>
        <w:t>一、总 则</w:t>
      </w:r>
      <w:r>
        <w:tab/>
      </w:r>
      <w:r>
        <w:fldChar w:fldCharType="begin"/>
      </w:r>
      <w:r>
        <w:instrText xml:space="preserve"> PAGEREF _Toc1290 \h </w:instrText>
      </w:r>
      <w:r>
        <w:fldChar w:fldCharType="separate"/>
      </w:r>
      <w:r>
        <w:t>11</w:t>
      </w:r>
      <w:r>
        <w:fldChar w:fldCharType="end"/>
      </w:r>
      <w:r>
        <w:fldChar w:fldCharType="end"/>
      </w:r>
    </w:p>
    <w:p>
      <w:pPr>
        <w:pStyle w:val="22"/>
        <w:tabs>
          <w:tab w:val="right" w:leader="dot" w:pos="8620"/>
        </w:tabs>
      </w:pPr>
      <w:r>
        <w:fldChar w:fldCharType="begin"/>
      </w:r>
      <w:r>
        <w:instrText xml:space="preserve"> HYPERLINK \l _Toc18223 </w:instrText>
      </w:r>
      <w:r>
        <w:fldChar w:fldCharType="separate"/>
      </w:r>
      <w:r>
        <w:rPr>
          <w:rFonts w:hint="eastAsia" w:ascii="宋体" w:hAnsi="宋体" w:cs="宋体"/>
          <w:bCs/>
          <w:szCs w:val="28"/>
        </w:rPr>
        <w:t>二、 招标文件</w:t>
      </w:r>
      <w:r>
        <w:tab/>
      </w:r>
      <w:r>
        <w:fldChar w:fldCharType="begin"/>
      </w:r>
      <w:r>
        <w:instrText xml:space="preserve"> PAGEREF _Toc18223 \h </w:instrText>
      </w:r>
      <w:r>
        <w:fldChar w:fldCharType="separate"/>
      </w:r>
      <w:r>
        <w:t>13</w:t>
      </w:r>
      <w:r>
        <w:fldChar w:fldCharType="end"/>
      </w:r>
      <w:r>
        <w:fldChar w:fldCharType="end"/>
      </w:r>
    </w:p>
    <w:p>
      <w:pPr>
        <w:pStyle w:val="22"/>
        <w:tabs>
          <w:tab w:val="right" w:leader="dot" w:pos="8620"/>
        </w:tabs>
      </w:pPr>
      <w:r>
        <w:fldChar w:fldCharType="begin"/>
      </w:r>
      <w:r>
        <w:instrText xml:space="preserve"> HYPERLINK \l _Toc17941 </w:instrText>
      </w:r>
      <w:r>
        <w:fldChar w:fldCharType="separate"/>
      </w:r>
      <w:r>
        <w:rPr>
          <w:rFonts w:hint="eastAsia" w:ascii="宋体" w:hAnsi="宋体" w:cs="宋体"/>
          <w:bCs/>
          <w:szCs w:val="28"/>
        </w:rPr>
        <w:t>三、投标文件</w:t>
      </w:r>
      <w:r>
        <w:tab/>
      </w:r>
      <w:r>
        <w:fldChar w:fldCharType="begin"/>
      </w:r>
      <w:r>
        <w:instrText xml:space="preserve"> PAGEREF _Toc17941 \h </w:instrText>
      </w:r>
      <w:r>
        <w:fldChar w:fldCharType="separate"/>
      </w:r>
      <w:r>
        <w:t>16</w:t>
      </w:r>
      <w:r>
        <w:fldChar w:fldCharType="end"/>
      </w:r>
      <w:r>
        <w:fldChar w:fldCharType="end"/>
      </w:r>
    </w:p>
    <w:p>
      <w:pPr>
        <w:pStyle w:val="22"/>
        <w:tabs>
          <w:tab w:val="right" w:leader="dot" w:pos="8620"/>
        </w:tabs>
      </w:pPr>
      <w:r>
        <w:fldChar w:fldCharType="begin"/>
      </w:r>
      <w:r>
        <w:instrText xml:space="preserve"> HYPERLINK \l _Toc15953 </w:instrText>
      </w:r>
      <w:r>
        <w:fldChar w:fldCharType="separate"/>
      </w:r>
      <w:r>
        <w:rPr>
          <w:rFonts w:hint="eastAsia" w:ascii="宋体" w:hAnsi="宋体" w:cs="宋体"/>
          <w:bCs/>
          <w:kern w:val="0"/>
          <w:szCs w:val="28"/>
        </w:rPr>
        <w:t>四、投标文件的递交</w:t>
      </w:r>
      <w:r>
        <w:tab/>
      </w:r>
      <w:r>
        <w:fldChar w:fldCharType="begin"/>
      </w:r>
      <w:r>
        <w:instrText xml:space="preserve"> PAGEREF _Toc15953 \h </w:instrText>
      </w:r>
      <w:r>
        <w:fldChar w:fldCharType="separate"/>
      </w:r>
      <w:r>
        <w:t>17</w:t>
      </w:r>
      <w:r>
        <w:fldChar w:fldCharType="end"/>
      </w:r>
      <w:r>
        <w:fldChar w:fldCharType="end"/>
      </w:r>
    </w:p>
    <w:p>
      <w:pPr>
        <w:pStyle w:val="22"/>
        <w:tabs>
          <w:tab w:val="right" w:leader="dot" w:pos="8620"/>
        </w:tabs>
      </w:pPr>
      <w:r>
        <w:fldChar w:fldCharType="begin"/>
      </w:r>
      <w:r>
        <w:instrText xml:space="preserve"> HYPERLINK \l _Toc28525 </w:instrText>
      </w:r>
      <w:r>
        <w:fldChar w:fldCharType="separate"/>
      </w:r>
      <w:r>
        <w:rPr>
          <w:rFonts w:hint="eastAsia" w:ascii="宋体" w:hAnsi="宋体" w:cs="宋体"/>
          <w:bCs/>
          <w:kern w:val="0"/>
          <w:szCs w:val="28"/>
        </w:rPr>
        <w:t>五、 开标、评审、定标</w:t>
      </w:r>
      <w:r>
        <w:tab/>
      </w:r>
      <w:r>
        <w:fldChar w:fldCharType="begin"/>
      </w:r>
      <w:r>
        <w:instrText xml:space="preserve"> PAGEREF _Toc28525 \h </w:instrText>
      </w:r>
      <w:r>
        <w:fldChar w:fldCharType="separate"/>
      </w:r>
      <w:r>
        <w:t>18</w:t>
      </w:r>
      <w:r>
        <w:fldChar w:fldCharType="end"/>
      </w:r>
      <w:r>
        <w:fldChar w:fldCharType="end"/>
      </w:r>
    </w:p>
    <w:p>
      <w:pPr>
        <w:pStyle w:val="22"/>
        <w:tabs>
          <w:tab w:val="right" w:leader="dot" w:pos="8620"/>
        </w:tabs>
      </w:pPr>
      <w:r>
        <w:fldChar w:fldCharType="begin"/>
      </w:r>
      <w:r>
        <w:instrText xml:space="preserve"> HYPERLINK \l _Toc10983 </w:instrText>
      </w:r>
      <w:r>
        <w:fldChar w:fldCharType="separate"/>
      </w:r>
      <w:r>
        <w:rPr>
          <w:rFonts w:hint="eastAsia" w:ascii="宋体" w:hAnsi="宋体" w:cs="宋体"/>
          <w:bCs/>
          <w:kern w:val="0"/>
          <w:szCs w:val="28"/>
        </w:rPr>
        <w:t>六、签订合同</w:t>
      </w:r>
      <w:r>
        <w:tab/>
      </w:r>
      <w:r>
        <w:fldChar w:fldCharType="begin"/>
      </w:r>
      <w:r>
        <w:instrText xml:space="preserve"> PAGEREF _Toc10983 \h </w:instrText>
      </w:r>
      <w:r>
        <w:fldChar w:fldCharType="separate"/>
      </w:r>
      <w:r>
        <w:t>21</w:t>
      </w:r>
      <w:r>
        <w:fldChar w:fldCharType="end"/>
      </w:r>
      <w:r>
        <w:fldChar w:fldCharType="end"/>
      </w:r>
    </w:p>
    <w:p>
      <w:pPr>
        <w:pStyle w:val="22"/>
        <w:tabs>
          <w:tab w:val="right" w:leader="dot" w:pos="8620"/>
        </w:tabs>
      </w:pPr>
      <w:r>
        <w:fldChar w:fldCharType="begin"/>
      </w:r>
      <w:r>
        <w:instrText xml:space="preserve"> HYPERLINK \l _Toc7588 </w:instrText>
      </w:r>
      <w:r>
        <w:fldChar w:fldCharType="separate"/>
      </w:r>
      <w:r>
        <w:rPr>
          <w:rFonts w:hint="eastAsia" w:ascii="宋体" w:hAnsi="宋体" w:cs="宋体"/>
          <w:bCs/>
          <w:kern w:val="0"/>
          <w:szCs w:val="28"/>
        </w:rPr>
        <w:t>七、质疑和投诉</w:t>
      </w:r>
      <w:r>
        <w:tab/>
      </w:r>
      <w:r>
        <w:fldChar w:fldCharType="begin"/>
      </w:r>
      <w:r>
        <w:instrText xml:space="preserve"> PAGEREF _Toc7588 \h </w:instrText>
      </w:r>
      <w:r>
        <w:fldChar w:fldCharType="separate"/>
      </w:r>
      <w:r>
        <w:t>21</w:t>
      </w:r>
      <w:r>
        <w:fldChar w:fldCharType="end"/>
      </w:r>
      <w:r>
        <w:fldChar w:fldCharType="end"/>
      </w:r>
    </w:p>
    <w:p>
      <w:pPr>
        <w:pStyle w:val="21"/>
        <w:tabs>
          <w:tab w:val="right" w:leader="dot" w:pos="8620"/>
        </w:tabs>
      </w:pPr>
      <w:r>
        <w:fldChar w:fldCharType="begin"/>
      </w:r>
      <w:r>
        <w:instrText xml:space="preserve"> HYPERLINK \l _Toc29182 </w:instrText>
      </w:r>
      <w:r>
        <w:fldChar w:fldCharType="separate"/>
      </w:r>
      <w:r>
        <w:rPr>
          <w:rFonts w:hint="eastAsia" w:ascii="宋体" w:hAnsi="宋体" w:cs="宋体"/>
          <w:szCs w:val="36"/>
        </w:rPr>
        <w:t>第四部分 评标方法</w:t>
      </w:r>
      <w:r>
        <w:tab/>
      </w:r>
      <w:r>
        <w:fldChar w:fldCharType="begin"/>
      </w:r>
      <w:r>
        <w:instrText xml:space="preserve"> PAGEREF _Toc29182 \h </w:instrText>
      </w:r>
      <w:r>
        <w:fldChar w:fldCharType="separate"/>
      </w:r>
      <w:r>
        <w:t>24</w:t>
      </w:r>
      <w:r>
        <w:fldChar w:fldCharType="end"/>
      </w:r>
      <w:r>
        <w:fldChar w:fldCharType="end"/>
      </w:r>
    </w:p>
    <w:p>
      <w:pPr>
        <w:pStyle w:val="21"/>
        <w:tabs>
          <w:tab w:val="right" w:leader="dot" w:pos="8620"/>
        </w:tabs>
      </w:pPr>
      <w:r>
        <w:fldChar w:fldCharType="begin"/>
      </w:r>
      <w:r>
        <w:instrText xml:space="preserve"> HYPERLINK \l _Toc32173 </w:instrText>
      </w:r>
      <w:r>
        <w:fldChar w:fldCharType="separate"/>
      </w:r>
      <w:r>
        <w:rPr>
          <w:rFonts w:hint="eastAsia" w:ascii="宋体" w:hAnsi="宋体" w:cs="宋体"/>
          <w:szCs w:val="36"/>
        </w:rPr>
        <w:t>第五部分 采购要求</w:t>
      </w:r>
      <w:r>
        <w:tab/>
      </w:r>
      <w:r>
        <w:fldChar w:fldCharType="begin"/>
      </w:r>
      <w:r>
        <w:instrText xml:space="preserve"> PAGEREF _Toc32173 \h </w:instrText>
      </w:r>
      <w:r>
        <w:fldChar w:fldCharType="separate"/>
      </w:r>
      <w:r>
        <w:t>28</w:t>
      </w:r>
      <w:r>
        <w:fldChar w:fldCharType="end"/>
      </w:r>
      <w:r>
        <w:fldChar w:fldCharType="end"/>
      </w:r>
    </w:p>
    <w:p>
      <w:pPr>
        <w:pStyle w:val="21"/>
        <w:tabs>
          <w:tab w:val="right" w:leader="dot" w:pos="8620"/>
        </w:tabs>
      </w:pPr>
      <w:r>
        <w:fldChar w:fldCharType="begin"/>
      </w:r>
      <w:r>
        <w:instrText xml:space="preserve"> HYPERLINK \l _Toc21785 </w:instrText>
      </w:r>
      <w:r>
        <w:fldChar w:fldCharType="separate"/>
      </w:r>
      <w:r>
        <w:rPr>
          <w:rFonts w:hint="eastAsia" w:ascii="宋体" w:hAnsi="宋体" w:cs="宋体"/>
          <w:bCs/>
          <w:szCs w:val="36"/>
        </w:rPr>
        <w:t>第六部分  合同条款</w:t>
      </w:r>
      <w:r>
        <w:tab/>
      </w:r>
      <w:r>
        <w:fldChar w:fldCharType="begin"/>
      </w:r>
      <w:r>
        <w:instrText xml:space="preserve"> PAGEREF _Toc21785 \h </w:instrText>
      </w:r>
      <w:r>
        <w:fldChar w:fldCharType="separate"/>
      </w:r>
      <w:r>
        <w:t>58</w:t>
      </w:r>
      <w:r>
        <w:fldChar w:fldCharType="end"/>
      </w:r>
      <w:r>
        <w:fldChar w:fldCharType="end"/>
      </w:r>
    </w:p>
    <w:p>
      <w:pPr>
        <w:pStyle w:val="21"/>
        <w:tabs>
          <w:tab w:val="right" w:leader="dot" w:pos="8620"/>
        </w:tabs>
      </w:pPr>
      <w:r>
        <w:fldChar w:fldCharType="begin"/>
      </w:r>
      <w:r>
        <w:instrText xml:space="preserve"> HYPERLINK \l _Toc24924 </w:instrText>
      </w:r>
      <w:r>
        <w:fldChar w:fldCharType="separate"/>
      </w:r>
      <w:r>
        <w:rPr>
          <w:rFonts w:hint="eastAsia" w:ascii="宋体" w:hAnsi="宋体" w:cs="宋体"/>
          <w:szCs w:val="36"/>
        </w:rPr>
        <w:t>第七部分  投标文件格式</w:t>
      </w:r>
      <w:r>
        <w:tab/>
      </w:r>
      <w:r>
        <w:fldChar w:fldCharType="begin"/>
      </w:r>
      <w:r>
        <w:instrText xml:space="preserve"> PAGEREF _Toc24924 \h </w:instrText>
      </w:r>
      <w:r>
        <w:fldChar w:fldCharType="separate"/>
      </w:r>
      <w:r>
        <w:t>63</w:t>
      </w:r>
      <w:r>
        <w:fldChar w:fldCharType="end"/>
      </w:r>
      <w:r>
        <w:fldChar w:fldCharType="end"/>
      </w:r>
    </w:p>
    <w:p>
      <w:pPr>
        <w:pStyle w:val="22"/>
        <w:tabs>
          <w:tab w:val="right" w:leader="dot" w:pos="8620"/>
        </w:tabs>
      </w:pPr>
      <w:r>
        <w:fldChar w:fldCharType="begin"/>
      </w:r>
      <w:r>
        <w:instrText xml:space="preserve"> HYPERLINK \l _Toc16169 </w:instrText>
      </w:r>
      <w:r>
        <w:fldChar w:fldCharType="separate"/>
      </w:r>
      <w:r>
        <w:rPr>
          <w:rFonts w:hint="eastAsia" w:ascii="宋体" w:hAnsi="宋体" w:cs="宋体"/>
          <w:szCs w:val="36"/>
        </w:rPr>
        <w:t>第一部分  投标函</w:t>
      </w:r>
      <w:r>
        <w:tab/>
      </w:r>
      <w:r>
        <w:fldChar w:fldCharType="begin"/>
      </w:r>
      <w:r>
        <w:instrText xml:space="preserve"> PAGEREF _Toc16169 \h </w:instrText>
      </w:r>
      <w:r>
        <w:fldChar w:fldCharType="separate"/>
      </w:r>
      <w:r>
        <w:t>65</w:t>
      </w:r>
      <w:r>
        <w:fldChar w:fldCharType="end"/>
      </w:r>
      <w:r>
        <w:fldChar w:fldCharType="end"/>
      </w:r>
    </w:p>
    <w:p>
      <w:pPr>
        <w:pStyle w:val="22"/>
        <w:tabs>
          <w:tab w:val="right" w:leader="dot" w:pos="8620"/>
        </w:tabs>
      </w:pPr>
      <w:r>
        <w:fldChar w:fldCharType="begin"/>
      </w:r>
      <w:r>
        <w:instrText xml:space="preserve"> HYPERLINK \l _Toc19767 </w:instrText>
      </w:r>
      <w:r>
        <w:fldChar w:fldCharType="separate"/>
      </w:r>
      <w:r>
        <w:rPr>
          <w:rFonts w:hint="eastAsia" w:ascii="宋体" w:hAnsi="宋体" w:cs="宋体"/>
          <w:szCs w:val="36"/>
        </w:rPr>
        <w:t>第二部分 报价一览表</w:t>
      </w:r>
      <w:r>
        <w:tab/>
      </w:r>
      <w:r>
        <w:fldChar w:fldCharType="begin"/>
      </w:r>
      <w:r>
        <w:instrText xml:space="preserve"> PAGEREF _Toc19767 \h </w:instrText>
      </w:r>
      <w:r>
        <w:fldChar w:fldCharType="separate"/>
      </w:r>
      <w:r>
        <w:t>66</w:t>
      </w:r>
      <w:r>
        <w:fldChar w:fldCharType="end"/>
      </w:r>
      <w:r>
        <w:fldChar w:fldCharType="end"/>
      </w:r>
    </w:p>
    <w:p>
      <w:pPr>
        <w:pStyle w:val="22"/>
        <w:tabs>
          <w:tab w:val="right" w:leader="dot" w:pos="8620"/>
        </w:tabs>
      </w:pPr>
      <w:r>
        <w:fldChar w:fldCharType="begin"/>
      </w:r>
      <w:r>
        <w:instrText xml:space="preserve"> HYPERLINK \l _Toc17650 </w:instrText>
      </w:r>
      <w: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_Toc17650 \h </w:instrText>
      </w:r>
      <w:r>
        <w:fldChar w:fldCharType="separate"/>
      </w:r>
      <w:r>
        <w:t>68</w:t>
      </w:r>
      <w:r>
        <w:fldChar w:fldCharType="end"/>
      </w:r>
      <w:r>
        <w:fldChar w:fldCharType="end"/>
      </w:r>
    </w:p>
    <w:p>
      <w:pPr>
        <w:pStyle w:val="22"/>
        <w:tabs>
          <w:tab w:val="right" w:leader="dot" w:pos="8620"/>
        </w:tabs>
      </w:pPr>
      <w:r>
        <w:fldChar w:fldCharType="begin"/>
      </w:r>
      <w:r>
        <w:instrText xml:space="preserve"> HYPERLINK \l _Toc13586 </w:instrText>
      </w:r>
      <w:r>
        <w:fldChar w:fldCharType="separate"/>
      </w:r>
      <w:r>
        <w:rPr>
          <w:rFonts w:hint="eastAsia" w:ascii="宋体" w:hAnsi="宋体" w:cs="宋体"/>
          <w:szCs w:val="36"/>
        </w:rPr>
        <w:t>第四部分  供应商资格要求</w:t>
      </w:r>
      <w:r>
        <w:tab/>
      </w:r>
      <w:r>
        <w:fldChar w:fldCharType="begin"/>
      </w:r>
      <w:r>
        <w:instrText xml:space="preserve"> PAGEREF _Toc13586 \h </w:instrText>
      </w:r>
      <w:r>
        <w:fldChar w:fldCharType="separate"/>
      </w:r>
      <w:r>
        <w:t>70</w:t>
      </w:r>
      <w:r>
        <w:fldChar w:fldCharType="end"/>
      </w:r>
      <w:r>
        <w:fldChar w:fldCharType="end"/>
      </w:r>
    </w:p>
    <w:p>
      <w:pPr>
        <w:pStyle w:val="22"/>
        <w:tabs>
          <w:tab w:val="right" w:leader="dot" w:pos="8620"/>
        </w:tabs>
      </w:pPr>
      <w:r>
        <w:fldChar w:fldCharType="begin"/>
      </w:r>
      <w:r>
        <w:instrText xml:space="preserve"> HYPERLINK \l _Toc13636 </w:instrText>
      </w:r>
      <w:r>
        <w:fldChar w:fldCharType="separate"/>
      </w:r>
      <w:r>
        <w:rPr>
          <w:rFonts w:hint="eastAsia" w:ascii="宋体" w:hAnsi="宋体" w:cs="宋体"/>
          <w:szCs w:val="36"/>
        </w:rPr>
        <w:t>第五部分 技术与服务方案</w:t>
      </w:r>
      <w:r>
        <w:tab/>
      </w:r>
      <w:r>
        <w:fldChar w:fldCharType="begin"/>
      </w:r>
      <w:r>
        <w:instrText xml:space="preserve"> PAGEREF _Toc13636 \h </w:instrText>
      </w:r>
      <w:r>
        <w:fldChar w:fldCharType="separate"/>
      </w:r>
      <w:r>
        <w:t>81</w:t>
      </w:r>
      <w:r>
        <w:fldChar w:fldCharType="end"/>
      </w:r>
      <w:r>
        <w:fldChar w:fldCharType="end"/>
      </w:r>
    </w:p>
    <w:p>
      <w:pPr>
        <w:pStyle w:val="22"/>
        <w:tabs>
          <w:tab w:val="right" w:leader="dot" w:pos="8620"/>
        </w:tabs>
      </w:pPr>
      <w:r>
        <w:fldChar w:fldCharType="begin"/>
      </w:r>
      <w:r>
        <w:instrText xml:space="preserve"> HYPERLINK \l _Toc12929 </w:instrText>
      </w:r>
      <w:r>
        <w:fldChar w:fldCharType="separate"/>
      </w:r>
      <w:r>
        <w:rPr>
          <w:rFonts w:hint="eastAsia" w:ascii="宋体" w:hAnsi="宋体" w:cs="宋体"/>
          <w:szCs w:val="36"/>
        </w:rPr>
        <w:t>第六部分  服务承诺</w:t>
      </w:r>
      <w:r>
        <w:tab/>
      </w:r>
      <w:r>
        <w:fldChar w:fldCharType="begin"/>
      </w:r>
      <w:r>
        <w:instrText xml:space="preserve"> PAGEREF _Toc12929 \h </w:instrText>
      </w:r>
      <w:r>
        <w:fldChar w:fldCharType="separate"/>
      </w:r>
      <w:r>
        <w:t>82</w:t>
      </w:r>
      <w:r>
        <w:fldChar w:fldCharType="end"/>
      </w:r>
      <w:r>
        <w:fldChar w:fldCharType="end"/>
      </w:r>
    </w:p>
    <w:p>
      <w:pPr>
        <w:pStyle w:val="22"/>
        <w:tabs>
          <w:tab w:val="right" w:leader="dot" w:pos="8620"/>
        </w:tabs>
      </w:pPr>
      <w:r>
        <w:fldChar w:fldCharType="begin"/>
      </w:r>
      <w:r>
        <w:instrText xml:space="preserve"> HYPERLINK \l _Toc10431 </w:instrText>
      </w:r>
      <w:r>
        <w:fldChar w:fldCharType="separate"/>
      </w:r>
      <w:r>
        <w:rPr>
          <w:rFonts w:hint="eastAsia" w:ascii="宋体" w:hAnsi="宋体" w:cs="宋体"/>
          <w:szCs w:val="36"/>
        </w:rPr>
        <w:t>第七部分  业绩一览表</w:t>
      </w:r>
      <w:r>
        <w:tab/>
      </w:r>
      <w:r>
        <w:fldChar w:fldCharType="begin"/>
      </w:r>
      <w:r>
        <w:instrText xml:space="preserve"> PAGEREF _Toc10431 \h </w:instrText>
      </w:r>
      <w:r>
        <w:fldChar w:fldCharType="separate"/>
      </w:r>
      <w:r>
        <w:t>83</w:t>
      </w:r>
      <w:r>
        <w:fldChar w:fldCharType="end"/>
      </w:r>
      <w:r>
        <w:fldChar w:fldCharType="end"/>
      </w:r>
    </w:p>
    <w:p>
      <w:pPr>
        <w:pStyle w:val="22"/>
        <w:tabs>
          <w:tab w:val="right" w:leader="dot" w:pos="8620"/>
        </w:tabs>
      </w:pPr>
      <w:r>
        <w:fldChar w:fldCharType="begin"/>
      </w:r>
      <w:r>
        <w:instrText xml:space="preserve"> HYPERLINK \l _Toc1491 </w:instrText>
      </w:r>
      <w:r>
        <w:fldChar w:fldCharType="separate"/>
      </w:r>
      <w:r>
        <w:rPr>
          <w:rFonts w:hint="eastAsia" w:ascii="宋体" w:hAnsi="宋体" w:cs="宋体"/>
          <w:szCs w:val="36"/>
        </w:rPr>
        <w:t>第八部分 供应商认为有必要说明的其他问题</w:t>
      </w:r>
      <w:r>
        <w:tab/>
      </w:r>
      <w:r>
        <w:fldChar w:fldCharType="begin"/>
      </w:r>
      <w:r>
        <w:instrText xml:space="preserve"> PAGEREF _Toc1491 \h </w:instrText>
      </w:r>
      <w:r>
        <w:fldChar w:fldCharType="separate"/>
      </w:r>
      <w:r>
        <w:t>84</w:t>
      </w:r>
      <w:r>
        <w:fldChar w:fldCharType="end"/>
      </w:r>
      <w:r>
        <w:fldChar w:fldCharType="end"/>
      </w:r>
    </w:p>
    <w:p>
      <w:pPr>
        <w:pStyle w:val="15"/>
        <w:tabs>
          <w:tab w:val="right" w:leader="dot" w:pos="8620"/>
        </w:tabs>
      </w:pPr>
      <w:r>
        <w:fldChar w:fldCharType="begin"/>
      </w:r>
      <w:r>
        <w:instrText xml:space="preserve"> HYPERLINK \l _Toc21026 </w:instrText>
      </w:r>
      <w:r>
        <w:fldChar w:fldCharType="separate"/>
      </w:r>
      <w:r>
        <w:rPr>
          <w:rFonts w:hint="eastAsia" w:ascii="宋体" w:hAnsi="宋体" w:cs="宋体"/>
        </w:rPr>
        <w:t>附件一、封袋正面标识式样</w:t>
      </w:r>
      <w:r>
        <w:tab/>
      </w:r>
      <w:r>
        <w:fldChar w:fldCharType="begin"/>
      </w:r>
      <w:r>
        <w:instrText xml:space="preserve"> PAGEREF _Toc21026 \h </w:instrText>
      </w:r>
      <w:r>
        <w:fldChar w:fldCharType="separate"/>
      </w:r>
      <w:r>
        <w:t>85</w:t>
      </w:r>
      <w:r>
        <w:fldChar w:fldCharType="end"/>
      </w:r>
      <w:r>
        <w:fldChar w:fldCharType="end"/>
      </w:r>
    </w:p>
    <w:p>
      <w:pPr>
        <w:pStyle w:val="15"/>
        <w:tabs>
          <w:tab w:val="right" w:leader="dot" w:pos="8620"/>
        </w:tabs>
      </w:pPr>
      <w:r>
        <w:fldChar w:fldCharType="begin"/>
      </w:r>
      <w:r>
        <w:instrText xml:space="preserve"> HYPERLINK \l _Toc6594 </w:instrText>
      </w:r>
      <w:r>
        <w:fldChar w:fldCharType="separate"/>
      </w:r>
      <w:r>
        <w:rPr>
          <w:rFonts w:hint="eastAsia" w:ascii="宋体" w:hAnsi="宋体" w:cs="宋体"/>
        </w:rPr>
        <w:t>附件二、中小企业申明（货物）</w:t>
      </w:r>
      <w:r>
        <w:tab/>
      </w:r>
      <w:r>
        <w:fldChar w:fldCharType="begin"/>
      </w:r>
      <w:r>
        <w:instrText xml:space="preserve"> PAGEREF _Toc6594 \h </w:instrText>
      </w:r>
      <w:r>
        <w:fldChar w:fldCharType="separate"/>
      </w:r>
      <w:r>
        <w:t>87</w:t>
      </w:r>
      <w:r>
        <w:fldChar w:fldCharType="end"/>
      </w:r>
      <w:r>
        <w:fldChar w:fldCharType="end"/>
      </w:r>
    </w:p>
    <w:p>
      <w:pPr>
        <w:pStyle w:val="15"/>
        <w:tabs>
          <w:tab w:val="right" w:leader="dot" w:pos="8620"/>
        </w:tabs>
      </w:pPr>
      <w:r>
        <w:fldChar w:fldCharType="begin"/>
      </w:r>
      <w:r>
        <w:instrText xml:space="preserve"> HYPERLINK \l _Toc30638 </w:instrText>
      </w:r>
      <w:r>
        <w:fldChar w:fldCharType="separate"/>
      </w:r>
      <w:r>
        <w:rPr>
          <w:rFonts w:hint="eastAsia" w:ascii="宋体" w:hAnsi="宋体" w:cs="宋体"/>
        </w:rPr>
        <w:t>附件三、残疾人福利性单位声明</w:t>
      </w:r>
      <w:r>
        <w:tab/>
      </w:r>
      <w:r>
        <w:fldChar w:fldCharType="begin"/>
      </w:r>
      <w:r>
        <w:instrText xml:space="preserve"> PAGEREF _Toc30638 \h </w:instrText>
      </w:r>
      <w:r>
        <w:fldChar w:fldCharType="separate"/>
      </w:r>
      <w:r>
        <w:t>88</w:t>
      </w:r>
      <w:r>
        <w:fldChar w:fldCharType="end"/>
      </w:r>
      <w:r>
        <w:fldChar w:fldCharType="end"/>
      </w:r>
    </w:p>
    <w:p>
      <w:pPr>
        <w:pStyle w:val="15"/>
        <w:tabs>
          <w:tab w:val="right" w:leader="dot" w:pos="8620"/>
        </w:tabs>
      </w:pPr>
      <w:r>
        <w:fldChar w:fldCharType="begin"/>
      </w:r>
      <w:r>
        <w:instrText xml:space="preserve"> HYPERLINK \l _Toc20532 </w:instrText>
      </w:r>
      <w:r>
        <w:fldChar w:fldCharType="separate"/>
      </w:r>
      <w:r>
        <w:rPr>
          <w:rFonts w:hint="eastAsia" w:ascii="宋体" w:hAnsi="宋体" w:cs="宋体"/>
        </w:rPr>
        <w:t>附件四、监狱企业证明文件</w:t>
      </w:r>
      <w:r>
        <w:tab/>
      </w:r>
      <w:r>
        <w:fldChar w:fldCharType="begin"/>
      </w:r>
      <w:r>
        <w:instrText xml:space="preserve"> PAGEREF _Toc20532 \h </w:instrText>
      </w:r>
      <w:r>
        <w:fldChar w:fldCharType="separate"/>
      </w:r>
      <w:r>
        <w:t>88</w:t>
      </w:r>
      <w:r>
        <w:fldChar w:fldCharType="end"/>
      </w:r>
      <w:r>
        <w:fldChar w:fldCharType="end"/>
      </w:r>
    </w:p>
    <w:p>
      <w:pPr>
        <w:pStyle w:val="15"/>
        <w:tabs>
          <w:tab w:val="right" w:leader="dot" w:pos="8620"/>
        </w:tabs>
      </w:pPr>
      <w:r>
        <w:fldChar w:fldCharType="begin"/>
      </w:r>
      <w:r>
        <w:instrText xml:space="preserve"> HYPERLINK \l _Toc32178 </w:instrText>
      </w:r>
      <w:r>
        <w:fldChar w:fldCharType="separate"/>
      </w:r>
      <w:r>
        <w:rPr>
          <w:rFonts w:hint="eastAsia" w:ascii="宋体" w:hAnsi="宋体" w:cs="宋体"/>
        </w:rPr>
        <w:t>附件五、“节能产品”，“环境标志产品”证明材料</w:t>
      </w:r>
      <w:r>
        <w:tab/>
      </w:r>
      <w:r>
        <w:fldChar w:fldCharType="begin"/>
      </w:r>
      <w:r>
        <w:instrText xml:space="preserve"> PAGEREF _Toc32178 \h </w:instrText>
      </w:r>
      <w:r>
        <w:fldChar w:fldCharType="separate"/>
      </w:r>
      <w:r>
        <w:t>88</w:t>
      </w:r>
      <w:r>
        <w:fldChar w:fldCharType="end"/>
      </w:r>
      <w:r>
        <w:fldChar w:fldCharType="end"/>
      </w:r>
    </w:p>
    <w:p>
      <w:pPr>
        <w:pStyle w:val="15"/>
        <w:tabs>
          <w:tab w:val="right" w:leader="dot" w:pos="8620"/>
        </w:tabs>
      </w:pPr>
      <w:r>
        <w:fldChar w:fldCharType="begin"/>
      </w:r>
      <w:r>
        <w:instrText xml:space="preserve"> HYPERLINK \l _Toc26169 </w:instrText>
      </w:r>
      <w:r>
        <w:fldChar w:fldCharType="separate"/>
      </w:r>
      <w:r>
        <w:rPr>
          <w:rFonts w:hint="eastAsia" w:ascii="宋体" w:hAnsi="宋体" w:cs="宋体"/>
        </w:rPr>
        <w:t>附件六、质疑函范本</w:t>
      </w:r>
      <w:r>
        <w:tab/>
      </w:r>
      <w:r>
        <w:fldChar w:fldCharType="begin"/>
      </w:r>
      <w:r>
        <w:instrText xml:space="preserve"> PAGEREF _Toc26169 \h </w:instrText>
      </w:r>
      <w:r>
        <w:fldChar w:fldCharType="separate"/>
      </w:r>
      <w:r>
        <w:t>89</w:t>
      </w:r>
      <w:r>
        <w:fldChar w:fldCharType="end"/>
      </w:r>
      <w:r>
        <w:fldChar w:fldCharType="end"/>
      </w:r>
    </w:p>
    <w:p>
      <w:pPr>
        <w:pStyle w:val="15"/>
        <w:tabs>
          <w:tab w:val="right" w:leader="dot" w:pos="8620"/>
        </w:tabs>
      </w:pPr>
      <w:r>
        <w:fldChar w:fldCharType="begin"/>
      </w:r>
      <w:r>
        <w:instrText xml:space="preserve"> HYPERLINK \l _Toc22289 </w:instrText>
      </w:r>
      <w:r>
        <w:fldChar w:fldCharType="separate"/>
      </w:r>
      <w:r>
        <w:rPr>
          <w:rFonts w:hint="eastAsia" w:ascii="宋体" w:hAnsi="宋体" w:cs="宋体"/>
        </w:rPr>
        <w:t>附件七、保证金退还账户信息确认表</w:t>
      </w:r>
      <w:r>
        <w:tab/>
      </w:r>
      <w:r>
        <w:fldChar w:fldCharType="begin"/>
      </w:r>
      <w:r>
        <w:instrText xml:space="preserve"> PAGEREF _Toc22289 \h </w:instrText>
      </w:r>
      <w:r>
        <w:fldChar w:fldCharType="separate"/>
      </w:r>
      <w:r>
        <w:t>91</w:t>
      </w:r>
      <w:r>
        <w:fldChar w:fldCharType="end"/>
      </w:r>
      <w:r>
        <w:fldChar w:fldCharType="end"/>
      </w:r>
    </w:p>
    <w:p>
      <w:r>
        <w:fldChar w:fldCharType="end"/>
      </w:r>
      <w:bookmarkStart w:id="2" w:name="_Toc2435"/>
      <w:bookmarkStart w:id="3" w:name="_Toc26575"/>
    </w:p>
    <w:p>
      <w:pPr>
        <w:pStyle w:val="3"/>
        <w:spacing w:before="312" w:beforeLines="100" w:after="468" w:afterLines="150" w:line="600" w:lineRule="exact"/>
        <w:rPr>
          <w:rFonts w:hint="eastAsia" w:ascii="宋体" w:hAnsi="宋体" w:cs="宋体"/>
          <w:sz w:val="36"/>
          <w:szCs w:val="36"/>
        </w:rPr>
        <w:sectPr>
          <w:footerReference r:id="rId6" w:type="default"/>
          <w:pgSz w:w="11906" w:h="16838"/>
          <w:pgMar w:top="1440" w:right="1486" w:bottom="1440" w:left="1800" w:header="851" w:footer="992" w:gutter="0"/>
          <w:cols w:space="720" w:num="1"/>
          <w:docGrid w:type="lines" w:linePitch="312" w:charSpace="0"/>
        </w:sectPr>
      </w:pPr>
    </w:p>
    <w:p>
      <w:pPr>
        <w:pStyle w:val="3"/>
        <w:spacing w:before="312" w:beforeLines="100" w:after="468" w:afterLines="150" w:line="600" w:lineRule="exact"/>
        <w:rPr>
          <w:rFonts w:ascii="宋体" w:hAnsi="宋体" w:cs="宋体"/>
          <w:sz w:val="36"/>
          <w:szCs w:val="36"/>
        </w:rPr>
      </w:pPr>
      <w:bookmarkStart w:id="4" w:name="_Toc20412"/>
      <w:r>
        <w:rPr>
          <w:rFonts w:hint="eastAsia" w:ascii="宋体" w:hAnsi="宋体" w:cs="宋体"/>
          <w:sz w:val="36"/>
          <w:szCs w:val="36"/>
        </w:rPr>
        <w:t>第一部分  公开招标公告</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山阳县农村职业技能培训基地附属设施采购项目</w:t>
      </w:r>
      <w:r>
        <w:rPr>
          <w:rFonts w:hint="eastAsia" w:ascii="宋体" w:hAnsi="宋体" w:eastAsia="宋体" w:cs="宋体"/>
          <w:sz w:val="24"/>
          <w:szCs w:val="24"/>
        </w:rPr>
        <w:t>招标项目的潜在投标人应在西安市雁塔区科技路10号华奥大厦A座20层2002室开标室获取招标文件，并于 2022年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03</w:t>
      </w:r>
      <w:r>
        <w:rPr>
          <w:rFonts w:hint="eastAsia" w:ascii="宋体" w:hAnsi="宋体" w:eastAsia="宋体" w:cs="宋体"/>
          <w:sz w:val="24"/>
          <w:szCs w:val="24"/>
        </w:rPr>
        <w:t>日</w:t>
      </w:r>
      <w:r>
        <w:rPr>
          <w:rFonts w:hint="eastAsia" w:ascii="宋体" w:hAnsi="宋体" w:cs="宋体"/>
          <w:sz w:val="24"/>
          <w:szCs w:val="24"/>
          <w:lang w:val="en-US" w:eastAsia="zh-CN"/>
        </w:rPr>
        <w:t>14</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cs="宋体"/>
          <w:sz w:val="24"/>
          <w:szCs w:val="24"/>
          <w:lang w:eastAsia="zh-CN"/>
        </w:rPr>
        <w:t>ZMZB2022SYJK-288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山阳县农村职业技能培训基地附属设施采购项目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2850000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山阳县农村职业技能培训基地附属设施采购项目</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val="en-US" w:eastAsia="zh-CN"/>
        </w:rPr>
        <w:t>2850000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val="en-US" w:eastAsia="zh-CN"/>
        </w:rPr>
        <w:t>2850000</w:t>
      </w:r>
      <w:r>
        <w:rPr>
          <w:rFonts w:hint="eastAsia" w:ascii="宋体" w:hAnsi="宋体" w:cs="宋体"/>
          <w:sz w:val="24"/>
          <w:szCs w:val="24"/>
        </w:rPr>
        <w:t>.00元</w:t>
      </w:r>
    </w:p>
    <w:tbl>
      <w:tblPr>
        <w:tblStyle w:val="30"/>
        <w:tblW w:w="10016" w:type="dxa"/>
        <w:jc w:val="center"/>
        <w:tblLayout w:type="fixed"/>
        <w:tblCellMar>
          <w:top w:w="0" w:type="dxa"/>
          <w:left w:w="0" w:type="dxa"/>
          <w:bottom w:w="0" w:type="dxa"/>
          <w:right w:w="0" w:type="dxa"/>
        </w:tblCellMar>
      </w:tblPr>
      <w:tblGrid>
        <w:gridCol w:w="1040"/>
        <w:gridCol w:w="1233"/>
        <w:gridCol w:w="1719"/>
        <w:gridCol w:w="1098"/>
        <w:gridCol w:w="1354"/>
        <w:gridCol w:w="1774"/>
        <w:gridCol w:w="1798"/>
      </w:tblGrid>
      <w:tr>
        <w:tblPrEx>
          <w:tblCellMar>
            <w:top w:w="0" w:type="dxa"/>
            <w:left w:w="0" w:type="dxa"/>
            <w:bottom w:w="0" w:type="dxa"/>
            <w:right w:w="0" w:type="dxa"/>
          </w:tblCellMar>
        </w:tblPrEx>
        <w:trPr>
          <w:trHeight w:val="1542" w:hRule="atLeast"/>
          <w:tblHeader/>
          <w:jc w:val="center"/>
        </w:trPr>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1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363" w:hRule="atLeast"/>
          <w:jc w:val="center"/>
        </w:trPr>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ascii="宋体" w:hAnsi="宋体" w:cs="宋体"/>
                <w:sz w:val="24"/>
                <w:szCs w:val="24"/>
              </w:rPr>
              <w:t>机柜</w:t>
            </w:r>
          </w:p>
        </w:tc>
        <w:tc>
          <w:tcPr>
            <w:tcW w:w="1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2850000</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批</w:t>
            </w:r>
            <w:r>
              <w:rPr>
                <w:rFonts w:hint="eastAsia" w:ascii="宋体" w:hAnsi="宋体" w:cs="宋体"/>
                <w:sz w:val="24"/>
                <w:szCs w:val="24"/>
              </w:rPr>
              <w:t>)</w:t>
            </w:r>
          </w:p>
        </w:tc>
        <w:tc>
          <w:tcPr>
            <w:tcW w:w="13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2850000</w:t>
            </w:r>
            <w:r>
              <w:rPr>
                <w:rFonts w:hint="eastAsia" w:ascii="宋体" w:hAnsi="宋体" w:cs="宋体"/>
                <w:sz w:val="24"/>
                <w:szCs w:val="24"/>
              </w:rPr>
              <w:t>.00</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2850000</w:t>
            </w:r>
            <w:r>
              <w:rPr>
                <w:rFonts w:hint="eastAsia" w:ascii="宋体" w:hAnsi="宋体" w:cs="宋体"/>
                <w:sz w:val="24"/>
                <w:szCs w:val="24"/>
              </w:rPr>
              <w:t>.00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cs="宋体"/>
          <w:sz w:val="24"/>
          <w:szCs w:val="24"/>
        </w:rPr>
        <w:t>自合同签订后到该项目质保期结束（具体服务起止日期可随合同签订时间相应顺延）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1.满足《中华人民共和国政府釆购法》第二十二条规定;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山阳县农村职业技能培训基地附属设施采购项目</w:t>
      </w:r>
      <w:r>
        <w:rPr>
          <w:rFonts w:hint="eastAsia" w:ascii="宋体" w:hAnsi="宋体" w:cs="宋体"/>
          <w:sz w:val="24"/>
          <w:szCs w:val="24"/>
        </w:rPr>
        <w:t>)落实政府采购政策需满足的资格要求如下:</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《政府采购促进中小企业发展管理办法》（财库〔2020〕46号）； </w:t>
      </w:r>
      <w:r>
        <w:rPr>
          <w:rFonts w:hint="eastAsia" w:ascii="宋体" w:hAnsi="宋体" w:cs="宋体"/>
          <w:sz w:val="24"/>
          <w:szCs w:val="24"/>
        </w:rPr>
        <w:br w:type="textWrapping"/>
      </w:r>
      <w:r>
        <w:rPr>
          <w:rFonts w:hint="eastAsia" w:ascii="宋体" w:hAnsi="宋体" w:cs="宋体"/>
          <w:sz w:val="24"/>
          <w:szCs w:val="24"/>
        </w:rPr>
        <w:t>（2）《财政部 司法部关于政府采购支持监狱企业发展有关问题的通知》（财库〔2014〕68号）；</w:t>
      </w:r>
      <w:r>
        <w:rPr>
          <w:rFonts w:hint="eastAsia" w:ascii="宋体" w:hAnsi="宋体" w:cs="宋体"/>
          <w:sz w:val="24"/>
          <w:szCs w:val="24"/>
        </w:rPr>
        <w:br w:type="textWrapping"/>
      </w:r>
      <w:r>
        <w:rPr>
          <w:rFonts w:hint="eastAsia" w:ascii="宋体" w:hAnsi="宋体" w:cs="宋体"/>
          <w:sz w:val="24"/>
          <w:szCs w:val="24"/>
        </w:rPr>
        <w:t>（3）《国务院办公厅关于建立政府强制采购节能产品制度的通知》（国办发〔2007〕51号）；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（4）《节能产品政府采购实施意见》（财库〔2004〕185号）；</w:t>
      </w:r>
      <w:r>
        <w:rPr>
          <w:rFonts w:hint="eastAsia" w:ascii="宋体" w:hAnsi="宋体" w:cs="宋体"/>
          <w:sz w:val="24"/>
          <w:szCs w:val="24"/>
        </w:rPr>
        <w:br w:type="textWrapping"/>
      </w:r>
      <w:r>
        <w:rPr>
          <w:rFonts w:hint="eastAsia" w:ascii="宋体" w:hAnsi="宋体" w:cs="宋体"/>
          <w:sz w:val="24"/>
          <w:szCs w:val="24"/>
        </w:rPr>
        <w:t>（5）《环境标志产品政府采购实施的意见》（财库〔2006〕90号）；</w:t>
      </w:r>
      <w:r>
        <w:rPr>
          <w:rFonts w:hint="eastAsia" w:ascii="宋体" w:hAnsi="宋体" w:cs="宋体"/>
          <w:sz w:val="24"/>
          <w:szCs w:val="24"/>
        </w:rPr>
        <w:br w:type="textWrapping"/>
      </w:r>
      <w:r>
        <w:rPr>
          <w:rFonts w:hint="eastAsia" w:ascii="宋体" w:hAnsi="宋体" w:cs="宋体"/>
          <w:sz w:val="24"/>
          <w:szCs w:val="24"/>
        </w:rPr>
        <w:t>（6）《三部门联合发布关于促进残疾人就业政府采购政策的通知》（财库〔2017〕141号）。</w:t>
      </w:r>
      <w:r>
        <w:rPr>
          <w:rFonts w:hint="eastAsia" w:ascii="宋体" w:hAnsi="宋体" w:cs="宋体"/>
          <w:sz w:val="24"/>
          <w:szCs w:val="24"/>
        </w:rPr>
        <w:br w:type="textWrapping"/>
      </w:r>
      <w:r>
        <w:rPr>
          <w:rFonts w:hint="eastAsia" w:ascii="宋体" w:hAnsi="宋体" w:cs="宋体"/>
          <w:sz w:val="24"/>
          <w:szCs w:val="24"/>
        </w:rPr>
        <w:t>（7）《财政部 发展改革委 生态环境部 市场监管总局关于调整优化节能产品、环境标志产品政府采购执行机制的通知》（财库〔2019〕9号）。</w:t>
      </w:r>
      <w:r>
        <w:rPr>
          <w:rFonts w:hint="eastAsia" w:ascii="宋体" w:hAnsi="宋体" w:cs="宋体"/>
          <w:sz w:val="24"/>
          <w:szCs w:val="24"/>
        </w:rPr>
        <w:br w:type="textWrapping"/>
      </w:r>
      <w:r>
        <w:rPr>
          <w:rFonts w:hint="eastAsia" w:ascii="宋体" w:hAnsi="宋体" w:cs="宋体"/>
          <w:sz w:val="24"/>
          <w:szCs w:val="24"/>
        </w:rPr>
        <w:t>（8）陕西省财政厅关于印发《陕西省中小企业政府采购信用融资办法》（陕财办采〔2018〕23号）。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山阳县农村职业技能培训基地附属设施采购项目</w:t>
      </w:r>
      <w:r>
        <w:rPr>
          <w:rFonts w:hint="eastAsia" w:ascii="宋体" w:hAnsi="宋体" w:cs="宋体"/>
          <w:sz w:val="24"/>
          <w:szCs w:val="24"/>
        </w:rPr>
        <w:t>)特定资格要求如下:</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（2）财务状况证明：</w:t>
      </w:r>
      <w:r>
        <w:rPr>
          <w:rFonts w:hint="eastAsia" w:ascii="宋体" w:hAnsi="宋体" w:cs="宋体"/>
          <w:sz w:val="24"/>
          <w:highlight w:val="none"/>
        </w:rPr>
        <w:t>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（3）具有履行合同所必需的设备和专业技术能力的书面声明；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（4）税收缴纳证明：提供202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 xml:space="preserve">月以来至少一个月的纳税证明或完税证明，依法免税的单位应提供相关证明材料；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（5）社会保障资金缴纳证明：提供202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（6）参加政府采购活动前3年内在经营活动中没有重大违法记录的书面声明；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（7）非法定代表人参加投标的，须提供法定代表人委托授权书及被授权人身份证，法定代表人参加投标时,</w:t>
      </w:r>
      <w:r>
        <w:rPr>
          <w:rFonts w:hint="eastAsia" w:ascii="宋体" w:hAnsi="宋体" w:eastAsia="宋体" w:cs="宋体"/>
          <w:sz w:val="24"/>
          <w:szCs w:val="24"/>
          <w:highlight w:val="none"/>
          <w:lang w:eastAsia="zh-CN"/>
        </w:rPr>
        <w:t>只需</w:t>
      </w:r>
      <w:r>
        <w:rPr>
          <w:rFonts w:hint="eastAsia" w:ascii="宋体" w:hAnsi="宋体" w:eastAsia="宋体" w:cs="宋体"/>
          <w:sz w:val="24"/>
          <w:szCs w:val="24"/>
          <w:highlight w:val="none"/>
        </w:rPr>
        <w:t xml:space="preserve">提供法定代表人身份证；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b w:val="0"/>
          <w:bCs w:val="0"/>
          <w:sz w:val="24"/>
          <w:szCs w:val="24"/>
          <w:highlight w:val="none"/>
          <w:lang w:eastAsia="zh-CN"/>
        </w:rPr>
        <w:t>供应商具备</w:t>
      </w:r>
      <w:r>
        <w:rPr>
          <w:rFonts w:hint="eastAsia" w:ascii="宋体" w:hAnsi="宋体" w:cs="宋体"/>
          <w:b w:val="0"/>
          <w:bCs w:val="0"/>
          <w:sz w:val="24"/>
          <w:szCs w:val="24"/>
          <w:highlight w:val="none"/>
        </w:rPr>
        <w:t>电子与智能化工程专业承包二级及以上资质，并具备合格有效的安全生产许可证；</w:t>
      </w:r>
    </w:p>
    <w:p>
      <w:pPr>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9</w:t>
      </w:r>
      <w:r>
        <w:rPr>
          <w:rFonts w:hint="eastAsia" w:ascii="宋体" w:hAnsi="宋体" w:cs="宋体"/>
          <w:b w:val="0"/>
          <w:bCs w:val="0"/>
          <w:sz w:val="24"/>
          <w:szCs w:val="24"/>
          <w:highlight w:val="none"/>
          <w:lang w:eastAsia="zh-CN"/>
        </w:rPr>
        <w:t>）本项目为专门面向中小企业采购项目，供应商应出具中小企业声明函；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时间：2022</w:t>
      </w:r>
      <w:r>
        <w:rPr>
          <w:rFonts w:hint="eastAsia" w:ascii="宋体" w:hAnsi="宋体" w:cs="宋体"/>
          <w:sz w:val="24"/>
          <w:szCs w:val="24"/>
          <w:lang w:eastAsia="zh-CN"/>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日至2022年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日，每天上午09:00:00至12:00:00，下午13:30:00至17:00:00（北京时间,法定节假日除外）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sz w:val="24"/>
          <w:szCs w:val="24"/>
          <w:lang w:val="en-US" w:eastAsia="zh-CN"/>
        </w:rPr>
        <w:t>5</w:t>
      </w:r>
      <w:r>
        <w:rPr>
          <w:rFonts w:hint="eastAsia" w:ascii="宋体" w:hAnsi="宋体" w:eastAsia="宋体" w:cs="宋体"/>
          <w:sz w:val="24"/>
          <w:szCs w:val="24"/>
        </w:rPr>
        <w:t>00元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spacing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 xml:space="preserve">日 </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分00秒 （北京时间）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提交投标文件地点：西安市雁塔区科技路10号华奥大厦A座20层2002室开标室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rPr>
        <w:t>开标地点：西安市雁塔区科技路10号华奥大厦A座20层2002室开标室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现场</w:t>
      </w:r>
      <w:r>
        <w:rPr>
          <w:rFonts w:hint="eastAsia" w:ascii="宋体" w:hAnsi="宋体" w:cs="宋体"/>
          <w:sz w:val="24"/>
          <w:szCs w:val="24"/>
        </w:rPr>
        <w:t>获取招标文件时请携带单位介绍信原件、身份证原件及复印件加盖公章，谢绝邮递。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1.釆购人信息</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山阳县疾病预防控制中心</w:t>
      </w:r>
    </w:p>
    <w:p>
      <w:pPr>
        <w:spacing w:line="360" w:lineRule="auto"/>
        <w:ind w:firstLine="480" w:firstLineChars="200"/>
        <w:rPr>
          <w:rFonts w:ascii="宋体" w:hAnsi="宋体" w:cs="宋体"/>
          <w:sz w:val="24"/>
          <w:szCs w:val="24"/>
        </w:rPr>
      </w:pPr>
      <w:r>
        <w:rPr>
          <w:rFonts w:hint="eastAsia" w:ascii="宋体" w:hAnsi="宋体" w:cs="宋体"/>
          <w:sz w:val="24"/>
          <w:szCs w:val="24"/>
        </w:rPr>
        <w:t>地址：商洛市山阳县城关街道育才路18号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联系方式：8328288       </w:t>
      </w:r>
    </w:p>
    <w:p>
      <w:pPr>
        <w:spacing w:line="360" w:lineRule="auto"/>
        <w:ind w:firstLine="480" w:firstLineChars="200"/>
        <w:rPr>
          <w:rFonts w:ascii="宋体" w:hAnsi="宋体" w:cs="宋体"/>
          <w:sz w:val="24"/>
          <w:szCs w:val="24"/>
        </w:rPr>
      </w:pPr>
      <w:r>
        <w:rPr>
          <w:rFonts w:hint="eastAsia" w:ascii="宋体" w:hAnsi="宋体" w:cs="宋体"/>
          <w:sz w:val="24"/>
          <w:szCs w:val="24"/>
        </w:rPr>
        <w:t>2.釆购代理机构信息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：董菊莉</w:t>
      </w:r>
      <w:r>
        <w:rPr>
          <w:rFonts w:hint="eastAsia" w:ascii="宋体" w:hAnsi="宋体" w:cs="宋体"/>
          <w:sz w:val="24"/>
          <w:szCs w:val="24"/>
          <w:lang w:val="en-US" w:eastAsia="zh-CN"/>
        </w:rPr>
        <w:t xml:space="preserve">  米文佳  </w:t>
      </w:r>
      <w:r>
        <w:rPr>
          <w:rFonts w:hint="eastAsia" w:ascii="宋体" w:hAnsi="宋体" w:cs="宋体"/>
          <w:sz w:val="24"/>
          <w:szCs w:val="24"/>
        </w:rPr>
        <w:t>魏萌</w:t>
      </w:r>
      <w:r>
        <w:rPr>
          <w:rFonts w:hint="eastAsia" w:ascii="宋体" w:hAnsi="宋体" w:cs="宋体"/>
          <w:sz w:val="24"/>
          <w:szCs w:val="24"/>
          <w:lang w:val="en-US" w:eastAsia="zh-CN"/>
        </w:rPr>
        <w:t xml:space="preserve">  </w:t>
      </w:r>
      <w:r>
        <w:rPr>
          <w:rFonts w:hint="eastAsia" w:ascii="宋体" w:hAnsi="宋体" w:cs="宋体"/>
          <w:sz w:val="24"/>
          <w:szCs w:val="24"/>
          <w:lang w:eastAsia="zh-CN"/>
        </w:rPr>
        <w:t>杜华龙</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pStyle w:val="3"/>
        <w:keepLines w:val="0"/>
        <w:ind w:firstLine="562" w:firstLineChars="175"/>
        <w:outlineLvl w:val="9"/>
        <w:rPr>
          <w:rFonts w:ascii="宋体" w:hAnsi="宋体" w:cs="宋体"/>
        </w:rPr>
        <w:sectPr>
          <w:footerReference r:id="rId7"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5" w:name="_Toc438048787"/>
      <w:bookmarkStart w:id="6" w:name="_Toc29325"/>
      <w:bookmarkStart w:id="7" w:name="_Toc30089"/>
      <w:bookmarkStart w:id="8" w:name="_Toc31006"/>
      <w:r>
        <w:rPr>
          <w:rFonts w:hint="eastAsia" w:ascii="宋体" w:hAnsi="宋体" w:cs="宋体"/>
          <w:sz w:val="36"/>
          <w:szCs w:val="36"/>
        </w:rPr>
        <w:t>第二部分  供应商须知前附表</w:t>
      </w:r>
      <w:bookmarkEnd w:id="5"/>
      <w:bookmarkEnd w:id="6"/>
      <w:bookmarkEnd w:id="7"/>
      <w:bookmarkEnd w:id="8"/>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3"/>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3"/>
              </w:numPr>
              <w:spacing w:line="360" w:lineRule="auto"/>
              <w:rPr>
                <w:rFonts w:ascii="宋体" w:hAnsi="宋体" w:cs="宋体"/>
                <w:sz w:val="24"/>
                <w:szCs w:val="24"/>
              </w:rPr>
            </w:pPr>
            <w:r>
              <w:rPr>
                <w:rFonts w:hint="eastAsia" w:ascii="宋体" w:hAnsi="宋体" w:cs="宋体"/>
                <w:sz w:val="24"/>
                <w:szCs w:val="24"/>
              </w:rPr>
              <w:t>特定资格条件：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（2）财务状况证明：</w:t>
            </w:r>
            <w:r>
              <w:rPr>
                <w:rFonts w:hint="eastAsia" w:ascii="宋体" w:hAnsi="宋体" w:cs="宋体"/>
                <w:sz w:val="24"/>
                <w:highlight w:val="none"/>
              </w:rPr>
              <w:t>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（3）具有履行合同所必需的设备和专业技术能力的书面声明；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（4）税收缴纳证明：提供202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 xml:space="preserve">月以来至少一个月的纳税证明或完税证明，依法免税的单位应提供相关证明材料；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（5）社会保障资金缴纳证明：提供202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（6）参加政府采购活动前3年内在经营活动中没有重大违法记录的书面声明；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（7）非法定代表人参加投标的，须提供法定代表人委托授权书及被授权人身份证，法定代表人参加投标时,</w:t>
            </w:r>
            <w:r>
              <w:rPr>
                <w:rFonts w:hint="eastAsia" w:ascii="宋体" w:hAnsi="宋体" w:eastAsia="宋体" w:cs="宋体"/>
                <w:sz w:val="24"/>
                <w:szCs w:val="24"/>
                <w:highlight w:val="none"/>
                <w:lang w:eastAsia="zh-CN"/>
              </w:rPr>
              <w:t>只需</w:t>
            </w:r>
            <w:r>
              <w:rPr>
                <w:rFonts w:hint="eastAsia" w:ascii="宋体" w:hAnsi="宋体" w:eastAsia="宋体" w:cs="宋体"/>
                <w:sz w:val="24"/>
                <w:szCs w:val="24"/>
                <w:highlight w:val="none"/>
              </w:rPr>
              <w:t xml:space="preserve">提供法定代表人身份证；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b w:val="0"/>
                <w:bCs w:val="0"/>
                <w:sz w:val="24"/>
                <w:szCs w:val="24"/>
                <w:highlight w:val="none"/>
                <w:lang w:eastAsia="zh-CN"/>
              </w:rPr>
              <w:t>供应商具备</w:t>
            </w:r>
            <w:r>
              <w:rPr>
                <w:rFonts w:hint="eastAsia" w:ascii="宋体" w:hAnsi="宋体" w:cs="宋体"/>
                <w:b w:val="0"/>
                <w:bCs w:val="0"/>
                <w:sz w:val="24"/>
                <w:szCs w:val="24"/>
                <w:highlight w:val="none"/>
              </w:rPr>
              <w:t>电子与智能化工程专业承包二级及以上资质，并具备合格有效的安全生产许可证；</w:t>
            </w:r>
          </w:p>
          <w:p>
            <w:pPr>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9</w:t>
            </w:r>
            <w:r>
              <w:rPr>
                <w:rFonts w:hint="eastAsia" w:ascii="宋体" w:hAnsi="宋体" w:cs="宋体"/>
                <w:b w:val="0"/>
                <w:bCs w:val="0"/>
                <w:sz w:val="24"/>
                <w:szCs w:val="24"/>
                <w:highlight w:val="none"/>
                <w:lang w:eastAsia="zh-CN"/>
              </w:rPr>
              <w:t>）本项目为专门面向中小企业采购项目，供应商应出具中小企业声明函；</w:t>
            </w:r>
          </w:p>
          <w:p>
            <w:pPr>
              <w:spacing w:line="360" w:lineRule="auto"/>
              <w:ind w:firstLine="420" w:firstLineChars="175"/>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0"/>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4"/>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4"/>
              </w:numPr>
              <w:spacing w:line="360" w:lineRule="auto"/>
              <w:ind w:firstLine="0"/>
              <w:rPr>
                <w:rFonts w:ascii="宋体" w:hAnsi="宋体" w:cs="宋体"/>
                <w:sz w:val="24"/>
                <w:szCs w:val="24"/>
              </w:rPr>
            </w:pPr>
            <w:r>
              <w:rPr>
                <w:rFonts w:hint="eastAsia" w:ascii="宋体" w:hAnsi="宋体" w:cs="宋体"/>
                <w:sz w:val="24"/>
                <w:szCs w:val="24"/>
                <w:lang w:eastAsia="zh-CN"/>
              </w:rPr>
              <w:t>交货期</w:t>
            </w:r>
            <w:r>
              <w:rPr>
                <w:rFonts w:hint="eastAsia" w:ascii="宋体" w:hAnsi="宋体" w:cs="宋体"/>
                <w:sz w:val="24"/>
                <w:szCs w:val="24"/>
              </w:rPr>
              <w:t>不满足招标文件要求；</w:t>
            </w:r>
          </w:p>
          <w:p>
            <w:pPr>
              <w:numPr>
                <w:ilvl w:val="0"/>
                <w:numId w:val="4"/>
              </w:numPr>
              <w:spacing w:line="360" w:lineRule="auto"/>
              <w:ind w:firstLine="0"/>
              <w:rPr>
                <w:rFonts w:ascii="宋体" w:hAnsi="宋体" w:cs="宋体"/>
                <w:sz w:val="24"/>
                <w:szCs w:val="24"/>
              </w:rPr>
            </w:pPr>
            <w:r>
              <w:rPr>
                <w:rFonts w:hint="eastAsia" w:ascii="宋体" w:hAnsi="宋体" w:cs="宋体"/>
                <w:sz w:val="24"/>
                <w:szCs w:val="24"/>
              </w:rPr>
              <w:t>质保期不满足招标文件要求；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）投标文件的标的数量不满足采购要求的；</w:t>
            </w:r>
          </w:p>
          <w:p>
            <w:pPr>
              <w:spacing w:line="360" w:lineRule="auto"/>
              <w:rPr>
                <w:rFonts w:ascii="宋体" w:hAnsi="宋体" w:cs="宋体"/>
                <w:sz w:val="24"/>
                <w:szCs w:val="24"/>
              </w:rPr>
            </w:pPr>
            <w:r>
              <w:rPr>
                <w:rFonts w:hint="eastAsia" w:ascii="宋体" w:hAnsi="宋体" w:cs="宋体"/>
                <w:sz w:val="24"/>
                <w:szCs w:val="24"/>
              </w:rPr>
              <w:t>（9）投标文件含有采购人不能接受的附加条件的；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rPr>
                <w:rFonts w:hint="eastAsia" w:ascii="宋体" w:hAnsi="宋体" w:cs="宋体"/>
                <w:b/>
                <w:bCs/>
                <w:sz w:val="24"/>
                <w:szCs w:val="24"/>
                <w:highlight w:val="red"/>
              </w:rPr>
            </w:pPr>
            <w:r>
              <w:rPr>
                <w:rFonts w:hint="eastAsia" w:ascii="宋体" w:hAnsi="宋体" w:cs="宋体"/>
                <w:b/>
                <w:bCs/>
                <w:sz w:val="24"/>
                <w:szCs w:val="24"/>
                <w:highlight w:val="red"/>
              </w:rPr>
              <w:t>1、</w:t>
            </w:r>
            <w:r>
              <w:rPr>
                <w:rFonts w:hint="eastAsia" w:ascii="宋体" w:hAnsi="宋体" w:cs="宋体"/>
                <w:b/>
                <w:bCs/>
                <w:sz w:val="24"/>
                <w:szCs w:val="24"/>
                <w:highlight w:val="red"/>
                <w:lang w:eastAsia="zh-CN"/>
              </w:rPr>
              <w:t>交货期</w:t>
            </w:r>
            <w:r>
              <w:rPr>
                <w:rFonts w:hint="eastAsia" w:ascii="宋体" w:hAnsi="宋体" w:cs="宋体"/>
                <w:b/>
                <w:bCs/>
                <w:sz w:val="24"/>
                <w:szCs w:val="24"/>
                <w:highlight w:val="red"/>
              </w:rPr>
              <w:t>：合同签订后</w:t>
            </w:r>
            <w:r>
              <w:rPr>
                <w:rFonts w:hint="eastAsia" w:ascii="宋体" w:hAnsi="宋体" w:cs="宋体"/>
                <w:b/>
                <w:bCs/>
                <w:sz w:val="24"/>
                <w:szCs w:val="24"/>
                <w:highlight w:val="red"/>
                <w:lang w:val="en-US" w:eastAsia="zh-CN"/>
              </w:rPr>
              <w:t>60天</w:t>
            </w:r>
            <w:r>
              <w:rPr>
                <w:rFonts w:hint="eastAsia" w:ascii="宋体" w:hAnsi="宋体" w:cs="宋体"/>
                <w:b/>
                <w:bCs/>
                <w:sz w:val="24"/>
                <w:szCs w:val="24"/>
                <w:highlight w:val="red"/>
              </w:rPr>
              <w:t>。</w:t>
            </w:r>
          </w:p>
          <w:p>
            <w:pPr>
              <w:spacing w:line="360" w:lineRule="auto"/>
              <w:rPr>
                <w:rFonts w:hint="eastAsia" w:ascii="宋体" w:hAnsi="宋体" w:cs="宋体"/>
                <w:b/>
                <w:bCs/>
                <w:sz w:val="24"/>
                <w:szCs w:val="24"/>
                <w:highlight w:val="red"/>
              </w:rPr>
            </w:pPr>
            <w:r>
              <w:rPr>
                <w:rFonts w:hint="eastAsia" w:ascii="宋体" w:hAnsi="宋体" w:cs="宋体"/>
                <w:b/>
                <w:bCs/>
                <w:sz w:val="24"/>
                <w:szCs w:val="24"/>
                <w:highlight w:val="red"/>
              </w:rPr>
              <w:t>2、质保期：验收合格后</w:t>
            </w:r>
            <w:r>
              <w:rPr>
                <w:rFonts w:hint="eastAsia" w:ascii="宋体" w:hAnsi="宋体" w:cs="宋体"/>
                <w:b/>
                <w:bCs/>
                <w:sz w:val="24"/>
                <w:szCs w:val="24"/>
                <w:highlight w:val="red"/>
                <w:lang w:val="en-US" w:eastAsia="zh-CN"/>
              </w:rPr>
              <w:t>1</w:t>
            </w:r>
            <w:r>
              <w:rPr>
                <w:rFonts w:hint="eastAsia" w:ascii="宋体" w:hAnsi="宋体" w:cs="宋体"/>
                <w:b/>
                <w:bCs/>
                <w:sz w:val="24"/>
                <w:szCs w:val="24"/>
                <w:highlight w:val="red"/>
              </w:rPr>
              <w:t>年。</w:t>
            </w:r>
          </w:p>
          <w:p>
            <w:pPr>
              <w:spacing w:line="360" w:lineRule="auto"/>
              <w:rPr>
                <w:rFonts w:hint="eastAsia" w:ascii="宋体" w:hAnsi="宋体" w:cs="宋体"/>
                <w:b/>
                <w:bCs/>
                <w:sz w:val="24"/>
                <w:szCs w:val="24"/>
                <w:highlight w:val="red"/>
              </w:rPr>
            </w:pPr>
            <w:r>
              <w:rPr>
                <w:rFonts w:hint="eastAsia" w:ascii="宋体" w:hAnsi="宋体" w:cs="宋体"/>
                <w:b/>
                <w:bCs/>
                <w:sz w:val="24"/>
                <w:szCs w:val="24"/>
                <w:highlight w:val="red"/>
              </w:rPr>
              <w:t>3、交货地点：采购人指定地点。</w:t>
            </w:r>
          </w:p>
          <w:p>
            <w:pPr>
              <w:spacing w:line="360" w:lineRule="auto"/>
              <w:rPr>
                <w:rFonts w:hint="eastAsia" w:ascii="宋体" w:hAnsi="宋体" w:cs="宋体"/>
                <w:b/>
                <w:bCs/>
                <w:sz w:val="24"/>
                <w:szCs w:val="24"/>
                <w:highlight w:val="red"/>
              </w:rPr>
            </w:pPr>
            <w:r>
              <w:rPr>
                <w:rFonts w:hint="eastAsia" w:ascii="宋体" w:hAnsi="宋体" w:cs="宋体"/>
                <w:b/>
                <w:bCs/>
                <w:sz w:val="24"/>
                <w:szCs w:val="24"/>
                <w:highlight w:val="red"/>
              </w:rPr>
              <w:t>4、付款方式：合同签订，支付</w:t>
            </w:r>
            <w:r>
              <w:rPr>
                <w:rFonts w:hint="eastAsia" w:ascii="宋体" w:hAnsi="宋体" w:cs="宋体"/>
                <w:b/>
                <w:bCs/>
                <w:sz w:val="24"/>
                <w:szCs w:val="24"/>
                <w:highlight w:val="red"/>
                <w:lang w:eastAsia="zh-CN"/>
              </w:rPr>
              <w:t>合同价款的</w:t>
            </w:r>
            <w:r>
              <w:rPr>
                <w:rFonts w:hint="eastAsia" w:ascii="宋体" w:hAnsi="宋体" w:cs="宋体"/>
                <w:b/>
                <w:bCs/>
                <w:sz w:val="24"/>
                <w:szCs w:val="24"/>
                <w:highlight w:val="red"/>
              </w:rPr>
              <w:t>50%</w:t>
            </w:r>
            <w:r>
              <w:rPr>
                <w:rFonts w:hint="eastAsia" w:ascii="宋体" w:hAnsi="宋体" w:cs="宋体"/>
                <w:b/>
                <w:bCs/>
                <w:sz w:val="24"/>
                <w:szCs w:val="24"/>
                <w:highlight w:val="red"/>
                <w:lang w:eastAsia="zh-CN"/>
              </w:rPr>
              <w:t>，验收合格后支付剩余价款的</w:t>
            </w:r>
            <w:r>
              <w:rPr>
                <w:rFonts w:hint="eastAsia" w:ascii="宋体" w:hAnsi="宋体" w:cs="宋体"/>
                <w:b/>
                <w:bCs/>
                <w:sz w:val="24"/>
                <w:szCs w:val="24"/>
                <w:highlight w:val="red"/>
                <w:lang w:val="en-US" w:eastAsia="zh-CN"/>
              </w:rPr>
              <w:t>50%。</w:t>
            </w:r>
          </w:p>
          <w:p>
            <w:pPr>
              <w:spacing w:line="360" w:lineRule="auto"/>
              <w:rPr>
                <w:rFonts w:hint="eastAsia" w:eastAsia="宋体"/>
                <w:lang w:eastAsia="zh-CN"/>
              </w:rPr>
            </w:pPr>
            <w:r>
              <w:rPr>
                <w:rFonts w:hint="eastAsia" w:ascii="宋体" w:hAnsi="宋体" w:eastAsia="宋体" w:cs="宋体"/>
                <w:b/>
                <w:bCs/>
                <w:sz w:val="24"/>
                <w:szCs w:val="24"/>
                <w:highlight w:val="red"/>
                <w:lang w:eastAsia="zh-CN"/>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p>
            <w:pPr>
              <w:spacing w:line="360" w:lineRule="auto"/>
              <w:jc w:val="center"/>
              <w:rPr>
                <w:rFonts w:ascii="宋体" w:hAnsi="宋体" w:cs="宋体"/>
                <w:sz w:val="24"/>
                <w:szCs w:val="24"/>
                <w:highlight w:val="none"/>
              </w:rPr>
            </w:pPr>
            <w:r>
              <w:rPr>
                <w:rFonts w:hint="eastAsia" w:ascii="宋体" w:hAnsi="宋体" w:cs="宋体"/>
                <w:sz w:val="24"/>
                <w:szCs w:val="24"/>
                <w:highlight w:val="none"/>
              </w:rPr>
              <w:t>缴纳</w:t>
            </w:r>
          </w:p>
        </w:tc>
        <w:tc>
          <w:tcPr>
            <w:tcW w:w="7219" w:type="dxa"/>
          </w:tcPr>
          <w:p>
            <w:pPr>
              <w:pStyle w:val="9"/>
              <w:numPr>
                <w:ilvl w:val="0"/>
                <w:numId w:val="5"/>
              </w:numPr>
              <w:spacing w:line="360" w:lineRule="auto"/>
              <w:ind w:firstLine="0"/>
              <w:jc w:val="left"/>
              <w:rPr>
                <w:rFonts w:ascii="宋体" w:hAnsi="宋体" w:cs="宋体"/>
                <w:sz w:val="24"/>
                <w:szCs w:val="24"/>
                <w:highlight w:val="none"/>
              </w:rPr>
            </w:pPr>
            <w:r>
              <w:rPr>
                <w:rFonts w:hint="eastAsia" w:ascii="宋体" w:hAnsi="宋体" w:cs="宋体"/>
                <w:b/>
                <w:bCs/>
                <w:sz w:val="24"/>
                <w:szCs w:val="24"/>
                <w:highlight w:val="none"/>
              </w:rPr>
              <w:t>保证金的缴纳：</w:t>
            </w:r>
            <w:r>
              <w:rPr>
                <w:rFonts w:hint="eastAsia" w:ascii="宋体" w:hAnsi="宋体" w:cs="宋体"/>
                <w:b/>
                <w:bCs/>
                <w:sz w:val="24"/>
                <w:szCs w:val="24"/>
                <w:highlight w:val="none"/>
                <w:lang w:eastAsia="zh-CN"/>
              </w:rPr>
              <w:t>人民币伍万元整（</w:t>
            </w:r>
            <w:r>
              <w:rPr>
                <w:rFonts w:hint="eastAsia" w:ascii="宋体" w:hAnsi="宋体" w:cs="宋体"/>
                <w:b/>
                <w:bCs/>
                <w:sz w:val="24"/>
                <w:szCs w:val="24"/>
                <w:highlight w:val="none"/>
                <w:lang w:val="en-US" w:eastAsia="zh-CN"/>
              </w:rPr>
              <w:t>¥50000元</w:t>
            </w:r>
            <w:r>
              <w:rPr>
                <w:rFonts w:hint="eastAsia" w:ascii="宋体" w:hAnsi="宋体" w:cs="宋体"/>
                <w:b/>
                <w:bCs/>
                <w:sz w:val="24"/>
                <w:szCs w:val="24"/>
                <w:highlight w:val="none"/>
                <w:lang w:eastAsia="zh-CN"/>
              </w:rPr>
              <w:t>）</w:t>
            </w:r>
          </w:p>
          <w:p>
            <w:pPr>
              <w:pStyle w:val="9"/>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 xml:space="preserve">   缴纳截止时间：同投标文件递交截止时间一致</w:t>
            </w:r>
          </w:p>
          <w:p>
            <w:pPr>
              <w:spacing w:line="360" w:lineRule="auto"/>
              <w:ind w:firstLine="420" w:firstLineChars="175"/>
              <w:jc w:val="left"/>
              <w:rPr>
                <w:rFonts w:ascii="宋体" w:hAnsi="宋体" w:cs="宋体"/>
                <w:sz w:val="24"/>
                <w:szCs w:val="24"/>
                <w:highlight w:val="none"/>
              </w:rPr>
            </w:pPr>
            <w:r>
              <w:rPr>
                <w:rFonts w:hint="eastAsia" w:ascii="宋体" w:hAnsi="宋体" w:cs="宋体"/>
                <w:sz w:val="24"/>
                <w:szCs w:val="24"/>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账号：78590188000191476</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咨询电话：029-88440695财务高老师</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eastAsia="zh-CN"/>
              </w:rPr>
              <w:t>山阳疾控</w:t>
            </w:r>
            <w:r>
              <w:rPr>
                <w:rFonts w:hint="eastAsia" w:ascii="宋体" w:hAnsi="宋体" w:cs="宋体"/>
                <w:sz w:val="24"/>
                <w:szCs w:val="24"/>
                <w:highlight w:val="none"/>
              </w:rPr>
              <w:t>-</w:t>
            </w:r>
            <w:r>
              <w:rPr>
                <w:rFonts w:hint="eastAsia" w:ascii="宋体" w:hAnsi="宋体" w:cs="宋体"/>
                <w:sz w:val="24"/>
                <w:szCs w:val="24"/>
                <w:highlight w:val="none"/>
                <w:lang w:val="en-US" w:eastAsia="zh-CN"/>
              </w:rPr>
              <w:t>288</w:t>
            </w:r>
            <w:r>
              <w:rPr>
                <w:rFonts w:hint="eastAsia" w:ascii="宋体" w:hAnsi="宋体" w:cs="宋体"/>
                <w:sz w:val="24"/>
                <w:szCs w:val="24"/>
                <w:highlight w:val="none"/>
              </w:rPr>
              <w:t>投标保证金</w:t>
            </w:r>
          </w:p>
          <w:p>
            <w:pPr>
              <w:pStyle w:val="6"/>
              <w:numPr>
                <w:ilvl w:val="0"/>
                <w:numId w:val="6"/>
              </w:numPr>
              <w:rPr>
                <w:rFonts w:hint="default" w:ascii="宋体" w:hAnsi="宋体" w:cs="宋体"/>
                <w:sz w:val="24"/>
                <w:szCs w:val="24"/>
                <w:highlight w:val="none"/>
              </w:rPr>
            </w:pPr>
            <w:r>
              <w:rPr>
                <w:rFonts w:ascii="宋体" w:hAnsi="宋体" w:cs="宋体"/>
                <w:sz w:val="24"/>
                <w:szCs w:val="24"/>
                <w:highlight w:val="none"/>
              </w:rPr>
              <w:t>保证金的退还</w:t>
            </w:r>
          </w:p>
          <w:p>
            <w:pPr>
              <w:tabs>
                <w:tab w:val="left" w:pos="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2.1未成交的供应商在退取投标保证金时，须携带以下资料办理到代理机构的财务部门办理:</w:t>
            </w:r>
          </w:p>
          <w:p>
            <w:pPr>
              <w:numPr>
                <w:ilvl w:val="0"/>
                <w:numId w:val="7"/>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保证金汇款凭证复印件加盖公章；</w:t>
            </w:r>
          </w:p>
          <w:p>
            <w:pPr>
              <w:numPr>
                <w:ilvl w:val="0"/>
                <w:numId w:val="7"/>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保证金退还信息确认表（加盖公章）见</w:t>
            </w:r>
            <w:r>
              <w:rPr>
                <w:rFonts w:hint="eastAsia" w:ascii="宋体" w:hAnsi="宋体" w:cs="宋体"/>
                <w:b/>
                <w:bCs/>
                <w:sz w:val="24"/>
                <w:szCs w:val="24"/>
                <w:highlight w:val="none"/>
              </w:rPr>
              <w:t>附件七</w:t>
            </w:r>
            <w:r>
              <w:rPr>
                <w:rFonts w:hint="eastAsia" w:ascii="宋体" w:hAnsi="宋体" w:cs="宋体"/>
                <w:sz w:val="24"/>
                <w:szCs w:val="24"/>
                <w:highlight w:val="none"/>
              </w:rPr>
              <w:t>。</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bCs/>
                <w:sz w:val="24"/>
                <w:szCs w:val="24"/>
                <w:highlight w:val="none"/>
              </w:rPr>
              <w:t>保证金汇款凭证复印件加盖公章</w:t>
            </w:r>
            <w:r>
              <w:rPr>
                <w:rFonts w:hint="eastAsia" w:ascii="宋体" w:hAnsi="宋体" w:cs="宋体"/>
                <w:sz w:val="24"/>
                <w:szCs w:val="24"/>
                <w:highlight w:val="none"/>
              </w:rPr>
              <w:t>一并交给工作人员，当天未提交保证金退还账户信息确认表与投标保证金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13"/>
              <w:rPr>
                <w:rFonts w:ascii="宋体" w:hAnsi="宋体" w:cs="宋体"/>
                <w:color w:val="auto"/>
                <w:kern w:val="2"/>
                <w:highlight w:val="none"/>
              </w:rPr>
            </w:pPr>
            <w:r>
              <w:rPr>
                <w:rFonts w:hint="eastAsia" w:ascii="宋体" w:hAnsi="宋体" w:cs="宋体"/>
                <w:color w:val="auto"/>
                <w:kern w:val="2"/>
                <w:highlight w:val="none"/>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8"/>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70"/>
              <w:spacing w:line="360" w:lineRule="auto"/>
              <w:rPr>
                <w:kern w:val="2"/>
              </w:rPr>
            </w:pPr>
            <w:r>
              <w:rPr>
                <w:rFonts w:hint="eastAsia"/>
                <w:kern w:val="2"/>
              </w:rPr>
              <w:t>1、密封要求：</w:t>
            </w:r>
          </w:p>
          <w:p>
            <w:pPr>
              <w:pStyle w:val="70"/>
              <w:spacing w:line="360" w:lineRule="auto"/>
              <w:rPr>
                <w:kern w:val="2"/>
              </w:rPr>
            </w:pPr>
            <w:r>
              <w:rPr>
                <w:rFonts w:hint="eastAsia"/>
                <w:kern w:val="2"/>
              </w:rPr>
              <w:t>开标一览表单独密封递交，</w:t>
            </w:r>
          </w:p>
          <w:p>
            <w:pPr>
              <w:pStyle w:val="70"/>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密封以不泄露供应商商业机密、投标文件内容为标准，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3、如果供应商未按上述要求密封，误投或过早启封的投标文件，将自行承担其投标文件被视为无效投标文件的风险。</w:t>
            </w:r>
          </w:p>
          <w:p>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rPr>
                <w:rFonts w:ascii="宋体" w:hAnsi="宋体" w:cs="宋体"/>
                <w:sz w:val="24"/>
                <w:szCs w:val="24"/>
              </w:rPr>
            </w:pPr>
            <w:r>
              <w:rPr>
                <w:rFonts w:hint="eastAsia" w:ascii="宋体" w:hAnsi="宋体" w:cs="宋体"/>
                <w:b/>
                <w:bCs/>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p>
            <w:pPr>
              <w:spacing w:line="360" w:lineRule="auto"/>
            </w:pPr>
            <w:r>
              <w:rPr>
                <w:rFonts w:hint="eastAsia" w:ascii="宋体" w:hAnsi="宋体" w:cs="宋体"/>
                <w:sz w:val="24"/>
                <w:szCs w:val="24"/>
              </w:rPr>
              <w:t>招标代理服务费按差额定率累进法计算：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1"/>
              <w:rPr>
                <w:rFonts w:ascii="仿宋" w:hAnsi="仿宋" w:cs="Courier New"/>
                <w:b/>
                <w:bCs/>
                <w:color w:val="000000"/>
                <w:sz w:val="24"/>
                <w:szCs w:val="24"/>
              </w:rPr>
            </w:pPr>
            <w:r>
              <w:rPr>
                <w:rFonts w:hint="eastAsia" w:ascii="仿宋" w:hAnsi="仿宋" w:cs="Courier New"/>
                <w:b/>
                <w:bCs/>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1"/>
              <w:rPr>
                <w:rFonts w:ascii="仿宋" w:hAnsi="仿宋" w:cs="Courier New"/>
                <w:b/>
                <w:bCs/>
                <w:color w:val="000000"/>
                <w:sz w:val="24"/>
                <w:szCs w:val="24"/>
              </w:rPr>
            </w:pPr>
            <w:r>
              <w:rPr>
                <w:rFonts w:hint="eastAsia" w:ascii="仿宋" w:hAnsi="仿宋" w:cs="Courier New"/>
                <w:b/>
                <w:bCs/>
                <w:color w:val="000000"/>
                <w:sz w:val="24"/>
                <w:szCs w:val="24"/>
              </w:rPr>
              <w:t>所有标的所属</w:t>
            </w:r>
            <w:r>
              <w:rPr>
                <w:rFonts w:hint="eastAsia" w:ascii="仿宋" w:hAnsi="仿宋" w:cs="Courier New"/>
                <w:b/>
                <w:bCs/>
                <w:color w:val="auto"/>
                <w:sz w:val="24"/>
                <w:szCs w:val="24"/>
                <w:lang w:eastAsia="zh-CN"/>
              </w:rPr>
              <w:t>行业为</w:t>
            </w:r>
            <w:r>
              <w:rPr>
                <w:rFonts w:hint="eastAsia" w:ascii="仿宋" w:hAnsi="仿宋" w:cs="Courier New"/>
                <w:b/>
                <w:bCs/>
                <w:color w:val="000000"/>
                <w:sz w:val="24"/>
                <w:szCs w:val="24"/>
                <w:lang w:eastAsia="zh-CN"/>
              </w:rPr>
              <w:t>工业</w:t>
            </w:r>
            <w:r>
              <w:rPr>
                <w:rFonts w:hint="eastAsia" w:ascii="仿宋" w:hAnsi="仿宋" w:cs="Courier New"/>
                <w:b/>
                <w:bCs/>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vAlign w:val="center"/>
          </w:tcPr>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核心产品</w:t>
            </w:r>
          </w:p>
        </w:tc>
        <w:tc>
          <w:tcPr>
            <w:tcW w:w="7219" w:type="dxa"/>
            <w:vAlign w:val="center"/>
          </w:tcPr>
          <w:p>
            <w:pPr>
              <w:spacing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前端视频采集设备（一）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是否专门面向中小企业</w:t>
            </w:r>
          </w:p>
        </w:tc>
        <w:tc>
          <w:tcPr>
            <w:tcW w:w="7219" w:type="dxa"/>
            <w:vAlign w:val="center"/>
          </w:tcPr>
          <w:p>
            <w:pPr>
              <w:ind w:right="158" w:rightChars="75"/>
              <w:rPr>
                <w:rFonts w:hint="eastAsia" w:eastAsia="宋体"/>
                <w:b/>
                <w:bCs/>
                <w:sz w:val="24"/>
                <w:szCs w:val="24"/>
                <w:lang w:eastAsia="zh-CN"/>
              </w:rPr>
            </w:pPr>
            <w:r>
              <w:rPr>
                <w:rFonts w:hint="eastAsia"/>
                <w:b/>
                <w:bCs/>
                <w:sz w:val="24"/>
                <w:szCs w:val="24"/>
                <w:lang w:eastAsia="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是否允许大中企业</w:t>
            </w:r>
          </w:p>
          <w:p>
            <w:pPr>
              <w:spacing w:line="360" w:lineRule="auto"/>
              <w:jc w:val="center"/>
              <w:rPr>
                <w:rFonts w:ascii="宋体" w:hAnsi="宋体" w:cs="宋体"/>
                <w:sz w:val="24"/>
                <w:szCs w:val="24"/>
                <w:lang w:val="zh-CN"/>
              </w:rPr>
            </w:pPr>
            <w:r>
              <w:rPr>
                <w:rFonts w:hint="eastAsia" w:ascii="宋体" w:hAnsi="宋体" w:cs="宋体"/>
                <w:sz w:val="24"/>
                <w:szCs w:val="24"/>
                <w:lang w:val="zh-CN"/>
              </w:rPr>
              <w:t>向小微企业分包</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否</w:t>
            </w:r>
          </w:p>
          <w:p>
            <w:pPr>
              <w:spacing w:line="360" w:lineRule="auto"/>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供应商信用信息查询截止时点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494" w:type="dxa"/>
            <w:vAlign w:val="center"/>
          </w:tcPr>
          <w:p>
            <w:pPr>
              <w:pStyle w:val="10"/>
              <w:spacing w:line="336" w:lineRule="auto"/>
              <w:jc w:val="left"/>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0"/>
              <w:spacing w:line="336" w:lineRule="auto"/>
              <w:jc w:val="left"/>
              <w:rPr>
                <w:rFonts w:hint="eastAsia" w:eastAsia="宋体"/>
                <w:highlight w:val="yellow"/>
                <w:lang w:val="zh-CN" w:eastAsia="zh-CN"/>
              </w:rPr>
            </w:pPr>
            <w:r>
              <w:rPr>
                <w:rFonts w:hint="eastAsia" w:ascii="仿宋" w:hAnsi="仿宋"/>
                <w:color w:val="000000"/>
                <w:sz w:val="24"/>
                <w:szCs w:val="24"/>
              </w:rPr>
              <w:t>采购文件与媒体发布的采购公告不一致时，以公告为准，正文与前附表表述不一致时，以供应商须知前附表为准</w:t>
            </w:r>
            <w:r>
              <w:rPr>
                <w:rFonts w:hint="eastAsia" w:ascii="仿宋" w:hAnsi="仿宋"/>
                <w:color w:val="000000"/>
                <w:sz w:val="24"/>
                <w:szCs w:val="24"/>
                <w:lang w:eastAsia="zh-CN"/>
              </w:rPr>
              <w:t>。</w:t>
            </w:r>
          </w:p>
        </w:tc>
      </w:tr>
    </w:tbl>
    <w:p>
      <w:pPr>
        <w:pStyle w:val="3"/>
        <w:keepLines w:val="0"/>
        <w:spacing w:before="312" w:beforeLines="100" w:after="312" w:afterLines="100" w:line="500" w:lineRule="exact"/>
        <w:outlineLvl w:val="9"/>
        <w:rPr>
          <w:rFonts w:hint="eastAsia" w:ascii="宋体" w:hAnsi="宋体" w:cs="宋体"/>
          <w:sz w:val="36"/>
          <w:szCs w:val="36"/>
        </w:rPr>
        <w:sectPr>
          <w:footerReference r:id="rId8" w:type="default"/>
          <w:pgSz w:w="11906" w:h="16838"/>
          <w:pgMar w:top="1440" w:right="1706" w:bottom="1440" w:left="1800" w:header="851" w:footer="992" w:gutter="0"/>
          <w:pgNumType w:fmt="decimal"/>
          <w:cols w:space="720" w:num="1"/>
          <w:docGrid w:type="lines" w:linePitch="312" w:charSpace="0"/>
        </w:sectPr>
      </w:pPr>
      <w:bookmarkStart w:id="9" w:name="_Toc19272"/>
      <w:bookmarkStart w:id="10" w:name="_Toc10023"/>
    </w:p>
    <w:p>
      <w:pPr>
        <w:pStyle w:val="3"/>
        <w:keepLines w:val="0"/>
        <w:spacing w:before="312" w:beforeLines="100" w:after="312" w:afterLines="100" w:line="500" w:lineRule="exact"/>
        <w:rPr>
          <w:rFonts w:ascii="宋体" w:hAnsi="宋体" w:cs="宋体"/>
          <w:sz w:val="36"/>
          <w:szCs w:val="36"/>
        </w:rPr>
      </w:pPr>
      <w:bookmarkStart w:id="11" w:name="_Toc4652"/>
      <w:r>
        <w:rPr>
          <w:rFonts w:hint="eastAsia" w:ascii="宋体" w:hAnsi="宋体" w:cs="宋体"/>
          <w:sz w:val="36"/>
          <w:szCs w:val="36"/>
        </w:rPr>
        <w:t>第三部分  供应商须知</w:t>
      </w:r>
      <w:bookmarkEnd w:id="9"/>
      <w:bookmarkEnd w:id="10"/>
      <w:bookmarkEnd w:id="11"/>
    </w:p>
    <w:p>
      <w:pPr>
        <w:ind w:firstLine="562" w:firstLineChars="200"/>
        <w:jc w:val="center"/>
        <w:outlineLvl w:val="1"/>
        <w:rPr>
          <w:rFonts w:ascii="宋体" w:hAnsi="宋体" w:cs="宋体"/>
          <w:b/>
          <w:bCs/>
          <w:sz w:val="28"/>
          <w:szCs w:val="32"/>
        </w:rPr>
      </w:pPr>
      <w:bookmarkStart w:id="12" w:name="_Toc26739"/>
      <w:bookmarkStart w:id="13" w:name="_Toc32490"/>
      <w:bookmarkStart w:id="14" w:name="_Toc1290"/>
      <w:r>
        <w:rPr>
          <w:rFonts w:hint="eastAsia" w:ascii="宋体" w:hAnsi="宋体" w:cs="宋体"/>
          <w:b/>
          <w:bCs/>
          <w:sz w:val="28"/>
          <w:szCs w:val="32"/>
        </w:rPr>
        <w:t>一、总 则</w:t>
      </w:r>
      <w:bookmarkEnd w:id="12"/>
      <w:bookmarkEnd w:id="13"/>
      <w:bookmarkEnd w:id="14"/>
    </w:p>
    <w:p>
      <w:pPr>
        <w:pStyle w:val="5"/>
        <w:numPr>
          <w:ilvl w:val="0"/>
          <w:numId w:val="10"/>
        </w:numPr>
        <w:spacing w:line="500" w:lineRule="exact"/>
        <w:ind w:firstLine="562" w:firstLineChars="200"/>
        <w:rPr>
          <w:rFonts w:ascii="宋体" w:hAnsi="宋体" w:cs="宋体"/>
          <w:szCs w:val="28"/>
        </w:rPr>
      </w:pPr>
      <w:bookmarkStart w:id="15" w:name="_Toc24287"/>
      <w:bookmarkStart w:id="16" w:name="_Toc9257"/>
      <w:bookmarkStart w:id="17" w:name="_Toc11090"/>
      <w:bookmarkStart w:id="18" w:name="_Toc14702"/>
      <w:bookmarkStart w:id="19" w:name="_Toc358364319"/>
      <w:bookmarkStart w:id="20" w:name="_Toc380336725"/>
      <w:bookmarkStart w:id="21" w:name="_Toc6742"/>
      <w:r>
        <w:rPr>
          <w:rFonts w:hint="eastAsia" w:ascii="宋体" w:hAnsi="宋体" w:cs="宋体"/>
          <w:szCs w:val="28"/>
        </w:rPr>
        <w:t>适用范围</w:t>
      </w:r>
      <w:bookmarkEnd w:id="15"/>
      <w:bookmarkEnd w:id="16"/>
      <w:bookmarkEnd w:id="17"/>
      <w:bookmarkEnd w:id="18"/>
      <w:bookmarkEnd w:id="19"/>
      <w:bookmarkEnd w:id="20"/>
      <w:bookmarkEnd w:id="21"/>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562" w:firstLineChars="200"/>
        <w:rPr>
          <w:rFonts w:ascii="宋体" w:hAnsi="宋体" w:cs="宋体"/>
          <w:szCs w:val="28"/>
        </w:rPr>
      </w:pPr>
      <w:bookmarkStart w:id="22" w:name="_Toc17676"/>
      <w:bookmarkStart w:id="23" w:name="_Toc380336727"/>
      <w:bookmarkStart w:id="24" w:name="_Toc358364321"/>
      <w:bookmarkStart w:id="25" w:name="_Toc23781"/>
      <w:bookmarkStart w:id="26" w:name="_Toc11956"/>
      <w:bookmarkStart w:id="27" w:name="_Toc20749"/>
      <w:bookmarkStart w:id="28" w:name="_Toc20057"/>
      <w:r>
        <w:rPr>
          <w:rFonts w:hint="eastAsia" w:ascii="宋体" w:hAnsi="宋体" w:cs="宋体"/>
          <w:szCs w:val="28"/>
        </w:rPr>
        <w:t>合格的</w:t>
      </w:r>
      <w:bookmarkEnd w:id="22"/>
      <w:bookmarkEnd w:id="23"/>
      <w:bookmarkEnd w:id="24"/>
      <w:bookmarkEnd w:id="25"/>
      <w:r>
        <w:rPr>
          <w:rFonts w:hint="eastAsia" w:ascii="宋体" w:hAnsi="宋体" w:cs="宋体"/>
          <w:szCs w:val="28"/>
        </w:rPr>
        <w:t>供应商</w:t>
      </w:r>
      <w:bookmarkEnd w:id="26"/>
      <w:bookmarkEnd w:id="27"/>
      <w:bookmarkEnd w:id="28"/>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10"/>
        </w:numPr>
        <w:spacing w:line="500" w:lineRule="exact"/>
        <w:ind w:firstLine="562" w:firstLineChars="200"/>
        <w:rPr>
          <w:rFonts w:ascii="宋体" w:hAnsi="宋体" w:cs="宋体"/>
          <w:szCs w:val="28"/>
        </w:rPr>
      </w:pPr>
      <w:bookmarkStart w:id="29" w:name="_Toc380336728"/>
      <w:bookmarkStart w:id="30" w:name="_Toc19"/>
      <w:bookmarkStart w:id="31" w:name="_Toc358364322"/>
      <w:bookmarkStart w:id="32" w:name="_Toc22444"/>
      <w:bookmarkStart w:id="33" w:name="_Toc4659"/>
      <w:bookmarkStart w:id="34" w:name="_Toc540"/>
      <w:bookmarkStart w:id="35" w:name="_Toc11070"/>
      <w:r>
        <w:rPr>
          <w:rFonts w:hint="eastAsia" w:ascii="宋体" w:hAnsi="宋体" w:cs="宋体"/>
          <w:szCs w:val="28"/>
        </w:rPr>
        <w:t>费用</w:t>
      </w:r>
      <w:bookmarkEnd w:id="29"/>
      <w:bookmarkEnd w:id="30"/>
      <w:bookmarkEnd w:id="31"/>
      <w:bookmarkEnd w:id="32"/>
      <w:bookmarkEnd w:id="33"/>
      <w:bookmarkEnd w:id="34"/>
      <w:bookmarkEnd w:id="35"/>
    </w:p>
    <w:p>
      <w:pPr>
        <w:widowControl/>
        <w:spacing w:line="500" w:lineRule="exact"/>
        <w:ind w:firstLine="480" w:firstLineChars="200"/>
        <w:jc w:val="left"/>
        <w:rPr>
          <w:rFonts w:ascii="宋体" w:hAnsi="宋体" w:cs="宋体"/>
          <w:sz w:val="24"/>
          <w:szCs w:val="24"/>
        </w:rPr>
      </w:pPr>
      <w:bookmarkStart w:id="36" w:name="_Toc17817"/>
      <w:bookmarkStart w:id="37" w:name="_Toc5801"/>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10"/>
        </w:numPr>
        <w:spacing w:line="500" w:lineRule="exact"/>
        <w:ind w:firstLine="562" w:firstLineChars="200"/>
        <w:rPr>
          <w:rFonts w:ascii="宋体" w:hAnsi="宋体" w:cs="宋体"/>
          <w:szCs w:val="28"/>
        </w:rPr>
      </w:pPr>
      <w:bookmarkStart w:id="38" w:name="_Toc9594"/>
      <w:bookmarkStart w:id="39" w:name="_Toc28038"/>
      <w:bookmarkStart w:id="40" w:name="_Toc6084"/>
      <w:r>
        <w:rPr>
          <w:rFonts w:hint="eastAsia" w:ascii="宋体" w:hAnsi="宋体" w:cs="宋体"/>
          <w:szCs w:val="28"/>
        </w:rPr>
        <w:t>实质性偏离</w:t>
      </w:r>
      <w:bookmarkEnd w:id="38"/>
      <w:bookmarkEnd w:id="39"/>
      <w:bookmarkEnd w:id="40"/>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pStyle w:val="5"/>
        <w:numPr>
          <w:ilvl w:val="0"/>
          <w:numId w:val="10"/>
        </w:numPr>
        <w:spacing w:line="500" w:lineRule="exact"/>
        <w:ind w:firstLine="562" w:firstLineChars="200"/>
        <w:rPr>
          <w:rFonts w:ascii="宋体" w:hAnsi="宋体" w:cs="宋体"/>
          <w:szCs w:val="28"/>
        </w:rPr>
      </w:pPr>
      <w:bookmarkStart w:id="41" w:name="_Toc6247"/>
      <w:bookmarkStart w:id="42" w:name="_Toc217446047"/>
      <w:bookmarkStart w:id="43" w:name="_Toc7641"/>
      <w:bookmarkStart w:id="44" w:name="_Toc531"/>
      <w:r>
        <w:rPr>
          <w:rFonts w:hint="eastAsia" w:ascii="宋体" w:hAnsi="宋体" w:cs="宋体"/>
          <w:szCs w:val="28"/>
        </w:rPr>
        <w:t>知识产权</w:t>
      </w:r>
      <w:bookmarkEnd w:id="41"/>
      <w:bookmarkEnd w:id="42"/>
      <w:bookmarkEnd w:id="43"/>
      <w:bookmarkEnd w:id="44"/>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8"/>
      </w:pPr>
    </w:p>
    <w:p>
      <w:pPr>
        <w:pStyle w:val="28"/>
      </w:pPr>
    </w:p>
    <w:bookmarkEnd w:id="36"/>
    <w:bookmarkEnd w:id="37"/>
    <w:p>
      <w:pPr>
        <w:spacing w:line="360" w:lineRule="auto"/>
        <w:jc w:val="left"/>
        <w:rPr>
          <w:rFonts w:ascii="宋体" w:hAnsi="宋体" w:cs="宋体"/>
          <w:kern w:val="0"/>
          <w:sz w:val="24"/>
          <w:szCs w:val="24"/>
        </w:rPr>
      </w:pPr>
      <w:bookmarkStart w:id="45" w:name="_Toc7144"/>
    </w:p>
    <w:p>
      <w:pPr>
        <w:ind w:firstLine="420" w:firstLineChars="200"/>
        <w:rPr>
          <w:rFonts w:ascii="宋体" w:hAnsi="宋体" w:cs="宋体"/>
        </w:rPr>
      </w:pPr>
      <w:r>
        <w:rPr>
          <w:rFonts w:hint="eastAsia" w:ascii="宋体" w:hAnsi="宋体" w:cs="宋体"/>
        </w:rPr>
        <w:br w:type="page"/>
      </w:r>
    </w:p>
    <w:p>
      <w:pPr>
        <w:numPr>
          <w:ilvl w:val="0"/>
          <w:numId w:val="12"/>
        </w:numPr>
        <w:jc w:val="center"/>
        <w:outlineLvl w:val="1"/>
        <w:rPr>
          <w:rFonts w:ascii="宋体" w:hAnsi="宋体" w:cs="宋体"/>
          <w:b/>
          <w:bCs/>
          <w:sz w:val="36"/>
          <w:szCs w:val="28"/>
        </w:rPr>
      </w:pPr>
      <w:bookmarkStart w:id="46" w:name="_Toc2233"/>
      <w:bookmarkStart w:id="47" w:name="_Toc18223"/>
      <w:r>
        <w:rPr>
          <w:rFonts w:hint="eastAsia" w:ascii="宋体" w:hAnsi="宋体" w:cs="宋体"/>
          <w:b/>
          <w:bCs/>
          <w:sz w:val="36"/>
          <w:szCs w:val="28"/>
        </w:rPr>
        <w:t>招标文件</w:t>
      </w:r>
      <w:bookmarkEnd w:id="45"/>
      <w:bookmarkEnd w:id="46"/>
      <w:bookmarkEnd w:id="47"/>
    </w:p>
    <w:p>
      <w:pPr>
        <w:pStyle w:val="5"/>
        <w:keepNext w:val="0"/>
        <w:keepLines w:val="0"/>
        <w:numPr>
          <w:ilvl w:val="0"/>
          <w:numId w:val="13"/>
        </w:numPr>
        <w:spacing w:line="500" w:lineRule="exact"/>
        <w:ind w:firstLine="562" w:firstLineChars="200"/>
        <w:rPr>
          <w:rFonts w:ascii="宋体" w:hAnsi="宋体" w:cs="宋体"/>
          <w:szCs w:val="28"/>
        </w:rPr>
      </w:pPr>
      <w:bookmarkStart w:id="48" w:name="_Toc2258"/>
      <w:bookmarkStart w:id="49" w:name="_Toc24282"/>
      <w:bookmarkStart w:id="50" w:name="_Toc4077"/>
      <w:r>
        <w:rPr>
          <w:rFonts w:hint="eastAsia" w:ascii="宋体" w:hAnsi="宋体" w:cs="宋体"/>
          <w:szCs w:val="28"/>
        </w:rPr>
        <w:t>招标文件的构成</w:t>
      </w:r>
      <w:bookmarkEnd w:id="48"/>
      <w:bookmarkEnd w:id="49"/>
      <w:bookmarkEnd w:id="50"/>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shd w:val="clear"/>
        <w:tabs>
          <w:tab w:val="left" w:pos="0"/>
        </w:tabs>
        <w:adjustRightInd w:val="0"/>
        <w:snapToGrid w:val="0"/>
        <w:spacing w:line="500" w:lineRule="exact"/>
        <w:ind w:firstLine="480" w:firstLineChars="200"/>
        <w:jc w:val="left"/>
        <w:rPr>
          <w:rFonts w:ascii="宋体" w:hAnsi="宋体" w:cs="宋体"/>
          <w:color w:val="auto"/>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w:t>
      </w:r>
      <w:r>
        <w:rPr>
          <w:rFonts w:hint="eastAsia" w:ascii="宋体" w:hAnsi="宋体" w:cs="宋体"/>
          <w:color w:val="auto"/>
          <w:sz w:val="24"/>
          <w:szCs w:val="24"/>
        </w:rPr>
        <w:t>各方面都</w:t>
      </w:r>
      <w:r>
        <w:rPr>
          <w:rFonts w:hint="eastAsia" w:ascii="宋体" w:hAnsi="宋体" w:cs="宋体"/>
          <w:color w:val="auto"/>
          <w:sz w:val="24"/>
          <w:szCs w:val="24"/>
          <w:lang w:eastAsia="zh-CN"/>
        </w:rPr>
        <w:t>作出</w:t>
      </w:r>
      <w:r>
        <w:rPr>
          <w:rFonts w:hint="eastAsia" w:ascii="宋体" w:hAnsi="宋体" w:cs="宋体"/>
          <w:color w:val="auto"/>
          <w:sz w:val="24"/>
          <w:szCs w:val="24"/>
        </w:rPr>
        <w:t>实质性响应，将导致其投标被拒绝或被认定为无效投标。</w:t>
      </w:r>
    </w:p>
    <w:p>
      <w:pPr>
        <w:pStyle w:val="5"/>
        <w:keepNext w:val="0"/>
        <w:keepLines w:val="0"/>
        <w:numPr>
          <w:ilvl w:val="0"/>
          <w:numId w:val="13"/>
        </w:numPr>
        <w:shd w:val="clear"/>
        <w:spacing w:line="500" w:lineRule="exact"/>
        <w:ind w:firstLine="562" w:firstLineChars="200"/>
        <w:rPr>
          <w:rFonts w:ascii="宋体" w:hAnsi="宋体" w:cs="宋体"/>
          <w:color w:val="auto"/>
          <w:szCs w:val="28"/>
        </w:rPr>
      </w:pPr>
      <w:bookmarkStart w:id="51" w:name="_Toc19797"/>
      <w:bookmarkStart w:id="52" w:name="_Toc15297"/>
      <w:bookmarkStart w:id="53" w:name="_Toc14603"/>
      <w:bookmarkStart w:id="54" w:name="_Toc7486"/>
      <w:r>
        <w:rPr>
          <w:rFonts w:hint="eastAsia" w:ascii="宋体" w:hAnsi="宋体" w:cs="宋体"/>
          <w:color w:val="auto"/>
          <w:szCs w:val="28"/>
        </w:rPr>
        <w:t>招标文件的澄清</w:t>
      </w:r>
      <w:bookmarkEnd w:id="51"/>
      <w:bookmarkEnd w:id="52"/>
      <w:bookmarkEnd w:id="53"/>
      <w:bookmarkEnd w:id="54"/>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3"/>
        </w:numPr>
        <w:spacing w:line="500" w:lineRule="exact"/>
        <w:ind w:firstLine="562" w:firstLineChars="200"/>
        <w:rPr>
          <w:rFonts w:ascii="宋体" w:hAnsi="宋体" w:cs="宋体"/>
          <w:szCs w:val="28"/>
        </w:rPr>
      </w:pPr>
      <w:bookmarkStart w:id="55" w:name="_Toc14621"/>
      <w:bookmarkStart w:id="56" w:name="_Toc18824"/>
      <w:bookmarkStart w:id="57" w:name="_Toc6390"/>
      <w:bookmarkStart w:id="58" w:name="_Toc14087"/>
      <w:r>
        <w:rPr>
          <w:rFonts w:hint="eastAsia" w:ascii="宋体" w:hAnsi="宋体" w:cs="宋体"/>
          <w:szCs w:val="28"/>
        </w:rPr>
        <w:t>招标文件的修改</w:t>
      </w:r>
      <w:bookmarkEnd w:id="55"/>
      <w:bookmarkEnd w:id="56"/>
      <w:bookmarkEnd w:id="57"/>
      <w:bookmarkEnd w:id="5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3"/>
        </w:numPr>
        <w:spacing w:line="500" w:lineRule="exact"/>
        <w:ind w:firstLine="562" w:firstLineChars="200"/>
        <w:rPr>
          <w:rFonts w:ascii="宋体" w:hAnsi="宋体" w:cs="宋体"/>
          <w:szCs w:val="28"/>
        </w:rPr>
      </w:pPr>
      <w:bookmarkStart w:id="59" w:name="_Toc8379"/>
      <w:bookmarkStart w:id="60" w:name="_Toc29467"/>
      <w:bookmarkStart w:id="61" w:name="_Toc5095"/>
      <w:bookmarkStart w:id="62" w:name="_Toc16940"/>
      <w:r>
        <w:rPr>
          <w:rFonts w:hint="eastAsia" w:ascii="宋体" w:hAnsi="宋体" w:cs="宋体"/>
          <w:szCs w:val="28"/>
        </w:rPr>
        <w:t>招标文件的解释权归代理机构</w:t>
      </w:r>
      <w:bookmarkEnd w:id="59"/>
      <w:bookmarkEnd w:id="60"/>
      <w:bookmarkEnd w:id="61"/>
      <w:bookmarkEnd w:id="62"/>
    </w:p>
    <w:p>
      <w:pPr>
        <w:pStyle w:val="5"/>
        <w:numPr>
          <w:ilvl w:val="0"/>
          <w:numId w:val="13"/>
        </w:numPr>
        <w:spacing w:line="500" w:lineRule="exact"/>
        <w:ind w:firstLine="562" w:firstLineChars="200"/>
        <w:rPr>
          <w:rFonts w:ascii="宋体" w:hAnsi="宋体" w:cs="宋体"/>
          <w:szCs w:val="28"/>
        </w:rPr>
      </w:pPr>
      <w:bookmarkStart w:id="63" w:name="_Toc1030"/>
      <w:bookmarkStart w:id="64" w:name="_Toc25634"/>
      <w:bookmarkStart w:id="65" w:name="_Toc2169"/>
      <w:r>
        <w:rPr>
          <w:rFonts w:hint="eastAsia" w:ascii="宋体" w:hAnsi="宋体" w:cs="宋体"/>
          <w:szCs w:val="28"/>
        </w:rPr>
        <w:t>落实的政府采购政策</w:t>
      </w:r>
      <w:bookmarkEnd w:id="63"/>
      <w:bookmarkEnd w:id="64"/>
      <w:bookmarkEnd w:id="65"/>
    </w:p>
    <w:p>
      <w:pPr>
        <w:tabs>
          <w:tab w:val="left" w:pos="0"/>
        </w:tabs>
        <w:adjustRightInd w:val="0"/>
        <w:snapToGrid w:val="0"/>
        <w:spacing w:line="500" w:lineRule="exact"/>
        <w:ind w:firstLine="480" w:firstLineChars="200"/>
        <w:jc w:val="left"/>
        <w:rPr>
          <w:rFonts w:hAnsi="宋体" w:cs="宋体"/>
          <w:sz w:val="24"/>
          <w:szCs w:val="24"/>
        </w:rPr>
      </w:pPr>
      <w:bookmarkStart w:id="66" w:name="_Toc15601"/>
      <w:bookmarkStart w:id="67" w:name="_Toc21498"/>
      <w:r>
        <w:rPr>
          <w:rFonts w:hint="eastAsia" w:hAnsi="宋体" w:cs="宋体"/>
          <w:sz w:val="24"/>
          <w:szCs w:val="24"/>
        </w:rPr>
        <w:t>5.1节能产品、环境标志产品</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5.2中小企业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0%的扣除，用扣除后的价格参与评审</w:t>
      </w:r>
      <w:r>
        <w:rPr>
          <w:rFonts w:hint="eastAsia" w:hAnsi="宋体" w:cs="宋体"/>
          <w:b/>
          <w:bCs/>
          <w:sz w:val="24"/>
          <w:szCs w:val="24"/>
        </w:rPr>
        <w:t>。</w:t>
      </w:r>
      <w:r>
        <w:rPr>
          <w:rFonts w:hint="eastAsia" w:hAnsi="宋体" w:cs="宋体"/>
          <w:b w:val="0"/>
          <w:bCs w:val="0"/>
          <w:sz w:val="24"/>
          <w:szCs w:val="24"/>
        </w:rPr>
        <w:t>工程项目，</w:t>
      </w:r>
      <w:r>
        <w:rPr>
          <w:rFonts w:hint="eastAsia" w:hAnsi="宋体" w:cs="宋体"/>
          <w:sz w:val="24"/>
          <w:szCs w:val="24"/>
        </w:rPr>
        <w:t>对小型和微型企业的价格给予3%～5%的扣除，用扣除后的价格参与评审。</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5.3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供应商提供的《中小企业声明函》或者《残疾人福利性单位声明函》存在明显错误的，评标委员会可以要求供应商作出澄清；澄清后，符合小微企业条件的，供应商可以享受优惠政策；否则，不享受优惠政策。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sz w:val="24"/>
          <w:szCs w:val="24"/>
        </w:rPr>
        <w:sectPr>
          <w:footerReference r:id="rId9" w:type="default"/>
          <w:pgSz w:w="11906" w:h="16838"/>
          <w:pgMar w:top="1440" w:right="1706" w:bottom="1440" w:left="1800" w:header="851" w:footer="992" w:gutter="0"/>
          <w:pgNumType w:fmt="decimal"/>
          <w:cols w:space="720" w:num="1"/>
          <w:docGrid w:type="lines" w:linePitch="312" w:charSpace="0"/>
        </w:sectPr>
      </w:pPr>
      <w:r>
        <w:rPr>
          <w:rFonts w:hint="eastAsia" w:ascii="宋体" w:hAnsi="宋体" w:cs="宋体"/>
          <w:sz w:val="24"/>
          <w:szCs w:val="24"/>
        </w:rPr>
        <w:t>5.4供应商有融资、担保需求的，具体办理流程按照财政部门及相关政策执行（陕西省财政厅关于印发《陕西省中小企业政府采购信用融资办法》（陕财办采〔2018〕23号））。</w:t>
      </w:r>
    </w:p>
    <w:p>
      <w:pPr>
        <w:jc w:val="center"/>
        <w:outlineLvl w:val="1"/>
        <w:rPr>
          <w:rFonts w:ascii="宋体" w:hAnsi="宋体" w:cs="宋体"/>
          <w:b/>
          <w:bCs/>
          <w:sz w:val="36"/>
          <w:szCs w:val="28"/>
        </w:rPr>
      </w:pPr>
      <w:bookmarkStart w:id="68" w:name="_Toc17941"/>
      <w:r>
        <w:rPr>
          <w:rFonts w:hint="eastAsia" w:ascii="宋体" w:hAnsi="宋体" w:cs="宋体"/>
          <w:b/>
          <w:bCs/>
          <w:sz w:val="36"/>
          <w:szCs w:val="28"/>
        </w:rPr>
        <w:t>三、投标文件</w:t>
      </w:r>
      <w:bookmarkEnd w:id="66"/>
      <w:bookmarkEnd w:id="67"/>
      <w:bookmarkEnd w:id="68"/>
    </w:p>
    <w:p>
      <w:pPr>
        <w:pStyle w:val="5"/>
        <w:numPr>
          <w:ilvl w:val="0"/>
          <w:numId w:val="15"/>
        </w:numPr>
        <w:spacing w:line="500" w:lineRule="exact"/>
        <w:ind w:firstLine="562" w:firstLineChars="200"/>
        <w:rPr>
          <w:rFonts w:ascii="宋体" w:hAnsi="宋体" w:cs="宋体"/>
          <w:szCs w:val="28"/>
        </w:rPr>
      </w:pPr>
      <w:bookmarkStart w:id="69" w:name="_Toc12599"/>
      <w:bookmarkStart w:id="70" w:name="_Toc17549"/>
      <w:bookmarkStart w:id="71" w:name="_Toc2110"/>
      <w:bookmarkStart w:id="72" w:name="_Toc26457"/>
      <w:r>
        <w:rPr>
          <w:rFonts w:hint="eastAsia" w:ascii="宋体" w:hAnsi="宋体" w:cs="宋体"/>
          <w:szCs w:val="28"/>
        </w:rPr>
        <w:t>投标文件的编制</w:t>
      </w:r>
      <w:bookmarkEnd w:id="69"/>
      <w:bookmarkEnd w:id="70"/>
      <w:bookmarkEnd w:id="71"/>
      <w:bookmarkEnd w:id="72"/>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5"/>
        </w:numPr>
        <w:spacing w:line="500" w:lineRule="exact"/>
        <w:ind w:firstLine="482" w:firstLineChars="200"/>
        <w:rPr>
          <w:rFonts w:ascii="宋体" w:hAnsi="宋体" w:cs="宋体"/>
          <w:sz w:val="24"/>
          <w:szCs w:val="24"/>
        </w:rPr>
      </w:pPr>
      <w:bookmarkStart w:id="73" w:name="_Toc27646"/>
      <w:bookmarkStart w:id="74" w:name="_Toc2866"/>
      <w:bookmarkStart w:id="75" w:name="_Toc222"/>
      <w:bookmarkStart w:id="76" w:name="_Toc279"/>
      <w:bookmarkStart w:id="77" w:name="_Toc1311"/>
      <w:r>
        <w:rPr>
          <w:rFonts w:hint="eastAsia" w:ascii="宋体" w:hAnsi="宋体" w:cs="宋体"/>
          <w:sz w:val="24"/>
          <w:szCs w:val="24"/>
        </w:rPr>
        <w:t>投标报价</w:t>
      </w:r>
      <w:bookmarkEnd w:id="73"/>
      <w:bookmarkEnd w:id="74"/>
      <w:bookmarkEnd w:id="75"/>
      <w:bookmarkEnd w:id="76"/>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482" w:firstLineChars="200"/>
        <w:rPr>
          <w:rFonts w:ascii="宋体" w:hAnsi="宋体" w:cs="宋体"/>
          <w:sz w:val="24"/>
          <w:szCs w:val="24"/>
        </w:rPr>
      </w:pPr>
      <w:bookmarkStart w:id="78" w:name="_Toc16059"/>
      <w:bookmarkStart w:id="79" w:name="_Toc9753"/>
      <w:bookmarkStart w:id="80" w:name="_Toc29200"/>
      <w:bookmarkStart w:id="81" w:name="_Toc26749"/>
      <w:r>
        <w:rPr>
          <w:rFonts w:hint="eastAsia" w:ascii="宋体" w:hAnsi="宋体" w:cs="宋体"/>
          <w:sz w:val="24"/>
          <w:szCs w:val="24"/>
        </w:rPr>
        <w:t>投标货币</w:t>
      </w:r>
      <w:bookmarkEnd w:id="78"/>
      <w:bookmarkEnd w:id="79"/>
      <w:bookmarkEnd w:id="80"/>
      <w:bookmarkEnd w:id="81"/>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562" w:firstLineChars="200"/>
        <w:rPr>
          <w:rFonts w:ascii="宋体" w:hAnsi="宋体" w:cs="宋体"/>
          <w:szCs w:val="28"/>
        </w:rPr>
      </w:pPr>
      <w:bookmarkStart w:id="82" w:name="_Toc31754"/>
      <w:bookmarkStart w:id="83" w:name="_Toc25826"/>
      <w:bookmarkStart w:id="84" w:name="_Toc288"/>
      <w:r>
        <w:rPr>
          <w:rFonts w:hint="eastAsia" w:ascii="宋体" w:hAnsi="宋体" w:cs="宋体"/>
          <w:szCs w:val="28"/>
        </w:rPr>
        <w:t>投标保证金</w:t>
      </w:r>
      <w:bookmarkEnd w:id="77"/>
      <w:bookmarkEnd w:id="82"/>
      <w:bookmarkEnd w:id="83"/>
      <w:bookmarkEnd w:id="8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5"/>
        <w:numPr>
          <w:ilvl w:val="0"/>
          <w:numId w:val="15"/>
        </w:numPr>
        <w:spacing w:line="500" w:lineRule="exact"/>
        <w:ind w:firstLine="562" w:firstLineChars="200"/>
        <w:rPr>
          <w:rFonts w:ascii="宋体" w:hAnsi="宋体" w:cs="宋体"/>
          <w:szCs w:val="28"/>
        </w:rPr>
      </w:pPr>
      <w:bookmarkStart w:id="85" w:name="_Toc3671"/>
      <w:bookmarkStart w:id="86" w:name="_Toc14869"/>
      <w:bookmarkStart w:id="87" w:name="_Toc27991"/>
      <w:bookmarkStart w:id="88" w:name="_Toc19668"/>
      <w:r>
        <w:rPr>
          <w:rFonts w:hint="eastAsia" w:ascii="宋体" w:hAnsi="宋体" w:cs="宋体"/>
          <w:szCs w:val="28"/>
        </w:rPr>
        <w:t>投标有效期</w:t>
      </w:r>
      <w:bookmarkEnd w:id="85"/>
      <w:bookmarkEnd w:id="86"/>
      <w:bookmarkEnd w:id="87"/>
      <w:bookmarkEnd w:id="88"/>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5"/>
        </w:numPr>
        <w:spacing w:line="500" w:lineRule="exact"/>
        <w:ind w:firstLine="562" w:firstLineChars="200"/>
        <w:rPr>
          <w:rFonts w:ascii="宋体" w:hAnsi="宋体" w:cs="宋体"/>
          <w:szCs w:val="28"/>
        </w:rPr>
      </w:pPr>
      <w:bookmarkStart w:id="89" w:name="_Toc24827"/>
      <w:bookmarkStart w:id="90" w:name="_Toc30853"/>
      <w:bookmarkStart w:id="91" w:name="_Toc25514"/>
      <w:bookmarkStart w:id="92" w:name="_Toc13314"/>
      <w:r>
        <w:rPr>
          <w:rFonts w:hint="eastAsia" w:ascii="宋体" w:hAnsi="宋体" w:cs="宋体"/>
          <w:szCs w:val="28"/>
        </w:rPr>
        <w:t>投标文件的装订、签署和</w:t>
      </w:r>
      <w:bookmarkEnd w:id="89"/>
      <w:r>
        <w:rPr>
          <w:rFonts w:hint="eastAsia" w:ascii="宋体" w:hAnsi="宋体" w:cs="宋体"/>
          <w:szCs w:val="28"/>
        </w:rPr>
        <w:t>密封</w:t>
      </w:r>
      <w:bookmarkEnd w:id="90"/>
      <w:bookmarkEnd w:id="91"/>
      <w:bookmarkEnd w:id="92"/>
    </w:p>
    <w:p>
      <w:pPr>
        <w:tabs>
          <w:tab w:val="left" w:pos="0"/>
        </w:tabs>
        <w:spacing w:line="500" w:lineRule="exact"/>
        <w:ind w:firstLine="480" w:firstLineChars="200"/>
        <w:rPr>
          <w:rFonts w:ascii="宋体" w:hAnsi="宋体" w:cs="宋体"/>
          <w:sz w:val="24"/>
          <w:szCs w:val="24"/>
        </w:rPr>
      </w:pPr>
      <w:bookmarkStart w:id="93"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93"/>
    <w:p>
      <w:pPr>
        <w:widowControl/>
        <w:spacing w:before="159" w:beforeLines="50" w:after="159" w:afterLines="50" w:line="500" w:lineRule="exact"/>
        <w:jc w:val="center"/>
        <w:outlineLvl w:val="1"/>
        <w:rPr>
          <w:rFonts w:ascii="宋体" w:hAnsi="宋体" w:cs="宋体"/>
          <w:b/>
          <w:bCs/>
          <w:kern w:val="0"/>
          <w:sz w:val="32"/>
          <w:szCs w:val="28"/>
        </w:rPr>
      </w:pPr>
      <w:bookmarkStart w:id="94" w:name="_Toc15953"/>
      <w:bookmarkStart w:id="95" w:name="_Toc3565"/>
      <w:bookmarkStart w:id="96" w:name="_Toc6182"/>
      <w:bookmarkStart w:id="97" w:name="_Toc3736"/>
      <w:r>
        <w:rPr>
          <w:rFonts w:hint="eastAsia" w:ascii="宋体" w:hAnsi="宋体" w:cs="宋体"/>
          <w:b/>
          <w:bCs/>
          <w:kern w:val="0"/>
          <w:sz w:val="32"/>
          <w:szCs w:val="28"/>
        </w:rPr>
        <w:t>四、投标文件的递交</w:t>
      </w:r>
      <w:bookmarkEnd w:id="94"/>
      <w:bookmarkEnd w:id="95"/>
      <w:bookmarkEnd w:id="96"/>
    </w:p>
    <w:bookmarkEnd w:id="97"/>
    <w:p>
      <w:pPr>
        <w:keepNext w:val="0"/>
        <w:keepLines w:val="0"/>
        <w:numPr>
          <w:ilvl w:val="0"/>
          <w:numId w:val="17"/>
        </w:numPr>
        <w:spacing w:line="500" w:lineRule="exact"/>
        <w:ind w:firstLine="562" w:firstLineChars="200"/>
        <w:outlineLvl w:val="9"/>
        <w:rPr>
          <w:rFonts w:hint="eastAsia" w:ascii="宋体" w:hAnsi="宋体" w:eastAsia="宋体" w:cs="宋体"/>
          <w:b/>
          <w:bCs/>
          <w:sz w:val="28"/>
          <w:szCs w:val="28"/>
        </w:rPr>
      </w:pPr>
      <w:bookmarkStart w:id="98" w:name="_Toc28839"/>
      <w:bookmarkStart w:id="99" w:name="_Toc3685"/>
      <w:r>
        <w:rPr>
          <w:rFonts w:hint="eastAsia" w:ascii="宋体" w:hAnsi="宋体" w:eastAsia="宋体" w:cs="宋体"/>
          <w:b/>
          <w:bCs/>
          <w:sz w:val="28"/>
          <w:szCs w:val="28"/>
        </w:rPr>
        <w:t>投标文件递交</w:t>
      </w:r>
      <w:bookmarkEnd w:id="98"/>
      <w:bookmarkEnd w:id="99"/>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keepNext w:val="0"/>
        <w:keepLines w:val="0"/>
        <w:numPr>
          <w:ilvl w:val="0"/>
          <w:numId w:val="17"/>
        </w:numPr>
        <w:spacing w:line="500" w:lineRule="exact"/>
        <w:ind w:firstLine="562" w:firstLineChars="200"/>
        <w:outlineLvl w:val="9"/>
        <w:rPr>
          <w:rFonts w:ascii="宋体" w:hAnsi="宋体" w:cs="宋体"/>
          <w:b/>
          <w:bCs/>
          <w:sz w:val="28"/>
          <w:szCs w:val="28"/>
        </w:rPr>
      </w:pPr>
      <w:bookmarkStart w:id="100" w:name="_Toc12741"/>
      <w:bookmarkStart w:id="101" w:name="_Toc544"/>
      <w:r>
        <w:rPr>
          <w:rFonts w:hint="eastAsia" w:ascii="宋体" w:hAnsi="宋体" w:cs="宋体"/>
          <w:b/>
          <w:bCs/>
          <w:sz w:val="28"/>
          <w:szCs w:val="28"/>
        </w:rPr>
        <w:t>投标文件的修改和撤回</w:t>
      </w:r>
      <w:bookmarkEnd w:id="100"/>
      <w:bookmarkEnd w:id="101"/>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102" w:name="_Toc28525"/>
      <w:bookmarkStart w:id="103" w:name="_Toc23451"/>
      <w:bookmarkStart w:id="104" w:name="_Toc27066"/>
      <w:bookmarkStart w:id="105" w:name="_Toc14415"/>
      <w:r>
        <w:rPr>
          <w:rFonts w:hint="eastAsia" w:ascii="宋体" w:hAnsi="宋体" w:cs="宋体"/>
          <w:b/>
          <w:bCs/>
          <w:kern w:val="0"/>
          <w:sz w:val="32"/>
          <w:szCs w:val="28"/>
        </w:rPr>
        <w:t>五、 开标、评审、定标</w:t>
      </w:r>
      <w:bookmarkEnd w:id="102"/>
      <w:bookmarkEnd w:id="103"/>
      <w:bookmarkEnd w:id="104"/>
      <w:bookmarkEnd w:id="105"/>
    </w:p>
    <w:p>
      <w:pPr>
        <w:pStyle w:val="5"/>
        <w:keepNext w:val="0"/>
        <w:keepLines w:val="0"/>
        <w:numPr>
          <w:ilvl w:val="0"/>
          <w:numId w:val="18"/>
        </w:numPr>
        <w:spacing w:line="500" w:lineRule="exact"/>
        <w:ind w:firstLine="562"/>
        <w:rPr>
          <w:rFonts w:ascii="宋体" w:hAnsi="宋体" w:cs="宋体"/>
          <w:szCs w:val="28"/>
        </w:rPr>
      </w:pPr>
      <w:bookmarkStart w:id="106" w:name="_Toc26132"/>
      <w:bookmarkStart w:id="107" w:name="_Toc9239"/>
      <w:bookmarkStart w:id="108" w:name="_Toc1291"/>
      <w:bookmarkStart w:id="109" w:name="_Toc27216"/>
      <w:r>
        <w:rPr>
          <w:rFonts w:hint="eastAsia" w:ascii="宋体" w:hAnsi="宋体" w:cs="宋体"/>
          <w:szCs w:val="28"/>
        </w:rPr>
        <w:t>开标</w:t>
      </w:r>
      <w:bookmarkEnd w:id="106"/>
      <w:bookmarkEnd w:id="107"/>
      <w:bookmarkEnd w:id="108"/>
      <w:bookmarkEnd w:id="109"/>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8"/>
        </w:numPr>
        <w:spacing w:line="500" w:lineRule="exact"/>
        <w:ind w:firstLine="562"/>
        <w:rPr>
          <w:rFonts w:ascii="宋体" w:hAnsi="宋体" w:cs="宋体"/>
          <w:szCs w:val="28"/>
        </w:rPr>
      </w:pPr>
      <w:bookmarkStart w:id="110" w:name="_Toc12917"/>
      <w:bookmarkStart w:id="111" w:name="_Toc26137"/>
      <w:bookmarkStart w:id="112" w:name="_Toc358364344"/>
      <w:bookmarkStart w:id="113" w:name="_Toc15517"/>
      <w:bookmarkStart w:id="114" w:name="_Toc801"/>
      <w:bookmarkStart w:id="115" w:name="_Toc20569"/>
      <w:bookmarkStart w:id="116" w:name="_Toc380336750"/>
      <w:r>
        <w:rPr>
          <w:rFonts w:hint="eastAsia" w:ascii="宋体" w:hAnsi="宋体" w:cs="宋体"/>
          <w:szCs w:val="28"/>
        </w:rPr>
        <w:t>评标委员会</w:t>
      </w:r>
      <w:bookmarkEnd w:id="110"/>
      <w:bookmarkEnd w:id="111"/>
      <w:bookmarkEnd w:id="112"/>
      <w:bookmarkEnd w:id="113"/>
      <w:bookmarkEnd w:id="114"/>
      <w:bookmarkEnd w:id="115"/>
      <w:bookmarkEnd w:id="116"/>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w:t>
      </w:r>
      <w:r>
        <w:rPr>
          <w:rFonts w:hint="eastAsia" w:ascii="宋体" w:hAnsi="宋体" w:cs="宋体"/>
          <w:sz w:val="24"/>
          <w:szCs w:val="24"/>
          <w:lang w:eastAsia="zh-CN"/>
        </w:rPr>
        <w:t>作出</w:t>
      </w:r>
      <w:r>
        <w:rPr>
          <w:rFonts w:hint="eastAsia" w:ascii="宋体" w:hAnsi="宋体" w:cs="宋体"/>
          <w:sz w:val="24"/>
          <w:szCs w:val="24"/>
        </w:rPr>
        <w:t>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8"/>
        </w:numPr>
        <w:spacing w:line="500" w:lineRule="exact"/>
        <w:ind w:firstLine="562"/>
        <w:rPr>
          <w:rFonts w:ascii="宋体" w:hAnsi="宋体" w:cs="宋体"/>
          <w:szCs w:val="28"/>
        </w:rPr>
      </w:pPr>
      <w:bookmarkStart w:id="117" w:name="_Toc12465"/>
      <w:bookmarkStart w:id="118" w:name="_Toc23584"/>
      <w:bookmarkStart w:id="119" w:name="_Toc386129876"/>
      <w:bookmarkStart w:id="120" w:name="_Toc28085"/>
      <w:bookmarkStart w:id="121" w:name="_Toc27940"/>
      <w:bookmarkStart w:id="122" w:name="_Toc385958808"/>
      <w:bookmarkStart w:id="123" w:name="_Toc16439"/>
      <w:r>
        <w:rPr>
          <w:rFonts w:hint="eastAsia" w:ascii="宋体" w:hAnsi="宋体" w:cs="宋体"/>
          <w:szCs w:val="28"/>
        </w:rPr>
        <w:t>投标文件初审</w:t>
      </w:r>
      <w:bookmarkEnd w:id="117"/>
      <w:bookmarkEnd w:id="118"/>
      <w:bookmarkEnd w:id="119"/>
      <w:bookmarkEnd w:id="120"/>
      <w:bookmarkEnd w:id="121"/>
      <w:bookmarkEnd w:id="122"/>
      <w:bookmarkEnd w:id="123"/>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0"/>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5"/>
        <w:spacing w:after="210" w:afterAutospacing="0" w:line="27" w:lineRule="atLeast"/>
        <w:jc w:val="both"/>
      </w:pPr>
      <w:r>
        <w:rPr>
          <w:rFonts w:hint="eastAsia"/>
        </w:rPr>
        <w:t>　　（一）不同供应商的投标文件由同一单位或者个人编制；</w:t>
      </w:r>
    </w:p>
    <w:p>
      <w:pPr>
        <w:pStyle w:val="25"/>
        <w:spacing w:after="210" w:afterAutospacing="0" w:line="27" w:lineRule="atLeast"/>
        <w:jc w:val="both"/>
      </w:pPr>
      <w:r>
        <w:rPr>
          <w:rFonts w:hint="eastAsia"/>
        </w:rPr>
        <w:t>　　（二）不同供应商委托同一单位或者个人办理投标事宜；</w:t>
      </w:r>
    </w:p>
    <w:p>
      <w:pPr>
        <w:pStyle w:val="25"/>
        <w:spacing w:after="210" w:afterAutospacing="0" w:line="27" w:lineRule="atLeast"/>
        <w:jc w:val="both"/>
      </w:pPr>
      <w:r>
        <w:rPr>
          <w:rFonts w:hint="eastAsia"/>
        </w:rPr>
        <w:t>　　（三）不同供应商的投标文件载明的项目管理成员或者联系人员为同一人；</w:t>
      </w:r>
    </w:p>
    <w:p>
      <w:pPr>
        <w:pStyle w:val="25"/>
        <w:spacing w:after="210" w:afterAutospacing="0" w:line="27" w:lineRule="atLeast"/>
        <w:jc w:val="both"/>
      </w:pPr>
      <w:r>
        <w:rPr>
          <w:rFonts w:hint="eastAsia"/>
        </w:rPr>
        <w:t>　　（四）不同供应商的投标文件异常一致或者投标报价呈规律性差异；</w:t>
      </w:r>
    </w:p>
    <w:p>
      <w:pPr>
        <w:pStyle w:val="25"/>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8"/>
        </w:numPr>
        <w:spacing w:line="500" w:lineRule="exact"/>
        <w:ind w:firstLine="562"/>
        <w:rPr>
          <w:rFonts w:ascii="宋体" w:hAnsi="宋体" w:cs="宋体"/>
          <w:szCs w:val="28"/>
        </w:rPr>
      </w:pPr>
      <w:bookmarkStart w:id="124" w:name="_Toc25423"/>
      <w:bookmarkStart w:id="125" w:name="_Toc17705"/>
      <w:bookmarkStart w:id="126" w:name="_Toc2171"/>
      <w:bookmarkStart w:id="127" w:name="_Toc15287"/>
      <w:r>
        <w:rPr>
          <w:rFonts w:hint="eastAsia" w:ascii="宋体" w:hAnsi="宋体" w:cs="宋体"/>
          <w:szCs w:val="28"/>
        </w:rPr>
        <w:t>投标文件澄清</w:t>
      </w:r>
      <w:bookmarkEnd w:id="124"/>
      <w:bookmarkEnd w:id="125"/>
      <w:bookmarkEnd w:id="126"/>
      <w:bookmarkEnd w:id="127"/>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8"/>
        </w:numPr>
        <w:spacing w:line="500" w:lineRule="exact"/>
        <w:ind w:firstLine="562"/>
        <w:rPr>
          <w:rFonts w:ascii="宋体" w:hAnsi="宋体" w:cs="宋体"/>
          <w:szCs w:val="28"/>
        </w:rPr>
      </w:pPr>
      <w:bookmarkStart w:id="128" w:name="_Toc8353"/>
      <w:bookmarkStart w:id="129" w:name="_Toc20545"/>
      <w:bookmarkStart w:id="130" w:name="_Toc8831"/>
      <w:bookmarkStart w:id="131" w:name="_Toc16689"/>
      <w:r>
        <w:rPr>
          <w:rFonts w:hint="eastAsia" w:ascii="宋体" w:hAnsi="宋体" w:cs="宋体"/>
          <w:szCs w:val="28"/>
        </w:rPr>
        <w:t>评标</w:t>
      </w:r>
      <w:bookmarkEnd w:id="128"/>
      <w:bookmarkEnd w:id="129"/>
      <w:bookmarkEnd w:id="130"/>
      <w:bookmarkEnd w:id="131"/>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8"/>
        </w:numPr>
        <w:spacing w:line="500" w:lineRule="exact"/>
        <w:ind w:firstLine="562"/>
        <w:rPr>
          <w:rFonts w:ascii="宋体" w:hAnsi="宋体" w:cs="宋体"/>
          <w:szCs w:val="28"/>
        </w:rPr>
      </w:pPr>
      <w:bookmarkStart w:id="132" w:name="_Toc32646"/>
      <w:bookmarkStart w:id="133" w:name="_Toc12947"/>
      <w:bookmarkStart w:id="134" w:name="_Toc30618"/>
      <w:bookmarkStart w:id="135" w:name="_Toc23999"/>
      <w:r>
        <w:rPr>
          <w:rFonts w:hint="eastAsia" w:ascii="宋体" w:hAnsi="宋体" w:cs="宋体"/>
          <w:szCs w:val="28"/>
        </w:rPr>
        <w:t>定标</w:t>
      </w:r>
      <w:bookmarkEnd w:id="132"/>
      <w:bookmarkEnd w:id="133"/>
      <w:bookmarkEnd w:id="134"/>
      <w:bookmarkEnd w:id="135"/>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136" w:name="_Toc25308"/>
      <w:bookmarkStart w:id="137" w:name="_Toc19972"/>
      <w:bookmarkStart w:id="138" w:name="_Toc10983"/>
      <w:bookmarkStart w:id="139" w:name="_Toc3026"/>
      <w:r>
        <w:rPr>
          <w:rFonts w:hint="eastAsia" w:ascii="宋体" w:hAnsi="宋体" w:cs="宋体"/>
          <w:b/>
          <w:bCs/>
          <w:kern w:val="0"/>
          <w:sz w:val="32"/>
          <w:szCs w:val="28"/>
        </w:rPr>
        <w:t>六、签订合同</w:t>
      </w:r>
      <w:bookmarkEnd w:id="136"/>
      <w:bookmarkEnd w:id="137"/>
      <w:bookmarkEnd w:id="138"/>
      <w:bookmarkEnd w:id="139"/>
    </w:p>
    <w:p>
      <w:pPr>
        <w:pStyle w:val="9"/>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140" w:name="_Toc18077"/>
      <w:bookmarkStart w:id="141" w:name="_Toc7588"/>
      <w:r>
        <w:rPr>
          <w:rFonts w:hint="eastAsia" w:ascii="宋体" w:hAnsi="宋体" w:cs="宋体"/>
          <w:b/>
          <w:bCs/>
          <w:kern w:val="0"/>
          <w:sz w:val="32"/>
          <w:szCs w:val="28"/>
        </w:rPr>
        <w:t>七、质疑和投诉</w:t>
      </w:r>
      <w:bookmarkEnd w:id="140"/>
      <w:bookmarkEnd w:id="141"/>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20"/>
        </w:numPr>
        <w:spacing w:before="319" w:beforeLines="100" w:after="319" w:afterLines="100" w:line="500" w:lineRule="exact"/>
        <w:rPr>
          <w:rFonts w:ascii="宋体" w:hAnsi="宋体" w:cs="宋体"/>
          <w:color w:val="000000"/>
          <w:sz w:val="36"/>
          <w:szCs w:val="36"/>
        </w:rPr>
      </w:pPr>
      <w:bookmarkStart w:id="142" w:name="_Toc3298"/>
      <w:bookmarkEnd w:id="142"/>
      <w:r>
        <w:rPr>
          <w:rFonts w:hint="eastAsia" w:ascii="宋体" w:hAnsi="宋体" w:cs="宋体"/>
          <w:color w:val="000000"/>
          <w:sz w:val="36"/>
          <w:szCs w:val="36"/>
        </w:rPr>
        <w:t xml:space="preserve">  </w:t>
      </w:r>
      <w:bookmarkStart w:id="143" w:name="_Toc16984"/>
      <w:bookmarkStart w:id="144" w:name="_Toc29182"/>
      <w:r>
        <w:rPr>
          <w:rFonts w:hint="eastAsia" w:ascii="宋体" w:hAnsi="宋体" w:cs="宋体"/>
          <w:color w:val="000000"/>
          <w:sz w:val="36"/>
          <w:szCs w:val="36"/>
        </w:rPr>
        <w:t>评标方法</w:t>
      </w:r>
      <w:bookmarkEnd w:id="143"/>
      <w:bookmarkEnd w:id="144"/>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本次评标方法采用综合评分法，综合评分因素的主要因素为报价、技术、业绩、服务等以及对招标文件的响应程度。每一供应商的最终得分为所有评委评分的算数平均值四舍五入后保留到小数点后两位。</w:t>
      </w:r>
    </w:p>
    <w:p>
      <w:pPr>
        <w:pStyle w:val="2"/>
        <w:ind w:left="0" w:leftChars="0" w:firstLine="0" w:firstLineChars="0"/>
        <w:rPr>
          <w:rFonts w:hint="eastAsia" w:eastAsia="宋体"/>
          <w:lang w:eastAsia="zh-CN"/>
        </w:rPr>
      </w:pPr>
      <w:r>
        <w:rPr>
          <w:rFonts w:hint="eastAsia" w:ascii="宋体" w:hAnsi="宋体" w:cs="宋体"/>
          <w:sz w:val="24"/>
          <w:szCs w:val="24"/>
          <w:lang w:eastAsia="zh-CN"/>
        </w:rPr>
        <w:t>评审标准：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60"/>
        <w:gridCol w:w="714"/>
        <w:gridCol w:w="44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88"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60"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评分因素及权重</w:t>
            </w:r>
          </w:p>
        </w:tc>
        <w:tc>
          <w:tcPr>
            <w:tcW w:w="714"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491"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547"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报价30%</w:t>
            </w:r>
          </w:p>
        </w:tc>
        <w:tc>
          <w:tcPr>
            <w:tcW w:w="714"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供应商的价格分值统一按下列公式计算：投标报价得分＝（评标基准价/投标报价）×30。评标基准价是指满足招标文件要求且投标价格最低的投标报价。</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47" w:type="dxa"/>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政策性优惠详见评审标准备注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8"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技术指标和配置</w:t>
            </w:r>
            <w:r>
              <w:rPr>
                <w:rFonts w:hint="eastAsia" w:ascii="宋体" w:hAnsi="宋体" w:eastAsia="宋体" w:cs="宋体"/>
                <w:sz w:val="24"/>
                <w:szCs w:val="24"/>
                <w:lang w:val="en-US" w:eastAsia="zh-CN"/>
              </w:rPr>
              <w:t>10</w:t>
            </w:r>
            <w:r>
              <w:rPr>
                <w:rFonts w:hint="eastAsia" w:ascii="宋体" w:hAnsi="宋体" w:eastAsia="宋体" w:cs="宋体"/>
                <w:sz w:val="24"/>
                <w:szCs w:val="24"/>
              </w:rPr>
              <w:t>%</w:t>
            </w:r>
          </w:p>
        </w:tc>
        <w:tc>
          <w:tcPr>
            <w:tcW w:w="714"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完全符合、响应招标文件要求，没有负偏离的得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eastAsia="zh-CN"/>
              </w:rPr>
              <w:t>参数每负偏离一项扣</w:t>
            </w:r>
            <w:r>
              <w:rPr>
                <w:rFonts w:hint="eastAsia" w:ascii="宋体" w:hAnsi="宋体" w:eastAsia="宋体" w:cs="宋体"/>
                <w:sz w:val="24"/>
                <w:szCs w:val="24"/>
                <w:lang w:val="en-US" w:eastAsia="zh-CN"/>
              </w:rPr>
              <w:t>0.5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 xml:space="preserve">扣完为止。 </w:t>
            </w:r>
          </w:p>
        </w:tc>
        <w:tc>
          <w:tcPr>
            <w:tcW w:w="1547" w:type="dxa"/>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8" w:type="dxa"/>
            <w:noWrap w:val="0"/>
            <w:vAlign w:val="center"/>
          </w:tcPr>
          <w:p>
            <w:pPr>
              <w:widowControl/>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3</w:t>
            </w:r>
          </w:p>
        </w:tc>
        <w:tc>
          <w:tcPr>
            <w:tcW w:w="1160" w:type="dxa"/>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p>
        </w:tc>
        <w:tc>
          <w:tcPr>
            <w:tcW w:w="714" w:type="dxa"/>
            <w:noWrap w:val="0"/>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4491" w:type="dxa"/>
            <w:noWrap w:val="0"/>
            <w:vAlign w:val="top"/>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rPr>
              <w:t>投标人须</w:t>
            </w:r>
            <w:r>
              <w:rPr>
                <w:rFonts w:hint="eastAsia" w:ascii="宋体" w:hAnsi="宋体" w:eastAsia="宋体" w:cs="宋体"/>
                <w:sz w:val="24"/>
                <w:szCs w:val="24"/>
              </w:rPr>
              <w:t>提供针对本项目</w:t>
            </w:r>
            <w:r>
              <w:rPr>
                <w:rFonts w:hint="eastAsia" w:ascii="宋体" w:hAnsi="宋体" w:eastAsia="宋体" w:cs="宋体"/>
                <w:sz w:val="24"/>
                <w:szCs w:val="24"/>
                <w:lang w:eastAsia="zh-CN"/>
              </w:rPr>
              <w:t>所投</w:t>
            </w:r>
            <w:r>
              <w:rPr>
                <w:rFonts w:hint="eastAsia" w:ascii="宋体" w:hAnsi="宋体" w:eastAsia="宋体" w:cs="宋体"/>
                <w:sz w:val="24"/>
                <w:szCs w:val="24"/>
              </w:rPr>
              <w:t>产品的来源渠道合法有效证明文件（包括但不限于厂家授权、销售协议、代理授权等），根据投标人提供的证明文件齐全程度，由评委综合比较，响应程度完整计</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分，响应程度欠缺计0.</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1547" w:type="dxa"/>
            <w:noWrap w:val="0"/>
            <w:vAlign w:val="center"/>
          </w:tcPr>
          <w:p>
            <w:pPr>
              <w:widowControl/>
              <w:spacing w:line="360" w:lineRule="auto"/>
              <w:jc w:val="center"/>
              <w:rPr>
                <w:rFonts w:hint="eastAsia" w:ascii="宋体" w:hAnsi="宋体" w:eastAsia="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6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技术方案</w:t>
            </w:r>
            <w:r>
              <w:rPr>
                <w:rFonts w:hint="eastAsia" w:ascii="宋体" w:hAnsi="宋体" w:eastAsia="宋体" w:cs="宋体"/>
                <w:sz w:val="24"/>
                <w:szCs w:val="24"/>
                <w:lang w:val="en-US" w:eastAsia="zh-CN"/>
              </w:rPr>
              <w:t>15%</w:t>
            </w:r>
          </w:p>
        </w:tc>
        <w:tc>
          <w:tcPr>
            <w:tcW w:w="714"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491" w:type="dxa"/>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根据投标人提供的贴合</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采购需求的技术方案的响应程度横向比较给予差别赋分。</w:t>
            </w:r>
          </w:p>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整体技术方案详细、全面，相关设计方案、效果图、拓扑图和功能</w:t>
            </w:r>
            <w:r>
              <w:rPr>
                <w:rFonts w:hint="eastAsia" w:ascii="宋体" w:hAnsi="宋体" w:cs="宋体"/>
                <w:kern w:val="0"/>
                <w:sz w:val="24"/>
                <w:szCs w:val="24"/>
                <w:lang w:eastAsia="zh-CN"/>
              </w:rPr>
              <w:t>材料</w:t>
            </w:r>
            <w:bookmarkStart w:id="272" w:name="_GoBack"/>
            <w:bookmarkEnd w:id="272"/>
            <w:r>
              <w:rPr>
                <w:rFonts w:hint="eastAsia" w:ascii="宋体" w:hAnsi="宋体" w:eastAsia="宋体" w:cs="宋体"/>
                <w:kern w:val="0"/>
                <w:sz w:val="24"/>
                <w:szCs w:val="24"/>
              </w:rPr>
              <w:t>详尽、丰富，能够体现出在</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应用方面的先进性，兼容性、可靠性、安全性、可扩展性，计</w:t>
            </w:r>
            <w:r>
              <w:rPr>
                <w:rFonts w:hint="eastAsia" w:ascii="宋体" w:hAnsi="宋体" w:eastAsia="宋体" w:cs="宋体"/>
                <w:kern w:val="0"/>
                <w:sz w:val="24"/>
                <w:szCs w:val="24"/>
                <w:lang w:val="en-US" w:eastAsia="zh-CN"/>
              </w:rPr>
              <w:t>11.1-15</w:t>
            </w:r>
            <w:r>
              <w:rPr>
                <w:rFonts w:hint="eastAsia" w:ascii="宋体" w:hAnsi="宋体" w:eastAsia="宋体" w:cs="宋体"/>
                <w:kern w:val="0"/>
                <w:sz w:val="24"/>
                <w:szCs w:val="24"/>
              </w:rPr>
              <w:t>分；有具体技术方案，对方案先进性、兼容性、安全性等有设计说明，响应采购需求，整体技术方案设计一般，计</w:t>
            </w:r>
            <w:r>
              <w:rPr>
                <w:rFonts w:hint="eastAsia" w:ascii="宋体" w:hAnsi="宋体" w:eastAsia="宋体" w:cs="宋体"/>
                <w:kern w:val="0"/>
                <w:sz w:val="24"/>
                <w:szCs w:val="24"/>
                <w:lang w:val="en-US" w:eastAsia="zh-CN"/>
              </w:rPr>
              <w:t>5.1-11</w:t>
            </w:r>
            <w:r>
              <w:rPr>
                <w:rFonts w:hint="eastAsia" w:ascii="宋体" w:hAnsi="宋体" w:eastAsia="宋体" w:cs="宋体"/>
                <w:kern w:val="0"/>
                <w:sz w:val="24"/>
                <w:szCs w:val="24"/>
              </w:rPr>
              <w:t>分；技术方案为各采购设备的简单堆砌，没有理解采购的功能需求，提供了简单的方案，计</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分；未提供不计分。</w:t>
            </w:r>
          </w:p>
        </w:tc>
        <w:tc>
          <w:tcPr>
            <w:tcW w:w="1547" w:type="dxa"/>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16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实施方案</w:t>
            </w: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714"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491"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具有完整的项目实施方案，包括项目总体实施方案、项目团队方案、项目应急预案、项目实施安全方案、系统安装调试方案、项目验收方案、</w:t>
            </w:r>
            <w:r>
              <w:rPr>
                <w:rFonts w:hint="eastAsia" w:ascii="宋体" w:hAnsi="宋体" w:eastAsia="宋体" w:cs="宋体"/>
                <w:color w:val="000000"/>
                <w:sz w:val="24"/>
                <w:szCs w:val="24"/>
              </w:rPr>
              <w:t>疫情防控应急预案</w:t>
            </w:r>
            <w:r>
              <w:rPr>
                <w:rFonts w:hint="eastAsia" w:ascii="宋体" w:hAnsi="宋体" w:eastAsia="宋体" w:cs="宋体"/>
                <w:sz w:val="24"/>
                <w:szCs w:val="24"/>
              </w:rPr>
              <w:t>等内容。</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方案内容齐全，各类措施健全，完全满足采购需求并符合本项目实施特点得</w:t>
            </w:r>
            <w:r>
              <w:rPr>
                <w:rFonts w:hint="eastAsia" w:ascii="宋体" w:hAnsi="宋体" w:eastAsia="宋体" w:cs="宋体"/>
                <w:sz w:val="24"/>
                <w:szCs w:val="24"/>
                <w:lang w:val="en-US" w:eastAsia="zh-CN"/>
              </w:rPr>
              <w:t>11.1-15</w:t>
            </w:r>
            <w:r>
              <w:rPr>
                <w:rFonts w:hint="eastAsia" w:ascii="宋体" w:hAnsi="宋体" w:eastAsia="宋体" w:cs="宋体"/>
                <w:sz w:val="24"/>
                <w:szCs w:val="24"/>
              </w:rPr>
              <w:t>分；方案内容基本齐全、各类措施基本完善，能够基本符合本项目实施特点的得</w:t>
            </w:r>
            <w:r>
              <w:rPr>
                <w:rFonts w:hint="eastAsia" w:ascii="宋体" w:hAnsi="宋体" w:eastAsia="宋体" w:cs="宋体"/>
                <w:sz w:val="24"/>
                <w:szCs w:val="24"/>
                <w:lang w:val="en-US" w:eastAsia="zh-CN"/>
              </w:rPr>
              <w:t>5.1-11</w:t>
            </w:r>
            <w:r>
              <w:rPr>
                <w:rFonts w:hint="eastAsia" w:ascii="宋体" w:hAnsi="宋体" w:eastAsia="宋体" w:cs="宋体"/>
                <w:sz w:val="24"/>
                <w:szCs w:val="24"/>
              </w:rPr>
              <w:t>分；方案内容及各类措施不够完善，不能满足本项目采购需求的得</w:t>
            </w:r>
            <w:r>
              <w:rPr>
                <w:rFonts w:hint="eastAsia" w:ascii="宋体" w:hAnsi="宋体" w:eastAsia="宋体" w:cs="宋体"/>
                <w:sz w:val="24"/>
                <w:szCs w:val="24"/>
                <w:lang w:val="en-US" w:eastAsia="zh-CN"/>
              </w:rPr>
              <w:t>1-5</w:t>
            </w:r>
            <w:r>
              <w:rPr>
                <w:rFonts w:hint="eastAsia" w:ascii="宋体" w:hAnsi="宋体" w:eastAsia="宋体" w:cs="宋体"/>
                <w:sz w:val="24"/>
                <w:szCs w:val="24"/>
              </w:rPr>
              <w:t>分。未提供不计分。</w:t>
            </w:r>
          </w:p>
        </w:tc>
        <w:tc>
          <w:tcPr>
            <w:tcW w:w="1547" w:type="dxa"/>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售后服务</w:t>
            </w:r>
            <w:r>
              <w:rPr>
                <w:rFonts w:hint="eastAsia" w:ascii="宋体" w:hAnsi="宋体" w:eastAsia="宋体" w:cs="宋体"/>
                <w:sz w:val="24"/>
                <w:szCs w:val="24"/>
                <w:lang w:val="en-US" w:eastAsia="zh-CN"/>
              </w:rPr>
              <w:t>8</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根据供应商提供的针对本项目特点的售后服务进行综合评分。方案完善、科学合理，针对性强、服务承诺明确，计</w:t>
            </w:r>
            <w:r>
              <w:rPr>
                <w:rFonts w:hint="eastAsia" w:ascii="宋体" w:hAnsi="宋体" w:eastAsia="宋体" w:cs="宋体"/>
                <w:color w:val="000000"/>
                <w:sz w:val="24"/>
                <w:szCs w:val="24"/>
                <w:lang w:val="en-US" w:eastAsia="zh-CN"/>
              </w:rPr>
              <w:t>6.1-8</w:t>
            </w:r>
            <w:r>
              <w:rPr>
                <w:rFonts w:hint="eastAsia" w:ascii="宋体" w:hAnsi="宋体" w:eastAsia="宋体" w:cs="宋体"/>
                <w:color w:val="000000"/>
                <w:sz w:val="24"/>
                <w:szCs w:val="24"/>
              </w:rPr>
              <w:t>分，方案较完整、合理可行、特点和承诺不明确，计</w:t>
            </w:r>
            <w:r>
              <w:rPr>
                <w:rFonts w:hint="eastAsia" w:ascii="宋体" w:hAnsi="宋体" w:eastAsia="宋体" w:cs="宋体"/>
                <w:color w:val="000000"/>
                <w:sz w:val="24"/>
                <w:szCs w:val="24"/>
                <w:lang w:val="en-US" w:eastAsia="zh-CN"/>
              </w:rPr>
              <w:t>3.1-5</w:t>
            </w:r>
            <w:r>
              <w:rPr>
                <w:rFonts w:hint="eastAsia" w:ascii="宋体" w:hAnsi="宋体" w:eastAsia="宋体" w:cs="宋体"/>
                <w:color w:val="000000"/>
                <w:sz w:val="24"/>
                <w:szCs w:val="24"/>
              </w:rPr>
              <w:t>分，方案较差、不合理，计1-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分，未提供不计分。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培训方案</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根据投标人提供的培训方案及培训效果保证措施等进行综合评分，方案完善、工作目标明确、科学合理、培训效果保证措施充分，计</w:t>
            </w:r>
            <w:r>
              <w:rPr>
                <w:rFonts w:hint="eastAsia" w:ascii="宋体" w:hAnsi="宋体" w:eastAsia="宋体" w:cs="宋体"/>
                <w:color w:val="000000"/>
                <w:sz w:val="24"/>
                <w:szCs w:val="24"/>
                <w:lang w:val="en-US" w:eastAsia="zh-CN"/>
              </w:rPr>
              <w:t>4.1-6</w:t>
            </w:r>
            <w:r>
              <w:rPr>
                <w:rFonts w:hint="eastAsia" w:ascii="宋体" w:hAnsi="宋体" w:eastAsia="宋体" w:cs="宋体"/>
                <w:color w:val="000000"/>
                <w:sz w:val="24"/>
                <w:szCs w:val="24"/>
              </w:rPr>
              <w:t>分，有培训方案，措施和工作目标条理性不强，计2.1-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分，方案较差，计1-2分，未提供不计分。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4</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供应商提供2019年1月1日至今同类项目的中标业绩（需同时提供带有链接地址的中标公告网络截图、中标通知书及项目合同，否则该业绩不予认定），每份合同计1分，最高计4分。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现场提供原件备查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60"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供应商实力</w:t>
            </w:r>
            <w:r>
              <w:rPr>
                <w:rFonts w:hint="eastAsia" w:ascii="宋体" w:hAnsi="宋体" w:eastAsia="宋体" w:cs="宋体"/>
                <w:sz w:val="24"/>
                <w:szCs w:val="24"/>
                <w:lang w:val="en-US" w:eastAsia="zh-CN"/>
              </w:rPr>
              <w:t>7%</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提供有效期内的质量管理体系认证证书、职业健康安全管理体系认证证书、环境管理体系认证证书，每提供一项得1分，最高得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分，未提供不得分。（可在国家认证认可监督委员会官网查询）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116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供应商拟派团队人员具有计算机网络技术专业高级职称证书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安防工程师专业</w:t>
            </w:r>
            <w:r>
              <w:rPr>
                <w:rFonts w:hint="eastAsia" w:ascii="宋体" w:hAnsi="宋体" w:eastAsia="宋体" w:cs="宋体"/>
                <w:sz w:val="24"/>
                <w:szCs w:val="24"/>
              </w:rPr>
              <w:t>高级职称证书每提供一</w:t>
            </w:r>
            <w:r>
              <w:rPr>
                <w:rFonts w:hint="eastAsia" w:ascii="宋体" w:hAnsi="宋体" w:eastAsia="宋体" w:cs="宋体"/>
                <w:sz w:val="24"/>
                <w:szCs w:val="24"/>
                <w:lang w:eastAsia="zh-CN"/>
              </w:rPr>
              <w:t>个</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分，未提供不得分。</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注：拟派人员需提供供应商自202</w:t>
            </w:r>
            <w:r>
              <w:rPr>
                <w:rFonts w:hint="eastAsia" w:ascii="宋体" w:hAnsi="宋体" w:eastAsia="宋体" w:cs="宋体"/>
                <w:sz w:val="24"/>
                <w:szCs w:val="24"/>
                <w:lang w:val="en-US" w:eastAsia="zh-CN"/>
              </w:rPr>
              <w:t>2</w:t>
            </w:r>
            <w:r>
              <w:rPr>
                <w:rFonts w:hint="eastAsia" w:ascii="宋体" w:hAnsi="宋体" w:eastAsia="宋体" w:cs="宋体"/>
                <w:sz w:val="24"/>
                <w:szCs w:val="24"/>
              </w:rPr>
              <w:t>年以来</w:t>
            </w:r>
            <w:r>
              <w:rPr>
                <w:rFonts w:hint="eastAsia" w:ascii="宋体" w:hAnsi="宋体" w:eastAsia="宋体" w:cs="宋体"/>
                <w:sz w:val="24"/>
                <w:szCs w:val="24"/>
                <w:lang w:eastAsia="zh-CN"/>
              </w:rPr>
              <w:t>任意</w:t>
            </w:r>
            <w:r>
              <w:rPr>
                <w:rFonts w:hint="eastAsia" w:ascii="宋体" w:hAnsi="宋体" w:eastAsia="宋体" w:cs="宋体"/>
                <w:sz w:val="24"/>
                <w:szCs w:val="24"/>
              </w:rPr>
              <w:t>3个月的社保或养老缴纳证明及证书，未提供不计分。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节能环保产品1%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以国家确定的认证机构出具的、处于有效期内的节能产品、环境标志产品认证证书为准。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文件规范性</w:t>
            </w:r>
            <w:r>
              <w:rPr>
                <w:rFonts w:hint="eastAsia" w:ascii="宋体" w:hAnsi="宋体" w:eastAsia="宋体" w:cs="宋体"/>
                <w:sz w:val="24"/>
                <w:szCs w:val="24"/>
                <w:lang w:val="en-US" w:eastAsia="zh-CN"/>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投标文件制作规范，没有细微偏差情形的得</w:t>
            </w:r>
            <w:r>
              <w:rPr>
                <w:rFonts w:hint="eastAsia" w:ascii="宋体" w:hAnsi="宋体" w:eastAsia="宋体" w:cs="宋体"/>
                <w:sz w:val="24"/>
                <w:szCs w:val="24"/>
                <w:lang w:val="en-US" w:eastAsia="zh-CN"/>
              </w:rPr>
              <w:t>1</w:t>
            </w:r>
            <w:r>
              <w:rPr>
                <w:rFonts w:hint="eastAsia" w:ascii="宋体" w:hAnsi="宋体" w:eastAsia="宋体" w:cs="宋体"/>
                <w:sz w:val="24"/>
                <w:szCs w:val="24"/>
              </w:rPr>
              <w:t>分；有一项细微偏差扣0.5分，直至该项分值扣完为止。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r>
    </w:tbl>
    <w:p/>
    <w:p>
      <w:pPr>
        <w:spacing w:line="360" w:lineRule="auto"/>
        <w:rPr>
          <w:rFonts w:ascii="宋体" w:hAnsi="宋体" w:cs="宋体"/>
          <w:b/>
          <w:bCs/>
          <w:sz w:val="24"/>
        </w:rPr>
      </w:pPr>
      <w:r>
        <w:rPr>
          <w:rFonts w:hint="eastAsia" w:ascii="宋体" w:hAnsi="宋体" w:cs="宋体"/>
          <w:b/>
          <w:bCs/>
          <w:sz w:val="24"/>
        </w:rPr>
        <w:t xml:space="preserve">评审标准备注： </w:t>
      </w:r>
    </w:p>
    <w:p>
      <w:pPr>
        <w:spacing w:line="360" w:lineRule="auto"/>
        <w:ind w:firstLine="482" w:firstLineChars="200"/>
        <w:rPr>
          <w:rFonts w:hint="eastAsia" w:ascii="宋体" w:hAnsi="宋体" w:cs="宋体"/>
          <w:b/>
          <w:bCs/>
          <w:sz w:val="24"/>
        </w:rPr>
      </w:pPr>
      <w:bookmarkStart w:id="145" w:name="_Toc2536"/>
      <w:bookmarkStart w:id="146" w:name="_Toc6835"/>
      <w:bookmarkStart w:id="147" w:name="_Toc15647"/>
      <w:r>
        <w:rPr>
          <w:rFonts w:hint="eastAsia" w:ascii="宋体" w:hAnsi="宋体" w:cs="宋体"/>
          <w:b/>
          <w:bCs/>
          <w:sz w:val="24"/>
        </w:rPr>
        <w:t>1、本项目为专门面向中小企业采购。中小企业参加政府采购活动，必须出具《政府采购促进中小企业发展管理办法》（财库〔2020〕46号）规定的《中小企业声明函》，否则按无效响应处理。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4、节能环保产品以节能产品、环境标志产品认证证书为准；</w:t>
      </w:r>
    </w:p>
    <w:p>
      <w:pPr>
        <w:spacing w:line="360" w:lineRule="auto"/>
        <w:ind w:firstLine="482" w:firstLineChars="200"/>
        <w:rPr>
          <w:rFonts w:hint="eastAsia" w:ascii="宋体" w:hAnsi="宋体" w:cs="宋体"/>
          <w:b/>
          <w:bCs/>
          <w:sz w:val="24"/>
        </w:rPr>
      </w:pPr>
      <w:r>
        <w:rPr>
          <w:rFonts w:hint="eastAsia" w:ascii="宋体" w:hAnsi="宋体" w:cs="宋体"/>
          <w:b/>
          <w:bCs/>
          <w:sz w:val="24"/>
        </w:rPr>
        <w:t>5、技术参数正偏离须在技术响应表中注明正偏离的理由和佐证材料的页码；</w:t>
      </w:r>
    </w:p>
    <w:p>
      <w:pPr>
        <w:spacing w:line="360" w:lineRule="auto"/>
        <w:ind w:firstLine="482" w:firstLineChars="200"/>
        <w:rPr>
          <w:rFonts w:hint="eastAsia" w:ascii="宋体" w:hAnsi="宋体" w:cs="宋体"/>
          <w:b/>
          <w:bCs/>
          <w:sz w:val="24"/>
        </w:rPr>
      </w:pPr>
      <w:r>
        <w:rPr>
          <w:rFonts w:hint="eastAsia" w:ascii="宋体" w:hAnsi="宋体" w:cs="宋体"/>
          <w:b/>
          <w:bCs/>
          <w:sz w:val="24"/>
        </w:rPr>
        <w:t>6、评审指标出现漏项的最低得分为零分。</w:t>
      </w:r>
    </w:p>
    <w:p>
      <w:pPr>
        <w:pStyle w:val="3"/>
        <w:pageBreakBefore/>
        <w:numPr>
          <w:ilvl w:val="0"/>
          <w:numId w:val="20"/>
        </w:numPr>
        <w:spacing w:before="319" w:beforeLines="100" w:after="319" w:afterLines="100" w:line="500" w:lineRule="exact"/>
        <w:rPr>
          <w:rFonts w:ascii="宋体" w:hAnsi="宋体" w:cs="宋体"/>
          <w:color w:val="000000"/>
          <w:sz w:val="36"/>
          <w:szCs w:val="36"/>
        </w:rPr>
      </w:pPr>
      <w:r>
        <w:rPr>
          <w:rFonts w:hint="eastAsia" w:ascii="宋体" w:hAnsi="宋体" w:cs="宋体"/>
          <w:color w:val="000000"/>
          <w:sz w:val="36"/>
          <w:szCs w:val="36"/>
        </w:rPr>
        <w:t xml:space="preserve"> </w:t>
      </w:r>
      <w:bookmarkStart w:id="148" w:name="_Toc24448"/>
      <w:bookmarkStart w:id="149" w:name="_Toc32173"/>
      <w:r>
        <w:rPr>
          <w:rFonts w:hint="eastAsia" w:ascii="宋体" w:hAnsi="宋体" w:cs="宋体"/>
          <w:color w:val="000000"/>
          <w:sz w:val="36"/>
          <w:szCs w:val="36"/>
        </w:rPr>
        <w:t>采购要求</w:t>
      </w:r>
      <w:bookmarkEnd w:id="148"/>
      <w:bookmarkEnd w:id="149"/>
    </w:p>
    <w:p/>
    <w:tbl>
      <w:tblPr>
        <w:tblStyle w:val="30"/>
        <w:tblW w:w="4957"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676"/>
        <w:gridCol w:w="6208"/>
        <w:gridCol w:w="683"/>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0" w:type="pct"/>
            <w:shd w:val="clear" w:color="auto" w:fill="auto"/>
            <w:vAlign w:val="center"/>
          </w:tcPr>
          <w:p>
            <w:pPr>
              <w:keepNext w:val="0"/>
              <w:keepLines w:val="0"/>
              <w:widowControl/>
              <w:suppressLineNumbers w:val="0"/>
              <w:wordWrap/>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序号</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设备名称</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技术</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参数</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数量</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核心网络设备</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1.硬件架构：主控槽位≥2个，业务槽位数≥3个，要求主控引擎自带业务端口，主控、电源、接口模块、风扇、网板等关键部件可热插拔。</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2.硬件性能：交换容量≥38Tbps，包转发率≥7200Mpps。</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3.单台配置：主控≥2个，万兆光口≥12个，千兆光口≥44个，千兆电口≥48个，冗余风扇电源。</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4.主控集成业务接口，单主控即可正常工作，同时能满足业务转发需求。</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5.为充分满足后期业务的扩展，要求支持单槽位40G端口密度≥16个。</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6.支持硬件BFD支持IPv4\IPv6 BFD功能，支持BFD与OSPFv2联动、BFD与VRRP联动、BFD与OSPFv3联动、 BFD与BGP4+联动,支持BFD 3ms最小探测间隔测试。</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7.支持融合AC功能，无需额外配置单独硬件，在交换机上实现对AP的接入控制和管理，有线无线用户的统一认证管理。</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8.支持内置智能图形化管理功能，对于下联设备具备统一管理的功能，能够通过图形化界面对组内设备进行配置文件一键下发；对拓扑内的设备或设备组批量进行版本升级。</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9.支持INQA功能，通过直接对业务报文进行标记的方法，实现对网络级和设备级的丢包统计。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10.支持 EPON OLT及10G EPON OLT接口。</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接入层交换设备（一）</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1、硬件性能：交换容量≥336Gbps，包转发率≥51Mpps。</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2、单台配置：千兆自适应POE+电口≥24个，千兆combo光口≥4个。</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3、支持STP、RSTP、MSTP、PVST功能；支持ERPS功能；支持虚拟化功能，包括堆叠链路冗余、负载分担、单点管理功能。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4、支持纵向网络虚拟化功能，包括自动化上线、自动配置、集中式转发、本地转发、持续转发、故障设备替换等功能。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5、支持链路聚合功能；支持BFD和协议的联动功能，协议包括IPv4/IPv6路由协议、VRRP协议；支持RRPP功能、支持OSPF FRR功能。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6、支持零配置启动、CPU 保护、设备内存及Flash容量查询、子卡功能；支持SAVI功能，支持NQA功能；支持云平台管理功能；支持镜像功能；支持端口节能。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7、支持IGMP Snooping、MLD Snooping 等组播协议；支持802.lX、Portal 、Triple等认证方式；支持DHCP/DHCPv6 Snooping功能。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8、为保障设备兼容性及后期运维，接入交换机和核心交换机需</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同</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一品牌。</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接入层交换设备（二）</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1、硬件性能：交换容量≥432Gbps，包转发率≥87Mpps。</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2、单台配置：千兆电口≥48个，千兆光口≥4个。</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3、支持STP、RSTP、MSTP、PVST功能；支持ERPS功能；支持虚拟化功能，包括堆叠链路冗余、负载分担、单点管理功能。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4、支持纵向网络虚拟化功能，包括自动化上线、自动配置、集中式转发、本地转发、持续转发、故障设备替换等功能。 </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5、支持链路聚合功能；支持BFD和协议的联动功能，协议包括IPv4/IPv6路由协议、VRRP协议；支持RRPP功能、支持OSPF FRR功能。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6、支持零配置启动、CPU 保护、设备内存及Flash容量查询、子卡功能；支持SAVI功能，支持NQA功能；支持云平台管理功能；支持镜像功能；支持端口节能。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7、支持IGMP Snooping、MLD Snooping 等组播协议；支持802.lX、Portal 、Triple等认证方式；支持DHCP/DHCPv6 Snooping功能。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8、为保障设备兼容性及后期运维，接入交换机和核心交换机需</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同</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一品牌。</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网络出口设备</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1.冗余主控,要求主控切换时不影响业务转发,主控与线卡业务插槽采用一体化设计，非通过电缆等外置方式连接。</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2.转发性能≥150Mbps</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 支持万兆扩展子卡。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4.整机高度≤2U。</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5.支持虚拟化特性，将物理上两台设备虚拟化成一台逻辑设备。</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6.支持记录终端用户访问互联网的日志，包括：用户名、源/目的IP地址、时间、访问的域名、URL等。</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出口边界防护设备</w:t>
            </w:r>
          </w:p>
        </w:tc>
        <w:tc>
          <w:tcPr>
            <w:tcW w:w="3673" w:type="pct"/>
            <w:vMerge w:val="restar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1.采用非X86多核架构，具备可插拔冗余电源模块，可插拔冗余风扇模块。</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2.存储：支持SSD硬盘不小于480G，HDD硬盘不小于1T，支持双硬盘，35G以上档位要求支持双主控，提高设备高可靠性。</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3.接口要求：≥16个千兆电接口,≥6个千兆光接口,≥2个万兆光接口,≥4个Combo电接口,≥1个管理接口,≥2个USB接口,≥1个Console接口,≥2个扩展槽位，双电源。</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4.吞吐量≥4G，三层吞吐量≥2.5Gbps；并发连接数≥250万，每秒新建连接数（HTTP）≥4万，适用带宽≥1.2G。</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5.整机同时具备防火墙、链路负载均衡、入侵防御、防病毒、带宽控制、应用识别和web应用防护等功能。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6.VPN：支持IPsec VPN智能选路，根据隧道质量调度流量。</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行为管理设备</w:t>
            </w:r>
          </w:p>
        </w:tc>
        <w:tc>
          <w:tcPr>
            <w:tcW w:w="3673" w:type="pct"/>
            <w:vMerge w:val="restar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1.产品结构：多核架构设计，不允许采用X86架构，功能采用模块化结构设计。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2.物理接口：支持10M/100M/1000M自适应电接口数量≥12，支持千兆SFP光接口数量≥12，万兆接口总数≥8，接口总数≥32；接口无路由/交换/LAN/WAN等固化区分，均可作为二三层接口使用，支持多桥组部署。</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3.支持路由模式、透明（网桥）模式、混合模式，支持镜像接口，部署模式切换无需重启设备。</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4.支持花生壳DDNS客户端以及域名IP绑定功能。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配套授权：三年应用识别&amp;URL特征库升级服务。</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7</w:t>
            </w:r>
          </w:p>
        </w:tc>
        <w:tc>
          <w:tcPr>
            <w:tcW w:w="40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千兆光模块</w:t>
            </w:r>
          </w:p>
        </w:tc>
        <w:tc>
          <w:tcPr>
            <w:tcW w:w="3673"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SFP-GE-千兆单模模块-(1310nm,10km,LC)。</w:t>
            </w:r>
          </w:p>
        </w:tc>
        <w:tc>
          <w:tcPr>
            <w:tcW w:w="404"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60</w:t>
            </w:r>
          </w:p>
        </w:tc>
        <w:tc>
          <w:tcPr>
            <w:tcW w:w="241"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8</w:t>
            </w:r>
          </w:p>
        </w:tc>
        <w:tc>
          <w:tcPr>
            <w:tcW w:w="40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万兆光模块</w:t>
            </w:r>
          </w:p>
        </w:tc>
        <w:tc>
          <w:tcPr>
            <w:tcW w:w="3673"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SFP+ 万兆模块(850nm,300m,LC)。</w:t>
            </w:r>
          </w:p>
        </w:tc>
        <w:tc>
          <w:tcPr>
            <w:tcW w:w="404"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12</w:t>
            </w:r>
          </w:p>
        </w:tc>
        <w:tc>
          <w:tcPr>
            <w:tcW w:w="241"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9</w:t>
            </w:r>
          </w:p>
        </w:tc>
        <w:tc>
          <w:tcPr>
            <w:tcW w:w="40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网络机柜</w:t>
            </w:r>
          </w:p>
        </w:tc>
        <w:tc>
          <w:tcPr>
            <w:tcW w:w="3673"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≥47U网路设备专用机柜。</w:t>
            </w:r>
          </w:p>
        </w:tc>
        <w:tc>
          <w:tcPr>
            <w:tcW w:w="404"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4</w:t>
            </w:r>
          </w:p>
        </w:tc>
        <w:tc>
          <w:tcPr>
            <w:tcW w:w="241"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10</w:t>
            </w:r>
          </w:p>
        </w:tc>
        <w:tc>
          <w:tcPr>
            <w:tcW w:w="400"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壁挂网络机柜</w:t>
            </w:r>
          </w:p>
        </w:tc>
        <w:tc>
          <w:tcPr>
            <w:tcW w:w="3673"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≥12U壁挂网络设备专用机柜。</w:t>
            </w:r>
          </w:p>
        </w:tc>
        <w:tc>
          <w:tcPr>
            <w:tcW w:w="404"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10</w:t>
            </w:r>
          </w:p>
        </w:tc>
        <w:tc>
          <w:tcPr>
            <w:tcW w:w="241" w:type="pct"/>
            <w:shd w:val="clear" w:color="auto" w:fill="auto"/>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highlight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前端视频采集设备（一）</w:t>
            </w:r>
          </w:p>
        </w:tc>
        <w:tc>
          <w:tcPr>
            <w:tcW w:w="3673" w:type="pct"/>
            <w:shd w:val="clear" w:color="auto" w:fill="auto"/>
            <w:vAlign w:val="center"/>
          </w:tcPr>
          <w:p>
            <w:pPr>
              <w:keepNext w:val="0"/>
              <w:keepLines w:val="0"/>
              <w:widowControl/>
              <w:numPr>
                <w:ilvl w:val="0"/>
                <w:numId w:val="21"/>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≥200万星光级红外海螺半球型网络摄像机，支持POE。</w:t>
            </w:r>
          </w:p>
          <w:p>
            <w:pPr>
              <w:keepNext w:val="0"/>
              <w:keepLines w:val="0"/>
              <w:widowControl/>
              <w:numPr>
                <w:ilvl w:val="0"/>
                <w:numId w:val="21"/>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2.8mm/6mm/3.6mm/2.8mm可选，支持POE供电。                                       </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3.内置不少于1颗GPU芯片及麦克风、靶面尺寸1/1.8英寸CMOS，具有不少于1颗红外补光灯、1个RJ45网络接口。</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4.分辨率不小于1920*1080@25fps。</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5.最大红外监控距离≥50米</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6.支持走廊模式，宽动态，3D降噪，强光抑制，背光补偿，数字水印，适用不同监控环境。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7.支持ROI，SVC,SMART H.264/H.265，灵活编码，适用不同带宽和存储环境。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8.支持区域入侵,绊线入侵,场景变更,音频异常侦测;支持多种触发规则联动动作。</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9.具有软件定义功能，可加载、更新、移除算法</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10.内置MIC。</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11.支持DC12V/POE供电方式。</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12.≥IP67防护等级。（含电源、支架）</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134</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前端视频采集设备（二）</w:t>
            </w:r>
          </w:p>
        </w:tc>
        <w:tc>
          <w:tcPr>
            <w:tcW w:w="3673" w:type="pct"/>
            <w:vMerge w:val="restart"/>
            <w:shd w:val="clear" w:color="auto" w:fill="auto"/>
          </w:tcPr>
          <w:p>
            <w:pPr>
              <w:keepNext w:val="0"/>
              <w:keepLines w:val="0"/>
              <w:widowControl/>
              <w:numPr>
                <w:ilvl w:val="0"/>
                <w:numId w:val="22"/>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≥200万星光级红外海螺半球型网络摄像机，支持POE。</w:t>
            </w:r>
          </w:p>
          <w:p>
            <w:pPr>
              <w:keepNext w:val="0"/>
              <w:keepLines w:val="0"/>
              <w:widowControl/>
              <w:numPr>
                <w:ilvl w:val="0"/>
                <w:numId w:val="22"/>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2.8mm/6mm/3.6mm/2.8mm可选，支持POE供电。                                </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3.内置不少于1颗GPU芯片及麦克风、靶面尺寸1/1.8英寸CMOS，具有不少于1颗红外补光灯、1个RJ45网络接口。</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4.分辨率≥1920*1080@25fps。</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5.最大红外监控距离≥50米。</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6.支持走廊模式，宽动态，3D降噪，强光抑制，背光补偿，数字水印，适用不同监控环境。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7.支持ROI，SVC,SMART H.264/H.265，灵活编码，适用不同带宽和存储环境。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8.支持区域入侵,绊线入侵,场景变更,音频异常侦测，支持多种触发规则联动动作。</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9.具有软件定义功能，可加载、更新、移除算法。</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10.内置MIC。</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11.支持DC12V/POE供电方式。</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12.≥IP67防护等级。（含电源、支架）</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前端视频采集设备（三）</w:t>
            </w:r>
          </w:p>
        </w:tc>
        <w:tc>
          <w:tcPr>
            <w:tcW w:w="3673" w:type="pct"/>
            <w:vMerge w:val="restar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 ≥200万星光级红外筒型网络摄像机，定焦，12mm/8mm/6mm/3.6mm可选，支持POE供电；</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2.内置不少于1颗GPU芯片及麦克风、靶面尺寸1/1.8英寸CMOS，不少于2颗红外补光灯、1个RJ45网络接口、1个RS232接口、1路报警输入、1路报警输出、1路音频输入、1路音频输出、1个复位按钮、1个SD卡槽。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3.支持H.265、H.264编码方式；最大红外监控距离≥50米。</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4.支持走廊模式，宽动态，3D降噪，强光抑制，背光补偿，数字水印，适用不同监控环境。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5.支持ROI，SMART H.264/H.265，灵活编码，适用不同带宽和存储环境。</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6.支持区域入侵,绊线入侵,场景变更,音频异常侦测的侦测,并且可以与报警联动;支持多种触发规则联动动作。</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7、具有软件定义功能，可加载、更新、移除算法。</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8.支持DC12V/POE供电方式。</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9.≥IP67防护等级。（含电源、支架）</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52</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前端视频采集设备（四）</w:t>
            </w:r>
          </w:p>
        </w:tc>
        <w:tc>
          <w:tcPr>
            <w:tcW w:w="3673" w:type="pct"/>
            <w:vMerge w:val="restar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 ≥200万25倍红外球机，镜头焦距 4.8-120mm。</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2.靶面尺寸1/1.8英寸，内置1颗集GPU、CPU、NPU一体化芯片、具有不少于1个RJ45网络接口、3个报警输入接口、2个报警输出接口、2个音频输入接口、1个音频输出接口、1个RS485接口、6颗红外补光灯和1个SD卡槽。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3、智能功能：人脸抓拍 支持高密度人脸检测、抓拍，支持全程优选、人脸曝光 人数统计 支持人数统计，可以对人、非机动车、机动车、全部（人或非机动车或机动车）进行检测；可对人员、非机动车及机动车辆的正面、侧面、背面进行检测；支持对智能行为分析目标方向规则进行设置，可设置方向为A-&gt;B、B-&gt;A、A&lt;-&gt;B三种规则；支持行为分析触发后联动抓图、录像、目标跟踪、报警上传、发送邮件、辅助输出等多种报警触发方式。</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4.支持在算法仓平台对摄相机的算法进行加载和升级，加载或升级期间视频画面不中断；支持通过VMS实现摄像机智能算法的切换，可在VMS上查看摄像机当前的运行算法。（含电源、支架）</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15</w:t>
            </w:r>
          </w:p>
        </w:tc>
        <w:tc>
          <w:tcPr>
            <w:tcW w:w="400"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前端视频采集设备（五）</w:t>
            </w:r>
          </w:p>
        </w:tc>
        <w:tc>
          <w:tcPr>
            <w:tcW w:w="3673" w:type="pct"/>
            <w:vMerge w:val="restar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智能全景球型跟踪摄像机至少由1路全景视频通道和2路细节视频通道组成，内置不低于3颗GPU芯片、GPS模块、陀螺仪、电子罗盘，细节1视频通道内置4颗白光补光灯和4颗红外补光灯、细节2视频通道内置8颗激光补光灯，可输出1路全景视频图像（由6个画面拼接而成）和2路细节视频图像。</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靶面尺寸1/1.8英寸，至少具有1个RJ45网络接口、1个光纤接口、7个报警输入接口、3个报警输出接口、2个音频输入接口、2个音频输出接口、1个CVBS模拟视频输出接口、1个RS232接口、1个RS485接口、1个硬件复位按钮、1个电源返送接口和1个SD卡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3.全景采用6个F1.0大光圈、超星光1/1.8英寸400万像素CMOS传感器，智能环采用超星光1/1.8英寸400万像素CMOS传感器，球机采用超星光1/1.8英寸400万像素CMOS传感器，低照度效果突出，图像清晰度高</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4.支持在算法仓平台对摄相机的算法进行加载和升级，加载或升级期间视频画面不中断；支持通过平台实现摄像机智能算法的切换，可在平台上查看摄像机当前的运行算法。</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5.全景视频通道：内置加热器可对玻璃进行加热去除冰、水状物。</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.智能环、球机支持混行检测抓拍、关联抓拍，球机支持人脸优选抓拍、人脸属性提取。</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.智能环、球机支持视频结构化，行人、机动车、非机动车的属性提取。</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.全景支持检测直径为200米范围内的运动目标，可同时检测128个目标，并对目标进行人车分类。</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.全景支持区域人数统计、客流统计。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.全景支持270°超大视场角，支持AI Smart事件，在Smart智能基础上，可仅针对人体、机动车、非机动车进行智能触发，联动智能环、球机进行跟踪抓拍以及属性提取 。</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.过滤掉其他物体干扰，同时联动球机支持联动监控、自动跟踪、细节抓拍等功能。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.支持最大256G Micro SD卡。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.支持超宽动态、背光补偿、强光抑制、3D降噪、电子防抖、数字透雾。（含电源、支架）</w:t>
            </w:r>
          </w:p>
        </w:tc>
        <w:tc>
          <w:tcPr>
            <w:tcW w:w="404"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w:t>
            </w:r>
          </w:p>
        </w:tc>
        <w:tc>
          <w:tcPr>
            <w:tcW w:w="241" w:type="pct"/>
            <w:vMerge w:val="restar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0"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3673"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404"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c>
          <w:tcPr>
            <w:tcW w:w="241" w:type="pct"/>
            <w:vMerge w:val="continue"/>
            <w:vAlign w:val="center"/>
          </w:tcPr>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警戒视频采集设备</w:t>
            </w:r>
          </w:p>
        </w:tc>
        <w:tc>
          <w:tcPr>
            <w:tcW w:w="3673" w:type="pct"/>
            <w:shd w:val="clear" w:color="000000" w:fill="FFFFFF"/>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 靶面尺寸1/1.8英寸，内置GPU、NPU、CPU一体化芯片，具有不少于1个RJ45接口、2个报警输入接口、1个报警输出接口、1个音频输入接口、1个音频输出接口、1个硬件恢复默认按钮、1个电源返送接口、1个RS232接口、1个RS485接口、1个内置麦克风、1个内置扬声器、2颗红外补光灯、1颗柔光警戒灯和1个SD卡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 内置GPU芯片，支持深度学习算法,提供精准的人、机动车、非机动车分类检测。</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在IE浏览器或客户端软件下，具有软件定义功能，支持加载安装、升级、卸载智能算法，可显示已加载算法的算法类型、厂商、版本号、上传时间、算法运行状态；支持智能算法加载安装、卸载、升级生效时间≤1s；支持智能算法在线动态切换，任意两个算法切换耗时≤1s；并具有智能算法在线动态切换或在线动态升级过程不中断音视频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4.支持在算法仓平台对摄相机的算法进行加载和升级，加载或升级期间视频画面不中断；支持通过平台实现摄像机智能算法的切换，可在平台上查看摄像机当前的运行算法。</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5.支持三种智能算法切换：人脸抓拍、人数统计、AI周界。</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6.具有人脸联动警戒功能，可对出监控区域内的人脸进行声光警戒。</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 支持最大256G Micro SD卡。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 支持超宽动态、背光补偿、强光抑制、数字降噪、电子防抖、数字透雾。</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 内置MIC，内置扬声器。</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 支持≥IP67防护等级。（含电源、支架）</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40</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17</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存储核心设备</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1.≥40盘位视频存储。</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2.采用全对称分布式架构，无需专门的云存储数据管理服务器，存储性能、容量随节点数增加而线性增加。</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3.支持存储空间虚拟化管理，将所有物理存储资源虚拟化成统一的存储空间，提供全局统一的命名空间，对外提供唯一的业务IP地址访问。</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4.≥2颗高性能10核处理器，≥128GB DDR4 内存，单颗处理器主频≥2.2GHz，1+1冗余电源，单电源不低于1200W。</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5.节点支持双铂金电源，支持热插拔，一个电源损坏的情况下，仍可正常运行。单节点具备双电源，四风扇，单模块损坏设备可正常运行。</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6.支持节点间业务动态负载均衡，如一个节点故障，该节点上的业务可自动均衡分配到其他节点；支持新增节点时负载均衡，原有节点磁盘上的数据可迁移到新节点磁盘上。</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7.单节点不低于4个千兆数据电口，节点支持8TB、10TB、14TB等硬盘，≥2块600GB HDD硬盘。</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8.设备高度不大于4U，支持块、文件、对象等多种存储方式提供服务；支持支持GB/T28181-2016、ONVIF、RTSP等视频标准协议，支持SMB、 iSCSI、 NFS、CIFS、 FTP、 S3、 Swift等标准访问接口。</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9.支持云基础存储和管理软件服务，支持云存储运维服务，支持负载均衡。</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10.节点具备超级电容模块，支持断电保护，节点异常掉电时缓存数据无丢失。</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11.支持云基础服务模块: 视频设备接入服务、卡口设备接入服务、视图存储服务、流媒体转发服务；支持视频、图片、文件直接写入存储系统，数据流无需经过其它中转服务器。</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12.磁盘故障后，根据业务情况，支持修改硬盘重构比例以调整硬盘的重构速度。</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18</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存储硬盘</w:t>
            </w:r>
          </w:p>
        </w:tc>
        <w:tc>
          <w:tcPr>
            <w:tcW w:w="3673" w:type="pct"/>
            <w:shd w:val="clear" w:color="auto" w:fill="auto"/>
          </w:tcPr>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≥14TB企业级硬盘，可与软件适配实现故障检测、视频质量诊断等功能。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转速7200 RPM ；SATA 6 Gb /秒；数据缓存256MB；错误率1015分之一；支持分布式文件系统，适用于大数据分析的ApacheHadoop的主存储和辅助存储。</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32</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trPr>
        <w:tc>
          <w:tcPr>
            <w:tcW w:w="2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19</w:t>
            </w:r>
          </w:p>
        </w:tc>
        <w:tc>
          <w:tcPr>
            <w:tcW w:w="4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智能分析管理主机</w:t>
            </w:r>
          </w:p>
        </w:tc>
        <w:tc>
          <w:tcPr>
            <w:tcW w:w="3673" w:type="pct"/>
            <w:shd w:val="clear" w:color="auto" w:fill="auto"/>
          </w:tcPr>
          <w:p>
            <w:pPr>
              <w:keepNext w:val="0"/>
              <w:keepLines w:val="0"/>
              <w:widowControl/>
              <w:numPr>
                <w:ilvl w:val="0"/>
                <w:numId w:val="23"/>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行业管理平台自带至少</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2000</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路前端设备接入授权，包含基础平台、视频系统、门禁系统、报警系统、停车场接入管理、基础运维管理、基础电子地图、人员智能应用、车辆智能应用、移动app等功能。</w:t>
            </w:r>
          </w:p>
          <w:p>
            <w:pPr>
              <w:keepNext w:val="0"/>
              <w:keepLines w:val="0"/>
              <w:widowControl/>
              <w:numPr>
                <w:ilvl w:val="0"/>
                <w:numId w:val="23"/>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支持硬件 RAID 阵列卡，至少1 个智能板卡；主板至少具备 5 个千兆以太网口（其中 1 个 HDM 口），1 个 VGA 接口，5 个 USB3.0 接口；不低于 8 个 PCIE 扩展卡槽，支持光口、电口、网卡扩展 ；不低于两块 960GB 的 SSD 卡系统盘， 组成 RAID1；支持标配不少于2颗64位 12核处理器，主频不低于2.2GHz，缓存16MB；支持电源 1+1 冗余设计，风扇 5+1 冗余设计, 支持风扇模块、电源模块的热插拔。 支持根据硬盘温度、机箱温度自动调整风扇的转速。</w:t>
            </w:r>
          </w:p>
          <w:p>
            <w:pPr>
              <w:keepNext w:val="0"/>
              <w:keepLines w:val="0"/>
              <w:widowControl/>
              <w:numPr>
                <w:ilvl w:val="0"/>
                <w:numId w:val="23"/>
              </w:numPr>
              <w:suppressLineNumbers w:val="0"/>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支持应用部署在虚拟机或者容器上运行 ；支持单业务组件版本的手动升级及多业 务组件版本的统一升级，且系统内新老版本 共存，升级\回滚过程中业务不中断；支持单台服务器运行视图库应用系统、视频监控管理平台、视图分析系统。</w:t>
            </w:r>
          </w:p>
          <w:p>
            <w:pPr>
              <w:keepNext w:val="0"/>
              <w:keepLines w:val="0"/>
              <w:widowControl/>
              <w:numPr>
                <w:ilvl w:val="0"/>
                <w:numId w:val="23"/>
              </w:numPr>
              <w:suppressLineNumbers w:val="0"/>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支持动态扩容，扩容以后服务器的 CPU、 内存、GPU 纳入云节点管理，作为服务器云化集群节点，接入、转发、智能分析业务可分担到新扩容的节点；支持云节点服务创建、编辑、删除 ；支持集群中节点的宕机，4节点中可宕 机 1 个，宕机后原有服务会在短暂暂停后自动拉起，最终保持服务不变；整个系统所有节点的计算资源组成一个大的虚拟计算池，向外提供唯一的 IP 地址访问，及对所有资源的统一调度。</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5.支持设备（网络摄像机、解码器、报警 主机、卡口设备）的添加、删除、状态查询、 配置，以及信息导入、导出；支持最大接入码流为 1024Mbps，最大转 发码流为 1024Mbps 。 最 大 回 放 码 流 为 1024Mbps；支持图片、视频模式的人脸识别，支持 128 路4Mbps 码流 50W 以上名单库的人脸识 别布控告警。</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6.支持视频模式的车辆解析，支持车牌检测，可识别车牌号及车牌颜 色，车牌颜色支持蓝牌、黑牌、黄牌、白牌，绿牌；支持识别车辆颜色，包括黑、灰、白、 蓝、红、黄、橙、综、绿、紫、粉；支持车辆检索,支持按过车时间段、车牌 号、车牌颜色、车辆颜色、车辆类型、车辆 品牌进行二次检索。</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7.人车混合功能检查，支持对视频进行机动车、非机动车、行 人混合识别，支持人体上衣颜色检测，颜色包括白色、橙色、粉色、黑色、红色、黄色、灰色、蓝 色、绿色、紫色、棕色、青色。</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8.支持单台服务器中人脸、智能结构化解 析业务同时运行，包括视频全结构化及人脸图片流；支持单路智能解析任务同时可以完成人脸识别和视频结构化功能。</w:t>
            </w:r>
          </w:p>
          <w:p>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9.支持算法仓功能，支持多种主流厂家算 法配置；支持通过 WEB 在每张显卡上创建4个解析任务，各种视频和图片任务流可以自由组合。</w:t>
            </w:r>
          </w:p>
        </w:tc>
        <w:tc>
          <w:tcPr>
            <w:tcW w:w="404"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AI智能监管综合平台</w:t>
            </w:r>
          </w:p>
        </w:tc>
        <w:tc>
          <w:tcPr>
            <w:tcW w:w="3673" w:type="pct"/>
            <w:shd w:val="clear" w:color="auto" w:fill="auto"/>
            <w:vAlign w:val="top"/>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寻踪管理软件，针对医院病患进行管控，提供快速查找录像，背影寻人、特征寻人、模糊搜索等功能模块，方便用户快速捕捉人员的线索及行动轨迹，防止安全事故发生。可以同时至少满足300路视频流同步进行智能分析（不需要专门的人脸识别摄像机配合）。</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系统要满足基于医院平面图上的智能搜索模块，提供人脸、人体、背影以及特征的有图和无图搜索功能，形成人脸人体个性化检索分析、背影寻脸、特征识人、人脸人体关联、对比分析的特色应用，为我院保卫人员提供全方位、立体化图片寻人方式，实现快速“寻人找物”的重要一步，进而挖掘进入医院活动人员的精准轨迹。</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系统要求支持在对于医院已有的和新建的高清监控视频中/存储录像/离线视频中，进行百倍速级的数据分析及提取，实现对事件线索的秒级搜索，要求系统可以智能推荐符合线索的疑似目标，复原查询人员的精准轨迹，结合人脸识别、数据碰撞等手段，快速定位出查询人员身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．系统要求支持背景寻人功能，系统可以在线索有限的情况下，保卫人员可以根据获取到一张模糊的背影图片，通过上传图片，使用背影搜脸功能，通过时空匹配和平台深度检索，返回清晰的人脸正面照。</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系统支持人体搜索功能，保卫人员可通过获取到目标的一张模糊的人体照片，通过人体搜索和特征搜索获取到更多人体/人脸照片，最终得到清晰的人脸照片，并展示其多维轨迹，从而快速分析其同行人员，协助保卫人员快速找到目标人员及丢失物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.系统支持重点人管控功能，针对医院脑瘫病患，可以展示此类重点人员的底库及底库内数据详情，可以查询重点人员在医院内部的活动情况。</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21</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视频解码器</w:t>
            </w:r>
          </w:p>
        </w:tc>
        <w:tc>
          <w:tcPr>
            <w:tcW w:w="3673" w:type="pct"/>
            <w:shd w:val="clear" w:color="auto" w:fill="auto"/>
            <w:vAlign w:val="top"/>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 ≥9路HDMI输出解码器，拥有至少9路HDMI高清接口输出，可支持4K及以下分辨率网络视频和高清HDMI输入的解码拼控。</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2.产品至少具备1路音频输入和1路音频输出接口、1个RS485和1个RS232接口、2个千兆RJ45网口、1个USB3.0接口、1个HDMI输入接口和9个HDMI输出接口、6路报警输入和4路报警输出接口。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3.产品至少具有1颗主芯片、8颗从芯片。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4.至少9路HDMI输出，1路HDMI输入；单台64路1080P解码能力。</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5.支持最大11路4096*2160@25fps/32路2560*1440@25fps/64路1920*1080@30fps解码，支持H.264/265/MPEG4/MJPEG解码格式。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6.支持拼接、开窗、叠加、漫游等功能。</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22</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终端显示设备</w:t>
            </w:r>
          </w:p>
        </w:tc>
        <w:tc>
          <w:tcPr>
            <w:tcW w:w="3673" w:type="pct"/>
            <w:shd w:val="clear" w:color="auto" w:fill="auto"/>
            <w:vAlign w:val="top"/>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1,采用3*3布局，≥55寸/3.5mm拼缝/显示系统专用液晶拼接屏，包含定制配套的监视器挂件、底座、屏体单元封板及侧封板。</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2.≥55英寸，物理分辨率至少达到1920×1080，物理拼缝双边相加≤3.5mm，亮度≥500cd/㎡，对比度应超过3000:1。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3.支持智能温控系统功能：具有风扇智能调速功能，可以根据内部温度状况，自动控制风扇开关。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4.LCD显示单元亮度均匀性≥85%，图像重显率≥95%，几何失真≤2%，白平衡误差不劣于±0.010，色彩还原能力≥16.7M。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5.LCD显示单元需具备冗余风扇，内置两组风扇，当一个内置风扇故障时，不影响整机正常工作。</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23</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防静电地板</w:t>
            </w:r>
          </w:p>
        </w:tc>
        <w:tc>
          <w:tcPr>
            <w:tcW w:w="3673" w:type="pct"/>
            <w:shd w:val="clear" w:color="auto" w:fill="auto"/>
            <w:vAlign w:val="top"/>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机房专用防静电地板，包含泄流网敷设。</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24</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线材</w:t>
            </w:r>
          </w:p>
        </w:tc>
        <w:tc>
          <w:tcPr>
            <w:tcW w:w="3673" w:type="pct"/>
            <w:shd w:val="clear" w:color="auto" w:fill="auto"/>
            <w:vAlign w:val="top"/>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视频系统安装所需要的线材，包含电缆、电源线及六类双绞线。</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25</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数字调音台</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1.≥16路信号输入（至少12路MIC输入1组立体声输入1组数字输入),内置压限器，高低通，5段参量均衡，延时，声像平衡调节。</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8路信号输出（至少主输出L,R,4路AUX输出，2路编组输出),两路独立效果器，至少13个100MM电动推子，内置声卡，至少4个快捷场景模式调用键，100个场景模式储存，脚踏开关接口，光纤输入/输出，立体声数字录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3.≥4.3寸触摸屏，支持无线网口调节（或无线路由器无线调节）。</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26</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电源时序控制器</w:t>
            </w:r>
          </w:p>
        </w:tc>
        <w:tc>
          <w:tcPr>
            <w:tcW w:w="3673" w:type="pct"/>
            <w:shd w:val="clear" w:color="auto" w:fill="auto"/>
            <w:vAlign w:val="center"/>
          </w:tcPr>
          <w:p>
            <w:pPr>
              <w:keepNext w:val="0"/>
              <w:keepLines w:val="0"/>
              <w:widowControl/>
              <w:numPr>
                <w:ilvl w:val="0"/>
                <w:numId w:val="24"/>
              </w:numPr>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≥8路电源时序器带显示，前面一路直通+后面8路受控制。</w:t>
            </w:r>
          </w:p>
          <w:p>
            <w:pPr>
              <w:keepNext w:val="0"/>
              <w:keepLines w:val="0"/>
              <w:widowControl/>
              <w:numPr>
                <w:ilvl w:val="0"/>
                <w:numId w:val="24"/>
              </w:numPr>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额定输出电压：220V 50HZ。</w:t>
            </w:r>
          </w:p>
          <w:p>
            <w:pPr>
              <w:keepNext w:val="0"/>
              <w:keepLines w:val="0"/>
              <w:widowControl/>
              <w:numPr>
                <w:ilvl w:val="0"/>
                <w:numId w:val="24"/>
              </w:numPr>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可控制电源：≥8路+面插1路。</w:t>
            </w:r>
          </w:p>
          <w:p>
            <w:pPr>
              <w:keepNext w:val="0"/>
              <w:keepLines w:val="0"/>
              <w:widowControl/>
              <w:numPr>
                <w:ilvl w:val="0"/>
                <w:numId w:val="24"/>
              </w:numPr>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供电电源：AC220V 50/60HZ 30A。</w:t>
            </w:r>
          </w:p>
          <w:p>
            <w:pPr>
              <w:keepNext w:val="0"/>
              <w:keepLines w:val="0"/>
              <w:widowControl/>
              <w:numPr>
                <w:ilvl w:val="0"/>
                <w:numId w:val="24"/>
              </w:numPr>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状态显示：电压（显示屏） 单路额定输出:3000W  额定总输出：6000W。</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27</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数字反馈抑制器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1.采用DSP技术的高性能专业音频处理器。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2.采用32位浮点DSP、24位AD/DA、96K采样频率。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3.设备提供RS-485/USB连接管理功能。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4.至少2路平衡输入，2路平衡输出。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5.移频±10Hz可调。</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6.至少内置48个陷波器，每通道12个静态陷波器+12个动态陷波器。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7.全自动反馈抑制器功能,5级预设。</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8.输入输出提供压缩器、噪声门功能。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9.每通道至少提供7段PEQ及高低通设置。</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10.一键BYPASS，面板按键锁功能。</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28</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音频处理器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1.信号处理：32-bit fixed/floating-point DSP。</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2.音频系统延迟〈1ms。</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3.数模转换 24-bit。</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4.采样率 48KHz。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5.输入通道至少3路平衡输入（3进6出）音频接口 XLR。</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6.输入阻抗 10kΩ。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7.最大输入电平 18dBu。</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8.输入通道延时 0-1000ms每通道。</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9.信号发生器：正弦、粉噪、白噪</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10.输出接口至少6路平衡输出（3进6出）。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11.最大输出电平 +18dBu。</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12.输出通道延时 0 ～1000ms 每通道。</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13.滤波器 HPF、LPF、7PEQs。</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14.频率响应 20~20k Hz ±0.3dB。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15.总谐波失真 ＜0.003% THD+N @1kHz。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16.动态范围 120 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17.本底噪声 ＜-93dB。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18.通道串音 ＜-100dB @1kHz。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19.上位机接口 RJ-45 网口。</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29</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数字会议主机</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音频通信方式：超高频无线电波。</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音频频率范围：610MHz - 664.75MHz。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音频信道数：至少5路。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控制通信方式：无线433MHz频段。</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控制频率范围：422.4MHz - 439.4MHz。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控制信道数：至少16路。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接收灵敏度：-100dBm。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信号覆盖范围：至少60米。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音频频率响应：50Hz-15KHz。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音频总增益：≦20dB。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信噪比：&gt;85dB。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音频总谐波失真：≦0.8%。</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网络分线盒</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1.至少具有1路RJ45网口接口，连接主控机LAN口同步传输音频和控制信号。</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2.具有音量调节电位器。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3.分线盒至少具有4路8芯接口，可连接100席单元，每路负载25席单元。</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4.支持多台分线盒级联扩展挂载1000席讨论单元同时进行会议；系统单元采用T型接法，即使系统中某支话筒出故障也不会导致系统死机和瘫痪，确保系统能高效正常使用；支持系统热插拨。</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31</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数字会议主席机</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1.新颖的结构设计，符合人体工程学，塑料座方管电容话筒；驻极体超心形指向性话筒；抗手机、电磁、高频干扰能力；LCD显示屏，可显示话筒状态及系统菜单。</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2.具有8P-DIN连接线用于系统“T”型连接；设有话筒开关按键，按下开关键，绿色 LED咪管灯环亮，话筒为开启状态，关闭话筒需再按开关键。</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3.阻尼调节结构，可以任意地将收音头调整到合适的位置；附防风海绵罩，可减低在讲话时收到的喷气声及其他风声的情况出现；具有视像跟踪功能，可广泛应用于会议、演讲、教学等各种场合。</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32</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数字会议代表机</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1.符合人体工程学，符合IEC60914国际标准，外观简洁稳重。</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2.采用至少6芯带屏蔽线材，能有效防止电磁波对线材的干扰。</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3.具有音量集中在主机调节采用专业的音频处理设计，使发言者声音清晰透彻；单元为无源设备，由系统主机供电，低功耗设计，单台主机至少可接驳150只会议单元。</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4.采用铝合金一体成型枪式话筒杆，并采用声干涉原理，有极好的超指向性能；单元之间具备线路带电“热插拔”功能，让系统的安全性得到更大的保障。</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5.话筒杆在休会期间可以拆卸，方便设备维护。话筒杆和按键均带有LED光圈，可显示正在发言、设置视频、未编ID等状态。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6.采用静电隔离技术设计，即使在干燥地区也可以避免产生静电。</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7.支持执行主席和副主席功能设计，系统可至少接入150个主席单元，可设置一个执行主席和若干个副主席。执行主席有控制权和优先权，副主席有优先权。</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8.单元支持至少六种发言管理模式。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9.开启限制模式，达到发言人数限制数量后，其它话筒无法开启。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10.自动关闭模式，达到发言人数限制数量后，如再有话筒开启，自动关闭最先开启的话筒。</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11.申请发言模式，由系统中设置成执行主席的主席单元批准或否决代表的发言申请。</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12.自由讨论模式，可不受任何限制自由开启话筒。</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33</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无线话筒</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1.真分集接收机,双通道独立选讯系统.能最大限度降低了断频的发生。</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2.双通道独立AFS频率自动搜索功能,能迅速扫描所在工作环境中干忧最少的频率并锁定。</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3.接收机与发射机通过IR红外对频技术,一键同步对码。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4.专业演出级别的相位锁定电路,配合杂讯锁定静噪控制与数码导频技术；当发射器关闭时，导频控制将AF信号静音以抑制噪声，同时将对应的接收机静音，保证了对干忧信号的有效阻隔。</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5.背光式LED显示屏指示了RF和AF信号强度，电池状态，分集通道指示(A/B)，频率，频率组/频道等工作状态。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6.射频传输频率范围：740~790 MHz。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7.工作范围：在典型条件下100米（350英尺），室外直线距离时150米（500英尺）。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8.接收机工作频率：740~790MHz。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9.采用微电脑CPU控制。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10.PLL锁相环频率合成技术。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11.至少2*100频道自由选择,液晶数字显示。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12.S/N信噪比:&gt;105dB。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13.失真:&lt;0.5%。</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14.频率响应:40Hz-18KHz。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15.杂讯锁定静噪控制+音码导航锁定静噪控制。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16.音频动态扩展及自动电平控制电路。</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34</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线阵音箱</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1.至少双6",两分频波导线阵列全频音箱。</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2.频率范围72-18KHz（-10db)。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3.频率响应 65-20KHz（-3db)。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4.额定输入功率 ≥350W。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5.长时间运行系统功率≥500W。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6.最大声压级输出 116dB。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7.灵敏度 99dB。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8.额定阻抗 8Ω。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9.低音单元 2*6"，Φ50芯、140磁（150W。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10.高音单元 1"/Φ38芯、120磁(50W)。</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35</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线阵次低频扬声器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1.至少15英寸超低频扬声器。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2.频率范围 30-250Hz（-10db)。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3.频率响应 30-250Hz（-3db)。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4.额定输入功率500W。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5.长时间运行系统功率 700W。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6.最大声压级输出 115dB。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7.灵敏度100dB。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8.额定阻抗 8Ω。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9.低音单元 1*15"，Φ100芯、220磁（500W）。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10.覆盖范围100°X 100°。</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36</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专业功放</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 ohm 立体声(1kHz(EIA) with 0.5% THD) 4*800W . 4 ohm 立体声(1kHz(EIA) with 0.5% THD) 4*1100W；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谐波失真:&lt;0.5%,20Hz-20kHz.阻尼系数:&gt;200信噪比:&gt;100dB。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输入灵敏度:0.775V or 1.4V。</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37</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专业功放</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立体声/并联8Ω×2：1300W×2。</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立体声/并联4Ω×2：3000W×2。</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输入灵敏度：0.77V/26dB/1.4V。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输入阻抗：20KΩ。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频率响应：20Hz-20KHz/1.5dB。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信噪比 ：≥100dB。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阻尼系数)：≥450。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分离度 (@1KHz)：≥70dB。</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38</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线性音箱</w:t>
            </w:r>
          </w:p>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（返听、辅助）</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喇叭单元：5”定制中音×4 25芯汝礠号角高音*1。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额定功率：250W。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标准阻抗:8 Ohms。</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灵敏度(1w/km)103db。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频响范围：120Hz-18KHz(±3dB)。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最大声压级：124dB。</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39</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专业功放</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8Ω*：650w；4Ω*：1000w； 8Ω频响：20~20kHz(-0.5dB)；总谐波失真：&lt;0.05；信噪比：&gt;104dB；阻尼系数：&gt;600；分离度：&gt;60dB；转换速率：&gt;13v/ μs；输入灵敏度：32dB/1v/1.4v；输入阻抗：20k/10k；电压增益：32dB。</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摇头灯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功率：310W/450W；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光源：定制高亮款进口灯芯300光源；</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出光角度：BEAM:5°；</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光源寿命：≥2000小时；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13个颜色+白色，颜色流水、可实现颜色彩虹；</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1个固定图案盘，带13个固定图案+白光；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独立雾化柔光效果，七彩棱镜效果；</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机械线性调光0~100%；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快速频闪，多频闪方式选择，脉冲慢中快、渐变满中快、随机慢中快；</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棱镜：至少1个8面棱镜、1个48面棱镜，可重叠，可双向旋转；</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水平540°，精度2.11°/步，微调精度0.008°；</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垂直240°，精度1.05°/步，微调精度0.004°；</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控制通道：16个标准DMX通道控制模式；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菜单显示：≥1.8英寸彩屏按键，中英文两种语言可随意切换，字体可以自动180度倒转显示；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RDM数据双向传送。</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14</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41</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LED染色灯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电压：AC100~240V，50/60Hz。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功率：260W。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光源：≥24颗10W四合一LED。</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控制模式：DMX512控制模式，自动运行模式。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声控模式，主从机模式。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通道：≥7CH。</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42</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LED会议灯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光源：≥432颗*0.5W暖白和冷白 LED。</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光源寿命：大于50000小时。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显示指数（CRI)：Ra≥90。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灯具具有冷暖白色温可调功能。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灯具调光范围为 O-100%可调。</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额定功率：AC90V-260V,50-60Hz。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总功率：≥280W。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控制模式：DMX512，主从模式，自走模式。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DMX通道：≥4CH。</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43</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信号放大器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输入电源：AC110V—240V，频率50Hz-60Hz。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输入信号接口：国际标准DMX512信号，三芯/五芯镀金卡侬公座母座并接；输出信号接口采用三芯镀金卡侬母座。</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用途和特点:≥8路信号放大器是采用最新光电隔离技术，达到国际先进水平，输入输出每路都是采用独立的变压器供电，八个光电隔离信号放大来扩大DMX信号输出。</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44</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面光灯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光源：200W LED光源</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平均寿命＞50000小时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变焦：10°。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显指：Ra＞95。</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光效：105lm/w。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控制通道：两种通道模式（3/4CH）。</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协议：标准DMX512协议，支持RDM功能。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菜单显示：LCD液晶显示屏。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DMX信号连接：三芯XLR输入/输出。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0-100%电子线性调光。</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45</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直通箱</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供电：三相五线制AC380V±10％，频率50Hz±5％。</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额定功率：≥12路×4KW; 每路两个10A插头，可适用于任何负载。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过载与短路双重保护高分断空气开关.输入端子或160A康尼插。</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A.B.C三相工作指示灯，设两脚和三脚万能备用插座方便使用。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可直接接入舞台4KW常规灯具12只或4KW电脑摇头灯12只。</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≥12路单独控制。</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46</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会议终端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视频会议终端要求采用嵌入式硬件分体式结构，非PC架构、非工控机架构，嵌入式操作系统，非windows或虚拟化应用的软件平台，产品稳定，能够支持7×24小时长时间开机运行。</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视频编解码协议，支持 H.263, H.263+, H.263++, H.264, H.264 High Profile 等视频编解码标准。</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支持在512Kbps带宽下实现1080p 30fps的活动视频。</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音频编解码协议，至少支持 G.711, G.722, G.722.1*, G.722.1C*, AAC-LD,G.726, SILK等音频压缩算法，支持自动唇音同步、回声抵消及VAD语音激励检测技术。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支持ITU-T H.323, IETF SIP多媒体框架协议，能够和符合国际标准的产品互通；支持ITU-T H.239, BFCP双流协议，主流辅流都可以支持1080P图像格式；设备支持IPV4 和IPV6双协议栈；</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 NAT/防火墙穿越，支持H.460.18/19， H.460.23/24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至少支持双路1080p 60帧/秒效果，主视频和辅视频双路1080P分辨率时，双流的两路图像帧频均60帧每秒。</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H323安全保障，H.323协议呼叫支持H.235信令加密与AES(AES-128,AES-256)媒体流加密保障安全。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SIP安全保障，SIP协议呼叫支持SIP OVER TLS 信令加密与SRTP媒体流加密保障安全。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支持64kbps至8Mbps呼叫带宽。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支持本地和远端同视功能，即将本端视频输出的视频画面同步输出到远端，本地和远端看同一视频画面。</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支持会议终端内置MCU功能，通过内置MCU支持召开 1+5 的会议。</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支持内置VPN（服务器端/客户端），无需专网也可享受专网体验。</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支持视频会议终端本地USB录制，所见即所录，可以选择录制本地画面，远端画面，双流画面及多画面，生成标准mp4格式文件，终端点播。</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支持定时自动开关机功能。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支持红外透传功能，实现终端遥控器通过摄像机或其它会场内设备控制机房内会议终端，方便使用。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支持模拟麦克风、数字麦克风、USB 麦克风输入。</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支持本地和网络地址簿存储远端会场信息。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支持快速导入、导出终端通讯录的地址簿。</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支持视频会议终端进行会场直播，终端通过RTMP推流到直播平台，对会议现场进行直播。</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47</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视频采集设备</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1/2.8英寸，CMOS 图像传感器，支持HD: 1080p/60, 1080p/50, 1080i/60, 1080i/50, 1080p/30, 1080p/25, 720p/60, 720p/50, 720p/30, 720p/25；SD: 480i, 576i输出格式。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必须支持网口音视频编码输出，支持H.265/H.264/MJEPG三种视频编码标准，音频AAC编码标准；必须支持RTSP、RTMP、Onvif、组播等网络协议；网络视频编码码率最大可支持20Mbps，网络音频编码码率最大可支持256Kbps。</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支持HDMI+3G-SDI两路高清原始输出, 网络编码、HDMI、SDI三路同时输出图像。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同时具有2D和3D降噪算法，降低图像噪声，图像信噪比≥55dB。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高品质变焦镜头，最大视角必须≥72.5°，光学变焦≥12倍，数字变焦≥16倍。</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需同时支持RS232+RS485两种串口，支持VISCA、PELCO-D/P多种协议的对摄像机进行控制；支持网络VISCA协议控制。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云台转动范围，水平：±170°，垂直：-30°~+90°。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转动速度范围，水平：1.7°~ 100°/s，垂直1.7°~ 69.9°/s。</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摄像机可设置不少于200个预置位，预置位精度≤0.1°。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支持本地存储功能，可通过USB扩展存储器直接录制视频。</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支持USB扩展无线网络连接功能，可直接连接无线路由器。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支持水平、垂直翻转功能，适应吊装要求。</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48</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网络化可编程主机</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采用简约的外观设计，靓丽指示灯。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≥32位内嵌式处理器。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≥8路独立可编程的红外发射接口，支持控制多台相同或不同的红外设备。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≥8路独立可编程RS-232/422/485控制接口，用户可编程设置多种控制协议和代码。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≥8路弱电继电器接口；≥8路数字输入/输出IO接口。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三种通讯方式：CT-NET、RS232、Ethernet。</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内置Web网页服务端，免主机编程软件，内置模块化事件编程服务器。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内嵌式红外学习器，方便调式和维护。</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支持本地及远程多种控制方式。</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49</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数字会议中控软件</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标准TCP/IP网络协议，安装于连接以太网的计算机；软件包带有服务器软件，同时带有分控软件。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软件具有音源编程管理功能，可自由录制音源，音量控制编程，音视频信号切换，窗帘升降的编程。</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软件具备远程升级的功能，方便各功能的及时更新。</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可编程电源控制器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提供≥1路NET网络控制接口，通过NET与可编程控制主机通讯。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提供≥1路RS-232接口，可实现通过独立PC机控制，可同时对多台实现；通信控制节点走线可实现下走线，侧走线等多种出线方式，美观大方可由多媒体控制系统的DC24V或AC 100-240V两种供电模式。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≥8路独立节点控制接口，每路都有常开，常闭两种接口选择。</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指示全面，支持POWER电源指示，ID网络连接指示，接收数据指示。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ID CODE 可调节网络ID，实现与可编程控制主机NET网络通讯。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内置光电隔离模块，可保障负载和主机安全可靠。</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自带NET和RS-232切换按键。</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能通过机身的轻触按键自由控制。</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51</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视频矩阵</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采用FPGA可编程逻辑阵列电路XC3S200A，性能更稳定。</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采用高速数字交换技术，完美解决串扰、重影与拖尾现象。100%真实重现输入信号的视频效果。</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采用美国6.5GHz高带宽芯片，图像特别清晰。</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兼容 HDMI 1.4版本，（蓝光解码功能要在信号源输出时加解码器）选配，与包括1080p/60的所有HDTV分辨率和高达1920*1200的PC分辨率兼容；长线输入自动均衡-确保能对每个输入进行独立的自动的补偿由于长距离传输或者使用低质量线材造成的信号损耗。</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支持HDMI1.3a与及DVI1.0协议。支持高色深，以及高达4.5Gbps速率。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HDCP兼容-确保有内容保护的媒体能正常显示与其它HDCP兼容设备的协调使用。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支持信号时序重整, CEC, 36位真彩技术。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采用数字同步识别处理（DSIP）技术。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支持无缝集成CMMAW技术和CCSEB电源管理技术。</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采用3D全新蓝色矩阵式显示屏，全中文显示工作状态。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内置轮循切换功能，能任意设定间隔时间和通道。</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内置≥32组场景存储功能，能直接在面板操作。</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4路HDMI音视频信号输入；4路 HDMI音视频信号输出。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支持音频格式DTS-HD/Dolby-trueHD/LPCM7.1/DTS/DOLBY-AC3/DSD。</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使用高品质HDMI 1.3版本的线缆，输入传输距离可达20米，输出传输距离可达30米。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HDMI输入和输出端采用进口HDMI接口。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专用端口，能直接和无线触摸屏连接，即插即用。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全贴片SMD工艺，特有ESD静电保护功能。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本产品带有断电现现场切换记忆保护、视频同步或分离切换等功能，具备RS232通讯接口，可以方便与电脑、遥控系统或各种远端控制设备（如天玛和其他控制系统）配合使用。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全球通用宽电压设计，可适应交流100～240V，50/60Hz。</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52</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公开显示设备</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1.物理点间距≤2.0mm 单元板尺寸320X160mm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2.物理密度≥250000点/㎡ 发光点颜色 1R1G1B。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3.单元板分辨率≥160*80。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4.可视角度水平≧170°可选 垂直≥170°可选。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5.平均功耗≤140W/㎡ 最大功耗≤418w/㎡ 单模组最大功率≤25W。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6.显示卡 DVI显卡 驱动方式 1/40。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5.扫描 控制方式：同步控制。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7.刷新频率≧3840Hz 白平衡亮度 ≧800cd/㎡ 换帧频率≧60HZ。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8.亮度调节方式 亮度感应自动调节 16级可调、软件手动调节：100级可调100。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9.平均无故障时间 ≧20000小时 寿命 75000～100000小时 像素失控率 ＜0.0002件。</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10.产品对比度：≥6000：1。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11.产品室内工作噪声≤8DB。</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12.产品具有3D 高画质提升功能、Gamma调节功能、动态对比度提升功能、智能温控及高温报警功能、自动亮度调节功能。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13.所投产品在温度试验箱内温度为-20℃，湿度为90%RH环境中通电工作8h,并完成4次开关机，试验中，试验后，产品外观结构和功能应该正常。</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14.产品满足基于GB9254-2008标准的CLASSB级要求电磁干扰检测标准。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15.投标产品需通过光生物安全及蓝光危害检验，UV紫外线老化测试。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16.防电离辐射测试符合GB-16796-2009的检测，防微波辐射测试应符合GB4793.1-2007中12.4技术要求。</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17.产品符合视觉舒适度（VICO指数）范围在0-1级，对人眼基本无疲劳感。 </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18.产品防火及安全标准：满足BS476-7表面燃烧测试1级，BS6853烟气毒性测试的毒性指数R值≤1。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19.产品经过拉力测试、压力测试、跌落测试、抗震测试。</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20.产品经过塑胶件阻燃、内部线材阻燃试验满足V-1阻燃等级要求，PCB阻燃试验满足V-0阻燃等级要求。</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16.59</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53</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接收卡</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支持常规芯片实现高刷新、高灰度、高亮度。</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全新灰度引擎，低灰度表现更佳。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细节处理更完美，可消除单元板设计引起的某行偏暗、低灰偏红、鬼影等细节问题。</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支持14bit精度逐点校正。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支持所有常规芯片、PWM芯片和灯饰芯片。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支持静态屏、1/2~1/32扫之间的任意扫描类型。</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支持任意抽点，支持数据偏移，可轻松实现各种异型屏、球形屏、创意显示屏。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单卡支持32组RGB信号输出。</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32</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54</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电源</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输出功率：200W Max。</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泄漏电流：&lt;1mA(Vin:230)。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工作温度：-30℃~60℃。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散热方式：自冷。</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储存温度：-40~80℃。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输入电压：200-240Vac,47-63Hz。</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绝缘电压：I/P-O/P:3.0KVac;I/P-8.FG:1.5KVac;O/P-FG:0.5KVac。</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安全标准：GB4943,EN60950。</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保护功能：输入欠压，过载保护，短路保护。</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功率因素：0.50@230Vac。</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54</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55</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智能配电系统</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具备手动控制和自动控制功能。可手动按钮控制设备开启/停止，也可以通过其他控制设备的启/停功能。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具备多功能卡远程控制功能，延时启动。</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具有电源状态指示、工作状态指示、可远程监控设备运行状态。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具有过压、过流、短路、断路、定时开关等功能。</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具备检修插座和照明开关。</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内部线材均采用4平方国标纯铜导线。</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产品设计符合CCC认证标准。</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三相五线制输入，220V 输出，零线与地线分别接在铜排上，确保三相平衡供电。</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56</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定制框体</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定制显示屏安装框体包含不锈钢包边。</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16.59</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57</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视频处理器</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5U 标准机架式结构，配备彩色LCD操作显示屏。</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支持以下输入信号接口：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DVI-D（24+1）×1，最大支持分辨率为1920×1200@60Hz，支持自定义分辨率；HDMI（A Type）×1，兼容HDMI1.3及以下版本，最大支持分辨率为1920×1200@60Hz，支持自定义分辨率；VGA (D-Sub)×1，最大支持分辨率为1920×1200@60Hz（UXGA）；CVBS (BNC)×1，NTSC/PAL自适应，支持3D 梳状滤波器；Audio 1/8" TRS音频×2。</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支持以下输出信号接口：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LAN(RJ45)×4，整机最大支持分辨率为238万像素，支持自定义分辨率，最宽3840像素，最高1080像素；Audio 1/4" TRS音频 ×1。</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支持USB(TYPE B)，UART(RJ45)控制端口；</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自带U盘播放器功能，直接插上U盘，自动播放U盘的视频或图片；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支持EDID配置管理：支持EDID（Extended Display Identification Data，扩展显示识别数据）的读取、修改、自定义；</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支持VGA校正功能：解决模拟信号在传输过程中容易产生的黑边、偏移的问题，可出具相应专利证书；</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支持Super Resolution放大技术：视频补偿处理算法。画面缩小无尺寸限制，并保留图像细节，减轻画面放大多倍后产生的失焦现象；</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支持去黑边/剪裁功能：解决前端信号（尤其是VGA信号及非标准摄像头的输出信号）产生的黑边问题，针对任意信号源做任意裁剪（依旧保持满屏状态）；</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支持通道保护：对设备输入、输出I/O接口进行保护，避免过电压、过电流的冲击；通道间相互独立，且彼此互补；</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支持一键黑屏/蓝屏；支持亮度调节：实时、快捷进行屏体显示亮度调整；支持导航设置；</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支持切换特效：场景与场景间，信号源通道与通道之间均支持淡入淡出/直切的切换特效；支持音视频同步切换；支持按键锁定，防止误操作。</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58</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机柜</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≥47U网络设备专用机柜。</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59</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线材</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包含设备安装所需要的电缆线、电源线及六类双绞线。</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LED洗墙灯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率：24W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光束角：10*60º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  源：欧司朗/飞利浦芯片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寸：1000*35*30mm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1980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61</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LED洗墙灯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率：12W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光束角：10*60º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  源：欧司朗/飞利浦芯片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寸：500*35*30mm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62</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LED洗墙灯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率：6W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光束角：10*60º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  源：欧司朗/飞利浦芯片</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寸：300*35*30mm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63</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LED线条灯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率：12W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光束角：120º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寸：1000*30*30mm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700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64</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LED线条灯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率：6W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光束角：120º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寸：500*30*30mm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65</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LED线条灯</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功  率：4W</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光束角：120º</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色  温：3000K</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电  压：DC24V</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尺  寸：300*30*30mm</w:t>
            </w:r>
          </w:p>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等  级：≥IP66</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66</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开关电源</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AC220V-400W-DC24V专用电源。</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210</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67</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线材</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包含亮化系统安装所需要的所有电线电缆。</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68</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辅材辅料费</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设备安装所需要的辅材辅料，包含但不限于PVC线管、线槽、软管、扎带、绝缘胶带、线缆护套、膨胀螺丝、自攻螺丝、线卡，线缆连接盒、压线帽、钢钉、穿线钢丝、焊接组件、标签、视频设备支架、设备安装法兰、预制设备底座、亮化灯座、电器连接件、电源插线板、水晶头、信息模块等费用。</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69</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施工安装费</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视频系统、亮化系统的施工，包含但不限于线缆敷设、设备安装调试、室内外高空作业，土方开挖、预埋及恢复，混凝土路面切割及恢复，现场焊接等费用。</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70</w:t>
            </w:r>
          </w:p>
        </w:tc>
        <w:tc>
          <w:tcPr>
            <w:tcW w:w="400"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其他杂费</w:t>
            </w:r>
          </w:p>
        </w:tc>
        <w:tc>
          <w:tcPr>
            <w:tcW w:w="3673"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lef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项目实施所需要的的其他杂费，包含但不限于所有设备的运输、搬运、仓储、货物保险及人员保险、项目管理费等费用。</w:t>
            </w:r>
          </w:p>
        </w:tc>
        <w:tc>
          <w:tcPr>
            <w:tcW w:w="404"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p>
        </w:tc>
        <w:tc>
          <w:tcPr>
            <w:tcW w:w="241" w:type="pct"/>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项</w:t>
            </w:r>
          </w:p>
        </w:tc>
      </w:tr>
    </w:tbl>
    <w:p>
      <w:pPr>
        <w:pStyle w:val="28"/>
      </w:pPr>
    </w:p>
    <w:p>
      <w:pPr>
        <w:pStyle w:val="28"/>
      </w:pPr>
    </w:p>
    <w:p>
      <w:pPr>
        <w:pStyle w:val="28"/>
      </w:pPr>
    </w:p>
    <w:p>
      <w:pPr>
        <w:pStyle w:val="28"/>
      </w:pPr>
    </w:p>
    <w:p>
      <w:pPr>
        <w:pStyle w:val="9"/>
        <w:ind w:firstLine="0" w:firstLineChars="0"/>
        <w:rPr>
          <w:rFonts w:ascii="宋体" w:cs="宋体"/>
          <w:szCs w:val="21"/>
        </w:rPr>
      </w:pPr>
    </w:p>
    <w:p>
      <w:pPr>
        <w:pStyle w:val="9"/>
        <w:ind w:firstLine="0" w:firstLineChars="0"/>
        <w:rPr>
          <w:rFonts w:ascii="宋体" w:cs="宋体"/>
          <w:szCs w:val="21"/>
        </w:rPr>
      </w:pPr>
    </w:p>
    <w:p>
      <w:pPr>
        <w:pStyle w:val="9"/>
        <w:ind w:firstLine="0" w:firstLineChars="0"/>
        <w:rPr>
          <w:rFonts w:hint="eastAsia" w:ascii="宋体" w:cs="宋体"/>
          <w:szCs w:val="21"/>
          <w:lang w:val="en-US" w:eastAsia="zh-CN"/>
        </w:rPr>
      </w:pPr>
    </w:p>
    <w:p>
      <w:pPr>
        <w:pStyle w:val="9"/>
        <w:ind w:firstLine="0" w:firstLineChars="0"/>
        <w:rPr>
          <w:rFonts w:hint="eastAsia" w:ascii="宋体" w:cs="宋体"/>
          <w:szCs w:val="21"/>
          <w:lang w:val="en-US" w:eastAsia="zh-CN"/>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decimal"/>
          <w:cols w:space="720" w:num="1"/>
          <w:docGrid w:type="lines" w:linePitch="312" w:charSpace="0"/>
        </w:sectPr>
      </w:pP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bookmarkStart w:id="150" w:name="_Toc21785"/>
      <w:bookmarkStart w:id="151" w:name="_Toc22767"/>
      <w:r>
        <w:rPr>
          <w:rFonts w:hint="eastAsia" w:ascii="宋体" w:hAnsi="宋体" w:cs="宋体"/>
          <w:b/>
          <w:bCs/>
          <w:sz w:val="36"/>
          <w:szCs w:val="36"/>
        </w:rPr>
        <w:t>第六部分  合同条款</w:t>
      </w:r>
      <w:bookmarkEnd w:id="150"/>
      <w:bookmarkEnd w:id="151"/>
    </w:p>
    <w:p>
      <w:pPr>
        <w:kinsoku w:val="0"/>
        <w:spacing w:line="400" w:lineRule="exact"/>
        <w:ind w:firstLine="600" w:firstLineChars="250"/>
        <w:rPr>
          <w:rFonts w:hint="eastAsia" w:ascii="宋体" w:hAnsi="宋体" w:eastAsia="宋体" w:cs="宋体"/>
          <w:sz w:val="24"/>
          <w:lang w:eastAsia="zh-CN"/>
        </w:rPr>
      </w:pPr>
      <w:bookmarkStart w:id="152" w:name="_Toc13336"/>
      <w:bookmarkStart w:id="153" w:name="_Toc2234"/>
      <w:r>
        <w:rPr>
          <w:rFonts w:hint="eastAsia" w:ascii="宋体" w:hAnsi="宋体" w:cs="宋体"/>
          <w:sz w:val="24"/>
        </w:rPr>
        <w:t>甲方：山阳县疾病预防控制中心</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13"/>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w:t>
      </w:r>
      <w:r>
        <w:rPr>
          <w:rFonts w:hint="eastAsia" w:ascii="宋体" w:hAnsi="宋体" w:cs="宋体"/>
          <w:color w:val="auto"/>
          <w:kern w:val="2"/>
          <w:szCs w:val="22"/>
          <w:lang w:eastAsia="zh-CN"/>
        </w:rPr>
        <w:t>山阳县疾病预防控制中心山阳县农村职业技能培训基地附属设施采购项目</w:t>
      </w:r>
      <w:r>
        <w:rPr>
          <w:rFonts w:hint="eastAsia" w:ascii="宋体" w:hAnsi="宋体" w:cs="宋体"/>
          <w:color w:val="auto"/>
          <w:kern w:val="2"/>
          <w:szCs w:val="22"/>
        </w:rPr>
        <w:t>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rPr>
        <w:t>三、交货条件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山阳县疾病预防控制中心山阳县农村职业技能培训基地附属设施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rPr>
        <w:t>四、</w:t>
      </w:r>
      <w:r>
        <w:rPr>
          <w:rFonts w:hint="eastAsia" w:ascii="宋体" w:hAnsi="宋体" w:cs="宋体"/>
          <w:b/>
          <w:sz w:val="24"/>
          <w:szCs w:val="24"/>
        </w:rPr>
        <w:t>付款方式</w:t>
      </w:r>
    </w:p>
    <w:p>
      <w:pPr>
        <w:tabs>
          <w:tab w:val="left" w:pos="840"/>
        </w:tabs>
        <w:spacing w:line="360" w:lineRule="auto"/>
        <w:ind w:firstLine="420" w:firstLineChars="175"/>
        <w:rPr>
          <w:rFonts w:hint="eastAsia" w:ascii="宋体" w:hAnsi="宋体"/>
          <w:b w:val="0"/>
          <w:bCs/>
          <w:sz w:val="24"/>
        </w:rPr>
      </w:pPr>
      <w:r>
        <w:rPr>
          <w:rFonts w:hint="eastAsia" w:ascii="宋体" w:hAnsi="宋体"/>
          <w:b w:val="0"/>
          <w:bCs/>
          <w:sz w:val="24"/>
        </w:rPr>
        <w:t>合同签订，支付合同价款的50%，验收合格后支付剩余价款的50%。</w:t>
      </w:r>
    </w:p>
    <w:p>
      <w:pPr>
        <w:tabs>
          <w:tab w:val="left" w:pos="840"/>
        </w:tabs>
        <w:spacing w:line="360" w:lineRule="auto"/>
        <w:ind w:firstLine="422" w:firstLineChars="175"/>
        <w:rPr>
          <w:rFonts w:ascii="宋体" w:hAnsi="宋体"/>
          <w:b/>
          <w:sz w:val="24"/>
        </w:rPr>
      </w:pPr>
      <w:r>
        <w:rPr>
          <w:rFonts w:hint="eastAsia" w:ascii="宋体" w:hAnsi="宋体"/>
          <w:b/>
          <w:sz w:val="24"/>
        </w:rPr>
        <w:t>五、双方的权利和义务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山阳县疾病预防控制中心山阳县农村职业技能培训基地附属设施采购项目</w:t>
      </w:r>
      <w:r>
        <w:rPr>
          <w:rFonts w:hint="eastAsia" w:hAnsi="宋体"/>
          <w:sz w:val="24"/>
        </w:rPr>
        <w:t>；做好整个项目的售后服务技术支持工作。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rPr>
        <w:t>六</w:t>
      </w:r>
      <w:r>
        <w:rPr>
          <w:rFonts w:hint="eastAsia" w:ascii="宋体" w:hAnsi="宋体"/>
          <w:b/>
          <w:sz w:val="24"/>
        </w:rPr>
        <w:t>、质量保证</w:t>
      </w:r>
    </w:p>
    <w:p>
      <w:pPr>
        <w:pStyle w:val="13"/>
        <w:spacing w:before="172"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1、本次山阳县疾病预防控制中心山阳县农村职业技能培训基地附属设施采购项目应符合国家有关规范， 确保达到最佳状态。</w:t>
      </w:r>
    </w:p>
    <w:p>
      <w:pPr>
        <w:pStyle w:val="13"/>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13"/>
        <w:tabs>
          <w:tab w:val="left" w:pos="7560"/>
        </w:tabs>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pStyle w:val="13"/>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以招标文件、投标文件、中标单位澄清表（函）为准。</w:t>
      </w:r>
    </w:p>
    <w:p>
      <w:pPr>
        <w:pStyle w:val="13"/>
        <w:spacing w:before="1" w:line="374" w:lineRule="auto"/>
        <w:ind w:firstLine="420" w:firstLineChars="175"/>
        <w:rPr>
          <w:rFonts w:hint="eastAsia" w:ascii="宋体" w:hAnsi="宋体" w:eastAsia="宋体" w:cs="宋体"/>
          <w:color w:val="auto"/>
          <w:szCs w:val="22"/>
          <w:highlight w:val="none"/>
          <w:lang w:val="en-US" w:bidi="zh-CN"/>
        </w:rPr>
      </w:pPr>
      <w:r>
        <w:rPr>
          <w:rFonts w:hint="eastAsia" w:ascii="宋体" w:hAnsi="宋体" w:eastAsia="宋体" w:cs="宋体"/>
          <w:color w:val="auto"/>
          <w:szCs w:val="22"/>
          <w:highlight w:val="none"/>
          <w:lang w:val="en-US" w:bidi="zh-CN"/>
        </w:rPr>
        <w:t>1、</w:t>
      </w:r>
      <w:r>
        <w:rPr>
          <w:rFonts w:hint="eastAsia" w:ascii="宋体" w:hAnsi="宋体" w:eastAsia="宋体" w:cs="宋体"/>
          <w:color w:val="auto"/>
          <w:szCs w:val="22"/>
          <w:highlight w:val="none"/>
          <w:lang w:val="zh-CN" w:bidi="zh-CN"/>
        </w:rPr>
        <w:t>属于保修范围和内容的项目，承包人应在接到维修通知后，15 天内派人维修。发生紧急抢修事故（如上水管跑水、爆裂，供电设施漏、断电等），承包人应在接到事故通知后 24 小时内到达事故现场并于 72 小时内完成应急维修。</w:t>
      </w:r>
      <w:r>
        <w:rPr>
          <w:rFonts w:hint="eastAsia" w:ascii="宋体" w:hAnsi="宋体" w:eastAsia="宋体" w:cs="宋体"/>
          <w:color w:val="auto"/>
          <w:szCs w:val="22"/>
          <w:highlight w:val="none"/>
          <w:lang w:val="en-US" w:bidi="zh-CN"/>
        </w:rPr>
        <w:t xml:space="preserve">     </w:t>
      </w:r>
    </w:p>
    <w:p>
      <w:pPr>
        <w:pStyle w:val="13"/>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2</w:t>
      </w:r>
      <w:r>
        <w:rPr>
          <w:rFonts w:hint="eastAsia" w:ascii="宋体" w:hAnsi="宋体" w:eastAsia="宋体" w:cs="宋体"/>
          <w:color w:val="auto"/>
          <w:szCs w:val="22"/>
          <w:highlight w:val="none"/>
          <w:lang w:val="zh-CN" w:bidi="zh-CN"/>
        </w:rPr>
        <w:t>、7*24小时电话、QQ/微信、电子邮件、现场等多种方式的售后服务。</w:t>
      </w:r>
    </w:p>
    <w:p>
      <w:pPr>
        <w:pStyle w:val="13"/>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3</w:t>
      </w:r>
      <w:r>
        <w:rPr>
          <w:rFonts w:hint="eastAsia" w:ascii="宋体" w:hAnsi="宋体" w:eastAsia="宋体" w:cs="宋体"/>
          <w:color w:val="auto"/>
          <w:szCs w:val="22"/>
          <w:highlight w:val="none"/>
          <w:lang w:val="zh-CN" w:bidi="zh-CN"/>
        </w:rPr>
        <w:t>、质保期内免费维修，质保期外收取更换配件成本费。</w:t>
      </w:r>
    </w:p>
    <w:p>
      <w:pPr>
        <w:pStyle w:val="13"/>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4</w:t>
      </w:r>
      <w:r>
        <w:rPr>
          <w:rFonts w:hint="eastAsia" w:ascii="宋体" w:hAnsi="宋体" w:eastAsia="宋体" w:cs="宋体"/>
          <w:color w:val="auto"/>
          <w:szCs w:val="22"/>
          <w:highlight w:val="none"/>
          <w:lang w:val="zh-CN" w:bidi="zh-CN"/>
        </w:rPr>
        <w:t>、每年不少于2次定期上门检查维护设备。</w:t>
      </w:r>
    </w:p>
    <w:p>
      <w:pPr>
        <w:pStyle w:val="13"/>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5</w:t>
      </w:r>
      <w:r>
        <w:rPr>
          <w:rFonts w:hint="eastAsia" w:ascii="宋体" w:hAnsi="宋体" w:eastAsia="宋体" w:cs="宋体"/>
          <w:color w:val="auto"/>
          <w:szCs w:val="22"/>
          <w:highlight w:val="none"/>
          <w:lang w:val="zh-CN" w:bidi="zh-CN"/>
        </w:rPr>
        <w:t>、举行重大活动期间可安排专业技术人员进行现场保障。</w:t>
      </w:r>
    </w:p>
    <w:p>
      <w:pPr>
        <w:pStyle w:val="13"/>
        <w:spacing w:before="1" w:line="374" w:lineRule="auto"/>
        <w:ind w:firstLine="422" w:firstLineChars="175"/>
        <w:rPr>
          <w:rFonts w:ascii="宋体" w:hAnsi="宋体" w:cs="宋体"/>
          <w:b/>
          <w:bCs/>
          <w:color w:val="000000"/>
          <w:szCs w:val="22"/>
          <w:highlight w:val="none"/>
          <w:lang w:val="zh-CN" w:bidi="zh-CN"/>
        </w:rPr>
      </w:pPr>
      <w:r>
        <w:rPr>
          <w:rFonts w:hint="eastAsia" w:ascii="宋体" w:hAnsi="宋体" w:cs="宋体"/>
          <w:b/>
          <w:bCs/>
          <w:color w:val="000000"/>
          <w:szCs w:val="22"/>
          <w:highlight w:val="none"/>
          <w:lang w:bidi="zh-CN"/>
        </w:rPr>
        <w:t>八</w:t>
      </w:r>
      <w:r>
        <w:rPr>
          <w:rFonts w:hint="eastAsia" w:ascii="宋体" w:hAnsi="宋体" w:cs="宋体"/>
          <w:b/>
          <w:bCs/>
          <w:color w:val="000000"/>
          <w:szCs w:val="22"/>
          <w:highlight w:val="none"/>
          <w:lang w:val="zh-CN" w:bidi="zh-CN"/>
        </w:rPr>
        <w:t>、违约责任</w:t>
      </w:r>
    </w:p>
    <w:p>
      <w:pPr>
        <w:pStyle w:val="96"/>
        <w:spacing w:line="360" w:lineRule="auto"/>
        <w:ind w:firstLine="480"/>
        <w:rPr>
          <w:rFonts w:hint="eastAsia" w:ascii="宋体" w:hAnsi="宋体" w:cs="宋体"/>
          <w:color w:val="000000"/>
          <w:szCs w:val="22"/>
          <w:highlight w:val="none"/>
          <w:lang w:val="zh-CN" w:bidi="zh-CN"/>
        </w:rPr>
      </w:pPr>
      <w:r>
        <w:rPr>
          <w:rFonts w:hint="eastAsia" w:ascii="宋体" w:hAnsi="宋体" w:cs="宋体"/>
          <w:color w:val="000000"/>
          <w:szCs w:val="22"/>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96"/>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1.采购方违约责任</w:t>
      </w:r>
    </w:p>
    <w:p>
      <w:pPr>
        <w:pStyle w:val="96"/>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（1）采购方无正当理由拒收货物的，采购方应偿付供货方合同总价 5 %的违约金；</w:t>
      </w:r>
    </w:p>
    <w:p>
      <w:pPr>
        <w:pStyle w:val="96"/>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（2）采购方逾期支付货款的，除应及时付足货款外，应向供货方每天支付欠款总额5％的滞纳金；</w:t>
      </w:r>
    </w:p>
    <w:p>
      <w:pPr>
        <w:pStyle w:val="96"/>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2.供货方违约责任</w:t>
      </w:r>
    </w:p>
    <w:p>
      <w:pPr>
        <w:pStyle w:val="96"/>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（1）如供货方不能交付货物，供货方应向采购方支付合同总价5％的违约金；</w:t>
      </w:r>
    </w:p>
    <w:p>
      <w:pPr>
        <w:pStyle w:val="96"/>
        <w:spacing w:line="360" w:lineRule="auto"/>
        <w:ind w:firstLine="480"/>
        <w:rPr>
          <w:rFonts w:ascii="仿宋" w:hAnsi="仿宋" w:eastAsia="仿宋" w:cs="仿宋"/>
          <w:sz w:val="24"/>
          <w:szCs w:val="24"/>
          <w:highlight w:val="none"/>
        </w:rPr>
      </w:pPr>
      <w:r>
        <w:rPr>
          <w:rFonts w:hint="eastAsia" w:ascii="宋体" w:hAnsi="宋体" w:eastAsia="宋体" w:cs="宋体"/>
          <w:color w:val="auto"/>
          <w:szCs w:val="22"/>
          <w:highlight w:val="none"/>
          <w:lang w:val="zh-CN" w:bidi="zh-CN"/>
        </w:rPr>
        <w:t>（2）供货方逾期交付货物的，每逾期1天，供货方向采购方偿付逾期交货部分货款总额的</w:t>
      </w:r>
      <w:r>
        <w:rPr>
          <w:rFonts w:hint="eastAsia" w:ascii="宋体" w:hAnsi="宋体" w:cs="宋体"/>
          <w:color w:val="auto"/>
          <w:szCs w:val="22"/>
          <w:highlight w:val="none"/>
          <w:lang w:val="en-US" w:bidi="zh-CN"/>
        </w:rPr>
        <w:t>5</w:t>
      </w:r>
      <w:r>
        <w:rPr>
          <w:rFonts w:hint="eastAsia" w:ascii="宋体" w:hAnsi="宋体" w:eastAsia="宋体" w:cs="宋体"/>
          <w:color w:val="auto"/>
          <w:szCs w:val="22"/>
          <w:highlight w:val="none"/>
          <w:lang w:val="zh-CN" w:bidi="zh-CN"/>
        </w:rPr>
        <w:t>％的滞纳金</w:t>
      </w:r>
      <w:r>
        <w:rPr>
          <w:rFonts w:hint="eastAsia" w:ascii="仿宋" w:hAnsi="仿宋" w:eastAsia="仿宋" w:cs="仿宋"/>
          <w:sz w:val="24"/>
          <w:szCs w:val="24"/>
          <w:highlight w:val="none"/>
        </w:rPr>
        <w:t>。</w:t>
      </w:r>
    </w:p>
    <w:p>
      <w:pPr>
        <w:pStyle w:val="13"/>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九</w:t>
      </w:r>
      <w:r>
        <w:rPr>
          <w:rFonts w:hint="eastAsia" w:ascii="宋体" w:hAnsi="宋体" w:cs="宋体"/>
          <w:b/>
          <w:bCs/>
          <w:color w:val="000000"/>
          <w:szCs w:val="22"/>
          <w:lang w:val="zh-CN" w:bidi="zh-CN"/>
        </w:rPr>
        <w:t>、验收</w:t>
      </w:r>
    </w:p>
    <w:p>
      <w:pPr>
        <w:pStyle w:val="13"/>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验收：验收须以合同、招标文件、投标文件、澄清、及国家相应的标准、规范等为依据进行验收。</w:t>
      </w:r>
    </w:p>
    <w:p>
      <w:pPr>
        <w:pStyle w:val="13"/>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十、合同争议解决的方式</w:t>
      </w:r>
    </w:p>
    <w:p>
      <w:pPr>
        <w:pStyle w:val="13"/>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13"/>
        <w:spacing w:before="1" w:line="374" w:lineRule="auto"/>
        <w:ind w:firstLine="482" w:firstLineChars="200"/>
        <w:rPr>
          <w:rFonts w:ascii="宋体" w:hAnsi="宋体" w:cs="宋体"/>
          <w:b/>
          <w:bCs/>
          <w:color w:val="000000"/>
          <w:szCs w:val="22"/>
          <w:lang w:val="zh-CN" w:bidi="zh-CN"/>
        </w:rPr>
      </w:pPr>
      <w:r>
        <w:rPr>
          <w:rFonts w:hint="eastAsia" w:ascii="宋体" w:hAnsi="宋体" w:cs="宋体"/>
          <w:b/>
          <w:bCs/>
          <w:color w:val="000000"/>
          <w:szCs w:val="22"/>
          <w:lang w:val="zh-CN" w:bidi="zh-CN"/>
        </w:rPr>
        <w:t>十</w:t>
      </w:r>
      <w:r>
        <w:rPr>
          <w:rFonts w:hint="eastAsia" w:ascii="宋体" w:hAnsi="宋体" w:cs="宋体"/>
          <w:b/>
          <w:bCs/>
          <w:color w:val="000000"/>
          <w:szCs w:val="22"/>
          <w:lang w:bidi="zh-CN"/>
        </w:rPr>
        <w:t>一</w:t>
      </w:r>
      <w:r>
        <w:rPr>
          <w:rFonts w:hint="eastAsia" w:ascii="宋体" w:hAnsi="宋体" w:cs="宋体"/>
          <w:b/>
          <w:bCs/>
          <w:color w:val="000000"/>
          <w:szCs w:val="22"/>
          <w:lang w:val="zh-CN" w:bidi="zh-CN"/>
        </w:rPr>
        <w:t>、其他事项</w:t>
      </w:r>
    </w:p>
    <w:p>
      <w:pPr>
        <w:pStyle w:val="13"/>
        <w:spacing w:before="1" w:line="374" w:lineRule="auto"/>
        <w:ind w:firstLine="480" w:firstLineChars="200"/>
        <w:rPr>
          <w:rFonts w:ascii="宋体" w:hAnsi="宋体" w:cs="宋体"/>
          <w:color w:val="000000"/>
          <w:szCs w:val="22"/>
          <w:lang w:val="zh-CN" w:bidi="zh-CN"/>
        </w:rPr>
      </w:pPr>
      <w:bookmarkStart w:id="154" w:name="第四章__竞争性磋商内容及服务要求"/>
      <w:bookmarkEnd w:id="154"/>
      <w:bookmarkStart w:id="155" w:name="_bookmark3"/>
      <w:bookmarkEnd w:id="155"/>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捌</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合同经双方授权代表签字、盖章后生效，生效日以签字日期为准。</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未详尽之处双方协商解决。</w:t>
      </w:r>
    </w:p>
    <w:tbl>
      <w:tblPr>
        <w:tblStyle w:val="30"/>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129"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山阳县疾病预防控制中心（盖章）</w:t>
            </w:r>
          </w:p>
        </w:tc>
        <w:tc>
          <w:tcPr>
            <w:tcW w:w="5129"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地址：</w:t>
            </w:r>
          </w:p>
        </w:tc>
        <w:tc>
          <w:tcPr>
            <w:tcW w:w="5129"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邮编：</w:t>
            </w:r>
          </w:p>
        </w:tc>
        <w:tc>
          <w:tcPr>
            <w:tcW w:w="5129"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129"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129"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电话：</w:t>
            </w:r>
          </w:p>
        </w:tc>
        <w:tc>
          <w:tcPr>
            <w:tcW w:w="5129"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129"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129"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129"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sz w:val="24"/>
                <w:lang w:val="zh-CN" w:bidi="zh-CN"/>
              </w:rPr>
            </w:pPr>
            <w:bookmarkStart w:id="156"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156"/>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hAnsi="宋体" w:cs="宋体"/>
        </w:rPr>
      </w:pPr>
      <w:bookmarkStart w:id="157" w:name="_Toc24924"/>
      <w:r>
        <w:rPr>
          <w:rFonts w:hint="eastAsia" w:ascii="宋体" w:hAnsi="宋体" w:cs="宋体"/>
          <w:sz w:val="36"/>
          <w:szCs w:val="36"/>
        </w:rPr>
        <w:t>第七部分  投标文件格式</w:t>
      </w:r>
      <w:bookmarkEnd w:id="152"/>
      <w:bookmarkEnd w:id="153"/>
      <w:bookmarkEnd w:id="157"/>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outlineLvl w:val="9"/>
        <w:rPr>
          <w:rFonts w:ascii="宋体" w:hAnsi="宋体" w:cs="宋体"/>
          <w:b/>
          <w:w w:val="120"/>
          <w:sz w:val="28"/>
          <w:szCs w:val="28"/>
        </w:rPr>
      </w:pPr>
      <w:bookmarkStart w:id="158" w:name="_Toc15364"/>
      <w:r>
        <w:rPr>
          <w:rFonts w:hint="eastAsia" w:ascii="宋体" w:hAnsi="宋体" w:cs="宋体"/>
          <w:b/>
          <w:w w:val="120"/>
          <w:sz w:val="28"/>
          <w:szCs w:val="28"/>
        </w:rPr>
        <w:t>项目编号：</w:t>
      </w:r>
      <w:r>
        <w:rPr>
          <w:rFonts w:hint="eastAsia" w:ascii="宋体" w:hAnsi="宋体" w:cs="宋体"/>
          <w:b/>
          <w:w w:val="120"/>
          <w:sz w:val="28"/>
          <w:szCs w:val="28"/>
          <w:lang w:eastAsia="zh-CN"/>
        </w:rPr>
        <w:t>ZMZB2022SYJK-288</w:t>
      </w:r>
      <w:r>
        <w:rPr>
          <w:rFonts w:hint="eastAsia" w:ascii="宋体" w:hAnsi="宋体" w:cs="宋体"/>
          <w:b/>
          <w:w w:val="120"/>
          <w:sz w:val="28"/>
          <w:szCs w:val="28"/>
        </w:rPr>
        <w:t xml:space="preserve">      （正本或副本）</w:t>
      </w:r>
      <w:bookmarkEnd w:id="158"/>
    </w:p>
    <w:p/>
    <w:p>
      <w:pPr>
        <w:pStyle w:val="9"/>
        <w:rPr>
          <w:rFonts w:ascii="宋体" w:hAnsi="宋体" w:cs="宋体"/>
        </w:rPr>
      </w:pPr>
    </w:p>
    <w:p>
      <w:pPr>
        <w:snapToGrid w:val="0"/>
        <w:spacing w:line="480" w:lineRule="auto"/>
        <w:ind w:left="-199" w:leftChars="-95"/>
        <w:jc w:val="center"/>
        <w:rPr>
          <w:rFonts w:hint="eastAsia" w:ascii="宋体" w:hAnsi="宋体" w:cs="宋体"/>
          <w:b/>
          <w:bCs/>
          <w:sz w:val="56"/>
          <w:szCs w:val="56"/>
          <w:lang w:eastAsia="zh-CN"/>
        </w:rPr>
      </w:pPr>
      <w:r>
        <w:rPr>
          <w:rFonts w:hint="eastAsia" w:ascii="宋体" w:hAnsi="宋体" w:cs="宋体"/>
          <w:b/>
          <w:bCs/>
          <w:sz w:val="56"/>
          <w:szCs w:val="56"/>
          <w:lang w:eastAsia="zh-CN"/>
        </w:rPr>
        <w:t>山阳县疾病预防控制中心</w:t>
      </w:r>
    </w:p>
    <w:p>
      <w:pPr>
        <w:snapToGrid w:val="0"/>
        <w:spacing w:line="480" w:lineRule="auto"/>
        <w:ind w:left="-199" w:leftChars="-95"/>
        <w:jc w:val="center"/>
        <w:rPr>
          <w:rFonts w:ascii="宋体" w:hAnsi="宋体" w:cs="宋体"/>
          <w:b/>
          <w:bCs/>
          <w:sz w:val="56"/>
          <w:szCs w:val="56"/>
        </w:rPr>
      </w:pPr>
      <w:r>
        <w:rPr>
          <w:rFonts w:hint="eastAsia" w:ascii="宋体" w:hAnsi="宋体" w:cs="宋体"/>
          <w:b/>
          <w:bCs/>
          <w:sz w:val="56"/>
          <w:szCs w:val="56"/>
          <w:lang w:eastAsia="zh-CN"/>
        </w:rPr>
        <w:t>山阳县农村职业技能培训基地附属设施采购项目</w:t>
      </w: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pStyle w:val="9"/>
        <w:rPr>
          <w:rFonts w:ascii="宋体" w:hAnsi="宋体" w:cs="宋体"/>
          <w:lang w:val="zh-CN"/>
        </w:rPr>
      </w:pPr>
    </w:p>
    <w:p>
      <w:pPr>
        <w:rPr>
          <w:lang w:val="zh-CN"/>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0"/>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0"/>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0"/>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0"/>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outlineLvl w:val="1"/>
        <w:rPr>
          <w:rFonts w:ascii="宋体" w:hAnsi="宋体" w:cs="宋体"/>
          <w:sz w:val="36"/>
          <w:szCs w:val="36"/>
        </w:rPr>
      </w:pPr>
      <w:bookmarkStart w:id="159" w:name="_Toc23980"/>
      <w:bookmarkStart w:id="160" w:name="_Toc16169"/>
      <w:r>
        <w:rPr>
          <w:rFonts w:hint="eastAsia" w:ascii="宋体" w:hAnsi="宋体" w:cs="宋体"/>
          <w:sz w:val="36"/>
          <w:szCs w:val="36"/>
        </w:rPr>
        <w:t>第一部分  投标函</w:t>
      </w:r>
      <w:bookmarkEnd w:id="145"/>
      <w:bookmarkEnd w:id="159"/>
      <w:bookmarkEnd w:id="160"/>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lang w:eastAsia="zh-CN"/>
        </w:rPr>
        <w:t>ZMZB2022SYJK-288</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5"/>
        </w:numPr>
        <w:spacing w:before="319" w:beforeLines="100" w:after="478" w:afterLines="150" w:line="500" w:lineRule="exact"/>
        <w:jc w:val="center"/>
        <w:rPr>
          <w:rFonts w:ascii="宋体" w:hAnsi="宋体" w:cs="宋体"/>
          <w:sz w:val="36"/>
          <w:szCs w:val="36"/>
        </w:rPr>
        <w:sectPr>
          <w:headerReference r:id="rId16" w:type="default"/>
          <w:footerReference r:id="rId17" w:type="default"/>
          <w:pgSz w:w="11906" w:h="16838"/>
          <w:pgMar w:top="1440" w:right="1803" w:bottom="1440" w:left="1803" w:header="851" w:footer="992" w:gutter="0"/>
          <w:pgNumType w:fmt="decimal"/>
          <w:cols w:space="720" w:num="1"/>
          <w:docGrid w:type="lines" w:linePitch="319" w:charSpace="0"/>
        </w:sectPr>
      </w:pPr>
      <w:bookmarkStart w:id="161" w:name="_Toc28494"/>
    </w:p>
    <w:p>
      <w:pPr>
        <w:pStyle w:val="4"/>
        <w:numPr>
          <w:ilvl w:val="0"/>
          <w:numId w:val="25"/>
        </w:numPr>
        <w:spacing w:before="319" w:beforeLines="100" w:after="478" w:afterLines="150" w:line="500" w:lineRule="exact"/>
        <w:jc w:val="center"/>
        <w:outlineLvl w:val="1"/>
        <w:rPr>
          <w:rFonts w:ascii="宋体" w:hAnsi="宋体" w:cs="宋体"/>
          <w:sz w:val="36"/>
          <w:szCs w:val="36"/>
        </w:rPr>
      </w:pPr>
      <w:r>
        <w:rPr>
          <w:rFonts w:hint="eastAsia" w:ascii="宋体" w:hAnsi="宋体" w:cs="宋体"/>
          <w:sz w:val="36"/>
          <w:szCs w:val="36"/>
        </w:rPr>
        <w:t xml:space="preserve"> </w:t>
      </w:r>
      <w:bookmarkEnd w:id="161"/>
      <w:bookmarkStart w:id="162" w:name="_Toc19767"/>
      <w:bookmarkStart w:id="163" w:name="_Toc12164"/>
      <w:r>
        <w:rPr>
          <w:rFonts w:hint="eastAsia" w:ascii="宋体" w:hAnsi="宋体" w:cs="宋体"/>
          <w:sz w:val="36"/>
          <w:szCs w:val="36"/>
        </w:rPr>
        <w:t>报价一览表</w:t>
      </w:r>
      <w:bookmarkEnd w:id="162"/>
      <w:bookmarkEnd w:id="163"/>
    </w:p>
    <w:p>
      <w:pPr>
        <w:kinsoku w:val="0"/>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山阳县疾病预防控制中心山阳县农村职业技能培训基地附属设施采购项目</w:t>
      </w:r>
      <w:r>
        <w:rPr>
          <w:rFonts w:hint="eastAsia" w:ascii="宋体" w:hAnsi="宋体" w:cs="宋体"/>
          <w:sz w:val="24"/>
          <w:szCs w:val="24"/>
        </w:rPr>
        <w:t xml:space="preserve">                      </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30"/>
        <w:tblpPr w:leftFromText="180" w:rightFromText="180" w:vertAnchor="text" w:horzAnchor="margin" w:tblpXSpec="center" w:tblpY="205"/>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2530"/>
        <w:gridCol w:w="1887"/>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216" w:type="dxa"/>
            <w:tcBorders>
              <w:tl2br w:val="single" w:color="auto" w:sz="4" w:space="0"/>
            </w:tcBorders>
            <w:vAlign w:val="center"/>
          </w:tcPr>
          <w:p>
            <w:pPr>
              <w:kinsoku w:val="0"/>
              <w:ind w:firstLine="720" w:firstLineChars="300"/>
              <w:rPr>
                <w:rFonts w:ascii="宋体" w:hAnsi="宋体" w:cs="宋体"/>
                <w:sz w:val="24"/>
                <w:szCs w:val="24"/>
              </w:rPr>
            </w:pPr>
            <w:r>
              <w:rPr>
                <w:rFonts w:hint="eastAsia" w:ascii="宋体" w:hAnsi="宋体" w:cs="宋体"/>
                <w:sz w:val="24"/>
                <w:szCs w:val="24"/>
              </w:rPr>
              <w:t>报价内容</w:t>
            </w:r>
          </w:p>
          <w:p>
            <w:pPr>
              <w:pStyle w:val="6"/>
              <w:numPr>
                <w:ilvl w:val="3"/>
                <w:numId w:val="0"/>
              </w:numPr>
              <w:outlineLvl w:val="9"/>
              <w:rPr>
                <w:rFonts w:hint="default" w:ascii="宋体" w:hAnsi="宋体" w:cs="宋体"/>
              </w:rPr>
            </w:pPr>
          </w:p>
          <w:p>
            <w:pPr>
              <w:kinsoku w:val="0"/>
              <w:rPr>
                <w:rFonts w:ascii="宋体" w:hAnsi="宋体" w:cs="宋体"/>
                <w:sz w:val="24"/>
                <w:szCs w:val="24"/>
              </w:rPr>
            </w:pPr>
            <w:r>
              <w:rPr>
                <w:rFonts w:hint="eastAsia" w:ascii="宋体" w:hAnsi="宋体" w:cs="宋体"/>
                <w:sz w:val="24"/>
                <w:szCs w:val="24"/>
              </w:rPr>
              <w:t>投标内容</w:t>
            </w:r>
          </w:p>
        </w:tc>
        <w:tc>
          <w:tcPr>
            <w:tcW w:w="2530" w:type="dxa"/>
            <w:vAlign w:val="center"/>
          </w:tcPr>
          <w:p>
            <w:pPr>
              <w:kinsoku w:val="0"/>
              <w:jc w:val="center"/>
              <w:rPr>
                <w:rFonts w:ascii="宋体" w:hAnsi="宋体" w:cs="宋体"/>
                <w:sz w:val="24"/>
                <w:szCs w:val="24"/>
              </w:rPr>
            </w:pPr>
            <w:r>
              <w:rPr>
                <w:rFonts w:hint="eastAsia" w:ascii="宋体" w:hAnsi="宋体" w:cs="宋体"/>
                <w:sz w:val="24"/>
                <w:szCs w:val="24"/>
              </w:rPr>
              <w:t>总报价</w:t>
            </w:r>
          </w:p>
        </w:tc>
        <w:tc>
          <w:tcPr>
            <w:tcW w:w="1887" w:type="dxa"/>
            <w:vAlign w:val="center"/>
          </w:tcPr>
          <w:p>
            <w:pPr>
              <w:kinsoku w:val="0"/>
              <w:jc w:val="center"/>
              <w:rPr>
                <w:rFonts w:hint="eastAsia" w:ascii="宋体" w:hAnsi="宋体" w:eastAsia="宋体" w:cs="宋体"/>
                <w:sz w:val="24"/>
                <w:szCs w:val="24"/>
                <w:lang w:eastAsia="zh-CN"/>
              </w:rPr>
            </w:pPr>
            <w:r>
              <w:rPr>
                <w:rFonts w:hint="eastAsia" w:ascii="宋体" w:hAnsi="宋体" w:cs="宋体"/>
                <w:sz w:val="24"/>
                <w:szCs w:val="24"/>
                <w:lang w:eastAsia="zh-CN"/>
              </w:rPr>
              <w:t>交货期</w:t>
            </w:r>
          </w:p>
        </w:tc>
        <w:tc>
          <w:tcPr>
            <w:tcW w:w="1704" w:type="dxa"/>
            <w:vAlign w:val="center"/>
          </w:tcPr>
          <w:p>
            <w:pPr>
              <w:kinsoku w:val="0"/>
              <w:jc w:val="center"/>
              <w:rPr>
                <w:rFonts w:ascii="宋体" w:hAnsi="宋体" w:cs="宋体"/>
                <w:sz w:val="24"/>
                <w:szCs w:val="24"/>
              </w:rPr>
            </w:pPr>
            <w:r>
              <w:rPr>
                <w:rFonts w:hint="eastAsia" w:ascii="宋体" w:hAns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2216" w:type="dxa"/>
            <w:vAlign w:val="center"/>
          </w:tcPr>
          <w:p>
            <w:pPr>
              <w:kinsoku w:val="0"/>
              <w:jc w:val="left"/>
              <w:rPr>
                <w:rFonts w:hint="eastAsia" w:ascii="宋体" w:hAnsi="宋体" w:eastAsia="宋体" w:cs="宋体"/>
                <w:sz w:val="24"/>
                <w:szCs w:val="24"/>
                <w:lang w:eastAsia="zh-CN"/>
              </w:rPr>
            </w:pPr>
            <w:r>
              <w:rPr>
                <w:rFonts w:hint="eastAsia" w:ascii="宋体" w:hAnsi="宋体" w:cs="宋体"/>
                <w:sz w:val="24"/>
                <w:szCs w:val="24"/>
                <w:lang w:eastAsia="zh-CN"/>
              </w:rPr>
              <w:t>山阳县疾病预防控制中心山阳县农村职业技能培训基地附属设施采购项目</w:t>
            </w:r>
          </w:p>
        </w:tc>
        <w:tc>
          <w:tcPr>
            <w:tcW w:w="2530" w:type="dxa"/>
            <w:vAlign w:val="center"/>
          </w:tcPr>
          <w:p>
            <w:pPr>
              <w:kinsoku w:val="0"/>
              <w:jc w:val="center"/>
              <w:rPr>
                <w:rFonts w:ascii="宋体" w:hAnsi="宋体" w:cs="宋体"/>
                <w:sz w:val="24"/>
                <w:szCs w:val="24"/>
              </w:rPr>
            </w:pPr>
          </w:p>
        </w:tc>
        <w:tc>
          <w:tcPr>
            <w:tcW w:w="1887" w:type="dxa"/>
            <w:vAlign w:val="center"/>
          </w:tcPr>
          <w:p>
            <w:pPr>
              <w:kinsoku w:val="0"/>
              <w:jc w:val="center"/>
              <w:rPr>
                <w:rFonts w:ascii="宋体" w:hAnsi="宋体" w:cs="宋体"/>
                <w:sz w:val="24"/>
                <w:szCs w:val="24"/>
              </w:rPr>
            </w:pPr>
          </w:p>
        </w:tc>
        <w:tc>
          <w:tcPr>
            <w:tcW w:w="1704" w:type="dxa"/>
            <w:vAlign w:val="center"/>
          </w:tcPr>
          <w:p>
            <w:pPr>
              <w:kinsoku w:val="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337" w:type="dxa"/>
            <w:gridSpan w:val="4"/>
            <w:vAlign w:val="center"/>
          </w:tcPr>
          <w:p>
            <w:pPr>
              <w:kinsoku w:val="0"/>
              <w:jc w:val="left"/>
              <w:rPr>
                <w:rFonts w:ascii="宋体" w:hAnsi="宋体" w:cs="宋体"/>
                <w:sz w:val="24"/>
                <w:szCs w:val="24"/>
              </w:rPr>
            </w:pPr>
            <w:r>
              <w:rPr>
                <w:rFonts w:hint="eastAsia" w:ascii="宋体" w:hAnsi="宋体" w:cs="宋体"/>
                <w:sz w:val="24"/>
                <w:szCs w:val="24"/>
              </w:rPr>
              <w:t>表内报价以元为单位，保留小数点后两位。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outlineLvl w:val="9"/>
        <w:rPr>
          <w:rFonts w:ascii="宋体" w:hAnsi="宋体" w:cs="宋体"/>
          <w:b/>
          <w:bCs/>
          <w:spacing w:val="20"/>
          <w:kern w:val="0"/>
          <w:sz w:val="28"/>
          <w:szCs w:val="28"/>
        </w:rPr>
      </w:pPr>
      <w:bookmarkStart w:id="164" w:name="_Toc25619"/>
      <w:r>
        <w:rPr>
          <w:rFonts w:hint="eastAsia" w:ascii="宋体" w:hAnsi="宋体" w:cs="宋体"/>
          <w:b/>
          <w:bCs/>
          <w:spacing w:val="20"/>
          <w:kern w:val="0"/>
          <w:sz w:val="28"/>
          <w:szCs w:val="28"/>
        </w:rPr>
        <w:t>注：此表再制作一份原件单独密封递交，供唱标时使用。</w:t>
      </w:r>
      <w:bookmarkEnd w:id="164"/>
    </w:p>
    <w:p>
      <w:pPr>
        <w:widowControl/>
        <w:tabs>
          <w:tab w:val="left" w:pos="4000"/>
        </w:tabs>
        <w:snapToGrid w:val="0"/>
        <w:spacing w:line="300" w:lineRule="auto"/>
        <w:jc w:val="left"/>
        <w:outlineLvl w:val="9"/>
        <w:rPr>
          <w:rFonts w:ascii="宋体" w:hAnsi="宋体" w:cs="宋体"/>
          <w:b/>
          <w:bCs/>
          <w:spacing w:val="20"/>
          <w:kern w:val="0"/>
          <w:sz w:val="28"/>
          <w:szCs w:val="28"/>
        </w:rPr>
      </w:pPr>
      <w:r>
        <w:rPr>
          <w:rFonts w:hint="eastAsia" w:ascii="宋体" w:hAnsi="宋体" w:cs="宋体"/>
          <w:b/>
          <w:bCs/>
          <w:spacing w:val="20"/>
          <w:kern w:val="0"/>
          <w:sz w:val="28"/>
          <w:szCs w:val="28"/>
        </w:rPr>
        <w:t xml:space="preserve">    </w:t>
      </w:r>
      <w:bookmarkStart w:id="165" w:name="_Toc31361"/>
      <w:r>
        <w:rPr>
          <w:rFonts w:hint="eastAsia" w:ascii="宋体" w:hAnsi="宋体" w:cs="宋体"/>
          <w:b/>
          <w:bCs/>
          <w:spacing w:val="20"/>
          <w:kern w:val="0"/>
          <w:sz w:val="28"/>
          <w:szCs w:val="28"/>
        </w:rPr>
        <w:t>请写明大写、小写。</w:t>
      </w:r>
      <w:bookmarkEnd w:id="165"/>
    </w:p>
    <w:p>
      <w:pPr>
        <w:adjustRightInd w:val="0"/>
        <w:snapToGrid w:val="0"/>
        <w:spacing w:line="480" w:lineRule="auto"/>
        <w:jc w:val="left"/>
        <w:rPr>
          <w:rFonts w:ascii="宋体" w:hAnsi="宋体" w:cs="宋体"/>
          <w:sz w:val="28"/>
          <w:szCs w:val="28"/>
        </w:rPr>
      </w:pPr>
    </w:p>
    <w:p>
      <w:pPr>
        <w:adjustRightInd w:val="0"/>
        <w:snapToGrid w:val="0"/>
        <w:spacing w:line="480" w:lineRule="auto"/>
        <w:jc w:val="left"/>
        <w:outlineLvl w:val="9"/>
        <w:rPr>
          <w:rFonts w:ascii="宋体" w:hAnsi="宋体" w:cs="宋体"/>
          <w:sz w:val="24"/>
          <w:szCs w:val="24"/>
          <w:u w:val="single"/>
        </w:rPr>
      </w:pPr>
      <w:bookmarkStart w:id="166" w:name="_Toc27684"/>
      <w:r>
        <w:rPr>
          <w:rFonts w:hint="eastAsia" w:ascii="宋体" w:hAnsi="宋体" w:cs="宋体"/>
          <w:sz w:val="24"/>
          <w:szCs w:val="24"/>
        </w:rPr>
        <w:t>供应商（单位名称及公章）：____________________</w:t>
      </w:r>
      <w:bookmarkEnd w:id="166"/>
    </w:p>
    <w:p>
      <w:pPr>
        <w:adjustRightInd w:val="0"/>
        <w:snapToGrid w:val="0"/>
        <w:spacing w:line="480" w:lineRule="auto"/>
        <w:outlineLvl w:val="9"/>
        <w:rPr>
          <w:rFonts w:ascii="宋体" w:hAnsi="宋体" w:cs="宋体"/>
          <w:sz w:val="24"/>
          <w:szCs w:val="24"/>
        </w:rPr>
      </w:pPr>
      <w:bookmarkStart w:id="167" w:name="_Toc24420"/>
      <w:r>
        <w:rPr>
          <w:rFonts w:hint="eastAsia" w:ascii="宋体" w:hAnsi="宋体" w:cs="宋体"/>
          <w:sz w:val="24"/>
          <w:szCs w:val="24"/>
        </w:rPr>
        <w:t>法定代表人或被授权人（签字或盖章）：____________________</w:t>
      </w:r>
      <w:bookmarkEnd w:id="167"/>
    </w:p>
    <w:p>
      <w:pPr>
        <w:adjustRightInd w:val="0"/>
        <w:snapToGrid w:val="0"/>
        <w:spacing w:line="480" w:lineRule="auto"/>
        <w:outlineLvl w:val="9"/>
        <w:rPr>
          <w:rFonts w:ascii="宋体" w:hAnsi="宋体" w:cs="宋体"/>
          <w:b/>
          <w:sz w:val="24"/>
          <w:szCs w:val="24"/>
        </w:rPr>
        <w:sectPr>
          <w:pgSz w:w="11906" w:h="16838"/>
          <w:pgMar w:top="1440" w:right="1803" w:bottom="1440" w:left="1803" w:header="851" w:footer="992" w:gutter="0"/>
          <w:pgNumType w:fmt="decimal"/>
          <w:cols w:space="720" w:num="1"/>
          <w:docGrid w:type="lines" w:linePitch="319" w:charSpace="0"/>
        </w:sectPr>
      </w:pPr>
      <w:bookmarkStart w:id="168" w:name="_Toc14425"/>
      <w:r>
        <w:rPr>
          <w:rFonts w:hint="eastAsia" w:ascii="宋体" w:hAnsi="宋体" w:cs="宋体"/>
          <w:sz w:val="24"/>
          <w:szCs w:val="24"/>
        </w:rPr>
        <w:t>日    期：  _____年_____  月_____</w:t>
      </w:r>
      <w:bookmarkEnd w:id="168"/>
    </w:p>
    <w:p>
      <w:pPr>
        <w:pStyle w:val="9"/>
        <w:ind w:firstLine="0"/>
        <w:jc w:val="center"/>
        <w:rPr>
          <w:rFonts w:ascii="宋体" w:hAnsi="宋体" w:cs="宋体"/>
          <w:b/>
          <w:bCs/>
          <w:sz w:val="36"/>
          <w:szCs w:val="36"/>
        </w:rPr>
      </w:pPr>
      <w:bookmarkStart w:id="169" w:name="_Toc3356"/>
      <w:bookmarkStart w:id="170" w:name="_Toc9034"/>
      <w:bookmarkStart w:id="171" w:name="_Toc10126"/>
      <w:r>
        <w:rPr>
          <w:rFonts w:hint="eastAsia" w:ascii="宋体" w:hAnsi="宋体" w:cs="宋体"/>
          <w:b/>
          <w:bCs/>
          <w:sz w:val="36"/>
          <w:szCs w:val="36"/>
        </w:rPr>
        <w:t>分项报价表</w:t>
      </w:r>
    </w:p>
    <w:p>
      <w:pPr>
        <w:spacing w:after="120"/>
        <w:jc w:val="left"/>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山阳县疾病预防控制中心山阳县农村职业技能培训基地附属设施采购项目</w:t>
      </w:r>
    </w:p>
    <w:p>
      <w:pPr>
        <w:kinsoku w:val="0"/>
        <w:spacing w:line="360" w:lineRule="auto"/>
        <w:jc w:val="left"/>
        <w:rPr>
          <w:rFonts w:hint="eastAsia" w:ascii="宋体" w:hAnsi="宋体" w:eastAsia="宋体" w:cs="宋体"/>
          <w:sz w:val="24"/>
          <w:szCs w:val="24"/>
          <w:lang w:eastAsia="zh-CN"/>
        </w:rPr>
      </w:pPr>
      <w:r>
        <w:rPr>
          <w:rFonts w:hint="eastAsia" w:ascii="宋体" w:hAnsi="宋体" w:cs="宋体"/>
          <w:sz w:val="24"/>
          <w:szCs w:val="24"/>
        </w:rPr>
        <w:t xml:space="preserve">项目编号： </w:t>
      </w:r>
      <w:r>
        <w:rPr>
          <w:rFonts w:hint="eastAsia" w:ascii="宋体" w:hAnsi="宋体" w:cs="宋体"/>
          <w:sz w:val="24"/>
          <w:szCs w:val="24"/>
          <w:lang w:eastAsia="zh-CN"/>
        </w:rPr>
        <w:t>ZMZB2022SYJK-288</w:t>
      </w:r>
    </w:p>
    <w:tbl>
      <w:tblPr>
        <w:tblStyle w:val="30"/>
        <w:tblpPr w:leftFromText="180" w:rightFromText="180" w:vertAnchor="text" w:horzAnchor="page" w:tblpX="1534" w:tblpY="373"/>
        <w:tblOverlap w:val="never"/>
        <w:tblW w:w="9214" w:type="dxa"/>
        <w:tblInd w:w="0" w:type="dxa"/>
        <w:tblLayout w:type="fixed"/>
        <w:tblCellMar>
          <w:top w:w="0" w:type="dxa"/>
          <w:left w:w="28" w:type="dxa"/>
          <w:bottom w:w="0" w:type="dxa"/>
          <w:right w:w="28" w:type="dxa"/>
        </w:tblCellMar>
      </w:tblPr>
      <w:tblGrid>
        <w:gridCol w:w="1167"/>
        <w:gridCol w:w="539"/>
        <w:gridCol w:w="803"/>
        <w:gridCol w:w="598"/>
        <w:gridCol w:w="979"/>
        <w:gridCol w:w="1596"/>
        <w:gridCol w:w="984"/>
        <w:gridCol w:w="1376"/>
        <w:gridCol w:w="1172"/>
      </w:tblGrid>
      <w:tr>
        <w:tblPrEx>
          <w:tblCellMar>
            <w:top w:w="0" w:type="dxa"/>
            <w:left w:w="28" w:type="dxa"/>
            <w:bottom w:w="0" w:type="dxa"/>
            <w:right w:w="28" w:type="dxa"/>
          </w:tblCellMar>
        </w:tblPrEx>
        <w:trPr>
          <w:trHeight w:val="675" w:hRule="atLeast"/>
        </w:trPr>
        <w:tc>
          <w:tcPr>
            <w:tcW w:w="1167" w:type="dxa"/>
            <w:vMerge w:val="restart"/>
            <w:tcBorders>
              <w:top w:val="single" w:color="auto" w:sz="6" w:space="0"/>
              <w:left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产品费用</w:t>
            </w:r>
          </w:p>
        </w:tc>
        <w:tc>
          <w:tcPr>
            <w:tcW w:w="539"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序号</w:t>
            </w:r>
          </w:p>
        </w:tc>
        <w:tc>
          <w:tcPr>
            <w:tcW w:w="80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名称</w:t>
            </w:r>
          </w:p>
        </w:tc>
        <w:tc>
          <w:tcPr>
            <w:tcW w:w="59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cs="宋体"/>
                <w:sz w:val="24"/>
                <w:szCs w:val="24"/>
              </w:rPr>
            </w:pPr>
            <w:r>
              <w:rPr>
                <w:rFonts w:hint="eastAsia" w:ascii="宋体" w:hAnsi="宋体" w:cs="宋体"/>
                <w:sz w:val="24"/>
                <w:szCs w:val="24"/>
              </w:rPr>
              <w:t>品牌</w:t>
            </w:r>
          </w:p>
        </w:tc>
        <w:tc>
          <w:tcPr>
            <w:tcW w:w="979"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型号和规格</w:t>
            </w:r>
          </w:p>
        </w:tc>
        <w:tc>
          <w:tcPr>
            <w:tcW w:w="1596" w:type="dxa"/>
            <w:tcBorders>
              <w:top w:val="single" w:color="auto" w:sz="6" w:space="0"/>
              <w:left w:val="single" w:color="auto" w:sz="6" w:space="0"/>
              <w:bottom w:val="single" w:color="auto" w:sz="6" w:space="0"/>
              <w:right w:val="single" w:color="auto" w:sz="6" w:space="0"/>
            </w:tcBorders>
            <w:vAlign w:val="center"/>
          </w:tcPr>
          <w:p>
            <w:pPr>
              <w:spacing w:before="159" w:beforeLines="50" w:after="120"/>
              <w:jc w:val="center"/>
              <w:rPr>
                <w:rFonts w:hint="eastAsia" w:ascii="宋体" w:hAnsi="宋体" w:eastAsia="宋体" w:cs="宋体"/>
                <w:sz w:val="24"/>
                <w:szCs w:val="24"/>
                <w:lang w:eastAsia="zh-CN"/>
              </w:rPr>
            </w:pPr>
            <w:r>
              <w:rPr>
                <w:rFonts w:hint="eastAsia" w:ascii="宋体" w:hAnsi="宋体" w:cs="宋体"/>
                <w:sz w:val="24"/>
                <w:szCs w:val="24"/>
              </w:rPr>
              <w:t>原产地及制造</w:t>
            </w:r>
            <w:r>
              <w:rPr>
                <w:rFonts w:hint="eastAsia" w:ascii="宋体" w:hAnsi="宋体" w:cs="宋体"/>
                <w:sz w:val="24"/>
                <w:szCs w:val="24"/>
                <w:lang w:eastAsia="zh-CN"/>
              </w:rPr>
              <w:t>商</w:t>
            </w:r>
          </w:p>
        </w:tc>
        <w:tc>
          <w:tcPr>
            <w:tcW w:w="98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数量</w:t>
            </w:r>
          </w:p>
        </w:tc>
        <w:tc>
          <w:tcPr>
            <w:tcW w:w="13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单价</w:t>
            </w:r>
          </w:p>
          <w:p>
            <w:pPr>
              <w:spacing w:after="120"/>
              <w:jc w:val="center"/>
              <w:rPr>
                <w:rFonts w:ascii="宋体" w:hAnsi="宋体" w:cs="宋体"/>
                <w:sz w:val="24"/>
                <w:szCs w:val="24"/>
              </w:rPr>
            </w:pPr>
            <w:r>
              <w:rPr>
                <w:rFonts w:hint="eastAsia" w:ascii="宋体" w:hAnsi="宋体" w:cs="宋体"/>
                <w:sz w:val="24"/>
                <w:szCs w:val="24"/>
              </w:rPr>
              <w:t>（元）</w:t>
            </w:r>
          </w:p>
        </w:tc>
        <w:tc>
          <w:tcPr>
            <w:tcW w:w="11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总价</w:t>
            </w:r>
          </w:p>
          <w:p>
            <w:pPr>
              <w:spacing w:after="120"/>
              <w:jc w:val="center"/>
              <w:rPr>
                <w:rFonts w:ascii="宋体" w:hAnsi="宋体" w:cs="宋体"/>
                <w:sz w:val="24"/>
                <w:szCs w:val="24"/>
              </w:rPr>
            </w:pPr>
            <w:r>
              <w:rPr>
                <w:rFonts w:hint="eastAsia" w:ascii="宋体" w:hAnsi="宋体" w:cs="宋体"/>
                <w:sz w:val="24"/>
                <w:szCs w:val="24"/>
              </w:rPr>
              <w:t>（元）</w:t>
            </w: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6" w:space="0"/>
              <w:left w:val="single" w:color="auto" w:sz="4" w:space="0"/>
              <w:bottom w:val="single" w:color="auto" w:sz="4"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1</w:t>
            </w:r>
          </w:p>
        </w:tc>
        <w:tc>
          <w:tcPr>
            <w:tcW w:w="80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6" w:space="0"/>
              <w:left w:val="single" w:color="auto" w:sz="6" w:space="0"/>
              <w:bottom w:val="single" w:color="auto" w:sz="4"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6" w:space="0"/>
              <w:left w:val="single" w:color="auto" w:sz="4"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2</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3</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bottom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b/>
                <w:bCs/>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5682" w:type="dxa"/>
            <w:gridSpan w:val="6"/>
            <w:tcBorders>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r>
              <w:rPr>
                <w:rFonts w:hint="eastAsia" w:ascii="宋体" w:hAnsi="宋体" w:cs="宋体"/>
                <w:sz w:val="24"/>
                <w:szCs w:val="24"/>
                <w:lang w:eastAsia="zh-CN"/>
              </w:rPr>
              <w:t>合计</w:t>
            </w:r>
          </w:p>
        </w:tc>
        <w:tc>
          <w:tcPr>
            <w:tcW w:w="3532" w:type="dxa"/>
            <w:gridSpan w:val="3"/>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7508"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rPr>
                <w:rFonts w:ascii="宋体" w:hAnsi="宋体" w:cs="宋体"/>
                <w:sz w:val="24"/>
                <w:szCs w:val="24"/>
              </w:rPr>
            </w:pPr>
            <w:r>
              <w:rPr>
                <w:rFonts w:hint="eastAsia" w:ascii="宋体" w:hAnsi="宋体" w:cs="宋体"/>
                <w:sz w:val="24"/>
                <w:szCs w:val="24"/>
              </w:rPr>
              <w:t>表内报价内容以元为单位，精确到小数点后两位。</w:t>
            </w:r>
          </w:p>
        </w:tc>
      </w:tr>
    </w:tbl>
    <w:p>
      <w:pPr>
        <w:adjustRightInd w:val="0"/>
        <w:snapToGrid w:val="0"/>
        <w:spacing w:line="500" w:lineRule="exact"/>
        <w:ind w:firstLine="480" w:firstLineChars="200"/>
        <w:jc w:val="left"/>
        <w:rPr>
          <w:rFonts w:ascii="宋体" w:hAnsi="宋体" w:cs="宋体"/>
          <w:sz w:val="24"/>
          <w:szCs w:val="24"/>
        </w:rPr>
      </w:pPr>
    </w:p>
    <w:p>
      <w:pPr>
        <w:adjustRightInd w:val="0"/>
        <w:snapToGrid w:val="0"/>
        <w:spacing w:line="480" w:lineRule="auto"/>
        <w:jc w:val="left"/>
        <w:rPr>
          <w:rFonts w:ascii="宋体" w:hAnsi="宋体" w:cs="宋体"/>
          <w:sz w:val="28"/>
          <w:szCs w:val="28"/>
        </w:rPr>
      </w:pPr>
    </w:p>
    <w:p>
      <w:pPr>
        <w:adjustRightInd w:val="0"/>
        <w:snapToGrid w:val="0"/>
        <w:spacing w:line="480" w:lineRule="auto"/>
        <w:jc w:val="left"/>
        <w:outlineLvl w:val="9"/>
        <w:rPr>
          <w:rFonts w:ascii="宋体" w:hAnsi="宋体" w:cs="宋体"/>
          <w:sz w:val="24"/>
          <w:szCs w:val="24"/>
          <w:u w:val="single"/>
        </w:rPr>
      </w:pPr>
      <w:bookmarkStart w:id="172" w:name="_Toc13260"/>
      <w:r>
        <w:rPr>
          <w:rFonts w:hint="eastAsia" w:ascii="宋体" w:hAnsi="宋体" w:cs="宋体"/>
          <w:sz w:val="24"/>
          <w:szCs w:val="24"/>
        </w:rPr>
        <w:t>供应商（单位名称及公章）：____________________</w:t>
      </w:r>
      <w:bookmarkEnd w:id="172"/>
    </w:p>
    <w:p>
      <w:pPr>
        <w:adjustRightInd w:val="0"/>
        <w:snapToGrid w:val="0"/>
        <w:spacing w:line="480" w:lineRule="auto"/>
        <w:outlineLvl w:val="9"/>
        <w:rPr>
          <w:rFonts w:ascii="宋体" w:hAnsi="宋体" w:cs="宋体"/>
          <w:sz w:val="24"/>
          <w:szCs w:val="24"/>
        </w:rPr>
      </w:pPr>
      <w:bookmarkStart w:id="173" w:name="_Toc4910"/>
      <w:r>
        <w:rPr>
          <w:rFonts w:hint="eastAsia" w:ascii="宋体" w:hAnsi="宋体" w:cs="宋体"/>
          <w:sz w:val="24"/>
          <w:szCs w:val="24"/>
        </w:rPr>
        <w:t>法定代表人或被授权人（签字或盖章）：____________________</w:t>
      </w:r>
      <w:bookmarkEnd w:id="173"/>
    </w:p>
    <w:p>
      <w:pPr>
        <w:adjustRightInd w:val="0"/>
        <w:snapToGrid w:val="0"/>
        <w:spacing w:line="480" w:lineRule="auto"/>
        <w:outlineLvl w:val="9"/>
        <w:rPr>
          <w:rFonts w:ascii="宋体" w:hAnsi="宋体" w:cs="宋体"/>
          <w:b/>
          <w:sz w:val="24"/>
          <w:szCs w:val="24"/>
        </w:rPr>
        <w:sectPr>
          <w:pgSz w:w="11906" w:h="16838"/>
          <w:pgMar w:top="1440" w:right="1803" w:bottom="1440" w:left="1803" w:header="851" w:footer="992" w:gutter="0"/>
          <w:pgNumType w:fmt="decimal"/>
          <w:cols w:space="720" w:num="1"/>
          <w:docGrid w:type="lines" w:linePitch="319" w:charSpace="0"/>
        </w:sectPr>
      </w:pPr>
      <w:bookmarkStart w:id="174" w:name="_Toc4550"/>
      <w:r>
        <w:rPr>
          <w:rFonts w:hint="eastAsia" w:ascii="宋体" w:hAnsi="宋体" w:cs="宋体"/>
          <w:sz w:val="24"/>
          <w:szCs w:val="24"/>
        </w:rPr>
        <w:t>日    期：  _________</w:t>
      </w:r>
      <w:bookmarkEnd w:id="174"/>
    </w:p>
    <w:p>
      <w:pPr>
        <w:pStyle w:val="4"/>
        <w:jc w:val="center"/>
        <w:outlineLvl w:val="1"/>
        <w:rPr>
          <w:rFonts w:ascii="宋体" w:hAnsi="宋体" w:cs="宋体"/>
        </w:rPr>
      </w:pPr>
      <w:bookmarkStart w:id="175" w:name="_Toc5195"/>
      <w:bookmarkStart w:id="176" w:name="_Toc17650"/>
      <w:r>
        <w:rPr>
          <w:rFonts w:hint="eastAsia" w:ascii="宋体" w:hAnsi="宋体" w:cs="宋体"/>
        </w:rPr>
        <w:t>第三部分</w:t>
      </w:r>
      <w:bookmarkEnd w:id="169"/>
      <w:r>
        <w:rPr>
          <w:rFonts w:hint="eastAsia" w:ascii="宋体" w:hAnsi="宋体" w:cs="宋体"/>
          <w:sz w:val="36"/>
          <w:szCs w:val="36"/>
        </w:rPr>
        <w:t xml:space="preserve"> </w:t>
      </w:r>
      <w:r>
        <w:rPr>
          <w:rFonts w:hint="eastAsia" w:ascii="宋体" w:hAnsi="宋体" w:cs="宋体"/>
        </w:rPr>
        <w:t>商务及技术响应说明</w:t>
      </w:r>
      <w:bookmarkEnd w:id="175"/>
      <w:bookmarkEnd w:id="176"/>
    </w:p>
    <w:p>
      <w:pPr>
        <w:pStyle w:val="9"/>
        <w:ind w:firstLine="0"/>
        <w:rPr>
          <w:rFonts w:ascii="宋体" w:hAnsi="宋体" w:cs="宋体"/>
        </w:rPr>
      </w:pPr>
    </w:p>
    <w:p>
      <w:pPr>
        <w:jc w:val="center"/>
        <w:outlineLvl w:val="1"/>
        <w:rPr>
          <w:rFonts w:ascii="宋体" w:hAnsi="宋体" w:cs="宋体"/>
          <w:b/>
          <w:bCs/>
          <w:sz w:val="28"/>
          <w:szCs w:val="32"/>
        </w:rPr>
      </w:pPr>
      <w:bookmarkStart w:id="177" w:name="_Toc9958"/>
      <w:bookmarkStart w:id="178" w:name="_Toc21465"/>
      <w:r>
        <w:rPr>
          <w:rFonts w:hint="eastAsia" w:ascii="宋体" w:hAnsi="宋体" w:cs="宋体"/>
          <w:b/>
          <w:bCs/>
          <w:sz w:val="28"/>
          <w:szCs w:val="32"/>
        </w:rPr>
        <w:t>商务偏离表</w:t>
      </w:r>
      <w:bookmarkEnd w:id="177"/>
      <w:bookmarkEnd w:id="178"/>
    </w:p>
    <w:tbl>
      <w:tblPr>
        <w:tblStyle w:val="30"/>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0"/>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0"/>
              <w:spacing w:line="360" w:lineRule="auto"/>
              <w:jc w:val="center"/>
              <w:rPr>
                <w:rFonts w:hAnsi="宋体" w:cs="宋体"/>
                <w:sz w:val="24"/>
                <w:szCs w:val="24"/>
              </w:rPr>
            </w:pPr>
            <w:r>
              <w:rPr>
                <w:rFonts w:hint="eastAsia" w:hAnsi="宋体" w:cs="宋体"/>
                <w:sz w:val="24"/>
                <w:szCs w:val="24"/>
              </w:rPr>
              <w:t>商务要求</w:t>
            </w:r>
          </w:p>
          <w:p>
            <w:pPr>
              <w:pStyle w:val="10"/>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0"/>
              <w:spacing w:line="360" w:lineRule="auto"/>
              <w:jc w:val="center"/>
              <w:rPr>
                <w:rFonts w:hAnsi="宋体" w:cs="宋体"/>
                <w:sz w:val="24"/>
                <w:szCs w:val="24"/>
              </w:rPr>
            </w:pPr>
            <w:r>
              <w:rPr>
                <w:rFonts w:hint="eastAsia" w:hAnsi="宋体" w:cs="宋体"/>
                <w:sz w:val="24"/>
                <w:szCs w:val="24"/>
              </w:rPr>
              <w:t>投标文件</w:t>
            </w:r>
          </w:p>
          <w:p>
            <w:pPr>
              <w:pStyle w:val="10"/>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0"/>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vAlign w:val="center"/>
          </w:tcPr>
          <w:p>
            <w:pPr>
              <w:pStyle w:val="10"/>
              <w:spacing w:line="480" w:lineRule="auto"/>
              <w:ind w:firstLine="480" w:firstLineChars="200"/>
              <w:jc w:val="left"/>
              <w:rPr>
                <w:rFonts w:hAnsi="宋体" w:cs="宋体"/>
                <w:sz w:val="24"/>
                <w:szCs w:val="24"/>
              </w:rPr>
            </w:pPr>
          </w:p>
        </w:tc>
        <w:tc>
          <w:tcPr>
            <w:tcW w:w="1938" w:type="dxa"/>
            <w:vAlign w:val="center"/>
          </w:tcPr>
          <w:p>
            <w:pPr>
              <w:pStyle w:val="10"/>
              <w:spacing w:line="480" w:lineRule="auto"/>
              <w:ind w:firstLine="480" w:firstLineChars="200"/>
              <w:jc w:val="left"/>
              <w:rPr>
                <w:rFonts w:hAnsi="宋体" w:cs="宋体"/>
                <w:sz w:val="24"/>
                <w:szCs w:val="24"/>
              </w:rPr>
            </w:pPr>
          </w:p>
        </w:tc>
        <w:tc>
          <w:tcPr>
            <w:tcW w:w="1410" w:type="dxa"/>
            <w:vAlign w:val="center"/>
          </w:tcPr>
          <w:p>
            <w:pPr>
              <w:pStyle w:val="10"/>
              <w:spacing w:line="480" w:lineRule="auto"/>
              <w:ind w:firstLine="480" w:firstLineChars="200"/>
              <w:jc w:val="left"/>
              <w:rPr>
                <w:rFonts w:hAnsi="宋体" w:cs="宋体"/>
                <w:sz w:val="24"/>
                <w:szCs w:val="24"/>
              </w:rPr>
            </w:pPr>
          </w:p>
        </w:tc>
        <w:tc>
          <w:tcPr>
            <w:tcW w:w="1356"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0"/>
              <w:spacing w:line="480" w:lineRule="auto"/>
              <w:jc w:val="left"/>
              <w:rPr>
                <w:rFonts w:hAnsi="宋体" w:cs="宋体"/>
                <w:sz w:val="24"/>
                <w:szCs w:val="24"/>
              </w:rPr>
            </w:pPr>
          </w:p>
        </w:tc>
        <w:tc>
          <w:tcPr>
            <w:tcW w:w="1521" w:type="dxa"/>
          </w:tcPr>
          <w:p>
            <w:pPr>
              <w:pStyle w:val="10"/>
              <w:spacing w:line="480" w:lineRule="auto"/>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bl>
    <w:p>
      <w:pPr>
        <w:pStyle w:val="9"/>
        <w:numPr>
          <w:ilvl w:val="0"/>
          <w:numId w:val="26"/>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9"/>
        <w:numPr>
          <w:ilvl w:val="0"/>
          <w:numId w:val="26"/>
        </w:numPr>
        <w:spacing w:line="360" w:lineRule="auto"/>
        <w:rPr>
          <w:rFonts w:ascii="宋体" w:hAnsi="宋体" w:cs="宋体"/>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9"/>
        <w:numPr>
          <w:ilvl w:val="0"/>
          <w:numId w:val="26"/>
        </w:numPr>
        <w:spacing w:line="360" w:lineRule="auto"/>
        <w:rPr>
          <w:rFonts w:ascii="宋体" w:hAnsi="宋体" w:cs="宋体"/>
          <w:sz w:val="24"/>
          <w:szCs w:val="24"/>
        </w:rPr>
      </w:pPr>
      <w:r>
        <w:rPr>
          <w:rFonts w:hint="eastAsia" w:ascii="宋体" w:hAnsi="宋体" w:cs="宋体"/>
          <w:b/>
          <w:bCs/>
          <w:sz w:val="24"/>
          <w:szCs w:val="24"/>
        </w:rPr>
        <w:t>该表可扩展。</w:t>
      </w:r>
    </w:p>
    <w:p>
      <w:pPr>
        <w:pStyle w:val="9"/>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8" w:type="default"/>
          <w:footerReference r:id="rId19"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jc w:val="center"/>
        <w:outlineLvl w:val="1"/>
        <w:rPr>
          <w:rFonts w:ascii="宋体" w:hAnsi="宋体" w:cs="宋体"/>
          <w:b/>
          <w:bCs/>
          <w:sz w:val="28"/>
          <w:szCs w:val="32"/>
        </w:rPr>
      </w:pPr>
      <w:bookmarkStart w:id="179" w:name="_Toc18769"/>
      <w:bookmarkStart w:id="180" w:name="_Toc23359"/>
      <w:r>
        <w:rPr>
          <w:rFonts w:hint="eastAsia" w:ascii="宋体" w:hAnsi="宋体" w:cs="宋体"/>
          <w:b/>
          <w:bCs/>
          <w:sz w:val="28"/>
          <w:szCs w:val="32"/>
        </w:rPr>
        <w:t>技术偏离表</w:t>
      </w:r>
      <w:bookmarkEnd w:id="179"/>
      <w:bookmarkEnd w:id="180"/>
    </w:p>
    <w:p>
      <w:pPr>
        <w:pStyle w:val="9"/>
        <w:ind w:firstLine="0"/>
        <w:rPr>
          <w:rFonts w:ascii="宋体" w:hAnsi="宋体" w:cs="宋体"/>
        </w:rPr>
      </w:pPr>
    </w:p>
    <w:p>
      <w:pPr>
        <w:rPr>
          <w:rFonts w:ascii="宋体" w:hAnsi="宋体" w:cs="宋体"/>
          <w:sz w:val="24"/>
          <w:szCs w:val="24"/>
        </w:rPr>
      </w:pPr>
    </w:p>
    <w:tbl>
      <w:tblPr>
        <w:tblStyle w:val="30"/>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0"/>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vAlign w:val="center"/>
          </w:tcPr>
          <w:p>
            <w:pPr>
              <w:pStyle w:val="10"/>
              <w:spacing w:line="480" w:lineRule="auto"/>
              <w:ind w:firstLine="480" w:firstLineChars="200"/>
              <w:jc w:val="left"/>
              <w:rPr>
                <w:rFonts w:hAnsi="宋体" w:cs="宋体"/>
                <w:sz w:val="24"/>
                <w:szCs w:val="24"/>
              </w:rPr>
            </w:pPr>
          </w:p>
        </w:tc>
        <w:tc>
          <w:tcPr>
            <w:tcW w:w="1938" w:type="dxa"/>
            <w:vAlign w:val="center"/>
          </w:tcPr>
          <w:p>
            <w:pPr>
              <w:pStyle w:val="10"/>
              <w:spacing w:line="480" w:lineRule="auto"/>
              <w:ind w:firstLine="480" w:firstLineChars="200"/>
              <w:jc w:val="left"/>
              <w:rPr>
                <w:rFonts w:hAnsi="宋体" w:cs="宋体"/>
                <w:sz w:val="24"/>
                <w:szCs w:val="24"/>
              </w:rPr>
            </w:pPr>
          </w:p>
        </w:tc>
        <w:tc>
          <w:tcPr>
            <w:tcW w:w="1410" w:type="dxa"/>
            <w:vAlign w:val="center"/>
          </w:tcPr>
          <w:p>
            <w:pPr>
              <w:pStyle w:val="10"/>
              <w:spacing w:line="480" w:lineRule="auto"/>
              <w:ind w:firstLine="480" w:firstLineChars="200"/>
              <w:jc w:val="left"/>
              <w:rPr>
                <w:rFonts w:hAnsi="宋体" w:cs="宋体"/>
                <w:sz w:val="24"/>
                <w:szCs w:val="24"/>
              </w:rPr>
            </w:pPr>
          </w:p>
        </w:tc>
        <w:tc>
          <w:tcPr>
            <w:tcW w:w="1356"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0"/>
              <w:spacing w:line="480" w:lineRule="auto"/>
              <w:jc w:val="left"/>
              <w:rPr>
                <w:rFonts w:hAnsi="宋体" w:cs="宋体"/>
                <w:sz w:val="24"/>
                <w:szCs w:val="24"/>
              </w:rPr>
            </w:pPr>
          </w:p>
        </w:tc>
        <w:tc>
          <w:tcPr>
            <w:tcW w:w="1521" w:type="dxa"/>
          </w:tcPr>
          <w:p>
            <w:pPr>
              <w:pStyle w:val="10"/>
              <w:spacing w:line="480" w:lineRule="auto"/>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bl>
    <w:p>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bookmarkEnd w:id="170"/>
    <w:bookmarkEnd w:id="171"/>
    <w:p>
      <w:pPr>
        <w:rPr>
          <w:rFonts w:ascii="宋体" w:hAnsi="宋体" w:cs="宋体"/>
        </w:rPr>
      </w:pPr>
      <w:bookmarkStart w:id="181" w:name="OLE_LINK1"/>
      <w:bookmarkStart w:id="182" w:name="_Toc31390"/>
    </w:p>
    <w:bookmarkEnd w:id="181"/>
    <w:p>
      <w:pPr>
        <w:pStyle w:val="4"/>
        <w:jc w:val="center"/>
        <w:outlineLvl w:val="1"/>
        <w:rPr>
          <w:rFonts w:ascii="宋体" w:hAnsi="宋体" w:cs="宋体"/>
          <w:sz w:val="36"/>
          <w:szCs w:val="36"/>
        </w:rPr>
      </w:pPr>
      <w:bookmarkStart w:id="183" w:name="_Toc6356"/>
      <w:bookmarkStart w:id="184" w:name="_Toc8621"/>
      <w:bookmarkStart w:id="185" w:name="_Toc13586"/>
      <w:bookmarkStart w:id="186" w:name="_Toc10114"/>
      <w:r>
        <w:rPr>
          <w:rFonts w:hint="eastAsia" w:ascii="宋体" w:hAnsi="宋体" w:cs="宋体"/>
          <w:sz w:val="36"/>
          <w:szCs w:val="36"/>
        </w:rPr>
        <w:t>第四部分  供应商资格要求</w:t>
      </w:r>
      <w:bookmarkEnd w:id="183"/>
      <w:bookmarkEnd w:id="184"/>
      <w:bookmarkEnd w:id="185"/>
      <w:bookmarkEnd w:id="186"/>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3"/>
        <w:rPr>
          <w:rFonts w:ascii="宋体" w:hAnsi="宋体" w:cs="宋体"/>
        </w:rPr>
        <w:sectPr>
          <w:headerReference r:id="rId20"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3"/>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3"/>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7"/>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3"/>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21"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w:t>
      </w:r>
      <w:r>
        <w:rPr>
          <w:rFonts w:hint="eastAsia" w:ascii="宋体" w:hAnsi="宋体" w:cs="宋体"/>
          <w:sz w:val="24"/>
          <w:szCs w:val="24"/>
          <w:lang w:val="en-US" w:eastAsia="zh-CN"/>
        </w:rPr>
        <w:t>2</w:t>
      </w:r>
      <w:r>
        <w:rPr>
          <w:rFonts w:hint="eastAsia" w:ascii="宋体" w:hAnsi="宋体" w:cs="宋体"/>
          <w:sz w:val="24"/>
          <w:szCs w:val="24"/>
        </w:rPr>
        <w:t>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5、税收缴纳证明：提供202</w:t>
      </w:r>
      <w:r>
        <w:rPr>
          <w:rFonts w:hint="eastAsia" w:ascii="宋体" w:hAnsi="宋体" w:cs="宋体"/>
          <w:sz w:val="24"/>
          <w:szCs w:val="24"/>
          <w:lang w:val="en-US" w:eastAsia="zh-CN"/>
        </w:rPr>
        <w:t>2</w:t>
      </w:r>
      <w:r>
        <w:rPr>
          <w:rFonts w:hint="eastAsia" w:ascii="宋体" w:hAnsi="宋体" w:cs="宋体"/>
          <w:sz w:val="24"/>
          <w:szCs w:val="24"/>
        </w:rPr>
        <w:t>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9"/>
      </w:pPr>
    </w:p>
    <w:p>
      <w:pPr>
        <w:tabs>
          <w:tab w:val="left" w:pos="2235"/>
        </w:tabs>
        <w:jc w:val="left"/>
        <w:rPr>
          <w:rFonts w:ascii="宋体" w:hAnsi="宋体" w:cs="宋体"/>
          <w:sz w:val="28"/>
          <w:szCs w:val="32"/>
        </w:rPr>
      </w:pPr>
      <w:r>
        <w:rPr>
          <w:rFonts w:hint="eastAsia" w:ascii="宋体" w:hAnsi="宋体" w:cs="宋体"/>
          <w:sz w:val="28"/>
          <w:szCs w:val="32"/>
        </w:rPr>
        <w:tab/>
      </w:r>
    </w:p>
    <w:p>
      <w:pPr>
        <w:pStyle w:val="9"/>
        <w:rPr>
          <w:rFonts w:ascii="宋体" w:hAnsi="宋体" w:cs="宋体"/>
          <w:sz w:val="28"/>
          <w:szCs w:val="32"/>
        </w:rPr>
      </w:pPr>
    </w:p>
    <w:p>
      <w:pPr>
        <w:pStyle w:val="10"/>
        <w:rPr>
          <w:rFonts w:hAnsi="宋体" w:cs="宋体"/>
          <w:sz w:val="28"/>
          <w:szCs w:val="32"/>
        </w:rPr>
      </w:pPr>
    </w:p>
    <w:p>
      <w:pPr>
        <w:pStyle w:val="10"/>
        <w:rPr>
          <w:rFonts w:hAnsi="宋体" w:cs="宋体"/>
          <w:sz w:val="28"/>
          <w:szCs w:val="32"/>
        </w:rPr>
      </w:pPr>
    </w:p>
    <w:p>
      <w:pPr>
        <w:pStyle w:val="10"/>
        <w:rPr>
          <w:rFonts w:hAnsi="宋体" w:cs="宋体"/>
          <w:sz w:val="28"/>
          <w:szCs w:val="32"/>
        </w:rPr>
      </w:pPr>
    </w:p>
    <w:p>
      <w:pPr>
        <w:pStyle w:val="10"/>
        <w:rPr>
          <w:rFonts w:hAnsi="宋体" w:cs="宋体"/>
          <w:sz w:val="28"/>
          <w:szCs w:val="32"/>
        </w:rPr>
      </w:pPr>
    </w:p>
    <w:p>
      <w:pPr>
        <w:pStyle w:val="10"/>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0"/>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10"/>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0"/>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0"/>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30"/>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0"/>
              <w:spacing w:line="500" w:lineRule="exact"/>
              <w:jc w:val="left"/>
              <w:rPr>
                <w:rFonts w:hAnsi="宋体" w:cs="宋体"/>
                <w:sz w:val="24"/>
                <w:szCs w:val="24"/>
                <w:shd w:val="pct10" w:color="auto" w:fill="FFFFFF"/>
              </w:rPr>
            </w:pPr>
          </w:p>
        </w:tc>
        <w:tc>
          <w:tcPr>
            <w:tcW w:w="4546" w:type="dxa"/>
            <w:shd w:val="clear" w:color="auto" w:fill="D9D9D9"/>
            <w:vAlign w:val="center"/>
          </w:tcPr>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0"/>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outlineLvl w:val="9"/>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187" w:name="_Toc12851"/>
      <w:bookmarkStart w:id="188" w:name="_Toc9172"/>
      <w:bookmarkStart w:id="189" w:name="_Toc1803"/>
    </w:p>
    <w:bookmarkEnd w:id="187"/>
    <w:bookmarkEnd w:id="188"/>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0" w:name="_Toc23165"/>
      <w:bookmarkStart w:id="191" w:name="_Toc18964"/>
      <w:bookmarkStart w:id="192" w:name="_Toc19138"/>
      <w:r>
        <w:rPr>
          <w:rFonts w:hint="eastAsia" w:ascii="宋体" w:hAnsi="宋体" w:cs="宋体"/>
          <w:sz w:val="24"/>
          <w:szCs w:val="24"/>
          <w:lang w:val="en-US" w:eastAsia="zh-CN"/>
        </w:rPr>
        <w:t>8、</w:t>
      </w:r>
      <w:r>
        <w:rPr>
          <w:rFonts w:hint="eastAsia" w:ascii="宋体" w:hAnsi="宋体" w:cs="宋体"/>
          <w:sz w:val="24"/>
          <w:szCs w:val="24"/>
          <w:lang w:eastAsia="zh-CN"/>
        </w:rPr>
        <w:t>供应商具备</w:t>
      </w:r>
      <w:r>
        <w:rPr>
          <w:rFonts w:hint="eastAsia" w:ascii="宋体" w:hAnsi="宋体" w:eastAsia="宋体" w:cs="宋体"/>
          <w:sz w:val="24"/>
          <w:szCs w:val="24"/>
        </w:rPr>
        <w:t>电子与智能化工程专业承包二级及以上资质，并具备合格有效的安全生产许可证；</w:t>
      </w:r>
    </w:p>
    <w:p>
      <w:pPr>
        <w:widowControl/>
        <w:spacing w:line="360" w:lineRule="auto"/>
        <w:ind w:left="840"/>
        <w:jc w:val="center"/>
        <w:rPr>
          <w:rFonts w:hint="eastAsia" w:ascii="宋体" w:hAnsi="宋体" w:cs="宋体"/>
          <w:sz w:val="32"/>
          <w:szCs w:val="32"/>
        </w:rPr>
        <w:sectPr>
          <w:headerReference r:id="rId22" w:type="default"/>
          <w:footerReference r:id="rId23" w:type="default"/>
          <w:pgSz w:w="11906" w:h="16838"/>
          <w:pgMar w:top="1440" w:right="1803" w:bottom="1440" w:left="1803" w:header="851" w:footer="992" w:gutter="0"/>
          <w:pgNumType w:fmt="decimal"/>
          <w:cols w:space="720" w:num="1"/>
          <w:docGrid w:type="lines" w:linePitch="319" w:charSpace="0"/>
        </w:sectPr>
      </w:pPr>
    </w:p>
    <w:p>
      <w:pPr>
        <w:numPr>
          <w:ilvl w:val="0"/>
          <w:numId w:val="28"/>
        </w:num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本项目为专门面向中小企业采购项目，供应商应出具中小企业声明函；</w:t>
      </w:r>
    </w:p>
    <w:p>
      <w:pPr>
        <w:pStyle w:val="5"/>
        <w:adjustRightInd w:val="0"/>
        <w:spacing w:line="416" w:lineRule="atLeast"/>
        <w:jc w:val="center"/>
        <w:textAlignment w:val="baseline"/>
        <w:outlineLvl w:val="2"/>
        <w:rPr>
          <w:rFonts w:ascii="宋体" w:hAnsi="宋体" w:cs="宋体"/>
        </w:rPr>
      </w:pPr>
      <w:r>
        <w:rPr>
          <w:rFonts w:hint="eastAsia" w:ascii="宋体" w:hAnsi="宋体" w:cs="宋体"/>
        </w:rPr>
        <w:t>中小企业</w:t>
      </w:r>
      <w:r>
        <w:rPr>
          <w:rFonts w:hint="eastAsia" w:ascii="宋体" w:hAnsi="宋体" w:cs="宋体"/>
          <w:lang w:eastAsia="zh-CN"/>
        </w:rPr>
        <w:t>声明函</w:t>
      </w:r>
      <w:r>
        <w:rPr>
          <w:rFonts w:hint="eastAsia" w:ascii="宋体" w:hAnsi="宋体" w:cs="宋体"/>
        </w:rPr>
        <w:t>（货物）</w:t>
      </w:r>
    </w:p>
    <w:p>
      <w:pPr>
        <w:pStyle w:val="2"/>
        <w:numPr>
          <w:ilvl w:val="0"/>
          <w:numId w:val="0"/>
        </w:numPr>
        <w:rPr>
          <w:rFonts w:hint="eastAsia"/>
          <w:lang w:eastAsia="zh-CN"/>
        </w:rPr>
      </w:pPr>
    </w:p>
    <w:p>
      <w:pPr>
        <w:spacing w:line="360" w:lineRule="auto"/>
        <w:ind w:right="140" w:firstLine="641"/>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3"/>
        <w:numPr>
          <w:ilvl w:val="0"/>
          <w:numId w:val="29"/>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3"/>
        <w:numPr>
          <w:ilvl w:val="0"/>
          <w:numId w:val="29"/>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6432"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33"/>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outlineLvl w:val="9"/>
        <w:rPr>
          <w:rFonts w:ascii="宋体" w:hAnsi="宋体" w:cs="宋体"/>
        </w:rPr>
        <w:sectPr>
          <w:footerReference r:id="rId24" w:type="default"/>
          <w:pgSz w:w="11906" w:h="16838"/>
          <w:pgMar w:top="1440" w:right="1803" w:bottom="1440" w:left="1803" w:header="851" w:footer="992" w:gutter="0"/>
          <w:pgNumType w:fmt="decimal"/>
          <w:cols w:space="720" w:num="1"/>
          <w:docGrid w:type="lines" w:linePitch="319" w:charSpace="0"/>
        </w:sectPr>
      </w:pPr>
    </w:p>
    <w:p>
      <w:pPr>
        <w:rPr>
          <w:rFonts w:hint="eastAsia" w:ascii="宋体" w:hAnsi="宋体" w:cs="宋体"/>
          <w:b w:val="0"/>
          <w:bCs w:val="0"/>
          <w:sz w:val="24"/>
          <w:szCs w:val="24"/>
          <w:highlight w:val="none"/>
          <w:lang w:eastAsia="zh-CN"/>
        </w:rPr>
      </w:pPr>
    </w:p>
    <w:p>
      <w:pPr>
        <w:pStyle w:val="2"/>
        <w:rPr>
          <w:rFonts w:hint="eastAsia"/>
          <w:lang w:eastAsia="zh-CN"/>
        </w:rPr>
      </w:pPr>
    </w:p>
    <w:p>
      <w:pPr>
        <w:widowControl/>
        <w:spacing w:line="360" w:lineRule="auto"/>
        <w:ind w:left="840"/>
        <w:jc w:val="center"/>
        <w:rPr>
          <w:rFonts w:ascii="宋体" w:hAnsi="宋体" w:cs="宋体"/>
          <w:sz w:val="32"/>
          <w:szCs w:val="32"/>
        </w:rPr>
      </w:pPr>
      <w:r>
        <w:rPr>
          <w:rFonts w:hint="eastAsia" w:ascii="宋体" w:hAnsi="宋体" w:cs="宋体"/>
          <w:sz w:val="32"/>
          <w:szCs w:val="32"/>
          <w:lang w:val="en-US" w:eastAsia="zh-CN"/>
        </w:rPr>
        <w:t>10</w:t>
      </w:r>
      <w:r>
        <w:rPr>
          <w:rFonts w:hint="eastAsia" w:ascii="宋体" w:hAnsi="宋体" w:cs="宋体"/>
          <w:sz w:val="32"/>
          <w:szCs w:val="32"/>
        </w:rPr>
        <w:t>、本项目不接受联合体</w:t>
      </w:r>
    </w:p>
    <w:p>
      <w:pPr>
        <w:pStyle w:val="9"/>
        <w:ind w:left="420" w:leftChars="200" w:firstLine="0"/>
        <w:rPr>
          <w:rFonts w:ascii="宋体" w:hAnsi="宋体" w:cs="宋体"/>
        </w:rPr>
      </w:pPr>
    </w:p>
    <w:p>
      <w:pPr>
        <w:pStyle w:val="29"/>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outlineLvl w:val="9"/>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p>
    <w:p>
      <w:pPr>
        <w:pStyle w:val="9"/>
        <w:ind w:firstLine="0"/>
        <w:rPr>
          <w:rFonts w:ascii="宋体" w:hAnsi="宋体" w:cs="宋体"/>
          <w:kern w:val="0"/>
          <w:sz w:val="24"/>
          <w:u w:val="single"/>
        </w:rPr>
      </w:pPr>
      <w:r>
        <w:rPr>
          <w:rFonts w:hint="eastAsia" w:ascii="宋体" w:hAnsi="宋体" w:cs="宋体"/>
          <w:kern w:val="0"/>
          <w:sz w:val="24"/>
          <w:u w:val="single"/>
        </w:rPr>
        <w:t xml:space="preserve"> </w:t>
      </w:r>
    </w:p>
    <w:p>
      <w:pPr>
        <w:pStyle w:val="4"/>
        <w:tabs>
          <w:tab w:val="left" w:pos="2096"/>
          <w:tab w:val="center" w:pos="5024"/>
        </w:tabs>
        <w:spacing w:before="319" w:beforeLines="100" w:after="478" w:afterLines="150" w:line="500" w:lineRule="exact"/>
        <w:jc w:val="center"/>
        <w:outlineLvl w:val="1"/>
        <w:rPr>
          <w:rFonts w:ascii="宋体" w:hAnsi="宋体" w:cs="宋体"/>
          <w:sz w:val="36"/>
          <w:szCs w:val="36"/>
        </w:rPr>
      </w:pPr>
      <w:bookmarkStart w:id="193" w:name="_Toc23526"/>
      <w:bookmarkStart w:id="194" w:name="_Toc13636"/>
      <w:r>
        <w:rPr>
          <w:rFonts w:hint="eastAsia" w:ascii="宋体" w:hAnsi="宋体" w:cs="宋体"/>
          <w:sz w:val="36"/>
          <w:szCs w:val="36"/>
        </w:rPr>
        <w:t xml:space="preserve">第五部分 </w:t>
      </w:r>
      <w:bookmarkEnd w:id="190"/>
      <w:bookmarkEnd w:id="191"/>
      <w:bookmarkEnd w:id="192"/>
      <w:r>
        <w:rPr>
          <w:rFonts w:hint="eastAsia" w:ascii="宋体" w:hAnsi="宋体" w:cs="宋体"/>
          <w:sz w:val="36"/>
          <w:szCs w:val="36"/>
        </w:rPr>
        <w:t>技术与服务方案</w:t>
      </w:r>
      <w:bookmarkEnd w:id="193"/>
      <w:bookmarkEnd w:id="194"/>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189"/>
    <w:p>
      <w:pPr>
        <w:pStyle w:val="4"/>
        <w:spacing w:before="319" w:beforeLines="100" w:after="478" w:afterLines="150" w:line="500" w:lineRule="exact"/>
        <w:jc w:val="center"/>
        <w:outlineLvl w:val="1"/>
        <w:rPr>
          <w:rFonts w:ascii="宋体" w:hAnsi="宋体" w:cs="宋体"/>
          <w:sz w:val="36"/>
          <w:szCs w:val="36"/>
        </w:rPr>
      </w:pPr>
      <w:bookmarkStart w:id="195" w:name="_Toc27522"/>
      <w:bookmarkStart w:id="196" w:name="_Toc16328"/>
      <w:bookmarkStart w:id="197" w:name="_Toc26563"/>
      <w:bookmarkStart w:id="198" w:name="_Toc12929"/>
      <w:bookmarkStart w:id="199" w:name="_Toc7311"/>
      <w:bookmarkStart w:id="200" w:name="_Toc10667"/>
      <w:r>
        <w:rPr>
          <w:rFonts w:hint="eastAsia" w:ascii="宋体" w:hAnsi="宋体" w:cs="宋体"/>
          <w:sz w:val="36"/>
          <w:szCs w:val="36"/>
        </w:rPr>
        <w:t xml:space="preserve">第六部分  </w:t>
      </w:r>
      <w:bookmarkEnd w:id="195"/>
      <w:bookmarkEnd w:id="196"/>
      <w:bookmarkEnd w:id="197"/>
      <w:bookmarkStart w:id="201" w:name="_Toc21288"/>
      <w:bookmarkEnd w:id="201"/>
      <w:r>
        <w:rPr>
          <w:rFonts w:hint="eastAsia" w:ascii="宋体" w:hAnsi="宋体" w:cs="宋体"/>
          <w:sz w:val="36"/>
          <w:szCs w:val="36"/>
        </w:rPr>
        <w:t>服务承诺</w:t>
      </w:r>
      <w:bookmarkEnd w:id="198"/>
      <w:bookmarkEnd w:id="199"/>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jc w:val="center"/>
        <w:outlineLvl w:val="1"/>
        <w:rPr>
          <w:rFonts w:ascii="宋体" w:hAnsi="宋体" w:cs="宋体"/>
          <w:sz w:val="36"/>
          <w:szCs w:val="36"/>
        </w:rPr>
      </w:pPr>
      <w:bookmarkStart w:id="202" w:name="_Toc3945"/>
      <w:r>
        <w:rPr>
          <w:rFonts w:hint="eastAsia" w:ascii="宋体" w:hAnsi="宋体" w:cs="宋体"/>
          <w:sz w:val="36"/>
          <w:szCs w:val="36"/>
        </w:rPr>
        <w:br w:type="page"/>
      </w:r>
      <w:bookmarkStart w:id="203" w:name="_Toc2376"/>
      <w:bookmarkStart w:id="204" w:name="_Toc2785"/>
      <w:bookmarkStart w:id="205" w:name="_Toc10431"/>
      <w:r>
        <w:rPr>
          <w:rFonts w:hint="eastAsia" w:ascii="宋体" w:hAnsi="宋体" w:cs="宋体"/>
          <w:sz w:val="36"/>
          <w:szCs w:val="36"/>
        </w:rPr>
        <w:t>第七部分  业绩一览表</w:t>
      </w:r>
      <w:bookmarkEnd w:id="202"/>
      <w:bookmarkEnd w:id="203"/>
      <w:bookmarkEnd w:id="204"/>
      <w:bookmarkEnd w:id="205"/>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9"/>
        <w:gridCol w:w="1618"/>
        <w:gridCol w:w="1483"/>
        <w:gridCol w:w="1500"/>
        <w:gridCol w:w="1593"/>
        <w:gridCol w:w="11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2" w:hRule="atLeast"/>
          <w:jc w:val="center"/>
        </w:trPr>
        <w:tc>
          <w:tcPr>
            <w:tcW w:w="809"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1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83"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0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lang w:eastAsia="zh-CN"/>
              </w:rPr>
              <w:t>合同签订</w:t>
            </w:r>
            <w:r>
              <w:rPr>
                <w:rFonts w:hint="eastAsia" w:ascii="宋体" w:hAnsi="宋体" w:cs="宋体"/>
              </w:rPr>
              <w:t>时间</w:t>
            </w:r>
          </w:p>
        </w:tc>
        <w:tc>
          <w:tcPr>
            <w:tcW w:w="1593"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75"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vAlign w:val="center"/>
          </w:tcPr>
          <w:p>
            <w:pPr>
              <w:spacing w:line="400" w:lineRule="exact"/>
              <w:jc w:val="center"/>
              <w:rPr>
                <w:rFonts w:ascii="宋体" w:hAnsi="宋体" w:cs="宋体"/>
              </w:rPr>
            </w:pPr>
          </w:p>
        </w:tc>
        <w:tc>
          <w:tcPr>
            <w:tcW w:w="1618" w:type="dxa"/>
            <w:vAlign w:val="center"/>
          </w:tcPr>
          <w:p>
            <w:pPr>
              <w:spacing w:line="400" w:lineRule="exact"/>
              <w:jc w:val="center"/>
              <w:rPr>
                <w:rFonts w:ascii="宋体" w:hAnsi="宋体" w:cs="宋体"/>
              </w:rPr>
            </w:pPr>
          </w:p>
        </w:tc>
        <w:tc>
          <w:tcPr>
            <w:tcW w:w="1483" w:type="dxa"/>
            <w:vAlign w:val="center"/>
          </w:tcPr>
          <w:p>
            <w:pPr>
              <w:spacing w:line="400" w:lineRule="exact"/>
              <w:jc w:val="center"/>
              <w:rPr>
                <w:rFonts w:ascii="宋体" w:hAnsi="宋体" w:cs="宋体"/>
              </w:rPr>
            </w:pPr>
          </w:p>
        </w:tc>
        <w:tc>
          <w:tcPr>
            <w:tcW w:w="1500" w:type="dxa"/>
            <w:vAlign w:val="center"/>
          </w:tcPr>
          <w:p>
            <w:pPr>
              <w:spacing w:line="400" w:lineRule="exact"/>
              <w:jc w:val="center"/>
              <w:rPr>
                <w:rFonts w:ascii="宋体" w:hAnsi="宋体" w:cs="宋体"/>
              </w:rPr>
            </w:pPr>
          </w:p>
        </w:tc>
        <w:tc>
          <w:tcPr>
            <w:tcW w:w="1593" w:type="dxa"/>
            <w:vAlign w:val="center"/>
          </w:tcPr>
          <w:p>
            <w:pPr>
              <w:spacing w:line="400" w:lineRule="exact"/>
              <w:jc w:val="center"/>
              <w:rPr>
                <w:rFonts w:ascii="宋体" w:hAnsi="宋体" w:cs="宋体"/>
              </w:rPr>
            </w:pPr>
          </w:p>
        </w:tc>
        <w:tc>
          <w:tcPr>
            <w:tcW w:w="1175"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vAlign w:val="center"/>
          </w:tcPr>
          <w:p>
            <w:pPr>
              <w:spacing w:line="400" w:lineRule="exact"/>
              <w:jc w:val="center"/>
              <w:rPr>
                <w:rFonts w:ascii="宋体" w:hAnsi="宋体" w:cs="宋体"/>
              </w:rPr>
            </w:pPr>
          </w:p>
        </w:tc>
        <w:tc>
          <w:tcPr>
            <w:tcW w:w="1618" w:type="dxa"/>
            <w:vAlign w:val="center"/>
          </w:tcPr>
          <w:p>
            <w:pPr>
              <w:spacing w:line="400" w:lineRule="exact"/>
              <w:jc w:val="center"/>
              <w:rPr>
                <w:rFonts w:ascii="宋体" w:hAnsi="宋体" w:cs="宋体"/>
              </w:rPr>
            </w:pPr>
          </w:p>
        </w:tc>
        <w:tc>
          <w:tcPr>
            <w:tcW w:w="1483" w:type="dxa"/>
            <w:vAlign w:val="center"/>
          </w:tcPr>
          <w:p>
            <w:pPr>
              <w:spacing w:line="400" w:lineRule="exact"/>
              <w:jc w:val="center"/>
              <w:rPr>
                <w:rFonts w:ascii="宋体" w:hAnsi="宋体" w:cs="宋体"/>
              </w:rPr>
            </w:pPr>
          </w:p>
        </w:tc>
        <w:tc>
          <w:tcPr>
            <w:tcW w:w="1500" w:type="dxa"/>
            <w:vAlign w:val="center"/>
          </w:tcPr>
          <w:p>
            <w:pPr>
              <w:spacing w:line="400" w:lineRule="exact"/>
              <w:jc w:val="center"/>
              <w:rPr>
                <w:rFonts w:ascii="宋体" w:hAnsi="宋体" w:cs="宋体"/>
              </w:rPr>
            </w:pPr>
          </w:p>
        </w:tc>
        <w:tc>
          <w:tcPr>
            <w:tcW w:w="1593" w:type="dxa"/>
            <w:vAlign w:val="center"/>
          </w:tcPr>
          <w:p>
            <w:pPr>
              <w:spacing w:line="400" w:lineRule="exact"/>
              <w:jc w:val="center"/>
              <w:rPr>
                <w:rFonts w:ascii="宋体" w:hAnsi="宋体" w:cs="宋体"/>
              </w:rPr>
            </w:pPr>
          </w:p>
        </w:tc>
        <w:tc>
          <w:tcPr>
            <w:tcW w:w="1175"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vAlign w:val="center"/>
          </w:tcPr>
          <w:p>
            <w:pPr>
              <w:spacing w:line="400" w:lineRule="exact"/>
              <w:jc w:val="center"/>
              <w:rPr>
                <w:rFonts w:ascii="宋体" w:hAnsi="宋体" w:cs="宋体"/>
              </w:rPr>
            </w:pPr>
          </w:p>
        </w:tc>
        <w:tc>
          <w:tcPr>
            <w:tcW w:w="1618" w:type="dxa"/>
            <w:vAlign w:val="center"/>
          </w:tcPr>
          <w:p>
            <w:pPr>
              <w:spacing w:line="400" w:lineRule="exact"/>
              <w:jc w:val="center"/>
              <w:rPr>
                <w:rFonts w:ascii="宋体" w:hAnsi="宋体" w:cs="宋体"/>
              </w:rPr>
            </w:pPr>
          </w:p>
        </w:tc>
        <w:tc>
          <w:tcPr>
            <w:tcW w:w="1483" w:type="dxa"/>
            <w:vAlign w:val="center"/>
          </w:tcPr>
          <w:p>
            <w:pPr>
              <w:spacing w:line="400" w:lineRule="exact"/>
              <w:jc w:val="center"/>
              <w:rPr>
                <w:rFonts w:ascii="宋体" w:hAnsi="宋体" w:cs="宋体"/>
              </w:rPr>
            </w:pPr>
          </w:p>
        </w:tc>
        <w:tc>
          <w:tcPr>
            <w:tcW w:w="1500" w:type="dxa"/>
            <w:vAlign w:val="center"/>
          </w:tcPr>
          <w:p>
            <w:pPr>
              <w:spacing w:line="400" w:lineRule="exact"/>
              <w:jc w:val="center"/>
              <w:rPr>
                <w:rFonts w:ascii="宋体" w:hAnsi="宋体" w:cs="宋体"/>
              </w:rPr>
            </w:pPr>
          </w:p>
        </w:tc>
        <w:tc>
          <w:tcPr>
            <w:tcW w:w="1593" w:type="dxa"/>
            <w:vAlign w:val="center"/>
          </w:tcPr>
          <w:p>
            <w:pPr>
              <w:spacing w:line="400" w:lineRule="exact"/>
              <w:jc w:val="center"/>
              <w:rPr>
                <w:rFonts w:ascii="宋体" w:hAnsi="宋体" w:cs="宋体"/>
              </w:rPr>
            </w:pPr>
          </w:p>
        </w:tc>
        <w:tc>
          <w:tcPr>
            <w:tcW w:w="1175"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vAlign w:val="center"/>
          </w:tcPr>
          <w:p>
            <w:pPr>
              <w:spacing w:line="400" w:lineRule="exact"/>
              <w:jc w:val="center"/>
              <w:rPr>
                <w:rFonts w:ascii="宋体" w:hAnsi="宋体" w:cs="宋体"/>
              </w:rPr>
            </w:pPr>
          </w:p>
        </w:tc>
        <w:tc>
          <w:tcPr>
            <w:tcW w:w="1618" w:type="dxa"/>
            <w:tcBorders>
              <w:right w:val="single" w:color="auto" w:sz="4" w:space="0"/>
            </w:tcBorders>
            <w:vAlign w:val="center"/>
          </w:tcPr>
          <w:p>
            <w:pPr>
              <w:spacing w:line="400" w:lineRule="exact"/>
              <w:jc w:val="center"/>
              <w:rPr>
                <w:rFonts w:ascii="宋体" w:hAnsi="宋体" w:cs="宋体"/>
              </w:rPr>
            </w:pPr>
          </w:p>
        </w:tc>
        <w:tc>
          <w:tcPr>
            <w:tcW w:w="1483" w:type="dxa"/>
            <w:tcBorders>
              <w:left w:val="single" w:color="auto" w:sz="4" w:space="0"/>
            </w:tcBorders>
            <w:vAlign w:val="center"/>
          </w:tcPr>
          <w:p>
            <w:pPr>
              <w:spacing w:line="400" w:lineRule="exact"/>
              <w:jc w:val="center"/>
              <w:rPr>
                <w:rFonts w:ascii="宋体" w:hAnsi="宋体" w:cs="宋体"/>
              </w:rPr>
            </w:pPr>
          </w:p>
        </w:tc>
        <w:tc>
          <w:tcPr>
            <w:tcW w:w="1500" w:type="dxa"/>
            <w:vAlign w:val="center"/>
          </w:tcPr>
          <w:p>
            <w:pPr>
              <w:spacing w:line="400" w:lineRule="exact"/>
              <w:jc w:val="center"/>
              <w:rPr>
                <w:rFonts w:ascii="宋体" w:hAnsi="宋体" w:cs="宋体"/>
              </w:rPr>
            </w:pPr>
          </w:p>
        </w:tc>
        <w:tc>
          <w:tcPr>
            <w:tcW w:w="1593" w:type="dxa"/>
            <w:vAlign w:val="center"/>
          </w:tcPr>
          <w:p>
            <w:pPr>
              <w:spacing w:line="400" w:lineRule="exact"/>
              <w:jc w:val="center"/>
              <w:rPr>
                <w:rFonts w:ascii="宋体" w:hAnsi="宋体" w:cs="宋体"/>
              </w:rPr>
            </w:pPr>
          </w:p>
        </w:tc>
        <w:tc>
          <w:tcPr>
            <w:tcW w:w="1175"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tcBorders>
              <w:right w:val="single" w:color="auto" w:sz="4" w:space="0"/>
            </w:tcBorders>
            <w:vAlign w:val="center"/>
          </w:tcPr>
          <w:p>
            <w:pPr>
              <w:spacing w:line="400" w:lineRule="exact"/>
              <w:rPr>
                <w:rFonts w:ascii="宋体" w:hAnsi="宋体" w:cs="宋体"/>
              </w:rPr>
            </w:pPr>
          </w:p>
        </w:tc>
        <w:tc>
          <w:tcPr>
            <w:tcW w:w="1618" w:type="dxa"/>
            <w:tcBorders>
              <w:left w:val="single" w:color="auto" w:sz="4" w:space="0"/>
              <w:right w:val="single" w:color="auto" w:sz="4" w:space="0"/>
            </w:tcBorders>
            <w:vAlign w:val="center"/>
          </w:tcPr>
          <w:p>
            <w:pPr>
              <w:spacing w:line="400" w:lineRule="exact"/>
              <w:rPr>
                <w:rFonts w:ascii="宋体" w:hAnsi="宋体" w:cs="宋体"/>
              </w:rPr>
            </w:pPr>
          </w:p>
        </w:tc>
        <w:tc>
          <w:tcPr>
            <w:tcW w:w="1483" w:type="dxa"/>
            <w:tcBorders>
              <w:left w:val="single" w:color="auto" w:sz="4" w:space="0"/>
              <w:right w:val="single" w:color="auto" w:sz="4" w:space="0"/>
            </w:tcBorders>
            <w:vAlign w:val="center"/>
          </w:tcPr>
          <w:p>
            <w:pPr>
              <w:spacing w:line="400" w:lineRule="exact"/>
              <w:rPr>
                <w:rFonts w:ascii="宋体" w:hAnsi="宋体" w:cs="宋体"/>
              </w:rPr>
            </w:pPr>
          </w:p>
        </w:tc>
        <w:tc>
          <w:tcPr>
            <w:tcW w:w="1500" w:type="dxa"/>
            <w:tcBorders>
              <w:left w:val="single" w:color="auto" w:sz="4" w:space="0"/>
              <w:right w:val="single" w:color="auto" w:sz="4" w:space="0"/>
            </w:tcBorders>
            <w:vAlign w:val="center"/>
          </w:tcPr>
          <w:p>
            <w:pPr>
              <w:spacing w:line="400" w:lineRule="exact"/>
              <w:rPr>
                <w:rFonts w:ascii="宋体" w:hAnsi="宋体" w:cs="宋体"/>
              </w:rPr>
            </w:pPr>
          </w:p>
        </w:tc>
        <w:tc>
          <w:tcPr>
            <w:tcW w:w="1593" w:type="dxa"/>
            <w:tcBorders>
              <w:left w:val="single" w:color="auto" w:sz="4" w:space="0"/>
              <w:right w:val="single" w:color="auto" w:sz="4" w:space="0"/>
            </w:tcBorders>
            <w:vAlign w:val="center"/>
          </w:tcPr>
          <w:p>
            <w:pPr>
              <w:spacing w:line="400" w:lineRule="exact"/>
              <w:rPr>
                <w:rFonts w:ascii="宋体" w:hAnsi="宋体" w:cs="宋体"/>
              </w:rPr>
            </w:pPr>
          </w:p>
        </w:tc>
        <w:tc>
          <w:tcPr>
            <w:tcW w:w="1175"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809" w:type="dxa"/>
            <w:vAlign w:val="center"/>
          </w:tcPr>
          <w:p>
            <w:pPr>
              <w:spacing w:line="400" w:lineRule="exact"/>
              <w:rPr>
                <w:rFonts w:ascii="宋体" w:hAnsi="宋体" w:cs="宋体"/>
              </w:rPr>
            </w:pPr>
          </w:p>
        </w:tc>
        <w:tc>
          <w:tcPr>
            <w:tcW w:w="1618" w:type="dxa"/>
            <w:vAlign w:val="center"/>
          </w:tcPr>
          <w:p>
            <w:pPr>
              <w:spacing w:line="400" w:lineRule="exact"/>
              <w:rPr>
                <w:rFonts w:ascii="宋体" w:hAnsi="宋体" w:cs="宋体"/>
              </w:rPr>
            </w:pPr>
          </w:p>
        </w:tc>
        <w:tc>
          <w:tcPr>
            <w:tcW w:w="1483" w:type="dxa"/>
            <w:vAlign w:val="center"/>
          </w:tcPr>
          <w:p>
            <w:pPr>
              <w:spacing w:line="400" w:lineRule="exact"/>
              <w:rPr>
                <w:rFonts w:ascii="宋体" w:hAnsi="宋体" w:cs="宋体"/>
              </w:rPr>
            </w:pPr>
          </w:p>
        </w:tc>
        <w:tc>
          <w:tcPr>
            <w:tcW w:w="1500" w:type="dxa"/>
            <w:vAlign w:val="center"/>
          </w:tcPr>
          <w:p>
            <w:pPr>
              <w:spacing w:line="400" w:lineRule="exact"/>
              <w:rPr>
                <w:rFonts w:ascii="宋体" w:hAnsi="宋体" w:cs="宋体"/>
              </w:rPr>
            </w:pPr>
          </w:p>
        </w:tc>
        <w:tc>
          <w:tcPr>
            <w:tcW w:w="1593" w:type="dxa"/>
            <w:tcBorders>
              <w:right w:val="single" w:color="auto" w:sz="4" w:space="0"/>
            </w:tcBorders>
            <w:vAlign w:val="center"/>
          </w:tcPr>
          <w:p>
            <w:pPr>
              <w:spacing w:line="400" w:lineRule="exact"/>
              <w:rPr>
                <w:rFonts w:ascii="宋体" w:hAnsi="宋体" w:cs="宋体"/>
              </w:rPr>
            </w:pPr>
          </w:p>
        </w:tc>
        <w:tc>
          <w:tcPr>
            <w:tcW w:w="1175"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809" w:type="dxa"/>
            <w:tcBorders>
              <w:bottom w:val="single" w:color="auto" w:sz="4" w:space="0"/>
            </w:tcBorders>
            <w:vAlign w:val="center"/>
          </w:tcPr>
          <w:p>
            <w:pPr>
              <w:spacing w:line="400" w:lineRule="exact"/>
              <w:jc w:val="center"/>
              <w:rPr>
                <w:rFonts w:ascii="宋体" w:hAnsi="宋体" w:cs="宋体"/>
              </w:rPr>
            </w:pPr>
          </w:p>
        </w:tc>
        <w:tc>
          <w:tcPr>
            <w:tcW w:w="1618" w:type="dxa"/>
            <w:tcBorders>
              <w:bottom w:val="single" w:color="auto" w:sz="4" w:space="0"/>
            </w:tcBorders>
            <w:vAlign w:val="center"/>
          </w:tcPr>
          <w:p>
            <w:pPr>
              <w:spacing w:line="400" w:lineRule="exact"/>
              <w:jc w:val="center"/>
              <w:rPr>
                <w:rFonts w:ascii="宋体" w:hAnsi="宋体" w:cs="宋体"/>
              </w:rPr>
            </w:pPr>
          </w:p>
        </w:tc>
        <w:tc>
          <w:tcPr>
            <w:tcW w:w="1483" w:type="dxa"/>
            <w:tcBorders>
              <w:bottom w:val="single" w:color="auto" w:sz="4" w:space="0"/>
            </w:tcBorders>
            <w:vAlign w:val="center"/>
          </w:tcPr>
          <w:p>
            <w:pPr>
              <w:spacing w:line="400" w:lineRule="exact"/>
              <w:jc w:val="center"/>
              <w:rPr>
                <w:rFonts w:ascii="宋体" w:hAnsi="宋体" w:cs="宋体"/>
              </w:rPr>
            </w:pPr>
          </w:p>
        </w:tc>
        <w:tc>
          <w:tcPr>
            <w:tcW w:w="1500" w:type="dxa"/>
            <w:tcBorders>
              <w:bottom w:val="single" w:color="auto" w:sz="4" w:space="0"/>
            </w:tcBorders>
            <w:vAlign w:val="center"/>
          </w:tcPr>
          <w:p>
            <w:pPr>
              <w:spacing w:line="400" w:lineRule="exact"/>
              <w:jc w:val="center"/>
              <w:rPr>
                <w:rFonts w:ascii="宋体" w:hAnsi="宋体" w:cs="宋体"/>
              </w:rPr>
            </w:pPr>
          </w:p>
        </w:tc>
        <w:tc>
          <w:tcPr>
            <w:tcW w:w="1593"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5"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30"/>
        </w:numPr>
        <w:spacing w:before="319" w:beforeLines="100" w:after="478" w:afterLines="150" w:line="500" w:lineRule="exact"/>
        <w:jc w:val="center"/>
        <w:outlineLvl w:val="1"/>
        <w:rPr>
          <w:rFonts w:ascii="宋体" w:hAnsi="宋体" w:cs="宋体"/>
          <w:sz w:val="36"/>
          <w:szCs w:val="36"/>
        </w:rPr>
      </w:pPr>
      <w:bookmarkStart w:id="206" w:name="_Toc19279"/>
      <w:r>
        <w:rPr>
          <w:rFonts w:hint="eastAsia" w:ascii="宋体" w:hAnsi="宋体" w:cs="宋体"/>
          <w:sz w:val="36"/>
          <w:szCs w:val="36"/>
        </w:rPr>
        <w:br w:type="page"/>
      </w:r>
      <w:bookmarkStart w:id="207" w:name="_Toc31275"/>
      <w:r>
        <w:rPr>
          <w:rFonts w:hint="eastAsia" w:ascii="宋体" w:hAnsi="宋体" w:cs="宋体"/>
          <w:sz w:val="36"/>
          <w:szCs w:val="36"/>
        </w:rPr>
        <w:t xml:space="preserve"> </w:t>
      </w:r>
      <w:bookmarkStart w:id="208" w:name="_Toc7794"/>
      <w:bookmarkStart w:id="209" w:name="_Toc1491"/>
      <w:r>
        <w:rPr>
          <w:rFonts w:hint="eastAsia" w:ascii="宋体" w:hAnsi="宋体" w:cs="宋体"/>
          <w:sz w:val="36"/>
          <w:szCs w:val="36"/>
        </w:rPr>
        <w:t>供应商认为有必要说明的其他问题</w:t>
      </w:r>
      <w:bookmarkEnd w:id="206"/>
      <w:bookmarkEnd w:id="207"/>
      <w:bookmarkEnd w:id="208"/>
      <w:bookmarkEnd w:id="209"/>
    </w:p>
    <w:p/>
    <w:p>
      <w:pPr>
        <w:pStyle w:val="13"/>
        <w:rPr>
          <w:color w:val="auto"/>
        </w:rPr>
        <w:sectPr>
          <w:pgSz w:w="11906" w:h="16838"/>
          <w:pgMar w:top="1440" w:right="1803" w:bottom="1440" w:left="1803" w:header="851" w:footer="992" w:gutter="0"/>
          <w:pgNumType w:fmt="decimal"/>
          <w:cols w:space="720" w:num="1"/>
          <w:docGrid w:type="lines" w:linePitch="319" w:charSpace="0"/>
        </w:sectPr>
      </w:pPr>
      <w:r>
        <w:rPr>
          <w:rFonts w:hint="eastAsia"/>
          <w:color w:val="auto"/>
        </w:rPr>
        <w:t>例如：投标保证金缴纳凭证</w:t>
      </w:r>
    </w:p>
    <w:bookmarkEnd w:id="200"/>
    <w:p>
      <w:pPr>
        <w:pStyle w:val="5"/>
        <w:adjustRightInd w:val="0"/>
        <w:spacing w:line="416" w:lineRule="atLeast"/>
        <w:jc w:val="center"/>
        <w:textAlignment w:val="baseline"/>
        <w:outlineLvl w:val="2"/>
        <w:rPr>
          <w:rFonts w:ascii="宋体" w:hAnsi="宋体" w:cs="宋体"/>
        </w:rPr>
      </w:pPr>
      <w:bookmarkStart w:id="210" w:name="_Toc22177"/>
      <w:bookmarkStart w:id="211" w:name="_Toc21026"/>
      <w:r>
        <w:rPr>
          <w:rFonts w:hint="eastAsia" w:ascii="宋体" w:hAnsi="宋体" w:cs="宋体"/>
        </w:rPr>
        <w:t>附件一、封袋正面标识式样</w:t>
      </w:r>
      <w:bookmarkEnd w:id="182"/>
      <w:bookmarkEnd w:id="210"/>
      <w:bookmarkEnd w:id="211"/>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-349885</wp:posOffset>
                </wp:positionH>
                <wp:positionV relativeFrom="paragraph">
                  <wp:posOffset>113030</wp:posOffset>
                </wp:positionV>
                <wp:extent cx="5819140" cy="3192780"/>
                <wp:effectExtent l="4445" t="4445" r="5715" b="22225"/>
                <wp:wrapNone/>
                <wp:docPr id="13" name="Text Box 3"/>
                <wp:cNvGraphicFramePr/>
                <a:graphic xmlns:a="http://schemas.openxmlformats.org/drawingml/2006/main">
                  <a:graphicData uri="http://schemas.microsoft.com/office/word/2010/wordprocessingShape">
                    <wps:wsp>
                      <wps:cNvSpPr txBox="1"/>
                      <wps:spPr>
                        <a:xfrm>
                          <a:off x="0" y="0"/>
                          <a:ext cx="5781040" cy="3192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jc w:val="center"/>
                              <w:rPr>
                                <w:b/>
                                <w:sz w:val="44"/>
                                <w:szCs w:val="44"/>
                              </w:rPr>
                            </w:pPr>
                            <w:r>
                              <w:rPr>
                                <w:rFonts w:hint="eastAsia"/>
                                <w:b/>
                                <w:sz w:val="44"/>
                                <w:szCs w:val="44"/>
                              </w:rPr>
                              <w:t>投标文件（正本）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51.4pt;width:458.2pt;z-index:251661312;mso-width-relative:page;mso-height-relative:page;" fillcolor="#FFFFFF" filled="t" stroked="t" coordsize="21600,21600" o:gfxdata="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R8eR2QAAAAoBAAAPAAAAAAAAAAEA&#10;IAAAACIAAABkcnMvZG93bnJldi54bWxQSwECFAAUAAAACACHTuJAAgo6aQ4CAABTBAAADgAAAAAA&#10;AAABACAAAAAoAQAAZHJzL2Uyb0RvYy54bWxQSwUGAAAAAAYABgBZAQAAqA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jc w:val="center"/>
                        <w:rPr>
                          <w:b/>
                          <w:sz w:val="44"/>
                          <w:szCs w:val="44"/>
                        </w:rPr>
                      </w:pPr>
                      <w:r>
                        <w:rPr>
                          <w:rFonts w:hint="eastAsia"/>
                          <w:b/>
                          <w:sz w:val="44"/>
                          <w:szCs w:val="44"/>
                        </w:rPr>
                        <w:t>投标文件（正本）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9"/>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100330</wp:posOffset>
                </wp:positionV>
                <wp:extent cx="5870575" cy="3302000"/>
                <wp:effectExtent l="4445" t="5080" r="11430" b="7620"/>
                <wp:wrapNone/>
                <wp:docPr id="6" name="Text Box 4"/>
                <wp:cNvGraphicFramePr/>
                <a:graphic xmlns:a="http://schemas.openxmlformats.org/drawingml/2006/main">
                  <a:graphicData uri="http://schemas.microsoft.com/office/word/2010/wordprocessingShape">
                    <wps:wsp>
                      <wps:cNvSpPr txBox="1"/>
                      <wps:spPr>
                        <a:xfrm>
                          <a:off x="0" y="0"/>
                          <a:ext cx="5825490" cy="3302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13"/>
                              <w:ind w:firstLine="2650" w:firstLineChars="600"/>
                              <w:jc w:val="left"/>
                              <w:rPr>
                                <w:sz w:val="28"/>
                                <w:szCs w:val="28"/>
                              </w:rPr>
                            </w:pPr>
                            <w:r>
                              <w:rPr>
                                <w:rFonts w:hint="eastAsia"/>
                                <w:b/>
                                <w:color w:val="auto"/>
                                <w:sz w:val="44"/>
                                <w:szCs w:val="44"/>
                              </w:rPr>
                              <w:t>投标文件（副本）</w:t>
                            </w:r>
                          </w:p>
                          <w:p>
                            <w:pPr>
                              <w:pStyle w:val="6"/>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60pt;width:462.25pt;z-index:251662336;mso-width-relative:page;mso-height-relative:page;" fillcolor="#FFFFFF" filled="t" stroked="t" coordsize="21600,21600" o:gfxdata="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YRH+2QAAAAoBAAAPAAAAAAAAAAEA&#10;IAAAACIAAABkcnMvZG93bnJldi54bWxQSwECFAAUAAAACACHTuJAidsoYQ4CAABSBAAADgAAAAAA&#10;AAABACAAAAAoAQAAZHJzL2Uyb0RvYy54bWxQSwUGAAAAAAYABgBZAQAAqA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13"/>
                        <w:ind w:firstLine="2650" w:firstLineChars="600"/>
                        <w:jc w:val="left"/>
                        <w:rPr>
                          <w:sz w:val="28"/>
                          <w:szCs w:val="28"/>
                        </w:rPr>
                      </w:pPr>
                      <w:r>
                        <w:rPr>
                          <w:rFonts w:hint="eastAsia"/>
                          <w:b/>
                          <w:color w:val="auto"/>
                          <w:sz w:val="44"/>
                          <w:szCs w:val="44"/>
                        </w:rPr>
                        <w:t>投标文件（副本）</w:t>
                      </w:r>
                    </w:p>
                    <w:p>
                      <w:pPr>
                        <w:pStyle w:val="6"/>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25"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191135</wp:posOffset>
                </wp:positionV>
                <wp:extent cx="5760085" cy="3239770"/>
                <wp:effectExtent l="5080" t="4445" r="6985" b="13335"/>
                <wp:wrapNone/>
                <wp:docPr id="11" name="Text Box 3"/>
                <wp:cNvGraphicFramePr/>
                <a:graphic xmlns:a="http://schemas.openxmlformats.org/drawingml/2006/main">
                  <a:graphicData uri="http://schemas.microsoft.com/office/word/2010/wordprocessingShape">
                    <wps:wsp>
                      <wps:cNvSpPr txBox="1"/>
                      <wps:spPr>
                        <a:xfrm>
                          <a:off x="0" y="0"/>
                          <a:ext cx="5706745" cy="3239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55.1pt;width:453.55pt;z-index:251663360;mso-width-relative:page;mso-height-relative:page;" fillcolor="#FFFFFF" filled="t" stroked="t" coordsize="21600,21600" o:gfxdata="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QnYKtoAAAAKAQAADwAAAAAAAAAB&#10;ACAAAAAiAAAAZHJzL2Rvd25yZXYueG1sUEsBAhQAFAAAAAgAh07iQGqPc60OAgAAUwQAAA4AAAAA&#10;AAAAAQAgAAAAKQ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-331470</wp:posOffset>
                </wp:positionH>
                <wp:positionV relativeFrom="paragraph">
                  <wp:posOffset>142240</wp:posOffset>
                </wp:positionV>
                <wp:extent cx="5796280" cy="3228340"/>
                <wp:effectExtent l="5080" t="4445" r="8890" b="5715"/>
                <wp:wrapNone/>
                <wp:docPr id="10" name="Text Box 3"/>
                <wp:cNvGraphicFramePr/>
                <a:graphic xmlns:a="http://schemas.openxmlformats.org/drawingml/2006/main">
                  <a:graphicData uri="http://schemas.microsoft.com/office/word/2010/wordprocessingShape">
                    <wps:wsp>
                      <wps:cNvSpPr txBox="1"/>
                      <wps:spPr>
                        <a:xfrm>
                          <a:off x="0" y="0"/>
                          <a:ext cx="5750560" cy="3228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6"/>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54.2pt;width:456.4pt;z-index:251664384;mso-width-relative:page;mso-height-relative:page;" fillcolor="#FFFFFF" filled="t" stroked="t" coordsize="21600,21600" o:gfxdata="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1+V0toAAAAKAQAADwAAAAAAAAAB&#10;ACAAAAAiAAAAZHJzL2Rvd25yZXYueG1sUEsBAhQAFAAAAAgAh07iQHR0pnoOAgAAUwQAAA4AAAAA&#10;AAAAAQAgAAAAKQ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ZMZB2022SYJK-288</w:t>
                      </w:r>
                    </w:p>
                    <w:p>
                      <w:pPr>
                        <w:rPr>
                          <w:rFonts w:hint="eastAsia" w:eastAsia="宋体"/>
                          <w:sz w:val="28"/>
                          <w:szCs w:val="28"/>
                          <w:lang w:eastAsia="zh-CN"/>
                        </w:rPr>
                      </w:pPr>
                      <w:r>
                        <w:rPr>
                          <w:rFonts w:hint="eastAsia"/>
                          <w:sz w:val="28"/>
                          <w:szCs w:val="28"/>
                        </w:rPr>
                        <w:t>项目名称：</w:t>
                      </w:r>
                      <w:r>
                        <w:rPr>
                          <w:rFonts w:hint="eastAsia"/>
                          <w:sz w:val="28"/>
                          <w:szCs w:val="28"/>
                          <w:lang w:eastAsia="zh-CN"/>
                        </w:rPr>
                        <w:t>山阳县疾病预防控制中心山阳县农村职业技能培训基地附属设施采购项目</w:t>
                      </w:r>
                    </w:p>
                    <w:p>
                      <w:pPr>
                        <w:pStyle w:val="6"/>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5"/>
        <w:adjustRightInd w:val="0"/>
        <w:spacing w:line="416" w:lineRule="atLeast"/>
        <w:textAlignment w:val="baseline"/>
        <w:outlineLvl w:val="2"/>
        <w:rPr>
          <w:rFonts w:ascii="宋体" w:hAnsi="宋体" w:cs="宋体"/>
        </w:rPr>
      </w:pPr>
      <w:bookmarkStart w:id="212" w:name="_Toc2630"/>
      <w:bookmarkStart w:id="213" w:name="_Toc30485"/>
      <w:bookmarkStart w:id="214" w:name="_Toc1641"/>
      <w:bookmarkStart w:id="215" w:name="_Toc8177"/>
      <w:bookmarkStart w:id="216" w:name="_Toc20088"/>
      <w:bookmarkStart w:id="217" w:name="_Toc11632"/>
      <w:bookmarkStart w:id="218" w:name="_Toc18633"/>
      <w:bookmarkStart w:id="219" w:name="_Toc3008"/>
      <w:bookmarkStart w:id="220" w:name="_Toc20374"/>
      <w:bookmarkStart w:id="221" w:name="_Toc27136"/>
      <w:bookmarkStart w:id="222" w:name="_Toc6594"/>
      <w:bookmarkStart w:id="223" w:name="_Toc30536"/>
      <w:bookmarkStart w:id="224" w:name="_Toc15467"/>
      <w:bookmarkStart w:id="225" w:name="_Toc30870"/>
      <w:r>
        <w:rPr>
          <w:rFonts w:hint="eastAsia" w:ascii="宋体" w:hAnsi="宋体" w:cs="宋体"/>
        </w:rPr>
        <w:t>附件二、中小企业</w:t>
      </w:r>
      <w:bookmarkEnd w:id="212"/>
      <w:bookmarkEnd w:id="213"/>
      <w:bookmarkEnd w:id="214"/>
      <w:bookmarkEnd w:id="215"/>
      <w:bookmarkEnd w:id="216"/>
      <w:bookmarkEnd w:id="217"/>
      <w:bookmarkEnd w:id="218"/>
      <w:bookmarkEnd w:id="219"/>
      <w:bookmarkEnd w:id="220"/>
      <w:r>
        <w:rPr>
          <w:rFonts w:hint="eastAsia" w:ascii="宋体" w:hAnsi="宋体" w:cs="宋体"/>
          <w:lang w:eastAsia="zh-CN"/>
        </w:rPr>
        <w:t>声明函</w:t>
      </w:r>
      <w:r>
        <w:rPr>
          <w:rFonts w:hint="eastAsia" w:ascii="宋体" w:hAnsi="宋体" w:cs="宋体"/>
        </w:rPr>
        <w:t>（货物）</w:t>
      </w:r>
      <w:bookmarkEnd w:id="221"/>
      <w:bookmarkEnd w:id="222"/>
    </w:p>
    <w:p>
      <w:pPr>
        <w:spacing w:line="360" w:lineRule="auto"/>
        <w:ind w:right="140" w:firstLine="641"/>
        <w:rPr>
          <w:rFonts w:ascii="宋体" w:hAnsi="宋体" w:cs="宋体"/>
          <w:sz w:val="24"/>
          <w:szCs w:val="24"/>
        </w:rPr>
      </w:pPr>
      <w:bookmarkStart w:id="226" w:name="_Toc12531"/>
      <w:bookmarkStart w:id="227" w:name="_Toc6022"/>
      <w:bookmarkStart w:id="228" w:name="_Toc10807"/>
      <w:bookmarkStart w:id="229" w:name="_Toc11896"/>
      <w:bookmarkStart w:id="230" w:name="_Toc5814"/>
      <w:bookmarkStart w:id="231" w:name="_Toc21117"/>
      <w:bookmarkStart w:id="232" w:name="_Toc32438"/>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3"/>
        <w:numPr>
          <w:ilvl w:val="0"/>
          <w:numId w:val="29"/>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3"/>
        <w:numPr>
          <w:ilvl w:val="0"/>
          <w:numId w:val="29"/>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59264"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33"/>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outlineLvl w:val="9"/>
        <w:rPr>
          <w:rFonts w:ascii="宋体" w:hAnsi="宋体" w:cs="宋体"/>
        </w:rPr>
        <w:sectPr>
          <w:footerReference r:id="rId26" w:type="default"/>
          <w:pgSz w:w="11906" w:h="16838"/>
          <w:pgMar w:top="1440" w:right="1803" w:bottom="1440" w:left="1803" w:header="851" w:footer="992" w:gutter="0"/>
          <w:pgNumType w:fmt="decimal"/>
          <w:cols w:space="720" w:num="1"/>
          <w:docGrid w:type="lines" w:linePitch="319" w:charSpace="0"/>
        </w:sectPr>
      </w:pPr>
    </w:p>
    <w:p>
      <w:pPr>
        <w:pStyle w:val="5"/>
        <w:outlineLvl w:val="2"/>
        <w:rPr>
          <w:rFonts w:ascii="宋体" w:hAnsi="宋体" w:cs="宋体"/>
        </w:rPr>
      </w:pPr>
      <w:bookmarkStart w:id="233" w:name="_Toc30638"/>
      <w:bookmarkStart w:id="234" w:name="_Toc21327"/>
      <w:r>
        <w:rPr>
          <w:rFonts w:hint="eastAsia" w:ascii="宋体" w:hAnsi="宋体" w:cs="宋体"/>
        </w:rPr>
        <w:t>附件三、残疾人福利性单位声明</w:t>
      </w:r>
      <w:bookmarkEnd w:id="226"/>
      <w:bookmarkEnd w:id="227"/>
      <w:bookmarkEnd w:id="228"/>
      <w:bookmarkEnd w:id="229"/>
      <w:bookmarkEnd w:id="230"/>
      <w:bookmarkEnd w:id="231"/>
      <w:bookmarkEnd w:id="232"/>
      <w:bookmarkEnd w:id="233"/>
      <w:bookmarkEnd w:id="234"/>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5"/>
        <w:outlineLvl w:val="2"/>
        <w:rPr>
          <w:rFonts w:ascii="宋体" w:hAnsi="宋体" w:cs="宋体"/>
        </w:rPr>
      </w:pPr>
      <w:bookmarkStart w:id="235" w:name="_Toc26509"/>
      <w:bookmarkStart w:id="236" w:name="_Toc20532"/>
      <w:bookmarkStart w:id="237" w:name="_Toc2723"/>
      <w:bookmarkStart w:id="238" w:name="_Toc3053"/>
      <w:r>
        <w:rPr>
          <w:rFonts w:hint="eastAsia" w:ascii="宋体" w:hAnsi="宋体" w:cs="宋体"/>
        </w:rPr>
        <w:t>附件四、监狱企业证明文件</w:t>
      </w:r>
      <w:bookmarkEnd w:id="223"/>
      <w:bookmarkEnd w:id="224"/>
      <w:bookmarkEnd w:id="225"/>
      <w:bookmarkEnd w:id="235"/>
      <w:bookmarkEnd w:id="236"/>
      <w:bookmarkEnd w:id="237"/>
      <w:bookmarkEnd w:id="238"/>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adjustRightInd w:val="0"/>
        <w:spacing w:line="416" w:lineRule="atLeast"/>
        <w:textAlignment w:val="baseline"/>
        <w:outlineLvl w:val="2"/>
        <w:rPr>
          <w:rFonts w:ascii="宋体" w:hAnsi="宋体" w:cs="宋体"/>
        </w:rPr>
      </w:pPr>
      <w:bookmarkStart w:id="239" w:name="_Toc32178"/>
      <w:bookmarkStart w:id="240" w:name="_Toc2126"/>
      <w:bookmarkStart w:id="241" w:name="_Toc13303"/>
      <w:bookmarkStart w:id="242" w:name="_Toc563"/>
      <w:bookmarkStart w:id="243" w:name="_Toc3267"/>
      <w:bookmarkStart w:id="244" w:name="_Toc19198"/>
      <w:bookmarkStart w:id="245" w:name="_Toc13122"/>
      <w:bookmarkStart w:id="246" w:name="_Toc11969"/>
      <w:r>
        <w:rPr>
          <w:rFonts w:hint="eastAsia" w:ascii="宋体" w:hAnsi="宋体" w:cs="宋体"/>
        </w:rPr>
        <w:t>附件五、“节能产品”，“环境标志产品”证明材料</w:t>
      </w:r>
      <w:bookmarkEnd w:id="239"/>
      <w:bookmarkEnd w:id="240"/>
      <w:bookmarkEnd w:id="241"/>
      <w:bookmarkEnd w:id="242"/>
      <w:bookmarkEnd w:id="243"/>
      <w:bookmarkEnd w:id="244"/>
      <w:bookmarkEnd w:id="245"/>
      <w:bookmarkEnd w:id="24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outlineLvl w:val="9"/>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5"/>
        <w:outlineLvl w:val="2"/>
        <w:rPr>
          <w:rFonts w:ascii="宋体" w:hAnsi="宋体" w:cs="宋体"/>
        </w:rPr>
      </w:pPr>
      <w:bookmarkStart w:id="247" w:name="_Toc26169"/>
      <w:bookmarkStart w:id="248" w:name="_Toc4414"/>
      <w:bookmarkStart w:id="249" w:name="_Toc19997"/>
      <w:bookmarkStart w:id="250" w:name="_Toc23799"/>
      <w:bookmarkStart w:id="251" w:name="_Toc24855"/>
      <w:bookmarkStart w:id="252" w:name="_Toc26351"/>
      <w:bookmarkStart w:id="253" w:name="_Toc10027"/>
      <w:bookmarkStart w:id="254" w:name="_Toc11924"/>
      <w:bookmarkStart w:id="255" w:name="_Toc5338"/>
      <w:r>
        <w:rPr>
          <w:rFonts w:hint="eastAsia" w:ascii="宋体" w:hAnsi="宋体" w:cs="宋体"/>
        </w:rPr>
        <w:t>附件六、质疑函范本</w:t>
      </w:r>
      <w:bookmarkEnd w:id="247"/>
      <w:bookmarkEnd w:id="248"/>
      <w:bookmarkEnd w:id="249"/>
      <w:bookmarkEnd w:id="250"/>
      <w:bookmarkEnd w:id="251"/>
      <w:bookmarkEnd w:id="25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outlineLvl w:val="9"/>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5"/>
        <w:adjustRightInd w:val="0"/>
        <w:spacing w:line="416" w:lineRule="atLeast"/>
        <w:textAlignment w:val="baseline"/>
        <w:outlineLvl w:val="2"/>
        <w:rPr>
          <w:rFonts w:ascii="宋体" w:hAnsi="宋体" w:cs="宋体"/>
        </w:rPr>
      </w:pPr>
      <w:bookmarkStart w:id="256" w:name="_Toc2686"/>
      <w:bookmarkStart w:id="257" w:name="_Toc1200"/>
      <w:bookmarkStart w:id="258" w:name="_Toc21151"/>
      <w:bookmarkStart w:id="259" w:name="_Toc22289"/>
      <w:bookmarkStart w:id="260" w:name="_Toc19897"/>
      <w:r>
        <w:rPr>
          <w:rFonts w:hint="eastAsia" w:ascii="宋体" w:hAnsi="宋体" w:cs="宋体"/>
        </w:rPr>
        <w:t>附件七、保证金退还账户信息确认表</w:t>
      </w:r>
      <w:bookmarkEnd w:id="253"/>
      <w:bookmarkEnd w:id="254"/>
      <w:bookmarkEnd w:id="255"/>
      <w:bookmarkEnd w:id="256"/>
      <w:bookmarkEnd w:id="257"/>
      <w:bookmarkEnd w:id="258"/>
      <w:bookmarkEnd w:id="259"/>
      <w:bookmarkEnd w:id="260"/>
      <w:bookmarkStart w:id="261" w:name="_Toc378248335"/>
    </w:p>
    <w:p>
      <w:pPr>
        <w:rPr>
          <w:rFonts w:ascii="宋体" w:hAnsi="宋体" w:cs="宋体"/>
        </w:rPr>
      </w:pPr>
    </w:p>
    <w:p>
      <w:pPr>
        <w:outlineLvl w:val="9"/>
        <w:rPr>
          <w:rFonts w:ascii="宋体" w:hAnsi="宋体" w:cs="宋体"/>
          <w:sz w:val="28"/>
          <w:szCs w:val="28"/>
        </w:rPr>
      </w:pPr>
      <w:bookmarkStart w:id="262" w:name="_Toc27416"/>
      <w:r>
        <w:rPr>
          <w:rFonts w:hint="eastAsia" w:ascii="宋体" w:hAnsi="宋体" w:cs="宋体"/>
          <w:sz w:val="28"/>
          <w:szCs w:val="28"/>
        </w:rPr>
        <w:t>项目名称：</w:t>
      </w:r>
      <w:r>
        <w:rPr>
          <w:rFonts w:hint="eastAsia" w:ascii="宋体" w:hAnsi="宋体" w:cs="宋体"/>
          <w:kern w:val="0"/>
          <w:sz w:val="24"/>
          <w:szCs w:val="24"/>
        </w:rPr>
        <w:t>_____________________________</w:t>
      </w:r>
      <w:bookmarkEnd w:id="262"/>
    </w:p>
    <w:p>
      <w:pPr>
        <w:tabs>
          <w:tab w:val="center" w:pos="4150"/>
        </w:tabs>
        <w:outlineLvl w:val="9"/>
        <w:rPr>
          <w:rFonts w:hint="eastAsia" w:ascii="宋体" w:hAnsi="宋体" w:cs="宋体"/>
          <w:sz w:val="28"/>
          <w:szCs w:val="28"/>
        </w:rPr>
      </w:pPr>
      <w:bookmarkStart w:id="263" w:name="_Toc14801"/>
      <w:r>
        <w:rPr>
          <w:rFonts w:hint="eastAsia" w:ascii="宋体" w:hAnsi="宋体" w:cs="宋体"/>
          <w:sz w:val="28"/>
          <w:szCs w:val="28"/>
        </w:rPr>
        <w:t>项目编号：</w:t>
      </w:r>
      <w:bookmarkEnd w:id="261"/>
      <w:r>
        <w:rPr>
          <w:rFonts w:hint="eastAsia" w:ascii="宋体" w:hAnsi="宋体" w:cs="宋体"/>
          <w:kern w:val="0"/>
          <w:sz w:val="24"/>
          <w:szCs w:val="24"/>
        </w:rPr>
        <w:t>_____________________________</w:t>
      </w:r>
      <w:bookmarkEnd w:id="263"/>
      <w:r>
        <w:rPr>
          <w:rFonts w:hint="eastAsia" w:ascii="宋体" w:hAnsi="宋体" w:cs="宋体"/>
          <w:sz w:val="28"/>
          <w:szCs w:val="28"/>
        </w:rPr>
        <w:tab/>
      </w:r>
    </w:p>
    <w:p>
      <w:pPr>
        <w:pStyle w:val="28"/>
      </w:pPr>
    </w:p>
    <w:tbl>
      <w:tblPr>
        <w:tblStyle w:val="30"/>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7" w:type="default"/>
          <w:footerReference r:id="rId28"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outlineLvl w:val="9"/>
        <w:rPr>
          <w:rFonts w:hint="eastAsia" w:ascii="宋体" w:hAnsi="宋体" w:cs="宋体"/>
          <w:b/>
          <w:spacing w:val="48"/>
          <w:sz w:val="72"/>
          <w:szCs w:val="72"/>
        </w:rPr>
      </w:pPr>
      <w:bookmarkStart w:id="264" w:name="_Toc25994"/>
    </w:p>
    <w:p>
      <w:pPr>
        <w:ind w:firstLine="819" w:firstLineChars="100"/>
        <w:jc w:val="left"/>
        <w:outlineLvl w:val="9"/>
        <w:rPr>
          <w:rFonts w:ascii="宋体" w:hAnsi="宋体" w:cs="宋体"/>
          <w:b/>
          <w:spacing w:val="48"/>
          <w:sz w:val="72"/>
          <w:szCs w:val="72"/>
        </w:rPr>
      </w:pPr>
      <w:r>
        <w:rPr>
          <w:rFonts w:hint="eastAsia" w:ascii="宋体" w:hAnsi="宋体" w:cs="宋体"/>
          <w:b/>
          <w:spacing w:val="48"/>
          <w:sz w:val="72"/>
          <w:szCs w:val="72"/>
        </w:rPr>
        <w:t>公平       公正</w:t>
      </w:r>
      <w:bookmarkEnd w:id="264"/>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outlineLvl w:val="9"/>
        <w:rPr>
          <w:rFonts w:ascii="宋体" w:hAnsi="宋体" w:cs="宋体"/>
          <w:b/>
          <w:spacing w:val="48"/>
          <w:sz w:val="72"/>
          <w:szCs w:val="72"/>
        </w:rPr>
      </w:pPr>
      <w:bookmarkStart w:id="265" w:name="_Toc9946"/>
      <w:r>
        <w:rPr>
          <w:rFonts w:hint="eastAsia" w:ascii="宋体" w:hAnsi="宋体" w:cs="宋体"/>
          <w:b/>
          <w:spacing w:val="48"/>
          <w:sz w:val="72"/>
          <w:szCs w:val="72"/>
        </w:rPr>
        <w:t>专业       高效</w:t>
      </w:r>
      <w:bookmarkEnd w:id="265"/>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outlineLvl w:val="9"/>
        <w:rPr>
          <w:rFonts w:ascii="宋体" w:hAnsi="宋体" w:cs="宋体"/>
          <w:b/>
          <w:sz w:val="30"/>
          <w:szCs w:val="30"/>
        </w:rPr>
      </w:pPr>
      <w:bookmarkStart w:id="266" w:name="_Toc32384"/>
      <w:r>
        <w:rPr>
          <w:rFonts w:hint="eastAsia" w:ascii="宋体" w:hAnsi="宋体" w:cs="宋体"/>
          <w:b/>
          <w:sz w:val="30"/>
          <w:szCs w:val="30"/>
        </w:rPr>
        <w:t>企业名称：陕西卓佲项目管理有限公司</w:t>
      </w:r>
      <w:bookmarkEnd w:id="266"/>
    </w:p>
    <w:p>
      <w:pPr>
        <w:outlineLvl w:val="9"/>
        <w:rPr>
          <w:rFonts w:ascii="宋体" w:hAnsi="宋体" w:cs="宋体"/>
          <w:b/>
          <w:sz w:val="30"/>
          <w:szCs w:val="30"/>
        </w:rPr>
      </w:pPr>
      <w:bookmarkStart w:id="267" w:name="_Toc25918"/>
      <w:r>
        <w:rPr>
          <w:rFonts w:hint="eastAsia" w:ascii="宋体" w:hAnsi="宋体" w:cs="宋体"/>
          <w:b/>
          <w:sz w:val="30"/>
          <w:szCs w:val="30"/>
        </w:rPr>
        <w:t>地址：西安市雁塔区科技路十号华奥大厦A座2002室</w:t>
      </w:r>
      <w:bookmarkEnd w:id="267"/>
    </w:p>
    <w:p>
      <w:pPr>
        <w:outlineLvl w:val="9"/>
        <w:rPr>
          <w:rFonts w:ascii="宋体" w:hAnsi="宋体" w:cs="宋体"/>
          <w:b/>
          <w:sz w:val="30"/>
          <w:szCs w:val="30"/>
        </w:rPr>
      </w:pPr>
      <w:bookmarkStart w:id="268" w:name="_Toc26276"/>
      <w:r>
        <w:rPr>
          <w:rFonts w:hint="eastAsia" w:ascii="宋体" w:hAnsi="宋体" w:cs="宋体"/>
          <w:b/>
          <w:sz w:val="30"/>
          <w:szCs w:val="30"/>
        </w:rPr>
        <w:t>邮政编码：710065</w:t>
      </w:r>
      <w:bookmarkEnd w:id="268"/>
    </w:p>
    <w:p>
      <w:pPr>
        <w:outlineLvl w:val="9"/>
        <w:rPr>
          <w:rFonts w:ascii="宋体" w:hAnsi="宋体" w:cs="宋体"/>
          <w:b/>
          <w:sz w:val="30"/>
          <w:szCs w:val="30"/>
        </w:rPr>
      </w:pPr>
      <w:bookmarkStart w:id="269" w:name="_Toc1409"/>
      <w:r>
        <w:rPr>
          <w:rFonts w:hint="eastAsia" w:ascii="宋体" w:hAnsi="宋体" w:cs="宋体"/>
          <w:b/>
          <w:sz w:val="30"/>
          <w:szCs w:val="30"/>
        </w:rPr>
        <w:t>电话：029-88440695</w:t>
      </w:r>
      <w:bookmarkEnd w:id="269"/>
    </w:p>
    <w:p>
      <w:pPr>
        <w:outlineLvl w:val="9"/>
        <w:rPr>
          <w:rFonts w:ascii="宋体" w:hAnsi="宋体" w:cs="宋体"/>
        </w:rPr>
      </w:pPr>
      <w:bookmarkStart w:id="270" w:name="_Toc13292"/>
      <w:r>
        <w:rPr>
          <w:rFonts w:hint="eastAsia" w:ascii="宋体" w:hAnsi="宋体" w:cs="宋体"/>
          <w:b/>
          <w:sz w:val="30"/>
          <w:szCs w:val="30"/>
        </w:rPr>
        <w:t>传真：029-88440695</w:t>
      </w:r>
      <w:bookmarkEnd w:id="270"/>
    </w:p>
    <w:p>
      <w:pPr>
        <w:rPr>
          <w:rFonts w:ascii="宋体" w:hAnsi="宋体" w:cs="宋体"/>
        </w:rPr>
      </w:pPr>
    </w:p>
    <w:bookmarkEnd w:id="0"/>
    <w:bookmarkEnd w:id="146"/>
    <w:bookmarkEnd w:id="147"/>
    <w:p>
      <w:pPr>
        <w:rPr>
          <w:rFonts w:ascii="宋体" w:hAnsi="宋体" w:cs="宋体"/>
        </w:rPr>
      </w:pPr>
    </w:p>
    <w:sectPr>
      <w:headerReference r:id="rId29" w:type="default"/>
      <w:footerReference r:id="rId30"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u w:val="single"/>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271" w:name="OLE_LINK16"/>
    <w:r>
      <w:rPr>
        <w:rFonts w:hint="eastAsia" w:ascii="宋体" w:hAnsi="宋体" w:cs="宋体"/>
        <w:sz w:val="15"/>
        <w:szCs w:val="15"/>
        <w:u w:val="single"/>
      </w:rPr>
      <w:t>SXWZ2017ZB-XAWGY-02</w:t>
    </w:r>
    <w:bookmarkEnd w:id="27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883E8"/>
    <w:multiLevelType w:val="multilevel"/>
    <w:tmpl w:val="909883E8"/>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32ED3FA"/>
    <w:multiLevelType w:val="singleLevel"/>
    <w:tmpl w:val="932ED3FA"/>
    <w:lvl w:ilvl="0" w:tentative="0">
      <w:start w:val="1"/>
      <w:numFmt w:val="decimal"/>
      <w:suff w:val="nothing"/>
      <w:lvlText w:val="（%1）"/>
      <w:lvlJc w:val="left"/>
    </w:lvl>
  </w:abstractNum>
  <w:abstractNum w:abstractNumId="2">
    <w:nsid w:val="935491CB"/>
    <w:multiLevelType w:val="singleLevel"/>
    <w:tmpl w:val="935491CB"/>
    <w:lvl w:ilvl="0" w:tentative="0">
      <w:start w:val="9"/>
      <w:numFmt w:val="decimal"/>
      <w:suff w:val="nothing"/>
      <w:lvlText w:val="%1、"/>
      <w:lvlJc w:val="left"/>
    </w:lvl>
  </w:abstractNum>
  <w:abstractNum w:abstractNumId="3">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4">
    <w:nsid w:val="B51122D8"/>
    <w:multiLevelType w:val="singleLevel"/>
    <w:tmpl w:val="B51122D8"/>
    <w:lvl w:ilvl="0" w:tentative="0">
      <w:start w:val="1"/>
      <w:numFmt w:val="decimal"/>
      <w:lvlText w:val="%1."/>
      <w:lvlJc w:val="left"/>
      <w:pPr>
        <w:tabs>
          <w:tab w:val="left" w:pos="312"/>
        </w:tabs>
      </w:pPr>
    </w:lvl>
  </w:abstractNum>
  <w:abstractNum w:abstractNumId="5">
    <w:nsid w:val="BE58D8E5"/>
    <w:multiLevelType w:val="singleLevel"/>
    <w:tmpl w:val="BE58D8E5"/>
    <w:lvl w:ilvl="0" w:tentative="0">
      <w:start w:val="1"/>
      <w:numFmt w:val="decimal"/>
      <w:lvlText w:val="%1."/>
      <w:lvlJc w:val="left"/>
      <w:pPr>
        <w:tabs>
          <w:tab w:val="left" w:pos="312"/>
        </w:tabs>
      </w:pPr>
    </w:lvl>
  </w:abstractNum>
  <w:abstractNum w:abstractNumId="6">
    <w:nsid w:val="C435DD92"/>
    <w:multiLevelType w:val="singleLevel"/>
    <w:tmpl w:val="C435DD92"/>
    <w:lvl w:ilvl="0" w:tentative="0">
      <w:start w:val="2"/>
      <w:numFmt w:val="chineseCounting"/>
      <w:suff w:val="nothing"/>
      <w:lvlText w:val="%1、"/>
      <w:lvlJc w:val="left"/>
      <w:rPr>
        <w:rFonts w:hint="eastAsia"/>
      </w:rPr>
    </w:lvl>
  </w:abstractNum>
  <w:abstractNum w:abstractNumId="7">
    <w:nsid w:val="C99BDCD1"/>
    <w:multiLevelType w:val="singleLevel"/>
    <w:tmpl w:val="C99BDCD1"/>
    <w:lvl w:ilvl="0" w:tentative="0">
      <w:start w:val="1"/>
      <w:numFmt w:val="chineseCounting"/>
      <w:suff w:val="nothing"/>
      <w:lvlText w:val="（%1）"/>
      <w:lvlJc w:val="left"/>
      <w:rPr>
        <w:rFonts w:hint="eastAsia"/>
      </w:rPr>
    </w:lvl>
  </w:abstractNum>
  <w:abstractNum w:abstractNumId="8">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9">
    <w:nsid w:val="F20ECAEB"/>
    <w:multiLevelType w:val="singleLevel"/>
    <w:tmpl w:val="F20ECAEB"/>
    <w:lvl w:ilvl="0" w:tentative="0">
      <w:start w:val="4"/>
      <w:numFmt w:val="chineseCounting"/>
      <w:suff w:val="space"/>
      <w:lvlText w:val="第%1部分"/>
      <w:lvlJc w:val="left"/>
      <w:rPr>
        <w:rFonts w:hint="eastAsia"/>
      </w:rPr>
    </w:lvl>
  </w:abstractNum>
  <w:abstractNum w:abstractNumId="10">
    <w:nsid w:val="0F498924"/>
    <w:multiLevelType w:val="singleLevel"/>
    <w:tmpl w:val="0F498924"/>
    <w:lvl w:ilvl="0" w:tentative="0">
      <w:start w:val="1"/>
      <w:numFmt w:val="decimal"/>
      <w:suff w:val="space"/>
      <w:lvlText w:val="%1."/>
      <w:lvlJc w:val="left"/>
    </w:lvl>
  </w:abstractNum>
  <w:abstractNum w:abstractNumId="11">
    <w:nsid w:val="19B057FC"/>
    <w:multiLevelType w:val="singleLevel"/>
    <w:tmpl w:val="19B057FC"/>
    <w:lvl w:ilvl="0" w:tentative="0">
      <w:start w:val="1"/>
      <w:numFmt w:val="decimal"/>
      <w:suff w:val="nothing"/>
      <w:lvlText w:val="%1、"/>
      <w:lvlJc w:val="left"/>
      <w:pPr>
        <w:ind w:left="140" w:firstLine="0"/>
      </w:pPr>
    </w:lvl>
  </w:abstractNum>
  <w:abstractNum w:abstractNumId="12">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3">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4">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5">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6">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7">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8">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9">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0">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21">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2">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3">
    <w:nsid w:val="5902B6A7"/>
    <w:multiLevelType w:val="singleLevel"/>
    <w:tmpl w:val="5902B6A7"/>
    <w:lvl w:ilvl="0" w:tentative="0">
      <w:start w:val="1"/>
      <w:numFmt w:val="decimal"/>
      <w:pStyle w:val="8"/>
      <w:lvlText w:val="%1."/>
      <w:lvlJc w:val="left"/>
      <w:pPr>
        <w:tabs>
          <w:tab w:val="left" w:pos="360"/>
        </w:tabs>
        <w:ind w:left="360" w:hanging="360"/>
      </w:pPr>
    </w:lvl>
  </w:abstractNum>
  <w:abstractNum w:abstractNumId="24">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5">
    <w:nsid w:val="5FB1E77F"/>
    <w:multiLevelType w:val="singleLevel"/>
    <w:tmpl w:val="5FB1E77F"/>
    <w:lvl w:ilvl="0" w:tentative="0">
      <w:start w:val="1"/>
      <w:numFmt w:val="decimal"/>
      <w:suff w:val="nothing"/>
      <w:lvlText w:val="%1、"/>
      <w:lvlJc w:val="left"/>
    </w:lvl>
  </w:abstractNum>
  <w:abstractNum w:abstractNumId="26">
    <w:nsid w:val="604094DA"/>
    <w:multiLevelType w:val="singleLevel"/>
    <w:tmpl w:val="604094DA"/>
    <w:lvl w:ilvl="0" w:tentative="0">
      <w:start w:val="1"/>
      <w:numFmt w:val="decimal"/>
      <w:suff w:val="space"/>
      <w:lvlText w:val="%1."/>
      <w:lvlJc w:val="left"/>
    </w:lvl>
  </w:abstractNum>
  <w:abstractNum w:abstractNumId="27">
    <w:nsid w:val="61F7CCE3"/>
    <w:multiLevelType w:val="singleLevel"/>
    <w:tmpl w:val="61F7CCE3"/>
    <w:lvl w:ilvl="0" w:tentative="0">
      <w:start w:val="2"/>
      <w:numFmt w:val="chineseCounting"/>
      <w:suff w:val="space"/>
      <w:lvlText w:val="第%1部分"/>
      <w:lvlJc w:val="left"/>
      <w:rPr>
        <w:rFonts w:hint="eastAsia"/>
      </w:rPr>
    </w:lvl>
  </w:abstractNum>
  <w:abstractNum w:abstractNumId="28">
    <w:nsid w:val="64402E50"/>
    <w:multiLevelType w:val="singleLevel"/>
    <w:tmpl w:val="64402E50"/>
    <w:lvl w:ilvl="0" w:tentative="0">
      <w:start w:val="8"/>
      <w:numFmt w:val="chineseCounting"/>
      <w:suff w:val="space"/>
      <w:lvlText w:val="第%1部分"/>
      <w:lvlJc w:val="left"/>
      <w:rPr>
        <w:rFonts w:hint="eastAsia"/>
      </w:rPr>
    </w:lvl>
  </w:abstractNum>
  <w:abstractNum w:abstractNumId="29">
    <w:nsid w:val="744D776A"/>
    <w:multiLevelType w:val="singleLevel"/>
    <w:tmpl w:val="744D776A"/>
    <w:lvl w:ilvl="0" w:tentative="0">
      <w:start w:val="2"/>
      <w:numFmt w:val="decimal"/>
      <w:suff w:val="nothing"/>
      <w:lvlText w:val="%1、"/>
      <w:lvlJc w:val="left"/>
    </w:lvl>
  </w:abstractNum>
  <w:num w:numId="1">
    <w:abstractNumId w:val="23"/>
  </w:num>
  <w:num w:numId="2">
    <w:abstractNumId w:val="1"/>
  </w:num>
  <w:num w:numId="3">
    <w:abstractNumId w:val="7"/>
  </w:num>
  <w:num w:numId="4">
    <w:abstractNumId w:val="22"/>
  </w:num>
  <w:num w:numId="5">
    <w:abstractNumId w:val="25"/>
  </w:num>
  <w:num w:numId="6">
    <w:abstractNumId w:val="29"/>
  </w:num>
  <w:num w:numId="7">
    <w:abstractNumId w:val="24"/>
  </w:num>
  <w:num w:numId="8">
    <w:abstractNumId w:val="8"/>
  </w:num>
  <w:num w:numId="9">
    <w:abstractNumId w:val="3"/>
  </w:num>
  <w:num w:numId="10">
    <w:abstractNumId w:val="14"/>
  </w:num>
  <w:num w:numId="11">
    <w:abstractNumId w:val="13"/>
  </w:num>
  <w:num w:numId="12">
    <w:abstractNumId w:val="6"/>
  </w:num>
  <w:num w:numId="13">
    <w:abstractNumId w:val="18"/>
  </w:num>
  <w:num w:numId="14">
    <w:abstractNumId w:val="19"/>
  </w:num>
  <w:num w:numId="15">
    <w:abstractNumId w:val="15"/>
  </w:num>
  <w:num w:numId="16">
    <w:abstractNumId w:val="20"/>
  </w:num>
  <w:num w:numId="17">
    <w:abstractNumId w:val="16"/>
  </w:num>
  <w:num w:numId="18">
    <w:abstractNumId w:val="17"/>
  </w:num>
  <w:num w:numId="19">
    <w:abstractNumId w:val="21"/>
  </w:num>
  <w:num w:numId="20">
    <w:abstractNumId w:val="9"/>
  </w:num>
  <w:num w:numId="21">
    <w:abstractNumId w:val="4"/>
  </w:num>
  <w:num w:numId="22">
    <w:abstractNumId w:val="10"/>
  </w:num>
  <w:num w:numId="23">
    <w:abstractNumId w:val="5"/>
  </w:num>
  <w:num w:numId="24">
    <w:abstractNumId w:val="0"/>
  </w:num>
  <w:num w:numId="25">
    <w:abstractNumId w:val="27"/>
  </w:num>
  <w:num w:numId="26">
    <w:abstractNumId w:val="11"/>
  </w:num>
  <w:num w:numId="27">
    <w:abstractNumId w:val="12"/>
  </w:num>
  <w:num w:numId="28">
    <w:abstractNumId w:val="2"/>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NmVlMWFiZDU5MjhiMmJlM2Y1NmM4NWIyN2E1YTkifQ=="/>
  </w:docVars>
  <w:rsids>
    <w:rsidRoot w:val="00172A27"/>
    <w:rsid w:val="00010D1C"/>
    <w:rsid w:val="0002712E"/>
    <w:rsid w:val="00037E51"/>
    <w:rsid w:val="00042D40"/>
    <w:rsid w:val="00067B07"/>
    <w:rsid w:val="000743B6"/>
    <w:rsid w:val="00084A44"/>
    <w:rsid w:val="0009265D"/>
    <w:rsid w:val="000A3AD6"/>
    <w:rsid w:val="000A6804"/>
    <w:rsid w:val="000B17FB"/>
    <w:rsid w:val="000B2A5D"/>
    <w:rsid w:val="000B3DD4"/>
    <w:rsid w:val="000C0895"/>
    <w:rsid w:val="000C673D"/>
    <w:rsid w:val="000D7288"/>
    <w:rsid w:val="000E2734"/>
    <w:rsid w:val="000E37CB"/>
    <w:rsid w:val="000F3806"/>
    <w:rsid w:val="00102202"/>
    <w:rsid w:val="0011607E"/>
    <w:rsid w:val="00122D04"/>
    <w:rsid w:val="00126C11"/>
    <w:rsid w:val="00140E4D"/>
    <w:rsid w:val="001479C8"/>
    <w:rsid w:val="00152CAF"/>
    <w:rsid w:val="00167A28"/>
    <w:rsid w:val="001701D8"/>
    <w:rsid w:val="0017037F"/>
    <w:rsid w:val="00172A27"/>
    <w:rsid w:val="00180FA4"/>
    <w:rsid w:val="00192A67"/>
    <w:rsid w:val="00195B2A"/>
    <w:rsid w:val="001A00DF"/>
    <w:rsid w:val="001A439C"/>
    <w:rsid w:val="001A6727"/>
    <w:rsid w:val="001B0BC1"/>
    <w:rsid w:val="001B1459"/>
    <w:rsid w:val="001B3264"/>
    <w:rsid w:val="001C17E7"/>
    <w:rsid w:val="001C2786"/>
    <w:rsid w:val="001D44F7"/>
    <w:rsid w:val="001D4DBC"/>
    <w:rsid w:val="001D74E8"/>
    <w:rsid w:val="001D76B9"/>
    <w:rsid w:val="001E1FE3"/>
    <w:rsid w:val="001E5E5C"/>
    <w:rsid w:val="001E7E49"/>
    <w:rsid w:val="001F403A"/>
    <w:rsid w:val="00205EEF"/>
    <w:rsid w:val="00214BA5"/>
    <w:rsid w:val="00221202"/>
    <w:rsid w:val="00247C1D"/>
    <w:rsid w:val="0025657F"/>
    <w:rsid w:val="002647A7"/>
    <w:rsid w:val="0026628D"/>
    <w:rsid w:val="00274C97"/>
    <w:rsid w:val="00287CC7"/>
    <w:rsid w:val="00290135"/>
    <w:rsid w:val="002923DE"/>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B61AE"/>
    <w:rsid w:val="003C2DEE"/>
    <w:rsid w:val="003C2E0B"/>
    <w:rsid w:val="003C67F2"/>
    <w:rsid w:val="003D30BC"/>
    <w:rsid w:val="003D37C1"/>
    <w:rsid w:val="003E1DDF"/>
    <w:rsid w:val="003E65D8"/>
    <w:rsid w:val="003E7B81"/>
    <w:rsid w:val="003F04B9"/>
    <w:rsid w:val="003F3D18"/>
    <w:rsid w:val="003F42BB"/>
    <w:rsid w:val="003F5518"/>
    <w:rsid w:val="003F64A7"/>
    <w:rsid w:val="004057C8"/>
    <w:rsid w:val="004456E2"/>
    <w:rsid w:val="00450476"/>
    <w:rsid w:val="004803E0"/>
    <w:rsid w:val="00480A2B"/>
    <w:rsid w:val="00482B14"/>
    <w:rsid w:val="004862AD"/>
    <w:rsid w:val="004958B6"/>
    <w:rsid w:val="004A1B24"/>
    <w:rsid w:val="004A2796"/>
    <w:rsid w:val="004B0BF8"/>
    <w:rsid w:val="004B1B7C"/>
    <w:rsid w:val="004B2DBF"/>
    <w:rsid w:val="004C2AF8"/>
    <w:rsid w:val="004D70C5"/>
    <w:rsid w:val="004D7702"/>
    <w:rsid w:val="004E4CF5"/>
    <w:rsid w:val="00501EEF"/>
    <w:rsid w:val="0050491F"/>
    <w:rsid w:val="00513C7F"/>
    <w:rsid w:val="00517E36"/>
    <w:rsid w:val="00520C66"/>
    <w:rsid w:val="005217F8"/>
    <w:rsid w:val="00522064"/>
    <w:rsid w:val="00530399"/>
    <w:rsid w:val="00536870"/>
    <w:rsid w:val="00541724"/>
    <w:rsid w:val="00561B5B"/>
    <w:rsid w:val="00571D17"/>
    <w:rsid w:val="00572154"/>
    <w:rsid w:val="00573ECA"/>
    <w:rsid w:val="00576A5F"/>
    <w:rsid w:val="005B0E59"/>
    <w:rsid w:val="005B3960"/>
    <w:rsid w:val="005B7D7A"/>
    <w:rsid w:val="005C1A4E"/>
    <w:rsid w:val="005C7704"/>
    <w:rsid w:val="005D7A12"/>
    <w:rsid w:val="005E1A4A"/>
    <w:rsid w:val="005F0772"/>
    <w:rsid w:val="005F5307"/>
    <w:rsid w:val="006055AF"/>
    <w:rsid w:val="0060689C"/>
    <w:rsid w:val="00613B65"/>
    <w:rsid w:val="00616F2D"/>
    <w:rsid w:val="006177A7"/>
    <w:rsid w:val="006258BB"/>
    <w:rsid w:val="00641FD9"/>
    <w:rsid w:val="0064781D"/>
    <w:rsid w:val="00651A97"/>
    <w:rsid w:val="00654B3E"/>
    <w:rsid w:val="006634A1"/>
    <w:rsid w:val="006657C9"/>
    <w:rsid w:val="0067039B"/>
    <w:rsid w:val="0067149C"/>
    <w:rsid w:val="00680400"/>
    <w:rsid w:val="00681782"/>
    <w:rsid w:val="006849A6"/>
    <w:rsid w:val="00695476"/>
    <w:rsid w:val="00696FBA"/>
    <w:rsid w:val="006A0541"/>
    <w:rsid w:val="006A3CA0"/>
    <w:rsid w:val="006A5684"/>
    <w:rsid w:val="006B535E"/>
    <w:rsid w:val="006C2460"/>
    <w:rsid w:val="006D761F"/>
    <w:rsid w:val="006E14CD"/>
    <w:rsid w:val="006E169C"/>
    <w:rsid w:val="006E46DF"/>
    <w:rsid w:val="006E7F0D"/>
    <w:rsid w:val="006E7F57"/>
    <w:rsid w:val="006F1FD6"/>
    <w:rsid w:val="007027C4"/>
    <w:rsid w:val="00705E51"/>
    <w:rsid w:val="00711C0F"/>
    <w:rsid w:val="0071294E"/>
    <w:rsid w:val="007359DA"/>
    <w:rsid w:val="00736BCC"/>
    <w:rsid w:val="0074281E"/>
    <w:rsid w:val="00743051"/>
    <w:rsid w:val="007447C1"/>
    <w:rsid w:val="00754F21"/>
    <w:rsid w:val="00766793"/>
    <w:rsid w:val="00770871"/>
    <w:rsid w:val="00770AB6"/>
    <w:rsid w:val="0077254B"/>
    <w:rsid w:val="00787642"/>
    <w:rsid w:val="00792491"/>
    <w:rsid w:val="007A3A90"/>
    <w:rsid w:val="007A4E4B"/>
    <w:rsid w:val="007B5F39"/>
    <w:rsid w:val="007C08C3"/>
    <w:rsid w:val="007C2279"/>
    <w:rsid w:val="007C2526"/>
    <w:rsid w:val="007D0BA4"/>
    <w:rsid w:val="007D15F9"/>
    <w:rsid w:val="007D308B"/>
    <w:rsid w:val="007E485E"/>
    <w:rsid w:val="0080064B"/>
    <w:rsid w:val="00811783"/>
    <w:rsid w:val="00812CEA"/>
    <w:rsid w:val="00813B07"/>
    <w:rsid w:val="00823C25"/>
    <w:rsid w:val="008259FA"/>
    <w:rsid w:val="00835960"/>
    <w:rsid w:val="00847A3B"/>
    <w:rsid w:val="008573C1"/>
    <w:rsid w:val="00857AD6"/>
    <w:rsid w:val="0086367E"/>
    <w:rsid w:val="00872924"/>
    <w:rsid w:val="00876C01"/>
    <w:rsid w:val="008866C0"/>
    <w:rsid w:val="00895737"/>
    <w:rsid w:val="008962A7"/>
    <w:rsid w:val="00896FC7"/>
    <w:rsid w:val="008A367A"/>
    <w:rsid w:val="008B3D72"/>
    <w:rsid w:val="008C650D"/>
    <w:rsid w:val="008D2AF0"/>
    <w:rsid w:val="008D379A"/>
    <w:rsid w:val="008D43F8"/>
    <w:rsid w:val="008E455E"/>
    <w:rsid w:val="008E7C81"/>
    <w:rsid w:val="008F5E34"/>
    <w:rsid w:val="008F6EFE"/>
    <w:rsid w:val="00900E76"/>
    <w:rsid w:val="009325F4"/>
    <w:rsid w:val="00934062"/>
    <w:rsid w:val="0093477B"/>
    <w:rsid w:val="00940DCC"/>
    <w:rsid w:val="00954CF1"/>
    <w:rsid w:val="00970225"/>
    <w:rsid w:val="00974733"/>
    <w:rsid w:val="00980469"/>
    <w:rsid w:val="00986403"/>
    <w:rsid w:val="00987EB4"/>
    <w:rsid w:val="009A6569"/>
    <w:rsid w:val="009B6BFE"/>
    <w:rsid w:val="009C319B"/>
    <w:rsid w:val="009C3D12"/>
    <w:rsid w:val="009E3BD2"/>
    <w:rsid w:val="009E7878"/>
    <w:rsid w:val="009F29DA"/>
    <w:rsid w:val="009F39F9"/>
    <w:rsid w:val="009F5B52"/>
    <w:rsid w:val="00A02D64"/>
    <w:rsid w:val="00A057C5"/>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B48BA"/>
    <w:rsid w:val="00AB4AD1"/>
    <w:rsid w:val="00AC0ACE"/>
    <w:rsid w:val="00AC33EA"/>
    <w:rsid w:val="00AC7625"/>
    <w:rsid w:val="00AD405A"/>
    <w:rsid w:val="00AD6709"/>
    <w:rsid w:val="00AF40F8"/>
    <w:rsid w:val="00B03B01"/>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BF6A85"/>
    <w:rsid w:val="00C003AB"/>
    <w:rsid w:val="00C12CCF"/>
    <w:rsid w:val="00C21BE4"/>
    <w:rsid w:val="00C24C41"/>
    <w:rsid w:val="00C41E46"/>
    <w:rsid w:val="00C53048"/>
    <w:rsid w:val="00C5725C"/>
    <w:rsid w:val="00C7157F"/>
    <w:rsid w:val="00C72367"/>
    <w:rsid w:val="00C73C93"/>
    <w:rsid w:val="00C74D12"/>
    <w:rsid w:val="00C8216D"/>
    <w:rsid w:val="00C87AC8"/>
    <w:rsid w:val="00C9521D"/>
    <w:rsid w:val="00C96F1D"/>
    <w:rsid w:val="00CA5BC4"/>
    <w:rsid w:val="00CB13A4"/>
    <w:rsid w:val="00CB53E0"/>
    <w:rsid w:val="00CE27E5"/>
    <w:rsid w:val="00CE65B1"/>
    <w:rsid w:val="00CF14E5"/>
    <w:rsid w:val="00D01247"/>
    <w:rsid w:val="00D101F6"/>
    <w:rsid w:val="00D17C17"/>
    <w:rsid w:val="00D2717E"/>
    <w:rsid w:val="00D33A75"/>
    <w:rsid w:val="00D55097"/>
    <w:rsid w:val="00D574E4"/>
    <w:rsid w:val="00D576EF"/>
    <w:rsid w:val="00D60EC1"/>
    <w:rsid w:val="00D620F7"/>
    <w:rsid w:val="00D67E55"/>
    <w:rsid w:val="00D73573"/>
    <w:rsid w:val="00D90775"/>
    <w:rsid w:val="00D961C4"/>
    <w:rsid w:val="00DA4229"/>
    <w:rsid w:val="00DB5A77"/>
    <w:rsid w:val="00DC1986"/>
    <w:rsid w:val="00DC44EE"/>
    <w:rsid w:val="00DC7FB0"/>
    <w:rsid w:val="00DD0388"/>
    <w:rsid w:val="00DE7E5C"/>
    <w:rsid w:val="00DF71E3"/>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36A5"/>
    <w:rsid w:val="00E73A32"/>
    <w:rsid w:val="00E809CE"/>
    <w:rsid w:val="00E921E3"/>
    <w:rsid w:val="00E96FE9"/>
    <w:rsid w:val="00E9724B"/>
    <w:rsid w:val="00EA1ECE"/>
    <w:rsid w:val="00EB6716"/>
    <w:rsid w:val="00EC1E3D"/>
    <w:rsid w:val="00EC5E7B"/>
    <w:rsid w:val="00EC6E7A"/>
    <w:rsid w:val="00ED35D5"/>
    <w:rsid w:val="00EE2BA1"/>
    <w:rsid w:val="00EE2BEF"/>
    <w:rsid w:val="00EE7A3A"/>
    <w:rsid w:val="00EF4C76"/>
    <w:rsid w:val="00F01B7A"/>
    <w:rsid w:val="00F15049"/>
    <w:rsid w:val="00F16A08"/>
    <w:rsid w:val="00F20B01"/>
    <w:rsid w:val="00F213BC"/>
    <w:rsid w:val="00F234ED"/>
    <w:rsid w:val="00F26B97"/>
    <w:rsid w:val="00F41A9D"/>
    <w:rsid w:val="00F55CEC"/>
    <w:rsid w:val="00F57027"/>
    <w:rsid w:val="00F57524"/>
    <w:rsid w:val="00F75245"/>
    <w:rsid w:val="00F85676"/>
    <w:rsid w:val="00F8728D"/>
    <w:rsid w:val="00F9354D"/>
    <w:rsid w:val="00F94DCB"/>
    <w:rsid w:val="00FA27A8"/>
    <w:rsid w:val="00FB05DA"/>
    <w:rsid w:val="00FC12C0"/>
    <w:rsid w:val="00FC3301"/>
    <w:rsid w:val="00FC6694"/>
    <w:rsid w:val="00FE167F"/>
    <w:rsid w:val="00FE2720"/>
    <w:rsid w:val="00FF2A69"/>
    <w:rsid w:val="00FF4B45"/>
    <w:rsid w:val="00FF4F56"/>
    <w:rsid w:val="01351C73"/>
    <w:rsid w:val="013A223F"/>
    <w:rsid w:val="013F2FCF"/>
    <w:rsid w:val="014C6453"/>
    <w:rsid w:val="0154481A"/>
    <w:rsid w:val="01623C08"/>
    <w:rsid w:val="01631939"/>
    <w:rsid w:val="01752AFE"/>
    <w:rsid w:val="01813926"/>
    <w:rsid w:val="018727CA"/>
    <w:rsid w:val="01920D21"/>
    <w:rsid w:val="01B36AC8"/>
    <w:rsid w:val="01F90F7C"/>
    <w:rsid w:val="02064B47"/>
    <w:rsid w:val="02092073"/>
    <w:rsid w:val="02132B87"/>
    <w:rsid w:val="02264FBE"/>
    <w:rsid w:val="022B6D52"/>
    <w:rsid w:val="023E4F05"/>
    <w:rsid w:val="026E269C"/>
    <w:rsid w:val="02701597"/>
    <w:rsid w:val="0277484A"/>
    <w:rsid w:val="02801AAD"/>
    <w:rsid w:val="02854F8C"/>
    <w:rsid w:val="0299229B"/>
    <w:rsid w:val="029C5E74"/>
    <w:rsid w:val="029D1C8E"/>
    <w:rsid w:val="02CE7259"/>
    <w:rsid w:val="02DB4DF7"/>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922828"/>
    <w:rsid w:val="04970E19"/>
    <w:rsid w:val="04AC6CA5"/>
    <w:rsid w:val="04B351C5"/>
    <w:rsid w:val="04BF5AD0"/>
    <w:rsid w:val="04C3210C"/>
    <w:rsid w:val="04E5250D"/>
    <w:rsid w:val="04F209CD"/>
    <w:rsid w:val="05290726"/>
    <w:rsid w:val="0535429B"/>
    <w:rsid w:val="05402991"/>
    <w:rsid w:val="054E1CE0"/>
    <w:rsid w:val="056101E8"/>
    <w:rsid w:val="057A7F6E"/>
    <w:rsid w:val="058469D6"/>
    <w:rsid w:val="0589504E"/>
    <w:rsid w:val="058C1707"/>
    <w:rsid w:val="05AC0A53"/>
    <w:rsid w:val="05AE40A3"/>
    <w:rsid w:val="05E740AF"/>
    <w:rsid w:val="05EF0793"/>
    <w:rsid w:val="05F66E7E"/>
    <w:rsid w:val="05FC494C"/>
    <w:rsid w:val="06007989"/>
    <w:rsid w:val="060454DB"/>
    <w:rsid w:val="0618781F"/>
    <w:rsid w:val="06610A08"/>
    <w:rsid w:val="06686B0C"/>
    <w:rsid w:val="066D1D57"/>
    <w:rsid w:val="068D7620"/>
    <w:rsid w:val="06926006"/>
    <w:rsid w:val="06937EB7"/>
    <w:rsid w:val="06BE30D0"/>
    <w:rsid w:val="06EF35C6"/>
    <w:rsid w:val="070D73CC"/>
    <w:rsid w:val="072653F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6A27B4"/>
    <w:rsid w:val="096E6A8F"/>
    <w:rsid w:val="099B5A1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DF7AEC"/>
    <w:rsid w:val="0B147FEF"/>
    <w:rsid w:val="0B167DBC"/>
    <w:rsid w:val="0B21105A"/>
    <w:rsid w:val="0B212724"/>
    <w:rsid w:val="0B2209A4"/>
    <w:rsid w:val="0B483C08"/>
    <w:rsid w:val="0B5D1A85"/>
    <w:rsid w:val="0B756EDB"/>
    <w:rsid w:val="0B834CF3"/>
    <w:rsid w:val="0B986F9F"/>
    <w:rsid w:val="0BBE458A"/>
    <w:rsid w:val="0BCF5E37"/>
    <w:rsid w:val="0BD74A5E"/>
    <w:rsid w:val="0BD928E6"/>
    <w:rsid w:val="0BE92434"/>
    <w:rsid w:val="0C090444"/>
    <w:rsid w:val="0C1D7DEF"/>
    <w:rsid w:val="0C2413F5"/>
    <w:rsid w:val="0C2C1105"/>
    <w:rsid w:val="0C4B1E57"/>
    <w:rsid w:val="0C545F5A"/>
    <w:rsid w:val="0C567D9E"/>
    <w:rsid w:val="0C571D0F"/>
    <w:rsid w:val="0C606202"/>
    <w:rsid w:val="0C662702"/>
    <w:rsid w:val="0C7F3BFC"/>
    <w:rsid w:val="0C8949E4"/>
    <w:rsid w:val="0C997EBB"/>
    <w:rsid w:val="0CB6728F"/>
    <w:rsid w:val="0CC31335"/>
    <w:rsid w:val="0CC455C5"/>
    <w:rsid w:val="0CE32B9C"/>
    <w:rsid w:val="0CF14B0E"/>
    <w:rsid w:val="0CF5585C"/>
    <w:rsid w:val="0CFB6A75"/>
    <w:rsid w:val="0CFD25BD"/>
    <w:rsid w:val="0D24297B"/>
    <w:rsid w:val="0D34678D"/>
    <w:rsid w:val="0D3A39B1"/>
    <w:rsid w:val="0D4A02A6"/>
    <w:rsid w:val="0D4D794B"/>
    <w:rsid w:val="0D607508"/>
    <w:rsid w:val="0D8F75BB"/>
    <w:rsid w:val="0D933F5C"/>
    <w:rsid w:val="0DA3517A"/>
    <w:rsid w:val="0DAB1B73"/>
    <w:rsid w:val="0E06783A"/>
    <w:rsid w:val="0E0C42FA"/>
    <w:rsid w:val="0E340C77"/>
    <w:rsid w:val="0E3656D6"/>
    <w:rsid w:val="0E387EC2"/>
    <w:rsid w:val="0E3A106D"/>
    <w:rsid w:val="0E502C29"/>
    <w:rsid w:val="0E6B4E26"/>
    <w:rsid w:val="0E734739"/>
    <w:rsid w:val="0E8B4F0A"/>
    <w:rsid w:val="0E9A15CB"/>
    <w:rsid w:val="0E9C201E"/>
    <w:rsid w:val="0EA727EB"/>
    <w:rsid w:val="0EB2717E"/>
    <w:rsid w:val="0EE26BE2"/>
    <w:rsid w:val="0F3C019D"/>
    <w:rsid w:val="0F4D0852"/>
    <w:rsid w:val="0F784044"/>
    <w:rsid w:val="0F823D5D"/>
    <w:rsid w:val="0F862A78"/>
    <w:rsid w:val="0F9937DA"/>
    <w:rsid w:val="0FA029A3"/>
    <w:rsid w:val="0FAB24D3"/>
    <w:rsid w:val="0FC00610"/>
    <w:rsid w:val="0FE973CA"/>
    <w:rsid w:val="0FFA5319"/>
    <w:rsid w:val="10005F5F"/>
    <w:rsid w:val="10063AFE"/>
    <w:rsid w:val="100B449D"/>
    <w:rsid w:val="10240FE0"/>
    <w:rsid w:val="104B4EC7"/>
    <w:rsid w:val="105356D7"/>
    <w:rsid w:val="106252FB"/>
    <w:rsid w:val="107442CE"/>
    <w:rsid w:val="107E5C87"/>
    <w:rsid w:val="108B226C"/>
    <w:rsid w:val="108E6DDE"/>
    <w:rsid w:val="109827F5"/>
    <w:rsid w:val="10B152EF"/>
    <w:rsid w:val="10D20FA3"/>
    <w:rsid w:val="10D54BEF"/>
    <w:rsid w:val="10FA43D2"/>
    <w:rsid w:val="10FD3277"/>
    <w:rsid w:val="112F26C0"/>
    <w:rsid w:val="113E52CA"/>
    <w:rsid w:val="114215F5"/>
    <w:rsid w:val="114542EA"/>
    <w:rsid w:val="1149117E"/>
    <w:rsid w:val="115A6DFB"/>
    <w:rsid w:val="116B59DD"/>
    <w:rsid w:val="117C761C"/>
    <w:rsid w:val="11A56A4F"/>
    <w:rsid w:val="11B361D3"/>
    <w:rsid w:val="11CF66B5"/>
    <w:rsid w:val="11D83639"/>
    <w:rsid w:val="11E63FFF"/>
    <w:rsid w:val="11E75F2F"/>
    <w:rsid w:val="12137217"/>
    <w:rsid w:val="121E0F14"/>
    <w:rsid w:val="12415950"/>
    <w:rsid w:val="12440EBB"/>
    <w:rsid w:val="124A1C36"/>
    <w:rsid w:val="12650308"/>
    <w:rsid w:val="126E66D8"/>
    <w:rsid w:val="12766F68"/>
    <w:rsid w:val="12784E55"/>
    <w:rsid w:val="128A78E8"/>
    <w:rsid w:val="128C33F4"/>
    <w:rsid w:val="12993806"/>
    <w:rsid w:val="12BB4574"/>
    <w:rsid w:val="12C6158F"/>
    <w:rsid w:val="12CB0E85"/>
    <w:rsid w:val="12CB2C15"/>
    <w:rsid w:val="12CB3E6D"/>
    <w:rsid w:val="12E40295"/>
    <w:rsid w:val="12FB01C6"/>
    <w:rsid w:val="13063EC1"/>
    <w:rsid w:val="13336A4D"/>
    <w:rsid w:val="13365AD3"/>
    <w:rsid w:val="133F5E2F"/>
    <w:rsid w:val="13451BDF"/>
    <w:rsid w:val="13487675"/>
    <w:rsid w:val="134E7BFD"/>
    <w:rsid w:val="135435F3"/>
    <w:rsid w:val="13783B8A"/>
    <w:rsid w:val="137F4EEC"/>
    <w:rsid w:val="138D11BC"/>
    <w:rsid w:val="13972080"/>
    <w:rsid w:val="139D2FCC"/>
    <w:rsid w:val="13A05A9F"/>
    <w:rsid w:val="13AB6434"/>
    <w:rsid w:val="13BC75DB"/>
    <w:rsid w:val="13C62E93"/>
    <w:rsid w:val="13C96DAF"/>
    <w:rsid w:val="13D84C83"/>
    <w:rsid w:val="13F54EEA"/>
    <w:rsid w:val="14253493"/>
    <w:rsid w:val="1441058C"/>
    <w:rsid w:val="14565420"/>
    <w:rsid w:val="145E0E2B"/>
    <w:rsid w:val="14663755"/>
    <w:rsid w:val="14B53C19"/>
    <w:rsid w:val="14B629C7"/>
    <w:rsid w:val="14E26901"/>
    <w:rsid w:val="14E72B42"/>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9754A7"/>
    <w:rsid w:val="16A5117D"/>
    <w:rsid w:val="16AA0B6A"/>
    <w:rsid w:val="16B25E6D"/>
    <w:rsid w:val="16BF6BE7"/>
    <w:rsid w:val="16DB3ACD"/>
    <w:rsid w:val="16E63F78"/>
    <w:rsid w:val="16F17C9B"/>
    <w:rsid w:val="172072CE"/>
    <w:rsid w:val="17411B66"/>
    <w:rsid w:val="17447531"/>
    <w:rsid w:val="17464982"/>
    <w:rsid w:val="17536E6E"/>
    <w:rsid w:val="17563FF8"/>
    <w:rsid w:val="17594308"/>
    <w:rsid w:val="177D7BBD"/>
    <w:rsid w:val="17821F33"/>
    <w:rsid w:val="178A477B"/>
    <w:rsid w:val="17907B2D"/>
    <w:rsid w:val="17B351C8"/>
    <w:rsid w:val="17CE0395"/>
    <w:rsid w:val="17E751D5"/>
    <w:rsid w:val="17F976EF"/>
    <w:rsid w:val="17FD76AA"/>
    <w:rsid w:val="180B3DC5"/>
    <w:rsid w:val="18170899"/>
    <w:rsid w:val="182D3C78"/>
    <w:rsid w:val="18444CBC"/>
    <w:rsid w:val="18603535"/>
    <w:rsid w:val="18656CB7"/>
    <w:rsid w:val="186A63EF"/>
    <w:rsid w:val="186C201D"/>
    <w:rsid w:val="186E1A30"/>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805D37"/>
    <w:rsid w:val="19C639D9"/>
    <w:rsid w:val="19C82216"/>
    <w:rsid w:val="19CA4AD8"/>
    <w:rsid w:val="19D00B35"/>
    <w:rsid w:val="19D45248"/>
    <w:rsid w:val="1A105E9F"/>
    <w:rsid w:val="1A1C6F29"/>
    <w:rsid w:val="1A324F2D"/>
    <w:rsid w:val="1A407579"/>
    <w:rsid w:val="1A462475"/>
    <w:rsid w:val="1A710808"/>
    <w:rsid w:val="1A745370"/>
    <w:rsid w:val="1A7A0EF6"/>
    <w:rsid w:val="1A8B389F"/>
    <w:rsid w:val="1A997EE2"/>
    <w:rsid w:val="1AA35F36"/>
    <w:rsid w:val="1AAD5B72"/>
    <w:rsid w:val="1ABE5C90"/>
    <w:rsid w:val="1ADD3B4C"/>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F010E9"/>
    <w:rsid w:val="1BF02765"/>
    <w:rsid w:val="1BF0529D"/>
    <w:rsid w:val="1C2E159D"/>
    <w:rsid w:val="1C326500"/>
    <w:rsid w:val="1C550846"/>
    <w:rsid w:val="1C60680C"/>
    <w:rsid w:val="1C63114B"/>
    <w:rsid w:val="1C6C08F4"/>
    <w:rsid w:val="1C763C77"/>
    <w:rsid w:val="1C7E1815"/>
    <w:rsid w:val="1C950E2B"/>
    <w:rsid w:val="1C9B7F2C"/>
    <w:rsid w:val="1CC22D92"/>
    <w:rsid w:val="1CC31868"/>
    <w:rsid w:val="1CD54AE5"/>
    <w:rsid w:val="1CEF4C58"/>
    <w:rsid w:val="1D1A5AAC"/>
    <w:rsid w:val="1D2073F3"/>
    <w:rsid w:val="1D385997"/>
    <w:rsid w:val="1D53469C"/>
    <w:rsid w:val="1D6B0D1C"/>
    <w:rsid w:val="1D714633"/>
    <w:rsid w:val="1D717C32"/>
    <w:rsid w:val="1D9E1ACD"/>
    <w:rsid w:val="1DB7132F"/>
    <w:rsid w:val="1DB74394"/>
    <w:rsid w:val="1DB775F0"/>
    <w:rsid w:val="1DD4019E"/>
    <w:rsid w:val="1DF636F7"/>
    <w:rsid w:val="1DF97E9A"/>
    <w:rsid w:val="1E106418"/>
    <w:rsid w:val="1E1438E8"/>
    <w:rsid w:val="1E1A49CB"/>
    <w:rsid w:val="1E213710"/>
    <w:rsid w:val="1E240C9D"/>
    <w:rsid w:val="1E2801FF"/>
    <w:rsid w:val="1E597123"/>
    <w:rsid w:val="1E635C85"/>
    <w:rsid w:val="1E6D42C6"/>
    <w:rsid w:val="1E6E1C3C"/>
    <w:rsid w:val="1EAF03E7"/>
    <w:rsid w:val="1EB12D5B"/>
    <w:rsid w:val="1ECA20B1"/>
    <w:rsid w:val="1ECA48AD"/>
    <w:rsid w:val="1EF350E8"/>
    <w:rsid w:val="1EFD2C6E"/>
    <w:rsid w:val="1F011883"/>
    <w:rsid w:val="1F177E2D"/>
    <w:rsid w:val="1F2540E6"/>
    <w:rsid w:val="1F3609F3"/>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F01B7"/>
    <w:rsid w:val="21A72AEE"/>
    <w:rsid w:val="21AC6C50"/>
    <w:rsid w:val="21B04A82"/>
    <w:rsid w:val="21B53414"/>
    <w:rsid w:val="21CC25D2"/>
    <w:rsid w:val="21D06BFB"/>
    <w:rsid w:val="21D278F8"/>
    <w:rsid w:val="21E17532"/>
    <w:rsid w:val="21E42164"/>
    <w:rsid w:val="21E96E19"/>
    <w:rsid w:val="21FE0428"/>
    <w:rsid w:val="22292C54"/>
    <w:rsid w:val="223606BE"/>
    <w:rsid w:val="22736881"/>
    <w:rsid w:val="228826E5"/>
    <w:rsid w:val="22C17C41"/>
    <w:rsid w:val="22DC1101"/>
    <w:rsid w:val="22DD2076"/>
    <w:rsid w:val="22E26D93"/>
    <w:rsid w:val="22FC5224"/>
    <w:rsid w:val="23536B7C"/>
    <w:rsid w:val="23A31B76"/>
    <w:rsid w:val="23AF484A"/>
    <w:rsid w:val="23B91130"/>
    <w:rsid w:val="23CD6F18"/>
    <w:rsid w:val="23E303FA"/>
    <w:rsid w:val="23F33D54"/>
    <w:rsid w:val="23F34FB7"/>
    <w:rsid w:val="23FB1111"/>
    <w:rsid w:val="2423604A"/>
    <w:rsid w:val="24292561"/>
    <w:rsid w:val="24373F6D"/>
    <w:rsid w:val="2448484C"/>
    <w:rsid w:val="24575A93"/>
    <w:rsid w:val="24673185"/>
    <w:rsid w:val="248255ED"/>
    <w:rsid w:val="24A32C9D"/>
    <w:rsid w:val="24BE2F37"/>
    <w:rsid w:val="24F50FAE"/>
    <w:rsid w:val="25030742"/>
    <w:rsid w:val="250A771D"/>
    <w:rsid w:val="251E7700"/>
    <w:rsid w:val="252614C9"/>
    <w:rsid w:val="252826CC"/>
    <w:rsid w:val="252E1698"/>
    <w:rsid w:val="25326A1A"/>
    <w:rsid w:val="25453397"/>
    <w:rsid w:val="25574B16"/>
    <w:rsid w:val="255F7AD2"/>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92615A"/>
    <w:rsid w:val="26CC079E"/>
    <w:rsid w:val="26D1505D"/>
    <w:rsid w:val="26E15169"/>
    <w:rsid w:val="26F267D1"/>
    <w:rsid w:val="270C7E7B"/>
    <w:rsid w:val="27180E6A"/>
    <w:rsid w:val="271E393C"/>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515969"/>
    <w:rsid w:val="28556900"/>
    <w:rsid w:val="287C52A9"/>
    <w:rsid w:val="287F71CF"/>
    <w:rsid w:val="28891575"/>
    <w:rsid w:val="289711B8"/>
    <w:rsid w:val="28AA44A4"/>
    <w:rsid w:val="28B34564"/>
    <w:rsid w:val="28C246A0"/>
    <w:rsid w:val="28DB07EC"/>
    <w:rsid w:val="28EE7F0D"/>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A02867"/>
    <w:rsid w:val="2AB357E7"/>
    <w:rsid w:val="2ACD0A6A"/>
    <w:rsid w:val="2AF76423"/>
    <w:rsid w:val="2B0747FE"/>
    <w:rsid w:val="2B096C7A"/>
    <w:rsid w:val="2B0F15B2"/>
    <w:rsid w:val="2B1431BE"/>
    <w:rsid w:val="2B2144A5"/>
    <w:rsid w:val="2B2A3AC8"/>
    <w:rsid w:val="2B2D17EA"/>
    <w:rsid w:val="2B3167F0"/>
    <w:rsid w:val="2B395A62"/>
    <w:rsid w:val="2B421606"/>
    <w:rsid w:val="2B467033"/>
    <w:rsid w:val="2B63494F"/>
    <w:rsid w:val="2B6A6F02"/>
    <w:rsid w:val="2B6E40C9"/>
    <w:rsid w:val="2B93610E"/>
    <w:rsid w:val="2B9F615B"/>
    <w:rsid w:val="2BB23B01"/>
    <w:rsid w:val="2BC22732"/>
    <w:rsid w:val="2BC537D3"/>
    <w:rsid w:val="2BE212BA"/>
    <w:rsid w:val="2BE43FF8"/>
    <w:rsid w:val="2BF64BF9"/>
    <w:rsid w:val="2C006AC9"/>
    <w:rsid w:val="2C1C5425"/>
    <w:rsid w:val="2C485018"/>
    <w:rsid w:val="2C594A5D"/>
    <w:rsid w:val="2CA07757"/>
    <w:rsid w:val="2CAC46BC"/>
    <w:rsid w:val="2CC9536F"/>
    <w:rsid w:val="2CD32354"/>
    <w:rsid w:val="2CE94553"/>
    <w:rsid w:val="2CF617E0"/>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D173F"/>
    <w:rsid w:val="2E825B76"/>
    <w:rsid w:val="2EB433C6"/>
    <w:rsid w:val="2ECB5D09"/>
    <w:rsid w:val="2EEC509E"/>
    <w:rsid w:val="2EF57EBC"/>
    <w:rsid w:val="2F0036B2"/>
    <w:rsid w:val="2F0B25ED"/>
    <w:rsid w:val="2F306712"/>
    <w:rsid w:val="2F3A4E14"/>
    <w:rsid w:val="2F4A1FBC"/>
    <w:rsid w:val="2F8932A3"/>
    <w:rsid w:val="2F984ABB"/>
    <w:rsid w:val="2FA74539"/>
    <w:rsid w:val="2FB154F2"/>
    <w:rsid w:val="2FCD489F"/>
    <w:rsid w:val="2FD91952"/>
    <w:rsid w:val="2FE32412"/>
    <w:rsid w:val="2FFB1CEA"/>
    <w:rsid w:val="30237284"/>
    <w:rsid w:val="30323073"/>
    <w:rsid w:val="30346EAA"/>
    <w:rsid w:val="30561692"/>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6D40D2"/>
    <w:rsid w:val="31742E4E"/>
    <w:rsid w:val="31892206"/>
    <w:rsid w:val="31926D16"/>
    <w:rsid w:val="31974ED2"/>
    <w:rsid w:val="31A1306B"/>
    <w:rsid w:val="31AA13C8"/>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0428"/>
    <w:rsid w:val="32FF588D"/>
    <w:rsid w:val="330A5D26"/>
    <w:rsid w:val="3341058C"/>
    <w:rsid w:val="33434A04"/>
    <w:rsid w:val="335C0F0C"/>
    <w:rsid w:val="338F5AA2"/>
    <w:rsid w:val="33B166C9"/>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523A36"/>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4375AF"/>
    <w:rsid w:val="374E58D6"/>
    <w:rsid w:val="376B6B46"/>
    <w:rsid w:val="377B22EA"/>
    <w:rsid w:val="37801AA2"/>
    <w:rsid w:val="3782361C"/>
    <w:rsid w:val="3797682D"/>
    <w:rsid w:val="37B30BED"/>
    <w:rsid w:val="37B91CA7"/>
    <w:rsid w:val="37E234BF"/>
    <w:rsid w:val="37E36149"/>
    <w:rsid w:val="37F61754"/>
    <w:rsid w:val="380B653D"/>
    <w:rsid w:val="380C7B3D"/>
    <w:rsid w:val="381730CC"/>
    <w:rsid w:val="38273F21"/>
    <w:rsid w:val="383A131B"/>
    <w:rsid w:val="3849652C"/>
    <w:rsid w:val="385C1B20"/>
    <w:rsid w:val="385F1A9D"/>
    <w:rsid w:val="38645417"/>
    <w:rsid w:val="386B0171"/>
    <w:rsid w:val="387979F1"/>
    <w:rsid w:val="387C2795"/>
    <w:rsid w:val="38881EBB"/>
    <w:rsid w:val="38942AAD"/>
    <w:rsid w:val="389712F2"/>
    <w:rsid w:val="38BC5D6B"/>
    <w:rsid w:val="38C63D66"/>
    <w:rsid w:val="38CA4FC5"/>
    <w:rsid w:val="38CB2ECF"/>
    <w:rsid w:val="38D26913"/>
    <w:rsid w:val="38D93327"/>
    <w:rsid w:val="38E21DE2"/>
    <w:rsid w:val="39215CC3"/>
    <w:rsid w:val="3935437F"/>
    <w:rsid w:val="393973DB"/>
    <w:rsid w:val="395550D1"/>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8D3267"/>
    <w:rsid w:val="3A8E4793"/>
    <w:rsid w:val="3AB2321F"/>
    <w:rsid w:val="3ABB31FD"/>
    <w:rsid w:val="3ACC6A5F"/>
    <w:rsid w:val="3AD07C99"/>
    <w:rsid w:val="3AD30754"/>
    <w:rsid w:val="3AE267C9"/>
    <w:rsid w:val="3AE42D07"/>
    <w:rsid w:val="3AF67989"/>
    <w:rsid w:val="3B0F5D78"/>
    <w:rsid w:val="3B291F18"/>
    <w:rsid w:val="3B35149A"/>
    <w:rsid w:val="3B4F12B2"/>
    <w:rsid w:val="3B730A2C"/>
    <w:rsid w:val="3B8D15A9"/>
    <w:rsid w:val="3BBD3970"/>
    <w:rsid w:val="3BC03E21"/>
    <w:rsid w:val="3BD13837"/>
    <w:rsid w:val="3BD43349"/>
    <w:rsid w:val="3C0A04BB"/>
    <w:rsid w:val="3C1134A9"/>
    <w:rsid w:val="3C1278E0"/>
    <w:rsid w:val="3C2B2044"/>
    <w:rsid w:val="3C2E0626"/>
    <w:rsid w:val="3C555015"/>
    <w:rsid w:val="3C583D72"/>
    <w:rsid w:val="3C5E386C"/>
    <w:rsid w:val="3C691DB4"/>
    <w:rsid w:val="3C7057AE"/>
    <w:rsid w:val="3C71272F"/>
    <w:rsid w:val="3C877F59"/>
    <w:rsid w:val="3CA8627B"/>
    <w:rsid w:val="3CA97F92"/>
    <w:rsid w:val="3CB07A2D"/>
    <w:rsid w:val="3CF177EF"/>
    <w:rsid w:val="3CF87315"/>
    <w:rsid w:val="3D1E45E5"/>
    <w:rsid w:val="3D3712B0"/>
    <w:rsid w:val="3D3B1D05"/>
    <w:rsid w:val="3D4B442E"/>
    <w:rsid w:val="3D7263EA"/>
    <w:rsid w:val="3D7B54EF"/>
    <w:rsid w:val="3D7D48B2"/>
    <w:rsid w:val="3D8B6E52"/>
    <w:rsid w:val="3D9770C5"/>
    <w:rsid w:val="3DA70962"/>
    <w:rsid w:val="3DAF4BE0"/>
    <w:rsid w:val="3DB724DE"/>
    <w:rsid w:val="3DC70F93"/>
    <w:rsid w:val="3DE628EA"/>
    <w:rsid w:val="3DF41F1A"/>
    <w:rsid w:val="3E22369C"/>
    <w:rsid w:val="3E2258E7"/>
    <w:rsid w:val="3E2E431B"/>
    <w:rsid w:val="3E3660A4"/>
    <w:rsid w:val="3E4D5D4B"/>
    <w:rsid w:val="3E53543D"/>
    <w:rsid w:val="3E5F3821"/>
    <w:rsid w:val="3E662C4E"/>
    <w:rsid w:val="3E6836C3"/>
    <w:rsid w:val="3E74486F"/>
    <w:rsid w:val="3E9D7D6C"/>
    <w:rsid w:val="3EA271E9"/>
    <w:rsid w:val="3EBE544B"/>
    <w:rsid w:val="3EC7628C"/>
    <w:rsid w:val="3EC774ED"/>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E7741"/>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19A5"/>
    <w:rsid w:val="414F74CB"/>
    <w:rsid w:val="4152668D"/>
    <w:rsid w:val="415B6654"/>
    <w:rsid w:val="417C2EE6"/>
    <w:rsid w:val="418515F9"/>
    <w:rsid w:val="41A0365E"/>
    <w:rsid w:val="41A5316F"/>
    <w:rsid w:val="41C92B51"/>
    <w:rsid w:val="41D301C3"/>
    <w:rsid w:val="41D623AF"/>
    <w:rsid w:val="41E618AB"/>
    <w:rsid w:val="41EC095F"/>
    <w:rsid w:val="41FB53EF"/>
    <w:rsid w:val="421F1BB6"/>
    <w:rsid w:val="42285022"/>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920E07"/>
    <w:rsid w:val="43951B04"/>
    <w:rsid w:val="43A7649F"/>
    <w:rsid w:val="43B41E3E"/>
    <w:rsid w:val="43BC110E"/>
    <w:rsid w:val="43D32426"/>
    <w:rsid w:val="43FC7E87"/>
    <w:rsid w:val="44210A17"/>
    <w:rsid w:val="44271441"/>
    <w:rsid w:val="4465559E"/>
    <w:rsid w:val="44712172"/>
    <w:rsid w:val="447734D9"/>
    <w:rsid w:val="44833414"/>
    <w:rsid w:val="4491600F"/>
    <w:rsid w:val="44984355"/>
    <w:rsid w:val="44A8226D"/>
    <w:rsid w:val="44C80955"/>
    <w:rsid w:val="44CC2C4F"/>
    <w:rsid w:val="44DC310A"/>
    <w:rsid w:val="44E27A7E"/>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73FC5"/>
    <w:rsid w:val="45CA18A8"/>
    <w:rsid w:val="45CC3056"/>
    <w:rsid w:val="45FB5A7C"/>
    <w:rsid w:val="45FD3E50"/>
    <w:rsid w:val="4601483F"/>
    <w:rsid w:val="46163E05"/>
    <w:rsid w:val="462569BC"/>
    <w:rsid w:val="464E3334"/>
    <w:rsid w:val="4650702B"/>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610F4"/>
    <w:rsid w:val="47A92D09"/>
    <w:rsid w:val="47CC1367"/>
    <w:rsid w:val="47D54BA7"/>
    <w:rsid w:val="47ED53FA"/>
    <w:rsid w:val="47F96739"/>
    <w:rsid w:val="48017210"/>
    <w:rsid w:val="48087FE3"/>
    <w:rsid w:val="481A3E81"/>
    <w:rsid w:val="482C5D39"/>
    <w:rsid w:val="484456C5"/>
    <w:rsid w:val="485B1902"/>
    <w:rsid w:val="48626892"/>
    <w:rsid w:val="48AF419F"/>
    <w:rsid w:val="48D75B88"/>
    <w:rsid w:val="48DB7360"/>
    <w:rsid w:val="48E33E5F"/>
    <w:rsid w:val="48FF5525"/>
    <w:rsid w:val="49001E86"/>
    <w:rsid w:val="490647BE"/>
    <w:rsid w:val="493618EF"/>
    <w:rsid w:val="494C4436"/>
    <w:rsid w:val="495F5D36"/>
    <w:rsid w:val="49734683"/>
    <w:rsid w:val="497E5010"/>
    <w:rsid w:val="499250A4"/>
    <w:rsid w:val="49DF3A58"/>
    <w:rsid w:val="49EC0086"/>
    <w:rsid w:val="49F64E88"/>
    <w:rsid w:val="4A234FEC"/>
    <w:rsid w:val="4A2D2C3E"/>
    <w:rsid w:val="4A2F090E"/>
    <w:rsid w:val="4A320278"/>
    <w:rsid w:val="4A467DEA"/>
    <w:rsid w:val="4A480B48"/>
    <w:rsid w:val="4A8307F4"/>
    <w:rsid w:val="4A8A57B2"/>
    <w:rsid w:val="4AA31EB3"/>
    <w:rsid w:val="4AB30EDE"/>
    <w:rsid w:val="4ABA38FB"/>
    <w:rsid w:val="4AD22CAE"/>
    <w:rsid w:val="4AFA1E51"/>
    <w:rsid w:val="4B242129"/>
    <w:rsid w:val="4B341F77"/>
    <w:rsid w:val="4B543C59"/>
    <w:rsid w:val="4B570601"/>
    <w:rsid w:val="4B6828A2"/>
    <w:rsid w:val="4B730590"/>
    <w:rsid w:val="4B7D207A"/>
    <w:rsid w:val="4B875EB6"/>
    <w:rsid w:val="4BA731AA"/>
    <w:rsid w:val="4BAD1EF1"/>
    <w:rsid w:val="4BAF7C51"/>
    <w:rsid w:val="4BB2318A"/>
    <w:rsid w:val="4BB961D0"/>
    <w:rsid w:val="4BBA6469"/>
    <w:rsid w:val="4BD73847"/>
    <w:rsid w:val="4BE136FC"/>
    <w:rsid w:val="4C000FEE"/>
    <w:rsid w:val="4C056FB7"/>
    <w:rsid w:val="4C160901"/>
    <w:rsid w:val="4C2A27C2"/>
    <w:rsid w:val="4C3F1AD6"/>
    <w:rsid w:val="4C6514B0"/>
    <w:rsid w:val="4C670BA8"/>
    <w:rsid w:val="4C6C0D90"/>
    <w:rsid w:val="4C6F4DDF"/>
    <w:rsid w:val="4C76404F"/>
    <w:rsid w:val="4C7D1FFD"/>
    <w:rsid w:val="4C7E7777"/>
    <w:rsid w:val="4CB7716D"/>
    <w:rsid w:val="4CE21E5B"/>
    <w:rsid w:val="4CED4287"/>
    <w:rsid w:val="4CF5763E"/>
    <w:rsid w:val="4CFC5A58"/>
    <w:rsid w:val="4D035F30"/>
    <w:rsid w:val="4D350BEE"/>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66AEE"/>
    <w:rsid w:val="4EB9175E"/>
    <w:rsid w:val="4ED22709"/>
    <w:rsid w:val="4EE20286"/>
    <w:rsid w:val="4EF6108D"/>
    <w:rsid w:val="4EF8347E"/>
    <w:rsid w:val="4EFA23C6"/>
    <w:rsid w:val="4F0A7123"/>
    <w:rsid w:val="4F0F7608"/>
    <w:rsid w:val="4F172428"/>
    <w:rsid w:val="4F1C1A77"/>
    <w:rsid w:val="4F2A3762"/>
    <w:rsid w:val="4F2E0DB1"/>
    <w:rsid w:val="4F3517A8"/>
    <w:rsid w:val="4F422CA5"/>
    <w:rsid w:val="4F43009A"/>
    <w:rsid w:val="4F7119FF"/>
    <w:rsid w:val="4F756C5E"/>
    <w:rsid w:val="4F7A5394"/>
    <w:rsid w:val="4F992590"/>
    <w:rsid w:val="4FD412A3"/>
    <w:rsid w:val="4FD41C1D"/>
    <w:rsid w:val="4FD54DAA"/>
    <w:rsid w:val="4FD64014"/>
    <w:rsid w:val="4FE311D6"/>
    <w:rsid w:val="4FED2322"/>
    <w:rsid w:val="4FFD53C6"/>
    <w:rsid w:val="500B0D4B"/>
    <w:rsid w:val="501A4614"/>
    <w:rsid w:val="501F4A64"/>
    <w:rsid w:val="5030543D"/>
    <w:rsid w:val="503D1B16"/>
    <w:rsid w:val="504C3379"/>
    <w:rsid w:val="5074268E"/>
    <w:rsid w:val="508E47D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606E4"/>
    <w:rsid w:val="51C72B2F"/>
    <w:rsid w:val="51D22D16"/>
    <w:rsid w:val="51F10280"/>
    <w:rsid w:val="520923F4"/>
    <w:rsid w:val="5211020B"/>
    <w:rsid w:val="52187918"/>
    <w:rsid w:val="52347DE2"/>
    <w:rsid w:val="5241154F"/>
    <w:rsid w:val="524467AD"/>
    <w:rsid w:val="52550EE8"/>
    <w:rsid w:val="52592B52"/>
    <w:rsid w:val="527543BE"/>
    <w:rsid w:val="527B1047"/>
    <w:rsid w:val="52885691"/>
    <w:rsid w:val="529E7DC9"/>
    <w:rsid w:val="52A1157D"/>
    <w:rsid w:val="52B7492F"/>
    <w:rsid w:val="52C276E1"/>
    <w:rsid w:val="52F30525"/>
    <w:rsid w:val="53143DBE"/>
    <w:rsid w:val="532452B2"/>
    <w:rsid w:val="533D3764"/>
    <w:rsid w:val="53560A73"/>
    <w:rsid w:val="535B4CF0"/>
    <w:rsid w:val="537323E7"/>
    <w:rsid w:val="539A7F34"/>
    <w:rsid w:val="53A53D5A"/>
    <w:rsid w:val="53D60AA9"/>
    <w:rsid w:val="53E060A8"/>
    <w:rsid w:val="53E37C63"/>
    <w:rsid w:val="53E4696D"/>
    <w:rsid w:val="53E8598B"/>
    <w:rsid w:val="53EB7EF9"/>
    <w:rsid w:val="53F11E92"/>
    <w:rsid w:val="53F34C98"/>
    <w:rsid w:val="53F90D5A"/>
    <w:rsid w:val="5400093A"/>
    <w:rsid w:val="540D2227"/>
    <w:rsid w:val="543E150A"/>
    <w:rsid w:val="54640DD5"/>
    <w:rsid w:val="546829F9"/>
    <w:rsid w:val="54811A0B"/>
    <w:rsid w:val="549D2F6A"/>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7B2F13"/>
    <w:rsid w:val="569549B7"/>
    <w:rsid w:val="569B59A6"/>
    <w:rsid w:val="569E768C"/>
    <w:rsid w:val="56D026DA"/>
    <w:rsid w:val="56F00AC2"/>
    <w:rsid w:val="56FF02B9"/>
    <w:rsid w:val="57030085"/>
    <w:rsid w:val="570407FA"/>
    <w:rsid w:val="5707087A"/>
    <w:rsid w:val="57132F95"/>
    <w:rsid w:val="572D56F6"/>
    <w:rsid w:val="57300244"/>
    <w:rsid w:val="57416FDD"/>
    <w:rsid w:val="574A3622"/>
    <w:rsid w:val="574B6AFB"/>
    <w:rsid w:val="5757511D"/>
    <w:rsid w:val="57633E93"/>
    <w:rsid w:val="5764383E"/>
    <w:rsid w:val="576D6289"/>
    <w:rsid w:val="57797419"/>
    <w:rsid w:val="57817915"/>
    <w:rsid w:val="57BA76D9"/>
    <w:rsid w:val="57C24315"/>
    <w:rsid w:val="57CA2EE6"/>
    <w:rsid w:val="57D069E1"/>
    <w:rsid w:val="57DE551D"/>
    <w:rsid w:val="57E74A4C"/>
    <w:rsid w:val="580A08CC"/>
    <w:rsid w:val="580C23E4"/>
    <w:rsid w:val="58191B0C"/>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36DE1"/>
    <w:rsid w:val="595C4CF9"/>
    <w:rsid w:val="597F2884"/>
    <w:rsid w:val="598B393C"/>
    <w:rsid w:val="59CE222A"/>
    <w:rsid w:val="59CE6281"/>
    <w:rsid w:val="59D022CD"/>
    <w:rsid w:val="59DF31C4"/>
    <w:rsid w:val="5A2B0D3B"/>
    <w:rsid w:val="5A341255"/>
    <w:rsid w:val="5A3571BF"/>
    <w:rsid w:val="5A400973"/>
    <w:rsid w:val="5A44572C"/>
    <w:rsid w:val="5A455381"/>
    <w:rsid w:val="5A8A6ADB"/>
    <w:rsid w:val="5A936EBE"/>
    <w:rsid w:val="5AA549B2"/>
    <w:rsid w:val="5ADF3379"/>
    <w:rsid w:val="5B0416C7"/>
    <w:rsid w:val="5B1A400E"/>
    <w:rsid w:val="5B316F94"/>
    <w:rsid w:val="5B45691B"/>
    <w:rsid w:val="5B5104F9"/>
    <w:rsid w:val="5B562BF6"/>
    <w:rsid w:val="5B6950AB"/>
    <w:rsid w:val="5B6A7A00"/>
    <w:rsid w:val="5B6B014D"/>
    <w:rsid w:val="5B823CDC"/>
    <w:rsid w:val="5B8857E6"/>
    <w:rsid w:val="5B8F4879"/>
    <w:rsid w:val="5B933B4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8094E"/>
    <w:rsid w:val="5D4741D2"/>
    <w:rsid w:val="5D4A7B65"/>
    <w:rsid w:val="5D5515B5"/>
    <w:rsid w:val="5D6871F6"/>
    <w:rsid w:val="5D7727EC"/>
    <w:rsid w:val="5D7C1CCD"/>
    <w:rsid w:val="5D806973"/>
    <w:rsid w:val="5D8E4670"/>
    <w:rsid w:val="5D9E31C3"/>
    <w:rsid w:val="5DB22A59"/>
    <w:rsid w:val="5DB30A1E"/>
    <w:rsid w:val="5DD07349"/>
    <w:rsid w:val="5DE47236"/>
    <w:rsid w:val="5DE95B3D"/>
    <w:rsid w:val="5DEF4402"/>
    <w:rsid w:val="5DFC469C"/>
    <w:rsid w:val="5E074110"/>
    <w:rsid w:val="5E1C0FFA"/>
    <w:rsid w:val="5E203806"/>
    <w:rsid w:val="5E401FD5"/>
    <w:rsid w:val="5E430067"/>
    <w:rsid w:val="5E58634F"/>
    <w:rsid w:val="5E7A4A4B"/>
    <w:rsid w:val="5E7B4EF1"/>
    <w:rsid w:val="5EC52109"/>
    <w:rsid w:val="5EDC6635"/>
    <w:rsid w:val="5EDF242A"/>
    <w:rsid w:val="5EEC4CC9"/>
    <w:rsid w:val="5F2C5614"/>
    <w:rsid w:val="5F334632"/>
    <w:rsid w:val="5F387DD8"/>
    <w:rsid w:val="5F3D46C8"/>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191BB6"/>
    <w:rsid w:val="61902044"/>
    <w:rsid w:val="61A83C0D"/>
    <w:rsid w:val="61AD0E69"/>
    <w:rsid w:val="61AE2894"/>
    <w:rsid w:val="61B42655"/>
    <w:rsid w:val="61B64AE6"/>
    <w:rsid w:val="61B95A3D"/>
    <w:rsid w:val="61DD55E6"/>
    <w:rsid w:val="61E30170"/>
    <w:rsid w:val="61E5752D"/>
    <w:rsid w:val="61EB04E9"/>
    <w:rsid w:val="622F4266"/>
    <w:rsid w:val="623C143F"/>
    <w:rsid w:val="62462A72"/>
    <w:rsid w:val="624B3781"/>
    <w:rsid w:val="625F13E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E71E2E"/>
    <w:rsid w:val="63F427DF"/>
    <w:rsid w:val="640C3504"/>
    <w:rsid w:val="64121615"/>
    <w:rsid w:val="641341B5"/>
    <w:rsid w:val="642011FC"/>
    <w:rsid w:val="643125C3"/>
    <w:rsid w:val="64323CBE"/>
    <w:rsid w:val="645513CC"/>
    <w:rsid w:val="645B5B40"/>
    <w:rsid w:val="645C0EE4"/>
    <w:rsid w:val="64797C89"/>
    <w:rsid w:val="648B66BA"/>
    <w:rsid w:val="64902B7A"/>
    <w:rsid w:val="64A036C7"/>
    <w:rsid w:val="64A04E14"/>
    <w:rsid w:val="64AE2DC0"/>
    <w:rsid w:val="64E50EE2"/>
    <w:rsid w:val="64EC5F80"/>
    <w:rsid w:val="65037271"/>
    <w:rsid w:val="651E6389"/>
    <w:rsid w:val="65312AB4"/>
    <w:rsid w:val="653A1465"/>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7F123E1"/>
    <w:rsid w:val="68002120"/>
    <w:rsid w:val="6804255B"/>
    <w:rsid w:val="680D1350"/>
    <w:rsid w:val="68347656"/>
    <w:rsid w:val="683977E8"/>
    <w:rsid w:val="683A2EED"/>
    <w:rsid w:val="6842615A"/>
    <w:rsid w:val="68450B02"/>
    <w:rsid w:val="684E3240"/>
    <w:rsid w:val="68A13355"/>
    <w:rsid w:val="68A42834"/>
    <w:rsid w:val="68CE58E6"/>
    <w:rsid w:val="68CF2A69"/>
    <w:rsid w:val="68E814B4"/>
    <w:rsid w:val="68F91EAB"/>
    <w:rsid w:val="69142EFB"/>
    <w:rsid w:val="69154D60"/>
    <w:rsid w:val="692B56B7"/>
    <w:rsid w:val="692F6F57"/>
    <w:rsid w:val="694A6DBA"/>
    <w:rsid w:val="696F09AF"/>
    <w:rsid w:val="698E764A"/>
    <w:rsid w:val="69915568"/>
    <w:rsid w:val="69951D6A"/>
    <w:rsid w:val="69C64C75"/>
    <w:rsid w:val="69CD7FDE"/>
    <w:rsid w:val="69CF6EC4"/>
    <w:rsid w:val="69D05FDB"/>
    <w:rsid w:val="69DA551E"/>
    <w:rsid w:val="69DE5E8A"/>
    <w:rsid w:val="69E00D11"/>
    <w:rsid w:val="69F0389C"/>
    <w:rsid w:val="69F453FE"/>
    <w:rsid w:val="6A3828E1"/>
    <w:rsid w:val="6A3E49CA"/>
    <w:rsid w:val="6A6468A5"/>
    <w:rsid w:val="6A727EED"/>
    <w:rsid w:val="6A783CBE"/>
    <w:rsid w:val="6A8755D3"/>
    <w:rsid w:val="6AA36DF7"/>
    <w:rsid w:val="6AA54025"/>
    <w:rsid w:val="6AC9111D"/>
    <w:rsid w:val="6ADD40D7"/>
    <w:rsid w:val="6AE2354A"/>
    <w:rsid w:val="6AE91398"/>
    <w:rsid w:val="6AF80E24"/>
    <w:rsid w:val="6AFA140D"/>
    <w:rsid w:val="6B0914DC"/>
    <w:rsid w:val="6B0F3217"/>
    <w:rsid w:val="6B1529A0"/>
    <w:rsid w:val="6B22477C"/>
    <w:rsid w:val="6B2B6B35"/>
    <w:rsid w:val="6B320A31"/>
    <w:rsid w:val="6B3525D9"/>
    <w:rsid w:val="6B467AE6"/>
    <w:rsid w:val="6B491DA4"/>
    <w:rsid w:val="6B563D11"/>
    <w:rsid w:val="6B5D28FD"/>
    <w:rsid w:val="6B5E4D2E"/>
    <w:rsid w:val="6B6508C2"/>
    <w:rsid w:val="6B6B0456"/>
    <w:rsid w:val="6B837812"/>
    <w:rsid w:val="6B875B60"/>
    <w:rsid w:val="6BBE54E5"/>
    <w:rsid w:val="6BBE7BEB"/>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200223"/>
    <w:rsid w:val="6E3E2358"/>
    <w:rsid w:val="6E424BD5"/>
    <w:rsid w:val="6E6A27E1"/>
    <w:rsid w:val="6EC266E7"/>
    <w:rsid w:val="6ECB70B1"/>
    <w:rsid w:val="6F077F6F"/>
    <w:rsid w:val="6F1C37FF"/>
    <w:rsid w:val="6F7209F9"/>
    <w:rsid w:val="6F815117"/>
    <w:rsid w:val="6F8C3D1F"/>
    <w:rsid w:val="6FB04A52"/>
    <w:rsid w:val="6FB36977"/>
    <w:rsid w:val="6FBA66BD"/>
    <w:rsid w:val="6FBC2C44"/>
    <w:rsid w:val="6FD67F20"/>
    <w:rsid w:val="6FD9564E"/>
    <w:rsid w:val="6FDB0700"/>
    <w:rsid w:val="6FF65032"/>
    <w:rsid w:val="70222F03"/>
    <w:rsid w:val="702A2DF0"/>
    <w:rsid w:val="70385CF1"/>
    <w:rsid w:val="704A1802"/>
    <w:rsid w:val="706F095A"/>
    <w:rsid w:val="70702B1B"/>
    <w:rsid w:val="708B6298"/>
    <w:rsid w:val="708F3F4F"/>
    <w:rsid w:val="70AF29BB"/>
    <w:rsid w:val="70CD73A6"/>
    <w:rsid w:val="70D17379"/>
    <w:rsid w:val="70E34A11"/>
    <w:rsid w:val="70EC1752"/>
    <w:rsid w:val="70FA6A76"/>
    <w:rsid w:val="71016664"/>
    <w:rsid w:val="71144AD3"/>
    <w:rsid w:val="71173E45"/>
    <w:rsid w:val="7131211A"/>
    <w:rsid w:val="7137018B"/>
    <w:rsid w:val="7137369D"/>
    <w:rsid w:val="719E503F"/>
    <w:rsid w:val="71AC3D91"/>
    <w:rsid w:val="71BB1304"/>
    <w:rsid w:val="71BF09ED"/>
    <w:rsid w:val="71C13A31"/>
    <w:rsid w:val="71D62B72"/>
    <w:rsid w:val="71ED03B4"/>
    <w:rsid w:val="71FF0740"/>
    <w:rsid w:val="71FF0BB1"/>
    <w:rsid w:val="7205522D"/>
    <w:rsid w:val="72247F14"/>
    <w:rsid w:val="723A4899"/>
    <w:rsid w:val="72401DE3"/>
    <w:rsid w:val="72506C47"/>
    <w:rsid w:val="72521192"/>
    <w:rsid w:val="72660F67"/>
    <w:rsid w:val="72740981"/>
    <w:rsid w:val="728733AE"/>
    <w:rsid w:val="728A466C"/>
    <w:rsid w:val="729A404B"/>
    <w:rsid w:val="72CB47D7"/>
    <w:rsid w:val="72D3059A"/>
    <w:rsid w:val="72FE12FE"/>
    <w:rsid w:val="73013FCC"/>
    <w:rsid w:val="7305661E"/>
    <w:rsid w:val="730967FD"/>
    <w:rsid w:val="730B40D5"/>
    <w:rsid w:val="730C18EF"/>
    <w:rsid w:val="73147453"/>
    <w:rsid w:val="731B787B"/>
    <w:rsid w:val="73497518"/>
    <w:rsid w:val="73547991"/>
    <w:rsid w:val="736938A6"/>
    <w:rsid w:val="736B7CB7"/>
    <w:rsid w:val="737A7971"/>
    <w:rsid w:val="737A7FF3"/>
    <w:rsid w:val="73891BFD"/>
    <w:rsid w:val="738B6948"/>
    <w:rsid w:val="73904D90"/>
    <w:rsid w:val="739169F9"/>
    <w:rsid w:val="73A93B13"/>
    <w:rsid w:val="73B76D83"/>
    <w:rsid w:val="73C347BF"/>
    <w:rsid w:val="73F328B4"/>
    <w:rsid w:val="740E561C"/>
    <w:rsid w:val="74324CC1"/>
    <w:rsid w:val="7433686E"/>
    <w:rsid w:val="74375F03"/>
    <w:rsid w:val="743A39BF"/>
    <w:rsid w:val="74523D2E"/>
    <w:rsid w:val="746B439E"/>
    <w:rsid w:val="746E5CAF"/>
    <w:rsid w:val="7471367E"/>
    <w:rsid w:val="74716D26"/>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CB7383"/>
    <w:rsid w:val="75D94171"/>
    <w:rsid w:val="75E12807"/>
    <w:rsid w:val="75EE6F1B"/>
    <w:rsid w:val="75FB22F9"/>
    <w:rsid w:val="76023178"/>
    <w:rsid w:val="760A68D4"/>
    <w:rsid w:val="761A6A1B"/>
    <w:rsid w:val="763165DE"/>
    <w:rsid w:val="76346F66"/>
    <w:rsid w:val="76390822"/>
    <w:rsid w:val="76661857"/>
    <w:rsid w:val="7668647B"/>
    <w:rsid w:val="76784C8D"/>
    <w:rsid w:val="767A50C2"/>
    <w:rsid w:val="7698243C"/>
    <w:rsid w:val="769D4442"/>
    <w:rsid w:val="76AF515A"/>
    <w:rsid w:val="76B80C7F"/>
    <w:rsid w:val="76C75DB3"/>
    <w:rsid w:val="76E85855"/>
    <w:rsid w:val="76EC12E2"/>
    <w:rsid w:val="76F03075"/>
    <w:rsid w:val="76F658FD"/>
    <w:rsid w:val="76F6644C"/>
    <w:rsid w:val="772B3F12"/>
    <w:rsid w:val="772D0C87"/>
    <w:rsid w:val="773D64AD"/>
    <w:rsid w:val="774A4881"/>
    <w:rsid w:val="77616EF2"/>
    <w:rsid w:val="77663478"/>
    <w:rsid w:val="777703EE"/>
    <w:rsid w:val="777E2C3B"/>
    <w:rsid w:val="777F21C3"/>
    <w:rsid w:val="7789020C"/>
    <w:rsid w:val="778C3F53"/>
    <w:rsid w:val="778F32FA"/>
    <w:rsid w:val="7798025B"/>
    <w:rsid w:val="77CA5641"/>
    <w:rsid w:val="77D46871"/>
    <w:rsid w:val="77D86A80"/>
    <w:rsid w:val="77DD019D"/>
    <w:rsid w:val="77F16BB1"/>
    <w:rsid w:val="77F82B38"/>
    <w:rsid w:val="780C3DBA"/>
    <w:rsid w:val="780D4DDE"/>
    <w:rsid w:val="78203AD8"/>
    <w:rsid w:val="78307537"/>
    <w:rsid w:val="783A582F"/>
    <w:rsid w:val="78484DE5"/>
    <w:rsid w:val="78636907"/>
    <w:rsid w:val="78780CEE"/>
    <w:rsid w:val="78807E7F"/>
    <w:rsid w:val="788A489C"/>
    <w:rsid w:val="7899691A"/>
    <w:rsid w:val="78A37D7C"/>
    <w:rsid w:val="78C83AD2"/>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7E1079"/>
    <w:rsid w:val="7A9861CB"/>
    <w:rsid w:val="7AAB2866"/>
    <w:rsid w:val="7AAE3E65"/>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301FB"/>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4B4317"/>
    <w:rsid w:val="7C66565C"/>
    <w:rsid w:val="7C884F07"/>
    <w:rsid w:val="7C8D43AB"/>
    <w:rsid w:val="7C8F1DDB"/>
    <w:rsid w:val="7C99511D"/>
    <w:rsid w:val="7C996138"/>
    <w:rsid w:val="7CB82DCD"/>
    <w:rsid w:val="7CBD31D9"/>
    <w:rsid w:val="7CE3614E"/>
    <w:rsid w:val="7CFB0787"/>
    <w:rsid w:val="7CFB2AE8"/>
    <w:rsid w:val="7CFD06A4"/>
    <w:rsid w:val="7D635745"/>
    <w:rsid w:val="7D6D0647"/>
    <w:rsid w:val="7D984607"/>
    <w:rsid w:val="7DA9460F"/>
    <w:rsid w:val="7DB02E07"/>
    <w:rsid w:val="7DC6049B"/>
    <w:rsid w:val="7DDF08AD"/>
    <w:rsid w:val="7DE65FBE"/>
    <w:rsid w:val="7DFD3D7D"/>
    <w:rsid w:val="7DFF6F70"/>
    <w:rsid w:val="7E0B4334"/>
    <w:rsid w:val="7E1640FB"/>
    <w:rsid w:val="7E1D725E"/>
    <w:rsid w:val="7E232692"/>
    <w:rsid w:val="7E345DFF"/>
    <w:rsid w:val="7E3B2283"/>
    <w:rsid w:val="7E4B0118"/>
    <w:rsid w:val="7E5871FA"/>
    <w:rsid w:val="7E5B49B5"/>
    <w:rsid w:val="7E6C6EF8"/>
    <w:rsid w:val="7E7145B3"/>
    <w:rsid w:val="7E7B3986"/>
    <w:rsid w:val="7E826950"/>
    <w:rsid w:val="7E88183C"/>
    <w:rsid w:val="7E9064E4"/>
    <w:rsid w:val="7E9E2C4F"/>
    <w:rsid w:val="7E9F4D2C"/>
    <w:rsid w:val="7EA30CDC"/>
    <w:rsid w:val="7EC30BBA"/>
    <w:rsid w:val="7ED8373F"/>
    <w:rsid w:val="7EDD57F4"/>
    <w:rsid w:val="7EED0F0A"/>
    <w:rsid w:val="7EF82D86"/>
    <w:rsid w:val="7EFB1E9B"/>
    <w:rsid w:val="7F096F96"/>
    <w:rsid w:val="7F182FE7"/>
    <w:rsid w:val="7F220E8A"/>
    <w:rsid w:val="7F5828CA"/>
    <w:rsid w:val="7F651FE6"/>
    <w:rsid w:val="7F7405C7"/>
    <w:rsid w:val="7F8A7F3B"/>
    <w:rsid w:val="7F8B15A9"/>
    <w:rsid w:val="7F925810"/>
    <w:rsid w:val="7FF45605"/>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1"/>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Index4"/>
    <w:basedOn w:val="1"/>
    <w:next w:val="1"/>
    <w:qFormat/>
    <w:uiPriority w:val="0"/>
    <w:pPr>
      <w:ind w:left="600" w:leftChars="600"/>
      <w:textAlignment w:val="baseline"/>
    </w:pPr>
    <w:rPr>
      <w:rFonts w:ascii="Verdana" w:hAnsi="Verdana"/>
      <w:szCs w:val="20"/>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ind w:firstLine="420"/>
    </w:pPr>
    <w:rPr>
      <w:szCs w:val="20"/>
    </w:rPr>
  </w:style>
  <w:style w:type="paragraph" w:styleId="10">
    <w:name w:val="Plain Text"/>
    <w:basedOn w:val="1"/>
    <w:qFormat/>
    <w:uiPriority w:val="0"/>
    <w:pPr>
      <w:spacing w:line="324" w:lineRule="auto"/>
    </w:pPr>
    <w:rPr>
      <w:rFonts w:ascii="宋体" w:hAnsi="Courier New" w:cs="Courier New"/>
      <w:szCs w:val="21"/>
    </w:rPr>
  </w:style>
  <w:style w:type="paragraph" w:styleId="11">
    <w:name w:val="Document Map"/>
    <w:basedOn w:val="1"/>
    <w:link w:val="42"/>
    <w:qFormat/>
    <w:uiPriority w:val="0"/>
    <w:rPr>
      <w:rFonts w:ascii="宋体" w:hAnsi="Calibri"/>
      <w:sz w:val="18"/>
      <w:szCs w:val="18"/>
    </w:rPr>
  </w:style>
  <w:style w:type="paragraph" w:styleId="12">
    <w:name w:val="annotation text"/>
    <w:basedOn w:val="1"/>
    <w:link w:val="43"/>
    <w:qFormat/>
    <w:uiPriority w:val="0"/>
    <w:pPr>
      <w:jc w:val="left"/>
    </w:pPr>
    <w:rPr>
      <w:rFonts w:ascii="宋体" w:hAnsi="Calibri"/>
      <w:kern w:val="0"/>
      <w:sz w:val="34"/>
    </w:rPr>
  </w:style>
  <w:style w:type="paragraph" w:styleId="13">
    <w:name w:val="Body Text"/>
    <w:basedOn w:val="1"/>
    <w:next w:val="1"/>
    <w:link w:val="40"/>
    <w:qFormat/>
    <w:uiPriority w:val="0"/>
    <w:rPr>
      <w:color w:val="993300"/>
      <w:kern w:val="0"/>
      <w:sz w:val="24"/>
      <w:szCs w:val="24"/>
    </w:rPr>
  </w:style>
  <w:style w:type="paragraph" w:styleId="14">
    <w:name w:val="Body Text Indent"/>
    <w:basedOn w:val="1"/>
    <w:qFormat/>
    <w:uiPriority w:val="0"/>
    <w:pPr>
      <w:ind w:left="420" w:leftChars="200"/>
    </w:pPr>
  </w:style>
  <w:style w:type="paragraph" w:styleId="15">
    <w:name w:val="toc 3"/>
    <w:basedOn w:val="1"/>
    <w:next w:val="1"/>
    <w:qFormat/>
    <w:uiPriority w:val="0"/>
    <w:pPr>
      <w:ind w:left="840" w:leftChars="400"/>
    </w:p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4"/>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toc 9"/>
    <w:basedOn w:val="1"/>
    <w:next w:val="1"/>
    <w:qFormat/>
    <w:uiPriority w:val="0"/>
    <w:pPr>
      <w:wordWrap w:val="0"/>
      <w:ind w:left="2975"/>
    </w:pPr>
  </w:style>
  <w:style w:type="paragraph" w:styleId="24">
    <w:name w:val="Body Text 2"/>
    <w:basedOn w:val="1"/>
    <w:qFormat/>
    <w:uiPriority w:val="0"/>
    <w:pPr>
      <w:jc w:val="center"/>
    </w:pPr>
    <w:rPr>
      <w:b/>
      <w:spacing w:val="-20"/>
      <w:w w:val="130"/>
      <w:sz w:val="48"/>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qFormat/>
    <w:uiPriority w:val="0"/>
    <w:pPr>
      <w:jc w:val="center"/>
    </w:pPr>
    <w:rPr>
      <w:sz w:val="30"/>
      <w:szCs w:val="24"/>
    </w:rPr>
  </w:style>
  <w:style w:type="paragraph" w:styleId="27">
    <w:name w:val="annotation subject"/>
    <w:basedOn w:val="12"/>
    <w:next w:val="12"/>
    <w:link w:val="45"/>
    <w:qFormat/>
    <w:uiPriority w:val="0"/>
    <w:rPr>
      <w:rFonts w:ascii="Calibri"/>
      <w:b/>
      <w:bCs/>
      <w:kern w:val="2"/>
      <w:sz w:val="21"/>
    </w:rPr>
  </w:style>
  <w:style w:type="paragraph" w:styleId="28">
    <w:name w:val="Body Text First Indent"/>
    <w:basedOn w:val="13"/>
    <w:link w:val="91"/>
    <w:qFormat/>
    <w:uiPriority w:val="0"/>
    <w:rPr>
      <w:rFonts w:hAnsi="宋体"/>
      <w:sz w:val="18"/>
      <w:szCs w:val="18"/>
    </w:rPr>
  </w:style>
  <w:style w:type="paragraph" w:styleId="29">
    <w:name w:val="Body Text First Indent 2"/>
    <w:basedOn w:val="14"/>
    <w:unhideWhenUsed/>
    <w:qFormat/>
    <w:uiPriority w:val="0"/>
    <w:pPr>
      <w:ind w:firstLine="420" w:firstLineChars="200"/>
    </w:pPr>
    <w:rPr>
      <w:szCs w:val="20"/>
    </w:rPr>
  </w:style>
  <w:style w:type="table" w:styleId="31">
    <w:name w:val="Table Grid"/>
    <w:basedOn w:val="3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character" w:customStyle="1" w:styleId="40">
    <w:name w:val="正文文本 字符"/>
    <w:link w:val="13"/>
    <w:qFormat/>
    <w:uiPriority w:val="0"/>
    <w:rPr>
      <w:rFonts w:hint="default" w:ascii="Times New Roman" w:hAnsi="Times New Roman" w:eastAsia="宋体" w:cs="Times New Roman"/>
      <w:color w:val="993300"/>
      <w:sz w:val="24"/>
      <w:szCs w:val="24"/>
    </w:rPr>
  </w:style>
  <w:style w:type="character" w:customStyle="1" w:styleId="41">
    <w:name w:val="标题 1 字符"/>
    <w:link w:val="3"/>
    <w:qFormat/>
    <w:uiPriority w:val="9"/>
    <w:rPr>
      <w:rFonts w:ascii="Times New Roman" w:hAnsi="Times New Roman" w:eastAsia="宋体"/>
      <w:b/>
      <w:kern w:val="44"/>
      <w:sz w:val="32"/>
    </w:rPr>
  </w:style>
  <w:style w:type="character" w:customStyle="1" w:styleId="42">
    <w:name w:val="文档结构图 字符"/>
    <w:link w:val="11"/>
    <w:qFormat/>
    <w:uiPriority w:val="0"/>
    <w:rPr>
      <w:rFonts w:ascii="宋体" w:hAnsi="Calibri" w:cs="Times New Roman"/>
      <w:kern w:val="2"/>
      <w:sz w:val="18"/>
      <w:szCs w:val="18"/>
    </w:rPr>
  </w:style>
  <w:style w:type="character" w:customStyle="1" w:styleId="43">
    <w:name w:val="批注文字 字符"/>
    <w:link w:val="12"/>
    <w:qFormat/>
    <w:uiPriority w:val="99"/>
    <w:rPr>
      <w:rFonts w:ascii="宋体" w:hAnsi="Calibri" w:eastAsia="宋体" w:cs="Times New Roman"/>
      <w:sz w:val="34"/>
      <w:szCs w:val="22"/>
    </w:rPr>
  </w:style>
  <w:style w:type="character" w:customStyle="1" w:styleId="44">
    <w:name w:val="批注框文本 字符"/>
    <w:link w:val="18"/>
    <w:qFormat/>
    <w:uiPriority w:val="0"/>
    <w:rPr>
      <w:rFonts w:ascii="Calibri" w:hAnsi="Calibri" w:eastAsia="宋体" w:cs="Times New Roman"/>
      <w:kern w:val="2"/>
      <w:sz w:val="18"/>
      <w:szCs w:val="18"/>
    </w:rPr>
  </w:style>
  <w:style w:type="character" w:customStyle="1" w:styleId="45">
    <w:name w:val="批注主题 字符"/>
    <w:link w:val="27"/>
    <w:qFormat/>
    <w:uiPriority w:val="0"/>
    <w:rPr>
      <w:rFonts w:ascii="Calibri" w:hAnsi="Calibri" w:eastAsia="宋体" w:cs="Times New Roman"/>
      <w:b/>
      <w:bCs/>
      <w:kern w:val="2"/>
      <w:sz w:val="21"/>
      <w:szCs w:val="22"/>
    </w:rPr>
  </w:style>
  <w:style w:type="character" w:customStyle="1" w:styleId="46">
    <w:name w:val="font11"/>
    <w:qFormat/>
    <w:uiPriority w:val="0"/>
    <w:rPr>
      <w:rFonts w:hint="eastAsia" w:ascii="宋体" w:hAnsi="宋体" w:eastAsia="宋体" w:cs="宋体"/>
      <w:color w:val="000000"/>
      <w:sz w:val="22"/>
      <w:szCs w:val="22"/>
      <w:u w:val="none"/>
    </w:rPr>
  </w:style>
  <w:style w:type="character" w:customStyle="1" w:styleId="47">
    <w:name w:val="15"/>
    <w:qFormat/>
    <w:uiPriority w:val="0"/>
    <w:rPr>
      <w:rFonts w:hint="default" w:ascii="Calibri" w:hAnsi="Calibri"/>
      <w:i/>
      <w:iCs/>
    </w:rPr>
  </w:style>
  <w:style w:type="character" w:customStyle="1" w:styleId="48">
    <w:name w:val="font01"/>
    <w:qFormat/>
    <w:uiPriority w:val="0"/>
    <w:rPr>
      <w:rFonts w:hint="eastAsia" w:ascii="宋体" w:hAnsi="宋体" w:eastAsia="宋体" w:cs="宋体"/>
      <w:b/>
      <w:color w:val="000000"/>
      <w:sz w:val="24"/>
      <w:szCs w:val="24"/>
      <w:u w:val="none"/>
    </w:rPr>
  </w:style>
  <w:style w:type="character" w:customStyle="1" w:styleId="49">
    <w:name w:val="del2"/>
    <w:qFormat/>
    <w:uiPriority w:val="0"/>
    <w:rPr>
      <w:vanish/>
    </w:rPr>
  </w:style>
  <w:style w:type="character" w:customStyle="1" w:styleId="50">
    <w:name w:val="apple-style-span"/>
    <w:qFormat/>
    <w:uiPriority w:val="0"/>
  </w:style>
  <w:style w:type="character" w:customStyle="1" w:styleId="51">
    <w:name w:val="del3"/>
    <w:qFormat/>
    <w:uiPriority w:val="0"/>
    <w:rPr>
      <w:vanish/>
    </w:rPr>
  </w:style>
  <w:style w:type="character" w:customStyle="1" w:styleId="52">
    <w:name w:val="font61"/>
    <w:qFormat/>
    <w:uiPriority w:val="0"/>
    <w:rPr>
      <w:rFonts w:hint="default" w:ascii="Tahoma" w:hAnsi="Tahoma" w:eastAsia="Tahoma" w:cs="Tahoma"/>
      <w:color w:val="000000"/>
      <w:sz w:val="22"/>
      <w:szCs w:val="22"/>
      <w:u w:val="none"/>
    </w:rPr>
  </w:style>
  <w:style w:type="character" w:customStyle="1" w:styleId="53">
    <w:name w:val="del"/>
    <w:qFormat/>
    <w:uiPriority w:val="0"/>
  </w:style>
  <w:style w:type="character" w:customStyle="1" w:styleId="54">
    <w:name w:val="10"/>
    <w:qFormat/>
    <w:uiPriority w:val="0"/>
    <w:rPr>
      <w:rFonts w:hint="default" w:ascii="Calibri" w:hAnsi="Calibri"/>
    </w:rPr>
  </w:style>
  <w:style w:type="character" w:customStyle="1" w:styleId="55">
    <w:name w:val="del1"/>
    <w:qFormat/>
    <w:uiPriority w:val="0"/>
    <w:rPr>
      <w:vanish/>
      <w:color w:val="666666"/>
      <w:sz w:val="18"/>
      <w:szCs w:val="18"/>
      <w:u w:val="single"/>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列出段落3"/>
    <w:basedOn w:val="1"/>
    <w:qFormat/>
    <w:uiPriority w:val="0"/>
    <w:pPr>
      <w:ind w:firstLine="420" w:firstLineChars="200"/>
    </w:pPr>
    <w:rPr>
      <w:rFonts w:ascii="宋体"/>
      <w:sz w:val="28"/>
    </w:rPr>
  </w:style>
  <w:style w:type="paragraph" w:styleId="5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0">
    <w:name w:val="表格样式 2"/>
    <w:qFormat/>
    <w:uiPriority w:val="0"/>
    <w:rPr>
      <w:rFonts w:ascii="Helvetica Neue" w:hAnsi="Helvetica Neue" w:eastAsia="Helvetica Neue" w:cs="Helvetica Neue"/>
      <w:color w:val="000000"/>
      <w:lang w:val="en-US" w:eastAsia="zh-CN" w:bidi="ar-SA"/>
    </w:rPr>
  </w:style>
  <w:style w:type="paragraph" w:customStyle="1" w:styleId="61">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63">
    <w:name w:val="正文框"/>
    <w:basedOn w:val="1"/>
    <w:qFormat/>
    <w:uiPriority w:val="0"/>
    <w:pPr>
      <w:widowControl/>
      <w:adjustRightInd w:val="0"/>
      <w:spacing w:line="312" w:lineRule="atLeast"/>
      <w:jc w:val="left"/>
      <w:textAlignment w:val="baseline"/>
    </w:pPr>
    <w:rPr>
      <w:sz w:val="24"/>
    </w:rPr>
  </w:style>
  <w:style w:type="paragraph" w:styleId="64">
    <w:name w:val="List Paragraph"/>
    <w:basedOn w:val="1"/>
    <w:qFormat/>
    <w:uiPriority w:val="99"/>
    <w:pPr>
      <w:ind w:firstLine="420" w:firstLineChars="200"/>
    </w:pPr>
  </w:style>
  <w:style w:type="paragraph" w:customStyle="1" w:styleId="65">
    <w:name w:val="列出段落1"/>
    <w:basedOn w:val="1"/>
    <w:qFormat/>
    <w:uiPriority w:val="99"/>
    <w:pPr>
      <w:ind w:firstLine="420" w:firstLineChars="200"/>
    </w:pPr>
  </w:style>
  <w:style w:type="paragraph" w:customStyle="1" w:styleId="66">
    <w:name w:val="列出段落6"/>
    <w:basedOn w:val="1"/>
    <w:qFormat/>
    <w:uiPriority w:val="34"/>
    <w:pPr>
      <w:widowControl/>
      <w:spacing w:after="200" w:line="276" w:lineRule="auto"/>
      <w:ind w:left="720"/>
      <w:contextualSpacing/>
      <w:jc w:val="left"/>
    </w:pPr>
    <w:rPr>
      <w:kern w:val="0"/>
      <w:sz w:val="22"/>
    </w:rPr>
  </w:style>
  <w:style w:type="paragraph" w:customStyle="1" w:styleId="67">
    <w:name w:val="表格样式 1"/>
    <w:qFormat/>
    <w:uiPriority w:val="0"/>
    <w:rPr>
      <w:rFonts w:ascii="Helvetica Neue" w:hAnsi="Helvetica Neue" w:eastAsia="Helvetica Neue" w:cs="Helvetica Neue"/>
      <w:b/>
      <w:bCs/>
      <w:color w:val="000000"/>
      <w:lang w:val="en-US" w:eastAsia="zh-CN" w:bidi="ar-SA"/>
    </w:rPr>
  </w:style>
  <w:style w:type="paragraph" w:customStyle="1" w:styleId="6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Char"/>
    <w:basedOn w:val="1"/>
    <w:qFormat/>
    <w:uiPriority w:val="0"/>
    <w:pPr>
      <w:jc w:val="left"/>
    </w:pPr>
    <w:rPr>
      <w:rFonts w:ascii="Tahoma" w:hAnsi="Tahoma"/>
      <w:sz w:val="24"/>
      <w:szCs w:val="20"/>
    </w:rPr>
  </w:style>
  <w:style w:type="paragraph" w:customStyle="1" w:styleId="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列出段落2"/>
    <w:basedOn w:val="1"/>
    <w:qFormat/>
    <w:uiPriority w:val="0"/>
    <w:pPr>
      <w:ind w:firstLine="420" w:firstLineChars="200"/>
    </w:pPr>
    <w:rPr>
      <w:rFonts w:ascii="宋体"/>
      <w:sz w:val="28"/>
    </w:rPr>
  </w:style>
  <w:style w:type="paragraph" w:customStyle="1" w:styleId="72">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7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4">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5">
    <w:name w:val="list number ＋left spaceing"/>
    <w:basedOn w:val="8"/>
    <w:qFormat/>
    <w:uiPriority w:val="0"/>
    <w:pPr>
      <w:widowControl/>
      <w:tabs>
        <w:tab w:val="left" w:pos="839"/>
      </w:tabs>
      <w:ind w:left="0" w:firstLine="0"/>
      <w:jc w:val="left"/>
    </w:pPr>
    <w:rPr>
      <w:kern w:val="0"/>
    </w:rPr>
  </w:style>
  <w:style w:type="paragraph" w:customStyle="1" w:styleId="76">
    <w:name w:val="列出段落4"/>
    <w:basedOn w:val="1"/>
    <w:qFormat/>
    <w:uiPriority w:val="34"/>
    <w:pPr>
      <w:ind w:firstLine="420" w:firstLineChars="200"/>
    </w:pPr>
  </w:style>
  <w:style w:type="paragraph" w:customStyle="1" w:styleId="77">
    <w:name w:val="Char2 Char Char Char"/>
    <w:basedOn w:val="1"/>
    <w:qFormat/>
    <w:uiPriority w:val="0"/>
    <w:rPr>
      <w:rFonts w:ascii="Tahoma" w:hAnsi="Tahoma"/>
      <w:sz w:val="24"/>
      <w:szCs w:val="20"/>
    </w:rPr>
  </w:style>
  <w:style w:type="paragraph" w:customStyle="1" w:styleId="78">
    <w:name w:val="列出段落61"/>
    <w:basedOn w:val="1"/>
    <w:qFormat/>
    <w:uiPriority w:val="34"/>
    <w:pPr>
      <w:widowControl/>
      <w:spacing w:after="200" w:line="276" w:lineRule="auto"/>
      <w:ind w:left="720"/>
      <w:contextualSpacing/>
      <w:jc w:val="left"/>
    </w:pPr>
    <w:rPr>
      <w:kern w:val="0"/>
      <w:sz w:val="22"/>
    </w:rPr>
  </w:style>
  <w:style w:type="paragraph" w:customStyle="1" w:styleId="79">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80">
    <w:name w:val="_Style 2"/>
    <w:basedOn w:val="1"/>
    <w:qFormat/>
    <w:uiPriority w:val="34"/>
    <w:pPr>
      <w:ind w:firstLine="420" w:firstLineChars="200"/>
    </w:pPr>
  </w:style>
  <w:style w:type="paragraph" w:customStyle="1" w:styleId="81">
    <w:name w:val="列出段落111"/>
    <w:basedOn w:val="1"/>
    <w:unhideWhenUsed/>
    <w:qFormat/>
    <w:uiPriority w:val="0"/>
    <w:pPr>
      <w:ind w:firstLine="420" w:firstLineChars="200"/>
    </w:pPr>
  </w:style>
  <w:style w:type="paragraph" w:customStyle="1" w:styleId="82">
    <w:name w:val="列出段落11"/>
    <w:basedOn w:val="1"/>
    <w:qFormat/>
    <w:uiPriority w:val="99"/>
    <w:pPr>
      <w:ind w:firstLine="420" w:firstLineChars="200"/>
    </w:pPr>
  </w:style>
  <w:style w:type="paragraph" w:customStyle="1" w:styleId="83">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4">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5">
    <w:name w:val="列出段落5"/>
    <w:basedOn w:val="1"/>
    <w:unhideWhenUsed/>
    <w:qFormat/>
    <w:uiPriority w:val="99"/>
    <w:pPr>
      <w:ind w:firstLine="420" w:firstLineChars="200"/>
    </w:pPr>
  </w:style>
  <w:style w:type="table" w:customStyle="1" w:styleId="86">
    <w:name w:val="Table Normal"/>
    <w:qFormat/>
    <w:uiPriority w:val="0"/>
    <w:tblPr>
      <w:tblCellMar>
        <w:top w:w="0" w:type="dxa"/>
        <w:left w:w="0" w:type="dxa"/>
        <w:bottom w:w="0" w:type="dxa"/>
        <w:right w:w="0" w:type="dxa"/>
      </w:tblCellMar>
    </w:tblPr>
  </w:style>
  <w:style w:type="paragraph" w:customStyle="1" w:styleId="87">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8">
    <w:name w:val="Table Paragraph"/>
    <w:basedOn w:val="1"/>
    <w:qFormat/>
    <w:uiPriority w:val="0"/>
    <w:pPr>
      <w:autoSpaceDE w:val="0"/>
      <w:autoSpaceDN w:val="0"/>
      <w:jc w:val="left"/>
    </w:pPr>
    <w:rPr>
      <w:rFonts w:hint="eastAsia" w:ascii="宋体" w:hAnsi="宋体"/>
      <w:kern w:val="0"/>
      <w:sz w:val="22"/>
    </w:rPr>
  </w:style>
  <w:style w:type="character" w:customStyle="1" w:styleId="89">
    <w:name w:val="font21"/>
    <w:qFormat/>
    <w:uiPriority w:val="0"/>
    <w:rPr>
      <w:rFonts w:hint="eastAsia" w:ascii="宋体" w:hAnsi="宋体" w:eastAsia="宋体" w:cs="宋体"/>
      <w:color w:val="000000"/>
      <w:sz w:val="21"/>
      <w:szCs w:val="21"/>
      <w:u w:val="none"/>
    </w:rPr>
  </w:style>
  <w:style w:type="paragraph" w:customStyle="1" w:styleId="90">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91">
    <w:name w:val="正文首行缩进 Char"/>
    <w:link w:val="28"/>
    <w:qFormat/>
    <w:uiPriority w:val="0"/>
    <w:rPr>
      <w:rFonts w:hAnsi="宋体"/>
      <w:sz w:val="18"/>
      <w:szCs w:val="18"/>
    </w:rPr>
  </w:style>
  <w:style w:type="paragraph" w:customStyle="1" w:styleId="92">
    <w:name w:val="WPSOffice手动目录 1"/>
    <w:qFormat/>
    <w:uiPriority w:val="0"/>
    <w:pPr>
      <w:ind w:leftChars="0"/>
    </w:pPr>
    <w:rPr>
      <w:rFonts w:ascii="Times New Roman" w:hAnsi="Times New Roman" w:eastAsia="宋体" w:cs="Times New Roman"/>
      <w:sz w:val="20"/>
      <w:szCs w:val="20"/>
    </w:rPr>
  </w:style>
  <w:style w:type="paragraph" w:customStyle="1" w:styleId="93">
    <w:name w:val="WPSOffice手动目录 2"/>
    <w:qFormat/>
    <w:uiPriority w:val="0"/>
    <w:pPr>
      <w:ind w:leftChars="200"/>
    </w:pPr>
    <w:rPr>
      <w:rFonts w:ascii="Times New Roman" w:hAnsi="Times New Roman" w:eastAsia="宋体" w:cs="Times New Roman"/>
      <w:sz w:val="20"/>
      <w:szCs w:val="20"/>
    </w:rPr>
  </w:style>
  <w:style w:type="paragraph" w:customStyle="1" w:styleId="94">
    <w:name w:val="WPSOffice手动目录 3"/>
    <w:qFormat/>
    <w:uiPriority w:val="0"/>
    <w:pPr>
      <w:ind w:leftChars="400"/>
    </w:pPr>
    <w:rPr>
      <w:rFonts w:ascii="Times New Roman" w:hAnsi="Times New Roman" w:eastAsia="宋体" w:cs="Times New Roman"/>
      <w:sz w:val="20"/>
      <w:szCs w:val="20"/>
    </w:rPr>
  </w:style>
  <w:style w:type="paragraph" w:customStyle="1" w:styleId="95">
    <w:name w:val="正文 New New New New"/>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9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jpe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93</Pages>
  <Words>37867</Words>
  <Characters>43746</Characters>
  <Lines>558</Lines>
  <Paragraphs>157</Paragraphs>
  <TotalTime>27</TotalTime>
  <ScaleCrop>false</ScaleCrop>
  <LinksUpToDate>false</LinksUpToDate>
  <CharactersWithSpaces>45594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2022-03-18T13:06:00Z</dcterms:created>
  <dc:creator>Administrator</dc:creator>
  <cp:lastModifiedBy>Administrator</cp:lastModifiedBy>
  <cp:lastPrinted>2022-03-24T07:58:00Z</cp:lastPrinted>
  <dcterms:modified xsi:type="dcterms:W3CDTF">2022-10-14T07:15:36Z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7C7E86F0362A494C93DB53B0C2BB8837</vt:lpwstr>
  </property>
</Properties>
</file>