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山阳县民政局（本级）全县非主城区镇（办）村（社）一级门牌制作采购计划竞争性谈判公告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全县非主城区镇（办）村（社）一级门牌制作采购计划</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商洛市商州区全兴紫苑10号楼1单元101室（节假日除外）</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2023年02月27日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项目编号：HW-SL-20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w:t>
      </w:r>
      <w:bookmarkStart w:id="0" w:name="_GoBack"/>
      <w:r>
        <w:rPr>
          <w:rFonts w:hint="eastAsia" w:ascii="微软雅黑" w:hAnsi="微软雅黑" w:eastAsia="微软雅黑" w:cs="微软雅黑"/>
          <w:i w:val="0"/>
          <w:iCs w:val="0"/>
          <w:caps w:val="0"/>
          <w:color w:val="333333"/>
          <w:spacing w:val="0"/>
          <w:sz w:val="21"/>
          <w:szCs w:val="21"/>
          <w:bdr w:val="none" w:color="auto" w:sz="0" w:space="0"/>
          <w:shd w:val="clear" w:fill="FFFFFF"/>
        </w:rPr>
        <w:t>全县非主城区镇（办）村（社）一级门牌制作采购计划</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预算金额：877,920.00元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合同包1(全县非主城区镇（办）村（社）一级门牌制作):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合同包预算金额：877,920.00元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合同包最高限价：877,920.00元</w:t>
      </w:r>
    </w:p>
    <w:tbl>
      <w:tblPr>
        <w:tblW w:w="96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9"/>
        <w:gridCol w:w="1241"/>
        <w:gridCol w:w="1543"/>
        <w:gridCol w:w="1967"/>
        <w:gridCol w:w="1676"/>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78" w:hRule="atLeast"/>
          <w:tblHeader/>
        </w:trPr>
        <w:tc>
          <w:tcPr>
            <w:tcW w:w="6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5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6"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2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其他室外装具</w:t>
            </w:r>
          </w:p>
        </w:tc>
        <w:tc>
          <w:tcPr>
            <w:tcW w:w="15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采购门牌制作109740个</w:t>
            </w:r>
          </w:p>
        </w:tc>
        <w:tc>
          <w:tcPr>
            <w:tcW w:w="19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109,740(个)</w:t>
            </w:r>
          </w:p>
        </w:tc>
        <w:tc>
          <w:tcPr>
            <w:tcW w:w="167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877,920.00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877,920.00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合同包1(全县非主城区镇（办）村（社）一级门牌制作)落实政府采购政策需满足的资格要求如下: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①《政府采购促进中小企业发展管理办法》的通知--（财库〔2020〕46 号）；②财政部司法部关于政府采购支持监狱企业发展有关问题的通知--财库〔2014〕68号；③《国务院办公厅关于建立政府强制采购节能产品制度的通知》--国办发〔２００７〕５１号；④《节能产品政府采购实施意见》--（财库〔2004〕185号）；⑤《环境标志产品政府采购实施的意见》--财库〔2006〕90号；⑥三部门联合发布关于促进残疾人就业政府采购政策的通知财库〔2017〕141号；⑦《财政部发展改革委生态环境部市场监管总局关于调整优化节能产品、环境标志产品政府采购执行机制的通知》--（财库〔2019〕9号）；⑧《财政部国务院扶贫办关于运用政府采购政策支持脱贫攻坚的通知》--（财库〔2019〕27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合同包1(全县非主城区镇（办）村（社）一级门牌制作)特定资格要求如下: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(1)具有合格有效的三证合一营业执照且经营范围包含本次采购内容；</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(2)供应商应授权合法的人员参加采购全过程，其中法定代表人直接参加采购的，须出具法人身份证，并与营业执照上信息一致。法定代表人授权代表参加采购的，须出具法定代表人授权书及授权代表身份证；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(3)供应商负责人为同一人或者存在控股、管理关系的不同单位，不得参加同一项目的采购；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(4)出具参加本次政府采购活动前三年内在经营活动中没有重大违法记录的书面声明；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(5)供应商不得列入“信用中国”网站 (www.creditchina.gov.cn)失信被执行人、重大税收违法失信主体，中国政府采购网(www.ccgp.gov.cn)严重违法失信行为记录名单。(提供查询结果网页截图并加盖公章，查询时间为采购文件发售期至开标时间内)；</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2023年02月17日 至 2023年02月21日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商洛市商州区全兴紫苑10号楼1单元101室（节假日除外）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2023年02月27日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商洛市商州区全兴紫苑10号楼1单元101室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2023年02月27日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商洛市商州区全兴紫苑10号楼1单元101室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注：1.潜在供应商获取采购文件时，须携带：（1）营业执照（经营范围包含本次采购内容）；（2）法定代表人授权书（附法定代表人、被授权人身份证），法定代表人直接参加采购的，须提供法定代表人身份证（需与营业执照一致）上述资料加盖公章的复印件3套。2.请潜在供应商务必按照《陕西省财政厅关于政府采购供应商注册登记有关事项的通知》要求，通过陕西省政府采购网（http://www.ccgp-shaanxi.gov.cn/）进行陕西政府采购统一身份认证注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山阳县民政局（本级）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山阳县丰塔路172号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19909149178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商洛市商州区全兴紫苑10号楼1单元101室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18392939080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姜南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18392939080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MjZhYTIxMjYzZWU4YmFhNmQ5Y2U4YmU0NzUyNmIifQ=="/>
  </w:docVars>
  <w:rsids>
    <w:rsidRoot w:val="3DF266E9"/>
    <w:rsid w:val="3DF26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2023-02-16T06:15:00Z</dcterms:created>
  <dc:creator>南瓜</dc:creator>
  <cp:lastModifiedBy>南瓜</cp:lastModifiedBy>
  <dcterms:modified xsi:type="dcterms:W3CDTF">2023-02-16T06:16:54Z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8D1729AA73264706BE157F1B8448BE85</vt:lpwstr>
  </property>
</Properties>
</file>