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eastAsia="宋体" w:cs="宋体"/>
          <w:b/>
          <w:color w:val="auto"/>
          <w:sz w:val="52"/>
          <w:szCs w:val="52"/>
        </w:rPr>
      </w:pPr>
    </w:p>
    <w:p>
      <w:pPr>
        <w:spacing w:line="360" w:lineRule="auto"/>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lang w:val="en-US" w:eastAsia="zh-CN"/>
        </w:rPr>
        <w:t>镇安县2021年度高标准农田建设地力培肥项目</w:t>
      </w:r>
    </w:p>
    <w:p>
      <w:pPr>
        <w:spacing w:line="360" w:lineRule="auto"/>
        <w:jc w:val="center"/>
        <w:rPr>
          <w:rFonts w:hint="eastAsia" w:ascii="宋体" w:hAnsi="宋体" w:eastAsia="宋体" w:cs="宋体"/>
          <w:b/>
          <w:color w:val="auto"/>
          <w:sz w:val="48"/>
          <w:szCs w:val="48"/>
        </w:rPr>
      </w:pPr>
    </w:p>
    <w:p>
      <w:pPr>
        <w:pStyle w:val="2"/>
        <w:rPr>
          <w:rFonts w:hint="eastAsia" w:ascii="宋体" w:hAnsi="宋体" w:eastAsia="宋体" w:cs="宋体"/>
          <w:color w:val="auto"/>
        </w:rPr>
      </w:pPr>
    </w:p>
    <w:p>
      <w:pPr>
        <w:pStyle w:val="17"/>
        <w:rPr>
          <w:rFonts w:hint="eastAsia" w:ascii="宋体" w:hAnsi="宋体" w:eastAsia="宋体" w:cs="宋体"/>
          <w:color w:val="auto"/>
        </w:rPr>
      </w:pPr>
    </w:p>
    <w:p>
      <w:pPr>
        <w:rPr>
          <w:rFonts w:hint="eastAsia" w:ascii="宋体" w:hAnsi="宋体" w:eastAsia="宋体" w:cs="宋体"/>
          <w:color w:val="auto"/>
        </w:rPr>
      </w:pPr>
    </w:p>
    <w:p>
      <w:pPr>
        <w:pStyle w:val="26"/>
        <w:rPr>
          <w:rFonts w:hint="eastAsia" w:ascii="宋体" w:hAnsi="宋体" w:eastAsia="宋体" w:cs="宋体"/>
          <w:color w:val="auto"/>
        </w:rPr>
      </w:pPr>
    </w:p>
    <w:p>
      <w:pPr>
        <w:pStyle w:val="26"/>
        <w:rPr>
          <w:rFonts w:hint="eastAsia" w:ascii="宋体" w:hAnsi="宋体" w:eastAsia="宋体" w:cs="宋体"/>
          <w:color w:val="auto"/>
        </w:rPr>
      </w:pPr>
    </w:p>
    <w:p>
      <w:pPr>
        <w:pStyle w:val="26"/>
        <w:rPr>
          <w:rFonts w:hint="eastAsia" w:ascii="宋体" w:hAnsi="宋体" w:eastAsia="宋体" w:cs="宋体"/>
          <w:color w:val="auto"/>
        </w:rPr>
      </w:pPr>
    </w:p>
    <w:p>
      <w:pPr>
        <w:pStyle w:val="26"/>
        <w:rPr>
          <w:rFonts w:hint="eastAsia" w:ascii="宋体" w:hAnsi="宋体" w:eastAsia="宋体" w:cs="宋体"/>
          <w:color w:val="auto"/>
        </w:rPr>
      </w:pPr>
    </w:p>
    <w:p>
      <w:pPr>
        <w:pStyle w:val="26"/>
        <w:rPr>
          <w:rFonts w:hint="eastAsia" w:ascii="宋体" w:hAnsi="宋体" w:eastAsia="宋体" w:cs="宋体"/>
          <w:color w:val="auto"/>
        </w:rPr>
      </w:pPr>
    </w:p>
    <w:p>
      <w:pPr>
        <w:pStyle w:val="26"/>
        <w:rPr>
          <w:rFonts w:hint="eastAsia" w:ascii="宋体" w:hAnsi="宋体" w:eastAsia="宋体" w:cs="宋体"/>
          <w:color w:val="auto"/>
        </w:rPr>
      </w:pPr>
    </w:p>
    <w:p>
      <w:pPr>
        <w:pStyle w:val="26"/>
        <w:rPr>
          <w:rFonts w:hint="eastAsia" w:ascii="宋体" w:hAnsi="宋体" w:eastAsia="宋体" w:cs="宋体"/>
          <w:color w:val="auto"/>
        </w:rPr>
      </w:pPr>
    </w:p>
    <w:p>
      <w:pPr>
        <w:jc w:val="center"/>
        <w:rPr>
          <w:rFonts w:hint="eastAsia" w:ascii="宋体" w:hAnsi="宋体" w:eastAsia="宋体" w:cs="宋体"/>
          <w:color w:val="auto"/>
          <w:sz w:val="52"/>
          <w:szCs w:val="52"/>
        </w:rPr>
      </w:pPr>
      <w:r>
        <w:rPr>
          <w:rFonts w:hint="eastAsia" w:ascii="宋体" w:hAnsi="宋体" w:eastAsia="宋体" w:cs="宋体"/>
          <w:b/>
          <w:color w:val="auto"/>
          <w:sz w:val="52"/>
          <w:szCs w:val="52"/>
        </w:rPr>
        <w:t>竞争性磋商文件</w:t>
      </w:r>
    </w:p>
    <w:p>
      <w:pPr>
        <w:jc w:val="center"/>
        <w:rPr>
          <w:rFonts w:hint="eastAsia" w:ascii="宋体" w:hAnsi="宋体" w:eastAsia="宋体" w:cs="宋体"/>
          <w:b/>
          <w:color w:val="auto"/>
          <w:sz w:val="32"/>
        </w:rPr>
      </w:pPr>
    </w:p>
    <w:p>
      <w:pPr>
        <w:jc w:val="center"/>
        <w:rPr>
          <w:rFonts w:hint="eastAsia" w:ascii="宋体" w:hAnsi="宋体" w:eastAsia="宋体" w:cs="宋体"/>
          <w:b/>
          <w:color w:val="auto"/>
          <w:sz w:val="32"/>
        </w:rPr>
      </w:pPr>
      <w:r>
        <w:rPr>
          <w:rFonts w:hint="eastAsia" w:ascii="宋体" w:hAnsi="宋体" w:eastAsia="宋体" w:cs="宋体"/>
          <w:b/>
          <w:color w:val="auto"/>
          <w:sz w:val="32"/>
        </w:rPr>
        <w:t>采购项目编号：ZHTD(ZB)-202209001</w:t>
      </w:r>
    </w:p>
    <w:p>
      <w:pPr>
        <w:spacing w:line="360" w:lineRule="auto"/>
        <w:rPr>
          <w:rFonts w:hint="eastAsia" w:ascii="宋体" w:hAnsi="宋体" w:eastAsia="宋体" w:cs="宋体"/>
          <w:color w:val="auto"/>
          <w:sz w:val="32"/>
        </w:rPr>
      </w:pPr>
    </w:p>
    <w:p>
      <w:pPr>
        <w:spacing w:line="360" w:lineRule="auto"/>
        <w:rPr>
          <w:rFonts w:hint="eastAsia" w:ascii="宋体" w:hAnsi="宋体" w:eastAsia="宋体" w:cs="宋体"/>
          <w:color w:val="auto"/>
          <w:sz w:val="32"/>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spacing w:line="480" w:lineRule="auto"/>
        <w:jc w:val="center"/>
        <w:rPr>
          <w:rFonts w:hint="eastAsia" w:ascii="宋体" w:hAnsi="宋体" w:eastAsia="宋体" w:cs="宋体"/>
          <w:b/>
          <w:color w:val="auto"/>
          <w:sz w:val="30"/>
          <w:szCs w:val="30"/>
        </w:rPr>
      </w:pPr>
    </w:p>
    <w:p>
      <w:pPr>
        <w:spacing w:line="480" w:lineRule="auto"/>
        <w:rPr>
          <w:rFonts w:hint="eastAsia" w:ascii="宋体" w:hAnsi="宋体" w:eastAsia="宋体" w:cs="宋体"/>
          <w:b/>
          <w:color w:val="auto"/>
          <w:sz w:val="30"/>
          <w:szCs w:val="30"/>
        </w:rPr>
      </w:pPr>
    </w:p>
    <w:p>
      <w:pPr>
        <w:spacing w:line="480" w:lineRule="auto"/>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采 购 人：镇安县农业农村局</w:t>
      </w:r>
    </w:p>
    <w:p>
      <w:pPr>
        <w:spacing w:line="480" w:lineRule="auto"/>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采购代理机构:中昊泰达咨询集团有限公司</w:t>
      </w:r>
    </w:p>
    <w:p>
      <w:pPr>
        <w:spacing w:line="480" w:lineRule="auto"/>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二零二二年八月</w:t>
      </w:r>
    </w:p>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目  录</w:t>
      </w:r>
    </w:p>
    <w:p>
      <w:pPr>
        <w:pStyle w:val="28"/>
        <w:tabs>
          <w:tab w:val="right" w:leader="dot" w:pos="8839"/>
        </w:tabs>
        <w:spacing w:line="360" w:lineRule="auto"/>
        <w:rPr>
          <w:rFonts w:hint="eastAsia" w:ascii="宋体" w:hAnsi="宋体" w:eastAsia="宋体" w:cs="宋体"/>
          <w:color w:val="auto"/>
          <w:sz w:val="28"/>
          <w:szCs w:val="28"/>
        </w:rPr>
      </w:pPr>
      <w:r>
        <w:rPr>
          <w:rFonts w:hint="eastAsia" w:ascii="宋体" w:hAnsi="宋体" w:eastAsia="宋体" w:cs="宋体"/>
          <w:b w:val="0"/>
          <w:color w:val="auto"/>
          <w:sz w:val="28"/>
          <w:szCs w:val="28"/>
        </w:rPr>
        <w:fldChar w:fldCharType="begin"/>
      </w:r>
      <w:r>
        <w:rPr>
          <w:rFonts w:hint="eastAsia" w:ascii="宋体" w:hAnsi="宋体" w:eastAsia="宋体" w:cs="宋体"/>
          <w:b w:val="0"/>
          <w:color w:val="auto"/>
          <w:sz w:val="28"/>
          <w:szCs w:val="28"/>
        </w:rPr>
        <w:instrText xml:space="preserve"> TOC \o "1-3" \h \z \u </w:instrText>
      </w:r>
      <w:r>
        <w:rPr>
          <w:rFonts w:hint="eastAsia" w:ascii="宋体" w:hAnsi="宋体" w:eastAsia="宋体" w:cs="宋体"/>
          <w:b w:val="0"/>
          <w:color w:val="auto"/>
          <w:sz w:val="28"/>
          <w:szCs w:val="28"/>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"_Toc30743"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第一部分  竞争性磋商公告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_Toc30743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28"/>
        <w:tabs>
          <w:tab w:val="right" w:leader="dot" w:pos="8839"/>
        </w:tabs>
        <w:spacing w:line="360" w:lineRule="auto"/>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"_Toc23833"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第二部分  供应商须知前附表</w:t>
      </w:r>
      <w:r>
        <w:rPr>
          <w:rFonts w:hint="eastAsia" w:ascii="宋体" w:hAnsi="宋体" w:eastAsia="宋体" w:cs="宋体"/>
          <w:color w:val="auto"/>
          <w:sz w:val="28"/>
          <w:szCs w:val="28"/>
        </w:rPr>
        <w:tab/>
      </w:r>
      <w:r>
        <w:rPr>
          <w:rFonts w:hint="eastAsia" w:ascii="宋体" w:hAnsi="宋体" w:eastAsia="宋体" w:cs="宋体"/>
          <w:color w:val="auto"/>
          <w:sz w:val="28"/>
          <w:szCs w:val="28"/>
        </w:rPr>
        <w:t>4</w:t>
      </w:r>
      <w:r>
        <w:rPr>
          <w:rFonts w:hint="eastAsia" w:ascii="宋体" w:hAnsi="宋体" w:eastAsia="宋体" w:cs="宋体"/>
          <w:color w:val="auto"/>
          <w:sz w:val="28"/>
          <w:szCs w:val="28"/>
        </w:rPr>
        <w:fldChar w:fldCharType="end"/>
      </w:r>
    </w:p>
    <w:p>
      <w:pPr>
        <w:pStyle w:val="28"/>
        <w:tabs>
          <w:tab w:val="right" w:leader="dot" w:pos="8839"/>
        </w:tabs>
        <w:spacing w:line="360" w:lineRule="auto"/>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"_Toc12112"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第三部分  磋商须知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_Toc12112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10</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28"/>
        <w:tabs>
          <w:tab w:val="right" w:leader="dot" w:pos="8839"/>
        </w:tabs>
        <w:spacing w:line="360" w:lineRule="auto"/>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"_Toc7732"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第四部分  评审办法</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_Toc7732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28"/>
        <w:tabs>
          <w:tab w:val="right" w:leader="dot" w:pos="8839"/>
        </w:tabs>
        <w:spacing w:line="360" w:lineRule="auto"/>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"_Toc1008"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第五部分  合同主要条款</w:t>
      </w:r>
      <w:r>
        <w:rPr>
          <w:rFonts w:hint="eastAsia" w:ascii="宋体" w:hAnsi="宋体" w:eastAsia="宋体" w:cs="宋体"/>
          <w:color w:val="auto"/>
          <w:sz w:val="28"/>
          <w:szCs w:val="28"/>
        </w:rPr>
        <w:tab/>
      </w:r>
      <w:r>
        <w:rPr>
          <w:rFonts w:hint="eastAsia" w:ascii="宋体" w:hAnsi="宋体" w:eastAsia="宋体" w:cs="宋体"/>
          <w:color w:val="auto"/>
          <w:sz w:val="28"/>
          <w:szCs w:val="28"/>
        </w:rPr>
        <w:t>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8</w:t>
      </w:r>
    </w:p>
    <w:p>
      <w:pPr>
        <w:pStyle w:val="28"/>
        <w:tabs>
          <w:tab w:val="right" w:leader="dot" w:pos="8839"/>
        </w:tabs>
        <w:spacing w:line="360" w:lineRule="auto"/>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"_Toc9613"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第六部分  磋商响应文件格式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_Toc9613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28"/>
        <w:tabs>
          <w:tab w:val="right" w:leader="dot" w:pos="8839"/>
        </w:tabs>
        <w:spacing w:line="360" w:lineRule="auto"/>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"_Toc17188" </w:instrText>
      </w:r>
      <w:r>
        <w:rPr>
          <w:rFonts w:hint="eastAsia" w:ascii="宋体" w:hAnsi="宋体" w:eastAsia="宋体" w:cs="宋体"/>
          <w:color w:val="auto"/>
        </w:rPr>
        <w:fldChar w:fldCharType="separate"/>
      </w:r>
      <w:r>
        <w:rPr>
          <w:rFonts w:hint="eastAsia" w:ascii="宋体" w:hAnsi="宋体" w:eastAsia="宋体" w:cs="宋体"/>
          <w:color w:val="auto"/>
          <w:kern w:val="0"/>
          <w:sz w:val="28"/>
          <w:szCs w:val="28"/>
        </w:rPr>
        <w:t>第七部分 采购内容及要求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_Toc17188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28"/>
        <w:tabs>
          <w:tab w:val="left" w:pos="2280"/>
        </w:tabs>
        <w:spacing w:line="360" w:lineRule="auto"/>
        <w:rPr>
          <w:rFonts w:hint="eastAsia" w:ascii="宋体" w:hAnsi="宋体" w:eastAsia="宋体" w:cs="宋体"/>
          <w:b w:val="0"/>
          <w:color w:val="auto"/>
          <w:sz w:val="24"/>
          <w:szCs w:val="24"/>
        </w:rPr>
      </w:pPr>
      <w:r>
        <w:rPr>
          <w:rFonts w:hint="eastAsia" w:ascii="宋体" w:hAnsi="宋体" w:eastAsia="宋体" w:cs="宋体"/>
          <w:color w:val="auto"/>
          <w:sz w:val="28"/>
          <w:szCs w:val="28"/>
        </w:rPr>
        <w:fldChar w:fldCharType="end"/>
      </w:r>
      <w:r>
        <w:rPr>
          <w:rFonts w:hint="eastAsia" w:ascii="宋体" w:hAnsi="宋体" w:eastAsia="宋体" w:cs="宋体"/>
          <w:color w:val="auto"/>
          <w:sz w:val="24"/>
          <w:szCs w:val="24"/>
        </w:rPr>
        <w:tab/>
      </w:r>
    </w:p>
    <w:p>
      <w:pPr>
        <w:pStyle w:val="2"/>
        <w:rPr>
          <w:rFonts w:hint="eastAsia" w:ascii="宋体" w:hAnsi="宋体" w:eastAsia="宋体" w:cs="宋体"/>
          <w:b/>
          <w:bCs/>
          <w:color w:val="auto"/>
          <w:sz w:val="24"/>
          <w:szCs w:val="24"/>
        </w:rPr>
      </w:pPr>
      <w:bookmarkStart w:id="0" w:name="_Toc193702467"/>
      <w:bookmarkStart w:id="1" w:name="_Toc246928891"/>
    </w:p>
    <w:bookmarkEnd w:id="0"/>
    <w:bookmarkEnd w:id="1"/>
    <w:p>
      <w:pPr>
        <w:pStyle w:val="3"/>
        <w:spacing w:line="360" w:lineRule="auto"/>
        <w:ind w:left="480"/>
        <w:jc w:val="center"/>
        <w:rPr>
          <w:rFonts w:hint="eastAsia" w:ascii="宋体" w:hAnsi="宋体" w:eastAsia="宋体" w:cs="宋体"/>
          <w:color w:val="auto"/>
          <w:sz w:val="36"/>
        </w:rPr>
        <w:sectPr>
          <w:headerReference r:id="rId3" w:type="default"/>
          <w:footerReference r:id="rId4" w:type="default"/>
          <w:footnotePr>
            <w:pos w:val="beneathText"/>
          </w:footnotePr>
          <w:pgSz w:w="11906" w:h="16838"/>
          <w:pgMar w:top="1440" w:right="1423" w:bottom="1219" w:left="1644" w:header="720" w:footer="720" w:gutter="0"/>
          <w:pgNumType w:start="1"/>
          <w:cols w:space="720" w:num="1"/>
          <w:docGrid w:linePitch="312" w:charSpace="0"/>
        </w:sectPr>
      </w:pPr>
      <w:bookmarkStart w:id="2" w:name="_Toc30743"/>
      <w:bookmarkStart w:id="3" w:name="_Toc246928893"/>
    </w:p>
    <w:p>
      <w:pPr>
        <w:pStyle w:val="3"/>
        <w:numPr>
          <w:ilvl w:val="0"/>
          <w:numId w:val="2"/>
        </w:numPr>
        <w:spacing w:line="360" w:lineRule="auto"/>
        <w:ind w:left="480"/>
        <w:jc w:val="center"/>
        <w:rPr>
          <w:rFonts w:hint="eastAsia" w:ascii="宋体" w:hAnsi="宋体" w:eastAsia="宋体" w:cs="宋体"/>
          <w:color w:val="auto"/>
          <w:sz w:val="36"/>
        </w:rPr>
      </w:pPr>
      <w:r>
        <w:rPr>
          <w:rFonts w:hint="eastAsia" w:ascii="宋体" w:hAnsi="宋体" w:eastAsia="宋体" w:cs="宋体"/>
          <w:color w:val="auto"/>
          <w:sz w:val="36"/>
        </w:rPr>
        <w:t xml:space="preserve"> 竞争性磋商公告</w:t>
      </w:r>
      <w:bookmarkEnd w:id="2"/>
    </w:p>
    <w:tbl>
      <w:tblPr>
        <w:tblStyle w:val="4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8522" w:type="dxa"/>
          </w:tcPr>
          <w:p>
            <w:pPr>
              <w:pStyle w:val="8"/>
              <w:keepNext w:val="0"/>
              <w:keepLines w:val="0"/>
              <w:widowControl/>
              <w:spacing w:before="100" w:after="100" w:line="240" w:lineRule="auto"/>
              <w:jc w:val="left"/>
              <w:textAlignment w:val="baseline"/>
              <w:outlineLvl w:val="5"/>
              <w:rPr>
                <w:rFonts w:hint="eastAsia" w:ascii="宋体" w:hAnsi="宋体" w:eastAsia="宋体" w:cs="宋体"/>
                <w:b w:val="0"/>
                <w:color w:val="auto"/>
                <w:szCs w:val="24"/>
              </w:rPr>
            </w:pPr>
            <w:bookmarkStart w:id="4" w:name="_Toc23833"/>
            <w:r>
              <w:rPr>
                <w:rStyle w:val="42"/>
                <w:rFonts w:hint="eastAsia" w:ascii="宋体" w:hAnsi="宋体" w:eastAsia="宋体" w:cs="宋体"/>
                <w:b/>
                <w:bCs/>
                <w:color w:val="auto"/>
                <w:szCs w:val="24"/>
                <w:shd w:val="clear" w:color="auto" w:fill="FFFFFF"/>
              </w:rPr>
              <w:t>项目概况</w:t>
            </w:r>
          </w:p>
          <w:p>
            <w:pPr>
              <w:pStyle w:val="36"/>
              <w:spacing w:beforeAutospacing="0" w:afterAutospacing="0"/>
              <w:ind w:firstLine="604" w:firstLineChars="252"/>
              <w:jc w:val="both"/>
              <w:textAlignment w:val="baseline"/>
              <w:rPr>
                <w:rStyle w:val="42"/>
                <w:rFonts w:hint="eastAsia" w:ascii="宋体" w:hAnsi="宋体" w:eastAsia="宋体" w:cs="宋体"/>
                <w:bCs/>
                <w:color w:val="auto"/>
                <w:szCs w:val="24"/>
                <w:shd w:val="clear" w:color="auto" w:fill="FFFFFF"/>
              </w:rPr>
            </w:pPr>
            <w:r>
              <w:rPr>
                <w:rFonts w:hint="eastAsia" w:ascii="宋体" w:hAnsi="宋体" w:eastAsia="宋体" w:cs="宋体"/>
                <w:color w:val="auto"/>
                <w:szCs w:val="24"/>
                <w:shd w:val="clear" w:color="auto" w:fill="FFFFFF"/>
                <w:lang w:val="en-US" w:eastAsia="zh-CN"/>
              </w:rPr>
              <w:t>镇安县</w:t>
            </w:r>
            <w:r>
              <w:rPr>
                <w:rFonts w:hint="eastAsia" w:ascii="宋体" w:hAnsi="宋体" w:eastAsia="宋体" w:cs="宋体"/>
                <w:color w:val="auto"/>
                <w:szCs w:val="24"/>
                <w:shd w:val="clear" w:color="auto" w:fill="FFFFFF"/>
              </w:rPr>
              <w:t>2021年度高标准农田建设地力培肥项目的潜在供应商应在</w:t>
            </w:r>
            <w:r>
              <w:rPr>
                <w:rFonts w:hint="eastAsia" w:ascii="宋体" w:hAnsi="宋体" w:eastAsia="宋体" w:cs="宋体"/>
                <w:color w:val="auto"/>
                <w:szCs w:val="24"/>
                <w:shd w:val="clear" w:color="auto" w:fill="FFFFFF"/>
                <w:lang w:eastAsia="zh-CN"/>
              </w:rPr>
              <w:t>西安市经济技术开发区凤城八路158号保亿隆基中心A座406室</w:t>
            </w:r>
            <w:r>
              <w:rPr>
                <w:rFonts w:hint="eastAsia" w:ascii="宋体" w:hAnsi="宋体" w:eastAsia="宋体" w:cs="宋体"/>
                <w:color w:val="auto"/>
                <w:szCs w:val="24"/>
                <w:shd w:val="clear" w:color="auto" w:fill="FFFFFF"/>
              </w:rPr>
              <w:t>中获取采购文件，并于2022年</w:t>
            </w:r>
            <w:r>
              <w:rPr>
                <w:rFonts w:hint="eastAsia" w:ascii="宋体" w:hAnsi="宋体" w:eastAsia="宋体" w:cs="宋体"/>
                <w:color w:val="auto"/>
                <w:szCs w:val="24"/>
                <w:shd w:val="clear" w:color="auto" w:fill="FFFFFF"/>
                <w:lang w:val="en-US" w:eastAsia="zh-CN"/>
              </w:rPr>
              <w:t>09</w:t>
            </w:r>
            <w:r>
              <w:rPr>
                <w:rFonts w:hint="eastAsia" w:ascii="宋体" w:hAnsi="宋体" w:eastAsia="宋体" w:cs="宋体"/>
                <w:color w:val="auto"/>
                <w:szCs w:val="24"/>
                <w:shd w:val="clear" w:color="auto" w:fill="FFFFFF"/>
              </w:rPr>
              <w:t>月</w:t>
            </w:r>
            <w:r>
              <w:rPr>
                <w:rFonts w:hint="eastAsia" w:ascii="宋体" w:hAnsi="宋体" w:eastAsia="宋体" w:cs="宋体"/>
                <w:color w:val="auto"/>
                <w:szCs w:val="24"/>
                <w:shd w:val="clear" w:color="auto" w:fill="FFFFFF"/>
                <w:lang w:val="en-US" w:eastAsia="zh-CN"/>
              </w:rPr>
              <w:t>09</w:t>
            </w:r>
            <w:r>
              <w:rPr>
                <w:rFonts w:hint="eastAsia" w:ascii="宋体" w:hAnsi="宋体" w:eastAsia="宋体" w:cs="宋体"/>
                <w:color w:val="auto"/>
                <w:szCs w:val="24"/>
                <w:shd w:val="clear" w:color="auto" w:fill="FFFFFF"/>
              </w:rPr>
              <w:t>日 09时30分（北京时间）前提交响应文件。</w:t>
            </w:r>
          </w:p>
        </w:tc>
      </w:tr>
    </w:tbl>
    <w:p>
      <w:pPr>
        <w:pStyle w:val="6"/>
        <w:keepNext w:val="0"/>
        <w:keepLines w:val="0"/>
        <w:widowControl/>
        <w:spacing w:before="100" w:after="0" w:line="400" w:lineRule="exact"/>
        <w:jc w:val="left"/>
        <w:textAlignment w:val="baseline"/>
        <w:rPr>
          <w:rFonts w:hint="eastAsia" w:ascii="宋体" w:hAnsi="宋体" w:eastAsia="宋体" w:cs="宋体"/>
          <w:b w:val="0"/>
          <w:color w:val="auto"/>
          <w:sz w:val="24"/>
          <w:szCs w:val="24"/>
        </w:rPr>
      </w:pPr>
      <w:r>
        <w:rPr>
          <w:rStyle w:val="42"/>
          <w:rFonts w:hint="eastAsia" w:ascii="宋体" w:hAnsi="宋体" w:eastAsia="宋体" w:cs="宋体"/>
          <w:b/>
          <w:bCs/>
          <w:color w:val="auto"/>
          <w:sz w:val="24"/>
          <w:szCs w:val="24"/>
          <w:shd w:val="clear" w:color="auto" w:fill="FFFFFF"/>
        </w:rPr>
        <w:t>一、项目基本情况</w:t>
      </w:r>
    </w:p>
    <w:p>
      <w:pPr>
        <w:pStyle w:val="36"/>
        <w:spacing w:before="0" w:beforeAutospacing="0" w:after="0" w:afterAutospacing="0" w:line="400" w:lineRule="exact"/>
        <w:ind w:firstLine="320"/>
        <w:jc w:val="both"/>
        <w:textAlignment w:val="baseline"/>
        <w:rPr>
          <w:rFonts w:hint="eastAsia" w:ascii="宋体" w:hAnsi="宋体" w:eastAsia="宋体" w:cs="宋体"/>
          <w:color w:val="auto"/>
          <w:szCs w:val="24"/>
        </w:rPr>
      </w:pPr>
      <w:r>
        <w:rPr>
          <w:rFonts w:hint="eastAsia" w:ascii="宋体" w:hAnsi="宋体" w:eastAsia="宋体" w:cs="宋体"/>
          <w:color w:val="auto"/>
          <w:szCs w:val="24"/>
          <w:shd w:val="clear" w:color="auto" w:fill="FFFFFF"/>
        </w:rPr>
        <w:t>项目编号：ZHTD(ZB)-202209001</w:t>
      </w:r>
    </w:p>
    <w:p>
      <w:pPr>
        <w:pStyle w:val="36"/>
        <w:spacing w:before="0" w:beforeAutospacing="0" w:after="0" w:afterAutospacing="0" w:line="400" w:lineRule="exact"/>
        <w:ind w:firstLine="320"/>
        <w:jc w:val="both"/>
        <w:textAlignment w:val="baseline"/>
        <w:rPr>
          <w:rFonts w:hint="eastAsia" w:ascii="宋体" w:hAnsi="宋体" w:eastAsia="宋体" w:cs="宋体"/>
          <w:color w:val="auto"/>
          <w:szCs w:val="24"/>
        </w:rPr>
      </w:pPr>
      <w:r>
        <w:rPr>
          <w:rFonts w:hint="eastAsia" w:ascii="宋体" w:hAnsi="宋体" w:eastAsia="宋体" w:cs="宋体"/>
          <w:color w:val="auto"/>
          <w:szCs w:val="24"/>
          <w:shd w:val="clear" w:color="auto" w:fill="FFFFFF"/>
        </w:rPr>
        <w:t>项目名称：</w:t>
      </w:r>
      <w:r>
        <w:rPr>
          <w:rFonts w:hint="eastAsia" w:ascii="宋体" w:hAnsi="宋体" w:eastAsia="宋体" w:cs="宋体"/>
          <w:color w:val="auto"/>
          <w:szCs w:val="24"/>
          <w:shd w:val="clear" w:color="auto" w:fill="FFFFFF"/>
          <w:lang w:eastAsia="zh-CN"/>
        </w:rPr>
        <w:t>镇安县</w:t>
      </w:r>
      <w:r>
        <w:rPr>
          <w:rFonts w:hint="eastAsia" w:ascii="宋体" w:hAnsi="宋体" w:eastAsia="宋体" w:cs="宋体"/>
          <w:color w:val="auto"/>
          <w:szCs w:val="24"/>
          <w:shd w:val="clear" w:color="auto" w:fill="FFFFFF"/>
        </w:rPr>
        <w:t>2021年度高标准农田建设地力培肥项目</w:t>
      </w:r>
    </w:p>
    <w:p>
      <w:pPr>
        <w:pStyle w:val="36"/>
        <w:spacing w:before="0" w:beforeAutospacing="0" w:after="0" w:afterAutospacing="0" w:line="400" w:lineRule="exact"/>
        <w:ind w:firstLine="320"/>
        <w:jc w:val="both"/>
        <w:textAlignment w:val="baseline"/>
        <w:rPr>
          <w:rFonts w:hint="eastAsia" w:ascii="宋体" w:hAnsi="宋体" w:eastAsia="宋体" w:cs="宋体"/>
          <w:color w:val="auto"/>
          <w:szCs w:val="24"/>
        </w:rPr>
      </w:pPr>
      <w:r>
        <w:rPr>
          <w:rFonts w:hint="eastAsia" w:ascii="宋体" w:hAnsi="宋体" w:eastAsia="宋体" w:cs="宋体"/>
          <w:color w:val="auto"/>
          <w:szCs w:val="24"/>
          <w:shd w:val="clear" w:color="auto" w:fill="FFFFFF"/>
        </w:rPr>
        <w:t>采购方式：竞争性磋商</w:t>
      </w:r>
    </w:p>
    <w:p>
      <w:pPr>
        <w:pStyle w:val="36"/>
        <w:spacing w:before="0" w:beforeAutospacing="0" w:after="0" w:afterAutospacing="0" w:line="400" w:lineRule="exact"/>
        <w:ind w:firstLine="320"/>
        <w:jc w:val="both"/>
        <w:textAlignment w:val="baseline"/>
        <w:rPr>
          <w:rFonts w:hint="eastAsia" w:ascii="宋体" w:hAnsi="宋体" w:eastAsia="宋体" w:cs="宋体"/>
          <w:color w:val="auto"/>
          <w:szCs w:val="24"/>
        </w:rPr>
      </w:pPr>
      <w:r>
        <w:rPr>
          <w:rFonts w:hint="eastAsia" w:ascii="宋体" w:hAnsi="宋体" w:eastAsia="宋体" w:cs="宋体"/>
          <w:color w:val="auto"/>
          <w:szCs w:val="24"/>
          <w:shd w:val="clear" w:color="auto" w:fill="FFFFFF"/>
        </w:rPr>
        <w:t>预算金额：1,488,014.00 元</w:t>
      </w:r>
    </w:p>
    <w:p>
      <w:pPr>
        <w:pStyle w:val="36"/>
        <w:spacing w:before="0" w:beforeAutospacing="0" w:after="0" w:afterAutospacing="0" w:line="400" w:lineRule="exact"/>
        <w:ind w:firstLine="320"/>
        <w:jc w:val="both"/>
        <w:textAlignment w:val="baseline"/>
        <w:rPr>
          <w:rFonts w:hint="eastAsia" w:ascii="宋体" w:hAnsi="宋体" w:eastAsia="宋体" w:cs="宋体"/>
          <w:color w:val="auto"/>
          <w:szCs w:val="24"/>
        </w:rPr>
      </w:pPr>
      <w:r>
        <w:rPr>
          <w:rFonts w:hint="eastAsia" w:ascii="宋体" w:hAnsi="宋体" w:eastAsia="宋体" w:cs="宋体"/>
          <w:color w:val="auto"/>
          <w:szCs w:val="24"/>
          <w:shd w:val="clear" w:color="auto" w:fill="FFFFFF"/>
        </w:rPr>
        <w:t>采购需求：</w:t>
      </w:r>
    </w:p>
    <w:p>
      <w:pPr>
        <w:pStyle w:val="36"/>
        <w:spacing w:before="0" w:beforeAutospacing="0" w:after="0" w:afterAutospacing="0" w:line="400" w:lineRule="exact"/>
        <w:ind w:firstLine="320"/>
        <w:jc w:val="both"/>
        <w:textAlignment w:val="baseline"/>
        <w:rPr>
          <w:rFonts w:hint="eastAsia" w:ascii="宋体" w:hAnsi="宋体" w:eastAsia="宋体" w:cs="宋体"/>
          <w:color w:val="auto"/>
          <w:szCs w:val="24"/>
        </w:rPr>
      </w:pPr>
      <w:r>
        <w:rPr>
          <w:rFonts w:hint="eastAsia" w:ascii="宋体" w:hAnsi="宋体" w:eastAsia="宋体" w:cs="宋体"/>
          <w:color w:val="auto"/>
          <w:szCs w:val="24"/>
          <w:shd w:val="clear" w:color="auto" w:fill="FFFFFF"/>
        </w:rPr>
        <w:t>合同包1(镇安县2021年度高标准农田建设地力培肥项目):</w:t>
      </w:r>
    </w:p>
    <w:p>
      <w:pPr>
        <w:pStyle w:val="36"/>
        <w:spacing w:before="0" w:beforeAutospacing="0" w:after="0" w:afterAutospacing="0" w:line="400" w:lineRule="exact"/>
        <w:ind w:firstLine="420"/>
        <w:jc w:val="both"/>
        <w:textAlignment w:val="baseline"/>
        <w:rPr>
          <w:rFonts w:hint="eastAsia" w:ascii="宋体" w:hAnsi="宋体" w:eastAsia="宋体" w:cs="宋体"/>
          <w:color w:val="auto"/>
          <w:szCs w:val="24"/>
        </w:rPr>
      </w:pPr>
      <w:r>
        <w:rPr>
          <w:rFonts w:hint="eastAsia" w:ascii="宋体" w:hAnsi="宋体" w:eastAsia="宋体" w:cs="宋体"/>
          <w:color w:val="auto"/>
          <w:szCs w:val="24"/>
          <w:shd w:val="clear" w:color="auto" w:fill="FFFFFF"/>
        </w:rPr>
        <w:t>合同包预算金额：1,488,014.00 元</w:t>
      </w:r>
    </w:p>
    <w:tbl>
      <w:tblPr>
        <w:tblStyle w:val="39"/>
        <w:tblW w:w="9396" w:type="dxa"/>
        <w:tblInd w:w="0" w:type="dxa"/>
        <w:tblLayout w:type="fixed"/>
        <w:tblCellMar>
          <w:top w:w="0" w:type="dxa"/>
          <w:left w:w="0" w:type="dxa"/>
          <w:bottom w:w="0" w:type="dxa"/>
          <w:right w:w="0" w:type="dxa"/>
        </w:tblCellMar>
      </w:tblPr>
      <w:tblGrid>
        <w:gridCol w:w="631"/>
        <w:gridCol w:w="2170"/>
        <w:gridCol w:w="1891"/>
        <w:gridCol w:w="849"/>
        <w:gridCol w:w="1525"/>
        <w:gridCol w:w="1365"/>
        <w:gridCol w:w="965"/>
      </w:tblGrid>
      <w:tr>
        <w:tblPrEx>
          <w:tblCellMar>
            <w:top w:w="0" w:type="dxa"/>
            <w:left w:w="0" w:type="dxa"/>
            <w:bottom w:w="0" w:type="dxa"/>
            <w:right w:w="0" w:type="dxa"/>
          </w:tblCellMar>
        </w:tblPrEx>
        <w:trPr>
          <w:trHeight w:val="1386" w:hRule="atLeast"/>
          <w:tblHeader/>
        </w:trPr>
        <w:tc>
          <w:tcPr>
            <w:tcW w:w="631"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widowControl/>
              <w:wordWrap w:val="0"/>
              <w:spacing w:line="4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品目号</w:t>
            </w:r>
          </w:p>
        </w:tc>
        <w:tc>
          <w:tcPr>
            <w:tcW w:w="217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widowControl/>
              <w:wordWrap w:val="0"/>
              <w:spacing w:line="4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品目名称</w:t>
            </w:r>
          </w:p>
        </w:tc>
        <w:tc>
          <w:tcPr>
            <w:tcW w:w="1891"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widowControl/>
              <w:wordWrap w:val="0"/>
              <w:spacing w:line="4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采购标的</w:t>
            </w:r>
          </w:p>
        </w:tc>
        <w:tc>
          <w:tcPr>
            <w:tcW w:w="849"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widowControl/>
              <w:wordWrap w:val="0"/>
              <w:spacing w:line="4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数量（单位）</w:t>
            </w:r>
          </w:p>
        </w:tc>
        <w:tc>
          <w:tcPr>
            <w:tcW w:w="1525"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widowControl/>
              <w:wordWrap w:val="0"/>
              <w:spacing w:line="4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技术规格、参数及要求</w:t>
            </w:r>
          </w:p>
        </w:tc>
        <w:tc>
          <w:tcPr>
            <w:tcW w:w="1365"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widowControl/>
              <w:wordWrap w:val="0"/>
              <w:spacing w:line="4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品目预算(元)</w:t>
            </w:r>
          </w:p>
        </w:tc>
        <w:tc>
          <w:tcPr>
            <w:tcW w:w="965"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widowControl/>
              <w:wordWrap w:val="0"/>
              <w:spacing w:line="400" w:lineRule="exact"/>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最高限价(元)</w:t>
            </w:r>
          </w:p>
        </w:tc>
      </w:tr>
      <w:tr>
        <w:tblPrEx>
          <w:tblCellMar>
            <w:top w:w="0" w:type="dxa"/>
            <w:left w:w="0" w:type="dxa"/>
            <w:bottom w:w="0" w:type="dxa"/>
            <w:right w:w="0" w:type="dxa"/>
          </w:tblCellMar>
        </w:tblPrEx>
        <w:trPr>
          <w:trHeight w:val="966" w:hRule="atLeast"/>
        </w:trPr>
        <w:tc>
          <w:tcPr>
            <w:tcW w:w="631"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widowControl/>
              <w:wordWrap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1-1</w:t>
            </w:r>
          </w:p>
        </w:tc>
        <w:tc>
          <w:tcPr>
            <w:tcW w:w="217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widowControl/>
              <w:wordWrap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有机肥料及微 </w:t>
            </w:r>
          </w:p>
          <w:p>
            <w:pPr>
              <w:widowControl/>
              <w:wordWrap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生物肥料</w:t>
            </w:r>
          </w:p>
        </w:tc>
        <w:tc>
          <w:tcPr>
            <w:tcW w:w="1891"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widowControl/>
              <w:wordWrap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肥料</w:t>
            </w:r>
          </w:p>
        </w:tc>
        <w:tc>
          <w:tcPr>
            <w:tcW w:w="849"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widowControl/>
              <w:wordWrap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1(批)</w:t>
            </w:r>
          </w:p>
        </w:tc>
        <w:tc>
          <w:tcPr>
            <w:tcW w:w="1525"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widowControl/>
              <w:wordWrap w:val="0"/>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详见采购文件</w:t>
            </w:r>
          </w:p>
        </w:tc>
        <w:tc>
          <w:tcPr>
            <w:tcW w:w="1365"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widowControl/>
              <w:wordWrap w:val="0"/>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1,488,014.00 </w:t>
            </w:r>
          </w:p>
        </w:tc>
        <w:tc>
          <w:tcPr>
            <w:tcW w:w="965"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widowControl/>
              <w:wordWrap w:val="0"/>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p>
        </w:tc>
      </w:tr>
    </w:tbl>
    <w:p>
      <w:pPr>
        <w:pStyle w:val="36"/>
        <w:spacing w:before="0" w:beforeAutospacing="0" w:after="0" w:afterAutospacing="0" w:line="400" w:lineRule="exact"/>
        <w:ind w:firstLine="420"/>
        <w:jc w:val="both"/>
        <w:textAlignment w:val="baseline"/>
        <w:rPr>
          <w:rFonts w:hint="eastAsia" w:ascii="宋体" w:hAnsi="宋体" w:eastAsia="宋体" w:cs="宋体"/>
          <w:color w:val="auto"/>
          <w:szCs w:val="24"/>
        </w:rPr>
      </w:pPr>
      <w:r>
        <w:rPr>
          <w:rFonts w:hint="eastAsia" w:ascii="宋体" w:hAnsi="宋体" w:eastAsia="宋体" w:cs="宋体"/>
          <w:color w:val="auto"/>
          <w:szCs w:val="24"/>
          <w:shd w:val="clear" w:color="auto" w:fill="FFFFFF"/>
        </w:rPr>
        <w:t>本合同包不接受联合体投标</w:t>
      </w:r>
    </w:p>
    <w:p>
      <w:pPr>
        <w:pStyle w:val="36"/>
        <w:spacing w:before="0" w:beforeAutospacing="0" w:after="0" w:afterAutospacing="0" w:line="400" w:lineRule="exact"/>
        <w:ind w:firstLine="420"/>
        <w:jc w:val="both"/>
        <w:textAlignment w:val="baseline"/>
        <w:rPr>
          <w:rFonts w:hint="eastAsia" w:ascii="宋体" w:hAnsi="宋体" w:eastAsia="宋体" w:cs="宋体"/>
          <w:color w:val="auto"/>
          <w:szCs w:val="24"/>
        </w:rPr>
      </w:pPr>
      <w:r>
        <w:rPr>
          <w:rFonts w:hint="eastAsia" w:ascii="宋体" w:hAnsi="宋体" w:eastAsia="宋体" w:cs="宋体"/>
          <w:color w:val="auto"/>
          <w:szCs w:val="24"/>
          <w:shd w:val="clear" w:color="auto" w:fill="FFFFFF"/>
        </w:rPr>
        <w:t>合同履行期限：2022-</w:t>
      </w:r>
      <w:r>
        <w:rPr>
          <w:rFonts w:hint="eastAsia" w:ascii="宋体" w:hAnsi="宋体" w:eastAsia="宋体" w:cs="宋体"/>
          <w:color w:val="auto"/>
          <w:szCs w:val="24"/>
          <w:shd w:val="clear" w:color="auto" w:fill="FFFFFF"/>
          <w:lang w:val="en-US" w:eastAsia="zh-CN"/>
        </w:rPr>
        <w:t>09</w:t>
      </w:r>
      <w:r>
        <w:rPr>
          <w:rFonts w:hint="eastAsia" w:ascii="宋体" w:hAnsi="宋体" w:eastAsia="宋体" w:cs="宋体"/>
          <w:color w:val="auto"/>
          <w:szCs w:val="24"/>
          <w:shd w:val="clear" w:color="auto" w:fill="FFFFFF"/>
        </w:rPr>
        <w:t xml:space="preserve">- </w:t>
      </w:r>
      <w:r>
        <w:rPr>
          <w:rFonts w:hint="eastAsia" w:ascii="宋体" w:hAnsi="宋体" w:eastAsia="宋体" w:cs="宋体"/>
          <w:color w:val="auto"/>
          <w:szCs w:val="24"/>
          <w:shd w:val="clear" w:color="auto" w:fill="FFFFFF"/>
          <w:lang w:val="en-US" w:eastAsia="zh-CN"/>
        </w:rPr>
        <w:t xml:space="preserve">13  </w:t>
      </w:r>
      <w:r>
        <w:rPr>
          <w:rFonts w:hint="eastAsia" w:ascii="宋体" w:hAnsi="宋体" w:eastAsia="宋体" w:cs="宋体"/>
          <w:color w:val="auto"/>
          <w:szCs w:val="24"/>
          <w:shd w:val="clear" w:color="auto" w:fill="FFFFFF"/>
        </w:rPr>
        <w:t>00:00:00 至 2022-</w:t>
      </w:r>
      <w:r>
        <w:rPr>
          <w:rFonts w:hint="eastAsia" w:ascii="宋体" w:hAnsi="宋体" w:eastAsia="宋体" w:cs="宋体"/>
          <w:color w:val="auto"/>
          <w:szCs w:val="24"/>
          <w:shd w:val="clear" w:color="auto" w:fill="FFFFFF"/>
          <w:lang w:val="en-US" w:eastAsia="zh-CN"/>
        </w:rPr>
        <w:t>10</w:t>
      </w:r>
      <w:r>
        <w:rPr>
          <w:rFonts w:hint="eastAsia" w:ascii="宋体" w:hAnsi="宋体" w:eastAsia="宋体" w:cs="宋体"/>
          <w:color w:val="auto"/>
          <w:szCs w:val="24"/>
          <w:shd w:val="clear" w:color="auto" w:fill="FFFFFF"/>
        </w:rPr>
        <w:t>-</w:t>
      </w:r>
      <w:r>
        <w:rPr>
          <w:rFonts w:hint="eastAsia" w:ascii="宋体" w:hAnsi="宋体" w:eastAsia="宋体" w:cs="宋体"/>
          <w:color w:val="auto"/>
          <w:szCs w:val="24"/>
          <w:shd w:val="clear" w:color="auto" w:fill="FFFFFF"/>
          <w:lang w:val="en-US" w:eastAsia="zh-CN"/>
        </w:rPr>
        <w:t xml:space="preserve">12 </w:t>
      </w:r>
      <w:r>
        <w:rPr>
          <w:rFonts w:hint="eastAsia" w:ascii="宋体" w:hAnsi="宋体" w:eastAsia="宋体" w:cs="宋体"/>
          <w:color w:val="auto"/>
          <w:szCs w:val="24"/>
          <w:shd w:val="clear" w:color="auto" w:fill="FFFFFF"/>
        </w:rPr>
        <w:t xml:space="preserve"> 00:00:00（具体服务起止日期可随合同签订时间相应顺延）</w:t>
      </w:r>
    </w:p>
    <w:p>
      <w:pPr>
        <w:pStyle w:val="6"/>
        <w:keepNext w:val="0"/>
        <w:keepLines w:val="0"/>
        <w:widowControl/>
        <w:spacing w:before="100" w:after="0" w:line="400" w:lineRule="exact"/>
        <w:jc w:val="left"/>
        <w:textAlignment w:val="baseline"/>
        <w:rPr>
          <w:rFonts w:hint="eastAsia" w:ascii="宋体" w:hAnsi="宋体" w:eastAsia="宋体" w:cs="宋体"/>
          <w:b w:val="0"/>
          <w:color w:val="auto"/>
          <w:sz w:val="24"/>
          <w:szCs w:val="24"/>
        </w:rPr>
      </w:pPr>
      <w:r>
        <w:rPr>
          <w:rStyle w:val="42"/>
          <w:rFonts w:hint="eastAsia" w:ascii="宋体" w:hAnsi="宋体" w:eastAsia="宋体" w:cs="宋体"/>
          <w:b/>
          <w:bCs/>
          <w:color w:val="auto"/>
          <w:sz w:val="24"/>
          <w:szCs w:val="24"/>
          <w:shd w:val="clear" w:color="auto" w:fill="FFFFFF"/>
        </w:rPr>
        <w:t>二、申请人的资格要求：</w:t>
      </w:r>
    </w:p>
    <w:p>
      <w:pPr>
        <w:pStyle w:val="36"/>
        <w:spacing w:before="0" w:beforeAutospacing="0" w:after="0" w:afterAutospacing="0" w:line="400" w:lineRule="exact"/>
        <w:ind w:firstLine="320"/>
        <w:jc w:val="both"/>
        <w:textAlignment w:val="baseline"/>
        <w:rPr>
          <w:rFonts w:hint="eastAsia" w:ascii="宋体" w:hAnsi="宋体" w:eastAsia="宋体" w:cs="宋体"/>
          <w:color w:val="auto"/>
          <w:szCs w:val="24"/>
        </w:rPr>
      </w:pPr>
      <w:r>
        <w:rPr>
          <w:rFonts w:hint="eastAsia" w:ascii="宋体" w:hAnsi="宋体" w:eastAsia="宋体" w:cs="宋体"/>
          <w:color w:val="auto"/>
          <w:szCs w:val="24"/>
          <w:shd w:val="clear" w:color="auto" w:fill="FFFFFF"/>
        </w:rPr>
        <w:t>1.满足《中华人民共和国政府采购法》第二十二条规定;</w:t>
      </w:r>
    </w:p>
    <w:p>
      <w:pPr>
        <w:pStyle w:val="36"/>
        <w:spacing w:before="0" w:beforeAutospacing="0" w:after="0" w:afterAutospacing="0" w:line="400" w:lineRule="exact"/>
        <w:ind w:firstLine="320"/>
        <w:jc w:val="both"/>
        <w:textAlignment w:val="baseline"/>
        <w:rPr>
          <w:rFonts w:hint="eastAsia" w:ascii="宋体" w:hAnsi="宋体" w:eastAsia="宋体" w:cs="宋体"/>
          <w:color w:val="auto"/>
          <w:szCs w:val="24"/>
        </w:rPr>
      </w:pPr>
      <w:r>
        <w:rPr>
          <w:rFonts w:hint="eastAsia" w:ascii="宋体" w:hAnsi="宋体" w:eastAsia="宋体" w:cs="宋体"/>
          <w:color w:val="auto"/>
          <w:szCs w:val="24"/>
          <w:shd w:val="clear" w:color="auto" w:fill="FFFFFF"/>
        </w:rPr>
        <w:t>2.落实政府采购政策需满足的资格要求：</w:t>
      </w:r>
    </w:p>
    <w:p>
      <w:pPr>
        <w:pStyle w:val="36"/>
        <w:spacing w:before="0" w:beforeAutospacing="0" w:after="0" w:afterAutospacing="0" w:line="400" w:lineRule="exact"/>
        <w:ind w:firstLine="320"/>
        <w:jc w:val="both"/>
        <w:textAlignment w:val="baseline"/>
        <w:rPr>
          <w:rFonts w:hint="eastAsia" w:ascii="宋体" w:hAnsi="宋体" w:eastAsia="宋体" w:cs="宋体"/>
          <w:color w:val="auto"/>
          <w:szCs w:val="24"/>
        </w:rPr>
      </w:pPr>
      <w:r>
        <w:rPr>
          <w:rFonts w:hint="eastAsia" w:ascii="宋体" w:hAnsi="宋体" w:eastAsia="宋体" w:cs="宋体"/>
          <w:color w:val="auto"/>
          <w:szCs w:val="24"/>
          <w:shd w:val="clear" w:color="auto" w:fill="FFFFFF"/>
        </w:rPr>
        <w:t>合同包1(镇安县2021年度高标准农田建设地力培肥项目)落实政府采购政策需满足的资格要求如下:</w:t>
      </w:r>
    </w:p>
    <w:p>
      <w:pPr>
        <w:pStyle w:val="36"/>
        <w:spacing w:before="0" w:beforeAutospacing="0" w:after="0" w:afterAutospacing="0" w:line="400" w:lineRule="exact"/>
        <w:ind w:left="320"/>
        <w:jc w:val="both"/>
        <w:textAlignment w:val="baseline"/>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（1）《节能产品政府采购实施意见》（财库〔2004〕185号）；</w:t>
      </w:r>
    </w:p>
    <w:p>
      <w:pPr>
        <w:pStyle w:val="36"/>
        <w:spacing w:before="0" w:beforeAutospacing="0" w:after="0" w:afterAutospacing="0" w:line="400" w:lineRule="exact"/>
        <w:ind w:left="320"/>
        <w:jc w:val="both"/>
        <w:textAlignment w:val="baseline"/>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（2）《环境标志产品政府采购实施的意见》（财库〔2006〕90号）；</w:t>
      </w:r>
    </w:p>
    <w:p>
      <w:pPr>
        <w:pStyle w:val="36"/>
        <w:spacing w:before="0" w:beforeAutospacing="0" w:after="0" w:afterAutospacing="0" w:line="400" w:lineRule="exact"/>
        <w:ind w:left="320"/>
        <w:jc w:val="both"/>
        <w:textAlignment w:val="baseline"/>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（3）《国务院办公厅关于建立政府强制采购节能产品制度的通知》（国办发〔2007〕51号）； </w:t>
      </w:r>
    </w:p>
    <w:p>
      <w:pPr>
        <w:pStyle w:val="36"/>
        <w:spacing w:before="0" w:beforeAutospacing="0" w:after="0" w:afterAutospacing="0" w:line="400" w:lineRule="exact"/>
        <w:ind w:left="320"/>
        <w:jc w:val="both"/>
        <w:textAlignment w:val="baseline"/>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（4）《政府采购促进中小企业发展管理办法》的通知--财库[2020]46号；</w:t>
      </w:r>
    </w:p>
    <w:p>
      <w:pPr>
        <w:pStyle w:val="36"/>
        <w:spacing w:before="0" w:beforeAutospacing="0" w:after="0" w:afterAutospacing="0" w:line="400" w:lineRule="exact"/>
        <w:ind w:left="320"/>
        <w:jc w:val="both"/>
        <w:textAlignment w:val="baseline"/>
        <w:rPr>
          <w:rFonts w:hint="eastAsia" w:ascii="宋体" w:hAnsi="宋体" w:eastAsia="宋体" w:cs="宋体"/>
          <w:color w:val="auto"/>
          <w:szCs w:val="24"/>
          <w:shd w:val="clear" w:color="auto" w:fill="FFFFFF"/>
        </w:rPr>
        <w:sectPr>
          <w:footerReference r:id="rId5" w:type="default"/>
          <w:footnotePr>
            <w:pos w:val="beneathText"/>
          </w:footnotePr>
          <w:pgSz w:w="11906" w:h="16838"/>
          <w:pgMar w:top="1440" w:right="1423" w:bottom="1219" w:left="1644" w:header="720" w:footer="720" w:gutter="0"/>
          <w:pgNumType w:start="1"/>
          <w:cols w:space="720" w:num="1"/>
          <w:docGrid w:linePitch="312" w:charSpace="0"/>
        </w:sectPr>
      </w:pPr>
    </w:p>
    <w:p>
      <w:pPr>
        <w:pStyle w:val="36"/>
        <w:spacing w:before="0" w:beforeAutospacing="0" w:after="0" w:afterAutospacing="0" w:line="400" w:lineRule="exact"/>
        <w:ind w:left="320"/>
        <w:jc w:val="both"/>
        <w:textAlignment w:val="baseline"/>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（5）《财政部司法部关于政府采购支持监狱企业发展有关问题的通知》（财库〔2014〕68号）；</w:t>
      </w:r>
    </w:p>
    <w:p>
      <w:pPr>
        <w:pStyle w:val="36"/>
        <w:spacing w:before="0" w:beforeAutospacing="0" w:after="0" w:afterAutospacing="0" w:line="400" w:lineRule="exact"/>
        <w:ind w:left="320"/>
        <w:jc w:val="both"/>
        <w:textAlignment w:val="baseline"/>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（6）《三部门联合发布关于促进残疾人就业政府采购政策的通知》（财库〔2017〕141号）；</w:t>
      </w:r>
    </w:p>
    <w:p>
      <w:pPr>
        <w:pStyle w:val="36"/>
        <w:spacing w:before="0" w:beforeAutospacing="0" w:after="0" w:afterAutospacing="0" w:line="400" w:lineRule="exact"/>
        <w:ind w:left="320"/>
        <w:jc w:val="both"/>
        <w:textAlignment w:val="baseline"/>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（7）《财政部发展改革委生态环境部 市场监管总局关于调整优化节能产品、环境标志产品政府采购执行机制的通知》（财库〔2019〕9 号）；</w:t>
      </w:r>
    </w:p>
    <w:p>
      <w:pPr>
        <w:pStyle w:val="36"/>
        <w:spacing w:before="0" w:beforeAutospacing="0" w:after="0" w:afterAutospacing="0" w:line="400" w:lineRule="exact"/>
        <w:ind w:left="320"/>
        <w:jc w:val="both"/>
        <w:textAlignment w:val="baseline"/>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（8）陕西省财政厅关于印发《陕西省中小企业政府采购信用融资办法》（陕财办采〔2018〕23号）；</w:t>
      </w:r>
    </w:p>
    <w:p>
      <w:pPr>
        <w:pStyle w:val="36"/>
        <w:spacing w:before="0" w:beforeAutospacing="0" w:after="0" w:afterAutospacing="0" w:line="400" w:lineRule="exact"/>
        <w:ind w:left="320"/>
        <w:jc w:val="both"/>
        <w:textAlignment w:val="baseline"/>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（9）其他需要落实的政府采购政策。</w:t>
      </w:r>
    </w:p>
    <w:p>
      <w:pPr>
        <w:pStyle w:val="36"/>
        <w:spacing w:before="0" w:beforeAutospacing="0" w:after="0" w:afterAutospacing="0" w:line="400" w:lineRule="exact"/>
        <w:ind w:firstLine="320"/>
        <w:jc w:val="both"/>
        <w:textAlignment w:val="baseline"/>
        <w:rPr>
          <w:rFonts w:hint="eastAsia" w:ascii="宋体" w:hAnsi="宋体" w:eastAsia="宋体" w:cs="宋体"/>
          <w:color w:val="auto"/>
          <w:szCs w:val="24"/>
        </w:rPr>
      </w:pPr>
      <w:r>
        <w:rPr>
          <w:rFonts w:hint="eastAsia" w:ascii="宋体" w:hAnsi="宋体" w:eastAsia="宋体" w:cs="宋体"/>
          <w:color w:val="auto"/>
          <w:szCs w:val="24"/>
          <w:shd w:val="clear" w:color="auto" w:fill="FFFFFF"/>
        </w:rPr>
        <w:t>3.本项目的特定资格要求：</w:t>
      </w:r>
    </w:p>
    <w:p>
      <w:pPr>
        <w:pStyle w:val="36"/>
        <w:spacing w:before="0" w:beforeAutospacing="0" w:after="0" w:afterAutospacing="0" w:line="400" w:lineRule="exact"/>
        <w:ind w:firstLine="320"/>
        <w:jc w:val="both"/>
        <w:textAlignment w:val="baseline"/>
        <w:rPr>
          <w:rFonts w:hint="eastAsia" w:ascii="宋体" w:hAnsi="宋体" w:eastAsia="宋体" w:cs="宋体"/>
          <w:color w:val="auto"/>
          <w:szCs w:val="24"/>
        </w:rPr>
      </w:pPr>
      <w:r>
        <w:rPr>
          <w:rFonts w:hint="eastAsia" w:ascii="宋体" w:hAnsi="宋体" w:eastAsia="宋体" w:cs="宋体"/>
          <w:color w:val="auto"/>
          <w:szCs w:val="24"/>
          <w:shd w:val="clear" w:color="auto" w:fill="FFFFFF"/>
        </w:rPr>
        <w:t>合同包1(</w:t>
      </w:r>
      <w:r>
        <w:rPr>
          <w:rFonts w:hint="eastAsia" w:ascii="宋体" w:hAnsi="宋体" w:eastAsia="宋体" w:cs="宋体"/>
          <w:color w:val="auto"/>
          <w:szCs w:val="24"/>
          <w:shd w:val="clear" w:color="auto" w:fill="FFFFFF"/>
          <w:lang w:eastAsia="zh-CN"/>
        </w:rPr>
        <w:t>镇安县</w:t>
      </w:r>
      <w:r>
        <w:rPr>
          <w:rFonts w:hint="eastAsia" w:ascii="宋体" w:hAnsi="宋体" w:eastAsia="宋体" w:cs="宋体"/>
          <w:color w:val="auto"/>
          <w:szCs w:val="24"/>
          <w:shd w:val="clear" w:color="auto" w:fill="FFFFFF"/>
        </w:rPr>
        <w:t>2021年度高标准农田建设地力培肥项目)特定资格要求如下:</w:t>
      </w:r>
    </w:p>
    <w:p>
      <w:pPr>
        <w:pStyle w:val="36"/>
        <w:spacing w:before="0" w:beforeAutospacing="0" w:after="0" w:afterAutospacing="0" w:line="400" w:lineRule="exact"/>
        <w:ind w:left="320"/>
        <w:jc w:val="both"/>
        <w:textAlignment w:val="baseline"/>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（1）法定代表人（负责人）参加磋商的，须出示身份证，法定代表人（负责人）授权他人参加磋商的，须提供法定代表人（负责人）授权委托书（附法定代表人（负责人）、被授权人身份证复印件）；</w:t>
      </w:r>
    </w:p>
    <w:p>
      <w:pPr>
        <w:pStyle w:val="36"/>
        <w:spacing w:before="0" w:beforeAutospacing="0" w:after="0" w:afterAutospacing="0" w:line="400" w:lineRule="exact"/>
        <w:ind w:left="320"/>
        <w:jc w:val="both"/>
        <w:textAlignment w:val="baseline"/>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2）供应商不得列入“信用中国”网站（www.creditchina.gov.cn）失信被执行人名单、税收违法黑名单、政府采购严重违法失信行为当事人名单；不得为中国政府采购网（www.ccgp.gov.cn）政府采购严重违法失信行为记录名单中被财政部门禁止参加政府采购活动的供应商；</w:t>
      </w:r>
    </w:p>
    <w:p>
      <w:pPr>
        <w:pStyle w:val="36"/>
        <w:spacing w:before="0" w:beforeAutospacing="0" w:after="0" w:afterAutospacing="0" w:line="400" w:lineRule="exact"/>
        <w:ind w:left="320"/>
        <w:jc w:val="both"/>
        <w:textAlignment w:val="baseline"/>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（3）供应商为经销商的需要提供所磋商产品的（质量检验合格证明材料）或生产厂家磋商的（需提供企业营业执照、肥料登记证）；</w:t>
      </w:r>
    </w:p>
    <w:p>
      <w:pPr>
        <w:pStyle w:val="36"/>
        <w:spacing w:before="0" w:beforeAutospacing="0" w:after="0" w:afterAutospacing="0" w:line="400" w:lineRule="exact"/>
        <w:ind w:left="320"/>
        <w:jc w:val="both"/>
        <w:textAlignment w:val="baseline"/>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（4）单位负责人为同一人或者存在直接控股、管理关系的不同供应商，不得参加本次采购活动（提供承诺书并加盖供应商公章）；</w:t>
      </w:r>
    </w:p>
    <w:p>
      <w:pPr>
        <w:pStyle w:val="36"/>
        <w:spacing w:before="0" w:beforeAutospacing="0" w:after="0" w:afterAutospacing="0" w:line="400" w:lineRule="exact"/>
        <w:ind w:left="320"/>
        <w:jc w:val="both"/>
        <w:textAlignment w:val="baseline"/>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（5）本项目专门面向中小企业（提供声明函并加盖供应商公章）。</w:t>
      </w:r>
    </w:p>
    <w:p>
      <w:pPr>
        <w:pStyle w:val="6"/>
        <w:keepNext w:val="0"/>
        <w:keepLines w:val="0"/>
        <w:widowControl/>
        <w:spacing w:before="100" w:after="0" w:line="400" w:lineRule="exact"/>
        <w:jc w:val="left"/>
        <w:textAlignment w:val="baseline"/>
        <w:rPr>
          <w:rFonts w:hint="eastAsia" w:ascii="宋体" w:hAnsi="宋体" w:eastAsia="宋体" w:cs="宋体"/>
          <w:b w:val="0"/>
          <w:color w:val="auto"/>
          <w:sz w:val="24"/>
          <w:szCs w:val="24"/>
        </w:rPr>
      </w:pPr>
      <w:r>
        <w:rPr>
          <w:rStyle w:val="42"/>
          <w:rFonts w:hint="eastAsia" w:ascii="宋体" w:hAnsi="宋体" w:eastAsia="宋体" w:cs="宋体"/>
          <w:b/>
          <w:bCs/>
          <w:color w:val="auto"/>
          <w:sz w:val="24"/>
          <w:szCs w:val="24"/>
          <w:shd w:val="clear" w:color="auto" w:fill="FFFFFF"/>
        </w:rPr>
        <w:t>三、获取采购文件</w:t>
      </w:r>
    </w:p>
    <w:p>
      <w:pPr>
        <w:pStyle w:val="36"/>
        <w:spacing w:before="0" w:beforeAutospacing="0" w:after="0" w:afterAutospacing="0" w:line="400" w:lineRule="exact"/>
        <w:ind w:left="320"/>
        <w:jc w:val="both"/>
        <w:textAlignment w:val="baseline"/>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时间:2022年</w:t>
      </w:r>
      <w:r>
        <w:rPr>
          <w:rFonts w:hint="eastAsia" w:ascii="宋体" w:hAnsi="宋体" w:eastAsia="宋体" w:cs="宋体"/>
          <w:color w:val="auto"/>
          <w:szCs w:val="24"/>
          <w:shd w:val="clear" w:color="auto" w:fill="FFFFFF"/>
          <w:lang w:val="en-US" w:eastAsia="zh-CN"/>
        </w:rPr>
        <w:t>08</w:t>
      </w:r>
      <w:r>
        <w:rPr>
          <w:rFonts w:hint="eastAsia" w:ascii="宋体" w:hAnsi="宋体" w:eastAsia="宋体" w:cs="宋体"/>
          <w:color w:val="auto"/>
          <w:szCs w:val="24"/>
          <w:shd w:val="clear" w:color="auto" w:fill="FFFFFF"/>
        </w:rPr>
        <w:t>月</w:t>
      </w:r>
      <w:r>
        <w:rPr>
          <w:rFonts w:hint="eastAsia" w:ascii="宋体" w:hAnsi="宋体" w:eastAsia="宋体" w:cs="宋体"/>
          <w:color w:val="auto"/>
          <w:szCs w:val="24"/>
          <w:shd w:val="clear" w:color="auto" w:fill="FFFFFF"/>
          <w:lang w:val="en-US" w:eastAsia="zh-CN"/>
        </w:rPr>
        <w:t>30</w:t>
      </w:r>
      <w:r>
        <w:rPr>
          <w:rFonts w:hint="eastAsia" w:ascii="宋体" w:hAnsi="宋体" w:eastAsia="宋体" w:cs="宋体"/>
          <w:color w:val="auto"/>
          <w:szCs w:val="24"/>
          <w:shd w:val="clear" w:color="auto" w:fill="FFFFFF"/>
        </w:rPr>
        <w:t>日至2022年</w:t>
      </w:r>
      <w:r>
        <w:rPr>
          <w:rFonts w:hint="eastAsia" w:ascii="宋体" w:hAnsi="宋体" w:eastAsia="宋体" w:cs="宋体"/>
          <w:color w:val="auto"/>
          <w:szCs w:val="24"/>
          <w:shd w:val="clear" w:color="auto" w:fill="FFFFFF"/>
          <w:lang w:val="en-US" w:eastAsia="zh-CN"/>
        </w:rPr>
        <w:t>09</w:t>
      </w:r>
      <w:r>
        <w:rPr>
          <w:rFonts w:hint="eastAsia" w:ascii="宋体" w:hAnsi="宋体" w:eastAsia="宋体" w:cs="宋体"/>
          <w:color w:val="auto"/>
          <w:szCs w:val="24"/>
          <w:shd w:val="clear" w:color="auto" w:fill="FFFFFF"/>
        </w:rPr>
        <w:t>月</w:t>
      </w:r>
      <w:r>
        <w:rPr>
          <w:rFonts w:hint="eastAsia" w:ascii="宋体" w:hAnsi="宋体" w:eastAsia="宋体" w:cs="宋体"/>
          <w:color w:val="auto"/>
          <w:szCs w:val="24"/>
          <w:shd w:val="clear" w:color="auto" w:fill="FFFFFF"/>
          <w:lang w:val="en-US" w:eastAsia="zh-CN"/>
        </w:rPr>
        <w:t>05</w:t>
      </w:r>
      <w:r>
        <w:rPr>
          <w:rFonts w:hint="eastAsia" w:ascii="宋体" w:hAnsi="宋体" w:eastAsia="宋体" w:cs="宋体"/>
          <w:color w:val="auto"/>
          <w:szCs w:val="24"/>
          <w:shd w:val="clear" w:color="auto" w:fill="FFFFFF"/>
        </w:rPr>
        <w:t>日，每天上午09:00:00至12:00:00，下午14:00:00至17:00:00（北京时间,法定节假日除外）</w:t>
      </w:r>
    </w:p>
    <w:p>
      <w:pPr>
        <w:pStyle w:val="36"/>
        <w:spacing w:before="0" w:beforeAutospacing="0" w:after="0" w:afterAutospacing="0" w:line="400" w:lineRule="exact"/>
        <w:ind w:firstLine="320"/>
        <w:jc w:val="both"/>
        <w:textAlignment w:val="baseline"/>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地点：</w:t>
      </w:r>
      <w:r>
        <w:rPr>
          <w:rFonts w:hint="eastAsia" w:ascii="宋体" w:hAnsi="宋体" w:eastAsia="宋体" w:cs="宋体"/>
          <w:color w:val="auto"/>
          <w:szCs w:val="24"/>
          <w:shd w:val="clear" w:color="auto" w:fill="FFFFFF"/>
          <w:lang w:eastAsia="zh-CN"/>
        </w:rPr>
        <w:t>西安市经济技术开发区凤城八路158号保亿隆基中心A座406室</w:t>
      </w:r>
    </w:p>
    <w:p>
      <w:pPr>
        <w:pStyle w:val="36"/>
        <w:spacing w:before="0" w:beforeAutospacing="0" w:after="0" w:afterAutospacing="0" w:line="400" w:lineRule="exact"/>
        <w:ind w:firstLine="320"/>
        <w:jc w:val="both"/>
        <w:textAlignment w:val="baseline"/>
        <w:rPr>
          <w:rFonts w:hint="eastAsia" w:ascii="宋体" w:hAnsi="宋体" w:eastAsia="宋体" w:cs="宋体"/>
          <w:color w:val="auto"/>
          <w:szCs w:val="24"/>
        </w:rPr>
      </w:pPr>
      <w:r>
        <w:rPr>
          <w:rFonts w:hint="eastAsia" w:ascii="宋体" w:hAnsi="宋体" w:eastAsia="宋体" w:cs="宋体"/>
          <w:color w:val="auto"/>
          <w:szCs w:val="24"/>
          <w:shd w:val="clear" w:color="auto" w:fill="FFFFFF"/>
        </w:rPr>
        <w:t>方式：现场获取</w:t>
      </w:r>
    </w:p>
    <w:p>
      <w:pPr>
        <w:pStyle w:val="36"/>
        <w:spacing w:before="0" w:beforeAutospacing="0" w:after="0" w:afterAutospacing="0" w:line="400" w:lineRule="exact"/>
        <w:ind w:firstLine="320"/>
        <w:jc w:val="both"/>
        <w:textAlignment w:val="baseline"/>
        <w:rPr>
          <w:rFonts w:hint="eastAsia" w:ascii="宋体" w:hAnsi="宋体" w:eastAsia="宋体" w:cs="宋体"/>
          <w:color w:val="auto"/>
          <w:szCs w:val="24"/>
        </w:rPr>
      </w:pPr>
      <w:r>
        <w:rPr>
          <w:rFonts w:hint="eastAsia" w:ascii="宋体" w:hAnsi="宋体" w:eastAsia="宋体" w:cs="宋体"/>
          <w:color w:val="auto"/>
          <w:szCs w:val="24"/>
          <w:shd w:val="clear" w:color="auto" w:fill="FFFFFF"/>
        </w:rPr>
        <w:t>售价：500元</w:t>
      </w:r>
    </w:p>
    <w:p>
      <w:pPr>
        <w:pStyle w:val="6"/>
        <w:keepNext w:val="0"/>
        <w:keepLines w:val="0"/>
        <w:widowControl/>
        <w:spacing w:before="100" w:after="0" w:line="400" w:lineRule="exact"/>
        <w:jc w:val="left"/>
        <w:textAlignment w:val="baseline"/>
        <w:rPr>
          <w:rFonts w:hint="eastAsia" w:ascii="宋体" w:hAnsi="宋体" w:eastAsia="宋体" w:cs="宋体"/>
          <w:b w:val="0"/>
          <w:color w:val="auto"/>
          <w:sz w:val="24"/>
          <w:szCs w:val="24"/>
        </w:rPr>
      </w:pPr>
      <w:r>
        <w:rPr>
          <w:rStyle w:val="42"/>
          <w:rFonts w:hint="eastAsia" w:ascii="宋体" w:hAnsi="宋体" w:eastAsia="宋体" w:cs="宋体"/>
          <w:b/>
          <w:bCs/>
          <w:color w:val="auto"/>
          <w:sz w:val="24"/>
          <w:szCs w:val="24"/>
          <w:shd w:val="clear" w:color="auto" w:fill="FFFFFF"/>
        </w:rPr>
        <w:t>四、响应文件提交</w:t>
      </w:r>
    </w:p>
    <w:p>
      <w:pPr>
        <w:pStyle w:val="36"/>
        <w:spacing w:before="0" w:beforeAutospacing="0" w:after="0" w:afterAutospacing="0" w:line="400" w:lineRule="exact"/>
        <w:ind w:firstLine="320"/>
        <w:jc w:val="both"/>
        <w:textAlignment w:val="baseline"/>
        <w:rPr>
          <w:rFonts w:hint="eastAsia" w:ascii="宋体" w:hAnsi="宋体" w:eastAsia="宋体" w:cs="宋体"/>
          <w:color w:val="auto"/>
          <w:szCs w:val="24"/>
        </w:rPr>
      </w:pPr>
      <w:r>
        <w:rPr>
          <w:rFonts w:hint="eastAsia" w:ascii="宋体" w:hAnsi="宋体" w:eastAsia="宋体" w:cs="宋体"/>
          <w:color w:val="auto"/>
          <w:szCs w:val="24"/>
          <w:shd w:val="clear" w:color="auto" w:fill="FFFFFF"/>
        </w:rPr>
        <w:t>截止时间：2022 年</w:t>
      </w:r>
      <w:r>
        <w:rPr>
          <w:rFonts w:hint="eastAsia" w:ascii="宋体" w:hAnsi="宋体" w:eastAsia="宋体" w:cs="宋体"/>
          <w:color w:val="auto"/>
          <w:szCs w:val="24"/>
          <w:shd w:val="clear" w:color="auto" w:fill="FFFFFF"/>
          <w:lang w:val="en-US" w:eastAsia="zh-CN"/>
        </w:rPr>
        <w:t>09</w:t>
      </w:r>
      <w:r>
        <w:rPr>
          <w:rFonts w:hint="eastAsia" w:ascii="宋体" w:hAnsi="宋体" w:eastAsia="宋体" w:cs="宋体"/>
          <w:color w:val="auto"/>
          <w:szCs w:val="24"/>
          <w:shd w:val="clear" w:color="auto" w:fill="FFFFFF"/>
        </w:rPr>
        <w:t>月</w:t>
      </w:r>
      <w:r>
        <w:rPr>
          <w:rFonts w:hint="eastAsia" w:ascii="宋体" w:hAnsi="宋体" w:eastAsia="宋体" w:cs="宋体"/>
          <w:color w:val="auto"/>
          <w:szCs w:val="24"/>
          <w:shd w:val="clear" w:color="auto" w:fill="FFFFFF"/>
          <w:lang w:val="en-US" w:eastAsia="zh-CN"/>
        </w:rPr>
        <w:t>09</w:t>
      </w:r>
      <w:r>
        <w:rPr>
          <w:rFonts w:hint="eastAsia" w:ascii="宋体" w:hAnsi="宋体" w:eastAsia="宋体" w:cs="宋体"/>
          <w:color w:val="auto"/>
          <w:szCs w:val="24"/>
          <w:shd w:val="clear" w:color="auto" w:fill="FFFFFF"/>
        </w:rPr>
        <w:t>日 09时30分00秒（北京时间）</w:t>
      </w:r>
    </w:p>
    <w:p>
      <w:pPr>
        <w:pStyle w:val="36"/>
        <w:spacing w:before="0" w:beforeAutospacing="0" w:after="0" w:afterAutospacing="0" w:line="400" w:lineRule="exact"/>
        <w:ind w:firstLine="320"/>
        <w:jc w:val="both"/>
        <w:textAlignment w:val="baseline"/>
        <w:rPr>
          <w:rFonts w:hint="eastAsia" w:ascii="宋体" w:hAnsi="宋体" w:eastAsia="宋体" w:cs="宋体"/>
          <w:color w:val="auto"/>
          <w:szCs w:val="24"/>
        </w:rPr>
      </w:pPr>
      <w:r>
        <w:rPr>
          <w:rFonts w:hint="eastAsia" w:ascii="宋体" w:hAnsi="宋体" w:eastAsia="宋体" w:cs="宋体"/>
          <w:color w:val="auto"/>
          <w:szCs w:val="24"/>
          <w:shd w:val="clear" w:color="auto" w:fill="FFFFFF"/>
        </w:rPr>
        <w:t>地点：</w:t>
      </w:r>
      <w:r>
        <w:rPr>
          <w:rFonts w:hint="eastAsia" w:ascii="宋体" w:hAnsi="宋体" w:eastAsia="宋体" w:cs="宋体"/>
          <w:color w:val="auto"/>
          <w:szCs w:val="24"/>
          <w:shd w:val="clear" w:color="auto" w:fill="FFFFFF"/>
          <w:lang w:eastAsia="zh-CN"/>
        </w:rPr>
        <w:t>西安市经济技术开发区凤城八路158号保亿隆基中心A座406室</w:t>
      </w:r>
    </w:p>
    <w:p>
      <w:pPr>
        <w:pStyle w:val="6"/>
        <w:keepNext w:val="0"/>
        <w:keepLines w:val="0"/>
        <w:widowControl/>
        <w:spacing w:before="100" w:after="0" w:line="400" w:lineRule="exact"/>
        <w:jc w:val="left"/>
        <w:textAlignment w:val="baseline"/>
        <w:rPr>
          <w:rFonts w:hint="eastAsia" w:ascii="宋体" w:hAnsi="宋体" w:eastAsia="宋体" w:cs="宋体"/>
          <w:b w:val="0"/>
          <w:color w:val="auto"/>
          <w:sz w:val="24"/>
          <w:szCs w:val="24"/>
        </w:rPr>
      </w:pPr>
      <w:r>
        <w:rPr>
          <w:rStyle w:val="42"/>
          <w:rFonts w:hint="eastAsia" w:ascii="宋体" w:hAnsi="宋体" w:eastAsia="宋体" w:cs="宋体"/>
          <w:b/>
          <w:bCs/>
          <w:color w:val="auto"/>
          <w:sz w:val="24"/>
          <w:szCs w:val="24"/>
          <w:shd w:val="clear" w:color="auto" w:fill="FFFFFF"/>
        </w:rPr>
        <w:t>五、开启</w:t>
      </w:r>
    </w:p>
    <w:p>
      <w:pPr>
        <w:pStyle w:val="36"/>
        <w:spacing w:before="0" w:beforeAutospacing="0" w:after="0" w:afterAutospacing="0" w:line="400" w:lineRule="exact"/>
        <w:ind w:firstLine="320"/>
        <w:jc w:val="both"/>
        <w:textAlignment w:val="baseline"/>
        <w:rPr>
          <w:rFonts w:hint="eastAsia" w:ascii="宋体" w:hAnsi="宋体" w:eastAsia="宋体" w:cs="宋体"/>
          <w:color w:val="auto"/>
          <w:szCs w:val="24"/>
        </w:rPr>
      </w:pPr>
      <w:r>
        <w:rPr>
          <w:rFonts w:hint="eastAsia" w:ascii="宋体" w:hAnsi="宋体" w:eastAsia="宋体" w:cs="宋体"/>
          <w:color w:val="auto"/>
          <w:szCs w:val="24"/>
          <w:shd w:val="clear" w:color="auto" w:fill="FFFFFF"/>
        </w:rPr>
        <w:t>时间</w:t>
      </w:r>
      <w:r>
        <w:rPr>
          <w:rFonts w:hint="eastAsia" w:cs="宋体"/>
          <w:color w:val="auto"/>
          <w:szCs w:val="24"/>
          <w:shd w:val="clear" w:color="auto" w:fill="FFFFFF"/>
          <w:lang w:val="en-US" w:eastAsia="zh-CN"/>
        </w:rPr>
        <w:t>:</w:t>
      </w:r>
      <w:bookmarkStart w:id="242" w:name="_GoBack"/>
      <w:bookmarkEnd w:id="242"/>
      <w:r>
        <w:rPr>
          <w:rFonts w:hint="eastAsia" w:ascii="宋体" w:hAnsi="宋体" w:eastAsia="宋体" w:cs="宋体"/>
          <w:color w:val="auto"/>
          <w:szCs w:val="24"/>
          <w:shd w:val="clear" w:color="auto" w:fill="FFFFFF"/>
        </w:rPr>
        <w:t>2022 年</w:t>
      </w:r>
      <w:r>
        <w:rPr>
          <w:rFonts w:hint="eastAsia" w:ascii="宋体" w:hAnsi="宋体" w:eastAsia="宋体" w:cs="宋体"/>
          <w:color w:val="auto"/>
          <w:szCs w:val="24"/>
          <w:shd w:val="clear" w:color="auto" w:fill="FFFFFF"/>
          <w:lang w:val="en-US" w:eastAsia="zh-CN"/>
        </w:rPr>
        <w:t>09</w:t>
      </w:r>
      <w:r>
        <w:rPr>
          <w:rFonts w:hint="eastAsia" w:ascii="宋体" w:hAnsi="宋体" w:eastAsia="宋体" w:cs="宋体"/>
          <w:color w:val="auto"/>
          <w:szCs w:val="24"/>
          <w:shd w:val="clear" w:color="auto" w:fill="FFFFFF"/>
        </w:rPr>
        <w:t>月</w:t>
      </w:r>
      <w:r>
        <w:rPr>
          <w:rFonts w:hint="eastAsia" w:ascii="宋体" w:hAnsi="宋体" w:eastAsia="宋体" w:cs="宋体"/>
          <w:color w:val="auto"/>
          <w:szCs w:val="24"/>
          <w:shd w:val="clear" w:color="auto" w:fill="FFFFFF"/>
          <w:lang w:val="en-US" w:eastAsia="zh-CN"/>
        </w:rPr>
        <w:t>09</w:t>
      </w:r>
      <w:r>
        <w:rPr>
          <w:rFonts w:hint="eastAsia" w:ascii="宋体" w:hAnsi="宋体" w:eastAsia="宋体" w:cs="宋体"/>
          <w:color w:val="auto"/>
          <w:szCs w:val="24"/>
          <w:shd w:val="clear" w:color="auto" w:fill="FFFFFF"/>
        </w:rPr>
        <w:t>日 09时30分00秒（北京时间）</w:t>
      </w:r>
    </w:p>
    <w:p>
      <w:pPr>
        <w:pStyle w:val="36"/>
        <w:spacing w:before="0" w:beforeAutospacing="0" w:after="0" w:afterAutospacing="0" w:line="400" w:lineRule="exact"/>
        <w:ind w:firstLine="320"/>
        <w:jc w:val="both"/>
        <w:textAlignment w:val="baseline"/>
        <w:rPr>
          <w:rFonts w:hint="eastAsia" w:ascii="宋体" w:hAnsi="宋体" w:eastAsia="宋体" w:cs="宋体"/>
          <w:color w:val="auto"/>
          <w:szCs w:val="24"/>
        </w:rPr>
      </w:pPr>
      <w:r>
        <w:rPr>
          <w:rFonts w:hint="eastAsia" w:ascii="宋体" w:hAnsi="宋体" w:eastAsia="宋体" w:cs="宋体"/>
          <w:color w:val="auto"/>
          <w:szCs w:val="24"/>
          <w:shd w:val="clear" w:color="auto" w:fill="FFFFFF"/>
        </w:rPr>
        <w:t>地点：</w:t>
      </w:r>
      <w:r>
        <w:rPr>
          <w:rFonts w:hint="eastAsia" w:ascii="宋体" w:hAnsi="宋体" w:eastAsia="宋体" w:cs="宋体"/>
          <w:color w:val="auto"/>
          <w:szCs w:val="24"/>
          <w:shd w:val="clear" w:color="auto" w:fill="FFFFFF"/>
          <w:lang w:eastAsia="zh-CN"/>
        </w:rPr>
        <w:t>西安市经济技术开发区凤城八路158号保亿隆基中心A座406室</w:t>
      </w:r>
    </w:p>
    <w:p>
      <w:pPr>
        <w:pStyle w:val="6"/>
        <w:keepNext w:val="0"/>
        <w:keepLines w:val="0"/>
        <w:widowControl/>
        <w:spacing w:before="100" w:after="0" w:line="400" w:lineRule="exact"/>
        <w:jc w:val="left"/>
        <w:textAlignment w:val="baseline"/>
        <w:rPr>
          <w:rFonts w:hint="eastAsia" w:ascii="宋体" w:hAnsi="宋体" w:eastAsia="宋体" w:cs="宋体"/>
          <w:b w:val="0"/>
          <w:color w:val="auto"/>
          <w:sz w:val="24"/>
          <w:szCs w:val="24"/>
        </w:rPr>
      </w:pPr>
      <w:r>
        <w:rPr>
          <w:rStyle w:val="42"/>
          <w:rFonts w:hint="eastAsia" w:ascii="宋体" w:hAnsi="宋体" w:eastAsia="宋体" w:cs="宋体"/>
          <w:b/>
          <w:bCs/>
          <w:color w:val="auto"/>
          <w:sz w:val="24"/>
          <w:szCs w:val="24"/>
          <w:shd w:val="clear" w:color="auto" w:fill="FFFFFF"/>
        </w:rPr>
        <w:t>六、公告期限</w:t>
      </w:r>
    </w:p>
    <w:p>
      <w:pPr>
        <w:pStyle w:val="36"/>
        <w:spacing w:before="0" w:beforeAutospacing="0" w:after="0" w:afterAutospacing="0" w:line="400" w:lineRule="exact"/>
        <w:ind w:firstLine="320"/>
        <w:jc w:val="both"/>
        <w:textAlignment w:val="baseline"/>
        <w:rPr>
          <w:rFonts w:hint="eastAsia" w:ascii="宋体" w:hAnsi="宋体" w:eastAsia="宋体" w:cs="宋体"/>
          <w:color w:val="auto"/>
          <w:szCs w:val="24"/>
        </w:rPr>
      </w:pPr>
      <w:r>
        <w:rPr>
          <w:rFonts w:hint="eastAsia" w:ascii="宋体" w:hAnsi="宋体" w:eastAsia="宋体" w:cs="宋体"/>
          <w:color w:val="auto"/>
          <w:szCs w:val="24"/>
          <w:shd w:val="clear" w:color="auto" w:fill="FFFFFF"/>
        </w:rPr>
        <w:t>自本公告发布之日起3个工作日。</w:t>
      </w:r>
    </w:p>
    <w:p>
      <w:pPr>
        <w:pStyle w:val="6"/>
        <w:keepNext w:val="0"/>
        <w:keepLines w:val="0"/>
        <w:widowControl/>
        <w:spacing w:before="100" w:after="0" w:line="400" w:lineRule="exact"/>
        <w:jc w:val="left"/>
        <w:textAlignment w:val="baseline"/>
        <w:rPr>
          <w:rFonts w:hint="eastAsia" w:ascii="宋体" w:hAnsi="宋体" w:eastAsia="宋体" w:cs="宋体"/>
          <w:b w:val="0"/>
          <w:color w:val="auto"/>
          <w:sz w:val="24"/>
          <w:szCs w:val="24"/>
        </w:rPr>
      </w:pPr>
      <w:r>
        <w:rPr>
          <w:rStyle w:val="42"/>
          <w:rFonts w:hint="eastAsia" w:ascii="宋体" w:hAnsi="宋体" w:eastAsia="宋体" w:cs="宋体"/>
          <w:b/>
          <w:bCs/>
          <w:color w:val="auto"/>
          <w:sz w:val="24"/>
          <w:szCs w:val="24"/>
          <w:shd w:val="clear" w:color="auto" w:fill="FFFFFF"/>
        </w:rPr>
        <w:t>七、其他补充事宜</w:t>
      </w:r>
    </w:p>
    <w:p>
      <w:pPr>
        <w:pStyle w:val="36"/>
        <w:spacing w:before="0" w:beforeAutospacing="0" w:after="0" w:afterAutospacing="0" w:line="400" w:lineRule="exact"/>
        <w:ind w:firstLine="320"/>
        <w:jc w:val="both"/>
        <w:textAlignment w:val="baseline"/>
        <w:rPr>
          <w:rFonts w:hint="eastAsia" w:ascii="宋体" w:hAnsi="宋体" w:eastAsia="宋体" w:cs="宋体"/>
          <w:color w:val="auto"/>
          <w:szCs w:val="24"/>
          <w:lang w:eastAsia="zh-CN"/>
        </w:rPr>
      </w:pPr>
      <w:r>
        <w:rPr>
          <w:rFonts w:hint="eastAsia" w:ascii="宋体" w:hAnsi="宋体" w:eastAsia="宋体" w:cs="宋体"/>
          <w:color w:val="auto"/>
          <w:szCs w:val="24"/>
          <w:shd w:val="clear" w:color="auto" w:fill="FFFFFF"/>
        </w:rPr>
        <w:t>本项目开标地点：</w:t>
      </w:r>
      <w:r>
        <w:rPr>
          <w:rFonts w:hint="eastAsia" w:ascii="宋体" w:hAnsi="宋体" w:eastAsia="宋体" w:cs="宋体"/>
          <w:color w:val="auto"/>
          <w:szCs w:val="24"/>
          <w:shd w:val="clear" w:color="auto" w:fill="FFFFFF"/>
          <w:lang w:eastAsia="zh-CN"/>
        </w:rPr>
        <w:t>西安市经济技术开发区凤城八路158号保亿隆基中心A座406室</w:t>
      </w:r>
    </w:p>
    <w:p>
      <w:pPr>
        <w:pStyle w:val="36"/>
        <w:spacing w:before="0" w:beforeAutospacing="0" w:after="0" w:afterAutospacing="0" w:line="400" w:lineRule="exact"/>
        <w:ind w:firstLine="420"/>
        <w:textAlignment w:val="baseline"/>
        <w:rPr>
          <w:rFonts w:hint="eastAsia" w:ascii="宋体" w:hAnsi="宋体" w:eastAsia="宋体" w:cs="宋体"/>
          <w:color w:val="auto"/>
          <w:szCs w:val="24"/>
        </w:rPr>
      </w:pPr>
      <w:r>
        <w:rPr>
          <w:rFonts w:hint="eastAsia" w:ascii="宋体" w:hAnsi="宋体" w:eastAsia="宋体" w:cs="宋体"/>
          <w:color w:val="auto"/>
          <w:szCs w:val="24"/>
          <w:shd w:val="clear" w:color="auto" w:fill="FFFFFF"/>
        </w:rPr>
        <w:t>1、购买采购文件请携带单位介绍信原件、经办人身份证原件及复印件加盖公章。</w:t>
      </w:r>
    </w:p>
    <w:p>
      <w:pPr>
        <w:pStyle w:val="36"/>
        <w:spacing w:before="0" w:beforeAutospacing="0" w:after="0" w:afterAutospacing="0" w:line="400" w:lineRule="exact"/>
        <w:ind w:firstLine="420"/>
        <w:textAlignment w:val="baseline"/>
        <w:rPr>
          <w:rFonts w:hint="eastAsia" w:ascii="宋体" w:hAnsi="宋体" w:eastAsia="宋体" w:cs="宋体"/>
          <w:color w:val="auto"/>
          <w:szCs w:val="24"/>
        </w:rPr>
      </w:pPr>
      <w:r>
        <w:rPr>
          <w:rFonts w:hint="eastAsia" w:ascii="宋体" w:hAnsi="宋体" w:eastAsia="宋体" w:cs="宋体"/>
          <w:color w:val="auto"/>
          <w:szCs w:val="24"/>
          <w:shd w:val="clear" w:color="auto" w:fill="FFFFFF"/>
        </w:rPr>
        <w:t>2、文件费支付方式：现金。</w:t>
      </w:r>
    </w:p>
    <w:p>
      <w:pPr>
        <w:pStyle w:val="36"/>
        <w:spacing w:before="0" w:beforeAutospacing="0" w:after="0" w:afterAutospacing="0" w:line="400" w:lineRule="exact"/>
        <w:ind w:firstLine="420"/>
        <w:textAlignment w:val="baseline"/>
        <w:rPr>
          <w:rFonts w:hint="eastAsia" w:ascii="宋体" w:hAnsi="宋体" w:eastAsia="宋体" w:cs="宋体"/>
          <w:color w:val="auto"/>
          <w:szCs w:val="24"/>
        </w:rPr>
      </w:pPr>
      <w:r>
        <w:rPr>
          <w:rFonts w:hint="eastAsia" w:ascii="宋体" w:hAnsi="宋体" w:eastAsia="宋体" w:cs="宋体"/>
          <w:color w:val="auto"/>
          <w:szCs w:val="24"/>
          <w:shd w:val="clear" w:color="auto" w:fill="FFFFFF"/>
        </w:rPr>
        <w:t>3、供应商应按照《陕西省财政厅关于政府采购供应商注册登记有关事项的通知》的要求，通过陕西省政府采购网（http://www.ccgp-shaanxi.gov.cn/）注册登记加入陕西省政府采购供应商库。</w:t>
      </w:r>
    </w:p>
    <w:p>
      <w:pPr>
        <w:pStyle w:val="6"/>
        <w:keepNext w:val="0"/>
        <w:keepLines w:val="0"/>
        <w:widowControl/>
        <w:spacing w:before="100" w:after="0" w:line="400" w:lineRule="exact"/>
        <w:jc w:val="left"/>
        <w:textAlignment w:val="baseline"/>
        <w:rPr>
          <w:rFonts w:hint="eastAsia" w:ascii="宋体" w:hAnsi="宋体" w:eastAsia="宋体" w:cs="宋体"/>
          <w:b w:val="0"/>
          <w:color w:val="auto"/>
          <w:sz w:val="24"/>
          <w:szCs w:val="24"/>
        </w:rPr>
      </w:pPr>
      <w:r>
        <w:rPr>
          <w:rStyle w:val="42"/>
          <w:rFonts w:hint="eastAsia" w:ascii="宋体" w:hAnsi="宋体" w:eastAsia="宋体" w:cs="宋体"/>
          <w:b/>
          <w:bCs/>
          <w:color w:val="auto"/>
          <w:sz w:val="24"/>
          <w:szCs w:val="24"/>
          <w:shd w:val="clear" w:color="auto" w:fill="FFFFFF"/>
        </w:rPr>
        <w:t>八、凡对本次采购提出询问，请按以下方式联系。</w:t>
      </w:r>
    </w:p>
    <w:p>
      <w:pPr>
        <w:pStyle w:val="8"/>
        <w:keepNext w:val="0"/>
        <w:keepLines w:val="0"/>
        <w:widowControl/>
        <w:spacing w:before="0" w:after="0" w:line="400" w:lineRule="exact"/>
        <w:jc w:val="left"/>
        <w:textAlignment w:val="baseline"/>
        <w:rPr>
          <w:rFonts w:hint="eastAsia" w:ascii="宋体" w:hAnsi="宋体" w:eastAsia="宋体" w:cs="宋体"/>
          <w:b w:val="0"/>
          <w:color w:val="auto"/>
          <w:szCs w:val="24"/>
        </w:rPr>
      </w:pPr>
      <w:r>
        <w:rPr>
          <w:rFonts w:hint="eastAsia" w:ascii="宋体" w:hAnsi="宋体" w:eastAsia="宋体" w:cs="宋体"/>
          <w:b w:val="0"/>
          <w:color w:val="auto"/>
          <w:szCs w:val="24"/>
          <w:shd w:val="clear" w:color="auto" w:fill="FFFFFF"/>
        </w:rPr>
        <w:t>1.采购人信息</w:t>
      </w:r>
    </w:p>
    <w:p>
      <w:pPr>
        <w:pStyle w:val="36"/>
        <w:spacing w:before="0" w:beforeAutospacing="0" w:after="0" w:afterAutospacing="0" w:line="400" w:lineRule="exact"/>
        <w:ind w:firstLine="320"/>
        <w:jc w:val="both"/>
        <w:textAlignment w:val="baseline"/>
        <w:rPr>
          <w:rFonts w:hint="eastAsia" w:ascii="宋体" w:hAnsi="宋体" w:eastAsia="宋体" w:cs="宋体"/>
          <w:color w:val="auto"/>
          <w:szCs w:val="24"/>
        </w:rPr>
      </w:pPr>
      <w:r>
        <w:rPr>
          <w:rFonts w:hint="eastAsia" w:ascii="宋体" w:hAnsi="宋体" w:eastAsia="宋体" w:cs="宋体"/>
          <w:color w:val="auto"/>
          <w:szCs w:val="24"/>
          <w:shd w:val="clear" w:color="auto" w:fill="FFFFFF"/>
        </w:rPr>
        <w:t>名称：镇安县农业农村局</w:t>
      </w:r>
    </w:p>
    <w:p>
      <w:pPr>
        <w:pStyle w:val="36"/>
        <w:spacing w:before="0" w:beforeAutospacing="0" w:after="0" w:afterAutospacing="0" w:line="400" w:lineRule="exact"/>
        <w:ind w:firstLine="320"/>
        <w:jc w:val="both"/>
        <w:textAlignment w:val="baseline"/>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地址：镇安县永乐街道办后街82号</w:t>
      </w:r>
    </w:p>
    <w:p>
      <w:pPr>
        <w:pStyle w:val="36"/>
        <w:spacing w:before="0" w:beforeAutospacing="0" w:after="0" w:afterAutospacing="0" w:line="400" w:lineRule="exact"/>
        <w:ind w:firstLine="320"/>
        <w:jc w:val="both"/>
        <w:textAlignment w:val="baseline"/>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联系方式：0914-5333089</w:t>
      </w:r>
    </w:p>
    <w:p>
      <w:pPr>
        <w:pStyle w:val="8"/>
        <w:keepNext w:val="0"/>
        <w:keepLines w:val="0"/>
        <w:widowControl/>
        <w:spacing w:before="0" w:after="0" w:line="400" w:lineRule="exact"/>
        <w:jc w:val="left"/>
        <w:textAlignment w:val="baseline"/>
        <w:rPr>
          <w:rFonts w:hint="eastAsia" w:ascii="宋体" w:hAnsi="宋体" w:eastAsia="宋体" w:cs="宋体"/>
          <w:b w:val="0"/>
          <w:color w:val="auto"/>
          <w:szCs w:val="24"/>
        </w:rPr>
      </w:pPr>
      <w:r>
        <w:rPr>
          <w:rFonts w:hint="eastAsia" w:ascii="宋体" w:hAnsi="宋体" w:eastAsia="宋体" w:cs="宋体"/>
          <w:b w:val="0"/>
          <w:color w:val="auto"/>
          <w:szCs w:val="24"/>
          <w:shd w:val="clear" w:color="auto" w:fill="FFFFFF"/>
        </w:rPr>
        <w:t>2.采购代理机构信息</w:t>
      </w:r>
    </w:p>
    <w:p>
      <w:pPr>
        <w:pStyle w:val="36"/>
        <w:spacing w:before="0" w:beforeAutospacing="0" w:after="0" w:afterAutospacing="0" w:line="400" w:lineRule="exact"/>
        <w:ind w:firstLine="320"/>
        <w:jc w:val="both"/>
        <w:textAlignment w:val="baseline"/>
        <w:rPr>
          <w:rFonts w:hint="eastAsia" w:ascii="宋体" w:hAnsi="宋体" w:eastAsia="宋体" w:cs="宋体"/>
          <w:color w:val="auto"/>
          <w:szCs w:val="24"/>
        </w:rPr>
      </w:pPr>
      <w:r>
        <w:rPr>
          <w:rFonts w:hint="eastAsia" w:ascii="宋体" w:hAnsi="宋体" w:eastAsia="宋体" w:cs="宋体"/>
          <w:color w:val="auto"/>
          <w:szCs w:val="24"/>
          <w:shd w:val="clear" w:color="auto" w:fill="FFFFFF"/>
        </w:rPr>
        <w:t>名称：中昊泰达咨询集团有限公司</w:t>
      </w:r>
    </w:p>
    <w:p>
      <w:pPr>
        <w:pStyle w:val="36"/>
        <w:spacing w:before="0" w:beforeAutospacing="0" w:after="0" w:afterAutospacing="0" w:line="400" w:lineRule="exact"/>
        <w:ind w:firstLine="320"/>
        <w:jc w:val="both"/>
        <w:textAlignment w:val="baseline"/>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地址：</w:t>
      </w:r>
      <w:r>
        <w:rPr>
          <w:rFonts w:hint="eastAsia" w:ascii="宋体" w:hAnsi="宋体" w:eastAsia="宋体" w:cs="宋体"/>
          <w:color w:val="auto"/>
          <w:szCs w:val="24"/>
          <w:shd w:val="clear" w:color="auto" w:fill="FFFFFF"/>
          <w:lang w:eastAsia="zh-CN"/>
        </w:rPr>
        <w:t>西安市经济技术开发区凤城八路158号保亿隆基中心A座406室</w:t>
      </w:r>
    </w:p>
    <w:p>
      <w:pPr>
        <w:pStyle w:val="36"/>
        <w:spacing w:before="0" w:beforeAutospacing="0" w:after="0" w:afterAutospacing="0" w:line="400" w:lineRule="exact"/>
        <w:ind w:firstLine="320"/>
        <w:jc w:val="both"/>
        <w:textAlignment w:val="baseline"/>
        <w:rPr>
          <w:rFonts w:hint="eastAsia" w:ascii="宋体" w:hAnsi="宋体" w:eastAsia="宋体" w:cs="宋体"/>
          <w:color w:val="auto"/>
          <w:szCs w:val="24"/>
        </w:rPr>
      </w:pPr>
      <w:r>
        <w:rPr>
          <w:rFonts w:hint="eastAsia" w:ascii="宋体" w:hAnsi="宋体" w:eastAsia="宋体" w:cs="宋体"/>
          <w:color w:val="auto"/>
          <w:szCs w:val="24"/>
          <w:shd w:val="clear" w:color="auto" w:fill="FFFFFF"/>
        </w:rPr>
        <w:t>联系方式：18909148782</w:t>
      </w:r>
    </w:p>
    <w:p>
      <w:pPr>
        <w:pStyle w:val="8"/>
        <w:keepNext w:val="0"/>
        <w:keepLines w:val="0"/>
        <w:widowControl/>
        <w:spacing w:before="0" w:after="0" w:line="400" w:lineRule="exact"/>
        <w:jc w:val="left"/>
        <w:textAlignment w:val="baseline"/>
        <w:rPr>
          <w:rFonts w:hint="eastAsia" w:ascii="宋体" w:hAnsi="宋体" w:eastAsia="宋体" w:cs="宋体"/>
          <w:b w:val="0"/>
          <w:color w:val="auto"/>
          <w:szCs w:val="24"/>
        </w:rPr>
      </w:pPr>
      <w:r>
        <w:rPr>
          <w:rFonts w:hint="eastAsia" w:ascii="宋体" w:hAnsi="宋体" w:eastAsia="宋体" w:cs="宋体"/>
          <w:b w:val="0"/>
          <w:color w:val="auto"/>
          <w:szCs w:val="24"/>
          <w:shd w:val="clear" w:color="auto" w:fill="FFFFFF"/>
        </w:rPr>
        <w:t>3.项目联系方式</w:t>
      </w:r>
    </w:p>
    <w:p>
      <w:pPr>
        <w:pStyle w:val="36"/>
        <w:spacing w:before="0" w:beforeAutospacing="0" w:after="0" w:afterAutospacing="0" w:line="400" w:lineRule="exact"/>
        <w:ind w:firstLine="320"/>
        <w:jc w:val="both"/>
        <w:textAlignment w:val="baseline"/>
        <w:rPr>
          <w:rFonts w:hint="eastAsia" w:ascii="宋体" w:hAnsi="宋体" w:eastAsia="宋体" w:cs="宋体"/>
          <w:color w:val="auto"/>
          <w:szCs w:val="24"/>
        </w:rPr>
      </w:pPr>
      <w:r>
        <w:rPr>
          <w:rFonts w:hint="eastAsia" w:ascii="宋体" w:hAnsi="宋体" w:eastAsia="宋体" w:cs="宋体"/>
          <w:color w:val="auto"/>
          <w:szCs w:val="24"/>
          <w:shd w:val="clear" w:color="auto" w:fill="FFFFFF"/>
        </w:rPr>
        <w:t>项目联系人：张俊姣、张晨晨</w:t>
      </w:r>
    </w:p>
    <w:p>
      <w:pPr>
        <w:pStyle w:val="36"/>
        <w:spacing w:before="0" w:beforeAutospacing="0" w:after="0" w:afterAutospacing="0" w:line="400" w:lineRule="exact"/>
        <w:ind w:firstLine="320"/>
        <w:jc w:val="both"/>
        <w:textAlignment w:val="baseline"/>
        <w:rPr>
          <w:rFonts w:hint="eastAsia" w:ascii="宋体" w:hAnsi="宋体" w:eastAsia="宋体" w:cs="宋体"/>
          <w:color w:val="auto"/>
          <w:szCs w:val="24"/>
        </w:rPr>
      </w:pPr>
      <w:r>
        <w:rPr>
          <w:rFonts w:hint="eastAsia" w:ascii="宋体" w:hAnsi="宋体" w:eastAsia="宋体" w:cs="宋体"/>
          <w:color w:val="auto"/>
          <w:szCs w:val="24"/>
          <w:shd w:val="clear" w:color="auto" w:fill="FFFFFF"/>
        </w:rPr>
        <w:t>电话：18909148782</w:t>
      </w:r>
    </w:p>
    <w:p>
      <w:pPr>
        <w:pStyle w:val="36"/>
        <w:spacing w:before="0" w:beforeAutospacing="0" w:after="0" w:afterAutospacing="0" w:line="400" w:lineRule="exact"/>
        <w:ind w:firstLine="320"/>
        <w:jc w:val="right"/>
        <w:textAlignment w:val="baseline"/>
        <w:rPr>
          <w:rFonts w:hint="eastAsia" w:ascii="宋体" w:hAnsi="宋体" w:eastAsia="宋体" w:cs="宋体"/>
          <w:color w:val="auto"/>
          <w:szCs w:val="24"/>
        </w:rPr>
      </w:pPr>
      <w:r>
        <w:rPr>
          <w:rFonts w:hint="eastAsia" w:ascii="宋体" w:hAnsi="宋体" w:eastAsia="宋体" w:cs="宋体"/>
          <w:color w:val="auto"/>
          <w:szCs w:val="24"/>
          <w:shd w:val="clear" w:color="auto" w:fill="FFFFFF"/>
        </w:rPr>
        <w:t>中昊泰达咨询集团有限公司</w:t>
      </w:r>
    </w:p>
    <w:p>
      <w:pPr>
        <w:pStyle w:val="36"/>
        <w:spacing w:before="0" w:beforeAutospacing="0" w:after="0" w:afterAutospacing="0" w:line="400" w:lineRule="exact"/>
        <w:ind w:firstLine="320"/>
        <w:jc w:val="right"/>
        <w:textAlignment w:val="baseline"/>
        <w:rPr>
          <w:rFonts w:hint="eastAsia" w:ascii="宋体" w:hAnsi="宋体" w:eastAsia="宋体" w:cs="宋体"/>
          <w:color w:val="auto"/>
          <w:szCs w:val="24"/>
        </w:rPr>
      </w:pPr>
      <w:r>
        <w:rPr>
          <w:rFonts w:hint="eastAsia" w:ascii="宋体" w:hAnsi="宋体" w:eastAsia="宋体" w:cs="宋体"/>
          <w:color w:val="auto"/>
          <w:szCs w:val="24"/>
          <w:shd w:val="clear" w:color="auto" w:fill="FFFFFF"/>
        </w:rPr>
        <w:t>2022年</w:t>
      </w:r>
      <w:r>
        <w:rPr>
          <w:rFonts w:hint="eastAsia" w:ascii="宋体" w:hAnsi="宋体" w:eastAsia="宋体" w:cs="宋体"/>
          <w:color w:val="auto"/>
          <w:szCs w:val="24"/>
          <w:shd w:val="clear" w:color="auto" w:fill="FFFFFF"/>
          <w:lang w:val="en-US" w:eastAsia="zh-CN"/>
        </w:rPr>
        <w:t>08</w:t>
      </w:r>
      <w:r>
        <w:rPr>
          <w:rFonts w:hint="eastAsia" w:ascii="宋体" w:hAnsi="宋体" w:eastAsia="宋体" w:cs="宋体"/>
          <w:color w:val="auto"/>
          <w:szCs w:val="24"/>
          <w:shd w:val="clear" w:color="auto" w:fill="FFFFFF"/>
        </w:rPr>
        <w:t>月</w:t>
      </w:r>
      <w:r>
        <w:rPr>
          <w:rFonts w:hint="eastAsia" w:ascii="宋体" w:hAnsi="宋体" w:eastAsia="宋体" w:cs="宋体"/>
          <w:color w:val="auto"/>
          <w:szCs w:val="24"/>
          <w:shd w:val="clear" w:color="auto" w:fill="FFFFFF"/>
          <w:lang w:val="en-US" w:eastAsia="zh-CN"/>
        </w:rPr>
        <w:t>29</w:t>
      </w:r>
      <w:r>
        <w:rPr>
          <w:rFonts w:hint="eastAsia" w:ascii="宋体" w:hAnsi="宋体" w:eastAsia="宋体" w:cs="宋体"/>
          <w:color w:val="auto"/>
          <w:szCs w:val="24"/>
          <w:shd w:val="clear" w:color="auto" w:fill="FFFFFF"/>
        </w:rPr>
        <w:t>日</w:t>
      </w:r>
    </w:p>
    <w:p>
      <w:pPr>
        <w:rPr>
          <w:rFonts w:hint="eastAsia" w:ascii="宋体" w:hAnsi="宋体" w:eastAsia="宋体" w:cs="宋体"/>
          <w:color w:val="auto"/>
          <w:sz w:val="36"/>
        </w:rPr>
      </w:pPr>
      <w:r>
        <w:rPr>
          <w:rFonts w:hint="eastAsia" w:ascii="宋体" w:hAnsi="宋体" w:eastAsia="宋体" w:cs="宋体"/>
          <w:color w:val="auto"/>
          <w:sz w:val="36"/>
        </w:rPr>
        <w:br w:type="page"/>
      </w:r>
    </w:p>
    <w:p>
      <w:pPr>
        <w:pStyle w:val="3"/>
        <w:spacing w:line="240" w:lineRule="auto"/>
        <w:jc w:val="center"/>
        <w:rPr>
          <w:rFonts w:hint="eastAsia" w:ascii="宋体" w:hAnsi="宋体" w:eastAsia="宋体" w:cs="宋体"/>
          <w:color w:val="auto"/>
          <w:sz w:val="36"/>
        </w:rPr>
      </w:pPr>
      <w:r>
        <w:rPr>
          <w:rFonts w:hint="eastAsia" w:ascii="宋体" w:hAnsi="宋体" w:eastAsia="宋体" w:cs="宋体"/>
          <w:color w:val="auto"/>
          <w:sz w:val="36"/>
        </w:rPr>
        <w:t>第二部分  供应商须知前附表</w:t>
      </w:r>
      <w:bookmarkEnd w:id="3"/>
      <w:bookmarkEnd w:id="4"/>
    </w:p>
    <w:tbl>
      <w:tblPr>
        <w:tblStyle w:val="39"/>
        <w:tblW w:w="9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785"/>
        <w:gridCol w:w="6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blHeader/>
        </w:trPr>
        <w:tc>
          <w:tcPr>
            <w:tcW w:w="884" w:type="dxa"/>
            <w:vAlign w:val="center"/>
          </w:tcPr>
          <w:p>
            <w:pPr>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785" w:type="dxa"/>
            <w:vAlign w:val="center"/>
          </w:tcPr>
          <w:p>
            <w:pPr>
              <w:jc w:val="center"/>
              <w:rPr>
                <w:rFonts w:hint="eastAsia" w:ascii="宋体" w:hAnsi="宋体" w:eastAsia="宋体" w:cs="宋体"/>
                <w:b/>
                <w:color w:val="auto"/>
                <w:szCs w:val="21"/>
              </w:rPr>
            </w:pPr>
            <w:r>
              <w:rPr>
                <w:rFonts w:hint="eastAsia" w:ascii="宋体" w:hAnsi="宋体" w:eastAsia="宋体" w:cs="宋体"/>
                <w:b/>
                <w:color w:val="auto"/>
                <w:szCs w:val="21"/>
              </w:rPr>
              <w:t>内容</w:t>
            </w:r>
          </w:p>
        </w:tc>
        <w:tc>
          <w:tcPr>
            <w:tcW w:w="6864" w:type="dxa"/>
            <w:vAlign w:val="center"/>
          </w:tcPr>
          <w:p>
            <w:pPr>
              <w:jc w:val="center"/>
              <w:rPr>
                <w:rFonts w:hint="eastAsia" w:ascii="宋体" w:hAnsi="宋体" w:eastAsia="宋体" w:cs="宋体"/>
                <w:b/>
                <w:color w:val="auto"/>
                <w:szCs w:val="21"/>
              </w:rPr>
            </w:pPr>
            <w:r>
              <w:rPr>
                <w:rFonts w:hint="eastAsia" w:ascii="宋体" w:hAnsi="宋体" w:eastAsia="宋体" w:cs="宋体"/>
                <w:b/>
                <w:color w:val="auto"/>
                <w:szCs w:val="21"/>
              </w:rPr>
              <w:t>细 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84" w:type="dxa"/>
            <w:vAlign w:val="center"/>
          </w:tcPr>
          <w:p>
            <w:pPr>
              <w:numPr>
                <w:ilvl w:val="0"/>
                <w:numId w:val="3"/>
              </w:numPr>
              <w:jc w:val="center"/>
              <w:rPr>
                <w:rFonts w:hint="eastAsia" w:ascii="宋体" w:hAnsi="宋体" w:eastAsia="宋体" w:cs="宋体"/>
                <w:color w:val="auto"/>
                <w:szCs w:val="21"/>
              </w:rPr>
            </w:pPr>
          </w:p>
        </w:tc>
        <w:tc>
          <w:tcPr>
            <w:tcW w:w="1785"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采购人</w:t>
            </w:r>
          </w:p>
        </w:tc>
        <w:tc>
          <w:tcPr>
            <w:tcW w:w="6864" w:type="dxa"/>
            <w:vAlign w:val="center"/>
          </w:tcPr>
          <w:p>
            <w:pPr>
              <w:rPr>
                <w:rFonts w:hint="eastAsia" w:ascii="宋体" w:hAnsi="宋体" w:eastAsia="宋体" w:cs="宋体"/>
                <w:color w:val="auto"/>
                <w:szCs w:val="21"/>
              </w:rPr>
            </w:pPr>
            <w:r>
              <w:rPr>
                <w:rFonts w:hint="eastAsia" w:ascii="宋体" w:hAnsi="宋体" w:eastAsia="宋体" w:cs="宋体"/>
                <w:color w:val="auto"/>
                <w:szCs w:val="21"/>
              </w:rPr>
              <w:t>镇安县农业农村局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4" w:type="dxa"/>
            <w:vAlign w:val="center"/>
          </w:tcPr>
          <w:p>
            <w:pPr>
              <w:numPr>
                <w:ilvl w:val="0"/>
                <w:numId w:val="3"/>
              </w:numPr>
              <w:jc w:val="center"/>
              <w:rPr>
                <w:rFonts w:hint="eastAsia" w:ascii="宋体" w:hAnsi="宋体" w:eastAsia="宋体" w:cs="宋体"/>
                <w:color w:val="auto"/>
                <w:szCs w:val="21"/>
              </w:rPr>
            </w:pPr>
          </w:p>
        </w:tc>
        <w:tc>
          <w:tcPr>
            <w:tcW w:w="1785"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采购代理机构</w:t>
            </w:r>
          </w:p>
        </w:tc>
        <w:tc>
          <w:tcPr>
            <w:tcW w:w="6864" w:type="dxa"/>
            <w:vAlign w:val="center"/>
          </w:tcPr>
          <w:p>
            <w:pPr>
              <w:rPr>
                <w:rFonts w:hint="eastAsia" w:ascii="宋体" w:hAnsi="宋体" w:eastAsia="宋体" w:cs="宋体"/>
                <w:color w:val="auto"/>
                <w:szCs w:val="21"/>
              </w:rPr>
            </w:pPr>
            <w:r>
              <w:rPr>
                <w:rFonts w:hint="eastAsia" w:ascii="宋体" w:hAnsi="宋体" w:eastAsia="宋体" w:cs="宋体"/>
                <w:color w:val="auto"/>
                <w:szCs w:val="21"/>
              </w:rPr>
              <w:t>中昊泰达咨询集团有限公司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84" w:type="dxa"/>
            <w:vAlign w:val="center"/>
          </w:tcPr>
          <w:p>
            <w:pPr>
              <w:numPr>
                <w:ilvl w:val="0"/>
                <w:numId w:val="3"/>
              </w:numPr>
              <w:jc w:val="center"/>
              <w:rPr>
                <w:rFonts w:hint="eastAsia" w:ascii="宋体" w:hAnsi="宋体" w:eastAsia="宋体" w:cs="宋体"/>
                <w:color w:val="auto"/>
                <w:szCs w:val="21"/>
              </w:rPr>
            </w:pPr>
          </w:p>
        </w:tc>
        <w:tc>
          <w:tcPr>
            <w:tcW w:w="1785"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项目概况</w:t>
            </w:r>
          </w:p>
        </w:tc>
        <w:tc>
          <w:tcPr>
            <w:tcW w:w="6864" w:type="dxa"/>
            <w:vAlign w:val="center"/>
          </w:tcPr>
          <w:p>
            <w:pPr>
              <w:rPr>
                <w:rFonts w:hint="eastAsia" w:ascii="宋体" w:hAnsi="宋体" w:eastAsia="宋体" w:cs="宋体"/>
                <w:color w:val="auto"/>
                <w:szCs w:val="21"/>
              </w:rPr>
            </w:pPr>
            <w:r>
              <w:rPr>
                <w:rFonts w:hint="eastAsia" w:ascii="宋体" w:hAnsi="宋体" w:eastAsia="宋体" w:cs="宋体"/>
                <w:color w:val="auto"/>
                <w:szCs w:val="21"/>
              </w:rPr>
              <w:t>镇安县2021年度高标准农田建设地力培肥项目，在永乐街道办、米粮西口回族、青铜关、高峰5个镇(办)21个村实施物化补贴（有机肥），以及每村制作一个施肥建议卡，配置</w:t>
            </w:r>
            <w:r>
              <w:rPr>
                <w:rFonts w:hint="eastAsia" w:ascii="宋体" w:hAnsi="宋体" w:eastAsia="宋体" w:cs="宋体"/>
                <w:color w:val="auto"/>
                <w:szCs w:val="21"/>
                <w:lang w:eastAsia="zh-CN"/>
              </w:rPr>
              <w:t>两</w:t>
            </w:r>
            <w:r>
              <w:rPr>
                <w:rFonts w:hint="eastAsia" w:ascii="宋体" w:hAnsi="宋体" w:eastAsia="宋体" w:cs="宋体"/>
                <w:color w:val="auto"/>
                <w:szCs w:val="21"/>
              </w:rPr>
              <w:t>台秸秆还田机械装备（秸秆粉碎机）。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84" w:type="dxa"/>
            <w:vAlign w:val="center"/>
          </w:tcPr>
          <w:p>
            <w:pPr>
              <w:numPr>
                <w:ilvl w:val="0"/>
                <w:numId w:val="3"/>
              </w:numPr>
              <w:jc w:val="center"/>
              <w:rPr>
                <w:rFonts w:hint="eastAsia" w:ascii="宋体" w:hAnsi="宋体" w:eastAsia="宋体" w:cs="宋体"/>
                <w:color w:val="auto"/>
                <w:szCs w:val="21"/>
              </w:rPr>
            </w:pPr>
          </w:p>
        </w:tc>
        <w:tc>
          <w:tcPr>
            <w:tcW w:w="1785"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6864" w:type="dxa"/>
            <w:vAlign w:val="center"/>
          </w:tcPr>
          <w:p>
            <w:pPr>
              <w:rPr>
                <w:rFonts w:hint="eastAsia" w:ascii="宋体" w:hAnsi="宋体" w:eastAsia="宋体" w:cs="宋体"/>
                <w:color w:val="auto"/>
                <w:szCs w:val="21"/>
              </w:rPr>
            </w:pPr>
            <w:r>
              <w:rPr>
                <w:rFonts w:hint="eastAsia" w:ascii="宋体" w:hAnsi="宋体" w:eastAsia="宋体" w:cs="宋体"/>
                <w:color w:val="auto"/>
                <w:szCs w:val="21"/>
              </w:rPr>
              <w:t>镇安县2021年度高标准农田建设地力培肥项目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84" w:type="dxa"/>
            <w:vAlign w:val="center"/>
          </w:tcPr>
          <w:p>
            <w:pPr>
              <w:numPr>
                <w:ilvl w:val="0"/>
                <w:numId w:val="3"/>
              </w:numPr>
              <w:jc w:val="center"/>
              <w:rPr>
                <w:rFonts w:hint="eastAsia" w:ascii="宋体" w:hAnsi="宋体" w:eastAsia="宋体" w:cs="宋体"/>
                <w:color w:val="auto"/>
                <w:szCs w:val="21"/>
              </w:rPr>
            </w:pPr>
          </w:p>
        </w:tc>
        <w:tc>
          <w:tcPr>
            <w:tcW w:w="1785"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资金来源</w:t>
            </w:r>
          </w:p>
        </w:tc>
        <w:tc>
          <w:tcPr>
            <w:tcW w:w="6864" w:type="dxa"/>
            <w:vAlign w:val="center"/>
          </w:tcPr>
          <w:p>
            <w:pPr>
              <w:ind w:left="-3" w:leftChars="-9" w:hanging="16" w:hangingChars="8"/>
              <w:rPr>
                <w:rFonts w:hint="eastAsia" w:ascii="宋体" w:hAnsi="宋体" w:eastAsia="宋体" w:cs="宋体"/>
                <w:color w:val="auto"/>
                <w:szCs w:val="21"/>
              </w:rPr>
            </w:pPr>
            <w:r>
              <w:rPr>
                <w:rFonts w:hint="eastAsia" w:ascii="宋体" w:hAnsi="宋体" w:eastAsia="宋体" w:cs="宋体"/>
                <w:color w:val="auto"/>
                <w:szCs w:val="21"/>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884" w:type="dxa"/>
            <w:vAlign w:val="center"/>
          </w:tcPr>
          <w:p>
            <w:pPr>
              <w:numPr>
                <w:ilvl w:val="0"/>
                <w:numId w:val="3"/>
              </w:numPr>
              <w:jc w:val="center"/>
              <w:rPr>
                <w:rFonts w:hint="eastAsia" w:ascii="宋体" w:hAnsi="宋体" w:eastAsia="宋体" w:cs="宋体"/>
                <w:color w:val="auto"/>
                <w:szCs w:val="21"/>
              </w:rPr>
            </w:pPr>
          </w:p>
        </w:tc>
        <w:tc>
          <w:tcPr>
            <w:tcW w:w="1785"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采购内容</w:t>
            </w:r>
          </w:p>
        </w:tc>
        <w:tc>
          <w:tcPr>
            <w:tcW w:w="6864" w:type="dxa"/>
            <w:vAlign w:val="center"/>
          </w:tcPr>
          <w:p>
            <w:pPr>
              <w:adjustRightInd w:val="0"/>
              <w:snapToGrid w:val="0"/>
              <w:rPr>
                <w:rFonts w:hint="eastAsia" w:ascii="宋体" w:hAnsi="宋体" w:eastAsia="宋体" w:cs="宋体"/>
                <w:color w:val="auto"/>
                <w:szCs w:val="21"/>
              </w:rPr>
            </w:pPr>
            <w:r>
              <w:rPr>
                <w:rFonts w:hint="eastAsia" w:ascii="宋体" w:hAnsi="宋体" w:eastAsia="宋体" w:cs="宋体"/>
                <w:color w:val="auto"/>
                <w:szCs w:val="21"/>
              </w:rPr>
              <w:t>详见磋商文件第七部分采购内容及要求。</w:t>
            </w:r>
          </w:p>
          <w:p>
            <w:pPr>
              <w:adjustRightInd w:val="0"/>
              <w:snapToGrid w:val="0"/>
              <w:rPr>
                <w:rFonts w:hint="eastAsia" w:ascii="宋体" w:hAnsi="宋体" w:eastAsia="宋体" w:cs="宋体"/>
                <w:color w:val="auto"/>
                <w:szCs w:val="21"/>
              </w:rPr>
            </w:pPr>
            <w:r>
              <w:rPr>
                <w:rFonts w:hint="eastAsia" w:ascii="宋体" w:hAnsi="宋体" w:eastAsia="宋体" w:cs="宋体"/>
                <w:color w:val="auto"/>
                <w:szCs w:val="21"/>
              </w:rPr>
              <w:t>本次采购内容、磋商报价、评审和合同授予均以项目为单位，供应商必须就一个完整项目进行响应，不完整的磋商将被拒绝。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84" w:type="dxa"/>
            <w:vAlign w:val="center"/>
          </w:tcPr>
          <w:p>
            <w:pPr>
              <w:numPr>
                <w:ilvl w:val="0"/>
                <w:numId w:val="3"/>
              </w:numPr>
              <w:jc w:val="center"/>
              <w:rPr>
                <w:rFonts w:hint="eastAsia" w:ascii="宋体" w:hAnsi="宋体" w:eastAsia="宋体" w:cs="宋体"/>
                <w:color w:val="auto"/>
                <w:szCs w:val="21"/>
              </w:rPr>
            </w:pPr>
          </w:p>
        </w:tc>
        <w:tc>
          <w:tcPr>
            <w:tcW w:w="1785"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交货地点</w:t>
            </w:r>
          </w:p>
        </w:tc>
        <w:tc>
          <w:tcPr>
            <w:tcW w:w="6864" w:type="dxa"/>
            <w:vAlign w:val="center"/>
          </w:tcPr>
          <w:p>
            <w:pPr>
              <w:rPr>
                <w:rFonts w:hint="eastAsia" w:ascii="宋体" w:hAnsi="宋体" w:eastAsia="宋体" w:cs="宋体"/>
                <w:color w:val="auto"/>
                <w:szCs w:val="21"/>
              </w:rPr>
            </w:pPr>
            <w:r>
              <w:rPr>
                <w:rFonts w:hint="eastAsia" w:ascii="宋体" w:hAnsi="宋体" w:eastAsia="宋体" w:cs="宋体"/>
                <w:color w:val="auto"/>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84" w:type="dxa"/>
            <w:vAlign w:val="center"/>
          </w:tcPr>
          <w:p>
            <w:pPr>
              <w:numPr>
                <w:ilvl w:val="0"/>
                <w:numId w:val="3"/>
              </w:numPr>
              <w:jc w:val="center"/>
              <w:rPr>
                <w:rFonts w:hint="eastAsia" w:ascii="宋体" w:hAnsi="宋体" w:eastAsia="宋体" w:cs="宋体"/>
                <w:color w:val="auto"/>
                <w:szCs w:val="21"/>
              </w:rPr>
            </w:pPr>
          </w:p>
        </w:tc>
        <w:tc>
          <w:tcPr>
            <w:tcW w:w="1785"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采购预算</w:t>
            </w:r>
          </w:p>
        </w:tc>
        <w:tc>
          <w:tcPr>
            <w:tcW w:w="6864" w:type="dxa"/>
            <w:vAlign w:val="center"/>
          </w:tcPr>
          <w:p>
            <w:pPr>
              <w:widowControl/>
              <w:tabs>
                <w:tab w:val="left" w:pos="1620"/>
              </w:tabs>
              <w:wordWrap w:val="0"/>
              <w:ind w:right="-334" w:rightChars="-159"/>
              <w:rPr>
                <w:rFonts w:hint="eastAsia" w:ascii="宋体" w:hAnsi="宋体" w:eastAsia="宋体" w:cs="宋体"/>
                <w:color w:val="auto"/>
                <w:szCs w:val="21"/>
              </w:rPr>
            </w:pPr>
            <w:r>
              <w:rPr>
                <w:rFonts w:hint="eastAsia" w:ascii="宋体" w:hAnsi="宋体" w:eastAsia="宋体" w:cs="宋体"/>
                <w:color w:val="auto"/>
                <w:szCs w:val="21"/>
              </w:rPr>
              <w:t>1,488,014.00 元。超过本项目采购预算的报价为无效报价。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84" w:type="dxa"/>
            <w:vAlign w:val="center"/>
          </w:tcPr>
          <w:p>
            <w:pPr>
              <w:numPr>
                <w:ilvl w:val="0"/>
                <w:numId w:val="3"/>
              </w:numPr>
              <w:jc w:val="center"/>
              <w:rPr>
                <w:rFonts w:hint="eastAsia" w:ascii="宋体" w:hAnsi="宋体" w:eastAsia="宋体" w:cs="宋体"/>
                <w:color w:val="auto"/>
                <w:szCs w:val="21"/>
              </w:rPr>
            </w:pPr>
          </w:p>
        </w:tc>
        <w:tc>
          <w:tcPr>
            <w:tcW w:w="1785"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交货期</w:t>
            </w:r>
          </w:p>
        </w:tc>
        <w:tc>
          <w:tcPr>
            <w:tcW w:w="6864" w:type="dxa"/>
            <w:vAlign w:val="center"/>
          </w:tcPr>
          <w:p>
            <w:pPr>
              <w:widowControl/>
              <w:tabs>
                <w:tab w:val="left" w:pos="1620"/>
              </w:tabs>
              <w:wordWrap w:val="0"/>
              <w:ind w:right="-334" w:rightChars="-159"/>
              <w:rPr>
                <w:rFonts w:hint="eastAsia" w:ascii="宋体" w:hAnsi="宋体" w:eastAsia="宋体" w:cs="宋体"/>
                <w:color w:val="auto"/>
                <w:szCs w:val="21"/>
              </w:rPr>
            </w:pPr>
            <w:r>
              <w:rPr>
                <w:rFonts w:hint="eastAsia" w:ascii="宋体" w:hAnsi="宋体" w:eastAsia="宋体" w:cs="宋体"/>
                <w:color w:val="auto"/>
                <w:szCs w:val="21"/>
                <w:lang w:val="en-US" w:eastAsia="zh-CN"/>
              </w:rPr>
              <w:t>30</w:t>
            </w:r>
            <w:r>
              <w:rPr>
                <w:rFonts w:hint="eastAsia" w:ascii="宋体" w:hAnsi="宋体" w:eastAsia="宋体" w:cs="宋体"/>
                <w:color w:val="auto"/>
                <w:szCs w:val="21"/>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84" w:type="dxa"/>
            <w:vAlign w:val="center"/>
          </w:tcPr>
          <w:p>
            <w:pPr>
              <w:numPr>
                <w:ilvl w:val="0"/>
                <w:numId w:val="3"/>
              </w:numPr>
              <w:jc w:val="center"/>
              <w:rPr>
                <w:rFonts w:hint="eastAsia" w:ascii="宋体" w:hAnsi="宋体" w:eastAsia="宋体" w:cs="宋体"/>
                <w:color w:val="auto"/>
                <w:szCs w:val="21"/>
              </w:rPr>
            </w:pPr>
          </w:p>
        </w:tc>
        <w:tc>
          <w:tcPr>
            <w:tcW w:w="1785"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6864" w:type="dxa"/>
            <w:vAlign w:val="center"/>
          </w:tcPr>
          <w:p>
            <w:pPr>
              <w:widowControl/>
              <w:tabs>
                <w:tab w:val="left" w:pos="1620"/>
              </w:tabs>
              <w:wordWrap w:val="0"/>
              <w:ind w:right="-334" w:rightChars="-15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根据项目完成进度拨付资金，合同签订后预付合同总额的30%预付金，完成成全部建设任务，项目建设单位验收合格后，付余款70%资金。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4" w:type="dxa"/>
            <w:vAlign w:val="center"/>
          </w:tcPr>
          <w:p>
            <w:pPr>
              <w:numPr>
                <w:ilvl w:val="0"/>
                <w:numId w:val="3"/>
              </w:numPr>
              <w:jc w:val="center"/>
              <w:rPr>
                <w:rFonts w:hint="eastAsia" w:ascii="宋体" w:hAnsi="宋体" w:eastAsia="宋体" w:cs="宋体"/>
                <w:color w:val="auto"/>
                <w:szCs w:val="21"/>
              </w:rPr>
            </w:pPr>
          </w:p>
        </w:tc>
        <w:tc>
          <w:tcPr>
            <w:tcW w:w="1785"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合同签订</w:t>
            </w:r>
          </w:p>
        </w:tc>
        <w:tc>
          <w:tcPr>
            <w:tcW w:w="6864" w:type="dxa"/>
            <w:vAlign w:val="center"/>
          </w:tcPr>
          <w:p>
            <w:pPr>
              <w:rPr>
                <w:rFonts w:hint="eastAsia" w:ascii="宋体" w:hAnsi="宋体" w:eastAsia="宋体" w:cs="宋体"/>
                <w:color w:val="auto"/>
                <w:szCs w:val="21"/>
              </w:rPr>
            </w:pPr>
            <w:r>
              <w:rPr>
                <w:rFonts w:hint="eastAsia" w:ascii="宋体" w:hAnsi="宋体" w:eastAsia="宋体" w:cs="宋体"/>
                <w:color w:val="auto"/>
                <w:szCs w:val="21"/>
              </w:rPr>
              <w:t>成交通知书发出后10个工作日内采购人与成交供应商依据磋商文件、补充文件、响应文件等技术文件签订合同。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84" w:type="dxa"/>
            <w:vAlign w:val="center"/>
          </w:tcPr>
          <w:p>
            <w:pPr>
              <w:numPr>
                <w:ilvl w:val="0"/>
                <w:numId w:val="3"/>
              </w:numPr>
              <w:jc w:val="center"/>
              <w:rPr>
                <w:rFonts w:hint="eastAsia" w:ascii="宋体" w:hAnsi="宋体" w:eastAsia="宋体" w:cs="宋体"/>
                <w:color w:val="auto"/>
                <w:szCs w:val="21"/>
              </w:rPr>
            </w:pPr>
          </w:p>
        </w:tc>
        <w:tc>
          <w:tcPr>
            <w:tcW w:w="1785"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磋商保证金</w:t>
            </w:r>
          </w:p>
        </w:tc>
        <w:tc>
          <w:tcPr>
            <w:tcW w:w="6864" w:type="dxa"/>
            <w:vAlign w:val="center"/>
          </w:tcPr>
          <w:p>
            <w:pPr>
              <w:pStyle w:val="194"/>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供应商采用支票、电汇、转账或者金融机构、担保机构出具的保函等非现金形式提交，有效期为磋商之日起90日历日，且确保在磋商响应文件提交截止时间前到达代理机构指定账户。</w:t>
            </w:r>
          </w:p>
          <w:p>
            <w:pPr>
              <w:pStyle w:val="194"/>
              <w:spacing w:line="360" w:lineRule="auto"/>
              <w:ind w:firstLine="0" w:firstLineChars="0"/>
              <w:rPr>
                <w:rFonts w:hint="eastAsia" w:ascii="宋体" w:hAnsi="宋体" w:eastAsia="宋体" w:cs="宋体"/>
                <w:color w:val="auto"/>
                <w:szCs w:val="21"/>
              </w:rPr>
            </w:pPr>
            <w:r>
              <w:rPr>
                <w:rFonts w:hint="eastAsia" w:ascii="宋体" w:hAnsi="宋体" w:eastAsia="宋体" w:cs="宋体"/>
                <w:color w:val="auto"/>
                <w:szCs w:val="21"/>
              </w:rPr>
              <w:t>金    额：人民币贰万元整（¥20000.00元）</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接受投标保证金单位名称：中昊泰达咨询集团有限公司</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开户行名称：招商银行股份有限公司西安文景路支行</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账号：129913618710606</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转账事由：</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项目磋商保证金</w:t>
            </w:r>
          </w:p>
          <w:p>
            <w:pPr>
              <w:pStyle w:val="2"/>
              <w:spacing w:line="360" w:lineRule="auto"/>
              <w:ind w:firstLine="0"/>
              <w:jc w:val="both"/>
              <w:rPr>
                <w:rFonts w:hint="eastAsia" w:ascii="宋体" w:hAnsi="宋体" w:eastAsia="宋体" w:cs="宋体"/>
                <w:color w:val="auto"/>
                <w:szCs w:val="21"/>
              </w:rPr>
            </w:pPr>
            <w:r>
              <w:rPr>
                <w:rFonts w:hint="eastAsia" w:ascii="宋体" w:hAnsi="宋体" w:eastAsia="宋体" w:cs="宋体"/>
                <w:color w:val="auto"/>
                <w:szCs w:val="21"/>
              </w:rPr>
              <w:t>响应文件中须附磋商保证金缴纳凭证复印件加盖公章。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84" w:type="dxa"/>
            <w:vAlign w:val="center"/>
          </w:tcPr>
          <w:p>
            <w:pPr>
              <w:numPr>
                <w:ilvl w:val="0"/>
                <w:numId w:val="3"/>
              </w:numPr>
              <w:jc w:val="center"/>
              <w:rPr>
                <w:rFonts w:hint="eastAsia" w:ascii="宋体" w:hAnsi="宋体" w:eastAsia="宋体" w:cs="宋体"/>
                <w:color w:val="auto"/>
                <w:szCs w:val="21"/>
              </w:rPr>
            </w:pPr>
          </w:p>
        </w:tc>
        <w:tc>
          <w:tcPr>
            <w:tcW w:w="1785"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磋商有效期</w:t>
            </w:r>
          </w:p>
        </w:tc>
        <w:tc>
          <w:tcPr>
            <w:tcW w:w="6864" w:type="dxa"/>
            <w:vAlign w:val="center"/>
          </w:tcPr>
          <w:p>
            <w:pPr>
              <w:spacing w:line="360" w:lineRule="auto"/>
              <w:rPr>
                <w:rFonts w:hint="eastAsia" w:ascii="宋体" w:hAnsi="宋体" w:eastAsia="宋体" w:cs="宋体"/>
                <w:color w:val="auto"/>
                <w:szCs w:val="21"/>
              </w:rPr>
            </w:pPr>
            <w:r>
              <w:rPr>
                <w:rFonts w:hint="eastAsia" w:ascii="宋体" w:hAnsi="宋体" w:eastAsia="宋体" w:cs="宋体"/>
                <w:color w:val="auto"/>
                <w:szCs w:val="21"/>
              </w:rPr>
              <w:t>自磋商文件递交截止时间起，有效期为90日历日。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84" w:type="dxa"/>
            <w:vAlign w:val="center"/>
          </w:tcPr>
          <w:p>
            <w:pPr>
              <w:numPr>
                <w:ilvl w:val="0"/>
                <w:numId w:val="3"/>
              </w:numPr>
              <w:jc w:val="center"/>
              <w:rPr>
                <w:rFonts w:hint="eastAsia" w:ascii="宋体" w:hAnsi="宋体" w:eastAsia="宋体" w:cs="宋体"/>
                <w:color w:val="auto"/>
                <w:szCs w:val="21"/>
              </w:rPr>
            </w:pPr>
          </w:p>
        </w:tc>
        <w:tc>
          <w:tcPr>
            <w:tcW w:w="1785"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资质要求</w:t>
            </w:r>
          </w:p>
        </w:tc>
        <w:tc>
          <w:tcPr>
            <w:tcW w:w="6864" w:type="dxa"/>
            <w:vAlign w:val="center"/>
          </w:tcPr>
          <w:p>
            <w:pPr>
              <w:spacing w:line="360" w:lineRule="auto"/>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1、基本资格条件：</w:t>
            </w:r>
            <w:r>
              <w:rPr>
                <w:rFonts w:hint="eastAsia" w:ascii="宋体" w:hAnsi="宋体" w:eastAsia="宋体" w:cs="宋体"/>
                <w:color w:val="auto"/>
                <w:szCs w:val="21"/>
              </w:rPr>
              <w:t>符合《中华人民共和国政府采购法》第二十二条规定：</w:t>
            </w:r>
          </w:p>
          <w:p>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szCs w:val="21"/>
              </w:rPr>
              <w:t>（</w:t>
            </w:r>
            <w:r>
              <w:rPr>
                <w:rFonts w:hint="eastAsia" w:ascii="宋体" w:hAnsi="宋体" w:eastAsia="宋体" w:cs="宋体"/>
                <w:color w:val="auto"/>
                <w:kern w:val="0"/>
                <w:szCs w:val="21"/>
              </w:rPr>
              <w:t>1）具有独立承担民事责任的能力：提供供应商合法注册的法人或其他组织的营业执照/事业单位法人证书/非企业专业服务机构执业许可证/民办非企业单位登记证书/自然人提供身份证明（提供复印件并加盖供应商公章）。</w:t>
            </w:r>
          </w:p>
          <w:p>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 xml:space="preserve">（2）具有良好的商业信誉和健全的财务会计制度：提供2021年度经审计的财务审计报告，成立时间至提交响应文件截止时间不足一年的可提供成立后任意时段的资产负债表，或其基本存款账户开户银行出具的资信证明（提供复印件并加盖供应商公章）。 </w:t>
            </w:r>
          </w:p>
          <w:p>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（3）具有履行合同所必需的设备和专业技术能力：提供承诺书并加盖供应商公章。</w:t>
            </w:r>
          </w:p>
          <w:p>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4）有依法缴纳税收和社会保障资金的良好记录：①税收缴纳证明：法人提供响应文件截止时间前一年内至少一个月已缴纳的增值税或企业所得税的凭据；其他组织和自然人提供响应文件截止时间前一年内至少一个月缴纳税收的凭据；依法免税的供应商应提供相关文件证明（提供复印件并加盖供应商公章）；②社会保障资金缴纳证明：提供响应文件截止时间前一年内至少一个月已缴纳的社会保障资金的凭据（专用收据或社会保险缴纳清单）；依法不需要缴纳社会保障资金的供应商应提供相关文件证明（提供复印件并加盖供应商公章）。</w:t>
            </w:r>
          </w:p>
          <w:p>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 xml:space="preserve">（5）参加政府采购活动前三年内，在经营活动中没有重大违法记录：提供书面声明并加盖供应商公章。 </w:t>
            </w:r>
          </w:p>
          <w:p>
            <w:pPr>
              <w:spacing w:line="360" w:lineRule="auto"/>
              <w:ind w:firstLine="422" w:firstLineChars="200"/>
              <w:rPr>
                <w:rFonts w:hint="eastAsia" w:ascii="宋体" w:hAnsi="宋体" w:eastAsia="宋体" w:cs="宋体"/>
                <w:b/>
                <w:bCs/>
                <w:color w:val="auto"/>
                <w:kern w:val="0"/>
                <w:szCs w:val="21"/>
              </w:rPr>
            </w:pPr>
            <w:r>
              <w:rPr>
                <w:rFonts w:hint="eastAsia" w:ascii="宋体" w:hAnsi="宋体" w:eastAsia="宋体" w:cs="宋体"/>
                <w:b/>
                <w:bCs/>
                <w:color w:val="auto"/>
                <w:kern w:val="0"/>
                <w:szCs w:val="21"/>
              </w:rPr>
              <w:t>2、特定资格条件：</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（1）法定代表人（负责人）参加磋商的，须出示身份证，法定代表人（负责人）授权他人参加磋商的，须提供法定代表人（负责人）授权委托书（附法定代表人（负责人）、被授权人身份证复印件）；</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供应商不得列入“信用中国”网站（www.creditchina.gov.cn）失信被执行人名单、税收违法黑名单、政府采购严重违法失信行为当事人名单；不得为中国政府采购网（www.ccgp.gov.cn）政府采购严重违法失信行为记录名单中被财政部门禁止参加政府采购活动的供应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（3）供应商为经销商的需要提供所磋商产品的（质量检验合格证明材料）或生产厂家磋商的（需提供企业营业执照、肥料登记证）；</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（4）单位负责人为同一人或者存在直接控股、管理关系的不同供应商，不得参加本次采购活动（提供承诺书并加盖供应商公章）；</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（5）本项目专门面向中小企业（提供声明函</w:t>
            </w:r>
            <w:r>
              <w:rPr>
                <w:rFonts w:hint="eastAsia" w:ascii="宋体" w:hAnsi="宋体" w:eastAsia="宋体" w:cs="宋体"/>
                <w:bCs/>
                <w:color w:val="auto"/>
                <w:szCs w:val="21"/>
              </w:rPr>
              <w:t>并加盖供应商公章</w:t>
            </w:r>
            <w:r>
              <w:rPr>
                <w:rFonts w:hint="eastAsia" w:ascii="宋体" w:hAnsi="宋体" w:eastAsia="宋体" w:cs="宋体"/>
                <w:color w:val="auto"/>
                <w:szCs w:val="21"/>
              </w:rPr>
              <w:t>）。</w:t>
            </w:r>
          </w:p>
          <w:p>
            <w:pPr>
              <w:spacing w:line="360" w:lineRule="auto"/>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注：以上均为必备资格，响应文件中应附加盖供应商红色公章的复印件。缺少其中一项或某项达不到磋商文件要求，均视为无效。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884" w:type="dxa"/>
            <w:vAlign w:val="center"/>
          </w:tcPr>
          <w:p>
            <w:pPr>
              <w:numPr>
                <w:ilvl w:val="0"/>
                <w:numId w:val="3"/>
              </w:numPr>
              <w:jc w:val="center"/>
              <w:rPr>
                <w:rFonts w:hint="eastAsia" w:ascii="宋体" w:hAnsi="宋体" w:eastAsia="宋体" w:cs="宋体"/>
                <w:color w:val="auto"/>
                <w:szCs w:val="21"/>
              </w:rPr>
            </w:pPr>
          </w:p>
        </w:tc>
        <w:tc>
          <w:tcPr>
            <w:tcW w:w="1785" w:type="dxa"/>
            <w:vAlign w:val="center"/>
          </w:tcPr>
          <w:p>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是否专门面向中小企业</w:t>
            </w:r>
          </w:p>
        </w:tc>
        <w:tc>
          <w:tcPr>
            <w:tcW w:w="6864" w:type="dxa"/>
            <w:vAlign w:val="center"/>
          </w:tcPr>
          <w:p>
            <w:pPr>
              <w:spacing w:line="360" w:lineRule="auto"/>
              <w:rPr>
                <w:rFonts w:hint="eastAsia" w:ascii="宋体" w:hAnsi="宋体" w:eastAsia="宋体" w:cs="宋体"/>
                <w:color w:val="auto"/>
                <w:szCs w:val="21"/>
              </w:rPr>
            </w:pPr>
            <w:r>
              <w:rPr>
                <w:rFonts w:hint="eastAsia" w:ascii="宋体" w:hAnsi="宋体" w:eastAsia="宋体" w:cs="宋体"/>
                <w:color w:val="auto"/>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884" w:type="dxa"/>
            <w:vAlign w:val="center"/>
          </w:tcPr>
          <w:p>
            <w:pPr>
              <w:numPr>
                <w:ilvl w:val="0"/>
                <w:numId w:val="3"/>
              </w:numPr>
              <w:jc w:val="center"/>
              <w:rPr>
                <w:rFonts w:hint="eastAsia" w:ascii="宋体" w:hAnsi="宋体" w:eastAsia="宋体" w:cs="宋体"/>
                <w:color w:val="auto"/>
                <w:szCs w:val="21"/>
              </w:rPr>
            </w:pPr>
          </w:p>
        </w:tc>
        <w:tc>
          <w:tcPr>
            <w:tcW w:w="1785" w:type="dxa"/>
            <w:vAlign w:val="center"/>
          </w:tcPr>
          <w:p>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磋商响应文件数量</w:t>
            </w:r>
          </w:p>
        </w:tc>
        <w:tc>
          <w:tcPr>
            <w:tcW w:w="6864" w:type="dxa"/>
            <w:vAlign w:val="center"/>
          </w:tcPr>
          <w:p>
            <w:pPr>
              <w:spacing w:line="360" w:lineRule="auto"/>
              <w:rPr>
                <w:rFonts w:hint="eastAsia" w:ascii="宋体" w:hAnsi="宋体" w:eastAsia="宋体" w:cs="宋体"/>
                <w:color w:val="auto"/>
                <w:szCs w:val="21"/>
              </w:rPr>
            </w:pPr>
            <w:r>
              <w:rPr>
                <w:rFonts w:hint="eastAsia" w:ascii="宋体" w:hAnsi="宋体" w:eastAsia="宋体" w:cs="宋体"/>
                <w:color w:val="auto"/>
                <w:szCs w:val="21"/>
              </w:rPr>
              <w:t>正本一份、副本二份、电子版一份（电子版文件与纸质文件应一致，电子版应为U盘, 格式包含PDF版,WORD文档各一份）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884" w:type="dxa"/>
            <w:vAlign w:val="center"/>
          </w:tcPr>
          <w:p>
            <w:pPr>
              <w:numPr>
                <w:ilvl w:val="0"/>
                <w:numId w:val="3"/>
              </w:numPr>
              <w:jc w:val="center"/>
              <w:rPr>
                <w:rFonts w:hint="eastAsia" w:ascii="宋体" w:hAnsi="宋体" w:eastAsia="宋体" w:cs="宋体"/>
                <w:color w:val="auto"/>
                <w:szCs w:val="21"/>
              </w:rPr>
            </w:pPr>
          </w:p>
        </w:tc>
        <w:tc>
          <w:tcPr>
            <w:tcW w:w="1785"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磋商响应文件的签署</w:t>
            </w:r>
          </w:p>
        </w:tc>
        <w:tc>
          <w:tcPr>
            <w:tcW w:w="6864" w:type="dxa"/>
            <w:vAlign w:val="center"/>
          </w:tcPr>
          <w:p>
            <w:pPr>
              <w:rPr>
                <w:rFonts w:hint="eastAsia" w:ascii="宋体" w:hAnsi="宋体" w:eastAsia="宋体" w:cs="宋体"/>
                <w:color w:val="auto"/>
                <w:szCs w:val="21"/>
              </w:rPr>
            </w:pPr>
            <w:r>
              <w:rPr>
                <w:rFonts w:hint="eastAsia" w:ascii="宋体" w:hAnsi="宋体" w:eastAsia="宋体" w:cs="宋体"/>
                <w:color w:val="auto"/>
                <w:szCs w:val="21"/>
              </w:rPr>
              <w:t>供应商应在响应文件密封袋表面加盖公章以保证文件密封性完整。若正本和副本不符，以正本为准。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884" w:type="dxa"/>
            <w:vAlign w:val="center"/>
          </w:tcPr>
          <w:p>
            <w:pPr>
              <w:numPr>
                <w:ilvl w:val="0"/>
                <w:numId w:val="3"/>
              </w:numPr>
              <w:jc w:val="center"/>
              <w:rPr>
                <w:rFonts w:hint="eastAsia" w:ascii="宋体" w:hAnsi="宋体" w:eastAsia="宋体" w:cs="宋体"/>
                <w:color w:val="auto"/>
                <w:szCs w:val="21"/>
              </w:rPr>
            </w:pPr>
          </w:p>
        </w:tc>
        <w:tc>
          <w:tcPr>
            <w:tcW w:w="1785"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密封装订要求</w:t>
            </w:r>
          </w:p>
        </w:tc>
        <w:tc>
          <w:tcPr>
            <w:tcW w:w="6864" w:type="dxa"/>
            <w:vAlign w:val="center"/>
          </w:tcPr>
          <w:p>
            <w:pPr>
              <w:overflowPunct w:val="0"/>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（1）响应文件均应密封，正、副本分别装订成册装入标袋密封，不允许活页夹装订。响应文件应有目录及页码。如未按要求装订而造成的文件散落丢失，由供应商自行承担。</w:t>
            </w:r>
          </w:p>
          <w:p>
            <w:pPr>
              <w:overflowPunct w:val="0"/>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（2）响应文件必须进行密封递交。对封装材料及样式不作特别规定，但供应商应当保证其封装的可靠性，不致因搬运、堆放等原因散开。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84" w:type="dxa"/>
            <w:vAlign w:val="center"/>
          </w:tcPr>
          <w:p>
            <w:pPr>
              <w:numPr>
                <w:ilvl w:val="0"/>
                <w:numId w:val="3"/>
              </w:numPr>
              <w:jc w:val="center"/>
              <w:rPr>
                <w:rFonts w:hint="eastAsia" w:ascii="宋体" w:hAnsi="宋体" w:eastAsia="宋体" w:cs="宋体"/>
                <w:color w:val="auto"/>
                <w:szCs w:val="21"/>
              </w:rPr>
            </w:pPr>
          </w:p>
        </w:tc>
        <w:tc>
          <w:tcPr>
            <w:tcW w:w="1785"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现场踏勘</w:t>
            </w:r>
          </w:p>
        </w:tc>
        <w:tc>
          <w:tcPr>
            <w:tcW w:w="6864" w:type="dxa"/>
            <w:vAlign w:val="center"/>
          </w:tcPr>
          <w:p>
            <w:pPr>
              <w:rPr>
                <w:rFonts w:hint="eastAsia" w:ascii="宋体" w:hAnsi="宋体" w:eastAsia="宋体" w:cs="宋体"/>
                <w:color w:val="auto"/>
                <w:szCs w:val="21"/>
              </w:rPr>
            </w:pPr>
            <w:r>
              <w:rPr>
                <w:rFonts w:hint="eastAsia" w:ascii="宋体" w:hAnsi="宋体" w:eastAsia="宋体" w:cs="宋体"/>
                <w:color w:val="auto"/>
                <w:szCs w:val="21"/>
              </w:rPr>
              <w:t>本项目不组织统一踏勘。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884" w:type="dxa"/>
            <w:vAlign w:val="center"/>
          </w:tcPr>
          <w:p>
            <w:pPr>
              <w:numPr>
                <w:ilvl w:val="0"/>
                <w:numId w:val="3"/>
              </w:numPr>
              <w:jc w:val="center"/>
              <w:rPr>
                <w:rFonts w:hint="eastAsia" w:ascii="宋体" w:hAnsi="宋体" w:eastAsia="宋体" w:cs="宋体"/>
                <w:color w:val="auto"/>
                <w:szCs w:val="21"/>
              </w:rPr>
            </w:pPr>
          </w:p>
        </w:tc>
        <w:tc>
          <w:tcPr>
            <w:tcW w:w="1785" w:type="dxa"/>
            <w:vAlign w:val="center"/>
          </w:tcPr>
          <w:p>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递交响应文件截止时间、地点（同磋商时间、地点）</w:t>
            </w:r>
          </w:p>
        </w:tc>
        <w:tc>
          <w:tcPr>
            <w:tcW w:w="6864" w:type="dxa"/>
            <w:vAlign w:val="center"/>
          </w:tcPr>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szCs w:val="21"/>
              </w:rPr>
              <w:t>截止时间：</w:t>
            </w:r>
            <w:r>
              <w:rPr>
                <w:rFonts w:hint="eastAsia" w:ascii="宋体" w:hAnsi="宋体" w:eastAsia="宋体" w:cs="宋体"/>
                <w:color w:val="auto"/>
                <w:szCs w:val="24"/>
                <w:shd w:val="clear" w:color="auto" w:fill="FFFFFF"/>
              </w:rPr>
              <w:t>2022 年</w:t>
            </w:r>
            <w:r>
              <w:rPr>
                <w:rFonts w:hint="eastAsia" w:ascii="宋体" w:hAnsi="宋体" w:eastAsia="宋体" w:cs="宋体"/>
                <w:color w:val="auto"/>
                <w:szCs w:val="24"/>
                <w:shd w:val="clear" w:color="auto" w:fill="FFFFFF"/>
                <w:lang w:val="en-US" w:eastAsia="zh-CN"/>
              </w:rPr>
              <w:t>09</w:t>
            </w:r>
            <w:r>
              <w:rPr>
                <w:rFonts w:hint="eastAsia" w:ascii="宋体" w:hAnsi="宋体" w:eastAsia="宋体" w:cs="宋体"/>
                <w:color w:val="auto"/>
                <w:szCs w:val="24"/>
                <w:shd w:val="clear" w:color="auto" w:fill="FFFFFF"/>
              </w:rPr>
              <w:t>月</w:t>
            </w:r>
            <w:r>
              <w:rPr>
                <w:rFonts w:hint="eastAsia" w:ascii="宋体" w:hAnsi="宋体" w:eastAsia="宋体" w:cs="宋体"/>
                <w:color w:val="auto"/>
                <w:szCs w:val="24"/>
                <w:shd w:val="clear" w:color="auto" w:fill="FFFFFF"/>
                <w:lang w:val="en-US" w:eastAsia="zh-CN"/>
              </w:rPr>
              <w:t>09</w:t>
            </w:r>
            <w:r>
              <w:rPr>
                <w:rFonts w:hint="eastAsia" w:ascii="宋体" w:hAnsi="宋体" w:eastAsia="宋体" w:cs="宋体"/>
                <w:color w:val="auto"/>
                <w:szCs w:val="24"/>
                <w:shd w:val="clear" w:color="auto" w:fill="FFFFFF"/>
              </w:rPr>
              <w:t>日 09时30分00秒</w:t>
            </w:r>
          </w:p>
          <w:p>
            <w:pPr>
              <w:widowControl/>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地点：</w:t>
            </w:r>
            <w:r>
              <w:rPr>
                <w:rFonts w:hint="eastAsia" w:ascii="宋体" w:hAnsi="宋体" w:eastAsia="宋体" w:cs="宋体"/>
                <w:color w:val="auto"/>
                <w:szCs w:val="24"/>
                <w:shd w:val="clear" w:color="auto" w:fill="FFFFFF"/>
                <w:lang w:eastAsia="zh-CN"/>
              </w:rPr>
              <w:t>西安市经济技术开发区凤城八路158号保亿隆基中心A座406室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4" w:type="dxa"/>
            <w:vAlign w:val="center"/>
          </w:tcPr>
          <w:p>
            <w:pPr>
              <w:numPr>
                <w:ilvl w:val="0"/>
                <w:numId w:val="3"/>
              </w:numPr>
              <w:ind w:left="0" w:firstLine="0"/>
              <w:jc w:val="center"/>
              <w:rPr>
                <w:rFonts w:hint="eastAsia" w:ascii="宋体" w:hAnsi="宋体" w:eastAsia="宋体" w:cs="宋体"/>
                <w:color w:val="auto"/>
                <w:szCs w:val="21"/>
              </w:rPr>
            </w:pPr>
          </w:p>
        </w:tc>
        <w:tc>
          <w:tcPr>
            <w:tcW w:w="1785" w:type="dxa"/>
            <w:vAlign w:val="center"/>
          </w:tcPr>
          <w:p>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磋商报价次数、磋商程序和最终报价的产生原则</w:t>
            </w:r>
          </w:p>
        </w:tc>
        <w:tc>
          <w:tcPr>
            <w:tcW w:w="6864" w:type="dxa"/>
            <w:vAlign w:val="center"/>
          </w:tcPr>
          <w:p>
            <w:pPr>
              <w:widowControl/>
              <w:spacing w:line="360" w:lineRule="auto"/>
              <w:rPr>
                <w:rFonts w:hint="eastAsia" w:ascii="宋体" w:hAnsi="宋体" w:eastAsia="宋体" w:cs="宋体"/>
                <w:color w:val="auto"/>
                <w:szCs w:val="21"/>
              </w:rPr>
            </w:pPr>
            <w:r>
              <w:rPr>
                <w:rFonts w:hint="eastAsia" w:ascii="宋体" w:hAnsi="宋体" w:eastAsia="宋体" w:cs="宋体"/>
                <w:color w:val="auto"/>
                <w:szCs w:val="21"/>
              </w:rPr>
              <w:t>本次磋商采用二次报价。</w:t>
            </w:r>
          </w:p>
          <w:p>
            <w:pPr>
              <w:widowControl/>
              <w:spacing w:line="360" w:lineRule="auto"/>
              <w:rPr>
                <w:rFonts w:hint="eastAsia" w:ascii="宋体" w:hAnsi="宋体" w:eastAsia="宋体" w:cs="宋体"/>
                <w:color w:val="auto"/>
                <w:szCs w:val="21"/>
              </w:rPr>
            </w:pPr>
            <w:r>
              <w:rPr>
                <w:rFonts w:hint="eastAsia" w:ascii="宋体" w:hAnsi="宋体" w:eastAsia="宋体" w:cs="宋体"/>
                <w:color w:val="auto"/>
                <w:szCs w:val="21"/>
              </w:rPr>
              <w:t>磋商程序为：</w:t>
            </w:r>
          </w:p>
          <w:p>
            <w:pPr>
              <w:widowControl/>
              <w:spacing w:line="360" w:lineRule="auto"/>
              <w:rPr>
                <w:rFonts w:hint="eastAsia" w:ascii="宋体" w:hAnsi="宋体" w:eastAsia="宋体" w:cs="宋体"/>
                <w:color w:val="auto"/>
                <w:szCs w:val="21"/>
              </w:rPr>
            </w:pPr>
            <w:r>
              <w:rPr>
                <w:rFonts w:hint="eastAsia" w:ascii="宋体" w:hAnsi="宋体" w:eastAsia="宋体" w:cs="宋体"/>
                <w:color w:val="auto"/>
                <w:szCs w:val="21"/>
              </w:rPr>
              <w:t>磋商小组对所有提交的响应文件进行评审；</w:t>
            </w:r>
          </w:p>
          <w:p>
            <w:pPr>
              <w:widowControl/>
              <w:spacing w:line="360" w:lineRule="auto"/>
              <w:rPr>
                <w:rFonts w:hint="eastAsia" w:ascii="宋体" w:hAnsi="宋体" w:eastAsia="宋体" w:cs="宋体"/>
                <w:color w:val="auto"/>
                <w:szCs w:val="21"/>
              </w:rPr>
            </w:pPr>
            <w:r>
              <w:rPr>
                <w:rFonts w:hint="eastAsia" w:ascii="宋体" w:hAnsi="宋体" w:eastAsia="宋体" w:cs="宋体"/>
                <w:color w:val="auto"/>
                <w:szCs w:val="21"/>
              </w:rPr>
              <w:t>磋商小组所有成员集中与单一供应商分别进行磋商；</w:t>
            </w:r>
          </w:p>
          <w:p>
            <w:pPr>
              <w:widowControl/>
              <w:spacing w:line="360" w:lineRule="auto"/>
              <w:rPr>
                <w:rFonts w:hint="eastAsia" w:ascii="宋体" w:hAnsi="宋体" w:eastAsia="宋体" w:cs="宋体"/>
                <w:color w:val="auto"/>
                <w:szCs w:val="21"/>
              </w:rPr>
            </w:pPr>
            <w:r>
              <w:rPr>
                <w:rFonts w:hint="eastAsia" w:ascii="宋体" w:hAnsi="宋体" w:eastAsia="宋体" w:cs="宋体"/>
                <w:color w:val="auto"/>
                <w:szCs w:val="21"/>
              </w:rPr>
              <w:t>供应商按照要求提交二次报价；</w:t>
            </w:r>
          </w:p>
          <w:p>
            <w:pPr>
              <w:widowControl/>
              <w:spacing w:line="360" w:lineRule="auto"/>
              <w:rPr>
                <w:rFonts w:hint="eastAsia" w:ascii="宋体" w:hAnsi="宋体" w:eastAsia="宋体" w:cs="宋体"/>
                <w:color w:val="auto"/>
                <w:szCs w:val="21"/>
              </w:rPr>
            </w:pPr>
            <w:r>
              <w:rPr>
                <w:rFonts w:hint="eastAsia" w:ascii="宋体" w:hAnsi="宋体" w:eastAsia="宋体" w:cs="宋体"/>
                <w:color w:val="auto"/>
                <w:szCs w:val="21"/>
              </w:rPr>
              <w:t>磋商小组评审、推荐成交候选人。</w:t>
            </w:r>
          </w:p>
          <w:p>
            <w:pPr>
              <w:widowControl/>
              <w:spacing w:line="360" w:lineRule="auto"/>
              <w:rPr>
                <w:rFonts w:hint="eastAsia" w:ascii="宋体" w:hAnsi="宋体" w:eastAsia="宋体" w:cs="宋体"/>
                <w:color w:val="auto"/>
                <w:szCs w:val="21"/>
              </w:rPr>
            </w:pPr>
            <w:r>
              <w:rPr>
                <w:rFonts w:hint="eastAsia" w:ascii="宋体" w:hAnsi="宋体" w:eastAsia="宋体" w:cs="宋体"/>
                <w:color w:val="auto"/>
                <w:szCs w:val="21"/>
              </w:rPr>
              <w:t>在磋商过程中，磋商小组可以根据磋商文件和磋商情况实质性变动采购需求中的技术、服务要求以及合同草案条款，二次报价为最终报价。如采购需求没有实质性变化，各供应商的报价应逐次降低，本次报价超过上次报价的，为无效报价。出现相同最低报价的，提交相同最低报价的供应商可再次报价，直至产生唯一最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4" w:type="dxa"/>
            <w:vAlign w:val="center"/>
          </w:tcPr>
          <w:p>
            <w:pPr>
              <w:numPr>
                <w:ilvl w:val="0"/>
                <w:numId w:val="3"/>
              </w:numPr>
              <w:ind w:left="0" w:firstLine="0"/>
              <w:jc w:val="center"/>
              <w:rPr>
                <w:rFonts w:hint="eastAsia" w:ascii="宋体" w:hAnsi="宋体" w:eastAsia="宋体" w:cs="宋体"/>
                <w:color w:val="auto"/>
                <w:szCs w:val="21"/>
              </w:rPr>
            </w:pPr>
          </w:p>
        </w:tc>
        <w:tc>
          <w:tcPr>
            <w:tcW w:w="1785"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信用查询</w:t>
            </w:r>
          </w:p>
        </w:tc>
        <w:tc>
          <w:tcPr>
            <w:tcW w:w="6864" w:type="dxa"/>
            <w:vAlign w:val="center"/>
          </w:tcPr>
          <w:p>
            <w:pPr>
              <w:spacing w:line="360" w:lineRule="auto"/>
              <w:rPr>
                <w:rFonts w:hint="eastAsia" w:ascii="宋体" w:hAnsi="宋体" w:eastAsia="宋体" w:cs="宋体"/>
                <w:color w:val="auto"/>
                <w:szCs w:val="21"/>
              </w:rPr>
            </w:pPr>
            <w:r>
              <w:rPr>
                <w:rFonts w:hint="eastAsia" w:ascii="宋体" w:hAnsi="宋体" w:eastAsia="宋体" w:cs="宋体"/>
                <w:color w:val="auto"/>
                <w:szCs w:val="21"/>
              </w:rPr>
              <w:t>依据财库〔2016〕125号《关于在政府采购活动中查询及使用信用记录有关问题的通知》的规定，供应商信用信息查询具体规定如下：</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1、信用信息查询渠道：“信用中国”网站（www.creditchina.gov.cn）及中国政府采购网（www.ccgp.gov.cn）。</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2、信用信息查询的截止时点：查询时间为文件递交截止时间10日内，且页面中的处罚日期不允许设置起止时间(</w:t>
            </w:r>
            <w:r>
              <w:rPr>
                <w:rFonts w:hint="eastAsia" w:ascii="宋体" w:hAnsi="宋体" w:eastAsia="宋体" w:cs="宋体"/>
                <w:b/>
                <w:bCs/>
                <w:color w:val="auto"/>
                <w:szCs w:val="21"/>
              </w:rPr>
              <w:t>未按此要求提供视为无效投标</w:t>
            </w:r>
            <w:r>
              <w:rPr>
                <w:rFonts w:hint="eastAsia" w:ascii="宋体" w:hAnsi="宋体" w:eastAsia="宋体" w:cs="宋体"/>
                <w:color w:val="auto"/>
                <w:szCs w:val="21"/>
              </w:rPr>
              <w:t>）。</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3、信用信息的使用规则：磋商开始后，由采购人或者采购代理机构对供应商信用记录进行甄别，对响应文件中未按上述要求提供截图内容的或被列入重大税收违法案件当事人名单、失信被执行人的、政府采购严重违法失信行为记录名单及其他不符合《中华人民共和国政府采购法》第二十二条规定条件的供应商，将拒绝其参与政府采购活动，按照无效响应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84" w:type="dxa"/>
            <w:vAlign w:val="center"/>
          </w:tcPr>
          <w:p>
            <w:pPr>
              <w:numPr>
                <w:ilvl w:val="0"/>
                <w:numId w:val="3"/>
              </w:numPr>
              <w:jc w:val="center"/>
              <w:rPr>
                <w:rFonts w:hint="eastAsia" w:ascii="宋体" w:hAnsi="宋体" w:eastAsia="宋体" w:cs="宋体"/>
                <w:color w:val="auto"/>
                <w:szCs w:val="21"/>
              </w:rPr>
            </w:pPr>
          </w:p>
        </w:tc>
        <w:tc>
          <w:tcPr>
            <w:tcW w:w="1785"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质 疑</w:t>
            </w:r>
          </w:p>
        </w:tc>
        <w:tc>
          <w:tcPr>
            <w:tcW w:w="6864" w:type="dxa"/>
            <w:vAlign w:val="center"/>
          </w:tcPr>
          <w:p>
            <w:pPr>
              <w:rPr>
                <w:rFonts w:hint="eastAsia" w:ascii="宋体" w:hAnsi="宋体" w:eastAsia="宋体" w:cs="宋体"/>
                <w:color w:val="auto"/>
                <w:szCs w:val="21"/>
              </w:rPr>
            </w:pPr>
            <w:r>
              <w:rPr>
                <w:rFonts w:hint="eastAsia" w:ascii="宋体" w:hAnsi="宋体" w:eastAsia="宋体" w:cs="宋体"/>
                <w:color w:val="auto"/>
                <w:szCs w:val="21"/>
              </w:rPr>
              <w:t>供应商提出质疑应符合中华人民共和国财政部令第94号《政府采购质疑和投诉办法》的规定：</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1、提出质疑的供应商应当是参与所质疑项目采购活动的供应商。</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2、供应商认为采购文件、采购过程、中标或者成交结果使自己的权益受到损害的，可以在知道或者应知其权益受到损害之日起7个工作日内，以书面形式向采购人、采购代理机构提出质疑，供应商应在法定质疑期内一次性提出针对同一采购程序环节的质疑。</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供应商应知其权益受到损害之日，是指：</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（1）对可以质疑的采购文件提出质疑的，为收到采购文件之日或者采购文件公告期限届满之日；</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（2）对采购过程提出质疑的，为各采购程序环节结束之日；</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（3）对中标或者成交结果提出质疑的，为中标或者成交结果公告期限届满之日。</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3、供应商提出质疑应当提交质疑函和必要的证明材料。质疑函应当包括：</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3.1供应商的姓名或者名称、地址、邮编、联系人及联系电话；</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3.2质疑项目的名称、编号；</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3.3具体、明确的质疑事项和与质疑事项相关的请求；</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3.4事实依据；</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3.5必要的法律依据；</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3.6提出质疑的日期。</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质疑函应采用财政部颁布的《政府采购供应商质疑函范本》。</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供应商为自然人的，应当由本人签字；供应商为法人或者其他组织的，应当由法定代表人、主要负责人，或者其授权代表签字或者盖章，并加盖公章。</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4、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5、有下列情形之一的，属于无效质疑，采购代理机构和采购人不予受理：</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5.1质疑供应商不是参与所质疑项目采购活动的供应商；</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5.2未在法定质疑期内发出质疑的；</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5.3质疑未以书面形式提出；</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5.4质疑函没有合法有效的签字、盖章或授权的；</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5.5以非法手段取得证据、材料的；</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5.6质疑答复后，同一质疑人就同一事项再次提出质疑的；</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5.7不符合法律、法规、规章和政府采购监管机构规定的其他条件的。</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6、质疑答复</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采购人、采购代理机构在收到质疑函后七个工作日内做出答复。</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7、质疑接收方式：供应商以书面形式将质疑函原件和必要的证明材料送至接收部门，法定代表人、主要负责人、自然人提交质疑函须提交其身份证复印件；代理人提交质疑函，须提交加盖公章的授权委托书及授权人和被授权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884" w:type="dxa"/>
            <w:vAlign w:val="center"/>
          </w:tcPr>
          <w:p>
            <w:pPr>
              <w:numPr>
                <w:ilvl w:val="0"/>
                <w:numId w:val="3"/>
              </w:numPr>
              <w:rPr>
                <w:rFonts w:hint="eastAsia" w:ascii="宋体" w:hAnsi="宋体" w:eastAsia="宋体" w:cs="宋体"/>
                <w:color w:val="auto"/>
                <w:szCs w:val="21"/>
              </w:rPr>
            </w:pPr>
            <w:bookmarkStart w:id="5" w:name="_Toc246928894"/>
          </w:p>
        </w:tc>
        <w:tc>
          <w:tcPr>
            <w:tcW w:w="1785"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代理服务费</w:t>
            </w:r>
          </w:p>
        </w:tc>
        <w:tc>
          <w:tcPr>
            <w:tcW w:w="6864" w:type="dxa"/>
            <w:vAlign w:val="center"/>
          </w:tcPr>
          <w:p>
            <w:pPr>
              <w:numPr>
                <w:ilvl w:val="0"/>
                <w:numId w:val="4"/>
              </w:numPr>
              <w:spacing w:line="360" w:lineRule="auto"/>
              <w:rPr>
                <w:rFonts w:hint="eastAsia" w:ascii="宋体" w:hAnsi="宋体" w:eastAsia="宋体" w:cs="宋体"/>
                <w:color w:val="auto"/>
                <w:szCs w:val="21"/>
              </w:rPr>
            </w:pPr>
            <w:r>
              <w:rPr>
                <w:rFonts w:hint="eastAsia" w:ascii="宋体" w:hAnsi="宋体" w:eastAsia="宋体" w:cs="宋体"/>
                <w:color w:val="auto"/>
                <w:szCs w:val="21"/>
              </w:rPr>
              <w:t>成交供应商在领取成交通知书前应向采购代理机构缴纳代理服务费；</w:t>
            </w:r>
          </w:p>
          <w:p>
            <w:pPr>
              <w:numPr>
                <w:ilvl w:val="0"/>
                <w:numId w:val="4"/>
              </w:numPr>
              <w:spacing w:line="360" w:lineRule="auto"/>
              <w:rPr>
                <w:rFonts w:hint="eastAsia" w:ascii="宋体" w:hAnsi="宋体" w:eastAsia="宋体" w:cs="宋体"/>
                <w:color w:val="auto"/>
                <w:szCs w:val="21"/>
              </w:rPr>
            </w:pPr>
            <w:r>
              <w:rPr>
                <w:rFonts w:hint="eastAsia" w:ascii="宋体" w:hAnsi="宋体" w:eastAsia="宋体" w:cs="宋体"/>
                <w:color w:val="auto"/>
                <w:szCs w:val="21"/>
              </w:rPr>
              <w:t>采购代理服务费的收取参见国家计委颁布的《招标代理服务收费管理暂行办法》（计价格[2002]1980号）收费标准收取。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884" w:type="dxa"/>
            <w:vAlign w:val="center"/>
          </w:tcPr>
          <w:p>
            <w:pPr>
              <w:numPr>
                <w:ilvl w:val="0"/>
                <w:numId w:val="3"/>
              </w:numPr>
              <w:rPr>
                <w:rFonts w:hint="eastAsia" w:ascii="宋体" w:hAnsi="宋体" w:eastAsia="宋体" w:cs="宋体"/>
                <w:color w:val="auto"/>
                <w:szCs w:val="21"/>
              </w:rPr>
            </w:pPr>
          </w:p>
        </w:tc>
        <w:tc>
          <w:tcPr>
            <w:tcW w:w="1785"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知识产权</w:t>
            </w:r>
          </w:p>
        </w:tc>
        <w:tc>
          <w:tcPr>
            <w:tcW w:w="6864" w:type="dxa"/>
            <w:vAlign w:val="center"/>
          </w:tcPr>
          <w:p>
            <w:pPr>
              <w:spacing w:line="360" w:lineRule="auto"/>
              <w:rPr>
                <w:rFonts w:hint="eastAsia" w:ascii="宋体" w:hAnsi="宋体" w:eastAsia="宋体" w:cs="宋体"/>
                <w:color w:val="auto"/>
                <w:szCs w:val="21"/>
              </w:rPr>
            </w:pPr>
            <w:r>
              <w:rPr>
                <w:rFonts w:hint="eastAsia" w:ascii="宋体" w:hAnsi="宋体" w:eastAsia="宋体" w:cs="宋体"/>
                <w:color w:val="auto"/>
                <w:szCs w:val="21"/>
              </w:rPr>
              <w:t>构成本采购文件各个组成部分的文件，未经采购人书面同意，供应商不得擅自复印和用于非本采购项目所需的其他目的。采购人全部或者部分使用未成交人磋商响应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884" w:type="dxa"/>
            <w:vAlign w:val="center"/>
          </w:tcPr>
          <w:p>
            <w:pPr>
              <w:numPr>
                <w:ilvl w:val="0"/>
                <w:numId w:val="3"/>
              </w:numPr>
              <w:rPr>
                <w:rFonts w:hint="eastAsia" w:ascii="宋体" w:hAnsi="宋体" w:eastAsia="宋体" w:cs="宋体"/>
                <w:color w:val="auto"/>
                <w:szCs w:val="21"/>
              </w:rPr>
            </w:pPr>
          </w:p>
        </w:tc>
        <w:tc>
          <w:tcPr>
            <w:tcW w:w="1785"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特别提示</w:t>
            </w:r>
          </w:p>
        </w:tc>
        <w:tc>
          <w:tcPr>
            <w:tcW w:w="6864" w:type="dxa"/>
            <w:vAlign w:val="center"/>
          </w:tcPr>
          <w:p>
            <w:pPr>
              <w:spacing w:line="360" w:lineRule="auto"/>
              <w:rPr>
                <w:rFonts w:hint="eastAsia" w:ascii="宋体" w:hAnsi="宋体" w:eastAsia="宋体" w:cs="宋体"/>
                <w:color w:val="auto"/>
                <w:szCs w:val="21"/>
              </w:rPr>
            </w:pPr>
            <w:r>
              <w:rPr>
                <w:rFonts w:hint="eastAsia" w:ascii="宋体" w:hAnsi="宋体" w:eastAsia="宋体" w:cs="宋体"/>
                <w:color w:val="auto"/>
                <w:szCs w:val="21"/>
              </w:rPr>
              <w:t>符合《政府采购法》第二十二条规定的合格供应商通过陕西省政府采购网（</w:t>
            </w:r>
            <w:r>
              <w:rPr>
                <w:rFonts w:hint="eastAsia" w:ascii="宋体" w:hAnsi="宋体" w:eastAsia="宋体" w:cs="宋体"/>
                <w:color w:val="auto"/>
                <w:szCs w:val="21"/>
              </w:rPr>
              <w:drawing>
                <wp:inline distT="0" distB="0" distL="114300" distR="114300">
                  <wp:extent cx="19050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cstate="print"/>
                          <a:stretch>
                            <a:fillRect/>
                          </a:stretch>
                        </pic:blipFill>
                        <pic:spPr>
                          <a:xfrm>
                            <a:off x="0" y="0"/>
                            <a:ext cx="190500" cy="142875"/>
                          </a:xfrm>
                          <a:prstGeom prst="rect">
                            <a:avLst/>
                          </a:prstGeom>
                          <a:noFill/>
                          <a:ln>
                            <a:noFill/>
                          </a:ln>
                        </pic:spPr>
                      </pic:pic>
                    </a:graphicData>
                  </a:graphic>
                </wp:inline>
              </w:drawing>
            </w:r>
            <w:r>
              <w:rPr>
                <w:rFonts w:hint="eastAsia" w:ascii="宋体" w:hAnsi="宋体" w:eastAsia="宋体" w:cs="宋体"/>
                <w:color w:val="auto"/>
                <w:szCs w:val="21"/>
              </w:rPr>
              <w:t>http://www.ccgp-shaanxi.gov.cn/）注册登记加入陕西省政府采购供应商库。未入库的供应商在后期磋商过程中出现问题由供应商自行承担。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trPr>
        <w:tc>
          <w:tcPr>
            <w:tcW w:w="884" w:type="dxa"/>
            <w:vAlign w:val="center"/>
          </w:tcPr>
          <w:p>
            <w:pPr>
              <w:numPr>
                <w:ilvl w:val="0"/>
                <w:numId w:val="3"/>
              </w:numPr>
              <w:rPr>
                <w:rFonts w:hint="eastAsia" w:ascii="宋体" w:hAnsi="宋体" w:eastAsia="宋体" w:cs="宋体"/>
                <w:color w:val="auto"/>
                <w:szCs w:val="21"/>
              </w:rPr>
            </w:pPr>
            <w:bookmarkStart w:id="6" w:name="_Toc423508219"/>
            <w:bookmarkStart w:id="7" w:name="_Toc93800308"/>
            <w:bookmarkStart w:id="8" w:name="_Toc246928930"/>
            <w:bookmarkStart w:id="9" w:name="_Toc497712133"/>
            <w:bookmarkStart w:id="10" w:name="_Toc492955459"/>
            <w:bookmarkStart w:id="11" w:name="_Toc497546918"/>
            <w:bookmarkStart w:id="12" w:name="_Toc497711585"/>
            <w:bookmarkStart w:id="13" w:name="_Toc497551820"/>
          </w:p>
        </w:tc>
        <w:tc>
          <w:tcPr>
            <w:tcW w:w="1785" w:type="dxa"/>
            <w:vAlign w:val="center"/>
          </w:tcPr>
          <w:p>
            <w:pPr>
              <w:jc w:val="center"/>
              <w:rPr>
                <w:rFonts w:hint="eastAsia" w:ascii="宋体" w:hAnsi="宋体" w:eastAsia="宋体" w:cs="宋体"/>
                <w:color w:val="auto"/>
                <w:szCs w:val="21"/>
              </w:rPr>
            </w:pPr>
            <w:r>
              <w:rPr>
                <w:rFonts w:hint="eastAsia" w:ascii="宋体" w:hAnsi="宋体" w:eastAsia="宋体" w:cs="宋体"/>
                <w:b/>
                <w:bCs/>
                <w:color w:val="auto"/>
                <w:szCs w:val="21"/>
              </w:rPr>
              <w:t>供应商须知</w:t>
            </w:r>
          </w:p>
        </w:tc>
        <w:tc>
          <w:tcPr>
            <w:tcW w:w="6864" w:type="dxa"/>
            <w:vAlign w:val="center"/>
          </w:tcPr>
          <w:p>
            <w:pPr>
              <w:spacing w:line="360" w:lineRule="auto"/>
              <w:rPr>
                <w:rFonts w:hint="eastAsia" w:ascii="宋体" w:hAnsi="宋体" w:eastAsia="宋体" w:cs="宋体"/>
                <w:color w:val="auto"/>
                <w:szCs w:val="21"/>
              </w:rPr>
            </w:pPr>
            <w:r>
              <w:rPr>
                <w:rFonts w:hint="eastAsia" w:ascii="宋体" w:hAnsi="宋体" w:eastAsia="宋体" w:cs="宋体"/>
                <w:color w:val="auto"/>
                <w:szCs w:val="21"/>
              </w:rPr>
              <w:t>对领取采购文件而不参与项目投标（磋商）也未在规定期限内以书面形式告知采购（代理）机构以及不按照中标合同约定履约的供应商，财政部门将及时进行备案登记，年度内出现三次违约行为，将被列入失信供应商名单，按照《政府采购领域供应商违法失信“黑名单”信息共享和联合惩戒实施办法》进行处理。</w:t>
            </w:r>
          </w:p>
        </w:tc>
        <w:bookmarkStart w:id="14" w:name="_Hlt497548036"/>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trPr>
        <w:tc>
          <w:tcPr>
            <w:tcW w:w="884" w:type="dxa"/>
            <w:vAlign w:val="center"/>
          </w:tcPr>
          <w:p>
            <w:pPr>
              <w:numPr>
                <w:ilvl w:val="0"/>
                <w:numId w:val="3"/>
              </w:numPr>
              <w:rPr>
                <w:rFonts w:hint="eastAsia" w:ascii="宋体" w:hAnsi="宋体" w:eastAsia="宋体" w:cs="宋体"/>
                <w:color w:val="auto"/>
                <w:szCs w:val="21"/>
              </w:rPr>
            </w:pPr>
          </w:p>
        </w:tc>
        <w:tc>
          <w:tcPr>
            <w:tcW w:w="1785" w:type="dxa"/>
            <w:vAlign w:val="center"/>
          </w:tcPr>
          <w:p>
            <w:pPr>
              <w:jc w:val="center"/>
              <w:rPr>
                <w:rFonts w:hint="eastAsia" w:ascii="宋体" w:hAnsi="宋体" w:eastAsia="宋体" w:cs="宋体"/>
                <w:b/>
                <w:bCs/>
                <w:color w:val="auto"/>
                <w:szCs w:val="21"/>
                <w:lang w:eastAsia="zh-CN"/>
              </w:rPr>
            </w:pPr>
            <w:r>
              <w:rPr>
                <w:rFonts w:hint="eastAsia" w:ascii="宋体" w:hAnsi="宋体" w:eastAsia="宋体" w:cs="宋体"/>
                <w:b/>
                <w:bCs/>
                <w:color w:val="auto"/>
                <w:szCs w:val="21"/>
                <w:lang w:eastAsia="zh-CN"/>
              </w:rPr>
              <w:t>所属行业</w:t>
            </w:r>
          </w:p>
        </w:tc>
        <w:tc>
          <w:tcPr>
            <w:tcW w:w="6864" w:type="dxa"/>
            <w:vAlign w:val="center"/>
          </w:tcPr>
          <w:p>
            <w:pPr>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根据《工业和信息化部、国家统计局、国家发展和改革委员会、财政部关于印发中小企业划型标准规定的通知》（工信部联企业〔2011〕300号）对中小企业的划分标准的规定，本项目采购标对应的所属行业为</w:t>
            </w:r>
            <w:r>
              <w:rPr>
                <w:rFonts w:hint="eastAsia" w:ascii="宋体" w:hAnsi="宋体" w:eastAsia="宋体" w:cs="宋体"/>
                <w:b/>
                <w:bCs/>
                <w:color w:val="auto"/>
                <w:szCs w:val="21"/>
                <w:lang w:eastAsia="zh-CN"/>
              </w:rPr>
              <w:t>农业</w:t>
            </w:r>
            <w:r>
              <w:rPr>
                <w:rFonts w:hint="eastAsia" w:ascii="宋体" w:hAnsi="宋体" w:eastAsia="宋体" w:cs="宋体"/>
                <w:color w:val="auto"/>
                <w:szCs w:val="21"/>
                <w:lang w:eastAsia="zh-CN"/>
              </w:rPr>
              <w:t>：</w:t>
            </w:r>
          </w:p>
          <w:p>
            <w:pPr>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营业收入20000万元以下的为中小微型企业。其中，营业收入500万元及以上的为中型企业，营业收入50万元及以上的为小型企业，营业收入50万元以下的为微型企业。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trPr>
        <w:tc>
          <w:tcPr>
            <w:tcW w:w="884" w:type="dxa"/>
            <w:vAlign w:val="center"/>
          </w:tcPr>
          <w:p>
            <w:pPr>
              <w:numPr>
                <w:ilvl w:val="0"/>
                <w:numId w:val="3"/>
              </w:numPr>
              <w:rPr>
                <w:rFonts w:hint="eastAsia" w:ascii="宋体" w:hAnsi="宋体" w:eastAsia="宋体" w:cs="宋体"/>
                <w:color w:val="auto"/>
                <w:sz w:val="21"/>
                <w:szCs w:val="21"/>
              </w:rPr>
            </w:pPr>
          </w:p>
        </w:tc>
        <w:tc>
          <w:tcPr>
            <w:tcW w:w="1785" w:type="dxa"/>
            <w:vAlign w:val="center"/>
          </w:tcPr>
          <w:p>
            <w:pPr>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疫情防控措施</w:t>
            </w:r>
          </w:p>
        </w:tc>
        <w:tc>
          <w:tcPr>
            <w:tcW w:w="6864" w:type="dxa"/>
            <w:vAlign w:val="center"/>
          </w:tcPr>
          <w:p>
            <w:pPr>
              <w:pStyle w:val="220"/>
              <w:spacing w:line="44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1、投标人只需拟派1人参与本项目开标会议；</w:t>
            </w:r>
          </w:p>
          <w:p>
            <w:pPr>
              <w:pStyle w:val="220"/>
              <w:spacing w:line="44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2、投标人拟派人员必须注册</w:t>
            </w:r>
            <w:r>
              <w:rPr>
                <w:rFonts w:hint="eastAsia" w:ascii="宋体" w:hAnsi="宋体" w:eastAsia="宋体" w:cs="宋体"/>
                <w:color w:val="auto"/>
                <w:sz w:val="21"/>
                <w:szCs w:val="21"/>
                <w:lang w:val="en-US" w:eastAsia="zh-CN"/>
              </w:rPr>
              <w:t>陕西省</w:t>
            </w:r>
            <w:r>
              <w:rPr>
                <w:rFonts w:hint="eastAsia" w:ascii="宋体" w:hAnsi="宋体" w:eastAsia="宋体" w:cs="宋体"/>
                <w:color w:val="auto"/>
                <w:sz w:val="21"/>
                <w:szCs w:val="21"/>
              </w:rPr>
              <w:t>“一码通”且为绿码；</w:t>
            </w:r>
          </w:p>
          <w:p>
            <w:pPr>
              <w:pStyle w:val="220"/>
              <w:spacing w:line="44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3、投标人拟派人员经现场测量体温不得超过37℃；</w:t>
            </w:r>
          </w:p>
          <w:p>
            <w:pPr>
              <w:pStyle w:val="220"/>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4、参与开标会议的人员均需携带口罩等防护措施。</w:t>
            </w:r>
          </w:p>
        </w:tc>
      </w:tr>
      <w:bookmarkEnd w:id="5"/>
      <w:bookmarkEnd w:id="14"/>
    </w:tbl>
    <w:p>
      <w:pPr>
        <w:pStyle w:val="3"/>
        <w:spacing w:line="360" w:lineRule="auto"/>
        <w:jc w:val="center"/>
        <w:rPr>
          <w:rFonts w:hint="eastAsia" w:ascii="宋体" w:hAnsi="宋体" w:eastAsia="宋体" w:cs="宋体"/>
          <w:color w:val="auto"/>
          <w:sz w:val="36"/>
        </w:rPr>
        <w:sectPr>
          <w:footerReference r:id="rId6" w:type="default"/>
          <w:footnotePr>
            <w:pos w:val="beneathText"/>
          </w:footnotePr>
          <w:pgSz w:w="11906" w:h="16838"/>
          <w:pgMar w:top="1440" w:right="1423" w:bottom="1219" w:left="1644" w:header="720" w:footer="720" w:gutter="0"/>
          <w:cols w:space="720" w:num="1"/>
          <w:docGrid w:linePitch="312" w:charSpace="0"/>
        </w:sectPr>
      </w:pPr>
    </w:p>
    <w:p>
      <w:pPr>
        <w:pStyle w:val="3"/>
        <w:spacing w:line="360" w:lineRule="auto"/>
        <w:jc w:val="center"/>
        <w:rPr>
          <w:rFonts w:hint="eastAsia" w:ascii="宋体" w:hAnsi="宋体" w:eastAsia="宋体" w:cs="宋体"/>
          <w:color w:val="auto"/>
          <w:sz w:val="36"/>
        </w:rPr>
      </w:pPr>
      <w:bookmarkStart w:id="15" w:name="_Toc12112"/>
      <w:r>
        <w:rPr>
          <w:rFonts w:hint="eastAsia" w:ascii="宋体" w:hAnsi="宋体" w:eastAsia="宋体" w:cs="宋体"/>
          <w:color w:val="auto"/>
          <w:sz w:val="36"/>
        </w:rPr>
        <w:t>第三部分  磋商须知</w:t>
      </w:r>
      <w:bookmarkEnd w:id="6"/>
      <w:bookmarkEnd w:id="15"/>
    </w:p>
    <w:p>
      <w:pPr>
        <w:pStyle w:val="4"/>
        <w:spacing w:before="0" w:after="0" w:line="360" w:lineRule="auto"/>
        <w:jc w:val="center"/>
        <w:rPr>
          <w:rFonts w:hint="eastAsia" w:ascii="宋体" w:hAnsi="宋体" w:eastAsia="宋体" w:cs="宋体"/>
          <w:b w:val="0"/>
          <w:color w:val="auto"/>
          <w:sz w:val="36"/>
        </w:rPr>
      </w:pPr>
      <w:bookmarkStart w:id="16" w:name="_Toc423508220"/>
      <w:bookmarkStart w:id="17" w:name="_Toc101"/>
      <w:bookmarkStart w:id="18" w:name="_Toc246928895"/>
      <w:r>
        <w:rPr>
          <w:rFonts w:hint="eastAsia" w:ascii="宋体" w:hAnsi="宋体" w:eastAsia="宋体" w:cs="宋体"/>
          <w:b w:val="0"/>
          <w:color w:val="auto"/>
          <w:sz w:val="36"/>
        </w:rPr>
        <w:t>A 总则</w:t>
      </w:r>
      <w:bookmarkEnd w:id="16"/>
      <w:bookmarkEnd w:id="17"/>
      <w:bookmarkEnd w:id="18"/>
    </w:p>
    <w:p>
      <w:pPr>
        <w:pStyle w:val="5"/>
        <w:overflowPunct w:val="0"/>
        <w:adjustRightInd w:val="0"/>
        <w:snapToGrid w:val="0"/>
        <w:spacing w:before="0" w:after="0" w:line="360" w:lineRule="auto"/>
        <w:ind w:firstLine="482" w:firstLineChars="200"/>
        <w:rPr>
          <w:rFonts w:hint="eastAsia" w:ascii="宋体" w:hAnsi="宋体" w:eastAsia="宋体" w:cs="宋体"/>
          <w:color w:val="auto"/>
          <w:sz w:val="24"/>
          <w:szCs w:val="24"/>
        </w:rPr>
      </w:pPr>
      <w:bookmarkStart w:id="19" w:name="_Toc423508221"/>
      <w:bookmarkStart w:id="20" w:name="_Toc5027"/>
      <w:bookmarkStart w:id="21" w:name="_Toc246928896"/>
      <w:r>
        <w:rPr>
          <w:rFonts w:hint="eastAsia" w:ascii="宋体" w:hAnsi="宋体" w:eastAsia="宋体" w:cs="宋体"/>
          <w:color w:val="auto"/>
          <w:sz w:val="24"/>
          <w:szCs w:val="24"/>
        </w:rPr>
        <w:t>1. 适用范围</w:t>
      </w:r>
      <w:bookmarkEnd w:id="19"/>
      <w:bookmarkEnd w:id="20"/>
      <w:bookmarkEnd w:id="21"/>
    </w:p>
    <w:p>
      <w:pPr>
        <w:overflowPunct w:val="0"/>
        <w:adjustRightInd w:val="0"/>
        <w:snapToGrid w:val="0"/>
        <w:spacing w:line="360" w:lineRule="auto"/>
        <w:ind w:firstLine="480" w:firstLineChars="200"/>
        <w:rPr>
          <w:rFonts w:hint="eastAsia" w:ascii="宋体" w:hAnsi="宋体" w:eastAsia="宋体" w:cs="宋体"/>
          <w:color w:val="auto"/>
          <w:sz w:val="24"/>
        </w:rPr>
      </w:pPr>
      <w:bookmarkStart w:id="22" w:name="_Toc246928897"/>
      <w:r>
        <w:rPr>
          <w:rFonts w:hint="eastAsia" w:ascii="宋体" w:hAnsi="宋体" w:eastAsia="宋体" w:cs="宋体"/>
          <w:color w:val="auto"/>
          <w:sz w:val="24"/>
        </w:rPr>
        <w:t>1.1本竞争性磋商文件仅适用于本次竞争性磋商所叙述的货物（产品）项目采购活动。</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1.2本次采购属货务类政府采购，采购人，采购代理机构、供应商、磋商小组的相关行为均受《中华人民共和国政府采购法》、《政府采购竞争性磋商采购方式管理暂行办法》等财政部规章及政府采购项目所在地有关法规、规章的约束，其权利受到上述法律法规的保护。</w:t>
      </w:r>
    </w:p>
    <w:p>
      <w:pPr>
        <w:pStyle w:val="5"/>
        <w:overflowPunct w:val="0"/>
        <w:adjustRightInd w:val="0"/>
        <w:snapToGrid w:val="0"/>
        <w:spacing w:before="0" w:after="0" w:line="360" w:lineRule="auto"/>
        <w:ind w:firstLine="482" w:firstLineChars="200"/>
        <w:rPr>
          <w:rFonts w:hint="eastAsia" w:ascii="宋体" w:hAnsi="宋体" w:eastAsia="宋体" w:cs="宋体"/>
          <w:color w:val="auto"/>
          <w:sz w:val="24"/>
          <w:szCs w:val="24"/>
        </w:rPr>
      </w:pPr>
      <w:bookmarkStart w:id="23" w:name="_Toc423508222"/>
      <w:bookmarkStart w:id="24" w:name="_Toc28003"/>
      <w:r>
        <w:rPr>
          <w:rFonts w:hint="eastAsia" w:ascii="宋体" w:hAnsi="宋体" w:eastAsia="宋体" w:cs="宋体"/>
          <w:color w:val="auto"/>
          <w:sz w:val="24"/>
          <w:szCs w:val="24"/>
        </w:rPr>
        <w:t>2. 定义</w:t>
      </w:r>
      <w:bookmarkEnd w:id="22"/>
      <w:bookmarkEnd w:id="23"/>
      <w:bookmarkEnd w:id="24"/>
      <w:r>
        <w:rPr>
          <w:rFonts w:hint="eastAsia" w:ascii="宋体" w:hAnsi="宋体" w:eastAsia="宋体" w:cs="宋体"/>
          <w:color w:val="auto"/>
          <w:sz w:val="24"/>
          <w:szCs w:val="24"/>
        </w:rPr>
        <w:t xml:space="preserve"> </w:t>
      </w:r>
    </w:p>
    <w:p>
      <w:pPr>
        <w:autoSpaceDE w:val="0"/>
        <w:autoSpaceDN w:val="0"/>
        <w:adjustRightInd w:val="0"/>
        <w:spacing w:line="440" w:lineRule="exact"/>
        <w:ind w:right="6" w:firstLine="420"/>
        <w:rPr>
          <w:rFonts w:hint="eastAsia" w:ascii="宋体" w:hAnsi="宋体" w:eastAsia="宋体" w:cs="宋体"/>
          <w:color w:val="auto"/>
          <w:sz w:val="24"/>
          <w:szCs w:val="24"/>
        </w:rPr>
      </w:pPr>
      <w:bookmarkStart w:id="25" w:name="_Toc28903"/>
      <w:bookmarkStart w:id="26" w:name="_Toc246928898"/>
      <w:bookmarkStart w:id="27" w:name="_Toc423508223"/>
      <w:r>
        <w:rPr>
          <w:rFonts w:hint="eastAsia" w:ascii="宋体" w:hAnsi="宋体" w:eastAsia="宋体" w:cs="宋体"/>
          <w:color w:val="auto"/>
          <w:sz w:val="24"/>
          <w:szCs w:val="24"/>
        </w:rPr>
        <w:t>2.1“采购人”系指依法进行政府采购的国家机关、事业单位、团体组织。本次招标的采购人</w:t>
      </w:r>
      <w:r>
        <w:rPr>
          <w:rFonts w:hint="eastAsia" w:ascii="宋体" w:hAnsi="宋体" w:eastAsia="宋体" w:cs="宋体"/>
          <w:b/>
          <w:bCs/>
          <w:color w:val="auto"/>
          <w:sz w:val="24"/>
          <w:szCs w:val="24"/>
        </w:rPr>
        <w:t>镇安县农业农村局。</w:t>
      </w:r>
    </w:p>
    <w:p>
      <w:pPr>
        <w:autoSpaceDE w:val="0"/>
        <w:autoSpaceDN w:val="0"/>
        <w:adjustRightInd w:val="0"/>
        <w:spacing w:line="440" w:lineRule="exact"/>
        <w:ind w:right="6" w:firstLine="420"/>
        <w:rPr>
          <w:rFonts w:hint="eastAsia" w:ascii="宋体" w:hAnsi="宋体" w:eastAsia="宋体" w:cs="宋体"/>
          <w:color w:val="auto"/>
          <w:sz w:val="24"/>
          <w:szCs w:val="24"/>
        </w:rPr>
      </w:pPr>
      <w:r>
        <w:rPr>
          <w:rFonts w:hint="eastAsia" w:ascii="宋体" w:hAnsi="宋体" w:eastAsia="宋体" w:cs="宋体"/>
          <w:color w:val="auto"/>
          <w:sz w:val="24"/>
          <w:szCs w:val="24"/>
        </w:rPr>
        <w:t>2.2“采购代理机构”系指根据采购人的委托依法办理招标事宜的代理机构。本次招标的采购代理机构是</w:t>
      </w:r>
      <w:r>
        <w:rPr>
          <w:rFonts w:hint="eastAsia" w:ascii="宋体" w:hAnsi="宋体" w:eastAsia="宋体" w:cs="宋体"/>
          <w:b/>
          <w:color w:val="auto"/>
          <w:sz w:val="24"/>
          <w:szCs w:val="24"/>
        </w:rPr>
        <w:t>中昊泰达咨询集团有限公司</w:t>
      </w:r>
      <w:r>
        <w:rPr>
          <w:rFonts w:hint="eastAsia" w:ascii="宋体" w:hAnsi="宋体" w:eastAsia="宋体" w:cs="宋体"/>
          <w:color w:val="auto"/>
          <w:sz w:val="24"/>
          <w:szCs w:val="24"/>
        </w:rPr>
        <w:t>。</w:t>
      </w:r>
    </w:p>
    <w:p>
      <w:pPr>
        <w:autoSpaceDE w:val="0"/>
        <w:autoSpaceDN w:val="0"/>
        <w:adjustRightInd w:val="0"/>
        <w:spacing w:line="440" w:lineRule="exact"/>
        <w:ind w:right="6"/>
        <w:rPr>
          <w:rFonts w:hint="eastAsia" w:ascii="宋体" w:hAnsi="宋体" w:eastAsia="宋体" w:cs="宋体"/>
          <w:color w:val="auto"/>
          <w:sz w:val="24"/>
          <w:szCs w:val="24"/>
        </w:rPr>
      </w:pPr>
      <w:r>
        <w:rPr>
          <w:rFonts w:hint="eastAsia" w:ascii="宋体" w:hAnsi="宋体" w:eastAsia="宋体" w:cs="宋体"/>
          <w:color w:val="auto"/>
          <w:sz w:val="24"/>
          <w:szCs w:val="24"/>
        </w:rPr>
        <w:t xml:space="preserve">    2.3“供应商”系指购买了竞争性磋商文件拟参加磋商和向采购人提供货物及相应服务的磋商单位。</w:t>
      </w:r>
    </w:p>
    <w:p>
      <w:pPr>
        <w:autoSpaceDE w:val="0"/>
        <w:autoSpaceDN w:val="0"/>
        <w:adjustRightInd w:val="0"/>
        <w:spacing w:line="440" w:lineRule="exact"/>
        <w:ind w:right="6"/>
        <w:rPr>
          <w:rFonts w:hint="eastAsia" w:ascii="宋体" w:hAnsi="宋体" w:eastAsia="宋体" w:cs="宋体"/>
          <w:color w:val="auto"/>
          <w:sz w:val="24"/>
          <w:szCs w:val="24"/>
        </w:rPr>
      </w:pPr>
      <w:r>
        <w:rPr>
          <w:rFonts w:hint="eastAsia" w:ascii="宋体" w:hAnsi="宋体" w:eastAsia="宋体" w:cs="宋体"/>
          <w:color w:val="auto"/>
          <w:sz w:val="24"/>
          <w:szCs w:val="24"/>
        </w:rPr>
        <w:t xml:space="preserve">    2.4“货物”系指供应商按竞争性磋商文件规定，须向采购人提供的满足竞争性磋商文件要求的产品、设备、机械、仪器仪表、包装、备品配件、工具、使用说明以及所有有关的文件和材料。</w:t>
      </w:r>
    </w:p>
    <w:p>
      <w:pPr>
        <w:autoSpaceDE w:val="0"/>
        <w:autoSpaceDN w:val="0"/>
        <w:adjustRightInd w:val="0"/>
        <w:spacing w:line="440" w:lineRule="exact"/>
        <w:ind w:right="6"/>
        <w:rPr>
          <w:rFonts w:hint="eastAsia" w:ascii="宋体" w:hAnsi="宋体" w:eastAsia="宋体" w:cs="宋体"/>
          <w:color w:val="auto"/>
          <w:sz w:val="24"/>
          <w:szCs w:val="24"/>
        </w:rPr>
      </w:pPr>
      <w:r>
        <w:rPr>
          <w:rFonts w:hint="eastAsia" w:ascii="宋体" w:hAnsi="宋体" w:eastAsia="宋体" w:cs="宋体"/>
          <w:color w:val="auto"/>
          <w:sz w:val="24"/>
          <w:szCs w:val="24"/>
        </w:rPr>
        <w:t xml:space="preserve">    2.5“服务”系指竞争性磋商文件规定供应商须承担的产品设计及生产、有关运输、保险、技术支持以及其他使货物正常运转所必需的义务。</w:t>
      </w:r>
    </w:p>
    <w:p>
      <w:pPr>
        <w:pStyle w:val="5"/>
        <w:overflowPunct w:val="0"/>
        <w:adjustRightInd w:val="0"/>
        <w:snapToGrid w:val="0"/>
        <w:spacing w:before="0" w:after="0" w:line="360" w:lineRule="auto"/>
        <w:ind w:firstLine="482"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合格的供应商</w:t>
      </w:r>
      <w:bookmarkEnd w:id="25"/>
      <w:bookmarkEnd w:id="26"/>
      <w:bookmarkEnd w:id="27"/>
    </w:p>
    <w:p>
      <w:pPr>
        <w:overflowPunct w:val="0"/>
        <w:adjustRightInd w:val="0"/>
        <w:snapToGrid w:val="0"/>
        <w:spacing w:line="360" w:lineRule="auto"/>
        <w:ind w:firstLine="480" w:firstLineChars="200"/>
        <w:rPr>
          <w:rFonts w:hint="eastAsia" w:ascii="宋体" w:hAnsi="宋体" w:eastAsia="宋体" w:cs="宋体"/>
          <w:color w:val="auto"/>
          <w:sz w:val="24"/>
        </w:rPr>
      </w:pPr>
      <w:bookmarkStart w:id="28" w:name="_Toc246928899"/>
      <w:r>
        <w:rPr>
          <w:rFonts w:hint="eastAsia" w:ascii="宋体" w:hAnsi="宋体" w:eastAsia="宋体" w:cs="宋体"/>
          <w:color w:val="auto"/>
          <w:sz w:val="24"/>
        </w:rPr>
        <w:t>3.1 凡符合供应商资格要求且有能力提供本项目货物的供应商均可参加磋商采购活动。</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 供应商必须在磋商公告载明的地点购买磋商文件并登记备案，未经购买磋商文件并登记备案的潜在供应商均无资格参加本次磋商采购活动。</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3.3 供应商应参照《中华人民共和国政府采购法》、《政府采购竞争性磋商采购方式管理暂行办法》及其它有关的中国法律和法规。</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3.4 只有在法律上和财务上独立，合法运作，并独立于采购代理机构和采购人的供应商才能参加磋商采购活动。</w:t>
      </w:r>
    </w:p>
    <w:bookmarkEnd w:id="28"/>
    <w:p>
      <w:pPr>
        <w:pStyle w:val="5"/>
        <w:overflowPunct w:val="0"/>
        <w:adjustRightInd w:val="0"/>
        <w:snapToGrid w:val="0"/>
        <w:spacing w:before="0" w:after="0" w:line="360" w:lineRule="auto"/>
        <w:ind w:firstLine="482" w:firstLineChars="200"/>
        <w:rPr>
          <w:rFonts w:hint="eastAsia" w:ascii="宋体" w:hAnsi="宋体" w:eastAsia="宋体" w:cs="宋体"/>
          <w:color w:val="auto"/>
          <w:sz w:val="24"/>
          <w:szCs w:val="24"/>
        </w:rPr>
      </w:pPr>
      <w:bookmarkStart w:id="29" w:name="_Toc4733"/>
      <w:bookmarkStart w:id="30" w:name="_Toc423508224"/>
      <w:bookmarkStart w:id="31" w:name="_Toc311415574"/>
      <w:bookmarkStart w:id="32" w:name="_Toc246928900"/>
      <w:r>
        <w:rPr>
          <w:rFonts w:hint="eastAsia" w:ascii="宋体" w:hAnsi="宋体" w:eastAsia="宋体" w:cs="宋体"/>
          <w:color w:val="auto"/>
          <w:sz w:val="24"/>
          <w:szCs w:val="24"/>
        </w:rPr>
        <w:t xml:space="preserve">4. </w:t>
      </w:r>
      <w:bookmarkEnd w:id="29"/>
      <w:bookmarkEnd w:id="30"/>
      <w:bookmarkEnd w:id="31"/>
      <w:r>
        <w:rPr>
          <w:rFonts w:hint="eastAsia" w:ascii="宋体" w:hAnsi="宋体" w:eastAsia="宋体" w:cs="宋体"/>
          <w:color w:val="auto"/>
          <w:sz w:val="24"/>
          <w:szCs w:val="24"/>
        </w:rPr>
        <w:t>磋商货物和服务的合格性和合法性</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4.1磋商货物和服务应满足竞争性竞争性磋商文件的要求，并应符合国家法律法规、行业管理部门所要求的其他强制性标准。</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4.2通过签署磋商响应文件，供应商应确认其为所供货物和服务的知识产权的合法所有人，或已经从其所有人那里得到了适当的授权。在此方面恶意地提供错误事实，将导致磋商被拒绝。</w:t>
      </w:r>
    </w:p>
    <w:p>
      <w:pPr>
        <w:pStyle w:val="5"/>
        <w:overflowPunct w:val="0"/>
        <w:adjustRightInd w:val="0"/>
        <w:snapToGrid w:val="0"/>
        <w:spacing w:before="0" w:after="0" w:line="360" w:lineRule="auto"/>
        <w:ind w:firstLine="482" w:firstLineChars="200"/>
        <w:rPr>
          <w:rFonts w:hint="eastAsia" w:ascii="宋体" w:hAnsi="宋体" w:eastAsia="宋体" w:cs="宋体"/>
          <w:color w:val="auto"/>
          <w:sz w:val="24"/>
          <w:szCs w:val="24"/>
        </w:rPr>
      </w:pPr>
      <w:bookmarkStart w:id="33" w:name="_Toc423508225"/>
      <w:bookmarkStart w:id="34" w:name="_Toc311415575"/>
      <w:bookmarkStart w:id="35" w:name="_Toc19975"/>
      <w:r>
        <w:rPr>
          <w:rFonts w:hint="eastAsia" w:ascii="宋体" w:hAnsi="宋体" w:eastAsia="宋体" w:cs="宋体"/>
          <w:color w:val="auto"/>
          <w:sz w:val="24"/>
          <w:szCs w:val="24"/>
        </w:rPr>
        <w:t>5. 费用</w:t>
      </w:r>
      <w:bookmarkEnd w:id="33"/>
      <w:bookmarkEnd w:id="34"/>
      <w:bookmarkEnd w:id="35"/>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5.1 供应商应承担磋商过程中的费用。包括（但不限于）购买磋商文件、编写和提交响应文件、踏勘现场等完成本项目的所有费用。</w:t>
      </w:r>
    </w:p>
    <w:p>
      <w:pPr>
        <w:pStyle w:val="4"/>
        <w:spacing w:line="360" w:lineRule="auto"/>
        <w:jc w:val="center"/>
        <w:rPr>
          <w:rFonts w:hint="eastAsia" w:ascii="宋体" w:hAnsi="宋体" w:eastAsia="宋体" w:cs="宋体"/>
          <w:b w:val="0"/>
          <w:color w:val="auto"/>
          <w:sz w:val="44"/>
        </w:rPr>
      </w:pPr>
      <w:bookmarkStart w:id="36" w:name="_Toc423508226"/>
      <w:bookmarkStart w:id="37" w:name="_Toc3189"/>
      <w:r>
        <w:rPr>
          <w:rFonts w:hint="eastAsia" w:ascii="宋体" w:hAnsi="宋体" w:eastAsia="宋体" w:cs="宋体"/>
          <w:b w:val="0"/>
          <w:color w:val="auto"/>
          <w:sz w:val="44"/>
        </w:rPr>
        <w:t>B 磋商文件说明</w:t>
      </w:r>
      <w:bookmarkEnd w:id="32"/>
      <w:bookmarkEnd w:id="36"/>
      <w:bookmarkEnd w:id="37"/>
    </w:p>
    <w:p>
      <w:pPr>
        <w:pStyle w:val="5"/>
        <w:overflowPunct w:val="0"/>
        <w:adjustRightInd w:val="0"/>
        <w:snapToGrid w:val="0"/>
        <w:spacing w:before="0" w:after="0" w:line="360" w:lineRule="auto"/>
        <w:ind w:firstLine="482" w:firstLineChars="200"/>
        <w:rPr>
          <w:rFonts w:hint="eastAsia" w:ascii="宋体" w:hAnsi="宋体" w:eastAsia="宋体" w:cs="宋体"/>
          <w:color w:val="auto"/>
          <w:sz w:val="24"/>
          <w:szCs w:val="24"/>
        </w:rPr>
      </w:pPr>
      <w:bookmarkStart w:id="38" w:name="_Toc18486"/>
      <w:bookmarkStart w:id="39" w:name="_Toc423508227"/>
      <w:bookmarkStart w:id="40" w:name="_Toc246928901"/>
      <w:r>
        <w:rPr>
          <w:rFonts w:hint="eastAsia" w:ascii="宋体" w:hAnsi="宋体" w:eastAsia="宋体" w:cs="宋体"/>
          <w:color w:val="auto"/>
          <w:sz w:val="24"/>
          <w:szCs w:val="24"/>
        </w:rPr>
        <w:t>6．磋商文件的构成</w:t>
      </w:r>
      <w:bookmarkEnd w:id="38"/>
      <w:bookmarkEnd w:id="39"/>
      <w:bookmarkEnd w:id="40"/>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6.1 磋商文件用以阐明所需提供的货物、服务、采购、磋商程序和合同条件。磋商文件包括：</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6.1.1 竞争性磋商公告；</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6.1.2 磋商须知前附表；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6.1.3 磋商须知；</w:t>
      </w:r>
    </w:p>
    <w:p>
      <w:pPr>
        <w:pStyle w:val="17"/>
        <w:spacing w:line="360" w:lineRule="auto"/>
        <w:ind w:firstLine="480" w:firstLineChars="200"/>
        <w:rPr>
          <w:rFonts w:hint="eastAsia" w:ascii="宋体" w:hAnsi="宋体" w:eastAsia="宋体" w:cs="宋体"/>
          <w:b w:val="0"/>
          <w:color w:val="auto"/>
          <w:sz w:val="24"/>
        </w:rPr>
      </w:pPr>
      <w:r>
        <w:rPr>
          <w:rFonts w:hint="eastAsia" w:ascii="宋体" w:hAnsi="宋体" w:eastAsia="宋体" w:cs="宋体"/>
          <w:b w:val="0"/>
          <w:color w:val="auto"/>
          <w:sz w:val="24"/>
        </w:rPr>
        <w:t>6.1.4评审办法</w:t>
      </w:r>
    </w:p>
    <w:p>
      <w:pPr>
        <w:tabs>
          <w:tab w:val="left" w:pos="241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6.1.5 合同主要条款；</w:t>
      </w:r>
      <w:r>
        <w:rPr>
          <w:rFonts w:hint="eastAsia" w:ascii="宋体" w:hAnsi="宋体" w:eastAsia="宋体" w:cs="宋体"/>
          <w:color w:val="auto"/>
          <w:sz w:val="24"/>
        </w:rPr>
        <w:tab/>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6.1.6 磋商响应文件格式；</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6.1.7 采购内容及要求。</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6.2供应商应认真阅读磋商文件中所有的事项、格式条款和规范要求等。供应商没有对磋商文件做出实质性响应的文件将可能被拒绝。</w:t>
      </w:r>
      <w:bookmarkStart w:id="41" w:name="_Toc246928902"/>
    </w:p>
    <w:p>
      <w:pPr>
        <w:pStyle w:val="5"/>
        <w:overflowPunct w:val="0"/>
        <w:adjustRightInd w:val="0"/>
        <w:snapToGrid w:val="0"/>
        <w:spacing w:before="0" w:after="0" w:line="360" w:lineRule="auto"/>
        <w:ind w:firstLine="482" w:firstLineChars="200"/>
        <w:rPr>
          <w:rFonts w:hint="eastAsia" w:ascii="宋体" w:hAnsi="宋体" w:eastAsia="宋体" w:cs="宋体"/>
          <w:color w:val="auto"/>
          <w:sz w:val="24"/>
          <w:szCs w:val="24"/>
        </w:rPr>
      </w:pPr>
      <w:bookmarkStart w:id="42" w:name="_Toc4423"/>
      <w:bookmarkStart w:id="43" w:name="_Toc423508228"/>
      <w:r>
        <w:rPr>
          <w:rFonts w:hint="eastAsia" w:ascii="宋体" w:hAnsi="宋体" w:eastAsia="宋体" w:cs="宋体"/>
          <w:color w:val="auto"/>
          <w:sz w:val="24"/>
          <w:szCs w:val="24"/>
        </w:rPr>
        <w:t>7．磋商文件的澄清</w:t>
      </w:r>
      <w:bookmarkEnd w:id="41"/>
      <w:bookmarkEnd w:id="42"/>
      <w:bookmarkEnd w:id="43"/>
    </w:p>
    <w:p>
      <w:pPr>
        <w:overflowPunct w:val="0"/>
        <w:adjustRightInd w:val="0"/>
        <w:snapToGrid w:val="0"/>
        <w:spacing w:line="360" w:lineRule="auto"/>
        <w:ind w:firstLine="480" w:firstLineChars="200"/>
        <w:rPr>
          <w:rFonts w:hint="eastAsia" w:ascii="宋体" w:hAnsi="宋体" w:eastAsia="宋体" w:cs="宋体"/>
          <w:color w:val="auto"/>
          <w:sz w:val="24"/>
        </w:rPr>
      </w:pPr>
      <w:bookmarkStart w:id="44" w:name="_Toc246928903"/>
      <w:r>
        <w:rPr>
          <w:rFonts w:hint="eastAsia" w:ascii="宋体" w:hAnsi="宋体" w:eastAsia="宋体" w:cs="宋体"/>
          <w:color w:val="auto"/>
          <w:sz w:val="24"/>
        </w:rPr>
        <w:t>7.1 任何要求对磋商文件澄清的供应商，应在购买磋商文件后、磋商响应文件提交截止日3天前以书面形式通知采购代理机构。采购代理机构将以书面形式予以答复，涉及变更或修正内容在政府采购发布媒体上发布更正公告，并以书面形式通知所有磋商文件收受人，且作为磋商文件的组成部分。</w:t>
      </w:r>
    </w:p>
    <w:p>
      <w:pPr>
        <w:pStyle w:val="5"/>
        <w:overflowPunct w:val="0"/>
        <w:adjustRightInd w:val="0"/>
        <w:snapToGrid w:val="0"/>
        <w:spacing w:before="0" w:after="0" w:line="360" w:lineRule="auto"/>
        <w:ind w:firstLine="482" w:firstLineChars="200"/>
        <w:rPr>
          <w:rFonts w:hint="eastAsia" w:ascii="宋体" w:hAnsi="宋体" w:eastAsia="宋体" w:cs="宋体"/>
          <w:color w:val="auto"/>
          <w:sz w:val="24"/>
          <w:szCs w:val="24"/>
        </w:rPr>
      </w:pPr>
      <w:bookmarkStart w:id="45" w:name="_Toc23755"/>
      <w:bookmarkStart w:id="46" w:name="_Toc423508229"/>
      <w:r>
        <w:rPr>
          <w:rFonts w:hint="eastAsia" w:ascii="宋体" w:hAnsi="宋体" w:eastAsia="宋体" w:cs="宋体"/>
          <w:color w:val="auto"/>
          <w:sz w:val="24"/>
          <w:szCs w:val="24"/>
        </w:rPr>
        <w:t>8．磋商文件的修改</w:t>
      </w:r>
      <w:bookmarkEnd w:id="44"/>
      <w:bookmarkEnd w:id="45"/>
      <w:bookmarkEnd w:id="46"/>
    </w:p>
    <w:p>
      <w:pPr>
        <w:overflowPunct w:val="0"/>
        <w:adjustRightInd w:val="0"/>
        <w:snapToGrid w:val="0"/>
        <w:spacing w:line="360" w:lineRule="auto"/>
        <w:ind w:firstLine="480" w:firstLineChars="200"/>
        <w:rPr>
          <w:rFonts w:hint="eastAsia" w:ascii="宋体" w:hAnsi="宋体" w:eastAsia="宋体" w:cs="宋体"/>
          <w:color w:val="auto"/>
          <w:sz w:val="24"/>
        </w:rPr>
      </w:pPr>
      <w:bookmarkStart w:id="47" w:name="_Toc283240488"/>
      <w:bookmarkStart w:id="48" w:name="_Toc332874421"/>
      <w:bookmarkStart w:id="49" w:name="_Toc283626504"/>
      <w:bookmarkStart w:id="50" w:name="_Toc409684168"/>
      <w:bookmarkStart w:id="51" w:name="_Toc311415580"/>
      <w:bookmarkStart w:id="52" w:name="_Toc389620207"/>
      <w:bookmarkStart w:id="53" w:name="_Toc246928929"/>
      <w:bookmarkStart w:id="54" w:name="_Toc385992368"/>
      <w:r>
        <w:rPr>
          <w:rFonts w:hint="eastAsia" w:ascii="宋体" w:hAnsi="宋体" w:eastAsia="宋体" w:cs="宋体"/>
          <w:color w:val="auto"/>
          <w:sz w:val="24"/>
        </w:rPr>
        <w:t>8.1 在磋商文件要求提交响应文件截止时间前，无论出于何种原因，采购人可主动地或在解答供应商要求澄清的问题时对磋商文件进行修改。</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8.2 磋商文件的修改将以书面形式通知所有磋商文件的收受人，供应商在收到该通知后应立即以传真的形式予以确认。</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8.3 为使供应商在准备响应文件时，有充分的时间对磋商文件的修改进行研究考虑，采购人可自行决定，酌情推迟磋商截止日期，并以书面形式通知所有已购买磋商文件的供应商。</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8.4 磋商文件的修改书将构成磋商文件的一部分，对采购人和供应商都具有约束力。</w:t>
      </w:r>
    </w:p>
    <w:p>
      <w:pPr>
        <w:pStyle w:val="4"/>
        <w:spacing w:line="360" w:lineRule="auto"/>
        <w:jc w:val="center"/>
        <w:rPr>
          <w:rFonts w:hint="eastAsia" w:ascii="宋体" w:hAnsi="宋体" w:eastAsia="宋体" w:cs="宋体"/>
          <w:b w:val="0"/>
          <w:color w:val="auto"/>
          <w:sz w:val="44"/>
        </w:rPr>
      </w:pPr>
      <w:bookmarkStart w:id="55" w:name="_Toc29452"/>
      <w:bookmarkStart w:id="56" w:name="_Toc423508230"/>
      <w:r>
        <w:rPr>
          <w:rFonts w:hint="eastAsia" w:ascii="宋体" w:hAnsi="宋体" w:eastAsia="宋体" w:cs="宋体"/>
          <w:b w:val="0"/>
          <w:color w:val="auto"/>
          <w:sz w:val="44"/>
        </w:rPr>
        <w:t>C．响应文件的编写</w:t>
      </w:r>
      <w:bookmarkEnd w:id="47"/>
      <w:bookmarkEnd w:id="48"/>
      <w:bookmarkEnd w:id="49"/>
      <w:bookmarkEnd w:id="50"/>
      <w:bookmarkEnd w:id="51"/>
      <w:bookmarkEnd w:id="55"/>
      <w:bookmarkEnd w:id="56"/>
    </w:p>
    <w:p>
      <w:pPr>
        <w:pStyle w:val="5"/>
        <w:overflowPunct w:val="0"/>
        <w:adjustRightInd w:val="0"/>
        <w:snapToGrid w:val="0"/>
        <w:spacing w:before="0" w:after="0" w:line="360" w:lineRule="auto"/>
        <w:ind w:firstLine="482" w:firstLineChars="200"/>
        <w:rPr>
          <w:rFonts w:hint="eastAsia" w:ascii="宋体" w:hAnsi="宋体" w:eastAsia="宋体" w:cs="宋体"/>
          <w:color w:val="auto"/>
          <w:sz w:val="24"/>
          <w:szCs w:val="24"/>
        </w:rPr>
      </w:pPr>
      <w:bookmarkStart w:id="57" w:name="_Toc423508231"/>
      <w:bookmarkStart w:id="58" w:name="_Toc311415581"/>
      <w:bookmarkStart w:id="59" w:name="_Toc16147"/>
      <w:r>
        <w:rPr>
          <w:rFonts w:hint="eastAsia" w:ascii="宋体" w:hAnsi="宋体" w:eastAsia="宋体" w:cs="宋体"/>
          <w:color w:val="auto"/>
          <w:sz w:val="24"/>
          <w:szCs w:val="24"/>
        </w:rPr>
        <w:t>9．响应文件编制的原则</w:t>
      </w:r>
      <w:bookmarkEnd w:id="57"/>
      <w:bookmarkEnd w:id="58"/>
      <w:bookmarkEnd w:id="59"/>
    </w:p>
    <w:p>
      <w:pPr>
        <w:overflowPunct w:val="0"/>
        <w:adjustRightInd w:val="0"/>
        <w:snapToGrid w:val="0"/>
        <w:spacing w:line="360" w:lineRule="auto"/>
        <w:ind w:firstLine="480" w:firstLineChars="200"/>
        <w:rPr>
          <w:rFonts w:hint="eastAsia" w:ascii="宋体" w:hAnsi="宋体" w:eastAsia="宋体" w:cs="宋体"/>
          <w:color w:val="auto"/>
          <w:sz w:val="24"/>
        </w:rPr>
      </w:pPr>
      <w:bookmarkStart w:id="60" w:name="_Toc311415582"/>
      <w:r>
        <w:rPr>
          <w:rFonts w:hint="eastAsia" w:ascii="宋体" w:hAnsi="宋体" w:eastAsia="宋体" w:cs="宋体"/>
          <w:color w:val="auto"/>
          <w:sz w:val="24"/>
        </w:rPr>
        <w:t>9.1 供应商应在认真阅读磋商文件所有内容的基础上，按照磋商文件的要求编制完整的响应文件。磋商文件中对响应文件格式有要求的，应按格式逐项填写内容，不准有空项；无相应内容可填的项应填写“无”、“没有相应指标”等明确的回答文字。响应文件中留有空项的，将被视为不完整响应的响应文件，其将有可能被拒绝。</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9.2 供应商必须保证响应文件所提供的全部资料真实可靠，并接受对其中任何资料进一步审查的要求。</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9.3 响应文件须对磋商文件中的内容做出实质性和完整的响应，否则其将被拒绝。</w:t>
      </w:r>
    </w:p>
    <w:p>
      <w:pPr>
        <w:pStyle w:val="5"/>
        <w:overflowPunct w:val="0"/>
        <w:adjustRightInd w:val="0"/>
        <w:snapToGrid w:val="0"/>
        <w:spacing w:before="0" w:after="0" w:line="360" w:lineRule="auto"/>
        <w:ind w:firstLine="482" w:firstLineChars="200"/>
        <w:rPr>
          <w:rFonts w:hint="eastAsia" w:ascii="宋体" w:hAnsi="宋体" w:eastAsia="宋体" w:cs="宋体"/>
          <w:color w:val="auto"/>
          <w:sz w:val="24"/>
          <w:szCs w:val="24"/>
        </w:rPr>
      </w:pPr>
      <w:bookmarkStart w:id="61" w:name="_Toc423508232"/>
      <w:bookmarkStart w:id="62" w:name="_Toc782"/>
      <w:r>
        <w:rPr>
          <w:rFonts w:hint="eastAsia" w:ascii="宋体" w:hAnsi="宋体" w:eastAsia="宋体" w:cs="宋体"/>
          <w:color w:val="auto"/>
          <w:sz w:val="24"/>
          <w:szCs w:val="24"/>
        </w:rPr>
        <w:t>10．磋商语言</w:t>
      </w:r>
      <w:bookmarkEnd w:id="60"/>
      <w:bookmarkEnd w:id="61"/>
      <w:bookmarkEnd w:id="62"/>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10.1 由供应商编写的响应文件和往来信件应以中文书写。</w:t>
      </w:r>
    </w:p>
    <w:p>
      <w:pPr>
        <w:pStyle w:val="5"/>
        <w:overflowPunct w:val="0"/>
        <w:adjustRightInd w:val="0"/>
        <w:snapToGrid w:val="0"/>
        <w:spacing w:before="0" w:after="0" w:line="360" w:lineRule="auto"/>
        <w:ind w:firstLine="482" w:firstLineChars="200"/>
        <w:rPr>
          <w:rFonts w:hint="eastAsia" w:ascii="宋体" w:hAnsi="宋体" w:eastAsia="宋体" w:cs="宋体"/>
          <w:color w:val="auto"/>
          <w:sz w:val="24"/>
          <w:szCs w:val="24"/>
        </w:rPr>
      </w:pPr>
      <w:bookmarkStart w:id="63" w:name="_Toc423508233"/>
      <w:bookmarkStart w:id="64" w:name="_Toc409"/>
      <w:bookmarkStart w:id="65" w:name="_Toc311415583"/>
      <w:r>
        <w:rPr>
          <w:rFonts w:hint="eastAsia" w:ascii="宋体" w:hAnsi="宋体" w:eastAsia="宋体" w:cs="宋体"/>
          <w:color w:val="auto"/>
          <w:sz w:val="24"/>
          <w:szCs w:val="24"/>
        </w:rPr>
        <w:t>11．计量单位</w:t>
      </w:r>
      <w:bookmarkEnd w:id="63"/>
      <w:bookmarkEnd w:id="64"/>
      <w:bookmarkEnd w:id="65"/>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11.1 除在磋商文件的技术规格中另有规定外，计量单位应使用中华人民共和国法定计量单位。</w:t>
      </w:r>
    </w:p>
    <w:p>
      <w:pPr>
        <w:pStyle w:val="5"/>
        <w:overflowPunct w:val="0"/>
        <w:adjustRightInd w:val="0"/>
        <w:snapToGrid w:val="0"/>
        <w:spacing w:before="0" w:after="0" w:line="360" w:lineRule="auto"/>
        <w:ind w:firstLine="482" w:firstLineChars="200"/>
        <w:rPr>
          <w:rFonts w:hint="eastAsia" w:ascii="宋体" w:hAnsi="宋体" w:eastAsia="宋体" w:cs="宋体"/>
          <w:color w:val="auto"/>
          <w:sz w:val="24"/>
          <w:szCs w:val="24"/>
        </w:rPr>
      </w:pPr>
      <w:bookmarkStart w:id="66" w:name="_Toc311415584"/>
      <w:bookmarkStart w:id="67" w:name="_Toc423508234"/>
      <w:bookmarkStart w:id="68" w:name="_Toc7794"/>
      <w:r>
        <w:rPr>
          <w:rFonts w:hint="eastAsia" w:ascii="宋体" w:hAnsi="宋体" w:eastAsia="宋体" w:cs="宋体"/>
          <w:color w:val="auto"/>
          <w:sz w:val="24"/>
          <w:szCs w:val="24"/>
        </w:rPr>
        <w:t>12．响应文件的组成</w:t>
      </w:r>
      <w:bookmarkEnd w:id="66"/>
      <w:bookmarkEnd w:id="67"/>
      <w:bookmarkEnd w:id="68"/>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12.1采购人只接受供应商提供的唯一响应方案，不接受任何有选择的方案和报价（包括有条件的折扣）。供应商未按要求，提供了选择方案和/或报价的，其磋商将被拒绝。</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12.2 供应商编写的响应文件应包括下列部分：</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(1) 磋商响应函、磋商报价表以及所有附件内容。</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(2) 按照供应商须知出具的供应商资格证明文件。</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(3) 按照供应商须知出具的报价符合磋商文件规定的证明文件及供应商认为需加以说明的其他内容。</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(4) 磋商文件要求供应商提供的其他内容。</w:t>
      </w:r>
    </w:p>
    <w:p>
      <w:pPr>
        <w:pStyle w:val="5"/>
        <w:overflowPunct w:val="0"/>
        <w:adjustRightInd w:val="0"/>
        <w:snapToGrid w:val="0"/>
        <w:spacing w:before="0" w:after="0" w:line="360" w:lineRule="auto"/>
        <w:ind w:firstLine="482" w:firstLineChars="200"/>
        <w:rPr>
          <w:rFonts w:hint="eastAsia" w:ascii="宋体" w:hAnsi="宋体" w:eastAsia="宋体" w:cs="宋体"/>
          <w:color w:val="auto"/>
          <w:sz w:val="24"/>
          <w:szCs w:val="24"/>
        </w:rPr>
      </w:pPr>
      <w:bookmarkStart w:id="69" w:name="_Toc22189"/>
      <w:bookmarkStart w:id="70" w:name="_Toc423508235"/>
      <w:bookmarkStart w:id="71" w:name="_Toc311415585"/>
      <w:r>
        <w:rPr>
          <w:rFonts w:hint="eastAsia" w:ascii="宋体" w:hAnsi="宋体" w:eastAsia="宋体" w:cs="宋体"/>
          <w:color w:val="auto"/>
          <w:sz w:val="24"/>
          <w:szCs w:val="24"/>
        </w:rPr>
        <w:t>13．响应文件格式</w:t>
      </w:r>
      <w:bookmarkEnd w:id="69"/>
      <w:bookmarkEnd w:id="70"/>
      <w:bookmarkEnd w:id="71"/>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13.1 供应商应按磋商文件中提供的响应文件格式填写“磋商响应函”、“磋商报价表”以及其他相关文件。</w:t>
      </w:r>
    </w:p>
    <w:p>
      <w:pPr>
        <w:pStyle w:val="5"/>
        <w:overflowPunct w:val="0"/>
        <w:adjustRightInd w:val="0"/>
        <w:snapToGrid w:val="0"/>
        <w:spacing w:before="0" w:after="0" w:line="360" w:lineRule="auto"/>
        <w:ind w:firstLine="482" w:firstLineChars="200"/>
        <w:rPr>
          <w:rFonts w:hint="eastAsia" w:ascii="宋体" w:hAnsi="宋体" w:eastAsia="宋体" w:cs="宋体"/>
          <w:color w:val="auto"/>
          <w:sz w:val="24"/>
          <w:szCs w:val="24"/>
        </w:rPr>
      </w:pPr>
      <w:bookmarkStart w:id="72" w:name="_Toc423508236"/>
      <w:bookmarkStart w:id="73" w:name="_Toc311415586"/>
      <w:bookmarkStart w:id="74" w:name="_Toc14615"/>
      <w:r>
        <w:rPr>
          <w:rFonts w:hint="eastAsia" w:ascii="宋体" w:hAnsi="宋体" w:eastAsia="宋体" w:cs="宋体"/>
          <w:color w:val="auto"/>
          <w:sz w:val="24"/>
          <w:szCs w:val="24"/>
        </w:rPr>
        <w:t>14．磋商报价</w:t>
      </w:r>
      <w:bookmarkEnd w:id="72"/>
      <w:bookmarkEnd w:id="73"/>
      <w:bookmarkEnd w:id="74"/>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14.1 供应商应对所列的所有要求按项目进行响应，不得将采购内容拆开。</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14.2 磋商报价应包括完成本项目采购的所有费用。磋商报价将不会因国家政策调整及市场变化因素而得到调整。</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14.3 </w:t>
      </w:r>
      <w:r>
        <w:rPr>
          <w:rFonts w:hint="eastAsia" w:ascii="宋体" w:hAnsi="宋体" w:eastAsia="宋体" w:cs="宋体"/>
          <w:color w:val="auto"/>
          <w:sz w:val="24"/>
          <w:szCs w:val="22"/>
        </w:rPr>
        <w:t>凡本磋商文件要求（或允许）报价的内容，</w:t>
      </w:r>
      <w:r>
        <w:rPr>
          <w:rFonts w:hint="eastAsia" w:ascii="宋体" w:hAnsi="宋体" w:eastAsia="宋体" w:cs="宋体"/>
          <w:color w:val="auto"/>
          <w:sz w:val="24"/>
        </w:rPr>
        <w:t>若报价时未报或未在响应文件中予以说明，采购人将认为这些费用供应商已计取，并包含在总报价中（项目内容、项目量调整除外）。</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14.4 采购人只接受供应商提供的唯一响应方案，不接受备选方案。</w:t>
      </w:r>
    </w:p>
    <w:p>
      <w:pPr>
        <w:pStyle w:val="5"/>
        <w:overflowPunct w:val="0"/>
        <w:adjustRightInd w:val="0"/>
        <w:snapToGrid w:val="0"/>
        <w:spacing w:before="0" w:after="0" w:line="360" w:lineRule="auto"/>
        <w:ind w:firstLine="482" w:firstLineChars="200"/>
        <w:rPr>
          <w:rFonts w:hint="eastAsia" w:ascii="宋体" w:hAnsi="宋体" w:eastAsia="宋体" w:cs="宋体"/>
          <w:color w:val="auto"/>
          <w:sz w:val="24"/>
          <w:szCs w:val="24"/>
        </w:rPr>
      </w:pPr>
      <w:bookmarkStart w:id="75" w:name="_Toc423508237"/>
      <w:bookmarkStart w:id="76" w:name="_Toc311415587"/>
      <w:bookmarkStart w:id="77" w:name="_Toc2616"/>
      <w:r>
        <w:rPr>
          <w:rFonts w:hint="eastAsia" w:ascii="宋体" w:hAnsi="宋体" w:eastAsia="宋体" w:cs="宋体"/>
          <w:color w:val="auto"/>
          <w:sz w:val="24"/>
          <w:szCs w:val="24"/>
        </w:rPr>
        <w:t>15．磋商货币</w:t>
      </w:r>
      <w:bookmarkEnd w:id="75"/>
      <w:bookmarkEnd w:id="76"/>
      <w:bookmarkEnd w:id="77"/>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15.1 采购人只接受人民币作为唯一磋商货币。</w:t>
      </w:r>
    </w:p>
    <w:p>
      <w:pPr>
        <w:pStyle w:val="5"/>
        <w:overflowPunct w:val="0"/>
        <w:adjustRightInd w:val="0"/>
        <w:snapToGrid w:val="0"/>
        <w:spacing w:before="0" w:after="0" w:line="360" w:lineRule="auto"/>
        <w:ind w:firstLine="482" w:firstLineChars="200"/>
        <w:rPr>
          <w:rFonts w:hint="eastAsia" w:ascii="宋体" w:hAnsi="宋体" w:eastAsia="宋体" w:cs="宋体"/>
          <w:color w:val="auto"/>
          <w:sz w:val="24"/>
          <w:szCs w:val="24"/>
        </w:rPr>
      </w:pPr>
      <w:bookmarkStart w:id="78" w:name="_Toc8357"/>
      <w:bookmarkStart w:id="79" w:name="_Toc423508238"/>
      <w:bookmarkStart w:id="80" w:name="_Toc311415588"/>
      <w:r>
        <w:rPr>
          <w:rFonts w:hint="eastAsia" w:ascii="宋体" w:hAnsi="宋体" w:eastAsia="宋体" w:cs="宋体"/>
          <w:color w:val="auto"/>
          <w:sz w:val="24"/>
          <w:szCs w:val="24"/>
        </w:rPr>
        <w:t>16．证明供应商资格的证明文件</w:t>
      </w:r>
      <w:bookmarkEnd w:id="78"/>
      <w:bookmarkEnd w:id="79"/>
      <w:bookmarkEnd w:id="80"/>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16.1 供应商必须按要求提交证明文件，以证明其有资格参加磋商和成交后有履行合同的能力，并作为其响应文件的一部分。</w:t>
      </w:r>
    </w:p>
    <w:p>
      <w:pPr>
        <w:pStyle w:val="5"/>
        <w:overflowPunct w:val="0"/>
        <w:adjustRightInd w:val="0"/>
        <w:snapToGrid w:val="0"/>
        <w:spacing w:before="0" w:after="0" w:line="360" w:lineRule="auto"/>
        <w:ind w:firstLine="482" w:firstLineChars="200"/>
        <w:rPr>
          <w:rFonts w:hint="eastAsia" w:ascii="宋体" w:hAnsi="宋体" w:eastAsia="宋体" w:cs="宋体"/>
          <w:color w:val="auto"/>
          <w:sz w:val="24"/>
          <w:szCs w:val="24"/>
        </w:rPr>
      </w:pPr>
      <w:bookmarkStart w:id="81" w:name="_Toc10016"/>
      <w:bookmarkStart w:id="82" w:name="_Toc311415589"/>
      <w:bookmarkStart w:id="83" w:name="_Toc423508239"/>
      <w:r>
        <w:rPr>
          <w:rFonts w:hint="eastAsia" w:ascii="宋体" w:hAnsi="宋体" w:eastAsia="宋体" w:cs="宋体"/>
          <w:color w:val="auto"/>
          <w:sz w:val="24"/>
          <w:szCs w:val="24"/>
        </w:rPr>
        <w:t>17．</w:t>
      </w:r>
      <w:bookmarkEnd w:id="81"/>
      <w:bookmarkEnd w:id="82"/>
      <w:bookmarkEnd w:id="83"/>
      <w:r>
        <w:rPr>
          <w:rFonts w:hint="eastAsia" w:ascii="宋体" w:hAnsi="宋体" w:eastAsia="宋体" w:cs="宋体"/>
          <w:color w:val="auto"/>
          <w:sz w:val="24"/>
          <w:szCs w:val="24"/>
        </w:rPr>
        <w:t>证明货物的合格性和符合竞争性磋商文件规定的文件</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17.1供应商应对竞争性磋商文件中的各项条款做出清晰准确的答复，同时应在磋商响应文件中提交货物及服务满足竞争性磋商文件要求并符合国家法律法规、行业管理部门要求的其他强制性标准的证明及文件。</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17.2证明货物与竞争性磋商文件的要求相一致的文件，它可以是文字资料、图表、数据、证书、业主证明等（支撑材料应能令采购人相信磋商产品是全新未经使用且属于常规提供的，不是为了满足磋商而临时定制的产品），所有证明文件表达意思必须统一。</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17.3  供应商提供的货物在中华人民共和国境内拥有合法的使用权。</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17.4  缺少证明及文件或证明及文件不合格的磋商，与竞争性磋商文件要求有重大偏离的磋商，不符合国家法律法规、行业管理部门要求的其他强制性标准的磋商将按照无效磋商处理。</w:t>
      </w:r>
    </w:p>
    <w:p>
      <w:pPr>
        <w:pStyle w:val="5"/>
        <w:overflowPunct w:val="0"/>
        <w:adjustRightInd w:val="0"/>
        <w:snapToGrid w:val="0"/>
        <w:spacing w:before="0" w:after="0" w:line="360" w:lineRule="auto"/>
        <w:ind w:firstLine="482" w:firstLineChars="200"/>
        <w:rPr>
          <w:rFonts w:hint="eastAsia" w:ascii="宋体" w:hAnsi="宋体" w:eastAsia="宋体" w:cs="宋体"/>
          <w:color w:val="auto"/>
          <w:sz w:val="24"/>
          <w:szCs w:val="24"/>
        </w:rPr>
      </w:pPr>
      <w:bookmarkStart w:id="84" w:name="_Toc311415590"/>
      <w:bookmarkStart w:id="85" w:name="_Toc423508240"/>
      <w:bookmarkStart w:id="86" w:name="_Toc16607"/>
      <w:r>
        <w:rPr>
          <w:rFonts w:hint="eastAsia" w:ascii="宋体" w:hAnsi="宋体" w:eastAsia="宋体" w:cs="宋体"/>
          <w:color w:val="auto"/>
          <w:sz w:val="24"/>
          <w:szCs w:val="24"/>
        </w:rPr>
        <w:t>18．磋商保证金</w:t>
      </w:r>
      <w:bookmarkEnd w:id="84"/>
      <w:bookmarkEnd w:id="85"/>
      <w:bookmarkEnd w:id="86"/>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18.1 磋商保证金按供应商须知前附表要求进行提交。</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18.2 磋商保证金用于保护采购人免受因供应商行为而蒙受的损失，对于未能按要求提交磋商保证金的供应商，响应无效。</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18.3 未成交的供应商的磋商保证金将于成交通知书发出后5个工作日内退还。</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18.4 成交供应商的磋商保证金，在成交供应商与采购人签订合同后5日内退还。</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18.5 如发生下列情况之一时，磋商保证金将不予退还：</w:t>
      </w:r>
    </w:p>
    <w:p>
      <w:pPr>
        <w:overflowPunct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a.供应商有违法违规行为给采购人造成损失的；</w:t>
      </w:r>
    </w:p>
    <w:p>
      <w:pPr>
        <w:overflowPunct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b.供应商在响应文件中提供虚假材料的；</w:t>
      </w:r>
    </w:p>
    <w:p>
      <w:pPr>
        <w:overflowPunct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c.除因不可抗力或磋商文件认可的情形以外，成交供应商不与采购人签订合同的； </w:t>
      </w:r>
    </w:p>
    <w:p>
      <w:pPr>
        <w:overflowPunct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d.供应商与采购人、其他供应商或者采购代理机构恶意串通的；</w:t>
      </w:r>
    </w:p>
    <w:p>
      <w:pPr>
        <w:overflowPunct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e.供应商在提交最后报价之后至磋商有效期满时间之内撤回响应文件的。</w:t>
      </w:r>
    </w:p>
    <w:p>
      <w:pPr>
        <w:pStyle w:val="5"/>
        <w:overflowPunct w:val="0"/>
        <w:adjustRightInd w:val="0"/>
        <w:snapToGrid w:val="0"/>
        <w:spacing w:before="0" w:after="0" w:line="360" w:lineRule="auto"/>
        <w:ind w:firstLine="482" w:firstLineChars="200"/>
        <w:rPr>
          <w:rFonts w:hint="eastAsia" w:ascii="宋体" w:hAnsi="宋体" w:eastAsia="宋体" w:cs="宋体"/>
          <w:color w:val="auto"/>
          <w:sz w:val="24"/>
          <w:szCs w:val="24"/>
        </w:rPr>
      </w:pPr>
      <w:bookmarkStart w:id="87" w:name="_Toc311415591"/>
      <w:bookmarkStart w:id="88" w:name="_Toc3263"/>
      <w:bookmarkStart w:id="89" w:name="_Toc423508241"/>
      <w:r>
        <w:rPr>
          <w:rFonts w:hint="eastAsia" w:ascii="宋体" w:hAnsi="宋体" w:eastAsia="宋体" w:cs="宋体"/>
          <w:color w:val="auto"/>
          <w:sz w:val="24"/>
          <w:szCs w:val="24"/>
        </w:rPr>
        <w:t>19．磋商有效期</w:t>
      </w:r>
      <w:bookmarkEnd w:id="87"/>
      <w:bookmarkEnd w:id="88"/>
      <w:bookmarkEnd w:id="89"/>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19.1 响应文件从磋商之日起，磋商有效期为90日历日。响应文件的有效期比本须知规定的有效期短的，将被视为非响应本次磋商，采购人有权拒绝。</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19.2 特殊情况下，采购人可于磋商有效期满之前要求供应商同意延长有效期，要求与答复均应为书面形式。供应商可以拒绝上述要求，其磋商保证金不被没收。对于同意该要求的供应商，既不要求也不允许其修改响应文件，但将要求其相应延长磋商保证金的有效期，有关退还和没收磋商保证金的规定在磋商有效期的延长期内继续有效。</w:t>
      </w:r>
    </w:p>
    <w:p>
      <w:pPr>
        <w:pStyle w:val="5"/>
        <w:overflowPunct w:val="0"/>
        <w:adjustRightInd w:val="0"/>
        <w:snapToGrid w:val="0"/>
        <w:spacing w:before="0" w:after="0" w:line="360" w:lineRule="auto"/>
        <w:ind w:firstLine="482" w:firstLineChars="200"/>
        <w:rPr>
          <w:rFonts w:hint="eastAsia" w:ascii="宋体" w:hAnsi="宋体" w:eastAsia="宋体" w:cs="宋体"/>
          <w:color w:val="auto"/>
          <w:sz w:val="24"/>
          <w:szCs w:val="24"/>
        </w:rPr>
      </w:pPr>
      <w:bookmarkStart w:id="90" w:name="_Toc423508242"/>
      <w:bookmarkStart w:id="91" w:name="_Toc311415592"/>
      <w:bookmarkStart w:id="92" w:name="_Toc15285"/>
      <w:r>
        <w:rPr>
          <w:rFonts w:hint="eastAsia" w:ascii="宋体" w:hAnsi="宋体" w:eastAsia="宋体" w:cs="宋体"/>
          <w:color w:val="auto"/>
          <w:sz w:val="24"/>
          <w:szCs w:val="24"/>
        </w:rPr>
        <w:t>20．响应文件的签署及格式</w:t>
      </w:r>
      <w:bookmarkEnd w:id="90"/>
      <w:bookmarkEnd w:id="91"/>
      <w:bookmarkEnd w:id="92"/>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20.1 响应文件应打印或用不褪色的墨水书写，并由供应商的法定代表人（负责人）或其委托代理人签字加盖单位公章</w:t>
      </w:r>
      <w:r>
        <w:rPr>
          <w:rFonts w:hint="eastAsia" w:ascii="宋体" w:hAnsi="宋体" w:eastAsia="宋体" w:cs="宋体"/>
          <w:color w:val="auto"/>
          <w:sz w:val="24"/>
          <w:szCs w:val="24"/>
        </w:rPr>
        <w:t>（响应文件中凡是需要法定代表人签字或盖章之处，非法人单位的负责人均参照执行）</w:t>
      </w:r>
      <w:r>
        <w:rPr>
          <w:rFonts w:hint="eastAsia" w:ascii="宋体" w:hAnsi="宋体" w:eastAsia="宋体" w:cs="宋体"/>
          <w:color w:val="auto"/>
          <w:sz w:val="24"/>
        </w:rPr>
        <w:t>。委托代理人签字的，响应文件应附法定代表人（负责人）签署的授权委托书。响应文件应尽量避免涂改、行间插字或删除。如果出现上述情况，改动之处应加盖单位公章或由供应商的法定代表人（负责人）或其授权的代理人签字确认。字迹潦草、表达不清、未按要求填写而导致非唯一理解，造成非实质性响应磋商文件的响应文件将会被认定为无效磋商。正本与副本不一致时以正本为准。</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20.2 除供应商对错处作必要修改外，响应文件中不许有加行、涂抹或改写。若有修改须由签署响应文件的授权代表在旁边签字才有效。</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20.3 以电话、传真、电子邮件形式的磋商响应将被拒绝。</w:t>
      </w:r>
    </w:p>
    <w:p>
      <w:pPr>
        <w:pStyle w:val="4"/>
        <w:spacing w:line="360" w:lineRule="auto"/>
        <w:jc w:val="center"/>
        <w:rPr>
          <w:rFonts w:hint="eastAsia" w:ascii="宋体" w:hAnsi="宋体" w:eastAsia="宋体" w:cs="宋体"/>
          <w:b w:val="0"/>
          <w:color w:val="auto"/>
          <w:sz w:val="44"/>
        </w:rPr>
      </w:pPr>
      <w:bookmarkStart w:id="93" w:name="_Toc409684169"/>
      <w:bookmarkStart w:id="94" w:name="_Toc7494"/>
      <w:bookmarkStart w:id="95" w:name="_Toc332874422"/>
      <w:bookmarkStart w:id="96" w:name="_Toc311415593"/>
      <w:bookmarkStart w:id="97" w:name="_Toc423508243"/>
      <w:bookmarkStart w:id="98" w:name="_Toc283240489"/>
      <w:bookmarkStart w:id="99" w:name="_Toc283626505"/>
      <w:r>
        <w:rPr>
          <w:rFonts w:hint="eastAsia" w:ascii="宋体" w:hAnsi="宋体" w:eastAsia="宋体" w:cs="宋体"/>
          <w:b w:val="0"/>
          <w:color w:val="auto"/>
          <w:sz w:val="44"/>
        </w:rPr>
        <w:t>D．响应文件的递交</w:t>
      </w:r>
      <w:bookmarkEnd w:id="93"/>
      <w:bookmarkEnd w:id="94"/>
      <w:bookmarkEnd w:id="95"/>
      <w:bookmarkEnd w:id="96"/>
      <w:bookmarkEnd w:id="97"/>
      <w:bookmarkEnd w:id="98"/>
      <w:bookmarkEnd w:id="99"/>
    </w:p>
    <w:p>
      <w:pPr>
        <w:pStyle w:val="5"/>
        <w:overflowPunct w:val="0"/>
        <w:adjustRightInd w:val="0"/>
        <w:snapToGrid w:val="0"/>
        <w:spacing w:before="0" w:after="0" w:line="360" w:lineRule="auto"/>
        <w:ind w:firstLine="482" w:firstLineChars="200"/>
        <w:rPr>
          <w:rFonts w:hint="eastAsia" w:ascii="宋体" w:hAnsi="宋体" w:eastAsia="宋体" w:cs="宋体"/>
          <w:color w:val="auto"/>
          <w:sz w:val="24"/>
          <w:szCs w:val="24"/>
        </w:rPr>
      </w:pPr>
      <w:bookmarkStart w:id="100" w:name="_Toc311415594"/>
      <w:bookmarkStart w:id="101" w:name="_Toc423508244"/>
      <w:bookmarkStart w:id="102" w:name="_Toc31397"/>
      <w:r>
        <w:rPr>
          <w:rFonts w:hint="eastAsia" w:ascii="宋体" w:hAnsi="宋体" w:eastAsia="宋体" w:cs="宋体"/>
          <w:color w:val="auto"/>
          <w:sz w:val="24"/>
          <w:szCs w:val="24"/>
        </w:rPr>
        <w:t>21．响应文件的数量、包装和标记</w:t>
      </w:r>
      <w:bookmarkEnd w:id="100"/>
      <w:bookmarkEnd w:id="101"/>
      <w:bookmarkEnd w:id="102"/>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21.1 供应商应制作响应文件一套正本“响应文件”、二套副本“响应文件”、一套“电子版响应文件”。每套“响应文件”封面应注明“正本”、“副本”，正本与副本不一致时，以正本为主。</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21.2 响应文件必须进行密封递交。对封装材料及样式不作特别规定，但供应商应当保证其封装的可靠性，不致因搬运、堆放等原因散开。磋商时，供应商应当将响应文件正本以密封袋/箱单独密封，所有的副本以密封袋/箱单独密封，电子版以密封袋/箱单独密封。所有密封袋/箱正面和响应文件封面须标明采购项目名称、采购项目编号、供应商名称及“正本”、“副本”、“电子版”等字样。</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21.3 所有响应文件的密封袋/箱应加盖供应商公章。</w:t>
      </w:r>
    </w:p>
    <w:p>
      <w:pPr>
        <w:pStyle w:val="5"/>
        <w:overflowPunct w:val="0"/>
        <w:adjustRightInd w:val="0"/>
        <w:snapToGrid w:val="0"/>
        <w:spacing w:before="0" w:after="0" w:line="360" w:lineRule="auto"/>
        <w:ind w:firstLine="482" w:firstLineChars="200"/>
        <w:rPr>
          <w:rFonts w:hint="eastAsia" w:ascii="宋体" w:hAnsi="宋体" w:eastAsia="宋体" w:cs="宋体"/>
          <w:color w:val="auto"/>
          <w:sz w:val="24"/>
          <w:szCs w:val="24"/>
        </w:rPr>
      </w:pPr>
      <w:bookmarkStart w:id="103" w:name="_Toc311415595"/>
      <w:bookmarkStart w:id="104" w:name="_Toc13314"/>
      <w:bookmarkStart w:id="105" w:name="_Toc423508245"/>
      <w:r>
        <w:rPr>
          <w:rFonts w:hint="eastAsia" w:ascii="宋体" w:hAnsi="宋体" w:eastAsia="宋体" w:cs="宋体"/>
          <w:color w:val="auto"/>
          <w:sz w:val="24"/>
          <w:szCs w:val="24"/>
        </w:rPr>
        <w:t>22．磋商截止时间</w:t>
      </w:r>
      <w:bookmarkEnd w:id="103"/>
      <w:bookmarkEnd w:id="104"/>
      <w:bookmarkEnd w:id="105"/>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22.1 所有响应文件都必须按“磋商公告”中规定的响应文件递交截止时间前送达磋商文件规定的递交地址。</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22.2 出现第8.3款因磋商文件的修改推迟磋商截止日期时，则按采购人修改通知规定的时间递交。</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22.3 在响应文件递交截止时间之后的任何响应文件将被拒绝接收。</w:t>
      </w:r>
    </w:p>
    <w:p>
      <w:pPr>
        <w:pStyle w:val="5"/>
        <w:overflowPunct w:val="0"/>
        <w:adjustRightInd w:val="0"/>
        <w:snapToGrid w:val="0"/>
        <w:spacing w:before="0" w:after="0" w:line="360" w:lineRule="auto"/>
        <w:ind w:firstLine="482" w:firstLineChars="200"/>
        <w:rPr>
          <w:rFonts w:hint="eastAsia" w:ascii="宋体" w:hAnsi="宋体" w:eastAsia="宋体" w:cs="宋体"/>
          <w:color w:val="auto"/>
          <w:sz w:val="24"/>
          <w:szCs w:val="24"/>
        </w:rPr>
      </w:pPr>
      <w:bookmarkStart w:id="106" w:name="_Toc311415596"/>
      <w:bookmarkStart w:id="107" w:name="_Toc423508246"/>
      <w:bookmarkStart w:id="108" w:name="_Toc19566"/>
      <w:r>
        <w:rPr>
          <w:rFonts w:hint="eastAsia" w:ascii="宋体" w:hAnsi="宋体" w:eastAsia="宋体" w:cs="宋体"/>
          <w:color w:val="auto"/>
          <w:sz w:val="24"/>
          <w:szCs w:val="24"/>
        </w:rPr>
        <w:t>23．响应文件的修改与撤回</w:t>
      </w:r>
      <w:bookmarkEnd w:id="106"/>
      <w:bookmarkEnd w:id="107"/>
      <w:bookmarkEnd w:id="108"/>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23.1 供应商在递交响应文件后，在规定的截止时间之前，可以以书面形式补充修改或撤回已提交的响应文件，并以书面形式通知采购代理机构。补充或修改的内容作为响应文件的组成部分。</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23.2 供应商对响应文件的补充修改，应按照磋商文件的规定密封、标记和提交。其送达时间不得迟于磋商截止时间。</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23.3 在磋商截止期之后，供应商不得对其磋商做任何修改。</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23.4 已提交响应文件的供应商，在提交最后报价之前，可以根据磋商情况退出磋商。采购人、采购代理机构按照退回保证金的规定退还其磋商保证金。</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23.5 无论供应商成交与否或者废标，其响应文件概不退还。</w:t>
      </w:r>
    </w:p>
    <w:p>
      <w:pPr>
        <w:pStyle w:val="4"/>
        <w:spacing w:line="360" w:lineRule="auto"/>
        <w:jc w:val="center"/>
        <w:rPr>
          <w:rFonts w:hint="eastAsia" w:ascii="宋体" w:hAnsi="宋体" w:eastAsia="宋体" w:cs="宋体"/>
          <w:b w:val="0"/>
          <w:color w:val="auto"/>
          <w:sz w:val="44"/>
        </w:rPr>
      </w:pPr>
      <w:bookmarkStart w:id="109" w:name="_Toc423508247"/>
      <w:bookmarkStart w:id="110" w:name="_Toc409684170"/>
      <w:bookmarkStart w:id="111" w:name="_Toc283626506"/>
      <w:bookmarkStart w:id="112" w:name="_Toc19152"/>
      <w:bookmarkStart w:id="113" w:name="_Toc332874423"/>
      <w:bookmarkStart w:id="114" w:name="_Toc311415597"/>
      <w:bookmarkStart w:id="115" w:name="_Toc283240490"/>
      <w:r>
        <w:rPr>
          <w:rFonts w:hint="eastAsia" w:ascii="宋体" w:hAnsi="宋体" w:eastAsia="宋体" w:cs="宋体"/>
          <w:b w:val="0"/>
          <w:color w:val="auto"/>
          <w:sz w:val="44"/>
        </w:rPr>
        <w:t>E．磋商/评审</w:t>
      </w:r>
      <w:bookmarkEnd w:id="109"/>
      <w:bookmarkEnd w:id="110"/>
      <w:bookmarkEnd w:id="111"/>
      <w:bookmarkEnd w:id="112"/>
      <w:bookmarkEnd w:id="113"/>
      <w:bookmarkEnd w:id="114"/>
      <w:bookmarkEnd w:id="115"/>
    </w:p>
    <w:p>
      <w:pPr>
        <w:pStyle w:val="5"/>
        <w:overflowPunct w:val="0"/>
        <w:adjustRightInd w:val="0"/>
        <w:snapToGrid w:val="0"/>
        <w:spacing w:before="0" w:after="0" w:line="360" w:lineRule="auto"/>
        <w:ind w:firstLine="482" w:firstLineChars="200"/>
        <w:rPr>
          <w:rFonts w:hint="eastAsia" w:ascii="宋体" w:hAnsi="宋体" w:eastAsia="宋体" w:cs="宋体"/>
          <w:color w:val="auto"/>
          <w:sz w:val="24"/>
          <w:szCs w:val="24"/>
        </w:rPr>
      </w:pPr>
      <w:bookmarkStart w:id="116" w:name="_Toc423508248"/>
      <w:bookmarkStart w:id="117" w:name="_Toc311415598"/>
      <w:bookmarkStart w:id="118" w:name="_Toc449367176"/>
      <w:bookmarkStart w:id="119" w:name="_Toc31016"/>
      <w:r>
        <w:rPr>
          <w:rFonts w:hint="eastAsia" w:ascii="宋体" w:hAnsi="宋体" w:eastAsia="宋体" w:cs="宋体"/>
          <w:color w:val="auto"/>
          <w:sz w:val="24"/>
          <w:szCs w:val="24"/>
        </w:rPr>
        <w:t>24．</w:t>
      </w:r>
      <w:bookmarkEnd w:id="116"/>
      <w:bookmarkEnd w:id="117"/>
      <w:r>
        <w:rPr>
          <w:rFonts w:hint="eastAsia" w:ascii="宋体" w:hAnsi="宋体" w:eastAsia="宋体" w:cs="宋体"/>
          <w:color w:val="auto"/>
          <w:sz w:val="24"/>
          <w:szCs w:val="24"/>
        </w:rPr>
        <w:t>磋商</w:t>
      </w:r>
      <w:bookmarkEnd w:id="118"/>
      <w:bookmarkEnd w:id="119"/>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24.1 采购代理机构按磋商公告中规定的时间和地点接受供应商递交的响应文件。供应商的法定代表人（负责人）或其授权的代表签到，并参加磋商会议。如果未按前述规定签到、参加磋商会议，视为对磋商结果无异议。</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24.2 磋商时，供应商和监标人查验响应文件密封情况并签字认可。</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24.3 按照《中华人民共和国政府采购法》和《政府采购竞争性磋商采购方式管理暂行办法》的相关规定，由磋商小组与各个供应商分别进行磋商。采购代理机构将作磋商价格记录，磋商价格记录包括 “磋商报价表”规定的全部内容。磋商共进行两轮磋商报价（含首次磋商响应文件中的磋商报价），磋商过程中所有磋商报价现场不对供应商公开宣读。</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24.4 磋商程序:</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a.介绍与会各方人员；</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b.介绍供应商；</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c.宣布磋商会议纪律；</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d.由供应商法定代表人（负责人）或其授权的代表、监标人检查响应文件的密封情况，并对密封情况确认；</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e.当众拆启响应文件送至评审室；</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f.宣布休会，进入评审和磋商阶段；</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g.会议结束。</w:t>
      </w:r>
    </w:p>
    <w:p>
      <w:pPr>
        <w:pStyle w:val="5"/>
        <w:overflowPunct w:val="0"/>
        <w:adjustRightInd w:val="0"/>
        <w:snapToGrid w:val="0"/>
        <w:spacing w:before="0" w:after="0" w:line="360" w:lineRule="auto"/>
        <w:ind w:firstLine="482" w:firstLineChars="200"/>
        <w:rPr>
          <w:rFonts w:hint="eastAsia" w:ascii="宋体" w:hAnsi="宋体" w:eastAsia="宋体" w:cs="宋体"/>
          <w:color w:val="auto"/>
          <w:sz w:val="24"/>
          <w:szCs w:val="24"/>
        </w:rPr>
      </w:pPr>
      <w:bookmarkStart w:id="120" w:name="_Toc423508249"/>
      <w:bookmarkStart w:id="121" w:name="_Toc12369"/>
      <w:bookmarkStart w:id="122" w:name="_Toc311415599"/>
      <w:r>
        <w:rPr>
          <w:rFonts w:hint="eastAsia" w:ascii="宋体" w:hAnsi="宋体" w:eastAsia="宋体" w:cs="宋体"/>
          <w:color w:val="auto"/>
          <w:sz w:val="24"/>
          <w:szCs w:val="24"/>
        </w:rPr>
        <w:t>25．磋商小组</w:t>
      </w:r>
      <w:bookmarkEnd w:id="120"/>
      <w:bookmarkEnd w:id="121"/>
      <w:bookmarkEnd w:id="122"/>
      <w:r>
        <w:rPr>
          <w:rFonts w:hint="eastAsia" w:ascii="宋体" w:hAnsi="宋体" w:eastAsia="宋体" w:cs="宋体"/>
          <w:color w:val="auto"/>
          <w:sz w:val="24"/>
          <w:szCs w:val="24"/>
        </w:rPr>
        <w:t xml:space="preserve"> </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25.1 采购人将根据本次采购项目的特点，参照《中华人民共和国政府采购法》、《政府采购竞争性磋商采购方式管理暂行办法》等有关规定组建磋商小组。</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25.2 磋商小组成员由采购人代表及有关技术、经济等方面的专家组成，其中技术、经济类专家人数不少于总人数的2/3。</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25.3 磋商小组成员对各供应商响应文件进行审查、质疑、评估和比较，并推荐成交候选供应商。</w:t>
      </w:r>
    </w:p>
    <w:p>
      <w:pPr>
        <w:pStyle w:val="5"/>
        <w:overflowPunct w:val="0"/>
        <w:adjustRightInd w:val="0"/>
        <w:snapToGrid w:val="0"/>
        <w:spacing w:before="0" w:after="0" w:line="360" w:lineRule="auto"/>
        <w:ind w:firstLine="482" w:firstLineChars="200"/>
        <w:rPr>
          <w:rFonts w:hint="eastAsia" w:ascii="宋体" w:hAnsi="宋体" w:eastAsia="宋体" w:cs="宋体"/>
          <w:color w:val="auto"/>
          <w:sz w:val="24"/>
          <w:szCs w:val="24"/>
        </w:rPr>
      </w:pPr>
      <w:bookmarkStart w:id="123" w:name="_Toc311415601"/>
      <w:bookmarkStart w:id="124" w:name="_Toc423508250"/>
      <w:bookmarkStart w:id="125" w:name="_Toc18487"/>
      <w:r>
        <w:rPr>
          <w:rFonts w:hint="eastAsia" w:ascii="宋体" w:hAnsi="宋体" w:eastAsia="宋体" w:cs="宋体"/>
          <w:color w:val="auto"/>
          <w:sz w:val="24"/>
          <w:szCs w:val="24"/>
        </w:rPr>
        <w:t>26．响应文件的审</w:t>
      </w:r>
      <w:bookmarkEnd w:id="123"/>
      <w:r>
        <w:rPr>
          <w:rFonts w:hint="eastAsia" w:ascii="宋体" w:hAnsi="宋体" w:eastAsia="宋体" w:cs="宋体"/>
          <w:color w:val="auto"/>
          <w:sz w:val="24"/>
          <w:szCs w:val="24"/>
        </w:rPr>
        <w:t>核</w:t>
      </w:r>
      <w:bookmarkEnd w:id="124"/>
      <w:bookmarkEnd w:id="125"/>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26.1 响应文件的资格审查：依据法律法规和磋商文件的规定，</w:t>
      </w:r>
      <w:r>
        <w:rPr>
          <w:rFonts w:hint="eastAsia" w:ascii="宋体" w:hAnsi="宋体" w:cs="宋体"/>
          <w:color w:val="auto"/>
          <w:sz w:val="24"/>
          <w:lang w:eastAsia="zh-CN"/>
        </w:rPr>
        <w:t>磋商小组</w:t>
      </w:r>
      <w:r>
        <w:rPr>
          <w:rFonts w:hint="eastAsia" w:ascii="宋体" w:hAnsi="宋体" w:eastAsia="宋体" w:cs="宋体"/>
          <w:color w:val="auto"/>
          <w:sz w:val="24"/>
        </w:rPr>
        <w:t>对响应文件中的资格证明文件进行审查，以确保供应商是否具备相应资格。详见“第四部分 评审办法”的 附表1 资格审查表,</w:t>
      </w:r>
      <w:r>
        <w:rPr>
          <w:rFonts w:hint="eastAsia" w:ascii="宋体" w:hAnsi="宋体" w:eastAsia="宋体" w:cs="宋体"/>
          <w:color w:val="auto"/>
          <w:sz w:val="24"/>
          <w:szCs w:val="24"/>
        </w:rPr>
        <w:t>如供应商在资格审查中有任意一项不符合要求，则不进入下一步评审，其响应文件视为无效响应。</w:t>
      </w:r>
    </w:p>
    <w:p>
      <w:pPr>
        <w:autoSpaceDE w:val="0"/>
        <w:autoSpaceDN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26.2 响应文件符合性审查：依据磋商文件的规定，从响应文件的有效性、完整性和对磋商文件的响应程度进行审查，以确定是否对磋商文件的实质性内容作出响应。详见“第四部分 评审办法”的附表 2 符合性审查表，</w:t>
      </w:r>
      <w:r>
        <w:rPr>
          <w:rFonts w:hint="eastAsia" w:ascii="宋体" w:hAnsi="宋体" w:eastAsia="宋体" w:cs="宋体"/>
          <w:color w:val="auto"/>
          <w:sz w:val="24"/>
          <w:szCs w:val="24"/>
        </w:rPr>
        <w:t>如供应商在符合性审查中有任意一项不符合要求，则不进入下一步评审，其响应文件视为无效响应。</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26.3 经过对供应商及响应文件的资格、符合性审查，出现下列情况者（但不限于），按无效处理。</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26.3.1供应商没有经过正常渠道购买标书或供应商的名称与登记领取磋商文件供应商的名称不符；</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26.3.2响应文件没有法定代表人（负责人）授权书（法人或负责人直接参加除外）或授权书的合法性或有效性不符合磋商文件规定；</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26.3.3供应商资质的有效性或符合性不符合要求的；</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26.3.4供应商未按磋商文件要求提供磋商保证金的；</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26.3.5响应文件的关键内容字迹模糊、无法辨认的；</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26.3.6响应文件未按磋商文件规定有效签字和盖章的；或由供应商授权代表签字的,但未随响应文件一起提交有效的“授权委托书”原件的；</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26.3.7磋商有效期不足的；</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26.3.8规定不接受选择方案和选择报价（包括交叉折扣）的，供应商提供了选择方案和/或选择报价（包括交叉折扣）；</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26.3.9磋商报价与市场价偏离较大，低于成本，形成不正当竞争；</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26.3.10磋商报价超出采购预算的；</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26.3.11提供虚假证明，开具虚假资质，出现虚假应答，除按无效标处理外，还进行相应的处罚；</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26.3.12供应商有违法违规行为的；</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26.3.13其他法律法规规定的废标情况。</w:t>
      </w:r>
    </w:p>
    <w:p>
      <w:pPr>
        <w:pStyle w:val="5"/>
        <w:overflowPunct w:val="0"/>
        <w:adjustRightInd w:val="0"/>
        <w:snapToGrid w:val="0"/>
        <w:spacing w:before="0" w:after="0" w:line="360" w:lineRule="auto"/>
        <w:ind w:firstLine="482" w:firstLineChars="200"/>
        <w:rPr>
          <w:rFonts w:hint="eastAsia" w:ascii="宋体" w:hAnsi="宋体" w:eastAsia="宋体" w:cs="宋体"/>
          <w:color w:val="auto"/>
          <w:sz w:val="24"/>
          <w:szCs w:val="24"/>
        </w:rPr>
      </w:pPr>
      <w:bookmarkStart w:id="126" w:name="_Toc31894"/>
      <w:bookmarkStart w:id="127" w:name="_Toc311415600"/>
      <w:bookmarkStart w:id="128" w:name="_Toc423508251"/>
      <w:r>
        <w:rPr>
          <w:rFonts w:hint="eastAsia" w:ascii="宋体" w:hAnsi="宋体" w:eastAsia="宋体" w:cs="宋体"/>
          <w:color w:val="auto"/>
          <w:sz w:val="24"/>
          <w:szCs w:val="24"/>
        </w:rPr>
        <w:t>27．响应文件的澄清</w:t>
      </w:r>
      <w:bookmarkEnd w:id="126"/>
      <w:bookmarkEnd w:id="127"/>
      <w:bookmarkEnd w:id="128"/>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27.1 在评审期间,磋商小组在对响应文件的有效性、完整性和响应程度进行审查时，可以要求供应商对响应文件中含义不明确、同类问题表述不一致或者有明显文字和计算错误的内容等作出必要的澄清、说明或者更正。</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27.2 供应商应采用书面形式进行澄清或说明，但不得超出响应文件的范围或改变响应文件的实质性内容。供应商的澄清、说明或者更正应当由法定代表人（负责人）或其授权代表签字。</w:t>
      </w:r>
    </w:p>
    <w:p>
      <w:pPr>
        <w:pStyle w:val="5"/>
        <w:overflowPunct w:val="0"/>
        <w:adjustRightInd w:val="0"/>
        <w:snapToGrid w:val="0"/>
        <w:spacing w:before="0" w:after="0" w:line="360" w:lineRule="auto"/>
        <w:ind w:firstLine="482" w:firstLineChars="200"/>
        <w:rPr>
          <w:rFonts w:hint="eastAsia" w:ascii="宋体" w:hAnsi="宋体" w:eastAsia="宋体" w:cs="宋体"/>
          <w:color w:val="auto"/>
          <w:sz w:val="24"/>
          <w:szCs w:val="24"/>
        </w:rPr>
      </w:pPr>
      <w:bookmarkStart w:id="129" w:name="_Toc3762"/>
      <w:bookmarkStart w:id="130" w:name="_Toc423508252"/>
      <w:r>
        <w:rPr>
          <w:rFonts w:hint="eastAsia" w:ascii="宋体" w:hAnsi="宋体" w:eastAsia="宋体" w:cs="宋体"/>
          <w:color w:val="auto"/>
          <w:sz w:val="24"/>
          <w:szCs w:val="24"/>
        </w:rPr>
        <w:t>28．响应文件的比较和评价</w:t>
      </w:r>
      <w:bookmarkEnd w:id="129"/>
      <w:bookmarkEnd w:id="130"/>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28.1 磋商小组在评审过程中，发现响应文件出现下列情况之一者，按以下原则修正：</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28.1.1磋商报价表内容与响应文件中报价内容不一致的，以磋商报价表为准；</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28.1.2大写金额和小写金额不一致的，以大写金额为准；</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28.1.3如果以单价计算的结果与总价不一致，则以单价为准修改总价；单价金额小数点有明显错位的，应以总价为准，并修改单价；</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28.1.4如果用文字表示的数值与用数字表示的数值不一致，以文字表示的值为准。</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28.1.5对不同文字文本响应文件的解释发生异议的，以中文文本为准；</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28.1.6正本与副本不一致的，以正本为准。</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28.2如果磋商实质上没有响应磋商文件的要求，其磋商将被拒绝，供应商不得通过修正或撤销不合要求的偏离或保留从而使其磋商成为实质上响应的磋商。</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28.3评审程序：采取逐项分步评审方式，每一步评审不符合者，不进入下一步评审，先进行资格审查，再进行符合性审查，然后进行技术和商务评审。</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28.4磋商小组所有成员对上述审查合格的响应磋商文件的单一供应商分别进行磋商，并给予参加磋商的供应商平等的磋商机会。</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供应商应当按照磋商文件的变动情况和磋商小组的要求重新提交响应文件，并由其法定代表人（负责人）或授权代表签字或者加盖公章。</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28.6磋商文件能够详细列明采购标的的技术、服务要求的，磋商结束后，磋商小组应当要求所有实质性响应的供应商在规定时间内提交最后报价。</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28.7磋商小组认为供应商的最后报价或者某些分项报价明显不合理或者低于成本，有可能影响服务质量和不能诚信履约的，要求其在磋商小组规定的期限内提供书面文件予以解释说明，并提交相关证明材料；如果其不能在磋商小组规定时间内提供相关材料证明其报价的合理性，其最后报价为无效报价。</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28.9经磋商确定最终采购需求和提交最后报价的供应商后，由磋商小组采用综合评分法对提交最后报价的供应商的响应文件和最后报价进行综合评分。</w:t>
      </w:r>
    </w:p>
    <w:p>
      <w:pPr>
        <w:pStyle w:val="5"/>
        <w:overflowPunct w:val="0"/>
        <w:adjustRightInd w:val="0"/>
        <w:snapToGrid w:val="0"/>
        <w:spacing w:before="0" w:after="0" w:line="360" w:lineRule="auto"/>
        <w:ind w:firstLine="482" w:firstLineChars="200"/>
        <w:rPr>
          <w:rFonts w:hint="eastAsia" w:ascii="宋体" w:hAnsi="宋体" w:eastAsia="宋体" w:cs="宋体"/>
          <w:color w:val="auto"/>
          <w:sz w:val="24"/>
          <w:szCs w:val="24"/>
        </w:rPr>
      </w:pPr>
      <w:bookmarkStart w:id="131" w:name="_Toc8290"/>
      <w:bookmarkStart w:id="132" w:name="_Toc423508253"/>
      <w:bookmarkStart w:id="133" w:name="_Toc311415604"/>
      <w:r>
        <w:rPr>
          <w:rFonts w:hint="eastAsia" w:ascii="宋体" w:hAnsi="宋体" w:eastAsia="宋体" w:cs="宋体"/>
          <w:color w:val="auto"/>
          <w:sz w:val="24"/>
          <w:szCs w:val="24"/>
        </w:rPr>
        <w:t>29．评审原则及主要方法</w:t>
      </w:r>
      <w:bookmarkEnd w:id="131"/>
      <w:bookmarkEnd w:id="132"/>
      <w:bookmarkEnd w:id="133"/>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29.1 磋商小组将遵循公平、公正和择优的原则，对所有提交最后报价的供应商的响应文件评审，都采用相同的程序和标准。</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29.2 评审过程的保密：在响应文件的评审、比较、成交候选供应商推荐以及授予合同的过程中，供应商向采购人和磋商小组施加影响的任何行为，都将会导致其报价被拒绝。</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29.3评审办法：综合评分法，是指响应文件满足磋商文件全部实质性要求且按评审因素的量化指标评审得分最高的供应商为成交候选供应商的评审方法（本项目不保证最低价中标），本项目磋商小组根据量化指标评审得分由高到低推荐成交候选单位。</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具体评分办法详见“第四部分 评审办法”的 附表3商务和技术评审表。</w:t>
      </w:r>
    </w:p>
    <w:p>
      <w:pPr>
        <w:overflowPunct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29.4磋商小组应当根据综合评分情况，按照评审得分由高到低顺序推荐1-3名成交候选供应商，评审得分相同的，按照最后报价由低到高的顺序推荐。评审得分且最后报价相同的，按照技术指标优劣顺序推荐。</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29.5评审过程中，若出现本办法以外的特殊情况时，将暂停评审，有关情况待磋商小组确定后，再行评定。</w:t>
      </w:r>
    </w:p>
    <w:p>
      <w:pPr>
        <w:adjustRightInd w:val="0"/>
        <w:snapToGrid w:val="0"/>
        <w:spacing w:line="360" w:lineRule="auto"/>
        <w:ind w:firstLine="480" w:firstLineChars="200"/>
        <w:rPr>
          <w:rFonts w:hint="eastAsia" w:ascii="宋体" w:hAnsi="宋体" w:eastAsia="宋体" w:cs="宋体"/>
          <w:color w:val="auto"/>
          <w:sz w:val="24"/>
        </w:rPr>
      </w:pPr>
      <w:bookmarkStart w:id="134" w:name="_Toc423508254"/>
      <w:bookmarkStart w:id="135" w:name="_Toc311415605"/>
      <w:bookmarkStart w:id="136" w:name="_Toc410389005"/>
      <w:r>
        <w:rPr>
          <w:rFonts w:hint="eastAsia" w:ascii="宋体" w:hAnsi="宋体" w:eastAsia="宋体" w:cs="宋体"/>
          <w:color w:val="auto"/>
          <w:sz w:val="24"/>
        </w:rPr>
        <w:t>29.6.1 磋商企业政府采购政策</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29.6.1.1中小企业落实政府采购政策</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（1）中小企业应符合工信部联企业[2011]300号文件规定，采购活动执行《政府采购促进中小企业发展管理办法》的规定。</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（2）磋商供应商出具《中小企业声明函》，由评委会审定，符合条件的企业享受政府采购政策。</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29.7.1.1监狱和戒毒企业应符合《财政部 司法部关于政府采购支持监狱企业发展有关问题的通知》--财库〔2014〕68号，并提供由省级以上监狱管理局、戒毒管理局(含新疆生产建设兵团)出具的属于监狱企业的证明。监狱和戒毒企业属于小型、微型企业的，不重复享受政策。</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29.7.1.2符合《三部门联合发布关于促进残疾人就业政府采购政策的通知》的残疾人福利性单位在参加政府采购活动时，应当按通知要求提供《残疾人福利性单位声明函》，并对声明的真实性负责。在政府采购活动中，残疾人福利性单位视同小型、微型企业，享受预留份额、评审中价格扣除等促进中小企业发展的政府采购政策。</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29.7.1.3供应商应如实提供以上证明文件，如存在虚假应标，将取消其磋商资格。</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注：本项目专门面向中小企业，</w:t>
      </w:r>
      <w:r>
        <w:rPr>
          <w:rFonts w:hint="eastAsia" w:ascii="宋体" w:hAnsi="宋体" w:eastAsia="宋体" w:cs="宋体"/>
          <w:color w:val="auto"/>
          <w:sz w:val="24"/>
          <w:szCs w:val="24"/>
        </w:rPr>
        <w:t>对小型、微型企业、监狱企业及残疾人福利性单位不给予政策性扣除，</w:t>
      </w:r>
      <w:r>
        <w:rPr>
          <w:rFonts w:hint="eastAsia" w:ascii="宋体" w:hAnsi="宋体" w:eastAsia="宋体" w:cs="宋体"/>
          <w:color w:val="auto"/>
          <w:sz w:val="24"/>
        </w:rPr>
        <w:t>残疾人福利性单位属于小型、微型企业。</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29.7.2磋商产品政府采购政策</w:t>
      </w:r>
    </w:p>
    <w:p>
      <w:pPr>
        <w:spacing w:line="360" w:lineRule="auto"/>
        <w:ind w:firstLine="480" w:firstLineChars="200"/>
        <w:jc w:val="left"/>
        <w:rPr>
          <w:rFonts w:hint="eastAsia" w:ascii="宋体" w:hAnsi="宋体" w:eastAsia="宋体" w:cs="宋体"/>
          <w:color w:val="auto"/>
          <w:sz w:val="24"/>
          <w:lang w:val="zh-CN"/>
        </w:rPr>
      </w:pPr>
      <w:r>
        <w:rPr>
          <w:rFonts w:hint="eastAsia" w:ascii="宋体" w:hAnsi="宋体" w:eastAsia="宋体" w:cs="宋体"/>
          <w:color w:val="auto"/>
          <w:sz w:val="24"/>
        </w:rPr>
        <w:t>29.7.2.1</w:t>
      </w:r>
      <w:r>
        <w:rPr>
          <w:rFonts w:hint="eastAsia" w:ascii="宋体" w:hAnsi="宋体" w:eastAsia="宋体" w:cs="宋体"/>
          <w:color w:val="auto"/>
          <w:sz w:val="24"/>
          <w:lang w:val="zh-CN"/>
        </w:rPr>
        <w:t xml:space="preserve"> 根据《财政部 国家发展改革委关于印发〈节能产品政府采购实施意见〉的通知》（财库〔2004〕185号）规定“政府采购属于节能产品品目清单的，在技术、服务等指标同等条件下，应当优先采购节能品目清单的节能产品。”</w:t>
      </w:r>
    </w:p>
    <w:p>
      <w:pPr>
        <w:spacing w:line="360" w:lineRule="auto"/>
        <w:ind w:firstLine="480" w:firstLineChars="200"/>
        <w:jc w:val="left"/>
        <w:rPr>
          <w:rFonts w:hint="eastAsia" w:ascii="宋体" w:hAnsi="宋体" w:eastAsia="宋体" w:cs="宋体"/>
          <w:color w:val="auto"/>
          <w:sz w:val="24"/>
          <w:lang w:val="zh-CN"/>
        </w:rPr>
      </w:pPr>
      <w:r>
        <w:rPr>
          <w:rFonts w:hint="eastAsia" w:ascii="宋体" w:hAnsi="宋体" w:eastAsia="宋体" w:cs="宋体"/>
          <w:color w:val="auto"/>
          <w:sz w:val="24"/>
        </w:rPr>
        <w:t>29.7.</w:t>
      </w:r>
      <w:r>
        <w:rPr>
          <w:rFonts w:hint="eastAsia" w:ascii="宋体" w:hAnsi="宋体" w:eastAsia="宋体" w:cs="宋体"/>
          <w:color w:val="auto"/>
          <w:sz w:val="24"/>
          <w:lang w:val="zh-CN"/>
        </w:rPr>
        <w:t>2.2 根据《财政部环保总局关于环境标志产品政府采购实施的意见》（财库〔2006〕90号）规定“采购人采购的产品属于环境标志产品政府采购清单中品目的，在性能、技术、服务等指标同等条件下，应当优先采购清单中的产品”。</w:t>
      </w:r>
    </w:p>
    <w:p>
      <w:pPr>
        <w:spacing w:line="360" w:lineRule="auto"/>
        <w:ind w:firstLine="480" w:firstLineChars="200"/>
        <w:jc w:val="left"/>
        <w:rPr>
          <w:rFonts w:hint="eastAsia" w:ascii="宋体" w:hAnsi="宋体" w:eastAsia="宋体" w:cs="宋体"/>
          <w:color w:val="auto"/>
          <w:sz w:val="24"/>
          <w:lang w:val="zh-CN"/>
        </w:rPr>
      </w:pPr>
      <w:r>
        <w:rPr>
          <w:rFonts w:hint="eastAsia" w:ascii="宋体" w:hAnsi="宋体" w:eastAsia="宋体" w:cs="宋体"/>
          <w:color w:val="auto"/>
          <w:sz w:val="24"/>
        </w:rPr>
        <w:t>29.7.</w:t>
      </w:r>
      <w:r>
        <w:rPr>
          <w:rFonts w:hint="eastAsia" w:ascii="宋体" w:hAnsi="宋体" w:eastAsia="宋体" w:cs="宋体"/>
          <w:color w:val="auto"/>
          <w:sz w:val="24"/>
          <w:lang w:val="zh-CN"/>
        </w:rPr>
        <w:t>2.3 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spacing w:line="360" w:lineRule="auto"/>
        <w:ind w:firstLine="480" w:firstLineChars="200"/>
        <w:jc w:val="left"/>
        <w:rPr>
          <w:rFonts w:hint="eastAsia" w:ascii="宋体" w:hAnsi="宋体" w:eastAsia="宋体" w:cs="宋体"/>
          <w:color w:val="auto"/>
          <w:sz w:val="24"/>
          <w:lang w:val="zh-CN"/>
        </w:rPr>
      </w:pPr>
      <w:r>
        <w:rPr>
          <w:rFonts w:hint="eastAsia" w:ascii="宋体" w:hAnsi="宋体" w:eastAsia="宋体" w:cs="宋体"/>
          <w:color w:val="auto"/>
          <w:sz w:val="24"/>
        </w:rPr>
        <w:t>29.7.</w:t>
      </w:r>
      <w:r>
        <w:rPr>
          <w:rFonts w:hint="eastAsia" w:ascii="宋体" w:hAnsi="宋体" w:eastAsia="宋体" w:cs="宋体"/>
          <w:color w:val="auto"/>
          <w:sz w:val="24"/>
          <w:lang w:val="zh-CN"/>
        </w:rPr>
        <w:t>2.4 根据《财政部发展改革委生态环境部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line="360" w:lineRule="auto"/>
        <w:ind w:firstLine="480" w:firstLineChars="200"/>
        <w:jc w:val="left"/>
        <w:rPr>
          <w:rFonts w:hint="eastAsia" w:ascii="宋体" w:hAnsi="宋体" w:eastAsia="宋体" w:cs="宋体"/>
          <w:color w:val="auto"/>
          <w:sz w:val="24"/>
          <w:lang w:val="zh-CN"/>
        </w:rPr>
      </w:pPr>
      <w:r>
        <w:rPr>
          <w:rFonts w:hint="eastAsia" w:ascii="宋体" w:hAnsi="宋体" w:eastAsia="宋体" w:cs="宋体"/>
          <w:color w:val="auto"/>
          <w:sz w:val="24"/>
        </w:rPr>
        <w:t>29.7.2.5</w:t>
      </w:r>
      <w:r>
        <w:rPr>
          <w:rFonts w:hint="eastAsia" w:ascii="宋体" w:hAnsi="宋体" w:eastAsia="宋体" w:cs="宋体"/>
          <w:color w:val="auto"/>
          <w:sz w:val="24"/>
          <w:lang w:val="zh-CN"/>
        </w:rPr>
        <w:t>所有投标产品进入“节能产品政府采购品目清单”的，应提供相关证书复印件，相关证书的颁发机构应来自《参与实施政府采购节能产品认证机构名录》。</w:t>
      </w:r>
    </w:p>
    <w:p>
      <w:pPr>
        <w:spacing w:line="360" w:lineRule="auto"/>
        <w:ind w:firstLine="480" w:firstLineChars="200"/>
        <w:jc w:val="left"/>
        <w:rPr>
          <w:rFonts w:hint="eastAsia" w:ascii="宋体" w:hAnsi="宋体" w:eastAsia="宋体" w:cs="宋体"/>
          <w:color w:val="auto"/>
          <w:sz w:val="24"/>
          <w:lang w:val="zh-CN"/>
        </w:rPr>
      </w:pPr>
      <w:r>
        <w:rPr>
          <w:rFonts w:hint="eastAsia" w:ascii="宋体" w:hAnsi="宋体" w:eastAsia="宋体" w:cs="宋体"/>
          <w:color w:val="auto"/>
          <w:sz w:val="24"/>
        </w:rPr>
        <w:t>29.7.2.6</w:t>
      </w:r>
      <w:r>
        <w:rPr>
          <w:rFonts w:hint="eastAsia" w:ascii="宋体" w:hAnsi="宋体" w:eastAsia="宋体" w:cs="宋体"/>
          <w:color w:val="auto"/>
          <w:sz w:val="24"/>
          <w:lang w:val="zh-CN"/>
        </w:rPr>
        <w:t>所有投标产品进入“环境标志产品政府采购品目清单”的，应提供相关证书复印件，相关证书的颁发机构应来自《参与实施政府采购环境标志产品认证机构名录》。</w:t>
      </w:r>
    </w:p>
    <w:p>
      <w:pPr>
        <w:pStyle w:val="5"/>
        <w:adjustRightInd w:val="0"/>
        <w:snapToGrid w:val="0"/>
        <w:spacing w:before="0" w:after="0" w:line="360" w:lineRule="auto"/>
        <w:ind w:firstLine="482" w:firstLineChars="200"/>
        <w:rPr>
          <w:rFonts w:hint="eastAsia" w:ascii="宋体" w:hAnsi="宋体" w:eastAsia="宋体" w:cs="宋体"/>
          <w:color w:val="auto"/>
          <w:sz w:val="24"/>
          <w:szCs w:val="24"/>
        </w:rPr>
      </w:pPr>
      <w:bookmarkStart w:id="137" w:name="_Toc21050"/>
      <w:r>
        <w:rPr>
          <w:rFonts w:hint="eastAsia" w:ascii="宋体" w:hAnsi="宋体" w:eastAsia="宋体" w:cs="宋体"/>
          <w:color w:val="auto"/>
          <w:sz w:val="24"/>
          <w:szCs w:val="24"/>
        </w:rPr>
        <w:t>30．与采购人、采购代理机构和磋商小组接触</w:t>
      </w:r>
      <w:bookmarkEnd w:id="134"/>
      <w:bookmarkEnd w:id="135"/>
      <w:bookmarkEnd w:id="136"/>
      <w:bookmarkEnd w:id="137"/>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30.1 供应商试图对采购人和磋商小组的评审、比较或授予合同的决定进行影响，都可能导致其磋商被拒绝。</w:t>
      </w:r>
    </w:p>
    <w:p>
      <w:pPr>
        <w:pStyle w:val="5"/>
        <w:adjustRightInd w:val="0"/>
        <w:snapToGrid w:val="0"/>
        <w:spacing w:before="0" w:after="0" w:line="360" w:lineRule="auto"/>
        <w:ind w:firstLine="482" w:firstLineChars="200"/>
        <w:rPr>
          <w:rFonts w:hint="eastAsia" w:ascii="宋体" w:hAnsi="宋体" w:eastAsia="宋体" w:cs="宋体"/>
          <w:color w:val="auto"/>
          <w:sz w:val="24"/>
          <w:szCs w:val="24"/>
        </w:rPr>
      </w:pPr>
      <w:bookmarkStart w:id="138" w:name="_Toc2860"/>
      <w:r>
        <w:rPr>
          <w:rFonts w:hint="eastAsia" w:ascii="宋体" w:hAnsi="宋体" w:eastAsia="宋体" w:cs="宋体"/>
          <w:color w:val="auto"/>
          <w:sz w:val="24"/>
          <w:szCs w:val="24"/>
        </w:rPr>
        <w:t>31．其他</w:t>
      </w:r>
      <w:bookmarkEnd w:id="138"/>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31.1 《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overflowPunct w:val="0"/>
        <w:adjustRightInd w:val="0"/>
        <w:snapToGrid w:val="0"/>
        <w:spacing w:line="360" w:lineRule="auto"/>
        <w:ind w:firstLine="480" w:firstLineChars="200"/>
        <w:rPr>
          <w:rFonts w:hint="eastAsia" w:ascii="宋体" w:hAnsi="宋体" w:eastAsia="宋体" w:cs="宋体"/>
          <w:sz w:val="24"/>
        </w:rPr>
      </w:pPr>
      <w:bookmarkStart w:id="139" w:name="_Toc12875"/>
      <w:bookmarkStart w:id="140" w:name="_Toc13171"/>
      <w:r>
        <w:rPr>
          <w:rFonts w:hint="eastAsia" w:ascii="宋体" w:hAnsi="宋体" w:eastAsia="宋体" w:cs="宋体"/>
          <w:sz w:val="24"/>
          <w:lang w:val="en-US" w:eastAsia="zh-CN"/>
        </w:rPr>
        <w:t>31.2</w:t>
      </w:r>
      <w:r>
        <w:rPr>
          <w:rFonts w:hint="eastAsia" w:ascii="宋体" w:hAnsi="宋体" w:eastAsia="宋体" w:cs="宋体"/>
          <w:sz w:val="24"/>
        </w:rPr>
        <w:t>特殊情况的处理</w:t>
      </w:r>
    </w:p>
    <w:p>
      <w:pPr>
        <w:overflowPunct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31.2</w:t>
      </w:r>
      <w:r>
        <w:rPr>
          <w:rFonts w:hint="eastAsia" w:ascii="宋体" w:hAnsi="宋体" w:eastAsia="宋体" w:cs="宋体"/>
          <w:sz w:val="24"/>
        </w:rPr>
        <w:t>.1单一产品采购项目中，提供相同品牌的产品的不同供应商参加同一合同项下投标的，按以下方法处理：</w:t>
      </w:r>
    </w:p>
    <w:p>
      <w:pPr>
        <w:overflowPunct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使用最低评标价法的采购项目，提供相同品牌产品的不同供应商参加同一合同项下投标的，以其中通过资格审查、符合性审查且报价最低的参加评标；报价相同的，由采购人及评标委员会按照技术方案、售后服务等内容择优选择确定一个参加评标的供应商，其他投标无效。</w:t>
      </w:r>
    </w:p>
    <w:p>
      <w:pPr>
        <w:overflowPunct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使用综合评分法的采购项目，提供相同品牌产品且通过资格审查、符合性审查的不同供应商参加同一合同项下投标的，按一家供应商计算，评审后得分最高的同品牌供应商获得中标人推荐资格；评审得分相同的，由采购人及评标委员会按照投标报价最低的方式确定一个供应商获得中标人推荐资格，其他同品牌供应商不作为中标候选人。</w:t>
      </w:r>
    </w:p>
    <w:p>
      <w:pPr>
        <w:overflowPunct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31.2</w:t>
      </w:r>
      <w:r>
        <w:rPr>
          <w:rFonts w:hint="eastAsia" w:ascii="宋体" w:hAnsi="宋体" w:eastAsia="宋体" w:cs="宋体"/>
          <w:sz w:val="24"/>
        </w:rPr>
        <w:t>.2非单一产品采购项目中，提供相同品牌的核心产品的不同供应商参加同一合同项下投标的，按以下方法处理：</w:t>
      </w:r>
    </w:p>
    <w:p>
      <w:pPr>
        <w:overflowPunct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使用最低评标价法的采购项目，提供相同品牌核心产品的不同供应商参加同一合同项下投标的，以其中通过资格审查、符合性审查且投标报价最低的参加评标；投标报价相同的，由采购人及评标委员会按照技术方案、售后服务等内容择优选择确定一个参加评标的供应商，其他投标无效。</w:t>
      </w:r>
    </w:p>
    <w:p>
      <w:pPr>
        <w:overflowPunct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使用综合评分法的采购项目，提供相同品牌核心产品且通过资格审查、符合性审查的不同供应商参加同一合同项下投标的，按一家供应商计算，评审后得分最高的同品牌供应商获得中标人推荐资格；评审得分相同的，由采购人及评标委员会按照投标报价最低的方式确定一个供应商获得中标人推荐资格，其他同品牌供应商不作为中标候选人。</w:t>
      </w:r>
    </w:p>
    <w:p>
      <w:pPr>
        <w:overflowPunct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（3）核心产品为两个及以上时，当所有核心产品品牌均相同时，在评审时按同一供应商计算；部分核心产品品牌相同时按不同供应商计算。</w:t>
      </w:r>
    </w:p>
    <w:bookmarkEnd w:id="139"/>
    <w:bookmarkEnd w:id="140"/>
    <w:p>
      <w:pPr>
        <w:pStyle w:val="4"/>
        <w:spacing w:line="360" w:lineRule="auto"/>
        <w:jc w:val="center"/>
        <w:rPr>
          <w:rFonts w:hint="eastAsia" w:ascii="宋体" w:hAnsi="宋体" w:eastAsia="宋体" w:cs="宋体"/>
          <w:b w:val="0"/>
          <w:color w:val="auto"/>
          <w:sz w:val="44"/>
        </w:rPr>
      </w:pPr>
      <w:bookmarkStart w:id="141" w:name="_Toc409684171"/>
      <w:bookmarkStart w:id="142" w:name="_Toc283626507"/>
      <w:bookmarkStart w:id="143" w:name="_Toc11093"/>
      <w:bookmarkStart w:id="144" w:name="_Toc283240491"/>
      <w:bookmarkStart w:id="145" w:name="_Toc311415606"/>
      <w:bookmarkStart w:id="146" w:name="_Toc332874424"/>
      <w:bookmarkStart w:id="147" w:name="_Toc423508255"/>
      <w:r>
        <w:rPr>
          <w:rFonts w:hint="eastAsia" w:ascii="宋体" w:hAnsi="宋体" w:eastAsia="宋体" w:cs="宋体"/>
          <w:b w:val="0"/>
          <w:color w:val="auto"/>
          <w:sz w:val="44"/>
        </w:rPr>
        <w:t>F．授予合同</w:t>
      </w:r>
      <w:bookmarkEnd w:id="141"/>
      <w:bookmarkEnd w:id="142"/>
      <w:bookmarkEnd w:id="143"/>
      <w:bookmarkEnd w:id="144"/>
      <w:bookmarkEnd w:id="145"/>
      <w:bookmarkEnd w:id="146"/>
      <w:bookmarkEnd w:id="147"/>
    </w:p>
    <w:p>
      <w:pPr>
        <w:pStyle w:val="5"/>
        <w:adjustRightInd w:val="0"/>
        <w:snapToGrid w:val="0"/>
        <w:spacing w:before="0" w:after="0" w:line="360" w:lineRule="auto"/>
        <w:ind w:firstLine="482" w:firstLineChars="200"/>
        <w:rPr>
          <w:rFonts w:hint="eastAsia" w:ascii="宋体" w:hAnsi="宋体" w:eastAsia="宋体" w:cs="宋体"/>
          <w:color w:val="auto"/>
          <w:sz w:val="24"/>
          <w:szCs w:val="24"/>
        </w:rPr>
      </w:pPr>
      <w:bookmarkStart w:id="148" w:name="_Toc311415607"/>
      <w:bookmarkStart w:id="149" w:name="_Toc1675"/>
      <w:bookmarkStart w:id="150" w:name="_Toc423508256"/>
      <w:r>
        <w:rPr>
          <w:rFonts w:hint="eastAsia" w:ascii="宋体" w:hAnsi="宋体" w:eastAsia="宋体" w:cs="宋体"/>
          <w:color w:val="auto"/>
          <w:sz w:val="24"/>
          <w:szCs w:val="24"/>
        </w:rPr>
        <w:t>32．</w:t>
      </w:r>
      <w:bookmarkEnd w:id="148"/>
      <w:r>
        <w:rPr>
          <w:rFonts w:hint="eastAsia" w:ascii="宋体" w:hAnsi="宋体" w:eastAsia="宋体" w:cs="宋体"/>
          <w:color w:val="auto"/>
          <w:sz w:val="24"/>
          <w:szCs w:val="24"/>
        </w:rPr>
        <w:t>供应商确定及合同授予</w:t>
      </w:r>
      <w:bookmarkEnd w:id="149"/>
      <w:bookmarkEnd w:id="150"/>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32.1 采购代理机构应在评审结束后2个工作日内，将评审报告送采购人确认。</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32.2 采购人在收到评审报告后5个工作日内，根据评审报告对评审过程及结果进行严格审核后确定成交供应商，复函采购代理机构。</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32.3 采购代理机构在接到采购人的成交供应商复函后，在财政部门指定的政府采购信息发布媒体上公告，并向成交供应商发《成交通知书》。</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32.4 采购代理机构向成交供应商发出《成交通知书》，对于其他未成交供应商，将在保证金有效期内退还其磋商保证金。</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32.5 《成交通知书》将作为签订合同的依据，磋商文件、成交供应商的响应文件和补充文件（如澄清、承诺等）等，均为有法律约束力的经济合同组成的一部分。</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32.6 《成交通知书》发出30天内，如果已成交的供应商不能按响应文件，包括补充文件（如澄清、承诺等）中承诺的条件履行签约行为，采购人有权取消其成交资格，并扣除其磋商保证金。</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32.7 成交供应商如果因不可抗力或自身原因不能履行采购合同，采购人可与排位在成交供应商之后第一位的成交候选供应商签订采购合同。</w:t>
      </w:r>
    </w:p>
    <w:p>
      <w:pPr>
        <w:pStyle w:val="5"/>
        <w:adjustRightInd w:val="0"/>
        <w:snapToGrid w:val="0"/>
        <w:spacing w:before="0" w:after="0" w:line="360" w:lineRule="auto"/>
        <w:ind w:firstLine="482" w:firstLineChars="200"/>
        <w:rPr>
          <w:rFonts w:hint="eastAsia" w:ascii="宋体" w:hAnsi="宋体" w:eastAsia="宋体" w:cs="宋体"/>
          <w:color w:val="auto"/>
          <w:sz w:val="24"/>
          <w:szCs w:val="24"/>
        </w:rPr>
      </w:pPr>
      <w:bookmarkStart w:id="151" w:name="_Toc311415609"/>
      <w:bookmarkStart w:id="152" w:name="_Toc423508257"/>
      <w:bookmarkStart w:id="153" w:name="_Toc11205"/>
      <w:r>
        <w:rPr>
          <w:rFonts w:hint="eastAsia" w:ascii="宋体" w:hAnsi="宋体" w:eastAsia="宋体" w:cs="宋体"/>
          <w:color w:val="auto"/>
          <w:sz w:val="24"/>
          <w:szCs w:val="24"/>
        </w:rPr>
        <w:t>33．接受和拒绝任何或所有磋商的权力</w:t>
      </w:r>
      <w:bookmarkEnd w:id="151"/>
      <w:bookmarkEnd w:id="152"/>
      <w:bookmarkEnd w:id="153"/>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33.1 采购代理机构和采购人保留在授标之前任何时候接受或拒绝任何磋商，以及宣布磋商程序无效或拒绝所有磋商的权力，对受影响的供应商不承担任何责任，也无义务向受影响的供应商解释采取这一行动的理由。</w:t>
      </w:r>
    </w:p>
    <w:p>
      <w:pPr>
        <w:pStyle w:val="5"/>
        <w:adjustRightInd w:val="0"/>
        <w:snapToGrid w:val="0"/>
        <w:spacing w:before="0" w:after="0" w:line="360" w:lineRule="auto"/>
        <w:ind w:firstLine="482" w:firstLineChars="200"/>
        <w:rPr>
          <w:rFonts w:hint="eastAsia" w:ascii="宋体" w:hAnsi="宋体" w:eastAsia="宋体" w:cs="宋体"/>
          <w:color w:val="auto"/>
          <w:sz w:val="24"/>
          <w:szCs w:val="24"/>
        </w:rPr>
      </w:pPr>
      <w:bookmarkStart w:id="154" w:name="_Toc311415613"/>
      <w:bookmarkStart w:id="155" w:name="_Toc423508259"/>
      <w:bookmarkStart w:id="156" w:name="_Toc6582"/>
      <w:r>
        <w:rPr>
          <w:rFonts w:hint="eastAsia" w:ascii="宋体" w:hAnsi="宋体" w:eastAsia="宋体" w:cs="宋体"/>
          <w:color w:val="auto"/>
          <w:sz w:val="24"/>
          <w:szCs w:val="24"/>
        </w:rPr>
        <w:t>34．腐败和欺诈行为</w:t>
      </w:r>
      <w:bookmarkEnd w:id="154"/>
      <w:bookmarkEnd w:id="155"/>
      <w:bookmarkEnd w:id="156"/>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34.1 定义</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a. “腐败行为”是指提供给予接受或索取任何有价值的东西来影响采购代理机构和/或采购人在采购过程或合同实施过程中的行为。</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b. “欺诈行为”是指为了影响采购过程或合同实施过程而谎报事实，损害采购代理机构和/或采购人的利益，包括供应商之间相互串通（递交响应文件之前和之后），人为地使磋商丧失竞争性，剥夺采购人从自由公开竞争所能获得的权益。</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34.2如果采购代理机构和采购人认为供应商在本项目的竞争中有腐败或欺诈行为，其磋商将被拒绝。</w:t>
      </w:r>
    </w:p>
    <w:p>
      <w:pPr>
        <w:pStyle w:val="5"/>
        <w:adjustRightInd w:val="0"/>
        <w:snapToGrid w:val="0"/>
        <w:spacing w:before="0" w:after="0" w:line="360" w:lineRule="auto"/>
        <w:ind w:firstLine="482" w:firstLineChars="200"/>
        <w:rPr>
          <w:rFonts w:hint="eastAsia" w:ascii="宋体" w:hAnsi="宋体" w:eastAsia="宋体" w:cs="宋体"/>
          <w:color w:val="auto"/>
          <w:sz w:val="24"/>
          <w:szCs w:val="24"/>
        </w:rPr>
      </w:pPr>
      <w:bookmarkStart w:id="157" w:name="_Toc28789"/>
      <w:bookmarkStart w:id="158" w:name="_Toc423508260"/>
      <w:r>
        <w:rPr>
          <w:rFonts w:hint="eastAsia" w:ascii="宋体" w:hAnsi="宋体" w:eastAsia="宋体" w:cs="宋体"/>
          <w:color w:val="auto"/>
          <w:sz w:val="24"/>
          <w:szCs w:val="24"/>
        </w:rPr>
        <w:t>35.代理服务费</w:t>
      </w:r>
      <w:bookmarkEnd w:id="52"/>
      <w:bookmarkEnd w:id="53"/>
      <w:bookmarkEnd w:id="54"/>
      <w:bookmarkEnd w:id="157"/>
      <w:bookmarkEnd w:id="158"/>
      <w:r>
        <w:rPr>
          <w:rFonts w:hint="eastAsia" w:ascii="宋体" w:hAnsi="宋体" w:eastAsia="宋体" w:cs="宋体"/>
          <w:color w:val="auto"/>
          <w:sz w:val="24"/>
          <w:szCs w:val="24"/>
        </w:rPr>
        <w:t xml:space="preserve"> </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35.1 </w:t>
      </w:r>
      <w:r>
        <w:rPr>
          <w:rFonts w:hint="eastAsia" w:ascii="宋体" w:hAnsi="宋体" w:eastAsia="宋体" w:cs="宋体"/>
          <w:color w:val="auto"/>
          <w:sz w:val="24"/>
          <w:szCs w:val="24"/>
        </w:rPr>
        <w:t>成交单位在领取成交通知书前，须向采购代理机构支付服务费。</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35.2 代理服务费参照</w:t>
      </w:r>
      <w:r>
        <w:rPr>
          <w:rFonts w:hint="eastAsia" w:ascii="宋体" w:hAnsi="宋体" w:eastAsia="宋体" w:cs="宋体"/>
          <w:color w:val="auto"/>
          <w:sz w:val="24"/>
          <w:szCs w:val="24"/>
        </w:rPr>
        <w:t>《国家计委关于印发&lt;招标代理服务收费管理暂行办法&gt;的通知》（计价格[2002]1980号）规定</w:t>
      </w:r>
      <w:r>
        <w:rPr>
          <w:rFonts w:hint="eastAsia" w:ascii="宋体" w:hAnsi="宋体" w:eastAsia="宋体" w:cs="宋体"/>
          <w:color w:val="auto"/>
          <w:sz w:val="24"/>
        </w:rPr>
        <w:t>收费标准收取。</w:t>
      </w:r>
    </w:p>
    <w:p>
      <w:pPr>
        <w:pStyle w:val="26"/>
        <w:rPr>
          <w:rFonts w:hint="eastAsia" w:ascii="宋体" w:hAnsi="宋体" w:eastAsia="宋体" w:cs="宋体"/>
          <w:color w:val="auto"/>
          <w:sz w:val="24"/>
        </w:rPr>
      </w:pPr>
    </w:p>
    <w:bookmarkEnd w:id="7"/>
    <w:bookmarkEnd w:id="8"/>
    <w:bookmarkEnd w:id="9"/>
    <w:bookmarkEnd w:id="10"/>
    <w:bookmarkEnd w:id="11"/>
    <w:bookmarkEnd w:id="12"/>
    <w:bookmarkEnd w:id="13"/>
    <w:p>
      <w:pPr>
        <w:pStyle w:val="2"/>
        <w:ind w:firstLine="0"/>
        <w:jc w:val="center"/>
        <w:rPr>
          <w:rFonts w:hint="eastAsia" w:ascii="宋体" w:hAnsi="宋体" w:eastAsia="宋体" w:cs="宋体"/>
          <w:b/>
          <w:bCs/>
          <w:color w:val="auto"/>
          <w:sz w:val="32"/>
          <w:szCs w:val="32"/>
        </w:rPr>
        <w:sectPr>
          <w:footnotePr>
            <w:pos w:val="beneathText"/>
          </w:footnotePr>
          <w:pgSz w:w="11906" w:h="16838"/>
          <w:pgMar w:top="1440" w:right="1423" w:bottom="1219" w:left="1644" w:header="720" w:footer="720" w:gutter="0"/>
          <w:cols w:space="720" w:num="1"/>
          <w:docGrid w:linePitch="312" w:charSpace="0"/>
        </w:sectPr>
      </w:pPr>
      <w:bookmarkStart w:id="159" w:name="_Toc246928960"/>
      <w:bookmarkStart w:id="160" w:name="_Toc389620242"/>
      <w:bookmarkStart w:id="161" w:name="_Toc497546919"/>
      <w:bookmarkStart w:id="162" w:name="_Toc497711586"/>
      <w:bookmarkStart w:id="163" w:name="_Toc385992402"/>
      <w:bookmarkStart w:id="164" w:name="_Toc497712134"/>
      <w:bookmarkStart w:id="165" w:name="_Toc492955460"/>
      <w:bookmarkStart w:id="166" w:name="_Toc497551821"/>
    </w:p>
    <w:p>
      <w:pPr>
        <w:pStyle w:val="3"/>
        <w:spacing w:line="240" w:lineRule="auto"/>
        <w:jc w:val="center"/>
        <w:rPr>
          <w:rFonts w:hint="eastAsia" w:ascii="宋体" w:hAnsi="宋体" w:eastAsia="宋体" w:cs="宋体"/>
          <w:color w:val="auto"/>
          <w:sz w:val="36"/>
        </w:rPr>
      </w:pPr>
      <w:bookmarkStart w:id="167" w:name="_Toc7732"/>
      <w:r>
        <w:rPr>
          <w:rFonts w:hint="eastAsia" w:ascii="宋体" w:hAnsi="宋体" w:eastAsia="宋体" w:cs="宋体"/>
          <w:color w:val="auto"/>
          <w:sz w:val="36"/>
        </w:rPr>
        <w:t>第四部分  评审办法</w:t>
      </w:r>
      <w:bookmarkEnd w:id="167"/>
    </w:p>
    <w:p>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附表1 资格审查表</w:t>
      </w:r>
    </w:p>
    <w:p>
      <w:pPr>
        <w:pStyle w:val="2"/>
        <w:ind w:firstLine="0"/>
        <w:rPr>
          <w:rFonts w:hint="eastAsia" w:ascii="宋体" w:hAnsi="宋体" w:eastAsia="宋体" w:cs="宋体"/>
          <w:color w:val="auto"/>
          <w:sz w:val="24"/>
        </w:rPr>
      </w:pPr>
    </w:p>
    <w:tbl>
      <w:tblPr>
        <w:tblStyle w:val="40"/>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672"/>
        <w:gridCol w:w="6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15" w:type="dxa"/>
            <w:vAlign w:val="center"/>
          </w:tcPr>
          <w:p>
            <w:pPr>
              <w:pStyle w:val="17"/>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672" w:type="dxa"/>
            <w:vAlign w:val="center"/>
          </w:tcPr>
          <w:p>
            <w:pPr>
              <w:pStyle w:val="17"/>
              <w:jc w:val="center"/>
              <w:rPr>
                <w:rFonts w:hint="eastAsia" w:ascii="宋体" w:hAnsi="宋体" w:eastAsia="宋体" w:cs="宋体"/>
                <w:b w:val="0"/>
                <w:color w:val="auto"/>
                <w:sz w:val="24"/>
                <w:szCs w:val="24"/>
              </w:rPr>
            </w:pPr>
            <w:r>
              <w:rPr>
                <w:rFonts w:hint="eastAsia" w:ascii="宋体" w:hAnsi="宋体" w:eastAsia="宋体" w:cs="宋体"/>
                <w:color w:val="auto"/>
                <w:sz w:val="24"/>
                <w:szCs w:val="24"/>
              </w:rPr>
              <w:t>评审内容</w:t>
            </w:r>
          </w:p>
        </w:tc>
        <w:tc>
          <w:tcPr>
            <w:tcW w:w="6111" w:type="dxa"/>
            <w:vAlign w:val="center"/>
          </w:tcPr>
          <w:p>
            <w:pPr>
              <w:pStyle w:val="17"/>
              <w:jc w:val="center"/>
              <w:rPr>
                <w:rFonts w:hint="eastAsia" w:ascii="宋体" w:hAnsi="宋体" w:eastAsia="宋体" w:cs="宋体"/>
                <w:b w:val="0"/>
                <w:color w:val="auto"/>
                <w:sz w:val="24"/>
                <w:szCs w:val="24"/>
              </w:rPr>
            </w:pPr>
            <w:r>
              <w:rPr>
                <w:rFonts w:hint="eastAsia" w:ascii="宋体" w:hAnsi="宋体" w:eastAsia="宋体" w:cs="宋体"/>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915" w:type="dxa"/>
            <w:vMerge w:val="restart"/>
            <w:vAlign w:val="center"/>
          </w:tcPr>
          <w:p>
            <w:pPr>
              <w:pStyle w:val="17"/>
              <w:jc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rPr>
              <w:t>1</w:t>
            </w:r>
          </w:p>
        </w:tc>
        <w:tc>
          <w:tcPr>
            <w:tcW w:w="2672" w:type="dxa"/>
            <w:vMerge w:val="restart"/>
            <w:vAlign w:val="center"/>
          </w:tcPr>
          <w:p>
            <w:pPr>
              <w:pStyle w:val="17"/>
              <w:spacing w:line="360" w:lineRule="auto"/>
              <w:jc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rPr>
              <w:t>基本资格条件</w:t>
            </w:r>
          </w:p>
        </w:tc>
        <w:tc>
          <w:tcPr>
            <w:tcW w:w="6111" w:type="dxa"/>
            <w:vAlign w:val="center"/>
          </w:tcPr>
          <w:p>
            <w:pPr>
              <w:spacing w:line="360" w:lineRule="auto"/>
              <w:rPr>
                <w:rFonts w:hint="eastAsia" w:ascii="宋体" w:hAnsi="宋体" w:eastAsia="宋体" w:cs="宋体"/>
                <w:color w:val="auto"/>
                <w:szCs w:val="21"/>
              </w:rPr>
            </w:pPr>
            <w:r>
              <w:rPr>
                <w:rFonts w:hint="eastAsia" w:ascii="宋体" w:hAnsi="宋体" w:eastAsia="宋体" w:cs="宋体"/>
                <w:color w:val="auto"/>
                <w:kern w:val="0"/>
                <w:szCs w:val="21"/>
              </w:rPr>
              <w:t>具有独立承担民事责任的能力：提供供应商合法注册的法人或其他组织的营业执照/事业单位法人证书/非企业专业服务机构执业许可证/民办非企业单位登记证书/自然人提供身份证明（提供复印件并加盖供应商公章）</w:t>
            </w:r>
            <w:r>
              <w:rPr>
                <w:rFonts w:hint="eastAsia" w:ascii="宋体" w:hAnsi="宋体" w:eastAsia="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915" w:type="dxa"/>
            <w:vMerge w:val="continue"/>
            <w:vAlign w:val="center"/>
          </w:tcPr>
          <w:p>
            <w:pPr>
              <w:pStyle w:val="17"/>
              <w:jc w:val="center"/>
              <w:rPr>
                <w:rFonts w:hint="eastAsia" w:ascii="宋体" w:hAnsi="宋体" w:eastAsia="宋体" w:cs="宋体"/>
                <w:b w:val="0"/>
                <w:color w:val="auto"/>
                <w:sz w:val="21"/>
                <w:szCs w:val="21"/>
              </w:rPr>
            </w:pPr>
          </w:p>
        </w:tc>
        <w:tc>
          <w:tcPr>
            <w:tcW w:w="2672" w:type="dxa"/>
            <w:vMerge w:val="continue"/>
            <w:vAlign w:val="center"/>
          </w:tcPr>
          <w:p>
            <w:pPr>
              <w:pStyle w:val="17"/>
              <w:spacing w:line="360" w:lineRule="auto"/>
              <w:jc w:val="left"/>
              <w:rPr>
                <w:rFonts w:hint="eastAsia" w:ascii="宋体" w:hAnsi="宋体" w:eastAsia="宋体" w:cs="宋体"/>
                <w:b w:val="0"/>
                <w:color w:val="auto"/>
                <w:sz w:val="21"/>
                <w:szCs w:val="21"/>
              </w:rPr>
            </w:pPr>
          </w:p>
        </w:tc>
        <w:tc>
          <w:tcPr>
            <w:tcW w:w="6111" w:type="dxa"/>
            <w:vAlign w:val="center"/>
          </w:tcPr>
          <w:p>
            <w:pPr>
              <w:spacing w:line="360" w:lineRule="auto"/>
              <w:rPr>
                <w:rFonts w:hint="eastAsia" w:ascii="宋体" w:hAnsi="宋体" w:eastAsia="宋体" w:cs="宋体"/>
                <w:color w:val="auto"/>
                <w:szCs w:val="21"/>
              </w:rPr>
            </w:pPr>
            <w:r>
              <w:rPr>
                <w:rFonts w:hint="eastAsia" w:ascii="宋体" w:hAnsi="宋体" w:eastAsia="宋体" w:cs="宋体"/>
                <w:color w:val="auto"/>
                <w:kern w:val="0"/>
                <w:szCs w:val="21"/>
              </w:rPr>
              <w:t>具有良好的商业信誉和健全的财务会计制度：提供2021年度经审计的财务审计报告，成立时间至提交响应文件截止时间不足一年的可提供成立后任意时段的资产负债表，或其基本存款账户开户银行出具的资信证明（提供复印件并加盖供应商公章）</w:t>
            </w:r>
            <w:r>
              <w:rPr>
                <w:rFonts w:hint="eastAsia" w:ascii="宋体" w:hAnsi="宋体" w:eastAsia="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15" w:type="dxa"/>
            <w:vMerge w:val="continue"/>
            <w:vAlign w:val="center"/>
          </w:tcPr>
          <w:p>
            <w:pPr>
              <w:pStyle w:val="17"/>
              <w:jc w:val="center"/>
              <w:rPr>
                <w:rFonts w:hint="eastAsia" w:ascii="宋体" w:hAnsi="宋体" w:eastAsia="宋体" w:cs="宋体"/>
                <w:b w:val="0"/>
                <w:color w:val="auto"/>
                <w:sz w:val="21"/>
                <w:szCs w:val="21"/>
              </w:rPr>
            </w:pPr>
          </w:p>
        </w:tc>
        <w:tc>
          <w:tcPr>
            <w:tcW w:w="2672" w:type="dxa"/>
            <w:vMerge w:val="continue"/>
            <w:vAlign w:val="center"/>
          </w:tcPr>
          <w:p>
            <w:pPr>
              <w:pStyle w:val="17"/>
              <w:spacing w:line="360" w:lineRule="auto"/>
              <w:jc w:val="left"/>
              <w:rPr>
                <w:rFonts w:hint="eastAsia" w:ascii="宋体" w:hAnsi="宋体" w:eastAsia="宋体" w:cs="宋体"/>
                <w:b w:val="0"/>
                <w:color w:val="auto"/>
                <w:sz w:val="21"/>
                <w:szCs w:val="21"/>
              </w:rPr>
            </w:pPr>
          </w:p>
        </w:tc>
        <w:tc>
          <w:tcPr>
            <w:tcW w:w="6111" w:type="dxa"/>
            <w:vAlign w:val="center"/>
          </w:tcPr>
          <w:p>
            <w:pPr>
              <w:spacing w:line="360" w:lineRule="auto"/>
              <w:rPr>
                <w:rFonts w:hint="eastAsia" w:ascii="宋体" w:hAnsi="宋体" w:eastAsia="宋体" w:cs="宋体"/>
                <w:color w:val="auto"/>
                <w:szCs w:val="21"/>
              </w:rPr>
            </w:pPr>
            <w:r>
              <w:rPr>
                <w:rFonts w:hint="eastAsia" w:ascii="宋体" w:hAnsi="宋体" w:eastAsia="宋体" w:cs="宋体"/>
                <w:color w:val="auto"/>
                <w:kern w:val="0"/>
                <w:szCs w:val="21"/>
              </w:rPr>
              <w:t>具有履行合同所必需的设备和专业技术能力：提供承诺书并加盖供应商公章</w:t>
            </w:r>
            <w:r>
              <w:rPr>
                <w:rFonts w:hint="eastAsia" w:ascii="宋体" w:hAnsi="宋体" w:eastAsia="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1" w:hRule="atLeast"/>
          <w:jc w:val="center"/>
        </w:trPr>
        <w:tc>
          <w:tcPr>
            <w:tcW w:w="915" w:type="dxa"/>
            <w:vMerge w:val="continue"/>
            <w:vAlign w:val="center"/>
          </w:tcPr>
          <w:p>
            <w:pPr>
              <w:pStyle w:val="17"/>
              <w:jc w:val="center"/>
              <w:rPr>
                <w:rFonts w:hint="eastAsia" w:ascii="宋体" w:hAnsi="宋体" w:eastAsia="宋体" w:cs="宋体"/>
                <w:b w:val="0"/>
                <w:color w:val="auto"/>
                <w:sz w:val="21"/>
                <w:szCs w:val="21"/>
              </w:rPr>
            </w:pPr>
          </w:p>
        </w:tc>
        <w:tc>
          <w:tcPr>
            <w:tcW w:w="2672" w:type="dxa"/>
            <w:vMerge w:val="continue"/>
            <w:vAlign w:val="center"/>
          </w:tcPr>
          <w:p>
            <w:pPr>
              <w:pStyle w:val="17"/>
              <w:spacing w:line="360" w:lineRule="auto"/>
              <w:jc w:val="left"/>
              <w:rPr>
                <w:rFonts w:hint="eastAsia" w:ascii="宋体" w:hAnsi="宋体" w:eastAsia="宋体" w:cs="宋体"/>
                <w:b w:val="0"/>
                <w:color w:val="auto"/>
                <w:sz w:val="21"/>
                <w:szCs w:val="21"/>
              </w:rPr>
            </w:pPr>
          </w:p>
        </w:tc>
        <w:tc>
          <w:tcPr>
            <w:tcW w:w="6111" w:type="dxa"/>
            <w:vAlign w:val="center"/>
          </w:tcPr>
          <w:p>
            <w:pPr>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有依法缴纳税收和社会保障资金的良好记录：①税收缴纳证明：法人提供响应文件截止时间前一年内至少一个月已缴纳的增值税或企业所得税的凭据；其他组织和自然人提供响应文件截止时间前一年内至少一个月缴纳税收的凭据；依法免税的供应商应提供相关文件证明（提供复印件并加盖供应商公章）；②社会保障资金缴纳证明：提供响应文件截止时间前一年内至少一个月已缴纳的社会保障资金的凭据（专用收据或社会保险缴纳清单）；依法不需要缴纳社会保障资金的供应商应提供相关文件证明（提供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15" w:type="dxa"/>
            <w:vMerge w:val="continue"/>
            <w:vAlign w:val="center"/>
          </w:tcPr>
          <w:p>
            <w:pPr>
              <w:pStyle w:val="17"/>
              <w:jc w:val="center"/>
              <w:rPr>
                <w:rFonts w:hint="eastAsia" w:ascii="宋体" w:hAnsi="宋体" w:eastAsia="宋体" w:cs="宋体"/>
                <w:b w:val="0"/>
                <w:color w:val="auto"/>
                <w:sz w:val="21"/>
                <w:szCs w:val="21"/>
              </w:rPr>
            </w:pPr>
          </w:p>
        </w:tc>
        <w:tc>
          <w:tcPr>
            <w:tcW w:w="2672" w:type="dxa"/>
            <w:vMerge w:val="continue"/>
            <w:vAlign w:val="center"/>
          </w:tcPr>
          <w:p>
            <w:pPr>
              <w:pStyle w:val="17"/>
              <w:spacing w:line="360" w:lineRule="auto"/>
              <w:rPr>
                <w:rFonts w:hint="eastAsia" w:ascii="宋体" w:hAnsi="宋体" w:eastAsia="宋体" w:cs="宋体"/>
                <w:b w:val="0"/>
                <w:color w:val="auto"/>
                <w:sz w:val="21"/>
                <w:szCs w:val="21"/>
              </w:rPr>
            </w:pPr>
          </w:p>
        </w:tc>
        <w:tc>
          <w:tcPr>
            <w:tcW w:w="6111" w:type="dxa"/>
            <w:vAlign w:val="center"/>
          </w:tcPr>
          <w:p>
            <w:pPr>
              <w:pStyle w:val="17"/>
              <w:spacing w:line="360" w:lineRule="auto"/>
              <w:rPr>
                <w:rFonts w:hint="eastAsia" w:ascii="宋体" w:hAnsi="宋体" w:eastAsia="宋体" w:cs="宋体"/>
                <w:b w:val="0"/>
                <w:color w:val="auto"/>
                <w:kern w:val="0"/>
                <w:sz w:val="21"/>
                <w:szCs w:val="21"/>
              </w:rPr>
            </w:pPr>
            <w:r>
              <w:rPr>
                <w:rFonts w:hint="eastAsia" w:ascii="宋体" w:hAnsi="宋体" w:eastAsia="宋体" w:cs="宋体"/>
                <w:b w:val="0"/>
                <w:color w:val="auto"/>
                <w:kern w:val="0"/>
                <w:sz w:val="21"/>
                <w:szCs w:val="21"/>
              </w:rPr>
              <w:t>参加政府采购活动前三年内，在经营活动中没有重大违法记录：提供书面声明并加盖供应商公章。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915" w:type="dxa"/>
            <w:vMerge w:val="restart"/>
            <w:vAlign w:val="center"/>
          </w:tcPr>
          <w:p>
            <w:pPr>
              <w:pStyle w:val="17"/>
              <w:jc w:val="center"/>
              <w:rPr>
                <w:rFonts w:hint="eastAsia" w:ascii="宋体" w:hAnsi="宋体" w:eastAsia="宋体" w:cs="宋体"/>
                <w:b w:val="0"/>
                <w:color w:val="auto"/>
                <w:sz w:val="21"/>
                <w:szCs w:val="21"/>
              </w:rPr>
            </w:pPr>
            <w:r>
              <w:rPr>
                <w:rFonts w:hint="eastAsia" w:ascii="宋体" w:hAnsi="宋体" w:eastAsia="宋体" w:cs="宋体"/>
                <w:b w:val="0"/>
                <w:color w:val="auto"/>
                <w:sz w:val="21"/>
                <w:szCs w:val="21"/>
              </w:rPr>
              <w:t>2</w:t>
            </w:r>
          </w:p>
        </w:tc>
        <w:tc>
          <w:tcPr>
            <w:tcW w:w="2672" w:type="dxa"/>
            <w:vMerge w:val="restart"/>
            <w:shd w:val="clear" w:color="auto" w:fill="auto"/>
            <w:vAlign w:val="center"/>
          </w:tcPr>
          <w:p>
            <w:pPr>
              <w:pStyle w:val="17"/>
              <w:wordWrap w:val="0"/>
              <w:spacing w:line="360" w:lineRule="auto"/>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特定资格条件</w:t>
            </w:r>
          </w:p>
        </w:tc>
        <w:tc>
          <w:tcPr>
            <w:tcW w:w="6111" w:type="dxa"/>
            <w:shd w:val="clear" w:color="auto" w:fill="auto"/>
            <w:vAlign w:val="center"/>
          </w:tcPr>
          <w:p>
            <w:pPr>
              <w:pStyle w:val="17"/>
              <w:wordWrap w:val="0"/>
              <w:spacing w:line="360" w:lineRule="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法定代表人（负责人）参加磋商的，须出示身份证，法定代表人（负责人）授权他人参加磋商的，须提供法定代表人（负责人）授权委托书（附法定代表人（负责人）、被授权人身份证复印件）。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915" w:type="dxa"/>
            <w:vMerge w:val="continue"/>
            <w:vAlign w:val="center"/>
          </w:tcPr>
          <w:p>
            <w:pPr>
              <w:pStyle w:val="17"/>
              <w:jc w:val="center"/>
              <w:rPr>
                <w:rFonts w:hint="eastAsia" w:ascii="宋体" w:hAnsi="宋体" w:eastAsia="宋体" w:cs="宋体"/>
                <w:b w:val="0"/>
                <w:color w:val="auto"/>
                <w:sz w:val="21"/>
                <w:szCs w:val="21"/>
              </w:rPr>
            </w:pPr>
          </w:p>
        </w:tc>
        <w:tc>
          <w:tcPr>
            <w:tcW w:w="2672" w:type="dxa"/>
            <w:vMerge w:val="continue"/>
            <w:shd w:val="clear" w:color="auto" w:fill="auto"/>
            <w:vAlign w:val="center"/>
          </w:tcPr>
          <w:p>
            <w:pPr>
              <w:pStyle w:val="17"/>
              <w:rPr>
                <w:rFonts w:hint="eastAsia" w:ascii="宋体" w:hAnsi="宋体" w:eastAsia="宋体" w:cs="宋体"/>
                <w:b w:val="0"/>
                <w:color w:val="auto"/>
                <w:sz w:val="21"/>
                <w:szCs w:val="21"/>
              </w:rPr>
            </w:pPr>
          </w:p>
        </w:tc>
        <w:tc>
          <w:tcPr>
            <w:tcW w:w="6111" w:type="dxa"/>
            <w:shd w:val="clear" w:color="auto" w:fill="auto"/>
            <w:vAlign w:val="center"/>
          </w:tcPr>
          <w:p>
            <w:pPr>
              <w:pStyle w:val="36"/>
              <w:wordWrap w:val="0"/>
              <w:spacing w:before="0" w:beforeAutospacing="0" w:after="0" w:afterAutospacing="0"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供应商不得列入“信用中国”网站（www.creditchina.gov.cn）失信被执行人名单、税收违法黑名单、政府采购严重违法失信行为当事人名单；不得为中国政府采购网（www.ccgp.gov.cn）政府采购严重违法失信行为记录名单中被财政部门禁止参加政府采购活动的供应商（提供网页截图加盖供应商公章，并由采购人或采购代理机构现场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15" w:type="dxa"/>
            <w:vMerge w:val="continue"/>
            <w:vAlign w:val="center"/>
          </w:tcPr>
          <w:p>
            <w:pPr>
              <w:pStyle w:val="17"/>
              <w:jc w:val="center"/>
              <w:rPr>
                <w:rFonts w:hint="eastAsia" w:ascii="宋体" w:hAnsi="宋体" w:eastAsia="宋体" w:cs="宋体"/>
                <w:b w:val="0"/>
                <w:color w:val="auto"/>
                <w:sz w:val="21"/>
                <w:szCs w:val="21"/>
              </w:rPr>
            </w:pPr>
          </w:p>
        </w:tc>
        <w:tc>
          <w:tcPr>
            <w:tcW w:w="2672" w:type="dxa"/>
            <w:vMerge w:val="continue"/>
            <w:shd w:val="clear" w:color="auto" w:fill="auto"/>
            <w:vAlign w:val="center"/>
          </w:tcPr>
          <w:p>
            <w:pPr>
              <w:pStyle w:val="17"/>
              <w:rPr>
                <w:rFonts w:hint="eastAsia" w:ascii="宋体" w:hAnsi="宋体" w:eastAsia="宋体" w:cs="宋体"/>
                <w:b w:val="0"/>
                <w:color w:val="auto"/>
                <w:sz w:val="21"/>
                <w:szCs w:val="21"/>
              </w:rPr>
            </w:pPr>
          </w:p>
        </w:tc>
        <w:tc>
          <w:tcPr>
            <w:tcW w:w="6111" w:type="dxa"/>
            <w:shd w:val="clear" w:color="auto" w:fill="auto"/>
            <w:vAlign w:val="center"/>
          </w:tcPr>
          <w:p>
            <w:pPr>
              <w:pStyle w:val="36"/>
              <w:wordWrap w:val="0"/>
              <w:spacing w:before="0" w:beforeAutospacing="0" w:after="0" w:afterAutospacing="0"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供应商为经销商的需要提供所磋商产品的（质量检验合格证明材料）或生产厂家磋商的（需提供企业营业执照、肥料登记证）；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15" w:type="dxa"/>
            <w:vMerge w:val="continue"/>
            <w:vAlign w:val="center"/>
          </w:tcPr>
          <w:p>
            <w:pPr>
              <w:pStyle w:val="17"/>
              <w:jc w:val="center"/>
              <w:rPr>
                <w:rFonts w:hint="eastAsia" w:ascii="宋体" w:hAnsi="宋体" w:eastAsia="宋体" w:cs="宋体"/>
                <w:b w:val="0"/>
                <w:color w:val="auto"/>
                <w:sz w:val="21"/>
                <w:szCs w:val="21"/>
              </w:rPr>
            </w:pPr>
          </w:p>
        </w:tc>
        <w:tc>
          <w:tcPr>
            <w:tcW w:w="2672" w:type="dxa"/>
            <w:vMerge w:val="continue"/>
            <w:shd w:val="clear" w:color="auto" w:fill="auto"/>
            <w:vAlign w:val="center"/>
          </w:tcPr>
          <w:p>
            <w:pPr>
              <w:pStyle w:val="17"/>
              <w:rPr>
                <w:rFonts w:hint="eastAsia" w:ascii="宋体" w:hAnsi="宋体" w:eastAsia="宋体" w:cs="宋体"/>
                <w:b w:val="0"/>
                <w:color w:val="auto"/>
                <w:sz w:val="21"/>
                <w:szCs w:val="21"/>
              </w:rPr>
            </w:pPr>
          </w:p>
        </w:tc>
        <w:tc>
          <w:tcPr>
            <w:tcW w:w="6111" w:type="dxa"/>
            <w:shd w:val="clear" w:color="auto" w:fill="auto"/>
            <w:vAlign w:val="center"/>
          </w:tcPr>
          <w:p>
            <w:pPr>
              <w:pStyle w:val="36"/>
              <w:wordWrap w:val="0"/>
              <w:spacing w:before="0" w:beforeAutospacing="0" w:after="0" w:afterAutospacing="0"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单位负责人为同一人或者存在直接控股、管理关系的不同供应商，不得参加本次采购活动（提供承诺书并加盖供应商公章）。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15" w:type="dxa"/>
            <w:vMerge w:val="continue"/>
            <w:vAlign w:val="center"/>
          </w:tcPr>
          <w:p>
            <w:pPr>
              <w:pStyle w:val="17"/>
              <w:jc w:val="center"/>
              <w:rPr>
                <w:rFonts w:hint="eastAsia" w:ascii="宋体" w:hAnsi="宋体" w:eastAsia="宋体" w:cs="宋体"/>
                <w:b w:val="0"/>
                <w:color w:val="auto"/>
                <w:sz w:val="21"/>
                <w:szCs w:val="21"/>
              </w:rPr>
            </w:pPr>
          </w:p>
        </w:tc>
        <w:tc>
          <w:tcPr>
            <w:tcW w:w="2672" w:type="dxa"/>
            <w:vMerge w:val="continue"/>
            <w:vAlign w:val="center"/>
          </w:tcPr>
          <w:p>
            <w:pPr>
              <w:pStyle w:val="17"/>
              <w:rPr>
                <w:rFonts w:hint="eastAsia" w:ascii="宋体" w:hAnsi="宋体" w:eastAsia="宋体" w:cs="宋体"/>
                <w:b w:val="0"/>
                <w:color w:val="auto"/>
                <w:sz w:val="21"/>
                <w:szCs w:val="21"/>
              </w:rPr>
            </w:pPr>
          </w:p>
        </w:tc>
        <w:tc>
          <w:tcPr>
            <w:tcW w:w="6111" w:type="dxa"/>
            <w:vAlign w:val="center"/>
          </w:tcPr>
          <w:p>
            <w:pPr>
              <w:pStyle w:val="17"/>
              <w:spacing w:line="360" w:lineRule="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本项目专门面向中小企业（提供声明函并加盖供应商公章）。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698" w:type="dxa"/>
            <w:gridSpan w:val="3"/>
            <w:vAlign w:val="center"/>
          </w:tcPr>
          <w:p>
            <w:pPr>
              <w:pStyle w:val="17"/>
              <w:spacing w:line="360" w:lineRule="auto"/>
              <w:rPr>
                <w:rFonts w:hint="eastAsia" w:ascii="宋体" w:hAnsi="宋体" w:eastAsia="宋体" w:cs="宋体"/>
                <w:b w:val="0"/>
                <w:bCs/>
                <w:color w:val="auto"/>
                <w:sz w:val="21"/>
                <w:szCs w:val="21"/>
              </w:rPr>
            </w:pPr>
            <w:r>
              <w:rPr>
                <w:rFonts w:hint="eastAsia" w:ascii="宋体" w:hAnsi="宋体" w:eastAsia="宋体" w:cs="宋体"/>
                <w:bCs/>
                <w:color w:val="auto"/>
                <w:sz w:val="21"/>
                <w:szCs w:val="21"/>
              </w:rPr>
              <w:t>注：以上均为必备资格，响应文件中应附加盖供应商红色公章的复印件。缺少其中一项或某项达不到磋商文件要求，均视为无效。</w:t>
            </w:r>
          </w:p>
        </w:tc>
      </w:tr>
    </w:tbl>
    <w:p>
      <w:pPr>
        <w:pStyle w:val="2"/>
        <w:ind w:firstLine="0"/>
        <w:rPr>
          <w:rFonts w:hint="eastAsia" w:ascii="宋体" w:hAnsi="宋体" w:eastAsia="宋体" w:cs="宋体"/>
          <w:color w:val="auto"/>
          <w:sz w:val="24"/>
        </w:rPr>
      </w:pPr>
    </w:p>
    <w:p>
      <w:pPr>
        <w:pStyle w:val="2"/>
        <w:ind w:firstLine="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附表2 符合性审查表</w:t>
      </w:r>
    </w:p>
    <w:p>
      <w:pPr>
        <w:pStyle w:val="2"/>
        <w:ind w:firstLine="0"/>
        <w:rPr>
          <w:rFonts w:hint="eastAsia" w:ascii="宋体" w:hAnsi="宋体" w:eastAsia="宋体" w:cs="宋体"/>
          <w:color w:val="auto"/>
          <w:sz w:val="24"/>
        </w:rPr>
      </w:pPr>
    </w:p>
    <w:tbl>
      <w:tblPr>
        <w:tblStyle w:val="40"/>
        <w:tblW w:w="9919"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567"/>
        <w:gridCol w:w="2596"/>
        <w:gridCol w:w="4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15" w:type="dxa"/>
            <w:vAlign w:val="center"/>
          </w:tcPr>
          <w:p>
            <w:pPr>
              <w:pStyle w:val="17"/>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4163" w:type="dxa"/>
            <w:gridSpan w:val="2"/>
            <w:vAlign w:val="center"/>
          </w:tcPr>
          <w:p>
            <w:pPr>
              <w:pStyle w:val="17"/>
              <w:jc w:val="center"/>
              <w:rPr>
                <w:rFonts w:hint="eastAsia" w:ascii="宋体" w:hAnsi="宋体" w:eastAsia="宋体" w:cs="宋体"/>
                <w:b w:val="0"/>
                <w:color w:val="auto"/>
                <w:sz w:val="24"/>
                <w:szCs w:val="24"/>
              </w:rPr>
            </w:pPr>
            <w:r>
              <w:rPr>
                <w:rFonts w:hint="eastAsia" w:ascii="宋体" w:hAnsi="宋体" w:eastAsia="宋体" w:cs="宋体"/>
                <w:color w:val="auto"/>
                <w:sz w:val="24"/>
                <w:szCs w:val="24"/>
              </w:rPr>
              <w:t>评审内容</w:t>
            </w:r>
          </w:p>
        </w:tc>
        <w:tc>
          <w:tcPr>
            <w:tcW w:w="4841" w:type="dxa"/>
            <w:vAlign w:val="center"/>
          </w:tcPr>
          <w:p>
            <w:pPr>
              <w:pStyle w:val="17"/>
              <w:jc w:val="center"/>
              <w:rPr>
                <w:rFonts w:hint="eastAsia" w:ascii="宋体" w:hAnsi="宋体" w:eastAsia="宋体" w:cs="宋体"/>
                <w:b w:val="0"/>
                <w:color w:val="auto"/>
                <w:sz w:val="24"/>
                <w:szCs w:val="24"/>
              </w:rPr>
            </w:pPr>
            <w:r>
              <w:rPr>
                <w:rFonts w:hint="eastAsia" w:ascii="宋体" w:hAnsi="宋体" w:eastAsia="宋体" w:cs="宋体"/>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15" w:type="dxa"/>
            <w:vMerge w:val="restart"/>
            <w:vAlign w:val="center"/>
          </w:tcPr>
          <w:p>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67" w:type="dxa"/>
            <w:vMerge w:val="restart"/>
            <w:vAlign w:val="center"/>
          </w:tcPr>
          <w:p>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有效性审查</w:t>
            </w:r>
          </w:p>
        </w:tc>
        <w:tc>
          <w:tcPr>
            <w:tcW w:w="2596"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签字盖章</w:t>
            </w:r>
          </w:p>
        </w:tc>
        <w:tc>
          <w:tcPr>
            <w:tcW w:w="4841"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响应文件正、副本内签字盖章符合磋商文件要求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15" w:type="dxa"/>
            <w:vMerge w:val="continue"/>
            <w:vAlign w:val="center"/>
          </w:tcPr>
          <w:p>
            <w:pPr>
              <w:spacing w:line="360" w:lineRule="auto"/>
              <w:jc w:val="center"/>
              <w:rPr>
                <w:rFonts w:hint="eastAsia" w:ascii="宋体" w:hAnsi="宋体" w:eastAsia="宋体" w:cs="宋体"/>
                <w:color w:val="auto"/>
                <w:szCs w:val="21"/>
              </w:rPr>
            </w:pPr>
          </w:p>
        </w:tc>
        <w:tc>
          <w:tcPr>
            <w:tcW w:w="1567" w:type="dxa"/>
            <w:vMerge w:val="continue"/>
            <w:vAlign w:val="center"/>
          </w:tcPr>
          <w:p>
            <w:pPr>
              <w:spacing w:line="360" w:lineRule="auto"/>
              <w:jc w:val="center"/>
              <w:rPr>
                <w:rFonts w:hint="eastAsia" w:ascii="宋体" w:hAnsi="宋体" w:eastAsia="宋体" w:cs="宋体"/>
                <w:color w:val="auto"/>
                <w:szCs w:val="21"/>
              </w:rPr>
            </w:pPr>
          </w:p>
        </w:tc>
        <w:tc>
          <w:tcPr>
            <w:tcW w:w="2596"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供应商名称</w:t>
            </w:r>
          </w:p>
        </w:tc>
        <w:tc>
          <w:tcPr>
            <w:tcW w:w="4841"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所有提交的证件、资质、文件与印章一致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15" w:type="dxa"/>
            <w:vMerge w:val="continue"/>
            <w:vAlign w:val="center"/>
          </w:tcPr>
          <w:p>
            <w:pPr>
              <w:spacing w:line="360" w:lineRule="auto"/>
              <w:jc w:val="center"/>
              <w:rPr>
                <w:rFonts w:hint="eastAsia" w:ascii="宋体" w:hAnsi="宋体" w:eastAsia="宋体" w:cs="宋体"/>
                <w:color w:val="auto"/>
                <w:szCs w:val="21"/>
              </w:rPr>
            </w:pPr>
          </w:p>
        </w:tc>
        <w:tc>
          <w:tcPr>
            <w:tcW w:w="1567" w:type="dxa"/>
            <w:vMerge w:val="continue"/>
            <w:vAlign w:val="center"/>
          </w:tcPr>
          <w:p>
            <w:pPr>
              <w:spacing w:line="360" w:lineRule="auto"/>
              <w:jc w:val="center"/>
              <w:rPr>
                <w:rFonts w:hint="eastAsia" w:ascii="宋体" w:hAnsi="宋体" w:eastAsia="宋体" w:cs="宋体"/>
                <w:color w:val="auto"/>
                <w:szCs w:val="21"/>
              </w:rPr>
            </w:pPr>
          </w:p>
        </w:tc>
        <w:tc>
          <w:tcPr>
            <w:tcW w:w="2596"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文件格式</w:t>
            </w:r>
          </w:p>
        </w:tc>
        <w:tc>
          <w:tcPr>
            <w:tcW w:w="4841"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响应文件格式应符合“响应文件格式”要求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15" w:type="dxa"/>
            <w:vMerge w:val="continue"/>
            <w:vAlign w:val="center"/>
          </w:tcPr>
          <w:p>
            <w:pPr>
              <w:spacing w:line="360" w:lineRule="auto"/>
              <w:jc w:val="center"/>
              <w:rPr>
                <w:rFonts w:hint="eastAsia" w:ascii="宋体" w:hAnsi="宋体" w:eastAsia="宋体" w:cs="宋体"/>
                <w:color w:val="auto"/>
                <w:szCs w:val="21"/>
              </w:rPr>
            </w:pPr>
          </w:p>
        </w:tc>
        <w:tc>
          <w:tcPr>
            <w:tcW w:w="1567" w:type="dxa"/>
            <w:vMerge w:val="continue"/>
            <w:vAlign w:val="center"/>
          </w:tcPr>
          <w:p>
            <w:pPr>
              <w:spacing w:line="360" w:lineRule="auto"/>
              <w:jc w:val="center"/>
              <w:rPr>
                <w:rFonts w:hint="eastAsia" w:ascii="宋体" w:hAnsi="宋体" w:eastAsia="宋体" w:cs="宋体"/>
                <w:color w:val="auto"/>
                <w:szCs w:val="21"/>
              </w:rPr>
            </w:pPr>
          </w:p>
        </w:tc>
        <w:tc>
          <w:tcPr>
            <w:tcW w:w="2596"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报价唯一</w:t>
            </w:r>
          </w:p>
        </w:tc>
        <w:tc>
          <w:tcPr>
            <w:tcW w:w="4841" w:type="dxa"/>
            <w:vAlign w:val="center"/>
          </w:tcPr>
          <w:p>
            <w:pPr>
              <w:contextualSpacing/>
              <w:jc w:val="center"/>
              <w:rPr>
                <w:rFonts w:hint="eastAsia" w:ascii="宋体" w:hAnsi="宋体" w:eastAsia="宋体" w:cs="宋体"/>
                <w:color w:val="auto"/>
                <w:szCs w:val="21"/>
              </w:rPr>
            </w:pPr>
            <w:r>
              <w:rPr>
                <w:rFonts w:hint="eastAsia" w:ascii="宋体" w:hAnsi="宋体" w:eastAsia="宋体" w:cs="宋体"/>
                <w:color w:val="auto"/>
                <w:szCs w:val="21"/>
              </w:rPr>
              <w:t>只能有一个有效报价，且不得高于采购预算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15" w:type="dxa"/>
            <w:vMerge w:val="restart"/>
            <w:vAlign w:val="center"/>
          </w:tcPr>
          <w:p>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67" w:type="dxa"/>
            <w:vMerge w:val="restart"/>
            <w:vAlign w:val="center"/>
          </w:tcPr>
          <w:p>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完整性审查</w:t>
            </w:r>
          </w:p>
        </w:tc>
        <w:tc>
          <w:tcPr>
            <w:tcW w:w="2596"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响应文件份数</w:t>
            </w:r>
          </w:p>
        </w:tc>
        <w:tc>
          <w:tcPr>
            <w:tcW w:w="4841" w:type="dxa"/>
            <w:vAlign w:val="center"/>
          </w:tcPr>
          <w:p>
            <w:pPr>
              <w:contextualSpacing/>
              <w:jc w:val="center"/>
              <w:rPr>
                <w:rFonts w:hint="eastAsia" w:ascii="宋体" w:hAnsi="宋体" w:eastAsia="宋体" w:cs="宋体"/>
                <w:color w:val="auto"/>
                <w:szCs w:val="21"/>
              </w:rPr>
            </w:pPr>
            <w:r>
              <w:rPr>
                <w:rFonts w:hint="eastAsia" w:ascii="宋体" w:hAnsi="宋体" w:eastAsia="宋体" w:cs="宋体"/>
                <w:color w:val="auto"/>
                <w:szCs w:val="21"/>
              </w:rPr>
              <w:t>正本一份、副本二份、电子版U盘一份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15" w:type="dxa"/>
            <w:vMerge w:val="continue"/>
            <w:vAlign w:val="center"/>
          </w:tcPr>
          <w:p>
            <w:pPr>
              <w:spacing w:line="360" w:lineRule="auto"/>
              <w:jc w:val="center"/>
              <w:rPr>
                <w:rFonts w:hint="eastAsia" w:ascii="宋体" w:hAnsi="宋体" w:eastAsia="宋体" w:cs="宋体"/>
                <w:color w:val="auto"/>
                <w:szCs w:val="21"/>
              </w:rPr>
            </w:pPr>
          </w:p>
        </w:tc>
        <w:tc>
          <w:tcPr>
            <w:tcW w:w="1567" w:type="dxa"/>
            <w:vMerge w:val="continue"/>
            <w:vAlign w:val="center"/>
          </w:tcPr>
          <w:p>
            <w:pPr>
              <w:spacing w:line="360" w:lineRule="auto"/>
              <w:jc w:val="center"/>
              <w:rPr>
                <w:rFonts w:hint="eastAsia" w:ascii="宋体" w:hAnsi="宋体" w:eastAsia="宋体" w:cs="宋体"/>
                <w:color w:val="auto"/>
                <w:szCs w:val="21"/>
              </w:rPr>
            </w:pPr>
          </w:p>
        </w:tc>
        <w:tc>
          <w:tcPr>
            <w:tcW w:w="2596"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响应文件的内容</w:t>
            </w:r>
          </w:p>
        </w:tc>
        <w:tc>
          <w:tcPr>
            <w:tcW w:w="4841"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字迹清晰，易于辨认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15" w:type="dxa"/>
            <w:vMerge w:val="continue"/>
            <w:vAlign w:val="center"/>
          </w:tcPr>
          <w:p>
            <w:pPr>
              <w:spacing w:line="360" w:lineRule="auto"/>
              <w:jc w:val="center"/>
              <w:rPr>
                <w:rFonts w:hint="eastAsia" w:ascii="宋体" w:hAnsi="宋体" w:eastAsia="宋体" w:cs="宋体"/>
                <w:color w:val="auto"/>
                <w:szCs w:val="21"/>
              </w:rPr>
            </w:pPr>
          </w:p>
        </w:tc>
        <w:tc>
          <w:tcPr>
            <w:tcW w:w="1567" w:type="dxa"/>
            <w:vMerge w:val="continue"/>
            <w:vAlign w:val="center"/>
          </w:tcPr>
          <w:p>
            <w:pPr>
              <w:spacing w:line="360" w:lineRule="auto"/>
              <w:jc w:val="center"/>
              <w:rPr>
                <w:rFonts w:hint="eastAsia" w:ascii="宋体" w:hAnsi="宋体" w:eastAsia="宋体" w:cs="宋体"/>
                <w:color w:val="auto"/>
                <w:szCs w:val="21"/>
              </w:rPr>
            </w:pPr>
          </w:p>
        </w:tc>
        <w:tc>
          <w:tcPr>
            <w:tcW w:w="2596"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响应文件装订</w:t>
            </w:r>
          </w:p>
        </w:tc>
        <w:tc>
          <w:tcPr>
            <w:tcW w:w="4841"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15" w:type="dxa"/>
            <w:vMerge w:val="restart"/>
            <w:vAlign w:val="center"/>
          </w:tcPr>
          <w:p>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567" w:type="dxa"/>
            <w:vMerge w:val="restart"/>
            <w:vAlign w:val="center"/>
          </w:tcPr>
          <w:p>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响应性审查</w:t>
            </w:r>
          </w:p>
        </w:tc>
        <w:tc>
          <w:tcPr>
            <w:tcW w:w="2596"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响应内容</w:t>
            </w:r>
          </w:p>
        </w:tc>
        <w:tc>
          <w:tcPr>
            <w:tcW w:w="4841" w:type="dxa"/>
            <w:vAlign w:val="center"/>
          </w:tcPr>
          <w:p>
            <w:pPr>
              <w:contextualSpacing/>
              <w:jc w:val="center"/>
              <w:rPr>
                <w:rFonts w:hint="eastAsia" w:ascii="宋体" w:hAnsi="宋体" w:eastAsia="宋体" w:cs="宋体"/>
                <w:color w:val="auto"/>
                <w:szCs w:val="21"/>
              </w:rPr>
            </w:pPr>
            <w:r>
              <w:rPr>
                <w:rFonts w:hint="eastAsia" w:ascii="宋体" w:hAnsi="宋体" w:eastAsia="宋体" w:cs="宋体"/>
                <w:color w:val="auto"/>
                <w:szCs w:val="21"/>
              </w:rPr>
              <w:t>符合磋商文件要求，无任何采购人不能接受的附加条件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15" w:type="dxa"/>
            <w:vMerge w:val="continue"/>
            <w:vAlign w:val="center"/>
          </w:tcPr>
          <w:p>
            <w:pPr>
              <w:spacing w:line="360" w:lineRule="auto"/>
              <w:jc w:val="center"/>
              <w:rPr>
                <w:rFonts w:hint="eastAsia" w:ascii="宋体" w:hAnsi="宋体" w:eastAsia="宋体" w:cs="宋体"/>
                <w:color w:val="auto"/>
                <w:szCs w:val="21"/>
              </w:rPr>
            </w:pPr>
          </w:p>
        </w:tc>
        <w:tc>
          <w:tcPr>
            <w:tcW w:w="1567" w:type="dxa"/>
            <w:vMerge w:val="continue"/>
            <w:vAlign w:val="center"/>
          </w:tcPr>
          <w:p>
            <w:pPr>
              <w:spacing w:line="360" w:lineRule="auto"/>
              <w:jc w:val="center"/>
              <w:rPr>
                <w:rFonts w:hint="eastAsia" w:ascii="宋体" w:hAnsi="宋体" w:eastAsia="宋体" w:cs="宋体"/>
                <w:color w:val="auto"/>
                <w:szCs w:val="21"/>
              </w:rPr>
            </w:pPr>
          </w:p>
        </w:tc>
        <w:tc>
          <w:tcPr>
            <w:tcW w:w="2596"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磋商有效期</w:t>
            </w:r>
          </w:p>
        </w:tc>
        <w:tc>
          <w:tcPr>
            <w:tcW w:w="4841"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15" w:type="dxa"/>
            <w:vMerge w:val="continue"/>
            <w:vAlign w:val="center"/>
          </w:tcPr>
          <w:p>
            <w:pPr>
              <w:spacing w:line="360" w:lineRule="auto"/>
              <w:jc w:val="center"/>
              <w:rPr>
                <w:rFonts w:hint="eastAsia" w:ascii="宋体" w:hAnsi="宋体" w:eastAsia="宋体" w:cs="宋体"/>
                <w:color w:val="auto"/>
                <w:szCs w:val="21"/>
              </w:rPr>
            </w:pPr>
          </w:p>
        </w:tc>
        <w:tc>
          <w:tcPr>
            <w:tcW w:w="1567" w:type="dxa"/>
            <w:vMerge w:val="continue"/>
            <w:vAlign w:val="center"/>
          </w:tcPr>
          <w:p>
            <w:pPr>
              <w:spacing w:line="360" w:lineRule="auto"/>
              <w:jc w:val="center"/>
              <w:rPr>
                <w:rFonts w:hint="eastAsia" w:ascii="宋体" w:hAnsi="宋体" w:eastAsia="宋体" w:cs="宋体"/>
                <w:color w:val="auto"/>
                <w:szCs w:val="21"/>
              </w:rPr>
            </w:pPr>
          </w:p>
        </w:tc>
        <w:tc>
          <w:tcPr>
            <w:tcW w:w="2596"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交货期</w:t>
            </w:r>
          </w:p>
        </w:tc>
        <w:tc>
          <w:tcPr>
            <w:tcW w:w="4841"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15" w:type="dxa"/>
            <w:vMerge w:val="continue"/>
            <w:vAlign w:val="center"/>
          </w:tcPr>
          <w:p>
            <w:pPr>
              <w:spacing w:line="360" w:lineRule="auto"/>
              <w:jc w:val="center"/>
              <w:rPr>
                <w:rFonts w:hint="eastAsia" w:ascii="宋体" w:hAnsi="宋体" w:eastAsia="宋体" w:cs="宋体"/>
                <w:color w:val="auto"/>
                <w:szCs w:val="21"/>
              </w:rPr>
            </w:pPr>
          </w:p>
        </w:tc>
        <w:tc>
          <w:tcPr>
            <w:tcW w:w="1567" w:type="dxa"/>
            <w:vMerge w:val="continue"/>
            <w:vAlign w:val="center"/>
          </w:tcPr>
          <w:p>
            <w:pPr>
              <w:spacing w:line="360" w:lineRule="auto"/>
              <w:jc w:val="center"/>
              <w:rPr>
                <w:rFonts w:hint="eastAsia" w:ascii="宋体" w:hAnsi="宋体" w:eastAsia="宋体" w:cs="宋体"/>
                <w:color w:val="auto"/>
                <w:szCs w:val="21"/>
              </w:rPr>
            </w:pPr>
          </w:p>
        </w:tc>
        <w:tc>
          <w:tcPr>
            <w:tcW w:w="2596"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付款方式</w:t>
            </w:r>
          </w:p>
        </w:tc>
        <w:tc>
          <w:tcPr>
            <w:tcW w:w="4841"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15" w:type="dxa"/>
            <w:vMerge w:val="continue"/>
            <w:vAlign w:val="center"/>
          </w:tcPr>
          <w:p>
            <w:pPr>
              <w:spacing w:line="360" w:lineRule="auto"/>
              <w:jc w:val="center"/>
              <w:rPr>
                <w:rFonts w:hint="eastAsia" w:ascii="宋体" w:hAnsi="宋体" w:eastAsia="宋体" w:cs="宋体"/>
                <w:color w:val="auto"/>
                <w:szCs w:val="21"/>
              </w:rPr>
            </w:pPr>
          </w:p>
        </w:tc>
        <w:tc>
          <w:tcPr>
            <w:tcW w:w="1567" w:type="dxa"/>
            <w:vMerge w:val="continue"/>
            <w:vAlign w:val="center"/>
          </w:tcPr>
          <w:p>
            <w:pPr>
              <w:spacing w:line="360" w:lineRule="auto"/>
              <w:jc w:val="center"/>
              <w:rPr>
                <w:rFonts w:hint="eastAsia" w:ascii="宋体" w:hAnsi="宋体" w:eastAsia="宋体" w:cs="宋体"/>
                <w:color w:val="auto"/>
                <w:szCs w:val="21"/>
              </w:rPr>
            </w:pPr>
          </w:p>
        </w:tc>
        <w:tc>
          <w:tcPr>
            <w:tcW w:w="2596"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磋商保证金</w:t>
            </w:r>
          </w:p>
        </w:tc>
        <w:tc>
          <w:tcPr>
            <w:tcW w:w="4841"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符合磋商文件要求，在规定时间内足额缴纳</w:t>
            </w:r>
          </w:p>
        </w:tc>
      </w:tr>
    </w:tbl>
    <w:p>
      <w:pPr>
        <w:pStyle w:val="2"/>
        <w:ind w:firstLine="0"/>
        <w:rPr>
          <w:rFonts w:hint="eastAsia" w:ascii="宋体" w:hAnsi="宋体" w:eastAsia="宋体" w:cs="宋体"/>
          <w:color w:val="auto"/>
          <w:sz w:val="24"/>
        </w:rPr>
      </w:pPr>
    </w:p>
    <w:p>
      <w:pPr>
        <w:rPr>
          <w:rFonts w:hint="eastAsia" w:ascii="宋体" w:hAnsi="宋体" w:eastAsia="宋体" w:cs="宋体"/>
          <w:b/>
          <w:bCs/>
          <w:color w:val="auto"/>
          <w:sz w:val="32"/>
          <w:szCs w:val="32"/>
        </w:rPr>
      </w:pPr>
      <w:r>
        <w:rPr>
          <w:rFonts w:hint="eastAsia" w:ascii="宋体" w:hAnsi="宋体" w:eastAsia="宋体" w:cs="宋体"/>
          <w:b/>
          <w:bCs/>
          <w:color w:val="auto"/>
          <w:sz w:val="32"/>
          <w:szCs w:val="32"/>
        </w:rPr>
        <w:br w:type="page"/>
      </w:r>
    </w:p>
    <w:p>
      <w:pPr>
        <w:pStyle w:val="2"/>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附表3 商务和技术评审表</w:t>
      </w:r>
    </w:p>
    <w:p>
      <w:pPr>
        <w:pStyle w:val="2"/>
        <w:ind w:firstLine="0"/>
        <w:rPr>
          <w:rFonts w:hint="eastAsia" w:ascii="宋体" w:hAnsi="宋体" w:eastAsia="宋体" w:cs="宋体"/>
          <w:color w:val="auto"/>
          <w:sz w:val="24"/>
        </w:rPr>
      </w:pPr>
    </w:p>
    <w:tbl>
      <w:tblPr>
        <w:tblStyle w:val="3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628"/>
        <w:gridCol w:w="6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53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评审内容</w:t>
            </w:r>
          </w:p>
        </w:tc>
        <w:tc>
          <w:tcPr>
            <w:tcW w:w="162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得分</w:t>
            </w:r>
          </w:p>
        </w:tc>
        <w:tc>
          <w:tcPr>
            <w:tcW w:w="633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153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磋商报价</w:t>
            </w:r>
          </w:p>
          <w:p>
            <w:pPr>
              <w:spacing w:line="48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（30分）</w:t>
            </w:r>
          </w:p>
        </w:tc>
        <w:tc>
          <w:tcPr>
            <w:tcW w:w="162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color w:val="auto"/>
                <w:szCs w:val="21"/>
              </w:rPr>
            </w:pPr>
            <w:r>
              <w:rPr>
                <w:rFonts w:hint="eastAsia" w:ascii="宋体" w:hAnsi="宋体" w:eastAsia="宋体" w:cs="宋体"/>
                <w:color w:val="auto"/>
                <w:szCs w:val="21"/>
              </w:rPr>
              <w:t>30分</w:t>
            </w:r>
          </w:p>
        </w:tc>
        <w:tc>
          <w:tcPr>
            <w:tcW w:w="6332" w:type="dxa"/>
            <w:tcBorders>
              <w:top w:val="single" w:color="auto" w:sz="4" w:space="0"/>
              <w:left w:val="single" w:color="auto" w:sz="4" w:space="0"/>
              <w:bottom w:val="single" w:color="auto" w:sz="4" w:space="0"/>
              <w:right w:val="single" w:color="auto" w:sz="4" w:space="0"/>
            </w:tcBorders>
          </w:tcPr>
          <w:p>
            <w:pPr>
              <w:spacing w:line="480" w:lineRule="exact"/>
              <w:rPr>
                <w:rFonts w:hint="eastAsia" w:ascii="宋体" w:hAnsi="宋体" w:eastAsia="宋体" w:cs="宋体"/>
                <w:color w:val="auto"/>
                <w:szCs w:val="21"/>
              </w:rPr>
            </w:pPr>
            <w:r>
              <w:rPr>
                <w:rFonts w:hint="eastAsia" w:ascii="宋体" w:hAnsi="宋体" w:eastAsia="宋体" w:cs="宋体"/>
                <w:color w:val="auto"/>
                <w:szCs w:val="21"/>
              </w:rPr>
              <w:t xml:space="preserve">满足磋商文件要求且最后报价最低的供应商的价格为磋商基准价，其价格分为满分。其他供应商的价格分统一按照下列公式计算：磋商报价得分=（磋商基准价/最后磋商报价）×价格权值 （30）        </w:t>
            </w:r>
          </w:p>
          <w:p>
            <w:pPr>
              <w:spacing w:line="480" w:lineRule="exact"/>
              <w:rPr>
                <w:rFonts w:hint="eastAsia" w:ascii="宋体" w:hAnsi="宋体" w:eastAsia="宋体" w:cs="宋体"/>
                <w:color w:val="auto"/>
                <w:szCs w:val="21"/>
              </w:rPr>
            </w:pPr>
            <w:r>
              <w:rPr>
                <w:rFonts w:hint="eastAsia" w:ascii="宋体" w:hAnsi="宋体" w:eastAsia="宋体" w:cs="宋体"/>
                <w:color w:val="auto"/>
                <w:szCs w:val="21"/>
              </w:rPr>
              <w:t>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jc w:val="center"/>
        </w:trPr>
        <w:tc>
          <w:tcPr>
            <w:tcW w:w="1538" w:type="dxa"/>
            <w:vMerge w:val="restart"/>
            <w:tcBorders>
              <w:top w:val="single" w:color="auto" w:sz="4" w:space="0"/>
              <w:left w:val="single" w:color="auto" w:sz="4" w:space="0"/>
              <w:right w:val="single" w:color="auto" w:sz="4" w:space="0"/>
            </w:tcBorders>
            <w:vAlign w:val="center"/>
          </w:tcPr>
          <w:p>
            <w:pPr>
              <w:spacing w:line="48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技术评审</w:t>
            </w:r>
          </w:p>
          <w:p>
            <w:pPr>
              <w:spacing w:line="48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（55分）</w:t>
            </w:r>
          </w:p>
        </w:tc>
        <w:tc>
          <w:tcPr>
            <w:tcW w:w="1628" w:type="dxa"/>
            <w:tcBorders>
              <w:top w:val="single" w:color="auto" w:sz="4" w:space="0"/>
              <w:left w:val="single" w:color="auto" w:sz="4" w:space="0"/>
              <w:right w:val="single" w:color="auto" w:sz="4" w:space="0"/>
            </w:tcBorders>
            <w:vAlign w:val="center"/>
          </w:tcPr>
          <w:p>
            <w:pPr>
              <w:wordWrap w:val="0"/>
              <w:topLinePunct/>
              <w:spacing w:line="480" w:lineRule="exact"/>
              <w:jc w:val="center"/>
              <w:rPr>
                <w:rFonts w:hint="eastAsia" w:ascii="宋体" w:hAnsi="宋体" w:eastAsia="宋体" w:cs="宋体"/>
                <w:color w:val="auto"/>
                <w:szCs w:val="21"/>
              </w:rPr>
            </w:pPr>
            <w:r>
              <w:rPr>
                <w:rFonts w:hint="eastAsia" w:ascii="宋体" w:hAnsi="宋体" w:eastAsia="宋体" w:cs="宋体"/>
                <w:color w:val="auto"/>
                <w:szCs w:val="21"/>
              </w:rPr>
              <w:t>20分</w:t>
            </w:r>
          </w:p>
        </w:tc>
        <w:tc>
          <w:tcPr>
            <w:tcW w:w="6332" w:type="dxa"/>
            <w:tcBorders>
              <w:top w:val="single" w:color="auto" w:sz="4" w:space="0"/>
              <w:left w:val="single" w:color="auto" w:sz="4" w:space="0"/>
              <w:right w:val="single" w:color="auto" w:sz="4" w:space="0"/>
            </w:tcBorders>
            <w:vAlign w:val="center"/>
          </w:tcPr>
          <w:p>
            <w:pPr>
              <w:spacing w:line="480" w:lineRule="exact"/>
              <w:rPr>
                <w:rFonts w:hint="eastAsia" w:ascii="宋体" w:hAnsi="宋体" w:eastAsia="宋体" w:cs="宋体"/>
                <w:color w:val="auto"/>
                <w:szCs w:val="21"/>
              </w:rPr>
            </w:pPr>
            <w:r>
              <w:rPr>
                <w:rFonts w:hint="eastAsia" w:ascii="宋体" w:hAnsi="宋体" w:eastAsia="宋体" w:cs="宋体"/>
                <w:color w:val="auto"/>
                <w:szCs w:val="21"/>
              </w:rPr>
              <w:t>1、项目实施方案</w:t>
            </w:r>
          </w:p>
          <w:p>
            <w:pPr>
              <w:spacing w:line="480" w:lineRule="exact"/>
              <w:rPr>
                <w:rFonts w:hint="eastAsia" w:ascii="宋体" w:hAnsi="宋体" w:eastAsia="宋体" w:cs="宋体"/>
                <w:color w:val="auto"/>
              </w:rPr>
            </w:pPr>
            <w:r>
              <w:rPr>
                <w:rFonts w:hint="eastAsia" w:ascii="宋体" w:hAnsi="宋体" w:eastAsia="宋体" w:cs="宋体"/>
                <w:color w:val="auto"/>
                <w:szCs w:val="21"/>
              </w:rPr>
              <w:t>实施方案合理科学可行，项目实施人员配置齐全，供货进度保障措施有力，能够按照要求完成供货并投入使用、技术支持计划等情况，方案应充分结合本项目特点和实际需求；由磋商小组独立对供应商响应内容进行打分，方案科学合理得15-10（含）分，较科学合理得10-5（含）分，一般得5-1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1" w:hRule="atLeast"/>
          <w:jc w:val="center"/>
        </w:trPr>
        <w:tc>
          <w:tcPr>
            <w:tcW w:w="1538" w:type="dxa"/>
            <w:vMerge w:val="continue"/>
            <w:tcBorders>
              <w:left w:val="single" w:color="auto" w:sz="4" w:space="0"/>
              <w:right w:val="single" w:color="auto" w:sz="4" w:space="0"/>
            </w:tcBorders>
            <w:vAlign w:val="center"/>
          </w:tcPr>
          <w:p>
            <w:pPr>
              <w:spacing w:line="480" w:lineRule="exact"/>
              <w:jc w:val="center"/>
              <w:rPr>
                <w:rFonts w:hint="eastAsia" w:ascii="宋体" w:hAnsi="宋体" w:eastAsia="宋体" w:cs="宋体"/>
                <w:b/>
                <w:bCs/>
                <w:color w:val="auto"/>
                <w:szCs w:val="21"/>
              </w:rPr>
            </w:pPr>
          </w:p>
        </w:tc>
        <w:tc>
          <w:tcPr>
            <w:tcW w:w="1628" w:type="dxa"/>
            <w:tcBorders>
              <w:left w:val="single" w:color="auto" w:sz="4" w:space="0"/>
              <w:right w:val="single" w:color="auto" w:sz="4" w:space="0"/>
            </w:tcBorders>
            <w:vAlign w:val="center"/>
          </w:tcPr>
          <w:p>
            <w:pPr>
              <w:wordWrap w:val="0"/>
              <w:topLinePunct/>
              <w:spacing w:line="480" w:lineRule="exact"/>
              <w:jc w:val="center"/>
              <w:rPr>
                <w:rFonts w:hint="eastAsia" w:ascii="宋体" w:hAnsi="宋体" w:eastAsia="宋体" w:cs="宋体"/>
                <w:color w:val="auto"/>
              </w:rPr>
            </w:pPr>
            <w:r>
              <w:rPr>
                <w:rFonts w:hint="eastAsia" w:ascii="宋体" w:hAnsi="宋体" w:eastAsia="宋体" w:cs="宋体"/>
                <w:color w:val="auto"/>
              </w:rPr>
              <w:t xml:space="preserve">10分 </w:t>
            </w:r>
          </w:p>
        </w:tc>
        <w:tc>
          <w:tcPr>
            <w:tcW w:w="6332" w:type="dxa"/>
            <w:tcBorders>
              <w:top w:val="single" w:color="auto" w:sz="4" w:space="0"/>
              <w:left w:val="single" w:color="auto" w:sz="4" w:space="0"/>
              <w:right w:val="single" w:color="auto" w:sz="4" w:space="0"/>
            </w:tcBorders>
            <w:vAlign w:val="center"/>
          </w:tcPr>
          <w:p>
            <w:pPr>
              <w:spacing w:line="480" w:lineRule="exact"/>
              <w:rPr>
                <w:rFonts w:hint="eastAsia" w:ascii="宋体" w:hAnsi="宋体" w:eastAsia="宋体" w:cs="宋体"/>
                <w:color w:val="auto"/>
                <w:szCs w:val="21"/>
              </w:rPr>
            </w:pPr>
            <w:r>
              <w:rPr>
                <w:rFonts w:hint="eastAsia" w:ascii="宋体" w:hAnsi="宋体" w:eastAsia="宋体" w:cs="宋体"/>
                <w:color w:val="auto"/>
                <w:szCs w:val="21"/>
              </w:rPr>
              <w:t>2.所投产品质量、性能等的相关检测报告及认证（即质量保证）</w:t>
            </w:r>
          </w:p>
          <w:p>
            <w:pPr>
              <w:spacing w:line="480" w:lineRule="exact"/>
              <w:rPr>
                <w:rFonts w:hint="eastAsia" w:ascii="宋体" w:hAnsi="宋体" w:eastAsia="宋体" w:cs="宋体"/>
                <w:color w:val="auto"/>
                <w:szCs w:val="21"/>
              </w:rPr>
            </w:pPr>
            <w:r>
              <w:rPr>
                <w:rFonts w:hint="eastAsia" w:ascii="宋体" w:hAnsi="宋体" w:eastAsia="宋体" w:cs="宋体"/>
                <w:color w:val="auto"/>
                <w:szCs w:val="21"/>
              </w:rPr>
              <w:t>投标产品的技术性能、质量技术参数清楚、明确，规格、功能一致，产品有详细的使用说明介绍，主要功能满足招标文件要求及用户实际使用需求且技术资料齐全，包括但不限于货物合格证、检测报告、官网和功能截图、彩页、说明书等相关资料；由磋商小组独立对供应商响应内容进行打分，材料表述清楚、明确得10-7（含）分，较清楚、明确得7-4（含）分，一般得4-1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538" w:type="dxa"/>
            <w:vMerge w:val="continue"/>
            <w:tcBorders>
              <w:left w:val="single" w:color="auto" w:sz="4" w:space="0"/>
              <w:right w:val="single" w:color="auto" w:sz="4" w:space="0"/>
            </w:tcBorders>
            <w:vAlign w:val="center"/>
          </w:tcPr>
          <w:p>
            <w:pPr>
              <w:spacing w:line="480" w:lineRule="exact"/>
              <w:jc w:val="center"/>
              <w:rPr>
                <w:rFonts w:hint="eastAsia" w:ascii="宋体" w:hAnsi="宋体" w:eastAsia="宋体" w:cs="宋体"/>
                <w:b/>
                <w:bCs/>
                <w:color w:val="auto"/>
                <w:szCs w:val="21"/>
              </w:rPr>
            </w:pPr>
          </w:p>
        </w:tc>
        <w:tc>
          <w:tcPr>
            <w:tcW w:w="1628" w:type="dxa"/>
            <w:tcBorders>
              <w:left w:val="single" w:color="auto" w:sz="4" w:space="0"/>
              <w:right w:val="single" w:color="auto" w:sz="4" w:space="0"/>
            </w:tcBorders>
            <w:vAlign w:val="center"/>
          </w:tcPr>
          <w:p>
            <w:pPr>
              <w:wordWrap w:val="0"/>
              <w:topLinePunct/>
              <w:spacing w:line="480" w:lineRule="exact"/>
              <w:jc w:val="center"/>
              <w:rPr>
                <w:rFonts w:hint="eastAsia" w:ascii="宋体" w:hAnsi="宋体" w:eastAsia="宋体" w:cs="宋体"/>
                <w:color w:val="auto"/>
                <w:szCs w:val="21"/>
              </w:rPr>
            </w:pPr>
            <w:r>
              <w:rPr>
                <w:rFonts w:hint="eastAsia" w:ascii="宋体" w:hAnsi="宋体" w:eastAsia="宋体" w:cs="宋体"/>
                <w:color w:val="auto"/>
                <w:szCs w:val="21"/>
              </w:rPr>
              <w:t xml:space="preserve">10分 </w:t>
            </w:r>
          </w:p>
        </w:tc>
        <w:tc>
          <w:tcPr>
            <w:tcW w:w="6332" w:type="dxa"/>
            <w:tcBorders>
              <w:top w:val="single" w:color="auto" w:sz="4" w:space="0"/>
              <w:left w:val="single" w:color="auto" w:sz="4" w:space="0"/>
              <w:right w:val="single" w:color="auto" w:sz="4" w:space="0"/>
            </w:tcBorders>
            <w:vAlign w:val="center"/>
          </w:tcPr>
          <w:p>
            <w:pPr>
              <w:spacing w:line="480" w:lineRule="exact"/>
              <w:rPr>
                <w:rFonts w:hint="eastAsia" w:ascii="宋体" w:hAnsi="宋体" w:eastAsia="宋体" w:cs="宋体"/>
                <w:color w:val="auto"/>
                <w:szCs w:val="21"/>
              </w:rPr>
            </w:pPr>
            <w:r>
              <w:rPr>
                <w:rFonts w:hint="eastAsia" w:ascii="宋体" w:hAnsi="宋体" w:eastAsia="宋体" w:cs="宋体"/>
                <w:color w:val="auto"/>
                <w:szCs w:val="21"/>
              </w:rPr>
              <w:t>3.提供针对本项目的质量保证措施方案</w:t>
            </w:r>
          </w:p>
          <w:p>
            <w:pPr>
              <w:spacing w:line="480" w:lineRule="exact"/>
              <w:rPr>
                <w:rFonts w:hint="eastAsia" w:ascii="宋体" w:hAnsi="宋体" w:eastAsia="宋体" w:cs="宋体"/>
                <w:color w:val="auto"/>
                <w:szCs w:val="21"/>
              </w:rPr>
            </w:pPr>
            <w:r>
              <w:rPr>
                <w:rFonts w:hint="eastAsia" w:ascii="宋体" w:hAnsi="宋体" w:eastAsia="宋体" w:cs="宋体"/>
                <w:color w:val="auto"/>
                <w:szCs w:val="21"/>
              </w:rPr>
              <w:t>由磋商小组独立对供应商响应内容进行打分，合理、可行得10-7（含）分，较合理、较可行得7-4（含）分，一般得4-1分。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jc w:val="center"/>
        </w:trPr>
        <w:tc>
          <w:tcPr>
            <w:tcW w:w="1538" w:type="dxa"/>
            <w:vMerge w:val="continue"/>
            <w:tcBorders>
              <w:left w:val="single" w:color="auto" w:sz="4" w:space="0"/>
              <w:right w:val="single" w:color="auto" w:sz="4" w:space="0"/>
            </w:tcBorders>
            <w:vAlign w:val="center"/>
          </w:tcPr>
          <w:p>
            <w:pPr>
              <w:wordWrap w:val="0"/>
              <w:topLinePunct/>
              <w:spacing w:line="480" w:lineRule="exact"/>
              <w:jc w:val="center"/>
              <w:rPr>
                <w:rFonts w:hint="eastAsia" w:ascii="宋体" w:hAnsi="宋体" w:eastAsia="宋体" w:cs="宋体"/>
                <w:color w:val="auto"/>
                <w:szCs w:val="21"/>
              </w:rPr>
            </w:pPr>
          </w:p>
        </w:tc>
        <w:tc>
          <w:tcPr>
            <w:tcW w:w="1628" w:type="dxa"/>
            <w:tcBorders>
              <w:left w:val="single" w:color="auto" w:sz="4" w:space="0"/>
              <w:right w:val="single" w:color="auto" w:sz="4" w:space="0"/>
            </w:tcBorders>
            <w:vAlign w:val="center"/>
          </w:tcPr>
          <w:p>
            <w:pPr>
              <w:wordWrap w:val="0"/>
              <w:topLinePunct/>
              <w:spacing w:line="480" w:lineRule="exact"/>
              <w:jc w:val="center"/>
              <w:rPr>
                <w:rFonts w:hint="eastAsia" w:ascii="宋体" w:hAnsi="宋体" w:eastAsia="宋体" w:cs="宋体"/>
                <w:color w:val="auto"/>
                <w:szCs w:val="21"/>
              </w:rPr>
            </w:pPr>
            <w:r>
              <w:rPr>
                <w:rFonts w:hint="eastAsia" w:ascii="宋体" w:hAnsi="宋体" w:eastAsia="宋体" w:cs="宋体"/>
                <w:color w:val="auto"/>
                <w:szCs w:val="21"/>
              </w:rPr>
              <w:t>5分</w:t>
            </w:r>
          </w:p>
        </w:tc>
        <w:tc>
          <w:tcPr>
            <w:tcW w:w="6332" w:type="dxa"/>
            <w:tcBorders>
              <w:top w:val="single" w:color="auto" w:sz="4" w:space="0"/>
              <w:left w:val="single" w:color="auto" w:sz="4" w:space="0"/>
              <w:right w:val="single" w:color="auto" w:sz="4" w:space="0"/>
            </w:tcBorders>
            <w:vAlign w:val="center"/>
          </w:tcPr>
          <w:p>
            <w:pPr>
              <w:spacing w:line="480" w:lineRule="exact"/>
              <w:rPr>
                <w:rFonts w:hint="eastAsia" w:ascii="宋体" w:hAnsi="宋体" w:eastAsia="宋体" w:cs="宋体"/>
                <w:color w:val="auto"/>
                <w:szCs w:val="21"/>
              </w:rPr>
            </w:pPr>
            <w:r>
              <w:rPr>
                <w:rFonts w:hint="eastAsia" w:ascii="宋体" w:hAnsi="宋体" w:eastAsia="宋体" w:cs="宋体"/>
                <w:color w:val="auto"/>
                <w:szCs w:val="21"/>
              </w:rPr>
              <w:t>4.项目进度计划及工期保证措施</w:t>
            </w:r>
          </w:p>
          <w:p>
            <w:pPr>
              <w:spacing w:line="480" w:lineRule="exact"/>
              <w:rPr>
                <w:rFonts w:hint="eastAsia" w:ascii="宋体" w:hAnsi="宋体" w:eastAsia="宋体" w:cs="宋体"/>
                <w:color w:val="auto"/>
                <w:szCs w:val="21"/>
              </w:rPr>
            </w:pPr>
            <w:r>
              <w:rPr>
                <w:rFonts w:hint="eastAsia" w:ascii="宋体" w:hAnsi="宋体" w:eastAsia="宋体" w:cs="宋体"/>
                <w:color w:val="auto"/>
                <w:szCs w:val="21"/>
              </w:rPr>
              <w:t>（1）项目进度计划；</w:t>
            </w:r>
          </w:p>
          <w:p>
            <w:pPr>
              <w:spacing w:line="480" w:lineRule="exact"/>
              <w:rPr>
                <w:rFonts w:hint="eastAsia" w:ascii="宋体" w:hAnsi="宋体" w:eastAsia="宋体" w:cs="宋体"/>
                <w:color w:val="auto"/>
                <w:szCs w:val="21"/>
              </w:rPr>
            </w:pPr>
            <w:r>
              <w:rPr>
                <w:rFonts w:hint="eastAsia" w:ascii="宋体" w:hAnsi="宋体" w:eastAsia="宋体" w:cs="宋体"/>
                <w:color w:val="auto"/>
                <w:szCs w:val="21"/>
              </w:rPr>
              <w:t>（2）工期保证措施；</w:t>
            </w:r>
          </w:p>
          <w:p>
            <w:pPr>
              <w:spacing w:line="480" w:lineRule="exact"/>
              <w:rPr>
                <w:rFonts w:hint="eastAsia" w:ascii="宋体" w:hAnsi="宋体" w:eastAsia="宋体" w:cs="宋体"/>
                <w:color w:val="auto"/>
                <w:szCs w:val="21"/>
              </w:rPr>
            </w:pPr>
            <w:r>
              <w:rPr>
                <w:rFonts w:hint="eastAsia" w:ascii="宋体" w:hAnsi="宋体" w:eastAsia="宋体" w:cs="宋体"/>
                <w:color w:val="auto"/>
                <w:szCs w:val="21"/>
              </w:rPr>
              <w:t>由磋商小组独立对供应商响应内容进行打分，合理、可行得5-3.5（含）分，较合理、较可行得3.5-2（含）分，一般得2-0.5（含）分。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538" w:type="dxa"/>
            <w:vMerge w:val="continue"/>
            <w:tcBorders>
              <w:left w:val="single" w:color="auto" w:sz="4" w:space="0"/>
              <w:right w:val="single" w:color="auto" w:sz="4" w:space="0"/>
            </w:tcBorders>
            <w:vAlign w:val="center"/>
          </w:tcPr>
          <w:p>
            <w:pPr>
              <w:spacing w:line="480" w:lineRule="exact"/>
              <w:jc w:val="center"/>
              <w:rPr>
                <w:rFonts w:hint="eastAsia" w:ascii="宋体" w:hAnsi="宋体" w:eastAsia="宋体" w:cs="宋体"/>
                <w:b/>
                <w:bCs/>
                <w:color w:val="auto"/>
                <w:szCs w:val="21"/>
              </w:rPr>
            </w:pPr>
          </w:p>
        </w:tc>
        <w:tc>
          <w:tcPr>
            <w:tcW w:w="1628" w:type="dxa"/>
            <w:tcBorders>
              <w:left w:val="single" w:color="auto" w:sz="4" w:space="0"/>
              <w:right w:val="single" w:color="auto" w:sz="4" w:space="0"/>
            </w:tcBorders>
            <w:vAlign w:val="center"/>
          </w:tcPr>
          <w:p>
            <w:pPr>
              <w:wordWrap w:val="0"/>
              <w:topLinePunct/>
              <w:spacing w:line="480" w:lineRule="exact"/>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eastAsia="宋体" w:cs="宋体"/>
                <w:color w:val="auto"/>
                <w:szCs w:val="21"/>
              </w:rPr>
              <w:t>分</w:t>
            </w:r>
          </w:p>
        </w:tc>
        <w:tc>
          <w:tcPr>
            <w:tcW w:w="6332" w:type="dxa"/>
            <w:tcBorders>
              <w:top w:val="single" w:color="auto" w:sz="4" w:space="0"/>
              <w:left w:val="single" w:color="auto" w:sz="4" w:space="0"/>
              <w:right w:val="single" w:color="auto" w:sz="4" w:space="0"/>
            </w:tcBorders>
            <w:vAlign w:val="center"/>
          </w:tcPr>
          <w:p>
            <w:pPr>
              <w:spacing w:line="480" w:lineRule="exact"/>
              <w:rPr>
                <w:rFonts w:hint="eastAsia" w:ascii="宋体" w:hAnsi="宋体" w:eastAsia="宋体" w:cs="宋体"/>
                <w:color w:val="auto"/>
                <w:szCs w:val="21"/>
              </w:rPr>
            </w:pPr>
            <w:r>
              <w:rPr>
                <w:rFonts w:hint="eastAsia" w:ascii="宋体" w:hAnsi="宋体" w:eastAsia="宋体" w:cs="宋体"/>
                <w:color w:val="auto"/>
                <w:szCs w:val="21"/>
              </w:rPr>
              <w:t>5.项目验收方案</w:t>
            </w:r>
          </w:p>
          <w:p>
            <w:pPr>
              <w:spacing w:line="480" w:lineRule="exact"/>
              <w:rPr>
                <w:rFonts w:hint="eastAsia" w:ascii="宋体" w:hAnsi="宋体" w:eastAsia="宋体" w:cs="宋体"/>
                <w:color w:val="auto"/>
                <w:szCs w:val="21"/>
              </w:rPr>
            </w:pPr>
            <w:r>
              <w:rPr>
                <w:rFonts w:hint="eastAsia" w:ascii="宋体" w:hAnsi="宋体" w:eastAsia="宋体" w:cs="宋体"/>
                <w:color w:val="auto"/>
                <w:szCs w:val="21"/>
              </w:rPr>
              <w:t>验收方案完整：验收程序清晰、节点明确，提供未通过验收的处理方式。由磋商小组独立对供应商响应内容进行打分</w:t>
            </w:r>
            <w:r>
              <w:rPr>
                <w:rFonts w:hint="eastAsia" w:ascii="宋体" w:hAnsi="宋体" w:eastAsia="宋体" w:cs="宋体"/>
                <w:color w:val="auto"/>
                <w:szCs w:val="21"/>
                <w:lang w:eastAsia="zh-CN"/>
              </w:rPr>
              <w:t>，</w:t>
            </w:r>
            <w:r>
              <w:rPr>
                <w:rFonts w:hint="eastAsia" w:ascii="宋体" w:hAnsi="宋体" w:eastAsia="宋体" w:cs="宋体"/>
                <w:color w:val="auto"/>
                <w:szCs w:val="21"/>
              </w:rPr>
              <w:t>合理、可行得</w:t>
            </w:r>
            <w:r>
              <w:rPr>
                <w:rFonts w:hint="eastAsia" w:ascii="宋体" w:hAnsi="宋体" w:eastAsia="宋体" w:cs="宋体"/>
                <w:color w:val="auto"/>
                <w:szCs w:val="21"/>
                <w:lang w:val="en-US" w:eastAsia="zh-CN"/>
              </w:rPr>
              <w:t>5</w:t>
            </w:r>
            <w:r>
              <w:rPr>
                <w:rFonts w:hint="eastAsia" w:ascii="宋体" w:hAnsi="宋体" w:eastAsia="宋体" w:cs="宋体"/>
                <w:color w:val="auto"/>
                <w:szCs w:val="21"/>
              </w:rPr>
              <w:t>-</w:t>
            </w:r>
            <w:r>
              <w:rPr>
                <w:rFonts w:hint="eastAsia" w:ascii="宋体" w:hAnsi="宋体" w:eastAsia="宋体" w:cs="宋体"/>
                <w:color w:val="auto"/>
                <w:szCs w:val="21"/>
                <w:lang w:val="en-US" w:eastAsia="zh-CN"/>
              </w:rPr>
              <w:t>3.5</w:t>
            </w:r>
            <w:r>
              <w:rPr>
                <w:rFonts w:hint="eastAsia" w:ascii="宋体" w:hAnsi="宋体" w:eastAsia="宋体" w:cs="宋体"/>
                <w:color w:val="auto"/>
                <w:szCs w:val="21"/>
              </w:rPr>
              <w:t>（含）分，较合理、较可行得</w:t>
            </w:r>
            <w:r>
              <w:rPr>
                <w:rFonts w:hint="eastAsia" w:ascii="宋体" w:hAnsi="宋体" w:eastAsia="宋体" w:cs="宋体"/>
                <w:color w:val="auto"/>
                <w:szCs w:val="21"/>
                <w:lang w:val="en-US" w:eastAsia="zh-CN"/>
              </w:rPr>
              <w:t>3.5-2</w:t>
            </w:r>
            <w:r>
              <w:rPr>
                <w:rFonts w:hint="eastAsia" w:ascii="宋体" w:hAnsi="宋体" w:eastAsia="宋体" w:cs="宋体"/>
                <w:color w:val="auto"/>
                <w:szCs w:val="21"/>
              </w:rPr>
              <w:t>（含）分，一般得</w:t>
            </w:r>
            <w:r>
              <w:rPr>
                <w:rFonts w:hint="eastAsia" w:ascii="宋体" w:hAnsi="宋体" w:eastAsia="宋体" w:cs="宋体"/>
                <w:color w:val="auto"/>
                <w:szCs w:val="21"/>
                <w:lang w:val="en-US" w:eastAsia="zh-CN"/>
              </w:rPr>
              <w:t>2</w:t>
            </w:r>
            <w:r>
              <w:rPr>
                <w:rFonts w:hint="eastAsia" w:ascii="宋体" w:hAnsi="宋体" w:eastAsia="宋体" w:cs="宋体"/>
                <w:color w:val="auto"/>
                <w:szCs w:val="21"/>
              </w:rPr>
              <w:t>-</w:t>
            </w:r>
            <w:r>
              <w:rPr>
                <w:rFonts w:hint="eastAsia" w:ascii="宋体" w:hAnsi="宋体" w:eastAsia="宋体" w:cs="宋体"/>
                <w:color w:val="auto"/>
                <w:szCs w:val="21"/>
                <w:lang w:val="en-US" w:eastAsia="zh-CN"/>
              </w:rPr>
              <w:t>0.5（含）</w:t>
            </w:r>
            <w:r>
              <w:rPr>
                <w:rFonts w:hint="eastAsia" w:ascii="宋体" w:hAnsi="宋体" w:eastAsia="宋体" w:cs="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jc w:val="center"/>
        </w:trPr>
        <w:tc>
          <w:tcPr>
            <w:tcW w:w="1538" w:type="dxa"/>
            <w:vMerge w:val="continue"/>
            <w:tcBorders>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bCs/>
                <w:color w:val="auto"/>
                <w:szCs w:val="21"/>
              </w:rPr>
            </w:pPr>
          </w:p>
        </w:tc>
        <w:tc>
          <w:tcPr>
            <w:tcW w:w="1628" w:type="dxa"/>
            <w:tcBorders>
              <w:left w:val="single" w:color="auto" w:sz="4" w:space="0"/>
              <w:right w:val="single" w:color="auto" w:sz="4" w:space="0"/>
            </w:tcBorders>
            <w:vAlign w:val="center"/>
          </w:tcPr>
          <w:p>
            <w:pPr>
              <w:wordWrap w:val="0"/>
              <w:topLinePunct/>
              <w:spacing w:line="480" w:lineRule="exact"/>
              <w:jc w:val="center"/>
              <w:rPr>
                <w:rFonts w:hint="eastAsia" w:ascii="宋体" w:hAnsi="宋体" w:eastAsia="宋体" w:cs="宋体"/>
                <w:color w:val="auto"/>
                <w:szCs w:val="21"/>
              </w:rPr>
            </w:pPr>
            <w:r>
              <w:rPr>
                <w:rFonts w:hint="eastAsia" w:ascii="宋体" w:hAnsi="宋体" w:eastAsia="宋体" w:cs="宋体"/>
                <w:color w:val="auto"/>
                <w:szCs w:val="21"/>
              </w:rPr>
              <w:t>5分</w:t>
            </w:r>
          </w:p>
        </w:tc>
        <w:tc>
          <w:tcPr>
            <w:tcW w:w="6332" w:type="dxa"/>
            <w:tcBorders>
              <w:top w:val="single" w:color="auto" w:sz="4" w:space="0"/>
              <w:left w:val="single" w:color="auto" w:sz="4" w:space="0"/>
              <w:right w:val="single" w:color="auto" w:sz="4" w:space="0"/>
            </w:tcBorders>
            <w:vAlign w:val="center"/>
          </w:tcPr>
          <w:p>
            <w:pPr>
              <w:spacing w:line="480" w:lineRule="exact"/>
              <w:rPr>
                <w:rFonts w:hint="eastAsia" w:ascii="宋体" w:hAnsi="宋体" w:eastAsia="宋体" w:cs="宋体"/>
                <w:color w:val="auto"/>
                <w:szCs w:val="21"/>
              </w:rPr>
            </w:pPr>
            <w:r>
              <w:rPr>
                <w:rFonts w:hint="eastAsia" w:ascii="宋体" w:hAnsi="宋体" w:eastAsia="宋体" w:cs="宋体"/>
                <w:color w:val="auto"/>
                <w:szCs w:val="21"/>
              </w:rPr>
              <w:t>6.提供针对本项目实施可能出现的应急措施方案，</w:t>
            </w:r>
          </w:p>
          <w:p>
            <w:pPr>
              <w:spacing w:line="480" w:lineRule="exact"/>
              <w:rPr>
                <w:rFonts w:hint="eastAsia" w:ascii="宋体" w:hAnsi="宋体" w:eastAsia="宋体" w:cs="宋体"/>
                <w:color w:val="auto"/>
                <w:szCs w:val="21"/>
              </w:rPr>
            </w:pPr>
            <w:r>
              <w:rPr>
                <w:rFonts w:hint="eastAsia" w:ascii="宋体" w:hAnsi="宋体" w:eastAsia="宋体" w:cs="宋体"/>
                <w:color w:val="auto"/>
                <w:szCs w:val="21"/>
              </w:rPr>
              <w:t>应急方案应具有一定的操作性和可实施性，并符合本项目特点和实际需求；</w:t>
            </w:r>
          </w:p>
          <w:p>
            <w:pPr>
              <w:spacing w:line="480" w:lineRule="exact"/>
              <w:rPr>
                <w:rFonts w:hint="eastAsia" w:ascii="宋体" w:hAnsi="宋体" w:eastAsia="宋体" w:cs="宋体"/>
                <w:color w:val="auto"/>
                <w:szCs w:val="21"/>
              </w:rPr>
            </w:pPr>
            <w:r>
              <w:rPr>
                <w:rFonts w:hint="eastAsia" w:ascii="宋体" w:hAnsi="宋体" w:eastAsia="宋体" w:cs="宋体"/>
                <w:color w:val="auto"/>
                <w:szCs w:val="21"/>
              </w:rPr>
              <w:t>由磋商小组独立对供应商响应内容进行打分，操作性、可实施性强得5-4（含）分，操作性、可实施性较强得4-2（含）分，一般得2-1分。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538" w:type="dxa"/>
            <w:tcBorders>
              <w:top w:val="single" w:color="auto" w:sz="4" w:space="0"/>
              <w:left w:val="single" w:color="auto" w:sz="4" w:space="0"/>
              <w:bottom w:val="single" w:color="auto" w:sz="4" w:space="0"/>
              <w:right w:val="single" w:color="auto" w:sz="4" w:space="0"/>
            </w:tcBorders>
            <w:vAlign w:val="center"/>
          </w:tcPr>
          <w:p>
            <w:pPr>
              <w:kinsoku w:val="0"/>
              <w:spacing w:line="480" w:lineRule="exact"/>
              <w:ind w:left="-12" w:leftChars="-51" w:hanging="95" w:hangingChars="45"/>
              <w:jc w:val="center"/>
              <w:rPr>
                <w:rFonts w:hint="eastAsia" w:ascii="宋体" w:hAnsi="宋体" w:eastAsia="宋体" w:cs="宋体"/>
                <w:color w:val="auto"/>
                <w:szCs w:val="21"/>
              </w:rPr>
            </w:pPr>
            <w:r>
              <w:rPr>
                <w:rFonts w:hint="eastAsia" w:ascii="宋体" w:hAnsi="宋体" w:eastAsia="宋体" w:cs="宋体"/>
                <w:b/>
                <w:bCs/>
                <w:color w:val="auto"/>
                <w:szCs w:val="21"/>
              </w:rPr>
              <w:t xml:space="preserve"> 业绩（5分）</w:t>
            </w:r>
          </w:p>
        </w:tc>
        <w:tc>
          <w:tcPr>
            <w:tcW w:w="162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color w:val="auto"/>
                <w:szCs w:val="21"/>
              </w:rPr>
            </w:pPr>
            <w:r>
              <w:rPr>
                <w:rFonts w:hint="eastAsia" w:ascii="宋体" w:hAnsi="宋体" w:eastAsia="宋体" w:cs="宋体"/>
                <w:color w:val="auto"/>
                <w:szCs w:val="21"/>
              </w:rPr>
              <w:t>5分</w:t>
            </w:r>
          </w:p>
        </w:tc>
        <w:tc>
          <w:tcPr>
            <w:tcW w:w="6332"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color w:val="auto"/>
                <w:szCs w:val="21"/>
              </w:rPr>
            </w:pPr>
            <w:r>
              <w:rPr>
                <w:rFonts w:hint="eastAsia" w:ascii="宋体" w:hAnsi="宋体" w:eastAsia="宋体" w:cs="宋体"/>
                <w:color w:val="auto"/>
                <w:szCs w:val="21"/>
              </w:rPr>
              <w:t>1.提供2019年至今同类项目业绩，以合同为准，响应文件中提供复印件加盖单位公章，每份计1分，计满5分为止。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1538" w:type="dxa"/>
            <w:tcBorders>
              <w:top w:val="single" w:color="auto" w:sz="4" w:space="0"/>
              <w:left w:val="single" w:color="auto" w:sz="4" w:space="0"/>
              <w:bottom w:val="single" w:color="auto" w:sz="4" w:space="0"/>
              <w:right w:val="single" w:color="auto" w:sz="4" w:space="0"/>
            </w:tcBorders>
            <w:vAlign w:val="center"/>
          </w:tcPr>
          <w:p>
            <w:pPr>
              <w:kinsoku w:val="0"/>
              <w:spacing w:line="480" w:lineRule="exact"/>
              <w:ind w:left="-12" w:leftChars="-51" w:hanging="95" w:hangingChars="45"/>
              <w:jc w:val="center"/>
              <w:rPr>
                <w:rFonts w:hint="eastAsia" w:ascii="宋体" w:hAnsi="宋体" w:eastAsia="宋体" w:cs="宋体"/>
                <w:b/>
                <w:bCs/>
                <w:color w:val="auto"/>
                <w:szCs w:val="21"/>
              </w:rPr>
            </w:pPr>
            <w:r>
              <w:rPr>
                <w:rFonts w:hint="eastAsia" w:ascii="宋体" w:hAnsi="宋体" w:eastAsia="宋体" w:cs="宋体"/>
                <w:b/>
                <w:bCs/>
                <w:color w:val="auto"/>
                <w:szCs w:val="21"/>
              </w:rPr>
              <w:t>售后（10分）</w:t>
            </w:r>
          </w:p>
        </w:tc>
        <w:tc>
          <w:tcPr>
            <w:tcW w:w="162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10</w:t>
            </w:r>
            <w:r>
              <w:rPr>
                <w:rFonts w:hint="eastAsia" w:ascii="宋体" w:hAnsi="宋体" w:eastAsia="宋体" w:cs="宋体"/>
                <w:color w:val="auto"/>
                <w:szCs w:val="21"/>
              </w:rPr>
              <w:t>分</w:t>
            </w:r>
          </w:p>
        </w:tc>
        <w:tc>
          <w:tcPr>
            <w:tcW w:w="6332"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color w:val="auto"/>
                <w:szCs w:val="21"/>
              </w:rPr>
            </w:pPr>
            <w:r>
              <w:rPr>
                <w:rFonts w:hint="eastAsia" w:ascii="宋体" w:hAnsi="宋体" w:eastAsia="宋体" w:cs="宋体"/>
                <w:color w:val="auto"/>
                <w:szCs w:val="21"/>
              </w:rPr>
              <w:t>售后有具体可行的售后服务方案，保证产品正常有效使用；由</w:t>
            </w:r>
            <w:r>
              <w:rPr>
                <w:rFonts w:hint="eastAsia" w:ascii="宋体" w:hAnsi="宋体" w:eastAsia="宋体" w:cs="宋体"/>
                <w:color w:val="auto"/>
                <w:szCs w:val="21"/>
                <w:lang w:eastAsia="zh-CN"/>
              </w:rPr>
              <w:t>磋商小组</w:t>
            </w:r>
            <w:r>
              <w:rPr>
                <w:rFonts w:hint="eastAsia" w:ascii="宋体" w:hAnsi="宋体" w:eastAsia="宋体" w:cs="宋体"/>
                <w:color w:val="auto"/>
                <w:szCs w:val="21"/>
              </w:rPr>
              <w:t>独立对供应商响应内容进行打分，合理、可行</w:t>
            </w:r>
            <w:r>
              <w:rPr>
                <w:rFonts w:hint="eastAsia" w:ascii="宋体" w:hAnsi="宋体" w:eastAsia="宋体" w:cs="宋体"/>
                <w:color w:val="auto"/>
                <w:szCs w:val="21"/>
                <w:lang w:val="en-US" w:eastAsia="zh-CN"/>
              </w:rPr>
              <w:t>10</w:t>
            </w:r>
            <w:r>
              <w:rPr>
                <w:rFonts w:hint="eastAsia" w:ascii="宋体" w:hAnsi="宋体" w:eastAsia="宋体" w:cs="宋体"/>
                <w:color w:val="auto"/>
                <w:szCs w:val="21"/>
              </w:rPr>
              <w:t>-</w:t>
            </w:r>
            <w:r>
              <w:rPr>
                <w:rFonts w:hint="eastAsia" w:ascii="宋体" w:hAnsi="宋体" w:eastAsia="宋体" w:cs="宋体"/>
                <w:color w:val="auto"/>
                <w:szCs w:val="21"/>
                <w:lang w:val="en-US" w:eastAsia="zh-CN"/>
              </w:rPr>
              <w:t>7</w:t>
            </w:r>
            <w:r>
              <w:rPr>
                <w:rFonts w:hint="eastAsia" w:ascii="宋体" w:hAnsi="宋体" w:eastAsia="宋体" w:cs="宋体"/>
                <w:color w:val="auto"/>
                <w:szCs w:val="21"/>
              </w:rPr>
              <w:t>（含）分，较合理、可行良好得</w:t>
            </w:r>
            <w:r>
              <w:rPr>
                <w:rFonts w:hint="eastAsia" w:ascii="宋体" w:hAnsi="宋体" w:eastAsia="宋体" w:cs="宋体"/>
                <w:color w:val="auto"/>
                <w:szCs w:val="21"/>
                <w:lang w:val="en-US" w:eastAsia="zh-CN"/>
              </w:rPr>
              <w:t>7</w:t>
            </w:r>
            <w:r>
              <w:rPr>
                <w:rFonts w:hint="eastAsia" w:ascii="宋体" w:hAnsi="宋体" w:eastAsia="宋体" w:cs="宋体"/>
                <w:color w:val="auto"/>
                <w:szCs w:val="21"/>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（含）分，一般得</w:t>
            </w:r>
            <w:r>
              <w:rPr>
                <w:rFonts w:hint="eastAsia" w:ascii="宋体" w:hAnsi="宋体" w:eastAsia="宋体" w:cs="宋体"/>
                <w:color w:val="auto"/>
                <w:szCs w:val="21"/>
                <w:lang w:val="en-US" w:eastAsia="zh-CN"/>
              </w:rPr>
              <w:t>4</w:t>
            </w:r>
            <w:r>
              <w:rPr>
                <w:rFonts w:hint="eastAsia" w:ascii="宋体" w:hAnsi="宋体" w:eastAsia="宋体" w:cs="宋体"/>
                <w:color w:val="auto"/>
                <w:szCs w:val="21"/>
              </w:rPr>
              <w:t>-1分。</w:t>
            </w:r>
          </w:p>
        </w:tc>
      </w:tr>
    </w:tbl>
    <w:p>
      <w:pPr>
        <w:spacing w:line="360" w:lineRule="auto"/>
        <w:rPr>
          <w:rFonts w:hint="eastAsia" w:ascii="宋体" w:hAnsi="宋体" w:eastAsia="宋体" w:cs="宋体"/>
          <w:b/>
          <w:color w:val="auto"/>
          <w:sz w:val="24"/>
        </w:rPr>
      </w:pPr>
      <w:r>
        <w:rPr>
          <w:rFonts w:hint="eastAsia" w:ascii="宋体" w:hAnsi="宋体" w:eastAsia="宋体" w:cs="宋体"/>
          <w:b/>
          <w:color w:val="auto"/>
          <w:sz w:val="24"/>
        </w:rPr>
        <w:t>备注：</w:t>
      </w:r>
    </w:p>
    <w:p>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1、评审后得分最高的供应商获得成交供应商推荐资格；评审得分相同的，推荐其中报价最低的供应商为成交候选供应商，若磋商报价得分仍相同，</w:t>
      </w:r>
      <w:r>
        <w:rPr>
          <w:rFonts w:hint="eastAsia" w:ascii="宋体" w:hAnsi="宋体" w:eastAsia="宋体" w:cs="宋体"/>
          <w:color w:val="auto"/>
          <w:sz w:val="24"/>
        </w:rPr>
        <w:t>按照技术指标优劣顺序推荐</w:t>
      </w:r>
      <w:r>
        <w:rPr>
          <w:rFonts w:hint="eastAsia" w:ascii="宋体" w:hAnsi="宋体" w:eastAsia="宋体" w:cs="宋体"/>
          <w:b/>
          <w:color w:val="auto"/>
          <w:sz w:val="24"/>
        </w:rPr>
        <w:t>。</w:t>
      </w:r>
    </w:p>
    <w:p>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2、评委打分超过得分界限或未按本方法赋分时，该评委的打分按废票处理。</w:t>
      </w:r>
    </w:p>
    <w:p>
      <w:pPr>
        <w:spacing w:line="360" w:lineRule="auto"/>
        <w:ind w:firstLine="482" w:firstLineChars="200"/>
        <w:rPr>
          <w:rFonts w:hint="eastAsia" w:ascii="宋体" w:hAnsi="宋体" w:eastAsia="宋体" w:cs="宋体"/>
          <w:b/>
          <w:color w:val="auto"/>
        </w:rPr>
      </w:pPr>
      <w:r>
        <w:rPr>
          <w:rFonts w:hint="eastAsia" w:ascii="宋体" w:hAnsi="宋体" w:eastAsia="宋体" w:cs="宋体"/>
          <w:b/>
          <w:color w:val="auto"/>
          <w:sz w:val="24"/>
        </w:rPr>
        <w:t>3、各种计算采用插入法，数字均保留两位小数，第三位“四舍五入”。</w:t>
      </w:r>
    </w:p>
    <w:p>
      <w:pPr>
        <w:pStyle w:val="3"/>
        <w:spacing w:line="360" w:lineRule="auto"/>
        <w:jc w:val="center"/>
        <w:rPr>
          <w:rFonts w:hint="eastAsia" w:ascii="宋体" w:hAnsi="宋体" w:eastAsia="宋体" w:cs="宋体"/>
          <w:color w:val="auto"/>
          <w:sz w:val="36"/>
        </w:rPr>
        <w:sectPr>
          <w:footnotePr>
            <w:pos w:val="beneathText"/>
          </w:footnotePr>
          <w:pgSz w:w="11906" w:h="16838"/>
          <w:pgMar w:top="1440" w:right="1423" w:bottom="1219" w:left="1644" w:header="720" w:footer="720" w:gutter="0"/>
          <w:cols w:space="720" w:num="1"/>
          <w:docGrid w:linePitch="312" w:charSpace="0"/>
        </w:sectPr>
      </w:pPr>
    </w:p>
    <w:p>
      <w:pPr>
        <w:pStyle w:val="3"/>
        <w:spacing w:before="0" w:after="0" w:line="360" w:lineRule="auto"/>
        <w:jc w:val="center"/>
        <w:rPr>
          <w:rFonts w:hint="eastAsia" w:ascii="宋体" w:hAnsi="宋体" w:eastAsia="宋体" w:cs="宋体"/>
          <w:color w:val="auto"/>
        </w:rPr>
      </w:pPr>
      <w:bookmarkStart w:id="168" w:name="_Toc21626"/>
      <w:bookmarkStart w:id="169" w:name="_Toc29219"/>
      <w:r>
        <w:rPr>
          <w:rFonts w:hint="eastAsia" w:ascii="宋体" w:hAnsi="宋体" w:eastAsia="宋体" w:cs="宋体"/>
          <w:color w:val="auto"/>
        </w:rPr>
        <w:t xml:space="preserve">第五部分 </w:t>
      </w:r>
      <w:bookmarkEnd w:id="168"/>
      <w:bookmarkEnd w:id="169"/>
      <w:r>
        <w:rPr>
          <w:rFonts w:hint="eastAsia" w:ascii="宋体" w:hAnsi="宋体" w:eastAsia="宋体" w:cs="宋体"/>
          <w:color w:val="auto"/>
        </w:rPr>
        <w:t>合同主要条款</w:t>
      </w:r>
    </w:p>
    <w:p>
      <w:pPr>
        <w:spacing w:line="480" w:lineRule="auto"/>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政府采购项目                      </w:t>
      </w:r>
    </w:p>
    <w:p>
      <w:pPr>
        <w:spacing w:line="480" w:lineRule="auto"/>
        <w:rPr>
          <w:rFonts w:hint="eastAsia" w:ascii="宋体" w:hAnsi="宋体" w:eastAsia="宋体" w:cs="宋体"/>
          <w:b/>
          <w:color w:val="auto"/>
          <w:sz w:val="32"/>
          <w:szCs w:val="32"/>
        </w:rPr>
      </w:pPr>
      <w:r>
        <w:rPr>
          <w:rFonts w:hint="eastAsia" w:ascii="宋体" w:hAnsi="宋体" w:eastAsia="宋体" w:cs="宋体"/>
          <w:b/>
          <w:color w:val="auto"/>
          <w:sz w:val="32"/>
          <w:szCs w:val="32"/>
        </w:rPr>
        <w:t>合同编号：</w:t>
      </w:r>
    </w:p>
    <w:p>
      <w:pPr>
        <w:pStyle w:val="17"/>
        <w:jc w:val="center"/>
        <w:rPr>
          <w:rFonts w:hint="eastAsia" w:ascii="宋体" w:hAnsi="宋体" w:eastAsia="宋体" w:cs="宋体"/>
          <w:color w:val="auto"/>
        </w:rPr>
      </w:pPr>
    </w:p>
    <w:p>
      <w:pPr>
        <w:spacing w:line="360" w:lineRule="auto"/>
        <w:jc w:val="center"/>
        <w:rPr>
          <w:rFonts w:hint="eastAsia" w:ascii="宋体" w:hAnsi="宋体" w:eastAsia="宋体" w:cs="宋体"/>
          <w:b/>
          <w:color w:val="auto"/>
          <w:sz w:val="40"/>
          <w:szCs w:val="40"/>
        </w:rPr>
      </w:pPr>
      <w:r>
        <w:rPr>
          <w:rFonts w:hint="eastAsia" w:ascii="宋体" w:hAnsi="宋体" w:eastAsia="宋体" w:cs="宋体"/>
          <w:b/>
          <w:color w:val="auto"/>
          <w:sz w:val="40"/>
          <w:szCs w:val="40"/>
        </w:rPr>
        <w:t>镇安县农业农村局镇安县2021年度高标准农田建设地力培肥项目</w:t>
      </w:r>
    </w:p>
    <w:p>
      <w:pPr>
        <w:spacing w:line="360" w:lineRule="auto"/>
        <w:jc w:val="center"/>
        <w:rPr>
          <w:rFonts w:hint="eastAsia" w:ascii="宋体" w:hAnsi="宋体" w:eastAsia="宋体" w:cs="宋体"/>
          <w:b/>
          <w:color w:val="auto"/>
          <w:sz w:val="44"/>
          <w:szCs w:val="44"/>
        </w:rPr>
      </w:pPr>
    </w:p>
    <w:p>
      <w:pPr>
        <w:spacing w:line="480" w:lineRule="auto"/>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采 购 合 同</w:t>
      </w:r>
    </w:p>
    <w:p>
      <w:pPr>
        <w:pStyle w:val="17"/>
        <w:rPr>
          <w:rFonts w:hint="eastAsia" w:ascii="宋体" w:hAnsi="宋体" w:eastAsia="宋体" w:cs="宋体"/>
          <w:color w:val="auto"/>
        </w:rPr>
      </w:pPr>
      <w:r>
        <w:rPr>
          <w:rFonts w:hint="eastAsia" w:ascii="宋体" w:hAnsi="宋体" w:eastAsia="宋体" w:cs="宋体"/>
          <w:color w:val="auto"/>
        </w:rPr>
        <w:t xml:space="preserve">                          （示范文本）</w:t>
      </w:r>
    </w:p>
    <w:p>
      <w:pPr>
        <w:pStyle w:val="17"/>
        <w:rPr>
          <w:rFonts w:hint="eastAsia" w:ascii="宋体" w:hAnsi="宋体" w:eastAsia="宋体" w:cs="宋体"/>
          <w:color w:val="auto"/>
          <w:sz w:val="30"/>
          <w:szCs w:val="30"/>
        </w:rPr>
      </w:pPr>
    </w:p>
    <w:p>
      <w:pPr>
        <w:rPr>
          <w:rFonts w:hint="eastAsia" w:ascii="宋体" w:hAnsi="宋体" w:eastAsia="宋体" w:cs="宋体"/>
          <w:color w:val="auto"/>
        </w:rPr>
      </w:pPr>
    </w:p>
    <w:p>
      <w:pPr>
        <w:rPr>
          <w:rFonts w:hint="eastAsia" w:ascii="宋体" w:hAnsi="宋体" w:eastAsia="宋体" w:cs="宋体"/>
          <w:color w:val="auto"/>
        </w:rPr>
      </w:pPr>
    </w:p>
    <w:p>
      <w:pPr>
        <w:spacing w:line="480" w:lineRule="auto"/>
        <w:jc w:val="center"/>
        <w:rPr>
          <w:rFonts w:hint="eastAsia" w:ascii="宋体" w:hAnsi="宋体" w:eastAsia="宋体" w:cs="宋体"/>
          <w:color w:val="auto"/>
          <w:sz w:val="30"/>
          <w:szCs w:val="30"/>
        </w:rPr>
      </w:pPr>
    </w:p>
    <w:p>
      <w:pPr>
        <w:spacing w:line="480" w:lineRule="auto"/>
        <w:jc w:val="center"/>
        <w:rPr>
          <w:rFonts w:hint="eastAsia" w:ascii="宋体" w:hAnsi="宋体" w:eastAsia="宋体" w:cs="宋体"/>
          <w:color w:val="auto"/>
          <w:sz w:val="30"/>
          <w:szCs w:val="30"/>
        </w:rPr>
      </w:pPr>
    </w:p>
    <w:p>
      <w:pPr>
        <w:spacing w:line="480" w:lineRule="auto"/>
        <w:ind w:firstLine="2080" w:firstLineChars="650"/>
        <w:rPr>
          <w:rFonts w:hint="eastAsia" w:ascii="宋体" w:hAnsi="宋体" w:eastAsia="宋体" w:cs="宋体"/>
          <w:color w:val="auto"/>
          <w:sz w:val="32"/>
          <w:szCs w:val="32"/>
        </w:rPr>
      </w:pPr>
      <w:r>
        <w:rPr>
          <w:rFonts w:hint="eastAsia" w:ascii="宋体" w:hAnsi="宋体" w:eastAsia="宋体" w:cs="宋体"/>
          <w:color w:val="auto"/>
          <w:sz w:val="32"/>
          <w:szCs w:val="32"/>
        </w:rPr>
        <w:t>采购人：</w:t>
      </w:r>
    </w:p>
    <w:p>
      <w:pPr>
        <w:tabs>
          <w:tab w:val="left" w:pos="480"/>
        </w:tabs>
        <w:spacing w:line="480" w:lineRule="auto"/>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 xml:space="preserve">         供应商：</w:t>
      </w:r>
    </w:p>
    <w:p>
      <w:pPr>
        <w:spacing w:line="480" w:lineRule="auto"/>
        <w:rPr>
          <w:rFonts w:hint="eastAsia" w:ascii="宋体" w:hAnsi="宋体" w:eastAsia="宋体" w:cs="宋体"/>
          <w:color w:val="auto"/>
          <w:sz w:val="30"/>
          <w:szCs w:val="30"/>
        </w:rPr>
      </w:pPr>
      <w:r>
        <w:rPr>
          <w:rFonts w:hint="eastAsia" w:ascii="宋体" w:hAnsi="宋体" w:eastAsia="宋体" w:cs="宋体"/>
          <w:color w:val="auto"/>
          <w:sz w:val="32"/>
          <w:szCs w:val="32"/>
        </w:rPr>
        <w:t xml:space="preserve">             </w:t>
      </w:r>
    </w:p>
    <w:p>
      <w:pPr>
        <w:spacing w:line="480" w:lineRule="auto"/>
        <w:jc w:val="center"/>
        <w:rPr>
          <w:rFonts w:hint="eastAsia" w:ascii="宋体" w:hAnsi="宋体" w:eastAsia="宋体" w:cs="宋体"/>
          <w:color w:val="auto"/>
          <w:szCs w:val="21"/>
        </w:rPr>
      </w:pPr>
      <w:r>
        <w:rPr>
          <w:rFonts w:hint="eastAsia" w:ascii="宋体" w:hAnsi="宋体" w:eastAsia="宋体" w:cs="宋体"/>
          <w:color w:val="auto"/>
          <w:sz w:val="32"/>
          <w:szCs w:val="32"/>
        </w:rPr>
        <w:t xml:space="preserve">  年  月</w:t>
      </w:r>
    </w:p>
    <w:p>
      <w:pPr>
        <w:spacing w:line="360" w:lineRule="auto"/>
        <w:jc w:val="center"/>
        <w:rPr>
          <w:rFonts w:hint="eastAsia" w:ascii="宋体" w:hAnsi="宋体" w:eastAsia="宋体" w:cs="宋体"/>
          <w:b/>
          <w:color w:val="auto"/>
          <w:sz w:val="36"/>
          <w:szCs w:val="36"/>
        </w:rPr>
      </w:pPr>
    </w:p>
    <w:p>
      <w:pPr>
        <w:pStyle w:val="17"/>
        <w:rPr>
          <w:rFonts w:hint="eastAsia" w:ascii="宋体" w:hAnsi="宋体" w:eastAsia="宋体" w:cs="宋体"/>
          <w:color w:val="auto"/>
        </w:rPr>
      </w:pPr>
    </w:p>
    <w:p>
      <w:pPr>
        <w:pStyle w:val="17"/>
        <w:rPr>
          <w:rFonts w:hint="eastAsia" w:ascii="宋体" w:hAnsi="宋体" w:eastAsia="宋体" w:cs="宋体"/>
          <w:color w:val="auto"/>
        </w:rPr>
      </w:pPr>
    </w:p>
    <w:p>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采购人（全称）：</w:t>
      </w:r>
      <w:r>
        <w:rPr>
          <w:rFonts w:hint="eastAsia" w:ascii="宋体" w:hAnsi="宋体" w:eastAsia="宋体" w:cs="宋体"/>
          <w:b/>
          <w:color w:val="auto"/>
          <w:sz w:val="24"/>
          <w:szCs w:val="24"/>
          <w:u w:val="single"/>
        </w:rPr>
        <w:t xml:space="preserve">                                      </w:t>
      </w:r>
    </w:p>
    <w:p>
      <w:pPr>
        <w:adjustRightInd w:val="0"/>
        <w:snapToGrid w:val="0"/>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供应商（全称）：</w:t>
      </w:r>
      <w:r>
        <w:rPr>
          <w:rFonts w:hint="eastAsia" w:ascii="宋体" w:hAnsi="宋体" w:eastAsia="宋体" w:cs="宋体"/>
          <w:b/>
          <w:color w:val="auto"/>
          <w:sz w:val="24"/>
          <w:szCs w:val="24"/>
          <w:u w:val="single"/>
        </w:rPr>
        <w:t xml:space="preserve">                                   </w:t>
      </w:r>
      <w:r>
        <w:rPr>
          <w:rFonts w:hint="eastAsia" w:ascii="宋体" w:hAnsi="宋体" w:eastAsia="宋体" w:cs="宋体"/>
          <w:color w:val="auto"/>
          <w:sz w:val="24"/>
          <w:szCs w:val="24"/>
          <w:u w:val="single"/>
        </w:rPr>
        <w:t xml:space="preserve">   </w:t>
      </w:r>
    </w:p>
    <w:p>
      <w:pPr>
        <w:adjustRightInd w:val="0"/>
        <w:snapToGrid w:val="0"/>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根据《中华人民共和国民法典》及其他有关法律、法规，遵循平等、自愿、公平和诚信的原则，双方就下述项目范围与相关服务事项协商一致，订立本合同。</w:t>
      </w: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一、项目概况</w:t>
      </w:r>
    </w:p>
    <w:p>
      <w:pPr>
        <w:adjustRightInd w:val="0"/>
        <w:snapToGrid w:val="0"/>
        <w:spacing w:line="360" w:lineRule="auto"/>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1. 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adjustRightInd w:val="0"/>
        <w:snapToGrid w:val="0"/>
        <w:spacing w:line="360" w:lineRule="auto"/>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2. 项目地点：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adjustRightInd w:val="0"/>
        <w:snapToGrid w:val="0"/>
        <w:spacing w:line="360" w:lineRule="auto"/>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3. 项目</w:t>
      </w:r>
      <w:r>
        <w:rPr>
          <w:rFonts w:hint="eastAsia" w:ascii="宋体" w:hAnsi="宋体" w:eastAsia="宋体" w:cs="宋体"/>
          <w:color w:val="auto"/>
          <w:kern w:val="0"/>
          <w:sz w:val="24"/>
          <w:szCs w:val="24"/>
        </w:rPr>
        <w:t>内容</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二、组成本合同的文件</w:t>
      </w:r>
    </w:p>
    <w:p>
      <w:pPr>
        <w:adjustRightInd w:val="0"/>
        <w:snapToGrid w:val="0"/>
        <w:spacing w:line="360" w:lineRule="auto"/>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1. 协议书；</w:t>
      </w:r>
    </w:p>
    <w:p>
      <w:pPr>
        <w:adjustRightInd w:val="0"/>
        <w:snapToGrid w:val="0"/>
        <w:spacing w:line="360" w:lineRule="auto"/>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2. 成交通知书、竞争性磋商响应文件、竞争性磋商文件、澄清等；</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相关服务建议书；</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 附录，即：附表内相关服务的范围和内容；</w:t>
      </w:r>
    </w:p>
    <w:p>
      <w:pPr>
        <w:adjustRightInd w:val="0"/>
        <w:snapToGrid w:val="0"/>
        <w:spacing w:line="360" w:lineRule="auto"/>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本合同签订后，双方依法签订的补充协议也是本合同文件的组成部分。</w:t>
      </w: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三、合同价款</w:t>
      </w:r>
    </w:p>
    <w:p>
      <w:pPr>
        <w:adjustRightInd w:val="0"/>
        <w:snapToGrid w:val="0"/>
        <w:spacing w:line="360" w:lineRule="auto"/>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合同总价（大写）：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w:t>
      </w:r>
    </w:p>
    <w:p>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合同总价即成交价，合同总价一次包死，不受市场价变化的影响，合同价格为含税价，供应商（成交人）提供产品所发生的一切税（包括增值税）费等都已包含于合同价款中。</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四、结算方式：</w:t>
      </w:r>
    </w:p>
    <w:p>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（1）结算单位：由采购人以人民币负责结算，在付款前，供应商必须开具全额发票给采购人。</w:t>
      </w:r>
    </w:p>
    <w:p>
      <w:pPr>
        <w:adjustRightInd w:val="0"/>
        <w:snapToGrid w:val="0"/>
        <w:spacing w:line="360" w:lineRule="auto"/>
        <w:ind w:firstLine="475" w:firstLineChars="198"/>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none"/>
        </w:rPr>
        <w:t>（2）付款方式：</w:t>
      </w:r>
      <w:r>
        <w:rPr>
          <w:rFonts w:hint="eastAsia" w:ascii="宋体" w:hAnsi="宋体" w:eastAsia="宋体" w:cs="宋体"/>
          <w:color w:val="auto"/>
          <w:sz w:val="24"/>
          <w:szCs w:val="24"/>
          <w:highlight w:val="none"/>
          <w:u w:val="single"/>
        </w:rPr>
        <w:t xml:space="preserve"> 根据项目完成进度拨付资金，</w:t>
      </w:r>
      <w:r>
        <w:rPr>
          <w:rFonts w:hint="eastAsia" w:ascii="宋体" w:hAnsi="宋体" w:eastAsia="宋体" w:cs="宋体"/>
          <w:color w:val="auto"/>
          <w:sz w:val="24"/>
          <w:szCs w:val="24"/>
          <w:highlight w:val="none"/>
        </w:rPr>
        <w:t>合同签订后预付合同总额的30%预付金，完成项目全部建设任务，项目建设单位</w:t>
      </w:r>
      <w:r>
        <w:rPr>
          <w:rFonts w:hint="eastAsia" w:ascii="宋体" w:hAnsi="宋体" w:eastAsia="宋体" w:cs="宋体"/>
          <w:color w:val="auto"/>
          <w:sz w:val="24"/>
          <w:szCs w:val="24"/>
          <w:highlight w:val="none"/>
          <w:u w:val="single"/>
        </w:rPr>
        <w:t xml:space="preserve">验收后付剩余70%资金 </w:t>
      </w:r>
      <w:r>
        <w:rPr>
          <w:rFonts w:hint="eastAsia" w:ascii="宋体" w:hAnsi="宋体" w:eastAsia="宋体" w:cs="宋体"/>
          <w:color w:val="auto"/>
          <w:sz w:val="24"/>
          <w:szCs w:val="24"/>
          <w:highlight w:val="none"/>
        </w:rPr>
        <w:t>。</w:t>
      </w:r>
    </w:p>
    <w:p>
      <w:pPr>
        <w:adjustRightInd w:val="0"/>
        <w:snapToGrid w:val="0"/>
        <w:spacing w:line="360" w:lineRule="auto"/>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（3）支付方式：银行转账</w:t>
      </w:r>
    </w:p>
    <w:p>
      <w:pPr>
        <w:adjustRightInd w:val="0"/>
        <w:snapToGrid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五、期限</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交货期：自合同签订之日起30日历天。</w:t>
      </w:r>
    </w:p>
    <w:p>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交货地点：采购人指定交货地点</w:t>
      </w: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六、双方承诺</w:t>
      </w:r>
    </w:p>
    <w:p>
      <w:pPr>
        <w:adjustRightInd w:val="0"/>
        <w:snapToGrid w:val="0"/>
        <w:spacing w:line="360" w:lineRule="auto"/>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1. 供应商向采购人承诺，按照本合同约定提供相关服务。</w:t>
      </w:r>
    </w:p>
    <w:p>
      <w:pPr>
        <w:adjustRightInd w:val="0"/>
        <w:snapToGrid w:val="0"/>
        <w:spacing w:line="360" w:lineRule="auto"/>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2. 采购人向供应商承诺，按照本合同约定支付服务款项。</w:t>
      </w:r>
    </w:p>
    <w:p>
      <w:pPr>
        <w:tabs>
          <w:tab w:val="left" w:pos="840"/>
        </w:tabs>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七、内容及要求：</w:t>
      </w:r>
    </w:p>
    <w:p>
      <w:pPr>
        <w:tabs>
          <w:tab w:val="left" w:pos="84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即交付的产品、服务内容、数量与响应文件、磋商文件等所指明的，或者与本合同所指明的产品、服务内容相一致。（附清单）</w:t>
      </w:r>
    </w:p>
    <w:p>
      <w:pPr>
        <w:spacing w:after="120"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供货内容一览表</w:t>
      </w:r>
    </w:p>
    <w:tbl>
      <w:tblPr>
        <w:tblStyle w:val="39"/>
        <w:tblW w:w="88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6"/>
        <w:gridCol w:w="891"/>
        <w:gridCol w:w="1378"/>
        <w:gridCol w:w="1573"/>
        <w:gridCol w:w="765"/>
        <w:gridCol w:w="682"/>
        <w:gridCol w:w="974"/>
        <w:gridCol w:w="1128"/>
        <w:gridCol w:w="8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9" w:hRule="atLeast"/>
          <w:jc w:val="center"/>
        </w:trPr>
        <w:tc>
          <w:tcPr>
            <w:tcW w:w="626" w:type="dxa"/>
            <w:vAlign w:val="center"/>
          </w:tcPr>
          <w:p>
            <w:pPr>
              <w:spacing w:beforeLines="50"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891" w:type="dxa"/>
            <w:vAlign w:val="center"/>
          </w:tcPr>
          <w:p>
            <w:pPr>
              <w:spacing w:beforeLines="50"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名称</w:t>
            </w:r>
          </w:p>
        </w:tc>
        <w:tc>
          <w:tcPr>
            <w:tcW w:w="1378" w:type="dxa"/>
            <w:tcBorders>
              <w:right w:val="single" w:color="auto" w:sz="4" w:space="0"/>
            </w:tcBorders>
            <w:vAlign w:val="center"/>
          </w:tcPr>
          <w:p>
            <w:pPr>
              <w:pStyle w:val="4"/>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品牌、规格及型号</w:t>
            </w:r>
          </w:p>
        </w:tc>
        <w:tc>
          <w:tcPr>
            <w:tcW w:w="1573" w:type="dxa"/>
            <w:tcBorders>
              <w:left w:val="single" w:color="auto" w:sz="4" w:space="0"/>
            </w:tcBorders>
            <w:vAlign w:val="center"/>
          </w:tcPr>
          <w:p>
            <w:pPr>
              <w:pStyle w:val="4"/>
              <w:adjustRightInd w:val="0"/>
              <w:snapToGrid w:val="0"/>
              <w:spacing w:line="360" w:lineRule="auto"/>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原产地及制造厂名</w:t>
            </w:r>
          </w:p>
        </w:tc>
        <w:tc>
          <w:tcPr>
            <w:tcW w:w="765" w:type="dxa"/>
            <w:tcBorders>
              <w:right w:val="single" w:color="auto" w:sz="4" w:space="0"/>
            </w:tcBorders>
            <w:vAlign w:val="center"/>
          </w:tcPr>
          <w:p>
            <w:pPr>
              <w:pStyle w:val="4"/>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682" w:type="dxa"/>
            <w:tcBorders>
              <w:left w:val="single" w:color="auto" w:sz="4" w:space="0"/>
              <w:right w:val="single" w:color="auto" w:sz="4" w:space="0"/>
            </w:tcBorders>
            <w:vAlign w:val="center"/>
          </w:tcPr>
          <w:p>
            <w:pPr>
              <w:pStyle w:val="4"/>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974" w:type="dxa"/>
            <w:tcBorders>
              <w:left w:val="single" w:color="auto" w:sz="4" w:space="0"/>
            </w:tcBorders>
            <w:vAlign w:val="center"/>
          </w:tcPr>
          <w:p>
            <w:pPr>
              <w:pStyle w:val="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交付地点</w:t>
            </w:r>
          </w:p>
        </w:tc>
        <w:tc>
          <w:tcPr>
            <w:tcW w:w="1128" w:type="dxa"/>
            <w:tcBorders>
              <w:right w:val="single" w:color="auto" w:sz="4" w:space="0"/>
            </w:tcBorders>
            <w:vAlign w:val="center"/>
          </w:tcPr>
          <w:p>
            <w:pPr>
              <w:pStyle w:val="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交付时间</w:t>
            </w:r>
          </w:p>
        </w:tc>
        <w:tc>
          <w:tcPr>
            <w:tcW w:w="838" w:type="dxa"/>
            <w:tcBorders>
              <w:right w:val="single" w:color="auto" w:sz="4" w:space="0"/>
            </w:tcBorders>
            <w:vAlign w:val="center"/>
          </w:tcPr>
          <w:p>
            <w:pPr>
              <w:pStyle w:val="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atLeast"/>
          <w:jc w:val="center"/>
        </w:trPr>
        <w:tc>
          <w:tcPr>
            <w:tcW w:w="626" w:type="dxa"/>
          </w:tcPr>
          <w:p>
            <w:pPr>
              <w:spacing w:beforeLines="50" w:line="360" w:lineRule="auto"/>
              <w:jc w:val="center"/>
              <w:rPr>
                <w:rFonts w:hint="eastAsia" w:ascii="宋体" w:hAnsi="宋体" w:eastAsia="宋体" w:cs="宋体"/>
                <w:color w:val="auto"/>
                <w:sz w:val="24"/>
                <w:szCs w:val="24"/>
              </w:rPr>
            </w:pPr>
          </w:p>
        </w:tc>
        <w:tc>
          <w:tcPr>
            <w:tcW w:w="891" w:type="dxa"/>
          </w:tcPr>
          <w:p>
            <w:pPr>
              <w:spacing w:beforeLines="50" w:line="360" w:lineRule="auto"/>
              <w:jc w:val="center"/>
              <w:rPr>
                <w:rFonts w:hint="eastAsia" w:ascii="宋体" w:hAnsi="宋体" w:eastAsia="宋体" w:cs="宋体"/>
                <w:color w:val="auto"/>
                <w:sz w:val="24"/>
                <w:szCs w:val="24"/>
              </w:rPr>
            </w:pPr>
          </w:p>
        </w:tc>
        <w:tc>
          <w:tcPr>
            <w:tcW w:w="1378" w:type="dxa"/>
            <w:tcBorders>
              <w:right w:val="single" w:color="auto" w:sz="4" w:space="0"/>
            </w:tcBorders>
          </w:tcPr>
          <w:p>
            <w:pPr>
              <w:spacing w:beforeLines="50" w:line="360" w:lineRule="auto"/>
              <w:jc w:val="center"/>
              <w:rPr>
                <w:rFonts w:hint="eastAsia" w:ascii="宋体" w:hAnsi="宋体" w:eastAsia="宋体" w:cs="宋体"/>
                <w:color w:val="auto"/>
                <w:sz w:val="24"/>
                <w:szCs w:val="24"/>
              </w:rPr>
            </w:pPr>
          </w:p>
        </w:tc>
        <w:tc>
          <w:tcPr>
            <w:tcW w:w="1573" w:type="dxa"/>
            <w:tcBorders>
              <w:left w:val="single" w:color="auto" w:sz="4" w:space="0"/>
            </w:tcBorders>
          </w:tcPr>
          <w:p>
            <w:pPr>
              <w:spacing w:beforeLines="50" w:line="360" w:lineRule="auto"/>
              <w:jc w:val="center"/>
              <w:rPr>
                <w:rFonts w:hint="eastAsia" w:ascii="宋体" w:hAnsi="宋体" w:eastAsia="宋体" w:cs="宋体"/>
                <w:color w:val="auto"/>
                <w:sz w:val="24"/>
                <w:szCs w:val="24"/>
              </w:rPr>
            </w:pPr>
          </w:p>
        </w:tc>
        <w:tc>
          <w:tcPr>
            <w:tcW w:w="765" w:type="dxa"/>
            <w:tcBorders>
              <w:right w:val="single" w:color="auto" w:sz="4" w:space="0"/>
            </w:tcBorders>
          </w:tcPr>
          <w:p>
            <w:pPr>
              <w:spacing w:beforeLines="50" w:line="360" w:lineRule="auto"/>
              <w:jc w:val="center"/>
              <w:rPr>
                <w:rFonts w:hint="eastAsia" w:ascii="宋体" w:hAnsi="宋体" w:eastAsia="宋体" w:cs="宋体"/>
                <w:color w:val="auto"/>
                <w:sz w:val="24"/>
                <w:szCs w:val="24"/>
              </w:rPr>
            </w:pPr>
          </w:p>
        </w:tc>
        <w:tc>
          <w:tcPr>
            <w:tcW w:w="682" w:type="dxa"/>
            <w:tcBorders>
              <w:left w:val="single" w:color="auto" w:sz="4" w:space="0"/>
              <w:right w:val="single" w:color="auto" w:sz="4" w:space="0"/>
            </w:tcBorders>
          </w:tcPr>
          <w:p>
            <w:pPr>
              <w:spacing w:beforeLines="50" w:line="360" w:lineRule="auto"/>
              <w:jc w:val="center"/>
              <w:rPr>
                <w:rFonts w:hint="eastAsia" w:ascii="宋体" w:hAnsi="宋体" w:eastAsia="宋体" w:cs="宋体"/>
                <w:color w:val="auto"/>
                <w:sz w:val="24"/>
                <w:szCs w:val="24"/>
              </w:rPr>
            </w:pPr>
          </w:p>
        </w:tc>
        <w:tc>
          <w:tcPr>
            <w:tcW w:w="974" w:type="dxa"/>
            <w:tcBorders>
              <w:left w:val="single" w:color="auto" w:sz="4" w:space="0"/>
            </w:tcBorders>
          </w:tcPr>
          <w:p>
            <w:pPr>
              <w:spacing w:beforeLines="50" w:line="360" w:lineRule="auto"/>
              <w:jc w:val="center"/>
              <w:rPr>
                <w:rFonts w:hint="eastAsia" w:ascii="宋体" w:hAnsi="宋体" w:eastAsia="宋体" w:cs="宋体"/>
                <w:color w:val="auto"/>
                <w:sz w:val="24"/>
                <w:szCs w:val="24"/>
              </w:rPr>
            </w:pPr>
          </w:p>
        </w:tc>
        <w:tc>
          <w:tcPr>
            <w:tcW w:w="1128" w:type="dxa"/>
            <w:tcBorders>
              <w:right w:val="single" w:color="auto" w:sz="4" w:space="0"/>
            </w:tcBorders>
          </w:tcPr>
          <w:p>
            <w:pPr>
              <w:spacing w:beforeLines="50" w:line="360" w:lineRule="auto"/>
              <w:jc w:val="center"/>
              <w:rPr>
                <w:rFonts w:hint="eastAsia" w:ascii="宋体" w:hAnsi="宋体" w:eastAsia="宋体" w:cs="宋体"/>
                <w:color w:val="auto"/>
                <w:sz w:val="24"/>
                <w:szCs w:val="24"/>
              </w:rPr>
            </w:pPr>
          </w:p>
        </w:tc>
        <w:tc>
          <w:tcPr>
            <w:tcW w:w="838" w:type="dxa"/>
            <w:tcBorders>
              <w:right w:val="single" w:color="auto" w:sz="4" w:space="0"/>
            </w:tcBorders>
          </w:tcPr>
          <w:p>
            <w:pPr>
              <w:spacing w:beforeLines="50"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atLeast"/>
          <w:jc w:val="center"/>
        </w:trPr>
        <w:tc>
          <w:tcPr>
            <w:tcW w:w="626" w:type="dxa"/>
          </w:tcPr>
          <w:p>
            <w:pPr>
              <w:spacing w:beforeLines="50" w:line="360" w:lineRule="auto"/>
              <w:jc w:val="center"/>
              <w:rPr>
                <w:rFonts w:hint="eastAsia" w:ascii="宋体" w:hAnsi="宋体" w:eastAsia="宋体" w:cs="宋体"/>
                <w:color w:val="auto"/>
                <w:sz w:val="24"/>
                <w:szCs w:val="24"/>
              </w:rPr>
            </w:pPr>
          </w:p>
        </w:tc>
        <w:tc>
          <w:tcPr>
            <w:tcW w:w="891" w:type="dxa"/>
          </w:tcPr>
          <w:p>
            <w:pPr>
              <w:spacing w:beforeLines="50" w:line="360" w:lineRule="auto"/>
              <w:jc w:val="center"/>
              <w:rPr>
                <w:rFonts w:hint="eastAsia" w:ascii="宋体" w:hAnsi="宋体" w:eastAsia="宋体" w:cs="宋体"/>
                <w:color w:val="auto"/>
                <w:sz w:val="24"/>
                <w:szCs w:val="24"/>
              </w:rPr>
            </w:pPr>
          </w:p>
        </w:tc>
        <w:tc>
          <w:tcPr>
            <w:tcW w:w="1378" w:type="dxa"/>
            <w:tcBorders>
              <w:right w:val="single" w:color="auto" w:sz="4" w:space="0"/>
            </w:tcBorders>
          </w:tcPr>
          <w:p>
            <w:pPr>
              <w:spacing w:beforeLines="50" w:line="360" w:lineRule="auto"/>
              <w:jc w:val="center"/>
              <w:rPr>
                <w:rFonts w:hint="eastAsia" w:ascii="宋体" w:hAnsi="宋体" w:eastAsia="宋体" w:cs="宋体"/>
                <w:color w:val="auto"/>
                <w:sz w:val="24"/>
                <w:szCs w:val="24"/>
              </w:rPr>
            </w:pPr>
          </w:p>
        </w:tc>
        <w:tc>
          <w:tcPr>
            <w:tcW w:w="1573" w:type="dxa"/>
            <w:tcBorders>
              <w:left w:val="single" w:color="auto" w:sz="4" w:space="0"/>
            </w:tcBorders>
          </w:tcPr>
          <w:p>
            <w:pPr>
              <w:spacing w:beforeLines="50" w:line="360" w:lineRule="auto"/>
              <w:jc w:val="center"/>
              <w:rPr>
                <w:rFonts w:hint="eastAsia" w:ascii="宋体" w:hAnsi="宋体" w:eastAsia="宋体" w:cs="宋体"/>
                <w:color w:val="auto"/>
                <w:sz w:val="24"/>
                <w:szCs w:val="24"/>
              </w:rPr>
            </w:pPr>
          </w:p>
        </w:tc>
        <w:tc>
          <w:tcPr>
            <w:tcW w:w="765" w:type="dxa"/>
            <w:tcBorders>
              <w:right w:val="single" w:color="auto" w:sz="4" w:space="0"/>
            </w:tcBorders>
          </w:tcPr>
          <w:p>
            <w:pPr>
              <w:spacing w:beforeLines="50" w:line="360" w:lineRule="auto"/>
              <w:jc w:val="center"/>
              <w:rPr>
                <w:rFonts w:hint="eastAsia" w:ascii="宋体" w:hAnsi="宋体" w:eastAsia="宋体" w:cs="宋体"/>
                <w:color w:val="auto"/>
                <w:sz w:val="24"/>
                <w:szCs w:val="24"/>
              </w:rPr>
            </w:pPr>
          </w:p>
        </w:tc>
        <w:tc>
          <w:tcPr>
            <w:tcW w:w="682" w:type="dxa"/>
            <w:tcBorders>
              <w:left w:val="single" w:color="auto" w:sz="4" w:space="0"/>
              <w:right w:val="single" w:color="auto" w:sz="4" w:space="0"/>
            </w:tcBorders>
          </w:tcPr>
          <w:p>
            <w:pPr>
              <w:spacing w:beforeLines="50" w:line="360" w:lineRule="auto"/>
              <w:jc w:val="center"/>
              <w:rPr>
                <w:rFonts w:hint="eastAsia" w:ascii="宋体" w:hAnsi="宋体" w:eastAsia="宋体" w:cs="宋体"/>
                <w:color w:val="auto"/>
                <w:sz w:val="24"/>
                <w:szCs w:val="24"/>
              </w:rPr>
            </w:pPr>
          </w:p>
        </w:tc>
        <w:tc>
          <w:tcPr>
            <w:tcW w:w="974" w:type="dxa"/>
            <w:tcBorders>
              <w:left w:val="single" w:color="auto" w:sz="4" w:space="0"/>
            </w:tcBorders>
          </w:tcPr>
          <w:p>
            <w:pPr>
              <w:spacing w:beforeLines="50" w:line="360" w:lineRule="auto"/>
              <w:jc w:val="center"/>
              <w:rPr>
                <w:rFonts w:hint="eastAsia" w:ascii="宋体" w:hAnsi="宋体" w:eastAsia="宋体" w:cs="宋体"/>
                <w:color w:val="auto"/>
                <w:sz w:val="24"/>
                <w:szCs w:val="24"/>
              </w:rPr>
            </w:pPr>
          </w:p>
        </w:tc>
        <w:tc>
          <w:tcPr>
            <w:tcW w:w="1128" w:type="dxa"/>
            <w:tcBorders>
              <w:right w:val="single" w:color="auto" w:sz="4" w:space="0"/>
            </w:tcBorders>
          </w:tcPr>
          <w:p>
            <w:pPr>
              <w:spacing w:beforeLines="50" w:line="360" w:lineRule="auto"/>
              <w:jc w:val="center"/>
              <w:rPr>
                <w:rFonts w:hint="eastAsia" w:ascii="宋体" w:hAnsi="宋体" w:eastAsia="宋体" w:cs="宋体"/>
                <w:color w:val="auto"/>
                <w:sz w:val="24"/>
                <w:szCs w:val="24"/>
              </w:rPr>
            </w:pPr>
          </w:p>
        </w:tc>
        <w:tc>
          <w:tcPr>
            <w:tcW w:w="838" w:type="dxa"/>
            <w:tcBorders>
              <w:right w:val="single" w:color="auto" w:sz="4" w:space="0"/>
            </w:tcBorders>
          </w:tcPr>
          <w:p>
            <w:pPr>
              <w:spacing w:beforeLines="50"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atLeast"/>
          <w:jc w:val="center"/>
        </w:trPr>
        <w:tc>
          <w:tcPr>
            <w:tcW w:w="626" w:type="dxa"/>
          </w:tcPr>
          <w:p>
            <w:pPr>
              <w:spacing w:beforeLines="50" w:line="360" w:lineRule="auto"/>
              <w:jc w:val="center"/>
              <w:rPr>
                <w:rFonts w:hint="eastAsia" w:ascii="宋体" w:hAnsi="宋体" w:eastAsia="宋体" w:cs="宋体"/>
                <w:color w:val="auto"/>
                <w:sz w:val="24"/>
                <w:szCs w:val="24"/>
              </w:rPr>
            </w:pPr>
          </w:p>
        </w:tc>
        <w:tc>
          <w:tcPr>
            <w:tcW w:w="891" w:type="dxa"/>
          </w:tcPr>
          <w:p>
            <w:pPr>
              <w:spacing w:beforeLines="50" w:line="360" w:lineRule="auto"/>
              <w:jc w:val="center"/>
              <w:rPr>
                <w:rFonts w:hint="eastAsia" w:ascii="宋体" w:hAnsi="宋体" w:eastAsia="宋体" w:cs="宋体"/>
                <w:color w:val="auto"/>
                <w:sz w:val="24"/>
                <w:szCs w:val="24"/>
              </w:rPr>
            </w:pPr>
          </w:p>
        </w:tc>
        <w:tc>
          <w:tcPr>
            <w:tcW w:w="1378" w:type="dxa"/>
            <w:tcBorders>
              <w:right w:val="single" w:color="auto" w:sz="4" w:space="0"/>
            </w:tcBorders>
          </w:tcPr>
          <w:p>
            <w:pPr>
              <w:spacing w:beforeLines="50" w:line="360" w:lineRule="auto"/>
              <w:jc w:val="center"/>
              <w:rPr>
                <w:rFonts w:hint="eastAsia" w:ascii="宋体" w:hAnsi="宋体" w:eastAsia="宋体" w:cs="宋体"/>
                <w:color w:val="auto"/>
                <w:sz w:val="24"/>
                <w:szCs w:val="24"/>
              </w:rPr>
            </w:pPr>
          </w:p>
        </w:tc>
        <w:tc>
          <w:tcPr>
            <w:tcW w:w="1573" w:type="dxa"/>
            <w:tcBorders>
              <w:left w:val="single" w:color="auto" w:sz="4" w:space="0"/>
            </w:tcBorders>
          </w:tcPr>
          <w:p>
            <w:pPr>
              <w:spacing w:beforeLines="50" w:line="360" w:lineRule="auto"/>
              <w:jc w:val="center"/>
              <w:rPr>
                <w:rFonts w:hint="eastAsia" w:ascii="宋体" w:hAnsi="宋体" w:eastAsia="宋体" w:cs="宋体"/>
                <w:color w:val="auto"/>
                <w:sz w:val="24"/>
                <w:szCs w:val="24"/>
              </w:rPr>
            </w:pPr>
          </w:p>
        </w:tc>
        <w:tc>
          <w:tcPr>
            <w:tcW w:w="765" w:type="dxa"/>
            <w:tcBorders>
              <w:right w:val="single" w:color="auto" w:sz="4" w:space="0"/>
            </w:tcBorders>
          </w:tcPr>
          <w:p>
            <w:pPr>
              <w:spacing w:beforeLines="50" w:line="360" w:lineRule="auto"/>
              <w:jc w:val="center"/>
              <w:rPr>
                <w:rFonts w:hint="eastAsia" w:ascii="宋体" w:hAnsi="宋体" w:eastAsia="宋体" w:cs="宋体"/>
                <w:color w:val="auto"/>
                <w:sz w:val="24"/>
                <w:szCs w:val="24"/>
              </w:rPr>
            </w:pPr>
          </w:p>
        </w:tc>
        <w:tc>
          <w:tcPr>
            <w:tcW w:w="682" w:type="dxa"/>
            <w:tcBorders>
              <w:left w:val="single" w:color="auto" w:sz="4" w:space="0"/>
              <w:right w:val="single" w:color="auto" w:sz="4" w:space="0"/>
            </w:tcBorders>
          </w:tcPr>
          <w:p>
            <w:pPr>
              <w:spacing w:beforeLines="50" w:line="360" w:lineRule="auto"/>
              <w:jc w:val="center"/>
              <w:rPr>
                <w:rFonts w:hint="eastAsia" w:ascii="宋体" w:hAnsi="宋体" w:eastAsia="宋体" w:cs="宋体"/>
                <w:color w:val="auto"/>
                <w:sz w:val="24"/>
                <w:szCs w:val="24"/>
              </w:rPr>
            </w:pPr>
          </w:p>
        </w:tc>
        <w:tc>
          <w:tcPr>
            <w:tcW w:w="974" w:type="dxa"/>
            <w:tcBorders>
              <w:left w:val="single" w:color="auto" w:sz="4" w:space="0"/>
            </w:tcBorders>
          </w:tcPr>
          <w:p>
            <w:pPr>
              <w:spacing w:beforeLines="50" w:line="360" w:lineRule="auto"/>
              <w:jc w:val="center"/>
              <w:rPr>
                <w:rFonts w:hint="eastAsia" w:ascii="宋体" w:hAnsi="宋体" w:eastAsia="宋体" w:cs="宋体"/>
                <w:color w:val="auto"/>
                <w:sz w:val="24"/>
                <w:szCs w:val="24"/>
              </w:rPr>
            </w:pPr>
          </w:p>
        </w:tc>
        <w:tc>
          <w:tcPr>
            <w:tcW w:w="1128" w:type="dxa"/>
            <w:tcBorders>
              <w:right w:val="single" w:color="auto" w:sz="4" w:space="0"/>
            </w:tcBorders>
          </w:tcPr>
          <w:p>
            <w:pPr>
              <w:spacing w:beforeLines="50" w:line="360" w:lineRule="auto"/>
              <w:jc w:val="center"/>
              <w:rPr>
                <w:rFonts w:hint="eastAsia" w:ascii="宋体" w:hAnsi="宋体" w:eastAsia="宋体" w:cs="宋体"/>
                <w:color w:val="auto"/>
                <w:sz w:val="24"/>
                <w:szCs w:val="24"/>
              </w:rPr>
            </w:pPr>
          </w:p>
        </w:tc>
        <w:tc>
          <w:tcPr>
            <w:tcW w:w="838" w:type="dxa"/>
            <w:tcBorders>
              <w:right w:val="single" w:color="auto" w:sz="4" w:space="0"/>
            </w:tcBorders>
          </w:tcPr>
          <w:p>
            <w:pPr>
              <w:spacing w:beforeLines="50" w:line="360" w:lineRule="auto"/>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jc w:val="center"/>
        </w:trPr>
        <w:tc>
          <w:tcPr>
            <w:tcW w:w="626" w:type="dxa"/>
          </w:tcPr>
          <w:p>
            <w:pPr>
              <w:spacing w:beforeLines="50" w:line="360" w:lineRule="auto"/>
              <w:jc w:val="center"/>
              <w:rPr>
                <w:rFonts w:hint="eastAsia" w:ascii="宋体" w:hAnsi="宋体" w:eastAsia="宋体" w:cs="宋体"/>
                <w:color w:val="auto"/>
                <w:sz w:val="24"/>
                <w:szCs w:val="24"/>
              </w:rPr>
            </w:pPr>
          </w:p>
        </w:tc>
        <w:tc>
          <w:tcPr>
            <w:tcW w:w="891" w:type="dxa"/>
          </w:tcPr>
          <w:p>
            <w:pPr>
              <w:spacing w:beforeLines="50" w:line="360" w:lineRule="auto"/>
              <w:jc w:val="center"/>
              <w:rPr>
                <w:rFonts w:hint="eastAsia" w:ascii="宋体" w:hAnsi="宋体" w:eastAsia="宋体" w:cs="宋体"/>
                <w:color w:val="auto"/>
                <w:sz w:val="24"/>
                <w:szCs w:val="24"/>
              </w:rPr>
            </w:pPr>
          </w:p>
        </w:tc>
        <w:tc>
          <w:tcPr>
            <w:tcW w:w="1378" w:type="dxa"/>
            <w:tcBorders>
              <w:right w:val="single" w:color="auto" w:sz="4" w:space="0"/>
            </w:tcBorders>
          </w:tcPr>
          <w:p>
            <w:pPr>
              <w:spacing w:beforeLines="50" w:line="360" w:lineRule="auto"/>
              <w:jc w:val="center"/>
              <w:rPr>
                <w:rFonts w:hint="eastAsia" w:ascii="宋体" w:hAnsi="宋体" w:eastAsia="宋体" w:cs="宋体"/>
                <w:color w:val="auto"/>
                <w:sz w:val="24"/>
                <w:szCs w:val="24"/>
              </w:rPr>
            </w:pPr>
          </w:p>
        </w:tc>
        <w:tc>
          <w:tcPr>
            <w:tcW w:w="1573" w:type="dxa"/>
            <w:tcBorders>
              <w:left w:val="single" w:color="auto" w:sz="4" w:space="0"/>
            </w:tcBorders>
          </w:tcPr>
          <w:p>
            <w:pPr>
              <w:spacing w:beforeLines="50" w:line="360" w:lineRule="auto"/>
              <w:jc w:val="center"/>
              <w:rPr>
                <w:rFonts w:hint="eastAsia" w:ascii="宋体" w:hAnsi="宋体" w:eastAsia="宋体" w:cs="宋体"/>
                <w:color w:val="auto"/>
                <w:sz w:val="24"/>
                <w:szCs w:val="24"/>
              </w:rPr>
            </w:pPr>
          </w:p>
        </w:tc>
        <w:tc>
          <w:tcPr>
            <w:tcW w:w="765" w:type="dxa"/>
            <w:tcBorders>
              <w:right w:val="single" w:color="auto" w:sz="4" w:space="0"/>
            </w:tcBorders>
          </w:tcPr>
          <w:p>
            <w:pPr>
              <w:spacing w:beforeLines="50" w:line="360" w:lineRule="auto"/>
              <w:jc w:val="center"/>
              <w:rPr>
                <w:rFonts w:hint="eastAsia" w:ascii="宋体" w:hAnsi="宋体" w:eastAsia="宋体" w:cs="宋体"/>
                <w:color w:val="auto"/>
                <w:sz w:val="24"/>
                <w:szCs w:val="24"/>
              </w:rPr>
            </w:pPr>
          </w:p>
        </w:tc>
        <w:tc>
          <w:tcPr>
            <w:tcW w:w="682" w:type="dxa"/>
            <w:tcBorders>
              <w:left w:val="single" w:color="auto" w:sz="4" w:space="0"/>
              <w:right w:val="single" w:color="auto" w:sz="4" w:space="0"/>
            </w:tcBorders>
          </w:tcPr>
          <w:p>
            <w:pPr>
              <w:spacing w:beforeLines="50" w:line="360" w:lineRule="auto"/>
              <w:jc w:val="center"/>
              <w:rPr>
                <w:rFonts w:hint="eastAsia" w:ascii="宋体" w:hAnsi="宋体" w:eastAsia="宋体" w:cs="宋体"/>
                <w:color w:val="auto"/>
                <w:sz w:val="24"/>
                <w:szCs w:val="24"/>
              </w:rPr>
            </w:pPr>
          </w:p>
        </w:tc>
        <w:tc>
          <w:tcPr>
            <w:tcW w:w="974" w:type="dxa"/>
            <w:tcBorders>
              <w:left w:val="single" w:color="auto" w:sz="4" w:space="0"/>
            </w:tcBorders>
          </w:tcPr>
          <w:p>
            <w:pPr>
              <w:spacing w:beforeLines="50" w:line="360" w:lineRule="auto"/>
              <w:jc w:val="center"/>
              <w:rPr>
                <w:rFonts w:hint="eastAsia" w:ascii="宋体" w:hAnsi="宋体" w:eastAsia="宋体" w:cs="宋体"/>
                <w:color w:val="auto"/>
                <w:sz w:val="24"/>
                <w:szCs w:val="24"/>
              </w:rPr>
            </w:pPr>
          </w:p>
        </w:tc>
        <w:tc>
          <w:tcPr>
            <w:tcW w:w="1128" w:type="dxa"/>
            <w:tcBorders>
              <w:right w:val="single" w:color="auto" w:sz="4" w:space="0"/>
            </w:tcBorders>
          </w:tcPr>
          <w:p>
            <w:pPr>
              <w:spacing w:beforeLines="50" w:line="360" w:lineRule="auto"/>
              <w:jc w:val="center"/>
              <w:rPr>
                <w:rFonts w:hint="eastAsia" w:ascii="宋体" w:hAnsi="宋体" w:eastAsia="宋体" w:cs="宋体"/>
                <w:color w:val="auto"/>
                <w:sz w:val="24"/>
                <w:szCs w:val="24"/>
              </w:rPr>
            </w:pPr>
          </w:p>
        </w:tc>
        <w:tc>
          <w:tcPr>
            <w:tcW w:w="838" w:type="dxa"/>
            <w:tcBorders>
              <w:right w:val="single" w:color="auto" w:sz="4" w:space="0"/>
            </w:tcBorders>
          </w:tcPr>
          <w:p>
            <w:pPr>
              <w:spacing w:beforeLines="50" w:line="360" w:lineRule="auto"/>
              <w:jc w:val="center"/>
              <w:rPr>
                <w:rFonts w:hint="eastAsia" w:ascii="宋体" w:hAnsi="宋体" w:eastAsia="宋体" w:cs="宋体"/>
                <w:color w:val="auto"/>
                <w:sz w:val="24"/>
                <w:szCs w:val="24"/>
              </w:rPr>
            </w:pPr>
          </w:p>
        </w:tc>
      </w:tr>
    </w:tbl>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八、质量保证：</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 1、供应商提供的化肥及材料必须保证质量可靠，规格及技术特征应全面满足磋商文件的要求磋商文件未明确要求的内容，采购人须按化肥标准或以采购人的补充要求为准。所供化肥质量标准符合国标生物有机肥NY-2012标准，如发生质量问题由供应商承担全部责任。</w:t>
      </w:r>
    </w:p>
    <w:p>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2、供应商应当保证所供货物的来源渠道正常，待化肥到甲方指定的现场查验化肥质量、数量，确保化肥来源清楚，且完全符合合同规定的质量、规格、技术指标等要求，接受并承诺对化肥的缺陷而产生的质量问题负责。</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3、供应商承诺：如果发现化肥的质量、规格、技术指标等存在与合同中任何一项不符，采购人应在最短时间内，以书面形式向供应商提出索赔。</w:t>
      </w:r>
    </w:p>
    <w:p>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九、验收:</w:t>
      </w:r>
      <w:r>
        <w:rPr>
          <w:rFonts w:hint="eastAsia" w:ascii="宋体" w:hAnsi="宋体" w:eastAsia="宋体" w:cs="宋体"/>
          <w:color w:val="auto"/>
          <w:sz w:val="24"/>
          <w:szCs w:val="24"/>
        </w:rPr>
        <w:t xml:space="preserve">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由采购人和供应商共同对项目整体进行验收。其内容包括确认产品的产地、规格、和数量，对货物质量是否达到“国标生物有机肥NY-2012标准”进行逐项检查等。</w:t>
      </w: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十、保密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双方须对工作中了解到的使用单位技术、机密等进行严格保密，不得向他人泄漏。</w:t>
      </w: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十一、知识产权</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保证产品及服务不会出现因第三方提出侵犯其专利权、商标权或其它知识产权而引发法律或经济纠纷，否则由供应商承担全部责任。任何被供应商用于未经授权的商业目的行为所造成的违约或侵权责任由供应商承但。</w:t>
      </w:r>
    </w:p>
    <w:p>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十二、合同争议的解决：</w:t>
      </w:r>
      <w:r>
        <w:rPr>
          <w:rFonts w:hint="eastAsia" w:ascii="宋体" w:hAnsi="宋体" w:eastAsia="宋体" w:cs="宋体"/>
          <w:color w:val="auto"/>
          <w:sz w:val="24"/>
          <w:szCs w:val="24"/>
        </w:rPr>
        <w:t>合同执行中发生争议的，当事人双方应协商解决，协商达不成一致时，可向当地行政仲裁机关申请仲裁或者向人民法院提请诉讼。</w:t>
      </w:r>
    </w:p>
    <w:p>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十三、</w:t>
      </w:r>
      <w:r>
        <w:rPr>
          <w:rFonts w:hint="eastAsia" w:ascii="宋体" w:hAnsi="宋体" w:eastAsia="宋体" w:cs="宋体"/>
          <w:color w:val="auto"/>
          <w:sz w:val="24"/>
          <w:szCs w:val="24"/>
        </w:rPr>
        <w:t>在发生不可抗力情况下的应对措施和解决办法。</w:t>
      </w:r>
    </w:p>
    <w:p>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十四、</w:t>
      </w:r>
      <w:r>
        <w:rPr>
          <w:rFonts w:hint="eastAsia" w:ascii="宋体" w:hAnsi="宋体" w:eastAsia="宋体" w:cs="宋体"/>
          <w:color w:val="auto"/>
          <w:sz w:val="24"/>
          <w:szCs w:val="24"/>
        </w:rPr>
        <w:t>合同一经签订，不得擅自变更、中止或者终止合同。对确需变更、调整或者中止、终止合同的，应按规定履行相应的手续。</w:t>
      </w: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十五、违约责任：</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1．按《中华人民共和国民法典》中的相关条款执行。</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2.未按合同或招标文件要求提供产品或产品质量不能满足采购人的技术要求，采购单位有权终止合同，甚至对卖方违约行为进行追究。</w:t>
      </w: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十六、合同订立</w:t>
      </w:r>
    </w:p>
    <w:p>
      <w:pPr>
        <w:adjustRightInd w:val="0"/>
        <w:snapToGrid w:val="0"/>
        <w:spacing w:line="360" w:lineRule="auto"/>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1. 订立时间：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adjustRightInd w:val="0"/>
        <w:snapToGrid w:val="0"/>
        <w:spacing w:line="360" w:lineRule="auto"/>
        <w:ind w:firstLine="475" w:firstLineChars="198"/>
        <w:rPr>
          <w:rFonts w:hint="eastAsia" w:ascii="宋体" w:hAnsi="宋体" w:eastAsia="宋体" w:cs="宋体"/>
          <w:color w:val="auto"/>
          <w:sz w:val="24"/>
          <w:szCs w:val="24"/>
        </w:rPr>
      </w:pPr>
      <w:r>
        <w:rPr>
          <w:rFonts w:hint="eastAsia" w:ascii="宋体" w:hAnsi="宋体" w:eastAsia="宋体" w:cs="宋体"/>
          <w:color w:val="auto"/>
          <w:sz w:val="24"/>
          <w:szCs w:val="24"/>
        </w:rPr>
        <w:t>2. 订立地点：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tabs>
          <w:tab w:val="left" w:pos="980"/>
        </w:tabs>
        <w:kinsoku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本合同一式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份，具有同等法律效力，双方各执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份，各方签字盖章后生效，合同执行完毕自动失效。。</w:t>
      </w:r>
    </w:p>
    <w:p>
      <w:pPr>
        <w:tabs>
          <w:tab w:val="left" w:pos="980"/>
        </w:tabs>
        <w:kinsoku w:val="0"/>
        <w:spacing w:line="580" w:lineRule="exact"/>
        <w:ind w:firstLine="480" w:firstLineChars="200"/>
        <w:rPr>
          <w:rFonts w:hint="eastAsia" w:ascii="宋体" w:hAnsi="宋体" w:eastAsia="宋体" w:cs="宋体"/>
          <w:color w:val="auto"/>
          <w:sz w:val="24"/>
        </w:rPr>
      </w:pPr>
    </w:p>
    <w:p>
      <w:pPr>
        <w:adjustRightInd w:val="0"/>
        <w:snapToGrid w:val="0"/>
        <w:spacing w:line="360" w:lineRule="auto"/>
        <w:ind w:firstLine="475" w:firstLineChars="198"/>
        <w:rPr>
          <w:rFonts w:hint="eastAsia" w:ascii="宋体" w:hAnsi="宋体" w:eastAsia="宋体" w:cs="宋体"/>
          <w:color w:val="auto"/>
          <w:sz w:val="24"/>
        </w:rPr>
      </w:pPr>
      <w:r>
        <w:rPr>
          <w:rFonts w:hint="eastAsia" w:ascii="宋体" w:hAnsi="宋体" w:eastAsia="宋体" w:cs="宋体"/>
          <w:color w:val="auto"/>
          <w:sz w:val="24"/>
        </w:rPr>
        <w:t>采购人：</w:t>
      </w:r>
      <w:bookmarkStart w:id="170" w:name="OLE_LINK5"/>
      <w:r>
        <w:rPr>
          <w:rFonts w:hint="eastAsia" w:ascii="宋体" w:hAnsi="宋体" w:eastAsia="宋体" w:cs="宋体"/>
          <w:color w:val="auto"/>
          <w:sz w:val="24"/>
          <w:u w:val="single"/>
        </w:rPr>
        <w:t xml:space="preserve">   （盖章）         </w:t>
      </w:r>
      <w:r>
        <w:rPr>
          <w:rFonts w:hint="eastAsia" w:ascii="宋体" w:hAnsi="宋体" w:eastAsia="宋体" w:cs="宋体"/>
          <w:color w:val="auto"/>
          <w:sz w:val="24"/>
        </w:rPr>
        <w:t xml:space="preserve"> </w:t>
      </w:r>
      <w:bookmarkEnd w:id="170"/>
      <w:r>
        <w:rPr>
          <w:rFonts w:hint="eastAsia" w:ascii="宋体" w:hAnsi="宋体" w:eastAsia="宋体" w:cs="宋体"/>
          <w:color w:val="auto"/>
          <w:sz w:val="24"/>
        </w:rPr>
        <w:t xml:space="preserve">     供应商：</w:t>
      </w:r>
      <w:r>
        <w:rPr>
          <w:rFonts w:hint="eastAsia" w:ascii="宋体" w:hAnsi="宋体" w:eastAsia="宋体" w:cs="宋体"/>
          <w:color w:val="auto"/>
          <w:sz w:val="24"/>
          <w:u w:val="single"/>
        </w:rPr>
        <w:t xml:space="preserve">   （盖章）         </w:t>
      </w:r>
      <w:r>
        <w:rPr>
          <w:rFonts w:hint="eastAsia" w:ascii="宋体" w:hAnsi="宋体" w:eastAsia="宋体" w:cs="宋体"/>
          <w:color w:val="auto"/>
          <w:sz w:val="24"/>
        </w:rPr>
        <w:t xml:space="preserve"> </w:t>
      </w:r>
    </w:p>
    <w:p>
      <w:pPr>
        <w:adjustRightInd w:val="0"/>
        <w:snapToGrid w:val="0"/>
        <w:spacing w:line="360" w:lineRule="auto"/>
        <w:ind w:firstLine="475" w:firstLineChars="198"/>
        <w:rPr>
          <w:rFonts w:hint="eastAsia" w:ascii="宋体" w:hAnsi="宋体" w:eastAsia="宋体" w:cs="宋体"/>
          <w:color w:val="auto"/>
          <w:sz w:val="24"/>
        </w:rPr>
      </w:pPr>
      <w:r>
        <w:rPr>
          <w:rFonts w:hint="eastAsia" w:ascii="宋体" w:hAnsi="宋体" w:eastAsia="宋体" w:cs="宋体"/>
          <w:color w:val="auto"/>
          <w:sz w:val="24"/>
        </w:rPr>
        <w:t xml:space="preserve">地  址：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地  址： </w:t>
      </w:r>
      <w:r>
        <w:rPr>
          <w:rFonts w:hint="eastAsia" w:ascii="宋体" w:hAnsi="宋体" w:eastAsia="宋体" w:cs="宋体"/>
          <w:color w:val="auto"/>
          <w:sz w:val="24"/>
          <w:u w:val="single"/>
        </w:rPr>
        <w:t xml:space="preserve">                   </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邮政编码：</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邮政编码：</w:t>
      </w:r>
      <w:r>
        <w:rPr>
          <w:rFonts w:hint="eastAsia" w:ascii="宋体" w:hAnsi="宋体" w:eastAsia="宋体" w:cs="宋体"/>
          <w:color w:val="auto"/>
          <w:sz w:val="24"/>
          <w:u w:val="single"/>
        </w:rPr>
        <w:t xml:space="preserve">                  </w:t>
      </w:r>
    </w:p>
    <w:p>
      <w:pPr>
        <w:adjustRightInd w:val="0"/>
        <w:snapToGrid w:val="0"/>
        <w:spacing w:line="360" w:lineRule="auto"/>
        <w:ind w:firstLine="475" w:firstLineChars="198"/>
        <w:rPr>
          <w:rFonts w:hint="eastAsia" w:ascii="宋体" w:hAnsi="宋体" w:eastAsia="宋体" w:cs="宋体"/>
          <w:color w:val="auto"/>
          <w:sz w:val="24"/>
        </w:rPr>
      </w:pPr>
      <w:r>
        <w:rPr>
          <w:rFonts w:hint="eastAsia" w:ascii="宋体" w:hAnsi="宋体" w:eastAsia="宋体" w:cs="宋体"/>
          <w:color w:val="auto"/>
          <w:sz w:val="24"/>
        </w:rPr>
        <w:t>法定代表人或其授权                法定代表人或其授权</w:t>
      </w:r>
    </w:p>
    <w:p>
      <w:pPr>
        <w:adjustRightInd w:val="0"/>
        <w:snapToGrid w:val="0"/>
        <w:spacing w:line="360" w:lineRule="auto"/>
        <w:ind w:firstLine="475" w:firstLineChars="198"/>
        <w:rPr>
          <w:rFonts w:hint="eastAsia" w:ascii="宋体" w:hAnsi="宋体" w:eastAsia="宋体" w:cs="宋体"/>
          <w:color w:val="auto"/>
          <w:sz w:val="24"/>
        </w:rPr>
      </w:pPr>
      <w:r>
        <w:rPr>
          <w:rFonts w:hint="eastAsia" w:ascii="宋体" w:hAnsi="宋体" w:eastAsia="宋体" w:cs="宋体"/>
          <w:color w:val="auto"/>
          <w:sz w:val="24"/>
        </w:rPr>
        <w:t>的代理人：</w:t>
      </w:r>
      <w:r>
        <w:rPr>
          <w:rFonts w:hint="eastAsia" w:ascii="宋体" w:hAnsi="宋体" w:eastAsia="宋体" w:cs="宋体"/>
          <w:color w:val="auto"/>
          <w:sz w:val="24"/>
          <w:u w:val="single"/>
        </w:rPr>
        <w:t xml:space="preserve">（签字）          </w:t>
      </w:r>
      <w:r>
        <w:rPr>
          <w:rFonts w:hint="eastAsia" w:ascii="宋体" w:hAnsi="宋体" w:eastAsia="宋体" w:cs="宋体"/>
          <w:color w:val="auto"/>
          <w:sz w:val="24"/>
        </w:rPr>
        <w:t xml:space="preserve">      的代理人：</w:t>
      </w:r>
      <w:r>
        <w:rPr>
          <w:rFonts w:hint="eastAsia" w:ascii="宋体" w:hAnsi="宋体" w:eastAsia="宋体" w:cs="宋体"/>
          <w:color w:val="auto"/>
          <w:sz w:val="24"/>
          <w:u w:val="single"/>
        </w:rPr>
        <w:t xml:space="preserve">（签字）          </w:t>
      </w:r>
    </w:p>
    <w:p>
      <w:pPr>
        <w:adjustRightInd w:val="0"/>
        <w:snapToGrid w:val="0"/>
        <w:spacing w:line="360" w:lineRule="auto"/>
        <w:ind w:firstLine="475" w:firstLineChars="198"/>
        <w:rPr>
          <w:rFonts w:hint="eastAsia" w:ascii="宋体" w:hAnsi="宋体" w:eastAsia="宋体" w:cs="宋体"/>
          <w:color w:val="auto"/>
          <w:sz w:val="24"/>
        </w:rPr>
      </w:pPr>
      <w:r>
        <w:rPr>
          <w:rFonts w:hint="eastAsia" w:ascii="宋体" w:hAnsi="宋体" w:eastAsia="宋体" w:cs="宋体"/>
          <w:color w:val="auto"/>
          <w:sz w:val="24"/>
        </w:rPr>
        <w:t>开户银行：</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开户银行：</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adjustRightInd w:val="0"/>
        <w:snapToGrid w:val="0"/>
        <w:spacing w:line="360" w:lineRule="auto"/>
        <w:ind w:firstLine="475" w:firstLineChars="198"/>
        <w:rPr>
          <w:rFonts w:hint="eastAsia" w:ascii="宋体" w:hAnsi="宋体" w:eastAsia="宋体" w:cs="宋体"/>
          <w:color w:val="auto"/>
          <w:sz w:val="24"/>
        </w:rPr>
      </w:pPr>
      <w:r>
        <w:rPr>
          <w:rFonts w:hint="eastAsia" w:ascii="宋体" w:hAnsi="宋体" w:eastAsia="宋体" w:cs="宋体"/>
          <w:color w:val="auto"/>
          <w:sz w:val="24"/>
        </w:rPr>
        <w:t>账  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账  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adjustRightInd w:val="0"/>
        <w:snapToGrid w:val="0"/>
        <w:spacing w:line="360" w:lineRule="auto"/>
        <w:ind w:firstLine="475" w:firstLineChars="198"/>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电  话：</w:t>
      </w:r>
      <w:r>
        <w:rPr>
          <w:rFonts w:hint="eastAsia" w:ascii="宋体" w:hAnsi="宋体" w:eastAsia="宋体" w:cs="宋体"/>
          <w:color w:val="auto"/>
          <w:sz w:val="24"/>
          <w:u w:val="single"/>
        </w:rPr>
        <w:t xml:space="preserve">                    </w:t>
      </w:r>
    </w:p>
    <w:p>
      <w:pPr>
        <w:adjustRightInd w:val="0"/>
        <w:snapToGrid w:val="0"/>
        <w:spacing w:line="360" w:lineRule="auto"/>
        <w:ind w:firstLine="475" w:firstLineChars="198"/>
        <w:rPr>
          <w:rFonts w:hint="eastAsia" w:ascii="宋体" w:hAnsi="宋体" w:eastAsia="宋体" w:cs="宋体"/>
          <w:color w:val="auto"/>
          <w:sz w:val="24"/>
        </w:rPr>
      </w:pPr>
      <w:r>
        <w:rPr>
          <w:rFonts w:hint="eastAsia" w:ascii="宋体" w:hAnsi="宋体" w:eastAsia="宋体" w:cs="宋体"/>
          <w:color w:val="auto"/>
          <w:sz w:val="24"/>
        </w:rPr>
        <w:t>传  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传  真：</w:t>
      </w:r>
      <w:r>
        <w:rPr>
          <w:rFonts w:hint="eastAsia" w:ascii="宋体" w:hAnsi="宋体" w:eastAsia="宋体" w:cs="宋体"/>
          <w:color w:val="auto"/>
          <w:sz w:val="24"/>
          <w:u w:val="single"/>
        </w:rPr>
        <w:t xml:space="preserve">                    </w:t>
      </w:r>
    </w:p>
    <w:p>
      <w:pPr>
        <w:adjustRightInd w:val="0"/>
        <w:snapToGrid w:val="0"/>
        <w:spacing w:line="360" w:lineRule="auto"/>
        <w:ind w:firstLine="475" w:firstLineChars="198"/>
        <w:rPr>
          <w:rFonts w:hint="eastAsia" w:ascii="宋体" w:hAnsi="宋体" w:eastAsia="宋体" w:cs="宋体"/>
          <w:b/>
          <w:color w:val="auto"/>
          <w:sz w:val="44"/>
          <w:szCs w:val="44"/>
        </w:rPr>
      </w:pPr>
      <w:r>
        <w:rPr>
          <w:rFonts w:hint="eastAsia" w:ascii="宋体" w:hAnsi="宋体" w:eastAsia="宋体" w:cs="宋体"/>
          <w:color w:val="auto"/>
          <w:sz w:val="24"/>
        </w:rPr>
        <w:t>电子邮箱：</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电子邮箱：</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pStyle w:val="3"/>
        <w:spacing w:line="360" w:lineRule="auto"/>
        <w:rPr>
          <w:rFonts w:hint="eastAsia" w:ascii="宋体" w:hAnsi="宋体" w:eastAsia="宋体" w:cs="宋体"/>
          <w:color w:val="auto"/>
          <w:sz w:val="36"/>
          <w:szCs w:val="36"/>
        </w:rPr>
      </w:pPr>
      <w:r>
        <w:rPr>
          <w:rFonts w:hint="eastAsia" w:ascii="宋体" w:hAnsi="宋体" w:eastAsia="宋体" w:cs="宋体"/>
          <w:color w:val="auto"/>
          <w:sz w:val="24"/>
          <w:szCs w:val="24"/>
        </w:rPr>
        <w:br w:type="page"/>
      </w:r>
      <w:r>
        <w:rPr>
          <w:rFonts w:hint="eastAsia" w:ascii="宋体" w:hAnsi="宋体" w:eastAsia="宋体" w:cs="宋体"/>
          <w:color w:val="auto"/>
          <w:sz w:val="24"/>
        </w:rPr>
        <w:t xml:space="preserve">        </w:t>
      </w:r>
      <w:r>
        <w:rPr>
          <w:rFonts w:hint="eastAsia" w:ascii="宋体" w:hAnsi="宋体" w:eastAsia="宋体" w:cs="宋体"/>
          <w:color w:val="auto"/>
          <w:sz w:val="36"/>
          <w:szCs w:val="36"/>
        </w:rPr>
        <w:t xml:space="preserve">  </w:t>
      </w:r>
      <w:r>
        <w:rPr>
          <w:rFonts w:hint="eastAsia" w:ascii="宋体" w:hAnsi="宋体" w:eastAsia="宋体" w:cs="宋体"/>
          <w:b w:val="0"/>
          <w:color w:val="auto"/>
          <w:kern w:val="2"/>
          <w:sz w:val="36"/>
          <w:szCs w:val="36"/>
        </w:rPr>
        <w:t xml:space="preserve">  </w:t>
      </w:r>
      <w:bookmarkStart w:id="171" w:name="_Toc9613"/>
      <w:r>
        <w:rPr>
          <w:rFonts w:hint="eastAsia" w:ascii="宋体" w:hAnsi="宋体" w:eastAsia="宋体" w:cs="宋体"/>
          <w:color w:val="auto"/>
          <w:sz w:val="36"/>
          <w:szCs w:val="36"/>
        </w:rPr>
        <w:t>第六部分  磋商响应文件格式</w:t>
      </w:r>
      <w:bookmarkEnd w:id="159"/>
      <w:bookmarkEnd w:id="171"/>
    </w:p>
    <w:bookmarkEnd w:id="160"/>
    <w:bookmarkEnd w:id="161"/>
    <w:bookmarkEnd w:id="162"/>
    <w:bookmarkEnd w:id="163"/>
    <w:bookmarkEnd w:id="164"/>
    <w:bookmarkEnd w:id="165"/>
    <w:bookmarkEnd w:id="166"/>
    <w:p>
      <w:pPr>
        <w:jc w:val="center"/>
        <w:rPr>
          <w:rFonts w:hint="eastAsia" w:ascii="宋体" w:hAnsi="宋体" w:eastAsia="宋体" w:cs="宋体"/>
          <w:b/>
          <w:color w:val="auto"/>
          <w:sz w:val="36"/>
          <w:szCs w:val="36"/>
        </w:rPr>
      </w:pPr>
      <w:bookmarkStart w:id="172" w:name="_Toc30434"/>
      <w:bookmarkStart w:id="173" w:name="_Toc246928961"/>
      <w:bookmarkStart w:id="174" w:name="_Toc128557264"/>
      <w:bookmarkStart w:id="175" w:name="_Toc246928962"/>
      <w:bookmarkStart w:id="176" w:name="_Toc497712137"/>
      <w:bookmarkStart w:id="177" w:name="_Toc385992404"/>
      <w:bookmarkStart w:id="178" w:name="_Toc497546922"/>
      <w:bookmarkStart w:id="179" w:name="_Toc492955463"/>
      <w:bookmarkStart w:id="180" w:name="_Toc497551824"/>
      <w:bookmarkStart w:id="181" w:name="_Toc389620244"/>
      <w:bookmarkStart w:id="182" w:name="_Toc497711589"/>
      <w:r>
        <w:rPr>
          <w:rFonts w:hint="eastAsia" w:ascii="宋体" w:hAnsi="宋体" w:eastAsia="宋体" w:cs="宋体"/>
          <w:b/>
          <w:color w:val="auto"/>
          <w:sz w:val="36"/>
          <w:szCs w:val="36"/>
        </w:rPr>
        <w:t>（封面</w:t>
      </w:r>
      <w:bookmarkEnd w:id="172"/>
      <w:r>
        <w:rPr>
          <w:rFonts w:hint="eastAsia" w:ascii="宋体" w:hAnsi="宋体" w:eastAsia="宋体" w:cs="宋体"/>
          <w:b/>
          <w:color w:val="auto"/>
          <w:sz w:val="36"/>
          <w:szCs w:val="36"/>
        </w:rPr>
        <w:t>）</w:t>
      </w:r>
    </w:p>
    <w:p>
      <w:pPr>
        <w:jc w:val="right"/>
        <w:rPr>
          <w:rFonts w:hint="eastAsia" w:ascii="宋体" w:hAnsi="宋体" w:eastAsia="宋体" w:cs="宋体"/>
          <w:b/>
          <w:color w:val="auto"/>
          <w:sz w:val="44"/>
          <w:szCs w:val="44"/>
        </w:rPr>
      </w:pPr>
      <w:r>
        <w:rPr>
          <w:rFonts w:hint="eastAsia" w:ascii="宋体" w:hAnsi="宋体" w:eastAsia="宋体" w:cs="宋体"/>
          <w:b/>
          <w:color w:val="auto"/>
          <w:sz w:val="44"/>
          <w:szCs w:val="44"/>
        </w:rPr>
        <w:t xml:space="preserve">       </w:t>
      </w:r>
      <w:r>
        <w:rPr>
          <w:rFonts w:hint="eastAsia" w:ascii="宋体" w:hAnsi="宋体" w:eastAsia="宋体" w:cs="宋体"/>
          <w:b/>
          <w:color w:val="auto"/>
          <w:kern w:val="0"/>
          <w:sz w:val="36"/>
          <w:szCs w:val="36"/>
          <w:bdr w:val="single" w:color="auto" w:sz="4" w:space="0"/>
        </w:rPr>
        <w:t>正/副本</w:t>
      </w:r>
    </w:p>
    <w:p>
      <w:pPr>
        <w:rPr>
          <w:rFonts w:hint="eastAsia" w:ascii="宋体" w:hAnsi="宋体" w:eastAsia="宋体" w:cs="宋体"/>
          <w:b/>
          <w:color w:val="auto"/>
          <w:sz w:val="44"/>
          <w:szCs w:val="44"/>
        </w:rPr>
      </w:pPr>
    </w:p>
    <w:p>
      <w:pPr>
        <w:spacing w:line="360" w:lineRule="auto"/>
        <w:jc w:val="center"/>
        <w:rPr>
          <w:rFonts w:hint="eastAsia" w:ascii="宋体" w:hAnsi="宋体" w:eastAsia="宋体" w:cs="宋体"/>
          <w:b/>
          <w:bCs/>
          <w:color w:val="auto"/>
          <w:sz w:val="48"/>
          <w:szCs w:val="48"/>
        </w:rPr>
      </w:pPr>
      <w:r>
        <w:rPr>
          <w:rFonts w:hint="eastAsia" w:ascii="宋体" w:hAnsi="宋体" w:eastAsia="宋体" w:cs="宋体"/>
          <w:b/>
          <w:bCs/>
          <w:color w:val="auto"/>
          <w:sz w:val="48"/>
          <w:szCs w:val="48"/>
        </w:rPr>
        <w:t>镇安县2021年度高标准农田建设地力培肥项目</w:t>
      </w:r>
    </w:p>
    <w:p>
      <w:pPr>
        <w:spacing w:line="360" w:lineRule="auto"/>
        <w:jc w:val="center"/>
        <w:rPr>
          <w:rFonts w:hint="eastAsia" w:ascii="宋体" w:hAnsi="宋体" w:eastAsia="宋体" w:cs="宋体"/>
          <w:b/>
          <w:bCs/>
          <w:color w:val="auto"/>
          <w:sz w:val="48"/>
          <w:szCs w:val="48"/>
        </w:rPr>
      </w:pPr>
    </w:p>
    <w:p>
      <w:pPr>
        <w:spacing w:line="360" w:lineRule="auto"/>
        <w:jc w:val="center"/>
        <w:rPr>
          <w:rFonts w:hint="eastAsia" w:ascii="宋体" w:hAnsi="宋体" w:eastAsia="宋体" w:cs="宋体"/>
          <w:b/>
          <w:bCs/>
          <w:color w:val="auto"/>
          <w:sz w:val="48"/>
          <w:szCs w:val="48"/>
        </w:rPr>
      </w:pPr>
    </w:p>
    <w:p>
      <w:pPr>
        <w:spacing w:line="360" w:lineRule="auto"/>
        <w:jc w:val="center"/>
        <w:rPr>
          <w:rFonts w:hint="eastAsia" w:ascii="宋体" w:hAnsi="宋体" w:eastAsia="宋体" w:cs="宋体"/>
          <w:b/>
          <w:color w:val="auto"/>
          <w:sz w:val="84"/>
          <w:szCs w:val="52"/>
        </w:rPr>
      </w:pPr>
      <w:r>
        <w:rPr>
          <w:rFonts w:hint="eastAsia" w:ascii="宋体" w:hAnsi="宋体" w:eastAsia="宋体" w:cs="宋体"/>
          <w:b/>
          <w:color w:val="auto"/>
          <w:sz w:val="84"/>
          <w:szCs w:val="52"/>
        </w:rPr>
        <w:t xml:space="preserve">磋商响应文件 </w:t>
      </w:r>
    </w:p>
    <w:p>
      <w:pPr>
        <w:rPr>
          <w:rFonts w:hint="eastAsia" w:ascii="宋体" w:hAnsi="宋体" w:eastAsia="宋体" w:cs="宋体"/>
          <w:b/>
          <w:color w:val="auto"/>
          <w:sz w:val="32"/>
        </w:rPr>
      </w:pPr>
    </w:p>
    <w:p>
      <w:pPr>
        <w:spacing w:line="360" w:lineRule="auto"/>
        <w:jc w:val="center"/>
        <w:rPr>
          <w:rFonts w:hint="eastAsia" w:ascii="宋体" w:hAnsi="宋体" w:eastAsia="宋体" w:cs="宋体"/>
          <w:b/>
          <w:color w:val="auto"/>
          <w:sz w:val="32"/>
        </w:rPr>
      </w:pPr>
      <w:r>
        <w:rPr>
          <w:rFonts w:hint="eastAsia" w:ascii="宋体" w:hAnsi="宋体" w:eastAsia="宋体" w:cs="宋体"/>
          <w:b/>
          <w:color w:val="auto"/>
          <w:sz w:val="32"/>
        </w:rPr>
        <w:t>采购项目编号：</w:t>
      </w:r>
    </w:p>
    <w:p>
      <w:pPr>
        <w:spacing w:line="360" w:lineRule="auto"/>
        <w:jc w:val="center"/>
        <w:rPr>
          <w:rFonts w:hint="eastAsia" w:ascii="宋体" w:hAnsi="宋体" w:eastAsia="宋体" w:cs="宋体"/>
          <w:b/>
          <w:color w:val="auto"/>
          <w:sz w:val="36"/>
          <w:szCs w:val="36"/>
        </w:rPr>
      </w:pPr>
    </w:p>
    <w:p>
      <w:pPr>
        <w:spacing w:line="360" w:lineRule="auto"/>
        <w:jc w:val="center"/>
        <w:rPr>
          <w:rFonts w:hint="eastAsia" w:ascii="宋体" w:hAnsi="宋体" w:eastAsia="宋体" w:cs="宋体"/>
          <w:b/>
          <w:color w:val="auto"/>
          <w:sz w:val="32"/>
          <w:szCs w:val="32"/>
        </w:rPr>
      </w:pPr>
      <w:r>
        <w:rPr>
          <w:rFonts w:hint="eastAsia" w:ascii="宋体" w:hAnsi="宋体" w:eastAsia="宋体" w:cs="宋体"/>
          <w:b/>
          <w:bCs/>
          <w:color w:val="auto"/>
          <w:sz w:val="32"/>
          <w:szCs w:val="32"/>
        </w:rPr>
        <w:t xml:space="preserve"> </w:t>
      </w:r>
    </w:p>
    <w:p>
      <w:pPr>
        <w:rPr>
          <w:rFonts w:hint="eastAsia" w:ascii="宋体" w:hAnsi="宋体" w:eastAsia="宋体" w:cs="宋体"/>
          <w:b/>
          <w:color w:val="auto"/>
          <w:sz w:val="32"/>
        </w:rPr>
      </w:pPr>
    </w:p>
    <w:p>
      <w:pPr>
        <w:spacing w:line="360" w:lineRule="auto"/>
        <w:ind w:firstLine="1265" w:firstLineChars="450"/>
        <w:rPr>
          <w:rFonts w:hint="eastAsia" w:ascii="宋体" w:hAnsi="宋体" w:eastAsia="宋体" w:cs="宋体"/>
          <w:b/>
          <w:color w:val="auto"/>
          <w:sz w:val="28"/>
          <w:u w:val="single"/>
        </w:rPr>
      </w:pPr>
      <w:r>
        <w:rPr>
          <w:rFonts w:hint="eastAsia" w:ascii="宋体" w:hAnsi="宋体" w:eastAsia="宋体" w:cs="宋体"/>
          <w:b/>
          <w:color w:val="auto"/>
          <w:sz w:val="28"/>
        </w:rPr>
        <w:t xml:space="preserve"> 供应商名称：</w:t>
      </w:r>
      <w:r>
        <w:rPr>
          <w:rFonts w:hint="eastAsia" w:ascii="宋体" w:hAnsi="宋体" w:eastAsia="宋体" w:cs="宋体"/>
          <w:b/>
          <w:color w:val="auto"/>
          <w:sz w:val="28"/>
          <w:u w:val="single"/>
        </w:rPr>
        <w:t xml:space="preserve"> </w:t>
      </w:r>
      <w:r>
        <w:rPr>
          <w:rFonts w:hint="eastAsia" w:ascii="宋体" w:hAnsi="宋体" w:eastAsia="宋体" w:cs="宋体"/>
          <w:b/>
          <w:color w:val="auto"/>
          <w:spacing w:val="4"/>
          <w:sz w:val="32"/>
          <w:szCs w:val="32"/>
          <w:u w:val="single"/>
        </w:rPr>
        <w:t xml:space="preserve">                    </w:t>
      </w:r>
      <w:r>
        <w:rPr>
          <w:rFonts w:hint="eastAsia" w:ascii="宋体" w:hAnsi="宋体" w:eastAsia="宋体" w:cs="宋体"/>
          <w:b/>
          <w:color w:val="auto"/>
          <w:sz w:val="28"/>
          <w:szCs w:val="22"/>
        </w:rPr>
        <w:t>（盖公章）</w:t>
      </w:r>
    </w:p>
    <w:p>
      <w:pPr>
        <w:spacing w:line="360" w:lineRule="auto"/>
        <w:ind w:firstLine="1265" w:firstLineChars="450"/>
        <w:rPr>
          <w:rFonts w:hint="eastAsia" w:ascii="宋体" w:hAnsi="宋体" w:eastAsia="宋体" w:cs="宋体"/>
          <w:b/>
          <w:color w:val="auto"/>
          <w:sz w:val="28"/>
          <w:szCs w:val="22"/>
        </w:rPr>
      </w:pPr>
    </w:p>
    <w:p>
      <w:pPr>
        <w:spacing w:line="360" w:lineRule="auto"/>
        <w:rPr>
          <w:rFonts w:hint="eastAsia" w:ascii="宋体" w:hAnsi="宋体" w:eastAsia="宋体" w:cs="宋体"/>
          <w:b/>
          <w:color w:val="auto"/>
          <w:sz w:val="28"/>
          <w:szCs w:val="22"/>
        </w:rPr>
      </w:pPr>
      <w:r>
        <w:rPr>
          <w:rFonts w:hint="eastAsia" w:ascii="宋体" w:hAnsi="宋体" w:eastAsia="宋体" w:cs="宋体"/>
          <w:b/>
          <w:color w:val="auto"/>
          <w:sz w:val="28"/>
          <w:szCs w:val="22"/>
        </w:rPr>
        <w:t>法定代表人（负责人）或其委托代理人：</w:t>
      </w:r>
      <w:r>
        <w:rPr>
          <w:rFonts w:hint="eastAsia" w:ascii="宋体" w:hAnsi="宋体" w:eastAsia="宋体" w:cs="宋体"/>
          <w:b/>
          <w:color w:val="auto"/>
          <w:spacing w:val="4"/>
          <w:sz w:val="32"/>
          <w:szCs w:val="32"/>
          <w:u w:val="single"/>
        </w:rPr>
        <w:t xml:space="preserve">            </w:t>
      </w:r>
      <w:r>
        <w:rPr>
          <w:rFonts w:hint="eastAsia" w:ascii="宋体" w:hAnsi="宋体" w:eastAsia="宋体" w:cs="宋体"/>
          <w:b/>
          <w:color w:val="auto"/>
          <w:sz w:val="28"/>
          <w:szCs w:val="22"/>
        </w:rPr>
        <w:t>（签字或盖章）</w:t>
      </w:r>
    </w:p>
    <w:p>
      <w:pPr>
        <w:pStyle w:val="17"/>
        <w:rPr>
          <w:rFonts w:hint="eastAsia" w:ascii="宋体" w:hAnsi="宋体" w:eastAsia="宋体" w:cs="宋体"/>
          <w:color w:val="auto"/>
        </w:rPr>
      </w:pPr>
    </w:p>
    <w:p>
      <w:pPr>
        <w:spacing w:line="360" w:lineRule="auto"/>
        <w:ind w:firstLine="1265" w:firstLineChars="450"/>
        <w:rPr>
          <w:rFonts w:hint="eastAsia" w:ascii="宋体" w:hAnsi="宋体" w:eastAsia="宋体" w:cs="宋体"/>
          <w:b/>
          <w:color w:val="auto"/>
          <w:sz w:val="28"/>
          <w:szCs w:val="22"/>
          <w:u w:val="single"/>
        </w:rPr>
      </w:pPr>
      <w:r>
        <w:rPr>
          <w:rFonts w:hint="eastAsia" w:ascii="宋体" w:hAnsi="宋体" w:eastAsia="宋体" w:cs="宋体"/>
          <w:b/>
          <w:color w:val="auto"/>
          <w:sz w:val="28"/>
          <w:szCs w:val="22"/>
        </w:rPr>
        <w:t>日       期：</w:t>
      </w:r>
      <w:r>
        <w:rPr>
          <w:rFonts w:hint="eastAsia" w:ascii="宋体" w:hAnsi="宋体" w:eastAsia="宋体" w:cs="宋体"/>
          <w:b/>
          <w:color w:val="auto"/>
          <w:sz w:val="28"/>
          <w:szCs w:val="22"/>
          <w:u w:val="single"/>
        </w:rPr>
        <w:t xml:space="preserve">          </w:t>
      </w:r>
      <w:r>
        <w:rPr>
          <w:rFonts w:hint="eastAsia" w:ascii="宋体" w:hAnsi="宋体" w:eastAsia="宋体" w:cs="宋体"/>
          <w:b/>
          <w:color w:val="auto"/>
          <w:sz w:val="28"/>
          <w:szCs w:val="22"/>
        </w:rPr>
        <w:t xml:space="preserve">年 </w:t>
      </w:r>
      <w:r>
        <w:rPr>
          <w:rFonts w:hint="eastAsia" w:ascii="宋体" w:hAnsi="宋体" w:eastAsia="宋体" w:cs="宋体"/>
          <w:b/>
          <w:color w:val="auto"/>
          <w:sz w:val="28"/>
          <w:szCs w:val="22"/>
          <w:u w:val="single"/>
        </w:rPr>
        <w:t xml:space="preserve">       </w:t>
      </w:r>
      <w:r>
        <w:rPr>
          <w:rFonts w:hint="eastAsia" w:ascii="宋体" w:hAnsi="宋体" w:eastAsia="宋体" w:cs="宋体"/>
          <w:b/>
          <w:color w:val="auto"/>
          <w:sz w:val="28"/>
          <w:szCs w:val="22"/>
        </w:rPr>
        <w:t>月</w:t>
      </w:r>
      <w:r>
        <w:rPr>
          <w:rFonts w:hint="eastAsia" w:ascii="宋体" w:hAnsi="宋体" w:eastAsia="宋体" w:cs="宋体"/>
          <w:b/>
          <w:color w:val="auto"/>
          <w:sz w:val="28"/>
          <w:szCs w:val="22"/>
          <w:u w:val="single"/>
        </w:rPr>
        <w:t xml:space="preserve">        </w:t>
      </w:r>
      <w:r>
        <w:rPr>
          <w:rFonts w:hint="eastAsia" w:ascii="宋体" w:hAnsi="宋体" w:eastAsia="宋体" w:cs="宋体"/>
          <w:b/>
          <w:color w:val="auto"/>
          <w:sz w:val="28"/>
          <w:szCs w:val="22"/>
        </w:rPr>
        <w:t>日</w:t>
      </w:r>
    </w:p>
    <w:p>
      <w:pPr>
        <w:pStyle w:val="4"/>
        <w:jc w:val="center"/>
        <w:rPr>
          <w:rFonts w:hint="eastAsia" w:ascii="宋体" w:hAnsi="宋体" w:eastAsia="宋体" w:cs="宋体"/>
          <w:color w:val="auto"/>
        </w:rPr>
        <w:sectPr>
          <w:footnotePr>
            <w:pos w:val="beneathText"/>
          </w:footnotePr>
          <w:pgSz w:w="11906" w:h="16838"/>
          <w:pgMar w:top="1440" w:right="1423" w:bottom="1219" w:left="1644" w:header="720" w:footer="720" w:gutter="0"/>
          <w:cols w:space="720" w:num="1"/>
          <w:docGrid w:linePitch="312" w:charSpace="0"/>
        </w:sectPr>
      </w:pPr>
      <w:bookmarkStart w:id="183" w:name="_Toc357087380"/>
      <w:bookmarkStart w:id="184" w:name="_Toc21305"/>
    </w:p>
    <w:p>
      <w:pPr>
        <w:pStyle w:val="4"/>
        <w:jc w:val="center"/>
        <w:rPr>
          <w:rFonts w:hint="eastAsia" w:ascii="宋体" w:hAnsi="宋体" w:eastAsia="宋体" w:cs="宋体"/>
          <w:color w:val="auto"/>
        </w:rPr>
      </w:pPr>
      <w:bookmarkStart w:id="185" w:name="_Toc27265"/>
      <w:r>
        <w:rPr>
          <w:rFonts w:hint="eastAsia" w:ascii="宋体" w:hAnsi="宋体" w:eastAsia="宋体" w:cs="宋体"/>
          <w:color w:val="auto"/>
        </w:rPr>
        <w:t>一、</w:t>
      </w:r>
      <w:bookmarkEnd w:id="173"/>
      <w:bookmarkEnd w:id="183"/>
      <w:bookmarkEnd w:id="184"/>
      <w:r>
        <w:rPr>
          <w:rFonts w:hint="eastAsia" w:ascii="宋体" w:hAnsi="宋体" w:eastAsia="宋体" w:cs="宋体"/>
          <w:color w:val="auto"/>
        </w:rPr>
        <w:t>磋商响应函</w:t>
      </w:r>
      <w:bookmarkEnd w:id="185"/>
    </w:p>
    <w:p>
      <w:pPr>
        <w:spacing w:line="400" w:lineRule="atLeast"/>
        <w:rPr>
          <w:rFonts w:hint="eastAsia" w:ascii="宋体" w:hAnsi="宋体" w:eastAsia="宋体" w:cs="宋体"/>
          <w:color w:val="auto"/>
          <w:sz w:val="24"/>
        </w:rPr>
      </w:pPr>
      <w:r>
        <w:rPr>
          <w:rFonts w:hint="eastAsia" w:ascii="宋体" w:hAnsi="宋体" w:eastAsia="宋体" w:cs="宋体"/>
          <w:color w:val="auto"/>
          <w:sz w:val="24"/>
        </w:rPr>
        <w:t>致：中昊泰达咨询集团有限公司</w:t>
      </w:r>
    </w:p>
    <w:p>
      <w:pPr>
        <w:spacing w:line="360" w:lineRule="auto"/>
        <w:rPr>
          <w:rFonts w:hint="eastAsia" w:ascii="宋体" w:hAnsi="宋体" w:eastAsia="宋体" w:cs="宋体"/>
          <w:color w:val="auto"/>
          <w:sz w:val="24"/>
        </w:rPr>
      </w:pPr>
    </w:p>
    <w:p>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根据贵方</w:t>
      </w:r>
      <w:r>
        <w:rPr>
          <w:rFonts w:hint="eastAsia" w:ascii="宋体" w:hAnsi="宋体" w:eastAsia="宋体" w:cs="宋体"/>
          <w:color w:val="auto"/>
          <w:sz w:val="24"/>
          <w:u w:val="single"/>
        </w:rPr>
        <w:t xml:space="preserve">   （采购项目名称）</w:t>
      </w:r>
      <w:r>
        <w:rPr>
          <w:rFonts w:hint="eastAsia" w:ascii="宋体" w:hAnsi="宋体" w:eastAsia="宋体" w:cs="宋体"/>
          <w:color w:val="auto"/>
          <w:sz w:val="24"/>
        </w:rPr>
        <w:t>的竞争性磋商文件，签字代表</w:t>
      </w:r>
      <w:r>
        <w:rPr>
          <w:rFonts w:hint="eastAsia" w:ascii="宋体" w:hAnsi="宋体" w:eastAsia="宋体" w:cs="宋体"/>
          <w:color w:val="auto"/>
          <w:sz w:val="24"/>
          <w:u w:val="single"/>
        </w:rPr>
        <w:t xml:space="preserve">              (全名、职务)</w:t>
      </w:r>
      <w:r>
        <w:rPr>
          <w:rFonts w:hint="eastAsia" w:ascii="宋体" w:hAnsi="宋体" w:eastAsia="宋体" w:cs="宋体"/>
          <w:color w:val="auto"/>
          <w:sz w:val="24"/>
        </w:rPr>
        <w:t>经正式授权并代表</w:t>
      </w:r>
      <w:r>
        <w:rPr>
          <w:rFonts w:hint="eastAsia" w:ascii="宋体" w:hAnsi="宋体" w:eastAsia="宋体" w:cs="宋体"/>
          <w:color w:val="auto"/>
          <w:sz w:val="24"/>
          <w:u w:val="single"/>
        </w:rPr>
        <w:t xml:space="preserve"> (供应商名称、地址）</w:t>
      </w:r>
      <w:r>
        <w:rPr>
          <w:rFonts w:hint="eastAsia" w:ascii="宋体" w:hAnsi="宋体" w:eastAsia="宋体" w:cs="宋体"/>
          <w:color w:val="auto"/>
          <w:sz w:val="24"/>
        </w:rPr>
        <w:t>提交包含下述内容的磋商响应文件。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(1) 磋商响应函；</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(2) 磋商报价表；</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(3) 按磋商须知要求提供的全部文件和磋商文件要求的响应文件；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(4) 供应商资格证明文件；</w:t>
      </w:r>
    </w:p>
    <w:p>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(5) 已缴纳磋商保证金，金额为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据此函，签字代表宣布同意如下：</w:t>
      </w:r>
    </w:p>
    <w:p>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1、供应商将按磋商文件的规定履行合同责任和义务;</w:t>
      </w:r>
    </w:p>
    <w:p>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2. 供应商已详细审查全部磋商文件，包括修改文件（如有的话）以及全部参考资料和有关附件。我司完全理解并同意放弃对这方面有不明及误解的权利；</w:t>
      </w:r>
    </w:p>
    <w:p>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3. 磋商报价自磋商响应文件截止之日起有效期为</w:t>
      </w:r>
      <w:r>
        <w:rPr>
          <w:rFonts w:hint="eastAsia" w:ascii="宋体" w:hAnsi="宋体" w:eastAsia="宋体" w:cs="宋体"/>
          <w:color w:val="auto"/>
          <w:sz w:val="24"/>
          <w:u w:val="single"/>
        </w:rPr>
        <w:t xml:space="preserve">  90 </w:t>
      </w:r>
      <w:r>
        <w:rPr>
          <w:rFonts w:hint="eastAsia" w:ascii="宋体" w:hAnsi="宋体" w:eastAsia="宋体" w:cs="宋体"/>
          <w:color w:val="auto"/>
          <w:sz w:val="24"/>
        </w:rPr>
        <w:t>个日历日；</w:t>
      </w:r>
    </w:p>
    <w:p>
      <w:pPr>
        <w:spacing w:line="360" w:lineRule="auto"/>
        <w:ind w:firstLine="420"/>
        <w:rPr>
          <w:rFonts w:hint="eastAsia" w:ascii="宋体" w:hAnsi="宋体" w:eastAsia="宋体" w:cs="宋体"/>
          <w:color w:val="auto"/>
          <w:sz w:val="24"/>
        </w:rPr>
      </w:pPr>
      <w:r>
        <w:rPr>
          <w:rFonts w:hint="eastAsia" w:ascii="宋体" w:hAnsi="宋体" w:eastAsia="宋体" w:cs="宋体"/>
          <w:color w:val="auto"/>
          <w:sz w:val="24"/>
        </w:rPr>
        <w:t>4. 如果供应商在磋商有效期内撤回磋商报价；或成交后未按磋商文件中磋商须知规定的向采购代理机构缴纳足额的代理服务费，其磋商保证金将被没收；</w:t>
      </w:r>
    </w:p>
    <w:p>
      <w:pPr>
        <w:spacing w:line="360" w:lineRule="auto"/>
        <w:ind w:firstLine="420"/>
        <w:rPr>
          <w:rFonts w:hint="eastAsia" w:ascii="宋体" w:hAnsi="宋体" w:eastAsia="宋体" w:cs="宋体"/>
          <w:color w:val="auto"/>
          <w:u w:val="single"/>
        </w:rPr>
      </w:pPr>
      <w:r>
        <w:rPr>
          <w:rFonts w:hint="eastAsia" w:ascii="宋体" w:hAnsi="宋体" w:eastAsia="宋体" w:cs="宋体"/>
          <w:color w:val="auto"/>
          <w:sz w:val="24"/>
        </w:rPr>
        <w:t xml:space="preserve">5. 与本磋商有关的一切正式往来通讯请寄： </w:t>
      </w:r>
    </w:p>
    <w:p>
      <w:pPr>
        <w:autoSpaceDE w:val="0"/>
        <w:autoSpaceDN w:val="0"/>
        <w:adjustRightInd w:val="0"/>
        <w:spacing w:line="440" w:lineRule="exact"/>
        <w:jc w:val="left"/>
        <w:rPr>
          <w:rFonts w:hint="eastAsia" w:ascii="宋体" w:hAnsi="宋体" w:eastAsia="宋体" w:cs="宋体"/>
          <w:color w:val="auto"/>
          <w:sz w:val="24"/>
        </w:rPr>
      </w:pPr>
      <w:r>
        <w:rPr>
          <w:rFonts w:hint="eastAsia" w:ascii="宋体" w:hAnsi="宋体" w:eastAsia="宋体" w:cs="宋体"/>
          <w:color w:val="auto"/>
          <w:sz w:val="24"/>
        </w:rPr>
        <w:t xml:space="preserve">地    址：                                          </w:t>
      </w:r>
    </w:p>
    <w:p>
      <w:pPr>
        <w:autoSpaceDE w:val="0"/>
        <w:autoSpaceDN w:val="0"/>
        <w:adjustRightInd w:val="0"/>
        <w:spacing w:line="440" w:lineRule="exact"/>
        <w:jc w:val="left"/>
        <w:rPr>
          <w:rFonts w:hint="eastAsia" w:ascii="宋体" w:hAnsi="宋体" w:eastAsia="宋体" w:cs="宋体"/>
          <w:color w:val="auto"/>
          <w:sz w:val="24"/>
        </w:rPr>
      </w:pPr>
      <w:r>
        <w:rPr>
          <w:rFonts w:hint="eastAsia" w:ascii="宋体" w:hAnsi="宋体" w:eastAsia="宋体" w:cs="宋体"/>
          <w:color w:val="auto"/>
          <w:sz w:val="24"/>
        </w:rPr>
        <w:t xml:space="preserve">开户银行：                                          </w:t>
      </w:r>
    </w:p>
    <w:p>
      <w:pPr>
        <w:autoSpaceDE w:val="0"/>
        <w:autoSpaceDN w:val="0"/>
        <w:adjustRightInd w:val="0"/>
        <w:spacing w:line="440" w:lineRule="exact"/>
        <w:jc w:val="left"/>
        <w:rPr>
          <w:rFonts w:hint="eastAsia" w:ascii="宋体" w:hAnsi="宋体" w:eastAsia="宋体" w:cs="宋体"/>
          <w:color w:val="auto"/>
          <w:sz w:val="24"/>
        </w:rPr>
      </w:pPr>
      <w:r>
        <w:rPr>
          <w:rFonts w:hint="eastAsia" w:ascii="宋体" w:hAnsi="宋体" w:eastAsia="宋体" w:cs="宋体"/>
          <w:color w:val="auto"/>
          <w:sz w:val="24"/>
        </w:rPr>
        <w:t xml:space="preserve">帐    号：                                          </w:t>
      </w:r>
    </w:p>
    <w:p>
      <w:pPr>
        <w:autoSpaceDE w:val="0"/>
        <w:autoSpaceDN w:val="0"/>
        <w:adjustRightInd w:val="0"/>
        <w:spacing w:line="440" w:lineRule="exact"/>
        <w:jc w:val="left"/>
        <w:rPr>
          <w:rFonts w:hint="eastAsia" w:ascii="宋体" w:hAnsi="宋体" w:eastAsia="宋体" w:cs="宋体"/>
          <w:color w:val="auto"/>
          <w:sz w:val="24"/>
        </w:rPr>
      </w:pPr>
      <w:r>
        <w:rPr>
          <w:rFonts w:hint="eastAsia" w:ascii="宋体" w:hAnsi="宋体" w:eastAsia="宋体" w:cs="宋体"/>
          <w:color w:val="auto"/>
          <w:sz w:val="24"/>
        </w:rPr>
        <w:t xml:space="preserve">电    话：                                          </w:t>
      </w:r>
    </w:p>
    <w:p>
      <w:pPr>
        <w:autoSpaceDE w:val="0"/>
        <w:autoSpaceDN w:val="0"/>
        <w:adjustRightInd w:val="0"/>
        <w:spacing w:line="440" w:lineRule="exact"/>
        <w:jc w:val="left"/>
        <w:rPr>
          <w:rFonts w:hint="eastAsia" w:ascii="宋体" w:hAnsi="宋体" w:eastAsia="宋体" w:cs="宋体"/>
          <w:color w:val="auto"/>
          <w:sz w:val="24"/>
        </w:rPr>
      </w:pPr>
      <w:r>
        <w:rPr>
          <w:rFonts w:hint="eastAsia" w:ascii="宋体" w:hAnsi="宋体" w:eastAsia="宋体" w:cs="宋体"/>
          <w:color w:val="auto"/>
          <w:sz w:val="24"/>
        </w:rPr>
        <w:t xml:space="preserve">传    真：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邮    编： </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rPr>
      </w:pPr>
      <w:r>
        <w:rPr>
          <w:rFonts w:hint="eastAsia" w:ascii="宋体" w:hAnsi="宋体" w:eastAsia="宋体" w:cs="宋体"/>
          <w:color w:val="auto"/>
          <w:sz w:val="24"/>
        </w:rPr>
        <w:tab/>
      </w:r>
      <w:r>
        <w:rPr>
          <w:rFonts w:hint="eastAsia" w:ascii="宋体" w:hAnsi="宋体" w:eastAsia="宋体" w:cs="宋体"/>
          <w:color w:val="auto"/>
          <w:sz w:val="24"/>
        </w:rPr>
        <w:tab/>
      </w:r>
    </w:p>
    <w:p>
      <w:pPr>
        <w:spacing w:line="480" w:lineRule="auto"/>
        <w:rPr>
          <w:rFonts w:hint="eastAsia" w:ascii="宋体" w:hAnsi="宋体" w:eastAsia="宋体" w:cs="宋体"/>
          <w:color w:val="auto"/>
          <w:sz w:val="24"/>
          <w:u w:val="single"/>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（公章）</w:t>
      </w:r>
    </w:p>
    <w:p>
      <w:pPr>
        <w:spacing w:line="480" w:lineRule="auto"/>
        <w:rPr>
          <w:rFonts w:hint="eastAsia" w:ascii="宋体" w:hAnsi="宋体" w:eastAsia="宋体" w:cs="宋体"/>
          <w:color w:val="auto"/>
          <w:sz w:val="24"/>
          <w:u w:val="single"/>
        </w:rPr>
      </w:pPr>
      <w:r>
        <w:rPr>
          <w:rFonts w:hint="eastAsia" w:ascii="宋体" w:hAnsi="宋体" w:eastAsia="宋体" w:cs="宋体"/>
          <w:color w:val="auto"/>
          <w:sz w:val="24"/>
        </w:rPr>
        <w:t xml:space="preserve">法定代表人(负责人）或被授权代表签字/盖章：  </w:t>
      </w:r>
    </w:p>
    <w:p>
      <w:pPr>
        <w:spacing w:line="480" w:lineRule="auto"/>
        <w:rPr>
          <w:rFonts w:hint="eastAsia" w:ascii="宋体" w:hAnsi="宋体" w:eastAsia="宋体" w:cs="宋体"/>
          <w:color w:val="auto"/>
          <w:sz w:val="24"/>
        </w:rPr>
      </w:pPr>
      <w:r>
        <w:rPr>
          <w:rFonts w:hint="eastAsia" w:ascii="宋体" w:hAnsi="宋体" w:eastAsia="宋体" w:cs="宋体"/>
          <w:color w:val="auto"/>
          <w:sz w:val="24"/>
        </w:rPr>
        <w:t xml:space="preserve">  日期：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pStyle w:val="4"/>
        <w:jc w:val="center"/>
        <w:rPr>
          <w:rFonts w:hint="eastAsia" w:ascii="宋体" w:hAnsi="宋体" w:eastAsia="宋体" w:cs="宋体"/>
          <w:color w:val="auto"/>
        </w:rPr>
      </w:pPr>
      <w:bookmarkStart w:id="186" w:name="_Toc5314"/>
      <w:r>
        <w:rPr>
          <w:rFonts w:hint="eastAsia" w:ascii="宋体" w:hAnsi="宋体" w:eastAsia="宋体" w:cs="宋体"/>
          <w:color w:val="auto"/>
        </w:rPr>
        <w:t>二、首次磋商报价表</w:t>
      </w:r>
      <w:bookmarkEnd w:id="174"/>
      <w:bookmarkEnd w:id="175"/>
      <w:bookmarkEnd w:id="186"/>
    </w:p>
    <w:bookmarkEnd w:id="176"/>
    <w:bookmarkEnd w:id="177"/>
    <w:bookmarkEnd w:id="178"/>
    <w:bookmarkEnd w:id="179"/>
    <w:bookmarkEnd w:id="180"/>
    <w:bookmarkEnd w:id="181"/>
    <w:bookmarkEnd w:id="182"/>
    <w:tbl>
      <w:tblPr>
        <w:tblStyle w:val="39"/>
        <w:tblW w:w="9074"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35"/>
        <w:gridCol w:w="6839"/>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20" w:hRule="atLeast"/>
        </w:trPr>
        <w:tc>
          <w:tcPr>
            <w:tcW w:w="2235" w:type="dxa"/>
            <w:tcBorders>
              <w:bottom w:val="single" w:color="auto" w:sz="4" w:space="0"/>
            </w:tcBorders>
            <w:vAlign w:val="center"/>
          </w:tcPr>
          <w:p>
            <w:pPr>
              <w:spacing w:line="360" w:lineRule="auto"/>
              <w:jc w:val="center"/>
              <w:rPr>
                <w:rFonts w:hint="eastAsia" w:ascii="宋体" w:hAnsi="宋体" w:eastAsia="宋体" w:cs="宋体"/>
                <w:caps/>
                <w:color w:val="auto"/>
                <w:sz w:val="24"/>
              </w:rPr>
            </w:pPr>
            <w:bookmarkStart w:id="187" w:name="_Toc246928964"/>
            <w:bookmarkStart w:id="188" w:name="_Toc389620245"/>
            <w:bookmarkStart w:id="189" w:name="_Hlt491766443"/>
            <w:bookmarkStart w:id="190" w:name="_Toc497546923"/>
            <w:bookmarkStart w:id="191" w:name="_Toc497711590"/>
            <w:bookmarkStart w:id="192" w:name="_Toc497551825"/>
            <w:bookmarkStart w:id="193" w:name="_Toc497712138"/>
            <w:bookmarkStart w:id="194" w:name="_Toc492955464"/>
            <w:bookmarkStart w:id="195" w:name="_Toc385992405"/>
            <w:r>
              <w:rPr>
                <w:rFonts w:hint="eastAsia" w:ascii="宋体" w:hAnsi="宋体" w:eastAsia="宋体" w:cs="宋体"/>
                <w:color w:val="auto"/>
                <w:sz w:val="24"/>
              </w:rPr>
              <w:t>采购项目名称</w:t>
            </w:r>
          </w:p>
        </w:tc>
        <w:tc>
          <w:tcPr>
            <w:tcW w:w="6839" w:type="dxa"/>
            <w:vAlign w:val="center"/>
          </w:tcPr>
          <w:p>
            <w:pPr>
              <w:spacing w:line="360" w:lineRule="auto"/>
              <w:jc w:val="center"/>
              <w:rPr>
                <w:rFonts w:hint="eastAsia" w:ascii="宋体" w:hAnsi="宋体" w:eastAsia="宋体" w:cs="宋体"/>
                <w:caps/>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86" w:hRule="atLeast"/>
        </w:trPr>
        <w:tc>
          <w:tcPr>
            <w:tcW w:w="2235" w:type="dxa"/>
            <w:tcBorders>
              <w:bottom w:val="single" w:color="auto" w:sz="4" w:space="0"/>
            </w:tcBorders>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采购项目编号</w:t>
            </w:r>
          </w:p>
        </w:tc>
        <w:tc>
          <w:tcPr>
            <w:tcW w:w="6839" w:type="dxa"/>
            <w:tcBorders>
              <w:bottom w:val="single" w:color="auto" w:sz="4" w:space="0"/>
            </w:tcBorders>
            <w:vAlign w:val="center"/>
          </w:tcPr>
          <w:p>
            <w:pPr>
              <w:spacing w:line="360" w:lineRule="auto"/>
              <w:jc w:val="center"/>
              <w:rPr>
                <w:rFonts w:hint="eastAsia" w:ascii="宋体" w:hAnsi="宋体" w:eastAsia="宋体" w:cs="宋体"/>
                <w:caps/>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7" w:hRule="atLeast"/>
        </w:trPr>
        <w:tc>
          <w:tcPr>
            <w:tcW w:w="2235"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供应商</w:t>
            </w:r>
          </w:p>
        </w:tc>
        <w:tc>
          <w:tcPr>
            <w:tcW w:w="6839" w:type="dxa"/>
            <w:vAlign w:val="center"/>
          </w:tcPr>
          <w:p>
            <w:pPr>
              <w:spacing w:line="360" w:lineRule="auto"/>
              <w:jc w:val="center"/>
              <w:rPr>
                <w:rFonts w:hint="eastAsia" w:ascii="宋体" w:hAnsi="宋体" w:eastAsia="宋体" w:cs="宋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452" w:hRule="atLeast"/>
        </w:trPr>
        <w:tc>
          <w:tcPr>
            <w:tcW w:w="2235"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磋商报价</w:t>
            </w:r>
          </w:p>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（人民币）</w:t>
            </w:r>
          </w:p>
        </w:tc>
        <w:tc>
          <w:tcPr>
            <w:tcW w:w="6839" w:type="dxa"/>
            <w:vAlign w:val="center"/>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小写金额：</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大写金额：</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16" w:hRule="atLeast"/>
        </w:trPr>
        <w:tc>
          <w:tcPr>
            <w:tcW w:w="2235"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交货期</w:t>
            </w:r>
          </w:p>
        </w:tc>
        <w:tc>
          <w:tcPr>
            <w:tcW w:w="6839" w:type="dxa"/>
            <w:vAlign w:val="center"/>
          </w:tcPr>
          <w:p>
            <w:pPr>
              <w:spacing w:line="360" w:lineRule="auto"/>
              <w:rPr>
                <w:rFonts w:hint="eastAsia" w:ascii="宋体" w:hAnsi="宋体" w:eastAsia="宋体" w:cs="宋体"/>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16" w:hRule="atLeast"/>
        </w:trPr>
        <w:tc>
          <w:tcPr>
            <w:tcW w:w="2235"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付款方式是否响应</w:t>
            </w:r>
          </w:p>
        </w:tc>
        <w:tc>
          <w:tcPr>
            <w:tcW w:w="6839" w:type="dxa"/>
            <w:vAlign w:val="center"/>
          </w:tcPr>
          <w:p>
            <w:pPr>
              <w:spacing w:line="360" w:lineRule="auto"/>
              <w:rPr>
                <w:rFonts w:hint="eastAsia" w:ascii="宋体" w:hAnsi="宋体" w:eastAsia="宋体" w:cs="宋体"/>
                <w:color w:val="auto"/>
                <w:sz w:val="24"/>
              </w:rPr>
            </w:pPr>
          </w:p>
        </w:tc>
      </w:tr>
    </w:tbl>
    <w:p>
      <w:pPr>
        <w:rPr>
          <w:rFonts w:hint="eastAsia" w:ascii="宋体" w:hAnsi="宋体" w:eastAsia="宋体" w:cs="宋体"/>
          <w:color w:val="auto"/>
        </w:rPr>
      </w:pPr>
    </w:p>
    <w:p>
      <w:pPr>
        <w:rPr>
          <w:rFonts w:hint="eastAsia" w:ascii="宋体" w:hAnsi="宋体" w:eastAsia="宋体" w:cs="宋体"/>
          <w:color w:val="auto"/>
          <w:sz w:val="24"/>
        </w:rPr>
      </w:pPr>
    </w:p>
    <w:p>
      <w:pPr>
        <w:adjustRightInd w:val="0"/>
        <w:snapToGrid w:val="0"/>
        <w:spacing w:line="360" w:lineRule="auto"/>
        <w:rPr>
          <w:rFonts w:hint="eastAsia" w:ascii="宋体" w:hAnsi="宋体" w:eastAsia="宋体" w:cs="宋体"/>
          <w:bCs/>
          <w:color w:val="auto"/>
          <w:sz w:val="24"/>
        </w:rPr>
      </w:pPr>
      <w:r>
        <w:rPr>
          <w:rFonts w:hint="eastAsia" w:ascii="宋体" w:hAnsi="宋体" w:eastAsia="宋体" w:cs="宋体"/>
          <w:bCs/>
          <w:color w:val="auto"/>
          <w:sz w:val="24"/>
        </w:rPr>
        <w:t>备注：</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1、磋商报价包括货物价（含税）、运输费、保险费、税金等相关伴随费用，表内报价内容以元为单位，保留小数点后两位。</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2、上述报价包含了供应商为此项目所支付的一切费用，在整个合同期内不做调整。</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3、付款方式是否响应请填写“是”或者“否”。</w:t>
      </w:r>
    </w:p>
    <w:p>
      <w:pPr>
        <w:rPr>
          <w:rFonts w:hint="eastAsia" w:ascii="宋体" w:hAnsi="宋体" w:eastAsia="宋体" w:cs="宋体"/>
          <w:color w:val="auto"/>
          <w:sz w:val="30"/>
        </w:rPr>
      </w:pPr>
    </w:p>
    <w:p>
      <w:pPr>
        <w:rPr>
          <w:rFonts w:hint="eastAsia" w:ascii="宋体" w:hAnsi="宋体" w:eastAsia="宋体" w:cs="宋体"/>
          <w:color w:val="auto"/>
          <w:sz w:val="30"/>
        </w:rPr>
      </w:pPr>
    </w:p>
    <w:p>
      <w:pPr>
        <w:spacing w:line="480" w:lineRule="auto"/>
        <w:jc w:val="center"/>
        <w:rPr>
          <w:rFonts w:hint="eastAsia" w:ascii="宋体" w:hAnsi="宋体" w:eastAsia="宋体" w:cs="宋体"/>
          <w:color w:val="auto"/>
          <w:sz w:val="24"/>
          <w:u w:val="single"/>
        </w:rPr>
      </w:pPr>
      <w:r>
        <w:rPr>
          <w:rFonts w:hint="eastAsia" w:ascii="宋体" w:hAnsi="宋体" w:eastAsia="宋体" w:cs="宋体"/>
          <w:color w:val="auto"/>
          <w:sz w:val="24"/>
        </w:rPr>
        <w:t xml:space="preserve">            供应商名称：</w:t>
      </w:r>
      <w:r>
        <w:rPr>
          <w:rFonts w:hint="eastAsia" w:ascii="宋体" w:hAnsi="宋体" w:eastAsia="宋体" w:cs="宋体"/>
          <w:color w:val="auto"/>
          <w:sz w:val="24"/>
          <w:u w:val="single"/>
        </w:rPr>
        <w:t xml:space="preserve">                    （公章）</w:t>
      </w:r>
    </w:p>
    <w:p>
      <w:pPr>
        <w:spacing w:line="480" w:lineRule="auto"/>
        <w:jc w:val="center"/>
        <w:rPr>
          <w:rFonts w:hint="eastAsia" w:ascii="宋体" w:hAnsi="宋体" w:eastAsia="宋体" w:cs="宋体"/>
          <w:color w:val="auto"/>
          <w:sz w:val="24"/>
          <w:u w:val="single"/>
        </w:rPr>
      </w:pPr>
      <w:r>
        <w:rPr>
          <w:rFonts w:hint="eastAsia" w:ascii="宋体" w:hAnsi="宋体" w:eastAsia="宋体" w:cs="宋体"/>
          <w:color w:val="auto"/>
          <w:sz w:val="24"/>
        </w:rPr>
        <w:t xml:space="preserve">       法定代表人（负责人）或被授权代表签字/盖章：  </w:t>
      </w:r>
    </w:p>
    <w:p>
      <w:pPr>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日期：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pStyle w:val="36"/>
        <w:widowControl w:val="0"/>
        <w:spacing w:before="0" w:beforeAutospacing="0" w:after="0" w:afterAutospacing="0" w:line="324" w:lineRule="auto"/>
        <w:jc w:val="center"/>
        <w:rPr>
          <w:rFonts w:hint="eastAsia" w:ascii="宋体" w:hAnsi="宋体" w:eastAsia="宋体" w:cs="宋体"/>
          <w:color w:val="auto"/>
        </w:rPr>
        <w:sectPr>
          <w:footnotePr>
            <w:pos w:val="beneathText"/>
          </w:footnotePr>
          <w:pgSz w:w="11906" w:h="16838"/>
          <w:pgMar w:top="1440" w:right="1423" w:bottom="1219" w:left="1644" w:header="720" w:footer="720" w:gutter="0"/>
          <w:cols w:space="720" w:num="1"/>
          <w:docGrid w:linePitch="312" w:charSpace="0"/>
        </w:sectPr>
      </w:pPr>
      <w:r>
        <w:rPr>
          <w:rFonts w:hint="eastAsia" w:ascii="宋体" w:hAnsi="宋体" w:eastAsia="宋体" w:cs="宋体"/>
          <w:color w:val="auto"/>
        </w:rPr>
        <w:br w:type="page"/>
      </w:r>
      <w:bookmarkEnd w:id="187"/>
      <w:bookmarkStart w:id="196" w:name="_Hlt491572840"/>
      <w:bookmarkEnd w:id="196"/>
      <w:bookmarkStart w:id="197" w:name="_Toc14871"/>
      <w:bookmarkStart w:id="198" w:name="_Toc423025061"/>
      <w:bookmarkStart w:id="199" w:name="_Toc463867031"/>
      <w:bookmarkStart w:id="200" w:name="_Toc451491764"/>
    </w:p>
    <w:p>
      <w:pPr>
        <w:pStyle w:val="36"/>
        <w:widowControl w:val="0"/>
        <w:spacing w:before="0" w:beforeAutospacing="0" w:after="0" w:afterAutospacing="0" w:line="324" w:lineRule="auto"/>
        <w:jc w:val="center"/>
        <w:rPr>
          <w:rFonts w:hint="eastAsia" w:ascii="宋体" w:hAnsi="宋体" w:eastAsia="宋体" w:cs="宋体"/>
          <w:b/>
          <w:color w:val="auto"/>
          <w:kern w:val="2"/>
          <w:sz w:val="32"/>
          <w:szCs w:val="21"/>
        </w:rPr>
      </w:pPr>
      <w:r>
        <w:rPr>
          <w:rFonts w:hint="eastAsia" w:ascii="宋体" w:hAnsi="宋体" w:eastAsia="宋体" w:cs="宋体"/>
          <w:b/>
          <w:color w:val="auto"/>
          <w:kern w:val="2"/>
          <w:sz w:val="32"/>
          <w:szCs w:val="21"/>
        </w:rPr>
        <w:t>分项报价表</w:t>
      </w:r>
    </w:p>
    <w:p>
      <w:pPr>
        <w:autoSpaceDN w:val="0"/>
        <w:spacing w:line="60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镇安县2021年度高标准农田建设项目地力培肥报价表</w:t>
      </w:r>
    </w:p>
    <w:p>
      <w:pPr>
        <w:rPr>
          <w:rFonts w:hint="eastAsia" w:ascii="宋体" w:hAnsi="宋体" w:eastAsia="宋体" w:cs="宋体"/>
          <w:color w:val="auto"/>
        </w:rPr>
      </w:pPr>
    </w:p>
    <w:tbl>
      <w:tblPr>
        <w:tblStyle w:val="39"/>
        <w:tblW w:w="14537" w:type="dxa"/>
        <w:tblInd w:w="91" w:type="dxa"/>
        <w:tblLayout w:type="fixed"/>
        <w:tblCellMar>
          <w:top w:w="0" w:type="dxa"/>
          <w:left w:w="108" w:type="dxa"/>
          <w:bottom w:w="0" w:type="dxa"/>
          <w:right w:w="108" w:type="dxa"/>
        </w:tblCellMar>
      </w:tblPr>
      <w:tblGrid>
        <w:gridCol w:w="1669"/>
        <w:gridCol w:w="1790"/>
        <w:gridCol w:w="1232"/>
        <w:gridCol w:w="2111"/>
        <w:gridCol w:w="2013"/>
        <w:gridCol w:w="1677"/>
        <w:gridCol w:w="2019"/>
        <w:gridCol w:w="2026"/>
      </w:tblGrid>
      <w:tr>
        <w:tblPrEx>
          <w:tblCellMar>
            <w:top w:w="0" w:type="dxa"/>
            <w:left w:w="108" w:type="dxa"/>
            <w:bottom w:w="0" w:type="dxa"/>
            <w:right w:w="108" w:type="dxa"/>
          </w:tblCellMar>
        </w:tblPrEx>
        <w:trPr>
          <w:trHeight w:val="497" w:hRule="atLeast"/>
          <w:tblHeader/>
        </w:trPr>
        <w:tc>
          <w:tcPr>
            <w:tcW w:w="1669" w:type="dxa"/>
            <w:vMerge w:val="restart"/>
            <w:tcBorders>
              <w:top w:val="single" w:color="000000" w:sz="4" w:space="0"/>
              <w:left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镇（办）</w:t>
            </w:r>
          </w:p>
        </w:tc>
        <w:tc>
          <w:tcPr>
            <w:tcW w:w="1790" w:type="dxa"/>
            <w:vMerge w:val="restart"/>
            <w:tcBorders>
              <w:top w:val="single" w:color="000000" w:sz="4" w:space="0"/>
              <w:left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项目村</w:t>
            </w:r>
          </w:p>
        </w:tc>
        <w:tc>
          <w:tcPr>
            <w:tcW w:w="1232" w:type="dxa"/>
            <w:vMerge w:val="restart"/>
            <w:tcBorders>
              <w:top w:val="single" w:color="000000" w:sz="4" w:space="0"/>
              <w:left w:val="single" w:color="000000" w:sz="4" w:space="0"/>
              <w:right w:val="single" w:color="000000" w:sz="4" w:space="0"/>
            </w:tcBorders>
            <w:shd w:val="clear" w:color="auto" w:fill="FFFFFF"/>
            <w:noWrap/>
            <w:vAlign w:val="center"/>
          </w:tcPr>
          <w:p>
            <w:pPr>
              <w:widowControl/>
              <w:tabs>
                <w:tab w:val="left" w:pos="5270"/>
              </w:tabs>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采购内容 </w:t>
            </w:r>
          </w:p>
        </w:tc>
        <w:tc>
          <w:tcPr>
            <w:tcW w:w="9846"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abs>
                <w:tab w:val="left" w:pos="5270"/>
              </w:tabs>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报价</w:t>
            </w:r>
          </w:p>
        </w:tc>
      </w:tr>
      <w:tr>
        <w:tblPrEx>
          <w:tblCellMar>
            <w:top w:w="0" w:type="dxa"/>
            <w:left w:w="108" w:type="dxa"/>
            <w:bottom w:w="0" w:type="dxa"/>
            <w:right w:w="108" w:type="dxa"/>
          </w:tblCellMar>
        </w:tblPrEx>
        <w:trPr>
          <w:trHeight w:val="497" w:hRule="atLeast"/>
          <w:tblHeader/>
        </w:trPr>
        <w:tc>
          <w:tcPr>
            <w:tcW w:w="1669" w:type="dxa"/>
            <w:vMerge w:val="continue"/>
            <w:tcBorders>
              <w:left w:val="single" w:color="000000" w:sz="4" w:space="0"/>
              <w:bottom w:val="single" w:color="auto"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p>
        </w:tc>
        <w:tc>
          <w:tcPr>
            <w:tcW w:w="1790" w:type="dxa"/>
            <w:vMerge w:val="continue"/>
            <w:tcBorders>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p>
        </w:tc>
        <w:tc>
          <w:tcPr>
            <w:tcW w:w="1232" w:type="dxa"/>
            <w:vMerge w:val="continue"/>
            <w:tcBorders>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kern w:val="0"/>
                <w:sz w:val="24"/>
              </w:rPr>
            </w:pPr>
          </w:p>
        </w:tc>
        <w:tc>
          <w:tcPr>
            <w:tcW w:w="21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培肥面积（亩）</w:t>
            </w:r>
          </w:p>
        </w:tc>
        <w:tc>
          <w:tcPr>
            <w:tcW w:w="2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有机肥量（t）</w:t>
            </w:r>
          </w:p>
        </w:tc>
        <w:tc>
          <w:tcPr>
            <w:tcW w:w="16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sz w:val="24"/>
              </w:rPr>
              <w:t>单价（元/kg）</w:t>
            </w:r>
          </w:p>
        </w:tc>
        <w:tc>
          <w:tcPr>
            <w:tcW w:w="20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总价（元）</w:t>
            </w:r>
          </w:p>
        </w:tc>
        <w:tc>
          <w:tcPr>
            <w:tcW w:w="2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tblPrEx>
          <w:tblCellMar>
            <w:top w:w="0" w:type="dxa"/>
            <w:left w:w="108" w:type="dxa"/>
            <w:bottom w:w="0" w:type="dxa"/>
            <w:right w:w="108" w:type="dxa"/>
          </w:tblCellMar>
        </w:tblPrEx>
        <w:trPr>
          <w:trHeight w:val="803" w:hRule="atLeast"/>
        </w:trPr>
        <w:tc>
          <w:tcPr>
            <w:tcW w:w="1669"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永</w:t>
            </w:r>
          </w:p>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乐</w:t>
            </w:r>
          </w:p>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街</w:t>
            </w:r>
          </w:p>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道</w:t>
            </w:r>
          </w:p>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办</w:t>
            </w:r>
          </w:p>
        </w:tc>
        <w:tc>
          <w:tcPr>
            <w:tcW w:w="179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庙坡村</w:t>
            </w:r>
          </w:p>
        </w:tc>
        <w:tc>
          <w:tcPr>
            <w:tcW w:w="1232"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物化补贴（有机肥)</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636.00</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60.25</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58" w:hRule="atLeast"/>
        </w:trPr>
        <w:tc>
          <w:tcPr>
            <w:tcW w:w="1669" w:type="dxa"/>
            <w:vMerge w:val="continue"/>
            <w:tcBorders>
              <w:left w:val="single" w:color="auto" w:sz="4" w:space="0"/>
              <w:right w:val="single" w:color="auto"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179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金花村</w:t>
            </w:r>
          </w:p>
        </w:tc>
        <w:tc>
          <w:tcPr>
            <w:tcW w:w="1232"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1029.00</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54.00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58" w:hRule="atLeast"/>
        </w:trPr>
        <w:tc>
          <w:tcPr>
            <w:tcW w:w="1669" w:type="dxa"/>
            <w:vMerge w:val="continue"/>
            <w:tcBorders>
              <w:left w:val="single" w:color="auto" w:sz="4" w:space="0"/>
              <w:right w:val="single" w:color="auto"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179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王家坪社区</w:t>
            </w:r>
          </w:p>
        </w:tc>
        <w:tc>
          <w:tcPr>
            <w:tcW w:w="1232"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1013.00</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51.31</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58" w:hRule="atLeast"/>
        </w:trPr>
        <w:tc>
          <w:tcPr>
            <w:tcW w:w="1669" w:type="dxa"/>
            <w:vMerge w:val="continue"/>
            <w:tcBorders>
              <w:left w:val="single" w:color="auto" w:sz="4" w:space="0"/>
              <w:right w:val="single" w:color="auto"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179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安山村</w:t>
            </w:r>
          </w:p>
        </w:tc>
        <w:tc>
          <w:tcPr>
            <w:tcW w:w="1232"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749.00</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30.5</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58" w:hRule="atLeast"/>
        </w:trPr>
        <w:tc>
          <w:tcPr>
            <w:tcW w:w="1669"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179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山海村</w:t>
            </w:r>
          </w:p>
        </w:tc>
        <w:tc>
          <w:tcPr>
            <w:tcW w:w="1232"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1222.00</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56.60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58" w:hRule="atLeast"/>
        </w:trPr>
        <w:tc>
          <w:tcPr>
            <w:tcW w:w="34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小  计</w:t>
            </w:r>
          </w:p>
        </w:tc>
        <w:tc>
          <w:tcPr>
            <w:tcW w:w="1232"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sz w:val="24"/>
              </w:rPr>
              <w:t>4649.00</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252.66</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b/>
                <w:bCs/>
                <w:color w:val="auto"/>
                <w:sz w:val="24"/>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b/>
                <w:bCs/>
                <w:color w:val="auto"/>
                <w:sz w:val="24"/>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b/>
                <w:bCs/>
                <w:color w:val="auto"/>
                <w:sz w:val="24"/>
              </w:rPr>
            </w:pPr>
          </w:p>
        </w:tc>
      </w:tr>
      <w:tr>
        <w:tblPrEx>
          <w:tblCellMar>
            <w:top w:w="0" w:type="dxa"/>
            <w:left w:w="108" w:type="dxa"/>
            <w:bottom w:w="0" w:type="dxa"/>
            <w:right w:w="108" w:type="dxa"/>
          </w:tblCellMar>
        </w:tblPrEx>
        <w:trPr>
          <w:trHeight w:val="458" w:hRule="atLeast"/>
        </w:trPr>
        <w:tc>
          <w:tcPr>
            <w:tcW w:w="1669"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西</w:t>
            </w:r>
          </w:p>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口</w:t>
            </w:r>
          </w:p>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回</w:t>
            </w:r>
          </w:p>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族</w:t>
            </w:r>
          </w:p>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镇</w:t>
            </w:r>
          </w:p>
          <w:p>
            <w:pPr>
              <w:widowControl/>
              <w:spacing w:line="280" w:lineRule="exact"/>
              <w:jc w:val="center"/>
              <w:textAlignment w:val="center"/>
              <w:rPr>
                <w:rFonts w:hint="eastAsia" w:ascii="宋体" w:hAnsi="宋体" w:eastAsia="宋体" w:cs="宋体"/>
                <w:color w:val="auto"/>
                <w:sz w:val="24"/>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东庄村</w:t>
            </w:r>
          </w:p>
        </w:tc>
        <w:tc>
          <w:tcPr>
            <w:tcW w:w="1232"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928.00</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41.84</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58" w:hRule="atLeast"/>
        </w:trPr>
        <w:tc>
          <w:tcPr>
            <w:tcW w:w="1669"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石门村</w:t>
            </w:r>
          </w:p>
        </w:tc>
        <w:tc>
          <w:tcPr>
            <w:tcW w:w="1232"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679.00</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33.27</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58" w:hRule="atLeast"/>
        </w:trPr>
        <w:tc>
          <w:tcPr>
            <w:tcW w:w="1669"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宝石村</w:t>
            </w:r>
          </w:p>
        </w:tc>
        <w:tc>
          <w:tcPr>
            <w:tcW w:w="1232"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458.00</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24.1</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58" w:hRule="atLeast"/>
        </w:trPr>
        <w:tc>
          <w:tcPr>
            <w:tcW w:w="1669"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青树村</w:t>
            </w:r>
          </w:p>
        </w:tc>
        <w:tc>
          <w:tcPr>
            <w:tcW w:w="1232"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514.00</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23.93</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759" w:hRule="atLeast"/>
        </w:trPr>
        <w:tc>
          <w:tcPr>
            <w:tcW w:w="1669"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岭沟村</w:t>
            </w:r>
          </w:p>
        </w:tc>
        <w:tc>
          <w:tcPr>
            <w:tcW w:w="1232"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684.00</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31.52</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58" w:hRule="atLeast"/>
        </w:trPr>
        <w:tc>
          <w:tcPr>
            <w:tcW w:w="34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 xml:space="preserve">小  </w:t>
            </w:r>
            <w:r>
              <w:rPr>
                <w:rFonts w:hint="eastAsia" w:ascii="宋体" w:hAnsi="宋体" w:eastAsia="宋体" w:cs="宋体"/>
                <w:b/>
                <w:bCs/>
                <w:color w:val="auto"/>
                <w:sz w:val="24"/>
                <w:szCs w:val="24"/>
              </w:rPr>
              <w:t>计</w:t>
            </w:r>
          </w:p>
        </w:tc>
        <w:tc>
          <w:tcPr>
            <w:tcW w:w="1232"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sz w:val="24"/>
              </w:rPr>
              <w:t>3263.00</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154.66</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b/>
                <w:bCs/>
                <w:color w:val="auto"/>
                <w:sz w:val="24"/>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b/>
                <w:bCs/>
                <w:color w:val="auto"/>
                <w:sz w:val="24"/>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b/>
                <w:bCs/>
                <w:color w:val="auto"/>
                <w:sz w:val="24"/>
              </w:rPr>
            </w:pPr>
          </w:p>
        </w:tc>
      </w:tr>
      <w:tr>
        <w:tblPrEx>
          <w:tblCellMar>
            <w:top w:w="0" w:type="dxa"/>
            <w:left w:w="108" w:type="dxa"/>
            <w:bottom w:w="0" w:type="dxa"/>
            <w:right w:w="108" w:type="dxa"/>
          </w:tblCellMar>
        </w:tblPrEx>
        <w:trPr>
          <w:trHeight w:val="458" w:hRule="atLeast"/>
        </w:trPr>
        <w:tc>
          <w:tcPr>
            <w:tcW w:w="1669" w:type="dxa"/>
            <w:vMerge w:val="restart"/>
            <w:tcBorders>
              <w:top w:val="single" w:color="000000" w:sz="4" w:space="0"/>
              <w:left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青</w:t>
            </w:r>
          </w:p>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铜</w:t>
            </w:r>
          </w:p>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关</w:t>
            </w:r>
          </w:p>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镇</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旬河村</w:t>
            </w:r>
          </w:p>
        </w:tc>
        <w:tc>
          <w:tcPr>
            <w:tcW w:w="1232"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576.00</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27.75</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58" w:hRule="atLeast"/>
        </w:trPr>
        <w:tc>
          <w:tcPr>
            <w:tcW w:w="1669" w:type="dxa"/>
            <w:vMerge w:val="continue"/>
            <w:tcBorders>
              <w:left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宋体" w:hAnsi="宋体" w:eastAsia="宋体" w:cs="宋体"/>
                <w:color w:val="auto"/>
                <w:kern w:val="0"/>
                <w:sz w:val="24"/>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乡中村</w:t>
            </w:r>
          </w:p>
        </w:tc>
        <w:tc>
          <w:tcPr>
            <w:tcW w:w="1232"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1023.00</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54.71</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58" w:hRule="atLeast"/>
        </w:trPr>
        <w:tc>
          <w:tcPr>
            <w:tcW w:w="1669" w:type="dxa"/>
            <w:vMerge w:val="continue"/>
            <w:tcBorders>
              <w:left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宋体" w:hAnsi="宋体" w:eastAsia="宋体" w:cs="宋体"/>
                <w:color w:val="auto"/>
                <w:kern w:val="0"/>
                <w:sz w:val="24"/>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东坪村</w:t>
            </w:r>
          </w:p>
        </w:tc>
        <w:tc>
          <w:tcPr>
            <w:tcW w:w="1232"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378.00</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22.05</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58" w:hRule="atLeast"/>
        </w:trPr>
        <w:tc>
          <w:tcPr>
            <w:tcW w:w="1669" w:type="dxa"/>
            <w:vMerge w:val="continue"/>
            <w:tcBorders>
              <w:left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宋体" w:hAnsi="宋体" w:eastAsia="宋体" w:cs="宋体"/>
                <w:color w:val="auto"/>
                <w:kern w:val="0"/>
                <w:sz w:val="24"/>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前湾村</w:t>
            </w:r>
          </w:p>
        </w:tc>
        <w:tc>
          <w:tcPr>
            <w:tcW w:w="1232"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916.00</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39.20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58" w:hRule="atLeast"/>
        </w:trPr>
        <w:tc>
          <w:tcPr>
            <w:tcW w:w="1669"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宋体" w:hAnsi="宋体" w:eastAsia="宋体" w:cs="宋体"/>
                <w:color w:val="auto"/>
                <w:kern w:val="0"/>
                <w:sz w:val="24"/>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兴隆村</w:t>
            </w:r>
          </w:p>
        </w:tc>
        <w:tc>
          <w:tcPr>
            <w:tcW w:w="1232"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614.00</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31.97</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58" w:hRule="atLeast"/>
        </w:trPr>
        <w:tc>
          <w:tcPr>
            <w:tcW w:w="34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小  计</w:t>
            </w:r>
          </w:p>
        </w:tc>
        <w:tc>
          <w:tcPr>
            <w:tcW w:w="1232"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sz w:val="24"/>
              </w:rPr>
              <w:t>3507.00</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175.68</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b/>
                <w:bCs/>
                <w:color w:val="auto"/>
                <w:sz w:val="24"/>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b/>
                <w:bCs/>
                <w:color w:val="auto"/>
                <w:sz w:val="24"/>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b/>
                <w:bCs/>
                <w:color w:val="auto"/>
                <w:sz w:val="24"/>
              </w:rPr>
            </w:pPr>
          </w:p>
        </w:tc>
      </w:tr>
      <w:tr>
        <w:tblPrEx>
          <w:tblCellMar>
            <w:top w:w="0" w:type="dxa"/>
            <w:left w:w="108" w:type="dxa"/>
            <w:bottom w:w="0" w:type="dxa"/>
            <w:right w:w="108" w:type="dxa"/>
          </w:tblCellMar>
        </w:tblPrEx>
        <w:trPr>
          <w:trHeight w:val="497" w:hRule="atLeast"/>
        </w:trPr>
        <w:tc>
          <w:tcPr>
            <w:tcW w:w="1669"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高</w:t>
            </w:r>
          </w:p>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峰</w:t>
            </w:r>
          </w:p>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镇</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两河村</w:t>
            </w:r>
          </w:p>
        </w:tc>
        <w:tc>
          <w:tcPr>
            <w:tcW w:w="1232"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579.00</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30.71</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97" w:hRule="atLeast"/>
        </w:trPr>
        <w:tc>
          <w:tcPr>
            <w:tcW w:w="1669"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4"/>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升坪村</w:t>
            </w:r>
          </w:p>
        </w:tc>
        <w:tc>
          <w:tcPr>
            <w:tcW w:w="1232"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498.00</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30.86</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97" w:hRule="atLeast"/>
        </w:trPr>
        <w:tc>
          <w:tcPr>
            <w:tcW w:w="1669"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4"/>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农科村</w:t>
            </w:r>
          </w:p>
        </w:tc>
        <w:tc>
          <w:tcPr>
            <w:tcW w:w="1232"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729.00</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38.29</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97" w:hRule="atLeast"/>
        </w:trPr>
        <w:tc>
          <w:tcPr>
            <w:tcW w:w="1669"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4"/>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长坡村</w:t>
            </w:r>
          </w:p>
        </w:tc>
        <w:tc>
          <w:tcPr>
            <w:tcW w:w="1232"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828.00</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43.14</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97" w:hRule="atLeast"/>
        </w:trPr>
        <w:tc>
          <w:tcPr>
            <w:tcW w:w="1669"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4"/>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永丰村</w:t>
            </w:r>
          </w:p>
        </w:tc>
        <w:tc>
          <w:tcPr>
            <w:tcW w:w="1232"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596.00</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rPr>
              <w:t>31.0</w:t>
            </w:r>
            <w:r>
              <w:rPr>
                <w:rFonts w:hint="eastAsia" w:ascii="宋体" w:hAnsi="宋体" w:eastAsia="宋体" w:cs="宋体"/>
                <w:color w:val="auto"/>
                <w:kern w:val="0"/>
                <w:sz w:val="24"/>
                <w:lang w:val="en-US" w:eastAsia="zh-CN"/>
              </w:rPr>
              <w:t>4</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97" w:hRule="atLeast"/>
        </w:trPr>
        <w:tc>
          <w:tcPr>
            <w:tcW w:w="3459"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 xml:space="preserve">小  </w:t>
            </w:r>
            <w:r>
              <w:rPr>
                <w:rFonts w:hint="eastAsia" w:ascii="宋体" w:hAnsi="宋体" w:eastAsia="宋体" w:cs="宋体"/>
                <w:b/>
                <w:bCs/>
                <w:color w:val="auto"/>
                <w:sz w:val="24"/>
                <w:szCs w:val="24"/>
              </w:rPr>
              <w:t>计</w:t>
            </w:r>
          </w:p>
        </w:tc>
        <w:tc>
          <w:tcPr>
            <w:tcW w:w="1232"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sz w:val="24"/>
              </w:rPr>
              <w:t>3230.00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241" w:firstLineChars="100"/>
              <w:jc w:val="center"/>
              <w:textAlignment w:val="center"/>
              <w:rPr>
                <w:rFonts w:hint="eastAsia" w:ascii="宋体" w:hAnsi="宋体" w:eastAsia="宋体" w:cs="宋体"/>
                <w:b/>
                <w:bCs/>
                <w:color w:val="auto"/>
                <w:kern w:val="0"/>
                <w:sz w:val="24"/>
                <w:lang w:eastAsia="zh-CN"/>
              </w:rPr>
            </w:pPr>
            <w:r>
              <w:rPr>
                <w:rFonts w:hint="eastAsia" w:ascii="宋体" w:hAnsi="宋体" w:eastAsia="宋体" w:cs="宋体"/>
                <w:b/>
                <w:bCs/>
                <w:color w:val="auto"/>
                <w:kern w:val="0"/>
                <w:sz w:val="24"/>
              </w:rPr>
              <w:t>174.0</w:t>
            </w:r>
            <w:r>
              <w:rPr>
                <w:rFonts w:hint="eastAsia" w:ascii="宋体" w:hAnsi="宋体" w:eastAsia="宋体" w:cs="宋体"/>
                <w:b/>
                <w:bCs/>
                <w:color w:val="auto"/>
                <w:kern w:val="0"/>
                <w:sz w:val="24"/>
                <w:lang w:val="en-US" w:eastAsia="zh-CN"/>
              </w:rPr>
              <w:t>4</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auto"/>
                <w:sz w:val="24"/>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auto"/>
                <w:sz w:val="24"/>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auto"/>
                <w:sz w:val="24"/>
              </w:rPr>
            </w:pPr>
          </w:p>
        </w:tc>
      </w:tr>
      <w:tr>
        <w:tblPrEx>
          <w:tblCellMar>
            <w:top w:w="0" w:type="dxa"/>
            <w:left w:w="108" w:type="dxa"/>
            <w:bottom w:w="0" w:type="dxa"/>
            <w:right w:w="108" w:type="dxa"/>
          </w:tblCellMar>
        </w:tblPrEx>
        <w:trPr>
          <w:trHeight w:val="497" w:hRule="atLeast"/>
        </w:trPr>
        <w:tc>
          <w:tcPr>
            <w:tcW w:w="1669"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米粮镇</w:t>
            </w:r>
          </w:p>
        </w:tc>
        <w:tc>
          <w:tcPr>
            <w:tcW w:w="1790" w:type="dxa"/>
            <w:tcBorders>
              <w:top w:val="single" w:color="000000" w:sz="4" w:space="0"/>
              <w:left w:val="single" w:color="auto"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树坪村</w:t>
            </w:r>
          </w:p>
        </w:tc>
        <w:tc>
          <w:tcPr>
            <w:tcW w:w="1232"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351.00</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240" w:firstLineChars="100"/>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20.00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62" w:hRule="atLeast"/>
        </w:trPr>
        <w:tc>
          <w:tcPr>
            <w:tcW w:w="3459" w:type="dxa"/>
            <w:gridSpan w:val="2"/>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小计</w:t>
            </w:r>
          </w:p>
        </w:tc>
        <w:tc>
          <w:tcPr>
            <w:tcW w:w="1232" w:type="dxa"/>
            <w:vMerge w:val="continue"/>
            <w:tcBorders>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sz w:val="24"/>
              </w:rPr>
              <w:t>351.00</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241" w:firstLineChars="100"/>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20.00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608" w:hRule="atLeast"/>
        </w:trPr>
        <w:tc>
          <w:tcPr>
            <w:tcW w:w="3459" w:type="dxa"/>
            <w:gridSpan w:val="2"/>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总计</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p>
        </w:tc>
        <w:tc>
          <w:tcPr>
            <w:tcW w:w="2111"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15000.00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241" w:firstLineChars="100"/>
              <w:jc w:val="center"/>
              <w:textAlignment w:val="center"/>
              <w:rPr>
                <w:rFonts w:hint="eastAsia" w:ascii="宋体" w:hAnsi="宋体" w:eastAsia="宋体" w:cs="宋体"/>
                <w:b/>
                <w:bCs/>
                <w:color w:val="auto"/>
                <w:kern w:val="0"/>
                <w:sz w:val="24"/>
                <w:lang w:eastAsia="zh-CN"/>
              </w:rPr>
            </w:pPr>
            <w:r>
              <w:rPr>
                <w:rFonts w:hint="eastAsia" w:ascii="宋体" w:hAnsi="宋体" w:eastAsia="宋体" w:cs="宋体"/>
                <w:b/>
                <w:bCs/>
                <w:color w:val="auto"/>
                <w:kern w:val="0"/>
                <w:sz w:val="24"/>
              </w:rPr>
              <w:t>777.0</w:t>
            </w:r>
            <w:r>
              <w:rPr>
                <w:rFonts w:hint="eastAsia" w:ascii="宋体" w:hAnsi="宋体" w:eastAsia="宋体" w:cs="宋体"/>
                <w:b/>
                <w:bCs/>
                <w:color w:val="auto"/>
                <w:kern w:val="0"/>
                <w:sz w:val="24"/>
                <w:lang w:val="en-US" w:eastAsia="zh-CN"/>
              </w:rPr>
              <w:t>4</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bl>
    <w:tbl>
      <w:tblPr>
        <w:tblStyle w:val="40"/>
        <w:tblpPr w:leftFromText="180" w:rightFromText="180" w:vertAnchor="text" w:tblpX="15585" w:tblpY="-5606"/>
        <w:tblOverlap w:val="never"/>
        <w:tblW w:w="1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657" w:type="dxa"/>
          </w:tcPr>
          <w:p>
            <w:pPr>
              <w:spacing w:line="180" w:lineRule="exact"/>
              <w:rPr>
                <w:rFonts w:hint="eastAsia" w:ascii="宋体" w:hAnsi="宋体" w:eastAsia="宋体" w:cs="宋体"/>
                <w:color w:val="auto"/>
                <w:sz w:val="32"/>
                <w:szCs w:val="32"/>
              </w:rPr>
            </w:pPr>
          </w:p>
        </w:tc>
      </w:tr>
    </w:tbl>
    <w:tbl>
      <w:tblPr>
        <w:tblStyle w:val="40"/>
        <w:tblpPr w:leftFromText="180" w:rightFromText="180" w:vertAnchor="text" w:tblpX="15585" w:tblpY="-5306"/>
        <w:tblOverlap w:val="never"/>
        <w:tblW w:w="30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007" w:type="dxa"/>
          </w:tcPr>
          <w:p>
            <w:pPr>
              <w:spacing w:line="180" w:lineRule="exact"/>
              <w:rPr>
                <w:rFonts w:hint="eastAsia" w:ascii="宋体" w:hAnsi="宋体" w:eastAsia="宋体" w:cs="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007" w:type="dxa"/>
          </w:tcPr>
          <w:p>
            <w:pPr>
              <w:spacing w:line="180" w:lineRule="exact"/>
              <w:rPr>
                <w:rFonts w:hint="eastAsia" w:ascii="宋体" w:hAnsi="宋体" w:eastAsia="宋体" w:cs="宋体"/>
                <w:color w:val="auto"/>
                <w:sz w:val="32"/>
                <w:szCs w:val="32"/>
              </w:rPr>
            </w:pPr>
          </w:p>
        </w:tc>
      </w:tr>
    </w:tbl>
    <w:p>
      <w:pPr>
        <w:rPr>
          <w:rFonts w:hint="eastAsia" w:ascii="宋体" w:hAnsi="宋体" w:eastAsia="宋体" w:cs="宋体"/>
          <w:color w:val="auto"/>
        </w:rPr>
      </w:pPr>
      <w:r>
        <w:rPr>
          <w:rFonts w:hint="eastAsia" w:ascii="宋体" w:hAnsi="宋体" w:eastAsia="宋体" w:cs="宋体"/>
          <w:color w:val="auto"/>
        </w:rPr>
        <w:br w:type="page"/>
      </w:r>
    </w:p>
    <w:p>
      <w:pPr>
        <w:autoSpaceDN w:val="0"/>
        <w:spacing w:line="60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镇安县2021年度高标准农田建设项目施肥建议卡报价表</w:t>
      </w:r>
    </w:p>
    <w:p>
      <w:pPr>
        <w:rPr>
          <w:rFonts w:hint="eastAsia" w:ascii="宋体" w:hAnsi="宋体" w:eastAsia="宋体" w:cs="宋体"/>
          <w:color w:val="auto"/>
        </w:rPr>
      </w:pPr>
    </w:p>
    <w:tbl>
      <w:tblPr>
        <w:tblStyle w:val="39"/>
        <w:tblW w:w="14378" w:type="dxa"/>
        <w:tblInd w:w="91" w:type="dxa"/>
        <w:tblLayout w:type="fixed"/>
        <w:tblCellMar>
          <w:top w:w="0" w:type="dxa"/>
          <w:left w:w="108" w:type="dxa"/>
          <w:bottom w:w="0" w:type="dxa"/>
          <w:right w:w="108" w:type="dxa"/>
        </w:tblCellMar>
      </w:tblPr>
      <w:tblGrid>
        <w:gridCol w:w="1649"/>
        <w:gridCol w:w="1772"/>
        <w:gridCol w:w="1219"/>
        <w:gridCol w:w="2089"/>
        <w:gridCol w:w="1989"/>
        <w:gridCol w:w="1658"/>
        <w:gridCol w:w="1995"/>
        <w:gridCol w:w="2007"/>
      </w:tblGrid>
      <w:tr>
        <w:tblPrEx>
          <w:tblCellMar>
            <w:top w:w="0" w:type="dxa"/>
            <w:left w:w="108" w:type="dxa"/>
            <w:bottom w:w="0" w:type="dxa"/>
            <w:right w:w="108" w:type="dxa"/>
          </w:tblCellMar>
        </w:tblPrEx>
        <w:trPr>
          <w:trHeight w:val="518" w:hRule="atLeast"/>
          <w:tblHeader/>
        </w:trPr>
        <w:tc>
          <w:tcPr>
            <w:tcW w:w="1649" w:type="dxa"/>
            <w:vMerge w:val="restart"/>
            <w:tcBorders>
              <w:top w:val="single" w:color="000000" w:sz="4" w:space="0"/>
              <w:left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镇（办）</w:t>
            </w:r>
          </w:p>
        </w:tc>
        <w:tc>
          <w:tcPr>
            <w:tcW w:w="1772" w:type="dxa"/>
            <w:vMerge w:val="restart"/>
            <w:tcBorders>
              <w:top w:val="single" w:color="000000" w:sz="4" w:space="0"/>
              <w:left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项目村</w:t>
            </w:r>
          </w:p>
        </w:tc>
        <w:tc>
          <w:tcPr>
            <w:tcW w:w="1219" w:type="dxa"/>
            <w:vMerge w:val="restart"/>
            <w:tcBorders>
              <w:top w:val="single" w:color="000000" w:sz="4" w:space="0"/>
              <w:left w:val="single" w:color="000000" w:sz="4" w:space="0"/>
              <w:right w:val="single" w:color="000000" w:sz="4" w:space="0"/>
            </w:tcBorders>
            <w:shd w:val="clear" w:color="auto" w:fill="FFFFFF"/>
            <w:noWrap/>
            <w:vAlign w:val="center"/>
          </w:tcPr>
          <w:p>
            <w:pPr>
              <w:widowControl/>
              <w:tabs>
                <w:tab w:val="left" w:pos="5270"/>
              </w:tabs>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采购内容 </w:t>
            </w:r>
          </w:p>
        </w:tc>
        <w:tc>
          <w:tcPr>
            <w:tcW w:w="973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abs>
                <w:tab w:val="left" w:pos="5270"/>
              </w:tabs>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报价</w:t>
            </w:r>
          </w:p>
        </w:tc>
      </w:tr>
      <w:tr>
        <w:tblPrEx>
          <w:tblCellMar>
            <w:top w:w="0" w:type="dxa"/>
            <w:left w:w="108" w:type="dxa"/>
            <w:bottom w:w="0" w:type="dxa"/>
            <w:right w:w="108" w:type="dxa"/>
          </w:tblCellMar>
        </w:tblPrEx>
        <w:trPr>
          <w:trHeight w:val="518" w:hRule="atLeast"/>
          <w:tblHeader/>
        </w:trPr>
        <w:tc>
          <w:tcPr>
            <w:tcW w:w="1649" w:type="dxa"/>
            <w:vMerge w:val="continue"/>
            <w:tcBorders>
              <w:left w:val="single" w:color="000000" w:sz="4" w:space="0"/>
              <w:bottom w:val="single" w:color="auto"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p>
        </w:tc>
        <w:tc>
          <w:tcPr>
            <w:tcW w:w="1772" w:type="dxa"/>
            <w:vMerge w:val="continue"/>
            <w:tcBorders>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p>
        </w:tc>
        <w:tc>
          <w:tcPr>
            <w:tcW w:w="1219" w:type="dxa"/>
            <w:vMerge w:val="continue"/>
            <w:tcBorders>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kern w:val="0"/>
                <w:sz w:val="24"/>
              </w:rPr>
            </w:pPr>
          </w:p>
        </w:tc>
        <w:tc>
          <w:tcPr>
            <w:tcW w:w="20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sz w:val="24"/>
              </w:rPr>
              <w:t>单位</w:t>
            </w:r>
          </w:p>
        </w:tc>
        <w:tc>
          <w:tcPr>
            <w:tcW w:w="1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数量</w:t>
            </w:r>
          </w:p>
        </w:tc>
        <w:tc>
          <w:tcPr>
            <w:tcW w:w="16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单价（元/个）</w:t>
            </w:r>
          </w:p>
        </w:tc>
        <w:tc>
          <w:tcPr>
            <w:tcW w:w="1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总价（元）</w:t>
            </w:r>
          </w:p>
        </w:tc>
        <w:tc>
          <w:tcPr>
            <w:tcW w:w="20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tblPrEx>
          <w:tblCellMar>
            <w:top w:w="0" w:type="dxa"/>
            <w:left w:w="108" w:type="dxa"/>
            <w:bottom w:w="0" w:type="dxa"/>
            <w:right w:w="108" w:type="dxa"/>
          </w:tblCellMar>
        </w:tblPrEx>
        <w:trPr>
          <w:trHeight w:val="539" w:hRule="atLeast"/>
        </w:trPr>
        <w:tc>
          <w:tcPr>
            <w:tcW w:w="1649"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永</w:t>
            </w:r>
          </w:p>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乐</w:t>
            </w:r>
          </w:p>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街</w:t>
            </w:r>
          </w:p>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道</w:t>
            </w:r>
          </w:p>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办</w:t>
            </w:r>
          </w:p>
        </w:tc>
        <w:tc>
          <w:tcPr>
            <w:tcW w:w="1772"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庙坡村</w:t>
            </w:r>
          </w:p>
        </w:tc>
        <w:tc>
          <w:tcPr>
            <w:tcW w:w="1219"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sz w:val="24"/>
                <w:szCs w:val="24"/>
              </w:rPr>
              <w:t>施肥建议卡</w:t>
            </w: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 xml:space="preserve"> 个</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r>
              <w:rPr>
                <w:rFonts w:hint="eastAsia" w:ascii="宋体" w:hAnsi="宋体" w:eastAsia="宋体" w:cs="宋体"/>
                <w:color w:val="auto"/>
                <w:sz w:val="24"/>
              </w:rPr>
              <w:t xml:space="preserve"> </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75" w:hRule="atLeast"/>
        </w:trPr>
        <w:tc>
          <w:tcPr>
            <w:tcW w:w="1649" w:type="dxa"/>
            <w:vMerge w:val="continue"/>
            <w:tcBorders>
              <w:left w:val="single" w:color="auto" w:sz="4" w:space="0"/>
              <w:right w:val="single" w:color="auto"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1772"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金花村</w:t>
            </w:r>
          </w:p>
        </w:tc>
        <w:tc>
          <w:tcPr>
            <w:tcW w:w="1219"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个</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75" w:hRule="atLeast"/>
        </w:trPr>
        <w:tc>
          <w:tcPr>
            <w:tcW w:w="1649" w:type="dxa"/>
            <w:vMerge w:val="continue"/>
            <w:tcBorders>
              <w:left w:val="single" w:color="auto" w:sz="4" w:space="0"/>
              <w:right w:val="single" w:color="auto"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1772"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王家坪社区</w:t>
            </w:r>
          </w:p>
        </w:tc>
        <w:tc>
          <w:tcPr>
            <w:tcW w:w="1219"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个</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75" w:hRule="atLeast"/>
        </w:trPr>
        <w:tc>
          <w:tcPr>
            <w:tcW w:w="1649" w:type="dxa"/>
            <w:vMerge w:val="continue"/>
            <w:tcBorders>
              <w:left w:val="single" w:color="auto" w:sz="4" w:space="0"/>
              <w:right w:val="single" w:color="auto"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1772"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安山村</w:t>
            </w:r>
          </w:p>
        </w:tc>
        <w:tc>
          <w:tcPr>
            <w:tcW w:w="1219"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个</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75" w:hRule="atLeast"/>
        </w:trPr>
        <w:tc>
          <w:tcPr>
            <w:tcW w:w="1649"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1772"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山海村</w:t>
            </w:r>
          </w:p>
        </w:tc>
        <w:tc>
          <w:tcPr>
            <w:tcW w:w="1219"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个</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75" w:hRule="atLeast"/>
        </w:trPr>
        <w:tc>
          <w:tcPr>
            <w:tcW w:w="34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小  计</w:t>
            </w:r>
          </w:p>
        </w:tc>
        <w:tc>
          <w:tcPr>
            <w:tcW w:w="1219"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 xml:space="preserve"> 个</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5</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b/>
                <w:bCs/>
                <w:color w:val="auto"/>
                <w:sz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b/>
                <w:bCs/>
                <w:color w:val="auto"/>
                <w:sz w:val="24"/>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b/>
                <w:bCs/>
                <w:color w:val="auto"/>
                <w:sz w:val="24"/>
              </w:rPr>
            </w:pPr>
          </w:p>
        </w:tc>
      </w:tr>
      <w:tr>
        <w:tblPrEx>
          <w:tblCellMar>
            <w:top w:w="0" w:type="dxa"/>
            <w:left w:w="108" w:type="dxa"/>
            <w:bottom w:w="0" w:type="dxa"/>
            <w:right w:w="108" w:type="dxa"/>
          </w:tblCellMar>
        </w:tblPrEx>
        <w:trPr>
          <w:trHeight w:val="475" w:hRule="atLeast"/>
        </w:trPr>
        <w:tc>
          <w:tcPr>
            <w:tcW w:w="1649"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西</w:t>
            </w:r>
          </w:p>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口</w:t>
            </w:r>
          </w:p>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回</w:t>
            </w:r>
          </w:p>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族</w:t>
            </w:r>
          </w:p>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镇</w:t>
            </w:r>
          </w:p>
          <w:p>
            <w:pPr>
              <w:widowControl/>
              <w:spacing w:line="280" w:lineRule="exact"/>
              <w:jc w:val="center"/>
              <w:textAlignment w:val="center"/>
              <w:rPr>
                <w:rFonts w:hint="eastAsia" w:ascii="宋体" w:hAnsi="宋体" w:eastAsia="宋体" w:cs="宋体"/>
                <w:color w:val="auto"/>
                <w:sz w:val="24"/>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东庄村</w:t>
            </w:r>
          </w:p>
        </w:tc>
        <w:tc>
          <w:tcPr>
            <w:tcW w:w="1219"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个</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75" w:hRule="atLeast"/>
        </w:trPr>
        <w:tc>
          <w:tcPr>
            <w:tcW w:w="1649"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石门村</w:t>
            </w:r>
          </w:p>
        </w:tc>
        <w:tc>
          <w:tcPr>
            <w:tcW w:w="1219"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个</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75" w:hRule="atLeast"/>
        </w:trPr>
        <w:tc>
          <w:tcPr>
            <w:tcW w:w="1649"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宝石村</w:t>
            </w:r>
          </w:p>
        </w:tc>
        <w:tc>
          <w:tcPr>
            <w:tcW w:w="1219"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个</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75" w:hRule="atLeast"/>
        </w:trPr>
        <w:tc>
          <w:tcPr>
            <w:tcW w:w="1649"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青树村</w:t>
            </w:r>
          </w:p>
        </w:tc>
        <w:tc>
          <w:tcPr>
            <w:tcW w:w="1219"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个</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795" w:hRule="atLeast"/>
        </w:trPr>
        <w:tc>
          <w:tcPr>
            <w:tcW w:w="1649"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岭沟村</w:t>
            </w:r>
          </w:p>
        </w:tc>
        <w:tc>
          <w:tcPr>
            <w:tcW w:w="1219"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 xml:space="preserve"> 个</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75" w:hRule="atLeast"/>
        </w:trPr>
        <w:tc>
          <w:tcPr>
            <w:tcW w:w="34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 xml:space="preserve">小  </w:t>
            </w:r>
            <w:r>
              <w:rPr>
                <w:rFonts w:hint="eastAsia" w:ascii="宋体" w:hAnsi="宋体" w:eastAsia="宋体" w:cs="宋体"/>
                <w:b/>
                <w:bCs/>
                <w:color w:val="auto"/>
                <w:sz w:val="24"/>
                <w:szCs w:val="24"/>
              </w:rPr>
              <w:t>计</w:t>
            </w:r>
          </w:p>
        </w:tc>
        <w:tc>
          <w:tcPr>
            <w:tcW w:w="1219"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 xml:space="preserve"> 个</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5</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b/>
                <w:bCs/>
                <w:color w:val="auto"/>
                <w:sz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b/>
                <w:bCs/>
                <w:color w:val="auto"/>
                <w:sz w:val="24"/>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b/>
                <w:bCs/>
                <w:color w:val="auto"/>
                <w:sz w:val="24"/>
              </w:rPr>
            </w:pPr>
          </w:p>
        </w:tc>
      </w:tr>
      <w:tr>
        <w:tblPrEx>
          <w:tblCellMar>
            <w:top w:w="0" w:type="dxa"/>
            <w:left w:w="108" w:type="dxa"/>
            <w:bottom w:w="0" w:type="dxa"/>
            <w:right w:w="108" w:type="dxa"/>
          </w:tblCellMar>
        </w:tblPrEx>
        <w:trPr>
          <w:trHeight w:val="475" w:hRule="atLeast"/>
        </w:trPr>
        <w:tc>
          <w:tcPr>
            <w:tcW w:w="1649" w:type="dxa"/>
            <w:vMerge w:val="restart"/>
            <w:tcBorders>
              <w:top w:val="single" w:color="000000" w:sz="4" w:space="0"/>
              <w:left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青</w:t>
            </w:r>
          </w:p>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铜</w:t>
            </w:r>
          </w:p>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关</w:t>
            </w:r>
          </w:p>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镇</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旬河村</w:t>
            </w:r>
          </w:p>
        </w:tc>
        <w:tc>
          <w:tcPr>
            <w:tcW w:w="1219"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个</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75" w:hRule="atLeast"/>
        </w:trPr>
        <w:tc>
          <w:tcPr>
            <w:tcW w:w="1649" w:type="dxa"/>
            <w:vMerge w:val="continue"/>
            <w:tcBorders>
              <w:left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宋体" w:hAnsi="宋体" w:eastAsia="宋体" w:cs="宋体"/>
                <w:color w:val="auto"/>
                <w:kern w:val="0"/>
                <w:sz w:val="24"/>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乡中村</w:t>
            </w:r>
          </w:p>
        </w:tc>
        <w:tc>
          <w:tcPr>
            <w:tcW w:w="1219"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 xml:space="preserve"> 个</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75" w:hRule="atLeast"/>
        </w:trPr>
        <w:tc>
          <w:tcPr>
            <w:tcW w:w="1649" w:type="dxa"/>
            <w:vMerge w:val="continue"/>
            <w:tcBorders>
              <w:left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宋体" w:hAnsi="宋体" w:eastAsia="宋体" w:cs="宋体"/>
                <w:color w:val="auto"/>
                <w:kern w:val="0"/>
                <w:sz w:val="24"/>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东坪村</w:t>
            </w:r>
          </w:p>
        </w:tc>
        <w:tc>
          <w:tcPr>
            <w:tcW w:w="1219"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 xml:space="preserve"> 个</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75" w:hRule="atLeast"/>
        </w:trPr>
        <w:tc>
          <w:tcPr>
            <w:tcW w:w="1649" w:type="dxa"/>
            <w:vMerge w:val="continue"/>
            <w:tcBorders>
              <w:left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宋体" w:hAnsi="宋体" w:eastAsia="宋体" w:cs="宋体"/>
                <w:color w:val="auto"/>
                <w:kern w:val="0"/>
                <w:sz w:val="24"/>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前湾村</w:t>
            </w:r>
          </w:p>
        </w:tc>
        <w:tc>
          <w:tcPr>
            <w:tcW w:w="1219"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 xml:space="preserve"> 个</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75" w:hRule="atLeast"/>
        </w:trPr>
        <w:tc>
          <w:tcPr>
            <w:tcW w:w="1649"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宋体" w:hAnsi="宋体" w:eastAsia="宋体" w:cs="宋体"/>
                <w:color w:val="auto"/>
                <w:kern w:val="0"/>
                <w:sz w:val="24"/>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兴隆村</w:t>
            </w:r>
          </w:p>
        </w:tc>
        <w:tc>
          <w:tcPr>
            <w:tcW w:w="1219"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 xml:space="preserve"> 个</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75" w:hRule="atLeast"/>
        </w:trPr>
        <w:tc>
          <w:tcPr>
            <w:tcW w:w="34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小  计</w:t>
            </w:r>
          </w:p>
        </w:tc>
        <w:tc>
          <w:tcPr>
            <w:tcW w:w="1219"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个</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5</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b/>
                <w:bCs/>
                <w:color w:val="auto"/>
                <w:sz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b/>
                <w:bCs/>
                <w:color w:val="auto"/>
                <w:sz w:val="24"/>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b/>
                <w:bCs/>
                <w:color w:val="auto"/>
                <w:sz w:val="24"/>
              </w:rPr>
            </w:pPr>
          </w:p>
        </w:tc>
      </w:tr>
      <w:tr>
        <w:tblPrEx>
          <w:tblCellMar>
            <w:top w:w="0" w:type="dxa"/>
            <w:left w:w="108" w:type="dxa"/>
            <w:bottom w:w="0" w:type="dxa"/>
            <w:right w:w="108" w:type="dxa"/>
          </w:tblCellMar>
        </w:tblPrEx>
        <w:trPr>
          <w:trHeight w:val="519" w:hRule="atLeast"/>
        </w:trPr>
        <w:tc>
          <w:tcPr>
            <w:tcW w:w="1649"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高</w:t>
            </w:r>
          </w:p>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峰</w:t>
            </w:r>
          </w:p>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镇</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两河村</w:t>
            </w:r>
          </w:p>
        </w:tc>
        <w:tc>
          <w:tcPr>
            <w:tcW w:w="1219"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个</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19" w:hRule="atLeast"/>
        </w:trPr>
        <w:tc>
          <w:tcPr>
            <w:tcW w:w="1649"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4"/>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升坪村</w:t>
            </w:r>
          </w:p>
        </w:tc>
        <w:tc>
          <w:tcPr>
            <w:tcW w:w="1219"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个</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19" w:hRule="atLeast"/>
        </w:trPr>
        <w:tc>
          <w:tcPr>
            <w:tcW w:w="1649"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4"/>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农科村</w:t>
            </w:r>
          </w:p>
        </w:tc>
        <w:tc>
          <w:tcPr>
            <w:tcW w:w="1219"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个</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19" w:hRule="atLeast"/>
        </w:trPr>
        <w:tc>
          <w:tcPr>
            <w:tcW w:w="1649"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4"/>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长坡村</w:t>
            </w:r>
          </w:p>
        </w:tc>
        <w:tc>
          <w:tcPr>
            <w:tcW w:w="1219"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个</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19" w:hRule="atLeast"/>
        </w:trPr>
        <w:tc>
          <w:tcPr>
            <w:tcW w:w="1649"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4"/>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永丰村</w:t>
            </w:r>
          </w:p>
        </w:tc>
        <w:tc>
          <w:tcPr>
            <w:tcW w:w="1219"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个</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19" w:hRule="atLeast"/>
        </w:trPr>
        <w:tc>
          <w:tcPr>
            <w:tcW w:w="3421"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 xml:space="preserve">小  </w:t>
            </w:r>
            <w:r>
              <w:rPr>
                <w:rFonts w:hint="eastAsia" w:ascii="宋体" w:hAnsi="宋体" w:eastAsia="宋体" w:cs="宋体"/>
                <w:b/>
                <w:bCs/>
                <w:color w:val="auto"/>
                <w:sz w:val="24"/>
                <w:szCs w:val="24"/>
              </w:rPr>
              <w:t>计</w:t>
            </w:r>
          </w:p>
        </w:tc>
        <w:tc>
          <w:tcPr>
            <w:tcW w:w="1219"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 xml:space="preserve"> 个</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5</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auto"/>
                <w:sz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auto"/>
                <w:sz w:val="24"/>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auto"/>
                <w:sz w:val="24"/>
              </w:rPr>
            </w:pPr>
          </w:p>
        </w:tc>
      </w:tr>
      <w:tr>
        <w:tblPrEx>
          <w:tblCellMar>
            <w:top w:w="0" w:type="dxa"/>
            <w:left w:w="108" w:type="dxa"/>
            <w:bottom w:w="0" w:type="dxa"/>
            <w:right w:w="108" w:type="dxa"/>
          </w:tblCellMar>
        </w:tblPrEx>
        <w:trPr>
          <w:trHeight w:val="519" w:hRule="atLeast"/>
        </w:trPr>
        <w:tc>
          <w:tcPr>
            <w:tcW w:w="1649"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米粮镇</w:t>
            </w:r>
          </w:p>
        </w:tc>
        <w:tc>
          <w:tcPr>
            <w:tcW w:w="1772" w:type="dxa"/>
            <w:tcBorders>
              <w:top w:val="single" w:color="000000" w:sz="4" w:space="0"/>
              <w:left w:val="single" w:color="auto"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树坪村</w:t>
            </w:r>
          </w:p>
        </w:tc>
        <w:tc>
          <w:tcPr>
            <w:tcW w:w="1219"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个</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612" w:hRule="atLeast"/>
        </w:trPr>
        <w:tc>
          <w:tcPr>
            <w:tcW w:w="3421" w:type="dxa"/>
            <w:gridSpan w:val="2"/>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小计</w:t>
            </w:r>
          </w:p>
        </w:tc>
        <w:tc>
          <w:tcPr>
            <w:tcW w:w="1219"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 xml:space="preserve"> 个</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623" w:hRule="atLeast"/>
        </w:trPr>
        <w:tc>
          <w:tcPr>
            <w:tcW w:w="3421" w:type="dxa"/>
            <w:gridSpan w:val="2"/>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总计</w:t>
            </w:r>
          </w:p>
        </w:tc>
        <w:tc>
          <w:tcPr>
            <w:tcW w:w="1219" w:type="dxa"/>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个</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21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bl>
    <w:p>
      <w:pPr>
        <w:rPr>
          <w:rFonts w:hint="eastAsia" w:ascii="宋体" w:hAnsi="宋体" w:eastAsia="宋体" w:cs="宋体"/>
          <w:color w:val="auto"/>
        </w:rPr>
      </w:pPr>
      <w:r>
        <w:rPr>
          <w:rFonts w:hint="eastAsia" w:ascii="宋体" w:hAnsi="宋体" w:eastAsia="宋体" w:cs="宋体"/>
          <w:color w:val="auto"/>
        </w:rPr>
        <w:br w:type="page"/>
      </w:r>
    </w:p>
    <w:p>
      <w:pPr>
        <w:autoSpaceDN w:val="0"/>
        <w:spacing w:line="60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镇安县2021年度高标准农田建设项目秸秆粉碎机报价表</w:t>
      </w:r>
    </w:p>
    <w:p>
      <w:pPr>
        <w:rPr>
          <w:rFonts w:hint="eastAsia" w:ascii="宋体" w:hAnsi="宋体" w:eastAsia="宋体" w:cs="宋体"/>
          <w:color w:val="auto"/>
        </w:rPr>
      </w:pPr>
    </w:p>
    <w:tbl>
      <w:tblPr>
        <w:tblStyle w:val="39"/>
        <w:tblW w:w="14678" w:type="dxa"/>
        <w:tblInd w:w="91" w:type="dxa"/>
        <w:tblLayout w:type="fixed"/>
        <w:tblCellMar>
          <w:top w:w="0" w:type="dxa"/>
          <w:left w:w="108" w:type="dxa"/>
          <w:bottom w:w="0" w:type="dxa"/>
          <w:right w:w="108" w:type="dxa"/>
        </w:tblCellMar>
      </w:tblPr>
      <w:tblGrid>
        <w:gridCol w:w="1680"/>
        <w:gridCol w:w="1804"/>
        <w:gridCol w:w="1241"/>
        <w:gridCol w:w="2128"/>
        <w:gridCol w:w="2028"/>
        <w:gridCol w:w="1714"/>
        <w:gridCol w:w="2038"/>
        <w:gridCol w:w="2045"/>
      </w:tblGrid>
      <w:tr>
        <w:tblPrEx>
          <w:tblCellMar>
            <w:top w:w="0" w:type="dxa"/>
            <w:left w:w="108" w:type="dxa"/>
            <w:bottom w:w="0" w:type="dxa"/>
            <w:right w:w="108" w:type="dxa"/>
          </w:tblCellMar>
        </w:tblPrEx>
        <w:trPr>
          <w:trHeight w:val="536" w:hRule="atLeast"/>
          <w:tblHeader/>
        </w:trPr>
        <w:tc>
          <w:tcPr>
            <w:tcW w:w="1680" w:type="dxa"/>
            <w:vMerge w:val="restart"/>
            <w:tcBorders>
              <w:top w:val="single" w:color="000000" w:sz="4" w:space="0"/>
              <w:left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镇（办）</w:t>
            </w:r>
          </w:p>
        </w:tc>
        <w:tc>
          <w:tcPr>
            <w:tcW w:w="1804" w:type="dxa"/>
            <w:vMerge w:val="restart"/>
            <w:tcBorders>
              <w:top w:val="single" w:color="000000" w:sz="4" w:space="0"/>
              <w:left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项目村</w:t>
            </w:r>
          </w:p>
        </w:tc>
        <w:tc>
          <w:tcPr>
            <w:tcW w:w="1241" w:type="dxa"/>
            <w:vMerge w:val="restart"/>
            <w:tcBorders>
              <w:top w:val="single" w:color="000000" w:sz="4" w:space="0"/>
              <w:left w:val="single" w:color="000000" w:sz="4" w:space="0"/>
              <w:right w:val="single" w:color="000000" w:sz="4" w:space="0"/>
            </w:tcBorders>
            <w:shd w:val="clear" w:color="auto" w:fill="FFFFFF"/>
            <w:noWrap/>
            <w:vAlign w:val="center"/>
          </w:tcPr>
          <w:p>
            <w:pPr>
              <w:widowControl/>
              <w:tabs>
                <w:tab w:val="left" w:pos="5270"/>
              </w:tabs>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采购内容 </w:t>
            </w:r>
          </w:p>
        </w:tc>
        <w:tc>
          <w:tcPr>
            <w:tcW w:w="9953"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abs>
                <w:tab w:val="left" w:pos="5270"/>
              </w:tabs>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报价</w:t>
            </w:r>
          </w:p>
        </w:tc>
      </w:tr>
      <w:tr>
        <w:tblPrEx>
          <w:tblCellMar>
            <w:top w:w="0" w:type="dxa"/>
            <w:left w:w="108" w:type="dxa"/>
            <w:bottom w:w="0" w:type="dxa"/>
            <w:right w:w="108" w:type="dxa"/>
          </w:tblCellMar>
        </w:tblPrEx>
        <w:trPr>
          <w:trHeight w:val="536" w:hRule="atLeast"/>
          <w:tblHeader/>
        </w:trPr>
        <w:tc>
          <w:tcPr>
            <w:tcW w:w="1680" w:type="dxa"/>
            <w:vMerge w:val="continue"/>
            <w:tcBorders>
              <w:left w:val="single" w:color="000000" w:sz="4" w:space="0"/>
              <w:bottom w:val="single" w:color="auto"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p>
        </w:tc>
        <w:tc>
          <w:tcPr>
            <w:tcW w:w="1804" w:type="dxa"/>
            <w:vMerge w:val="continue"/>
            <w:tcBorders>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p>
        </w:tc>
        <w:tc>
          <w:tcPr>
            <w:tcW w:w="1241" w:type="dxa"/>
            <w:vMerge w:val="continue"/>
            <w:tcBorders>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kern w:val="0"/>
                <w:sz w:val="24"/>
              </w:rPr>
            </w:pPr>
          </w:p>
        </w:tc>
        <w:tc>
          <w:tcPr>
            <w:tcW w:w="2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sz w:val="24"/>
              </w:rPr>
              <w:t>单位</w:t>
            </w:r>
          </w:p>
        </w:tc>
        <w:tc>
          <w:tcPr>
            <w:tcW w:w="20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数量</w:t>
            </w:r>
          </w:p>
        </w:tc>
        <w:tc>
          <w:tcPr>
            <w:tcW w:w="1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sz w:val="24"/>
              </w:rPr>
              <w:t>单价（元/台）</w:t>
            </w:r>
          </w:p>
        </w:tc>
        <w:tc>
          <w:tcPr>
            <w:tcW w:w="2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总价（元）</w:t>
            </w:r>
          </w:p>
        </w:tc>
        <w:tc>
          <w:tcPr>
            <w:tcW w:w="20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tblPrEx>
          <w:tblCellMar>
            <w:top w:w="0" w:type="dxa"/>
            <w:left w:w="108" w:type="dxa"/>
            <w:bottom w:w="0" w:type="dxa"/>
            <w:right w:w="108" w:type="dxa"/>
          </w:tblCellMar>
        </w:tblPrEx>
        <w:trPr>
          <w:trHeight w:val="550" w:hRule="atLeast"/>
        </w:trPr>
        <w:tc>
          <w:tcPr>
            <w:tcW w:w="168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永</w:t>
            </w:r>
          </w:p>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乐</w:t>
            </w:r>
          </w:p>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街</w:t>
            </w:r>
          </w:p>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道</w:t>
            </w:r>
          </w:p>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办</w:t>
            </w:r>
          </w:p>
        </w:tc>
        <w:tc>
          <w:tcPr>
            <w:tcW w:w="1804"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庙坡村</w:t>
            </w:r>
          </w:p>
        </w:tc>
        <w:tc>
          <w:tcPr>
            <w:tcW w:w="1241"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sz w:val="24"/>
                <w:szCs w:val="24"/>
              </w:rPr>
              <w:t>秸秆粉碎机</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 xml:space="preserve"> 台</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r>
              <w:rPr>
                <w:rFonts w:hint="eastAsia" w:ascii="宋体" w:hAnsi="宋体" w:eastAsia="宋体" w:cs="宋体"/>
                <w:color w:val="auto"/>
                <w:sz w:val="24"/>
              </w:rPr>
              <w:t xml:space="preserve"> </w:t>
            </w: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04" w:hRule="atLeast"/>
        </w:trPr>
        <w:tc>
          <w:tcPr>
            <w:tcW w:w="1680" w:type="dxa"/>
            <w:vMerge w:val="continue"/>
            <w:tcBorders>
              <w:left w:val="single" w:color="auto" w:sz="4" w:space="0"/>
              <w:right w:val="single" w:color="auto"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1804"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金花村</w:t>
            </w:r>
          </w:p>
        </w:tc>
        <w:tc>
          <w:tcPr>
            <w:tcW w:w="124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台</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04" w:hRule="atLeast"/>
        </w:trPr>
        <w:tc>
          <w:tcPr>
            <w:tcW w:w="1680" w:type="dxa"/>
            <w:vMerge w:val="continue"/>
            <w:tcBorders>
              <w:left w:val="single" w:color="auto" w:sz="4" w:space="0"/>
              <w:right w:val="single" w:color="auto"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1804"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王家坪社区</w:t>
            </w:r>
          </w:p>
        </w:tc>
        <w:tc>
          <w:tcPr>
            <w:tcW w:w="124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台</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04" w:hRule="atLeast"/>
        </w:trPr>
        <w:tc>
          <w:tcPr>
            <w:tcW w:w="1680" w:type="dxa"/>
            <w:vMerge w:val="continue"/>
            <w:tcBorders>
              <w:left w:val="single" w:color="auto" w:sz="4" w:space="0"/>
              <w:right w:val="single" w:color="auto"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1804"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安山村</w:t>
            </w:r>
          </w:p>
        </w:tc>
        <w:tc>
          <w:tcPr>
            <w:tcW w:w="124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台</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04" w:hRule="atLeast"/>
        </w:trPr>
        <w:tc>
          <w:tcPr>
            <w:tcW w:w="1680"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1804"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山海村</w:t>
            </w:r>
          </w:p>
        </w:tc>
        <w:tc>
          <w:tcPr>
            <w:tcW w:w="124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台</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04" w:hRule="atLeast"/>
        </w:trPr>
        <w:tc>
          <w:tcPr>
            <w:tcW w:w="3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小  计</w:t>
            </w:r>
          </w:p>
        </w:tc>
        <w:tc>
          <w:tcPr>
            <w:tcW w:w="124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 xml:space="preserve"> 台</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10</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b/>
                <w:bCs/>
                <w:color w:val="auto"/>
                <w:sz w:val="24"/>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b/>
                <w:bCs/>
                <w:color w:val="auto"/>
                <w:sz w:val="24"/>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b/>
                <w:bCs/>
                <w:color w:val="auto"/>
                <w:sz w:val="24"/>
              </w:rPr>
            </w:pPr>
          </w:p>
        </w:tc>
      </w:tr>
      <w:tr>
        <w:tblPrEx>
          <w:tblCellMar>
            <w:top w:w="0" w:type="dxa"/>
            <w:left w:w="108" w:type="dxa"/>
            <w:bottom w:w="0" w:type="dxa"/>
            <w:right w:w="108" w:type="dxa"/>
          </w:tblCellMar>
        </w:tblPrEx>
        <w:trPr>
          <w:trHeight w:val="504" w:hRule="atLeast"/>
        </w:trPr>
        <w:tc>
          <w:tcPr>
            <w:tcW w:w="1680"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西</w:t>
            </w:r>
          </w:p>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口</w:t>
            </w:r>
          </w:p>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回</w:t>
            </w:r>
          </w:p>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族</w:t>
            </w:r>
          </w:p>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镇</w:t>
            </w:r>
          </w:p>
          <w:p>
            <w:pPr>
              <w:widowControl/>
              <w:spacing w:line="280" w:lineRule="exact"/>
              <w:jc w:val="center"/>
              <w:textAlignment w:val="center"/>
              <w:rPr>
                <w:rFonts w:hint="eastAsia" w:ascii="宋体" w:hAnsi="宋体" w:eastAsia="宋体" w:cs="宋体"/>
                <w:color w:val="auto"/>
                <w:sz w:val="24"/>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东庄村</w:t>
            </w:r>
          </w:p>
        </w:tc>
        <w:tc>
          <w:tcPr>
            <w:tcW w:w="124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台</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04" w:hRule="atLeast"/>
        </w:trPr>
        <w:tc>
          <w:tcPr>
            <w:tcW w:w="1680"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石门村</w:t>
            </w:r>
          </w:p>
        </w:tc>
        <w:tc>
          <w:tcPr>
            <w:tcW w:w="124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台</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04" w:hRule="atLeast"/>
        </w:trPr>
        <w:tc>
          <w:tcPr>
            <w:tcW w:w="1680"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宝石村</w:t>
            </w:r>
          </w:p>
        </w:tc>
        <w:tc>
          <w:tcPr>
            <w:tcW w:w="124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台</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04" w:hRule="atLeast"/>
        </w:trPr>
        <w:tc>
          <w:tcPr>
            <w:tcW w:w="1680"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青树村</w:t>
            </w:r>
          </w:p>
        </w:tc>
        <w:tc>
          <w:tcPr>
            <w:tcW w:w="124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台</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728" w:hRule="atLeast"/>
        </w:trPr>
        <w:tc>
          <w:tcPr>
            <w:tcW w:w="1680"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岭沟村</w:t>
            </w:r>
          </w:p>
        </w:tc>
        <w:tc>
          <w:tcPr>
            <w:tcW w:w="124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 xml:space="preserve"> 台</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04" w:hRule="atLeast"/>
        </w:trPr>
        <w:tc>
          <w:tcPr>
            <w:tcW w:w="3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 xml:space="preserve">小  </w:t>
            </w:r>
            <w:r>
              <w:rPr>
                <w:rFonts w:hint="eastAsia" w:ascii="宋体" w:hAnsi="宋体" w:eastAsia="宋体" w:cs="宋体"/>
                <w:b/>
                <w:bCs/>
                <w:color w:val="auto"/>
                <w:sz w:val="24"/>
                <w:szCs w:val="24"/>
              </w:rPr>
              <w:t>计</w:t>
            </w:r>
          </w:p>
        </w:tc>
        <w:tc>
          <w:tcPr>
            <w:tcW w:w="124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 xml:space="preserve"> 台</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10</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b/>
                <w:bCs/>
                <w:color w:val="auto"/>
                <w:sz w:val="24"/>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b/>
                <w:bCs/>
                <w:color w:val="auto"/>
                <w:sz w:val="24"/>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b/>
                <w:bCs/>
                <w:color w:val="auto"/>
                <w:sz w:val="24"/>
              </w:rPr>
            </w:pPr>
          </w:p>
        </w:tc>
      </w:tr>
      <w:tr>
        <w:tblPrEx>
          <w:tblCellMar>
            <w:top w:w="0" w:type="dxa"/>
            <w:left w:w="108" w:type="dxa"/>
            <w:bottom w:w="0" w:type="dxa"/>
            <w:right w:w="108" w:type="dxa"/>
          </w:tblCellMar>
        </w:tblPrEx>
        <w:trPr>
          <w:trHeight w:val="504" w:hRule="atLeast"/>
        </w:trPr>
        <w:tc>
          <w:tcPr>
            <w:tcW w:w="168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青</w:t>
            </w:r>
          </w:p>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铜</w:t>
            </w:r>
          </w:p>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关</w:t>
            </w:r>
          </w:p>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镇</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旬河村</w:t>
            </w:r>
          </w:p>
        </w:tc>
        <w:tc>
          <w:tcPr>
            <w:tcW w:w="1241"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台</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04" w:hRule="atLeast"/>
        </w:trPr>
        <w:tc>
          <w:tcPr>
            <w:tcW w:w="1680"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24"/>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乡中村</w:t>
            </w:r>
          </w:p>
        </w:tc>
        <w:tc>
          <w:tcPr>
            <w:tcW w:w="1241"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 xml:space="preserve"> 台</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04" w:hRule="atLeast"/>
        </w:trPr>
        <w:tc>
          <w:tcPr>
            <w:tcW w:w="1680"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24"/>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东坪村</w:t>
            </w:r>
          </w:p>
        </w:tc>
        <w:tc>
          <w:tcPr>
            <w:tcW w:w="1241"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 xml:space="preserve"> 台</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04" w:hRule="atLeast"/>
        </w:trPr>
        <w:tc>
          <w:tcPr>
            <w:tcW w:w="1680"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24"/>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前湾村</w:t>
            </w:r>
          </w:p>
        </w:tc>
        <w:tc>
          <w:tcPr>
            <w:tcW w:w="1241"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 xml:space="preserve"> 台</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04" w:hRule="atLeast"/>
        </w:trPr>
        <w:tc>
          <w:tcPr>
            <w:tcW w:w="168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24"/>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兴隆村</w:t>
            </w:r>
          </w:p>
        </w:tc>
        <w:tc>
          <w:tcPr>
            <w:tcW w:w="1241"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 xml:space="preserve"> 台</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04" w:hRule="atLeast"/>
        </w:trPr>
        <w:tc>
          <w:tcPr>
            <w:tcW w:w="3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小  计</w:t>
            </w:r>
          </w:p>
        </w:tc>
        <w:tc>
          <w:tcPr>
            <w:tcW w:w="1241"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台</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10</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auto"/>
                <w:sz w:val="24"/>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auto"/>
                <w:sz w:val="24"/>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auto"/>
                <w:sz w:val="24"/>
              </w:rPr>
            </w:pPr>
          </w:p>
        </w:tc>
      </w:tr>
      <w:tr>
        <w:tblPrEx>
          <w:tblCellMar>
            <w:top w:w="0" w:type="dxa"/>
            <w:left w:w="108" w:type="dxa"/>
            <w:bottom w:w="0" w:type="dxa"/>
            <w:right w:w="108" w:type="dxa"/>
          </w:tblCellMar>
        </w:tblPrEx>
        <w:trPr>
          <w:trHeight w:val="534" w:hRule="atLeast"/>
        </w:trPr>
        <w:tc>
          <w:tcPr>
            <w:tcW w:w="168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高</w:t>
            </w:r>
          </w:p>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峰</w:t>
            </w:r>
          </w:p>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镇</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两河村</w:t>
            </w:r>
          </w:p>
        </w:tc>
        <w:tc>
          <w:tcPr>
            <w:tcW w:w="1241"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台</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34" w:hRule="atLeast"/>
        </w:trPr>
        <w:tc>
          <w:tcPr>
            <w:tcW w:w="1680"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4"/>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升坪村</w:t>
            </w:r>
          </w:p>
        </w:tc>
        <w:tc>
          <w:tcPr>
            <w:tcW w:w="1241"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台</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34" w:hRule="atLeast"/>
        </w:trPr>
        <w:tc>
          <w:tcPr>
            <w:tcW w:w="1680"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4"/>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农科村</w:t>
            </w:r>
          </w:p>
        </w:tc>
        <w:tc>
          <w:tcPr>
            <w:tcW w:w="1241"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台</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34" w:hRule="atLeast"/>
        </w:trPr>
        <w:tc>
          <w:tcPr>
            <w:tcW w:w="1680"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4"/>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长坡村</w:t>
            </w:r>
          </w:p>
        </w:tc>
        <w:tc>
          <w:tcPr>
            <w:tcW w:w="1241"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台</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34" w:hRule="atLeast"/>
        </w:trPr>
        <w:tc>
          <w:tcPr>
            <w:tcW w:w="168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4"/>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永丰村</w:t>
            </w:r>
          </w:p>
        </w:tc>
        <w:tc>
          <w:tcPr>
            <w:tcW w:w="1241"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台</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34" w:hRule="atLeast"/>
        </w:trPr>
        <w:tc>
          <w:tcPr>
            <w:tcW w:w="3484"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 xml:space="preserve">小  </w:t>
            </w:r>
            <w:r>
              <w:rPr>
                <w:rFonts w:hint="eastAsia" w:ascii="宋体" w:hAnsi="宋体" w:eastAsia="宋体" w:cs="宋体"/>
                <w:b/>
                <w:bCs/>
                <w:color w:val="auto"/>
                <w:sz w:val="24"/>
                <w:szCs w:val="24"/>
              </w:rPr>
              <w:t>计</w:t>
            </w:r>
          </w:p>
        </w:tc>
        <w:tc>
          <w:tcPr>
            <w:tcW w:w="1241"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 xml:space="preserve"> 台</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10</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auto"/>
                <w:sz w:val="24"/>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auto"/>
                <w:sz w:val="24"/>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auto"/>
                <w:sz w:val="24"/>
              </w:rPr>
            </w:pPr>
          </w:p>
        </w:tc>
      </w:tr>
      <w:tr>
        <w:tblPrEx>
          <w:tblCellMar>
            <w:top w:w="0" w:type="dxa"/>
            <w:left w:w="108" w:type="dxa"/>
            <w:bottom w:w="0" w:type="dxa"/>
            <w:right w:w="108" w:type="dxa"/>
          </w:tblCellMar>
        </w:tblPrEx>
        <w:trPr>
          <w:trHeight w:val="777" w:hRule="atLeast"/>
        </w:trPr>
        <w:tc>
          <w:tcPr>
            <w:tcW w:w="3484" w:type="dxa"/>
            <w:gridSpan w:val="2"/>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总计</w:t>
            </w:r>
          </w:p>
        </w:tc>
        <w:tc>
          <w:tcPr>
            <w:tcW w:w="1241" w:type="dxa"/>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 xml:space="preserve"> 台</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40</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bl>
    <w:p>
      <w:pPr>
        <w:rPr>
          <w:rFonts w:hint="eastAsia" w:ascii="宋体" w:hAnsi="宋体" w:eastAsia="宋体" w:cs="宋体"/>
          <w:color w:val="auto"/>
        </w:rPr>
        <w:sectPr>
          <w:footnotePr>
            <w:pos w:val="beneathText"/>
          </w:footnotePr>
          <w:pgSz w:w="16838" w:h="11906" w:orient="landscape"/>
          <w:pgMar w:top="1644" w:right="1440" w:bottom="1423" w:left="1219" w:header="720" w:footer="720" w:gutter="0"/>
          <w:cols w:space="0" w:num="1"/>
          <w:docGrid w:linePitch="312" w:charSpace="0"/>
        </w:sectPr>
      </w:pPr>
    </w:p>
    <w:p>
      <w:pPr>
        <w:pStyle w:val="4"/>
        <w:adjustRightInd w:val="0"/>
        <w:spacing w:line="360" w:lineRule="auto"/>
        <w:jc w:val="center"/>
        <w:textAlignment w:val="baseline"/>
        <w:rPr>
          <w:rFonts w:hint="eastAsia" w:ascii="宋体" w:hAnsi="宋体" w:eastAsia="宋体" w:cs="宋体"/>
          <w:color w:val="auto"/>
        </w:rPr>
      </w:pPr>
      <w:r>
        <w:rPr>
          <w:rFonts w:hint="eastAsia" w:ascii="宋体" w:hAnsi="宋体" w:eastAsia="宋体" w:cs="宋体"/>
          <w:color w:val="auto"/>
        </w:rPr>
        <w:t>三、资格证明文件</w:t>
      </w:r>
      <w:bookmarkEnd w:id="197"/>
    </w:p>
    <w:p>
      <w:pPr>
        <w:spacing w:line="360" w:lineRule="auto"/>
        <w:ind w:firstLine="482" w:firstLineChars="200"/>
        <w:rPr>
          <w:rFonts w:hint="eastAsia" w:ascii="宋体" w:hAnsi="宋体" w:eastAsia="宋体" w:cs="宋体"/>
          <w:color w:val="auto"/>
          <w:sz w:val="24"/>
          <w:szCs w:val="24"/>
        </w:rPr>
      </w:pPr>
      <w:bookmarkStart w:id="201" w:name="_Toc19321"/>
      <w:r>
        <w:rPr>
          <w:rFonts w:hint="eastAsia" w:ascii="宋体" w:hAnsi="宋体" w:eastAsia="宋体" w:cs="宋体"/>
          <w:b/>
          <w:bCs/>
          <w:color w:val="auto"/>
          <w:sz w:val="24"/>
          <w:szCs w:val="24"/>
        </w:rPr>
        <w:t>1、基本资格条件：</w:t>
      </w:r>
      <w:r>
        <w:rPr>
          <w:rFonts w:hint="eastAsia" w:ascii="宋体" w:hAnsi="宋体" w:eastAsia="宋体" w:cs="宋体"/>
          <w:color w:val="auto"/>
          <w:sz w:val="24"/>
          <w:szCs w:val="24"/>
        </w:rPr>
        <w:t>符合《中华人民共和国政府采购法》第二十二条规定：</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w:t>
      </w:r>
      <w:r>
        <w:rPr>
          <w:rFonts w:hint="eastAsia" w:ascii="宋体" w:hAnsi="宋体" w:eastAsia="宋体" w:cs="宋体"/>
          <w:color w:val="auto"/>
          <w:kern w:val="0"/>
          <w:sz w:val="24"/>
          <w:szCs w:val="24"/>
        </w:rPr>
        <w:t>1）具有独立承担民事责任的能力：提供供应商合法注册的法人或其他组织的营业执照/事业单位法人证书/非企业专业服务机构执业许可证/民办非企业单位登记证书/自然人提供身份证明（提供复印件并加盖供应商公章）。</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2）具有良好的商业信誉和健全的财务会计制度：提供2021年度经审计的财务审计报告，成立时间至提交响应文件截止时间不足一年的可提供成立后任意时段的资产负债表，或其基本存款账户开户银行出具的资信证明（提供复印件并加盖供应商公章）。 </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（3）具有履行合同所必需的设备和专业技术能力：提供承诺书并加盖供应商公章。</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有依法缴纳税收和社会保障资金的良好记录：①税收缴纳证明：法人提供响应文件截止时间前一年内至少一个月已缴纳的增值税或企业所得税的凭据；其他组织和自然人提供响应文件截止时间前一年内至少一个月缴纳税收的凭据；依法免税的供应商应提供相关文件证明（提供复印件并加盖供应商公章）；②社会保障资金缴纳证明：提供响应文件截止时间前一年内至少一个月已缴纳的社会保障资金的凭据（专用收据或社会保险缴纳清单）；依法不需要缴纳社会保障资金的供应商应提供相关文件证明（提供复印件并加盖供应商公章）。</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（5）参加政府采购活动前三年内，在经营活动中没有重大违法记录：提供书面声明并加盖供应商公章。 </w:t>
      </w:r>
    </w:p>
    <w:p>
      <w:pPr>
        <w:spacing w:line="360" w:lineRule="auto"/>
        <w:ind w:firstLine="643" w:firstLineChars="200"/>
        <w:rPr>
          <w:rFonts w:hint="eastAsia" w:ascii="宋体" w:hAnsi="宋体" w:eastAsia="宋体" w:cs="宋体"/>
          <w:b/>
          <w:bCs/>
          <w:color w:val="auto"/>
          <w:sz w:val="32"/>
          <w:szCs w:val="32"/>
        </w:rPr>
        <w:sectPr>
          <w:footnotePr>
            <w:pos w:val="beneathText"/>
          </w:footnotePr>
          <w:pgSz w:w="11906" w:h="16838"/>
          <w:pgMar w:top="1440" w:right="1423" w:bottom="1219" w:left="1644" w:header="720" w:footer="720" w:gutter="0"/>
          <w:cols w:space="0" w:num="1"/>
          <w:docGrid w:linePitch="312" w:charSpace="0"/>
        </w:sectPr>
      </w:pP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2、特定资格条件：</w:t>
      </w:r>
    </w:p>
    <w:bookmarkEnd w:id="201"/>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（1）法定代表人（负责人）参加磋商的，须出示身份证，法定代表人（负责人）授权他人参加磋商的，须提供法定代表人（负责人）授权委托书（附法定代表人（负责人）、被授权人身份证复印件）；</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供应商不得列入“信用中国”网站（www.creditchina.gov.cn）失信被执行人名单、税收违法黑名单、政府采购严重违法失信行为当事人名单；不得为中国政府采购网（www.ccgp.gov.cn）政府采购严重违法失信行为记录名单中被财政部门禁止参加政府采购活动的供应商；</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（3）供应商为经销商的需要提供所磋商产品的（质量检验合格证明材料）或生产厂家磋商的（需提供企业营业执照、肥料登记证）；</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（4）单位负责人为同一人或者存在直接控股、管理关系的不同供应商，不得参加本次采购活动（提供承诺书并加盖供应商公章）；</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（5）本项目专门面向中小企业（提供声明函并加盖供应商公章）。</w:t>
      </w:r>
    </w:p>
    <w:p>
      <w:pPr>
        <w:pStyle w:val="4"/>
        <w:rPr>
          <w:rFonts w:hint="eastAsia" w:ascii="宋体" w:hAnsi="宋体" w:eastAsia="宋体" w:cs="宋体"/>
          <w:color w:val="auto"/>
        </w:rPr>
      </w:pPr>
    </w:p>
    <w:p>
      <w:pPr>
        <w:spacing w:line="48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注：以上资格要求均为必备资格，缺少其中任何一项，其响应文件视为无效文件。响应文件正本中的法定代表人授权委托书或法定代表人身份证明必须附原件，其他资格证明文件提供复印件并加盖供应商公章。</w:t>
      </w:r>
    </w:p>
    <w:p>
      <w:pPr>
        <w:rPr>
          <w:rFonts w:hint="eastAsia" w:ascii="宋体" w:hAnsi="宋体" w:eastAsia="宋体" w:cs="宋体"/>
          <w:color w:val="auto"/>
        </w:rPr>
      </w:pPr>
    </w:p>
    <w:p>
      <w:pPr>
        <w:pStyle w:val="26"/>
        <w:rPr>
          <w:rFonts w:hint="eastAsia" w:ascii="宋体" w:hAnsi="宋体" w:eastAsia="宋体" w:cs="宋体"/>
          <w:color w:val="auto"/>
        </w:rPr>
      </w:pPr>
    </w:p>
    <w:p>
      <w:pPr>
        <w:pStyle w:val="26"/>
        <w:rPr>
          <w:rFonts w:hint="eastAsia" w:ascii="宋体" w:hAnsi="宋体" w:eastAsia="宋体" w:cs="宋体"/>
          <w:color w:val="auto"/>
        </w:rPr>
      </w:pPr>
    </w:p>
    <w:p>
      <w:pPr>
        <w:pStyle w:val="26"/>
        <w:rPr>
          <w:rFonts w:hint="eastAsia" w:ascii="宋体" w:hAnsi="宋体" w:eastAsia="宋体" w:cs="宋体"/>
          <w:color w:val="auto"/>
        </w:rPr>
      </w:pPr>
    </w:p>
    <w:p>
      <w:pPr>
        <w:pStyle w:val="26"/>
        <w:rPr>
          <w:rFonts w:hint="eastAsia" w:ascii="宋体" w:hAnsi="宋体" w:eastAsia="宋体" w:cs="宋体"/>
          <w:color w:val="auto"/>
        </w:rPr>
      </w:pPr>
    </w:p>
    <w:p>
      <w:pPr>
        <w:pStyle w:val="26"/>
        <w:rPr>
          <w:rFonts w:hint="eastAsia" w:ascii="宋体" w:hAnsi="宋体" w:eastAsia="宋体" w:cs="宋体"/>
          <w:color w:val="auto"/>
        </w:rPr>
      </w:pPr>
    </w:p>
    <w:p>
      <w:pPr>
        <w:pStyle w:val="26"/>
        <w:rPr>
          <w:rFonts w:hint="eastAsia" w:ascii="宋体" w:hAnsi="宋体" w:eastAsia="宋体" w:cs="宋体"/>
          <w:color w:val="auto"/>
        </w:rPr>
      </w:pPr>
    </w:p>
    <w:p>
      <w:pPr>
        <w:pStyle w:val="26"/>
        <w:rPr>
          <w:rFonts w:hint="eastAsia" w:ascii="宋体" w:hAnsi="宋体" w:eastAsia="宋体" w:cs="宋体"/>
          <w:color w:val="auto"/>
        </w:rPr>
      </w:pPr>
    </w:p>
    <w:p>
      <w:pPr>
        <w:pStyle w:val="26"/>
        <w:rPr>
          <w:rFonts w:hint="eastAsia" w:ascii="宋体" w:hAnsi="宋体" w:eastAsia="宋体" w:cs="宋体"/>
          <w:color w:val="auto"/>
        </w:rPr>
      </w:pPr>
    </w:p>
    <w:p>
      <w:pPr>
        <w:pStyle w:val="4"/>
        <w:adjustRightInd w:val="0"/>
        <w:spacing w:line="360" w:lineRule="auto"/>
        <w:jc w:val="center"/>
        <w:textAlignment w:val="baseline"/>
        <w:rPr>
          <w:rFonts w:hint="eastAsia" w:ascii="宋体" w:hAnsi="宋体" w:eastAsia="宋体" w:cs="宋体"/>
          <w:color w:val="auto"/>
        </w:rPr>
        <w:sectPr>
          <w:footnotePr>
            <w:pos w:val="beneathText"/>
          </w:footnotePr>
          <w:pgSz w:w="11906" w:h="16838"/>
          <w:pgMar w:top="1440" w:right="1423" w:bottom="1219" w:left="1644" w:header="720" w:footer="720" w:gutter="0"/>
          <w:cols w:space="0" w:num="1"/>
          <w:docGrid w:linePitch="312" w:charSpace="0"/>
        </w:sectPr>
      </w:pPr>
      <w:bookmarkStart w:id="202" w:name="_Toc20062"/>
    </w:p>
    <w:p>
      <w:pPr>
        <w:spacing w:line="360" w:lineRule="auto"/>
        <w:jc w:val="center"/>
        <w:rPr>
          <w:rFonts w:hint="eastAsia" w:ascii="宋体" w:hAnsi="宋体" w:eastAsia="宋体" w:cs="宋体"/>
          <w:b/>
          <w:bCs/>
          <w:color w:val="auto"/>
          <w:sz w:val="32"/>
          <w:szCs w:val="28"/>
        </w:rPr>
      </w:pPr>
      <w:r>
        <w:rPr>
          <w:rFonts w:hint="eastAsia" w:ascii="宋体" w:hAnsi="宋体" w:eastAsia="宋体" w:cs="宋体"/>
          <w:b/>
          <w:bCs/>
          <w:color w:val="auto"/>
          <w:sz w:val="32"/>
          <w:szCs w:val="28"/>
        </w:rPr>
        <w:t>附件1 法定代表人（负责人）身份证明书</w:t>
      </w:r>
    </w:p>
    <w:p>
      <w:pPr>
        <w:autoSpaceDE w:val="0"/>
        <w:autoSpaceDN w:val="0"/>
        <w:adjustRightInd w:val="0"/>
        <w:snapToGrid w:val="0"/>
        <w:spacing w:beforeLines="50" w:line="360" w:lineRule="auto"/>
        <w:ind w:firstLine="480" w:firstLineChars="2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供应商名称：</w:t>
      </w:r>
      <w:r>
        <w:rPr>
          <w:rFonts w:hint="eastAsia" w:ascii="宋体" w:hAnsi="宋体" w:eastAsia="宋体" w:cs="宋体"/>
          <w:color w:val="auto"/>
          <w:kern w:val="0"/>
          <w:sz w:val="24"/>
          <w:szCs w:val="24"/>
          <w:u w:val="single"/>
        </w:rPr>
        <w:t xml:space="preserve">                                        </w:t>
      </w:r>
    </w:p>
    <w:p>
      <w:pPr>
        <w:autoSpaceDE w:val="0"/>
        <w:autoSpaceDN w:val="0"/>
        <w:adjustRightInd w:val="0"/>
        <w:snapToGrid w:val="0"/>
        <w:spacing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统一社会信用代码：</w:t>
      </w:r>
      <w:r>
        <w:rPr>
          <w:rFonts w:hint="eastAsia" w:ascii="宋体" w:hAnsi="宋体" w:eastAsia="宋体" w:cs="宋体"/>
          <w:color w:val="auto"/>
          <w:kern w:val="0"/>
          <w:sz w:val="24"/>
          <w:szCs w:val="24"/>
          <w:u w:val="single"/>
        </w:rPr>
        <w:t xml:space="preserve">                                  </w:t>
      </w:r>
    </w:p>
    <w:p>
      <w:pPr>
        <w:autoSpaceDE w:val="0"/>
        <w:autoSpaceDN w:val="0"/>
        <w:adjustRightInd w:val="0"/>
        <w:snapToGrid w:val="0"/>
        <w:spacing w:beforeLines="50" w:line="360" w:lineRule="auto"/>
        <w:ind w:firstLine="480" w:firstLineChars="2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注册地址：</w:t>
      </w:r>
      <w:r>
        <w:rPr>
          <w:rFonts w:hint="eastAsia" w:ascii="宋体" w:hAnsi="宋体" w:eastAsia="宋体" w:cs="宋体"/>
          <w:color w:val="auto"/>
          <w:kern w:val="0"/>
          <w:sz w:val="24"/>
          <w:szCs w:val="24"/>
          <w:u w:val="single"/>
        </w:rPr>
        <w:t xml:space="preserve">                                          </w:t>
      </w:r>
    </w:p>
    <w:p>
      <w:pPr>
        <w:autoSpaceDE w:val="0"/>
        <w:autoSpaceDN w:val="0"/>
        <w:adjustRightInd w:val="0"/>
        <w:snapToGrid w:val="0"/>
        <w:spacing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成立时间：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年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日；经营期限：</w:t>
      </w:r>
      <w:r>
        <w:rPr>
          <w:rFonts w:hint="eastAsia" w:ascii="宋体" w:hAnsi="宋体" w:eastAsia="宋体" w:cs="宋体"/>
          <w:color w:val="auto"/>
          <w:kern w:val="0"/>
          <w:sz w:val="24"/>
          <w:szCs w:val="24"/>
          <w:u w:val="single"/>
        </w:rPr>
        <w:t xml:space="preserve">                </w:t>
      </w:r>
    </w:p>
    <w:p>
      <w:pPr>
        <w:autoSpaceDE w:val="0"/>
        <w:autoSpaceDN w:val="0"/>
        <w:adjustRightInd w:val="0"/>
        <w:snapToGrid w:val="0"/>
        <w:spacing w:beforeLines="50" w:line="360" w:lineRule="auto"/>
        <w:ind w:firstLine="480" w:firstLineChars="2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经营范围：主营：</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；兼营：</w:t>
      </w:r>
      <w:r>
        <w:rPr>
          <w:rFonts w:hint="eastAsia" w:ascii="宋体" w:hAnsi="宋体" w:eastAsia="宋体" w:cs="宋体"/>
          <w:color w:val="auto"/>
          <w:kern w:val="0"/>
          <w:sz w:val="24"/>
          <w:szCs w:val="24"/>
          <w:u w:val="single"/>
        </w:rPr>
        <w:t xml:space="preserve">              </w:t>
      </w:r>
    </w:p>
    <w:p>
      <w:pPr>
        <w:autoSpaceDE w:val="0"/>
        <w:autoSpaceDN w:val="0"/>
        <w:adjustRightInd w:val="0"/>
        <w:snapToGrid w:val="0"/>
        <w:spacing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性别：</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年龄：</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系</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供应商</w:t>
      </w:r>
      <w:r>
        <w:rPr>
          <w:rFonts w:hint="eastAsia" w:ascii="宋体" w:hAnsi="宋体" w:eastAsia="宋体" w:cs="宋体"/>
          <w:color w:val="auto"/>
          <w:kern w:val="0"/>
          <w:sz w:val="24"/>
          <w:szCs w:val="24"/>
        </w:rPr>
        <w:t>名称）的法定代表人（负责人）。</w:t>
      </w:r>
    </w:p>
    <w:p>
      <w:pPr>
        <w:autoSpaceDE w:val="0"/>
        <w:autoSpaceDN w:val="0"/>
        <w:adjustRightInd w:val="0"/>
        <w:snapToGrid w:val="0"/>
        <w:spacing w:beforeLines="50"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特此证明。</w:t>
      </w:r>
    </w:p>
    <w:p>
      <w:pPr>
        <w:autoSpaceDE w:val="0"/>
        <w:autoSpaceDN w:val="0"/>
        <w:adjustRightInd w:val="0"/>
        <w:snapToGrid w:val="0"/>
        <w:spacing w:beforeLines="5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附：法定代表人（负责人）身份证正反面复印件。</w:t>
      </w:r>
    </w:p>
    <w:p>
      <w:pPr>
        <w:spacing w:line="360" w:lineRule="auto"/>
        <w:ind w:firstLine="480" w:firstLineChars="200"/>
        <w:rPr>
          <w:rFonts w:hint="eastAsia" w:ascii="宋体" w:hAnsi="宋体" w:eastAsia="宋体" w:cs="宋体"/>
          <w:color w:val="auto"/>
          <w:sz w:val="24"/>
          <w:szCs w:val="24"/>
        </w:rPr>
      </w:pPr>
    </w:p>
    <w:p>
      <w:pPr>
        <w:tabs>
          <w:tab w:val="left" w:pos="720"/>
          <w:tab w:val="left" w:pos="90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bl>
      <w:tblPr>
        <w:tblStyle w:val="40"/>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8" w:hRule="atLeast"/>
          <w:jc w:val="center"/>
        </w:trPr>
        <w:tc>
          <w:tcPr>
            <w:tcW w:w="8300" w:type="dxa"/>
          </w:tcPr>
          <w:p>
            <w:pPr>
              <w:tabs>
                <w:tab w:val="left" w:pos="720"/>
                <w:tab w:val="left" w:pos="900"/>
              </w:tabs>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法定代表人（负责人）身份证复印件正反面</w:t>
            </w:r>
          </w:p>
        </w:tc>
      </w:tr>
    </w:tbl>
    <w:p>
      <w:pPr>
        <w:tabs>
          <w:tab w:val="left" w:pos="720"/>
          <w:tab w:val="left" w:pos="900"/>
        </w:tabs>
        <w:spacing w:line="360" w:lineRule="auto"/>
        <w:rPr>
          <w:rFonts w:hint="eastAsia" w:ascii="宋体" w:hAnsi="宋体" w:eastAsia="宋体" w:cs="宋体"/>
          <w:color w:val="auto"/>
          <w:sz w:val="24"/>
          <w:szCs w:val="24"/>
        </w:rPr>
      </w:pPr>
    </w:p>
    <w:p>
      <w:pPr>
        <w:spacing w:line="360" w:lineRule="auto"/>
        <w:ind w:firstLine="610"/>
        <w:rPr>
          <w:rFonts w:hint="eastAsia" w:ascii="宋体" w:hAnsi="宋体" w:eastAsia="宋体" w:cs="宋体"/>
          <w:color w:val="auto"/>
          <w:sz w:val="24"/>
          <w:szCs w:val="24"/>
        </w:rPr>
      </w:pPr>
    </w:p>
    <w:p>
      <w:pPr>
        <w:rPr>
          <w:rFonts w:hint="eastAsia" w:ascii="宋体" w:hAnsi="宋体" w:eastAsia="宋体" w:cs="宋体"/>
          <w:color w:val="auto"/>
          <w:sz w:val="30"/>
        </w:rPr>
      </w:pPr>
      <w:r>
        <w:rPr>
          <w:rFonts w:hint="eastAsia" w:ascii="宋体" w:hAnsi="宋体" w:eastAsia="宋体" w:cs="宋体"/>
          <w:color w:val="auto"/>
          <w:sz w:val="24"/>
          <w:szCs w:val="24"/>
        </w:rPr>
        <w:t xml:space="preserve">                                    </w:t>
      </w:r>
    </w:p>
    <w:p>
      <w:pPr>
        <w:spacing w:line="480" w:lineRule="auto"/>
        <w:jc w:val="center"/>
        <w:rPr>
          <w:rFonts w:hint="eastAsia" w:ascii="宋体" w:hAnsi="宋体" w:eastAsia="宋体" w:cs="宋体"/>
          <w:color w:val="auto"/>
          <w:sz w:val="24"/>
          <w:u w:val="single"/>
        </w:rPr>
      </w:pPr>
      <w:r>
        <w:rPr>
          <w:rFonts w:hint="eastAsia" w:ascii="宋体" w:hAnsi="宋体" w:eastAsia="宋体" w:cs="宋体"/>
          <w:color w:val="auto"/>
          <w:sz w:val="24"/>
        </w:rPr>
        <w:t xml:space="preserve">                                    供应商名称：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（公章）</w:t>
      </w:r>
    </w:p>
    <w:p>
      <w:pPr>
        <w:spacing w:line="480" w:lineRule="auto"/>
        <w:jc w:val="center"/>
        <w:rPr>
          <w:rFonts w:hint="eastAsia" w:ascii="宋体" w:hAnsi="宋体" w:eastAsia="宋体" w:cs="宋体"/>
          <w:color w:val="auto"/>
          <w:sz w:val="24"/>
          <w:u w:val="single"/>
        </w:rPr>
      </w:pPr>
      <w:r>
        <w:rPr>
          <w:rFonts w:hint="eastAsia" w:ascii="宋体" w:hAnsi="宋体" w:eastAsia="宋体" w:cs="宋体"/>
          <w:color w:val="auto"/>
          <w:sz w:val="24"/>
        </w:rPr>
        <w:t xml:space="preserve">            法定代表人（负责人）签字/盖章：</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日期：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pStyle w:val="21"/>
        <w:spacing w:line="360" w:lineRule="auto"/>
        <w:rPr>
          <w:rFonts w:hint="eastAsia" w:ascii="宋体" w:hAnsi="宋体" w:eastAsia="宋体" w:cs="宋体"/>
          <w:b/>
          <w:bCs/>
          <w:color w:val="auto"/>
          <w:szCs w:val="24"/>
        </w:rPr>
      </w:pPr>
    </w:p>
    <w:p>
      <w:pPr>
        <w:spacing w:line="360" w:lineRule="auto"/>
        <w:ind w:right="-197" w:rightChars="-94" w:firstLine="480" w:firstLineChars="200"/>
        <w:jc w:val="left"/>
        <w:rPr>
          <w:rFonts w:hint="eastAsia" w:ascii="宋体" w:hAnsi="宋体" w:eastAsia="宋体" w:cs="宋体"/>
          <w:color w:val="auto"/>
          <w:kern w:val="0"/>
          <w:sz w:val="24"/>
          <w:szCs w:val="24"/>
        </w:rPr>
      </w:pPr>
    </w:p>
    <w:p>
      <w:pPr>
        <w:pStyle w:val="4"/>
        <w:adjustRightInd w:val="0"/>
        <w:spacing w:line="360" w:lineRule="auto"/>
        <w:jc w:val="center"/>
        <w:textAlignment w:val="baseline"/>
        <w:rPr>
          <w:rFonts w:hint="eastAsia" w:ascii="宋体" w:hAnsi="宋体" w:eastAsia="宋体" w:cs="宋体"/>
          <w:color w:val="auto"/>
        </w:rPr>
      </w:pPr>
      <w:bookmarkStart w:id="203" w:name="_Toc28540"/>
      <w:r>
        <w:rPr>
          <w:rFonts w:hint="eastAsia" w:ascii="宋体" w:hAnsi="宋体" w:eastAsia="宋体" w:cs="宋体"/>
          <w:color w:val="auto"/>
        </w:rPr>
        <w:t>附件2 授权委托书</w:t>
      </w:r>
      <w:bookmarkEnd w:id="198"/>
      <w:bookmarkEnd w:id="199"/>
      <w:bookmarkEnd w:id="202"/>
      <w:bookmarkEnd w:id="203"/>
    </w:p>
    <w:p>
      <w:pPr>
        <w:tabs>
          <w:tab w:val="left" w:pos="8820"/>
        </w:tabs>
        <w:spacing w:line="500" w:lineRule="atLeast"/>
        <w:ind w:firstLine="570"/>
        <w:rPr>
          <w:rFonts w:hint="eastAsia" w:ascii="宋体" w:hAnsi="宋体" w:eastAsia="宋体" w:cs="宋体"/>
          <w:color w:val="auto"/>
          <w:sz w:val="24"/>
          <w:u w:val="single"/>
        </w:rPr>
      </w:pPr>
      <w:r>
        <w:rPr>
          <w:rFonts w:hint="eastAsia" w:ascii="宋体" w:hAnsi="宋体" w:eastAsia="宋体" w:cs="宋体"/>
          <w:color w:val="auto"/>
          <w:sz w:val="24"/>
        </w:rPr>
        <w:t>本授权委托书声明：我</w:t>
      </w:r>
      <w:r>
        <w:rPr>
          <w:rFonts w:hint="eastAsia" w:ascii="宋体" w:hAnsi="宋体" w:eastAsia="宋体" w:cs="宋体"/>
          <w:color w:val="auto"/>
          <w:sz w:val="24"/>
          <w:u w:val="single"/>
        </w:rPr>
        <w:t>（法定代表人或负责人姓名）</w:t>
      </w:r>
      <w:r>
        <w:rPr>
          <w:rFonts w:hint="eastAsia" w:ascii="宋体" w:hAnsi="宋体" w:eastAsia="宋体" w:cs="宋体"/>
          <w:color w:val="auto"/>
          <w:sz w:val="24"/>
        </w:rPr>
        <w:t>系注册于</w:t>
      </w:r>
      <w:r>
        <w:rPr>
          <w:rFonts w:hint="eastAsia" w:ascii="宋体" w:hAnsi="宋体" w:eastAsia="宋体" w:cs="宋体"/>
          <w:color w:val="auto"/>
          <w:sz w:val="24"/>
          <w:u w:val="single"/>
        </w:rPr>
        <w:t xml:space="preserve">  （供应商地址）  </w:t>
      </w:r>
      <w:r>
        <w:rPr>
          <w:rFonts w:hint="eastAsia" w:ascii="宋体" w:hAnsi="宋体" w:eastAsia="宋体" w:cs="宋体"/>
          <w:color w:val="auto"/>
          <w:sz w:val="24"/>
        </w:rPr>
        <w:t>的</w:t>
      </w:r>
      <w:r>
        <w:rPr>
          <w:rFonts w:hint="eastAsia" w:ascii="宋体" w:hAnsi="宋体" w:eastAsia="宋体" w:cs="宋体"/>
          <w:color w:val="auto"/>
          <w:sz w:val="24"/>
          <w:u w:val="single"/>
        </w:rPr>
        <w:t xml:space="preserve">（供应商名称）  </w:t>
      </w:r>
      <w:r>
        <w:rPr>
          <w:rFonts w:hint="eastAsia" w:ascii="宋体" w:hAnsi="宋体" w:eastAsia="宋体" w:cs="宋体"/>
          <w:color w:val="auto"/>
          <w:sz w:val="24"/>
        </w:rPr>
        <w:t>的法定代表人（负责人），现代表公司授权下面签字的</w:t>
      </w:r>
      <w:r>
        <w:rPr>
          <w:rFonts w:hint="eastAsia" w:ascii="宋体" w:hAnsi="宋体" w:eastAsia="宋体" w:cs="宋体"/>
          <w:color w:val="auto"/>
          <w:sz w:val="24"/>
          <w:u w:val="single"/>
        </w:rPr>
        <w:t>（被授权人的姓名、职务）</w:t>
      </w:r>
      <w:r>
        <w:rPr>
          <w:rFonts w:hint="eastAsia" w:ascii="宋体" w:hAnsi="宋体" w:eastAsia="宋体" w:cs="宋体"/>
          <w:color w:val="auto"/>
          <w:sz w:val="24"/>
        </w:rPr>
        <w:t>为我公司合法代理人，代表本公司参加</w:t>
      </w:r>
      <w:r>
        <w:rPr>
          <w:rFonts w:hint="eastAsia" w:ascii="宋体" w:hAnsi="宋体" w:eastAsia="宋体" w:cs="宋体"/>
          <w:color w:val="auto"/>
          <w:sz w:val="24"/>
          <w:u w:val="single"/>
        </w:rPr>
        <w:t xml:space="preserve">  （采购项目名称）  (采购项目编号)  </w:t>
      </w:r>
      <w:r>
        <w:rPr>
          <w:rFonts w:hint="eastAsia" w:ascii="宋体" w:hAnsi="宋体" w:eastAsia="宋体" w:cs="宋体"/>
          <w:color w:val="auto"/>
          <w:sz w:val="24"/>
        </w:rPr>
        <w:t>的磋商活动。代理人在本次磋商中所签署的一切文件和处理的一切有关事物，我公司均予承认。</w:t>
      </w:r>
    </w:p>
    <w:p>
      <w:pPr>
        <w:spacing w:line="40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本授权书于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日签字（或盖章）生效，有效期自磋商之日起</w:t>
      </w:r>
      <w:r>
        <w:rPr>
          <w:rFonts w:hint="eastAsia" w:ascii="宋体" w:hAnsi="宋体" w:eastAsia="宋体" w:cs="宋体"/>
          <w:color w:val="auto"/>
          <w:sz w:val="24"/>
          <w:u w:val="single"/>
        </w:rPr>
        <w:t>90</w:t>
      </w:r>
      <w:r>
        <w:rPr>
          <w:rFonts w:hint="eastAsia" w:ascii="宋体" w:hAnsi="宋体" w:eastAsia="宋体" w:cs="宋体"/>
          <w:color w:val="auto"/>
          <w:sz w:val="24"/>
        </w:rPr>
        <w:t>日历天，特此声明。</w:t>
      </w:r>
    </w:p>
    <w:tbl>
      <w:tblPr>
        <w:tblStyle w:val="39"/>
        <w:tblpPr w:leftFromText="180" w:rightFromText="180" w:vertAnchor="text" w:horzAnchor="margin" w:tblpXSpec="center" w:tblpY="633"/>
        <w:tblW w:w="8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4320" w:type="dxa"/>
          </w:tcPr>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p>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法人（负责人）身份证复印件正反面</w:t>
            </w: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p>
        </w:tc>
        <w:tc>
          <w:tcPr>
            <w:tcW w:w="4390" w:type="dxa"/>
          </w:tcPr>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p>
          <w:p>
            <w:pPr>
              <w:widowControl/>
              <w:ind w:firstLine="120" w:firstLineChars="50"/>
              <w:jc w:val="center"/>
              <w:rPr>
                <w:rFonts w:hint="eastAsia" w:ascii="宋体" w:hAnsi="宋体" w:eastAsia="宋体" w:cs="宋体"/>
                <w:color w:val="auto"/>
                <w:sz w:val="24"/>
              </w:rPr>
            </w:pPr>
            <w:r>
              <w:rPr>
                <w:rFonts w:hint="eastAsia" w:ascii="宋体" w:hAnsi="宋体" w:eastAsia="宋体" w:cs="宋体"/>
                <w:color w:val="auto"/>
                <w:sz w:val="24"/>
              </w:rPr>
              <w:t>被授权人身份证复印件正反面</w:t>
            </w:r>
          </w:p>
          <w:p>
            <w:pPr>
              <w:widowControl/>
              <w:jc w:val="left"/>
              <w:rPr>
                <w:rFonts w:hint="eastAsia" w:ascii="宋体" w:hAnsi="宋体" w:eastAsia="宋体" w:cs="宋体"/>
                <w:color w:val="auto"/>
                <w:sz w:val="24"/>
              </w:rPr>
            </w:pPr>
          </w:p>
          <w:p>
            <w:pPr>
              <w:widowControl/>
              <w:jc w:val="left"/>
              <w:rPr>
                <w:rFonts w:hint="eastAsia" w:ascii="宋体" w:hAnsi="宋体" w:eastAsia="宋体" w:cs="宋体"/>
                <w:color w:val="auto"/>
                <w:sz w:val="24"/>
              </w:rPr>
            </w:pPr>
          </w:p>
          <w:p>
            <w:pPr>
              <w:widowControl/>
              <w:jc w:val="left"/>
              <w:rPr>
                <w:rFonts w:hint="eastAsia" w:ascii="宋体" w:hAnsi="宋体" w:eastAsia="宋体" w:cs="宋体"/>
                <w:color w:val="auto"/>
                <w:sz w:val="24"/>
              </w:rPr>
            </w:pPr>
            <w:r>
              <w:rPr>
                <w:rFonts w:hint="eastAsia" w:ascii="宋体" w:hAnsi="宋体" w:eastAsia="宋体" w:cs="宋体"/>
                <w:color w:val="auto"/>
                <w:sz w:val="24"/>
              </w:rPr>
              <w:t xml:space="preserve">               </w:t>
            </w: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p>
        </w:tc>
      </w:tr>
    </w:tbl>
    <w:p>
      <w:pPr>
        <w:rPr>
          <w:rFonts w:hint="eastAsia" w:ascii="宋体" w:hAnsi="宋体" w:eastAsia="宋体" w:cs="宋体"/>
          <w:color w:val="auto"/>
        </w:rPr>
      </w:pPr>
    </w:p>
    <w:p>
      <w:pPr>
        <w:pStyle w:val="17"/>
        <w:rPr>
          <w:rFonts w:hint="eastAsia" w:ascii="宋体" w:hAnsi="宋体" w:eastAsia="宋体" w:cs="宋体"/>
          <w:color w:val="auto"/>
        </w:rPr>
      </w:pPr>
    </w:p>
    <w:p>
      <w:pPr>
        <w:rPr>
          <w:rFonts w:hint="eastAsia" w:ascii="宋体" w:hAnsi="宋体" w:eastAsia="宋体" w:cs="宋体"/>
          <w:color w:val="auto"/>
          <w:sz w:val="24"/>
        </w:rPr>
      </w:pPr>
    </w:p>
    <w:p>
      <w:pPr>
        <w:rPr>
          <w:rFonts w:hint="eastAsia" w:ascii="宋体" w:hAnsi="宋体" w:eastAsia="宋体" w:cs="宋体"/>
          <w:color w:val="auto"/>
          <w:sz w:val="24"/>
        </w:rPr>
      </w:pPr>
      <w:r>
        <w:rPr>
          <w:rFonts w:hint="eastAsia" w:ascii="宋体" w:hAnsi="宋体" w:eastAsia="宋体" w:cs="宋体"/>
          <w:color w:val="auto"/>
          <w:sz w:val="24"/>
        </w:rPr>
        <w:t>注：此授权书的有效期应与磋商响应文件有效期一致</w:t>
      </w:r>
    </w:p>
    <w:p>
      <w:pPr>
        <w:rPr>
          <w:rFonts w:hint="eastAsia" w:ascii="宋体" w:hAnsi="宋体" w:eastAsia="宋体" w:cs="宋体"/>
          <w:color w:val="auto"/>
          <w:sz w:val="30"/>
        </w:rPr>
      </w:pPr>
    </w:p>
    <w:p>
      <w:pPr>
        <w:spacing w:line="480" w:lineRule="auto"/>
        <w:ind w:right="-161" w:firstLine="3240" w:firstLineChars="1350"/>
        <w:jc w:val="left"/>
        <w:rPr>
          <w:rFonts w:hint="eastAsia" w:ascii="宋体" w:hAnsi="宋体" w:eastAsia="宋体" w:cs="宋体"/>
          <w:color w:val="auto"/>
          <w:sz w:val="24"/>
        </w:rPr>
      </w:pPr>
      <w:bookmarkStart w:id="204" w:name="_Toc463867032"/>
      <w:bookmarkStart w:id="205" w:name="_Toc423025062"/>
      <w:r>
        <w:rPr>
          <w:rFonts w:hint="eastAsia" w:ascii="宋体" w:hAnsi="宋体" w:eastAsia="宋体" w:cs="宋体"/>
          <w:color w:val="auto"/>
          <w:sz w:val="24"/>
        </w:rPr>
        <w:t xml:space="preserve">                        </w:t>
      </w:r>
    </w:p>
    <w:p>
      <w:pPr>
        <w:spacing w:line="480" w:lineRule="auto"/>
        <w:ind w:right="-161" w:firstLine="3840" w:firstLineChars="1600"/>
        <w:jc w:val="left"/>
        <w:rPr>
          <w:rFonts w:hint="eastAsia" w:ascii="宋体" w:hAnsi="宋体" w:eastAsia="宋体" w:cs="宋体"/>
          <w:color w:val="auto"/>
          <w:sz w:val="24"/>
        </w:rPr>
      </w:pPr>
      <w:r>
        <w:rPr>
          <w:rFonts w:hint="eastAsia" w:ascii="宋体" w:hAnsi="宋体" w:eastAsia="宋体" w:cs="宋体"/>
          <w:color w:val="auto"/>
          <w:sz w:val="24"/>
        </w:rPr>
        <w:t>供应商：</w:t>
      </w:r>
      <w:r>
        <w:rPr>
          <w:rFonts w:hint="eastAsia" w:ascii="宋体" w:hAnsi="宋体" w:eastAsia="宋体" w:cs="宋体"/>
          <w:color w:val="auto"/>
          <w:sz w:val="24"/>
          <w:u w:val="single"/>
        </w:rPr>
        <w:t xml:space="preserve">                       </w:t>
      </w:r>
      <w:r>
        <w:rPr>
          <w:rFonts w:hint="eastAsia" w:ascii="宋体" w:hAnsi="宋体" w:eastAsia="宋体" w:cs="宋体"/>
          <w:color w:val="auto"/>
          <w:sz w:val="24"/>
        </w:rPr>
        <w:t>（公章）</w:t>
      </w:r>
    </w:p>
    <w:p>
      <w:pPr>
        <w:spacing w:line="480" w:lineRule="auto"/>
        <w:ind w:right="-161" w:firstLine="2880" w:firstLineChars="1200"/>
        <w:jc w:val="left"/>
        <w:rPr>
          <w:rFonts w:hint="eastAsia" w:ascii="宋体" w:hAnsi="宋体" w:eastAsia="宋体" w:cs="宋体"/>
          <w:color w:val="auto"/>
          <w:sz w:val="24"/>
        </w:rPr>
      </w:pPr>
      <w:r>
        <w:rPr>
          <w:rFonts w:hint="eastAsia" w:ascii="宋体" w:hAnsi="宋体" w:eastAsia="宋体" w:cs="宋体"/>
          <w:color w:val="auto"/>
          <w:sz w:val="24"/>
        </w:rPr>
        <w:t>法定代表人（负责人）签字/盖章：</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480" w:lineRule="auto"/>
        <w:ind w:right="-161" w:firstLine="3960" w:firstLineChars="1650"/>
        <w:jc w:val="left"/>
        <w:rPr>
          <w:rFonts w:hint="eastAsia" w:ascii="宋体" w:hAnsi="宋体" w:eastAsia="宋体" w:cs="宋体"/>
          <w:color w:val="auto"/>
          <w:sz w:val="24"/>
          <w:u w:val="single"/>
        </w:rPr>
      </w:pPr>
      <w:r>
        <w:rPr>
          <w:rFonts w:hint="eastAsia" w:ascii="宋体" w:hAnsi="宋体" w:eastAsia="宋体" w:cs="宋体"/>
          <w:color w:val="auto"/>
          <w:sz w:val="24"/>
        </w:rPr>
        <w:t>被授权代表签字/盖章：</w:t>
      </w:r>
      <w:r>
        <w:rPr>
          <w:rFonts w:hint="eastAsia" w:ascii="宋体" w:hAnsi="宋体" w:eastAsia="宋体" w:cs="宋体"/>
          <w:color w:val="auto"/>
          <w:sz w:val="24"/>
          <w:u w:val="single"/>
        </w:rPr>
        <w:t xml:space="preserve">                 </w:t>
      </w:r>
    </w:p>
    <w:p>
      <w:pPr>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日期：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pStyle w:val="2"/>
        <w:rPr>
          <w:rFonts w:hint="eastAsia" w:ascii="宋体" w:hAnsi="宋体" w:eastAsia="宋体" w:cs="宋体"/>
          <w:color w:val="auto"/>
          <w:sz w:val="24"/>
        </w:rPr>
      </w:pPr>
    </w:p>
    <w:p>
      <w:pPr>
        <w:pStyle w:val="4"/>
        <w:adjustRightInd w:val="0"/>
        <w:spacing w:line="416" w:lineRule="atLeast"/>
        <w:jc w:val="center"/>
        <w:textAlignment w:val="baseline"/>
        <w:rPr>
          <w:rFonts w:hint="eastAsia" w:ascii="宋体" w:hAnsi="宋体" w:eastAsia="宋体" w:cs="宋体"/>
          <w:color w:val="auto"/>
          <w:szCs w:val="32"/>
        </w:rPr>
      </w:pPr>
      <w:bookmarkStart w:id="206" w:name="_Toc27148"/>
      <w:bookmarkStart w:id="207" w:name="_Toc491509446"/>
      <w:bookmarkStart w:id="208" w:name="_Toc12429"/>
      <w:bookmarkStart w:id="209" w:name="_Toc4359"/>
      <w:bookmarkStart w:id="210" w:name="_Toc9570"/>
      <w:bookmarkStart w:id="211" w:name="_Toc5443"/>
      <w:bookmarkStart w:id="212" w:name="_Toc7832"/>
      <w:bookmarkStart w:id="213" w:name="_Toc7332"/>
      <w:r>
        <w:rPr>
          <w:rFonts w:hint="eastAsia" w:ascii="宋体" w:hAnsi="宋体" w:eastAsia="宋体" w:cs="宋体"/>
          <w:color w:val="auto"/>
          <w:szCs w:val="32"/>
        </w:rPr>
        <w:t>附件3 具有履行本合同所必需的设备和专业技术能力的承诺</w:t>
      </w:r>
      <w:bookmarkEnd w:id="206"/>
    </w:p>
    <w:p>
      <w:pPr>
        <w:rPr>
          <w:rFonts w:hint="eastAsia" w:ascii="宋体" w:hAnsi="宋体" w:eastAsia="宋体" w:cs="宋体"/>
          <w:color w:val="auto"/>
          <w:sz w:val="24"/>
          <w:szCs w:val="24"/>
        </w:rPr>
      </w:pPr>
    </w:p>
    <w:p>
      <w:pPr>
        <w:widowControl/>
        <w:spacing w:line="48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u w:val="single"/>
        </w:rPr>
        <w:t>（采购代理机构）</w:t>
      </w:r>
      <w:r>
        <w:rPr>
          <w:rFonts w:hint="eastAsia" w:ascii="宋体" w:hAnsi="宋体" w:eastAsia="宋体" w:cs="宋体"/>
          <w:color w:val="auto"/>
          <w:kern w:val="0"/>
          <w:sz w:val="24"/>
          <w:szCs w:val="24"/>
        </w:rPr>
        <w:t>：</w:t>
      </w:r>
    </w:p>
    <w:p>
      <w:pPr>
        <w:pStyle w:val="52"/>
        <w:spacing w:line="48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我方作为</w:t>
      </w:r>
      <w:r>
        <w:rPr>
          <w:rFonts w:hint="eastAsia" w:ascii="宋体" w:hAnsi="宋体" w:eastAsia="宋体" w:cs="宋体"/>
          <w:color w:val="auto"/>
          <w:sz w:val="24"/>
          <w:szCs w:val="24"/>
          <w:u w:val="single"/>
        </w:rPr>
        <w:t xml:space="preserve">    项目名称    （项目编号：  ）</w:t>
      </w:r>
      <w:r>
        <w:rPr>
          <w:rFonts w:hint="eastAsia" w:ascii="宋体" w:hAnsi="宋体" w:eastAsia="宋体" w:cs="宋体"/>
          <w:color w:val="auto"/>
          <w:sz w:val="24"/>
          <w:szCs w:val="24"/>
        </w:rPr>
        <w:t>的</w:t>
      </w:r>
      <w:r>
        <w:rPr>
          <w:rFonts w:hint="eastAsia" w:ascii="宋体" w:hAnsi="宋体" w:eastAsia="宋体" w:cs="宋体"/>
          <w:color w:val="auto"/>
          <w:sz w:val="24"/>
        </w:rPr>
        <w:t>供应商</w:t>
      </w:r>
      <w:r>
        <w:rPr>
          <w:rFonts w:hint="eastAsia" w:ascii="宋体" w:hAnsi="宋体" w:eastAsia="宋体" w:cs="宋体"/>
          <w:color w:val="auto"/>
          <w:sz w:val="24"/>
          <w:szCs w:val="24"/>
        </w:rPr>
        <w:t>，在此承诺我方具有履行本合同所必需的设备和专业技术能力，如有虚假，我方愿意承担因此引起的一切法律后果。</w:t>
      </w:r>
    </w:p>
    <w:p>
      <w:pPr>
        <w:spacing w:line="480" w:lineRule="auto"/>
        <w:rPr>
          <w:rFonts w:hint="eastAsia" w:ascii="宋体" w:hAnsi="宋体" w:eastAsia="宋体" w:cs="宋体"/>
          <w:color w:val="auto"/>
          <w:sz w:val="24"/>
          <w:szCs w:val="24"/>
        </w:rPr>
      </w:pPr>
    </w:p>
    <w:p>
      <w:pPr>
        <w:pStyle w:val="52"/>
        <w:spacing w:line="480" w:lineRule="auto"/>
        <w:ind w:firstLine="480"/>
        <w:rPr>
          <w:rFonts w:hint="eastAsia" w:ascii="宋体" w:hAnsi="宋体" w:eastAsia="宋体" w:cs="宋体"/>
          <w:color w:val="auto"/>
          <w:sz w:val="24"/>
          <w:szCs w:val="24"/>
        </w:rPr>
      </w:pPr>
    </w:p>
    <w:p>
      <w:pPr>
        <w:spacing w:line="480" w:lineRule="auto"/>
        <w:rPr>
          <w:rFonts w:hint="eastAsia" w:ascii="宋体" w:hAnsi="宋体" w:eastAsia="宋体" w:cs="宋体"/>
          <w:color w:val="auto"/>
          <w:sz w:val="24"/>
          <w:szCs w:val="24"/>
        </w:rPr>
      </w:pPr>
    </w:p>
    <w:p>
      <w:pPr>
        <w:pStyle w:val="52"/>
        <w:spacing w:line="480" w:lineRule="auto"/>
        <w:ind w:firstLine="480"/>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52"/>
        <w:ind w:firstLine="480"/>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17"/>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17"/>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52"/>
        <w:ind w:firstLine="480"/>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52"/>
        <w:ind w:firstLine="480"/>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52"/>
        <w:ind w:firstLine="480"/>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供应商名称：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（公章）</w:t>
      </w:r>
    </w:p>
    <w:p>
      <w:pPr>
        <w:spacing w:line="480" w:lineRule="auto"/>
        <w:jc w:val="center"/>
        <w:rPr>
          <w:rFonts w:hint="eastAsia" w:ascii="宋体" w:hAnsi="宋体" w:eastAsia="宋体" w:cs="宋体"/>
          <w:color w:val="auto"/>
          <w:sz w:val="24"/>
          <w:u w:val="single"/>
        </w:rPr>
      </w:pPr>
      <w:r>
        <w:rPr>
          <w:rFonts w:hint="eastAsia" w:ascii="宋体" w:hAnsi="宋体" w:eastAsia="宋体" w:cs="宋体"/>
          <w:color w:val="auto"/>
          <w:sz w:val="24"/>
        </w:rPr>
        <w:t xml:space="preserve">              法定代表人（负责人）或被授权代表签字/盖章：</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日期：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pStyle w:val="4"/>
        <w:adjustRightInd w:val="0"/>
        <w:spacing w:line="416" w:lineRule="atLeast"/>
        <w:jc w:val="center"/>
        <w:textAlignment w:val="baseline"/>
        <w:rPr>
          <w:rFonts w:hint="eastAsia" w:ascii="宋体" w:hAnsi="宋体" w:eastAsia="宋体" w:cs="宋体"/>
          <w:color w:val="auto"/>
        </w:rPr>
        <w:sectPr>
          <w:footnotePr>
            <w:pos w:val="beneathText"/>
          </w:footnotePr>
          <w:pgSz w:w="11906" w:h="16838"/>
          <w:pgMar w:top="1440" w:right="1423" w:bottom="1219" w:left="1644" w:header="720" w:footer="720" w:gutter="0"/>
          <w:cols w:space="0" w:num="1"/>
          <w:docGrid w:linePitch="312" w:charSpace="0"/>
        </w:sectPr>
      </w:pPr>
    </w:p>
    <w:p>
      <w:pPr>
        <w:pStyle w:val="4"/>
        <w:adjustRightInd w:val="0"/>
        <w:spacing w:line="416" w:lineRule="atLeast"/>
        <w:jc w:val="center"/>
        <w:textAlignment w:val="baseline"/>
        <w:rPr>
          <w:rFonts w:hint="eastAsia" w:ascii="宋体" w:hAnsi="宋体" w:eastAsia="宋体" w:cs="宋体"/>
          <w:color w:val="auto"/>
        </w:rPr>
      </w:pPr>
      <w:bookmarkStart w:id="214" w:name="_Toc18770"/>
      <w:r>
        <w:rPr>
          <w:rFonts w:hint="eastAsia" w:ascii="宋体" w:hAnsi="宋体" w:eastAsia="宋体" w:cs="宋体"/>
          <w:color w:val="auto"/>
        </w:rPr>
        <w:t>附件</w:t>
      </w:r>
      <w:bookmarkEnd w:id="207"/>
      <w:bookmarkEnd w:id="208"/>
      <w:bookmarkEnd w:id="209"/>
      <w:bookmarkEnd w:id="210"/>
      <w:bookmarkEnd w:id="211"/>
      <w:r>
        <w:rPr>
          <w:rFonts w:hint="eastAsia" w:ascii="宋体" w:hAnsi="宋体" w:eastAsia="宋体" w:cs="宋体"/>
          <w:color w:val="auto"/>
        </w:rPr>
        <w:t>4无重大违法记录书面声明</w:t>
      </w:r>
      <w:bookmarkEnd w:id="212"/>
      <w:bookmarkEnd w:id="213"/>
      <w:bookmarkEnd w:id="214"/>
    </w:p>
    <w:p>
      <w:pPr>
        <w:rPr>
          <w:rFonts w:hint="eastAsia" w:ascii="宋体" w:hAnsi="宋体" w:eastAsia="宋体" w:cs="宋体"/>
          <w:color w:val="auto"/>
        </w:rPr>
      </w:pPr>
    </w:p>
    <w:p>
      <w:pPr>
        <w:widowControl/>
        <w:spacing w:line="50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u w:val="single"/>
        </w:rPr>
        <w:t>（采购代理机构）</w:t>
      </w:r>
      <w:r>
        <w:rPr>
          <w:rFonts w:hint="eastAsia" w:ascii="宋体" w:hAnsi="宋体" w:eastAsia="宋体" w:cs="宋体"/>
          <w:color w:val="auto"/>
          <w:kern w:val="0"/>
          <w:sz w:val="24"/>
          <w:szCs w:val="24"/>
        </w:rPr>
        <w:t>：</w:t>
      </w:r>
    </w:p>
    <w:p>
      <w:pPr>
        <w:widowControl/>
        <w:spacing w:line="5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我方作为</w:t>
      </w:r>
      <w:r>
        <w:rPr>
          <w:rFonts w:hint="eastAsia" w:ascii="宋体" w:hAnsi="宋体" w:eastAsia="宋体" w:cs="宋体"/>
          <w:color w:val="auto"/>
          <w:kern w:val="0"/>
          <w:sz w:val="24"/>
          <w:szCs w:val="24"/>
          <w:u w:val="single"/>
        </w:rPr>
        <w:t xml:space="preserve">    项目名称    （项目编号：  ）</w:t>
      </w:r>
      <w:r>
        <w:rPr>
          <w:rFonts w:hint="eastAsia" w:ascii="宋体" w:hAnsi="宋体" w:eastAsia="宋体" w:cs="宋体"/>
          <w:color w:val="auto"/>
          <w:kern w:val="0"/>
          <w:sz w:val="24"/>
          <w:szCs w:val="24"/>
        </w:rPr>
        <w:t>的</w:t>
      </w:r>
      <w:r>
        <w:rPr>
          <w:rFonts w:hint="eastAsia" w:ascii="宋体" w:hAnsi="宋体" w:eastAsia="宋体" w:cs="宋体"/>
          <w:color w:val="auto"/>
          <w:sz w:val="24"/>
        </w:rPr>
        <w:t>供应商</w:t>
      </w:r>
      <w:r>
        <w:rPr>
          <w:rFonts w:hint="eastAsia" w:ascii="宋体" w:hAnsi="宋体" w:eastAsia="宋体" w:cs="宋体"/>
          <w:color w:val="auto"/>
          <w:kern w:val="0"/>
          <w:sz w:val="24"/>
          <w:szCs w:val="24"/>
        </w:rPr>
        <w:t>，在此郑重声明：</w:t>
      </w:r>
    </w:p>
    <w:p>
      <w:pPr>
        <w:widowControl/>
        <w:spacing w:line="5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1、在参加本次政府采购活动前3年内的经营活动中______（填“没有”或“有”）重大违法记录。</w:t>
      </w:r>
      <w:r>
        <w:rPr>
          <w:rFonts w:hint="eastAsia" w:ascii="宋体" w:hAnsi="宋体" w:eastAsia="宋体" w:cs="宋体"/>
          <w:color w:val="auto"/>
          <w:sz w:val="24"/>
        </w:rPr>
        <w:t>供应商</w:t>
      </w:r>
      <w:r>
        <w:rPr>
          <w:rFonts w:hint="eastAsia" w:ascii="宋体" w:hAnsi="宋体" w:eastAsia="宋体" w:cs="宋体"/>
          <w:bCs/>
          <w:color w:val="auto"/>
          <w:kern w:val="0"/>
          <w:sz w:val="24"/>
          <w:szCs w:val="24"/>
        </w:rPr>
        <w:t>在参加政府采购活动前3年内因违法经营被禁止在一定期限内参加政府采购活动，期限届满的，可以参加政府采购活动，但应提供期限届满的证明材料。</w:t>
      </w:r>
    </w:p>
    <w:p>
      <w:pPr>
        <w:widowControl/>
        <w:spacing w:line="5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2、我方______（填“未被列入”或“被列入”）失信被执行人名单。</w:t>
      </w:r>
    </w:p>
    <w:p>
      <w:pPr>
        <w:widowControl/>
        <w:spacing w:line="5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3、我方______（填“未被列入”或“被列入”）重大税收违法案件当事人名单。</w:t>
      </w:r>
    </w:p>
    <w:p>
      <w:pPr>
        <w:widowControl/>
        <w:spacing w:line="5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4、我方______（填“未被列入”或“被列入”）政府采购严重违法失信行为记录名单。</w:t>
      </w:r>
    </w:p>
    <w:p>
      <w:pPr>
        <w:widowControl/>
        <w:spacing w:line="5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如有不实，我方将无条件地退出本项目的采购活动，并遵照《政府采购法》有关“提供虚假材料的规定”接受处罚。</w:t>
      </w:r>
    </w:p>
    <w:p>
      <w:pPr>
        <w:widowControl/>
        <w:spacing w:line="5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特此声明。</w:t>
      </w:r>
    </w:p>
    <w:p>
      <w:pPr>
        <w:widowControl/>
        <w:spacing w:line="500" w:lineRule="exact"/>
        <w:ind w:firstLine="480" w:firstLineChars="200"/>
        <w:rPr>
          <w:rFonts w:hint="eastAsia" w:ascii="宋体" w:hAnsi="宋体" w:eastAsia="宋体" w:cs="宋体"/>
          <w:color w:val="auto"/>
          <w:kern w:val="0"/>
          <w:sz w:val="24"/>
          <w:szCs w:val="24"/>
        </w:rPr>
      </w:pPr>
    </w:p>
    <w:p>
      <w:pPr>
        <w:pStyle w:val="17"/>
        <w:rPr>
          <w:rFonts w:hint="eastAsia" w:ascii="宋体" w:hAnsi="宋体" w:eastAsia="宋体" w:cs="宋体"/>
          <w:color w:val="auto"/>
        </w:rPr>
      </w:pPr>
    </w:p>
    <w:p>
      <w:pPr>
        <w:rPr>
          <w:rFonts w:hint="eastAsia" w:ascii="宋体" w:hAnsi="宋体" w:eastAsia="宋体" w:cs="宋体"/>
          <w:color w:val="auto"/>
        </w:rPr>
      </w:pPr>
    </w:p>
    <w:p>
      <w:pPr>
        <w:pStyle w:val="17"/>
        <w:rPr>
          <w:rFonts w:hint="eastAsia" w:ascii="宋体" w:hAnsi="宋体" w:eastAsia="宋体" w:cs="宋体"/>
          <w:color w:val="auto"/>
        </w:rPr>
      </w:pPr>
    </w:p>
    <w:p>
      <w:pPr>
        <w:pStyle w:val="2"/>
        <w:rPr>
          <w:rFonts w:hint="eastAsia" w:ascii="宋体" w:hAnsi="宋体" w:eastAsia="宋体" w:cs="宋体"/>
          <w:color w:val="auto"/>
          <w:sz w:val="24"/>
        </w:rPr>
      </w:pPr>
    </w:p>
    <w:p>
      <w:pPr>
        <w:pStyle w:val="2"/>
        <w:rPr>
          <w:rFonts w:hint="eastAsia" w:ascii="宋体" w:hAnsi="宋体" w:eastAsia="宋体" w:cs="宋体"/>
          <w:color w:val="auto"/>
          <w:sz w:val="24"/>
        </w:rPr>
      </w:pPr>
    </w:p>
    <w:p>
      <w:pPr>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供应商名称：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（公章）</w:t>
      </w:r>
    </w:p>
    <w:p>
      <w:pPr>
        <w:spacing w:line="480" w:lineRule="auto"/>
        <w:jc w:val="center"/>
        <w:rPr>
          <w:rFonts w:hint="eastAsia" w:ascii="宋体" w:hAnsi="宋体" w:eastAsia="宋体" w:cs="宋体"/>
          <w:color w:val="auto"/>
          <w:sz w:val="24"/>
          <w:u w:val="single"/>
        </w:rPr>
      </w:pPr>
      <w:r>
        <w:rPr>
          <w:rFonts w:hint="eastAsia" w:ascii="宋体" w:hAnsi="宋体" w:eastAsia="宋体" w:cs="宋体"/>
          <w:color w:val="auto"/>
          <w:sz w:val="24"/>
        </w:rPr>
        <w:t xml:space="preserve">              法定代表人（负责人）或被授权代表签字/盖章：</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日期：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pStyle w:val="2"/>
        <w:rPr>
          <w:rFonts w:hint="eastAsia" w:ascii="宋体" w:hAnsi="宋体" w:eastAsia="宋体" w:cs="宋体"/>
          <w:color w:val="auto"/>
          <w:sz w:val="24"/>
        </w:rPr>
      </w:pPr>
    </w:p>
    <w:p>
      <w:pPr>
        <w:pStyle w:val="2"/>
        <w:rPr>
          <w:rFonts w:hint="eastAsia" w:ascii="宋体" w:hAnsi="宋体" w:eastAsia="宋体" w:cs="宋体"/>
          <w:color w:val="auto"/>
          <w:sz w:val="24"/>
        </w:rPr>
      </w:pPr>
    </w:p>
    <w:p>
      <w:pPr>
        <w:pStyle w:val="2"/>
        <w:rPr>
          <w:rFonts w:hint="eastAsia" w:ascii="宋体" w:hAnsi="宋体" w:eastAsia="宋体" w:cs="宋体"/>
          <w:color w:val="auto"/>
          <w:sz w:val="24"/>
        </w:rPr>
      </w:pPr>
    </w:p>
    <w:p>
      <w:pPr>
        <w:pStyle w:val="2"/>
        <w:rPr>
          <w:rFonts w:hint="eastAsia" w:ascii="宋体" w:hAnsi="宋体" w:eastAsia="宋体" w:cs="宋体"/>
          <w:color w:val="auto"/>
          <w:sz w:val="24"/>
        </w:rPr>
      </w:pPr>
    </w:p>
    <w:p>
      <w:pPr>
        <w:pStyle w:val="2"/>
        <w:rPr>
          <w:rFonts w:hint="eastAsia" w:ascii="宋体" w:hAnsi="宋体" w:eastAsia="宋体" w:cs="宋体"/>
          <w:color w:val="auto"/>
          <w:sz w:val="24"/>
        </w:rPr>
      </w:pPr>
    </w:p>
    <w:p>
      <w:pPr>
        <w:pStyle w:val="2"/>
        <w:rPr>
          <w:rFonts w:hint="eastAsia" w:ascii="宋体" w:hAnsi="宋体" w:eastAsia="宋体" w:cs="宋体"/>
          <w:color w:val="auto"/>
          <w:sz w:val="24"/>
        </w:rPr>
      </w:pPr>
    </w:p>
    <w:p>
      <w:pPr>
        <w:pStyle w:val="4"/>
        <w:adjustRightInd w:val="0"/>
        <w:spacing w:line="416" w:lineRule="atLeast"/>
        <w:jc w:val="center"/>
        <w:textAlignment w:val="baseline"/>
        <w:rPr>
          <w:rFonts w:hint="eastAsia" w:ascii="宋体" w:hAnsi="宋体" w:eastAsia="宋体" w:cs="宋体"/>
          <w:color w:val="auto"/>
          <w:lang w:val="zh-CN"/>
        </w:rPr>
      </w:pPr>
      <w:bookmarkStart w:id="215" w:name="_Toc8464"/>
      <w:bookmarkStart w:id="216" w:name="_Toc27357"/>
      <w:r>
        <w:rPr>
          <w:rFonts w:hint="eastAsia" w:ascii="宋体" w:hAnsi="宋体" w:eastAsia="宋体" w:cs="宋体"/>
          <w:color w:val="auto"/>
        </w:rPr>
        <w:t xml:space="preserve">附件5 </w:t>
      </w:r>
      <w:r>
        <w:rPr>
          <w:rFonts w:hint="eastAsia" w:ascii="宋体" w:hAnsi="宋体" w:eastAsia="宋体" w:cs="宋体"/>
          <w:color w:val="auto"/>
          <w:lang w:val="zh-CN"/>
        </w:rPr>
        <w:t>供应商企业关系关联承诺书</w:t>
      </w:r>
      <w:bookmarkEnd w:id="215"/>
      <w:bookmarkEnd w:id="216"/>
    </w:p>
    <w:p>
      <w:pPr>
        <w:autoSpaceDE w:val="0"/>
        <w:autoSpaceDN w:val="0"/>
        <w:adjustRightInd w:val="0"/>
        <w:spacing w:line="360" w:lineRule="auto"/>
        <w:rPr>
          <w:rFonts w:hint="eastAsia" w:ascii="宋体" w:hAnsi="宋体" w:eastAsia="宋体" w:cs="宋体"/>
          <w:color w:val="auto"/>
          <w:sz w:val="28"/>
          <w:szCs w:val="28"/>
        </w:rPr>
      </w:pPr>
    </w:p>
    <w:p>
      <w:pPr>
        <w:autoSpaceDE w:val="0"/>
        <w:autoSpaceDN w:val="0"/>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1、供应商在本磋商项目中，不存在与其它供应商负责人为同一人，有控股、管理等关联关系。</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1-1、管理关系说明：</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我单位管理的具有独立法人的下属单位有：</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我单位的上级管理单位有</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1-2、股权关系说明：</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我单位控股的单位有</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我单位被</w:t>
      </w:r>
      <w:r>
        <w:rPr>
          <w:rFonts w:hint="eastAsia" w:ascii="宋体" w:hAnsi="宋体" w:eastAsia="宋体" w:cs="宋体"/>
          <w:i/>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单位控股。</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1-3、单位负责人：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2、其他与本项目有关的利害关系说明：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autoSpaceDE w:val="0"/>
        <w:autoSpaceDN w:val="0"/>
        <w:adjustRightInd w:val="0"/>
        <w:snapToGrid w:val="0"/>
        <w:spacing w:line="360" w:lineRule="auto"/>
        <w:rPr>
          <w:rFonts w:hint="eastAsia" w:ascii="宋体" w:hAnsi="宋体" w:eastAsia="宋体" w:cs="宋体"/>
          <w:color w:val="auto"/>
          <w:sz w:val="24"/>
          <w:szCs w:val="24"/>
        </w:rPr>
      </w:pP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我单位承诺以上说明真实有效，无虚假内容或隐瞒。</w:t>
      </w:r>
    </w:p>
    <w:p>
      <w:pPr>
        <w:pStyle w:val="2"/>
        <w:rPr>
          <w:rFonts w:hint="eastAsia" w:ascii="宋体" w:hAnsi="宋体" w:eastAsia="宋体" w:cs="宋体"/>
          <w:color w:val="auto"/>
          <w:sz w:val="24"/>
          <w:szCs w:val="24"/>
        </w:rPr>
      </w:pPr>
    </w:p>
    <w:p>
      <w:pPr>
        <w:pStyle w:val="2"/>
        <w:ind w:firstLine="0"/>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rPr>
      </w:pPr>
    </w:p>
    <w:p>
      <w:pPr>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供应商名称：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（公章）</w:t>
      </w:r>
    </w:p>
    <w:p>
      <w:pPr>
        <w:spacing w:line="480" w:lineRule="auto"/>
        <w:jc w:val="center"/>
        <w:rPr>
          <w:rFonts w:hint="eastAsia" w:ascii="宋体" w:hAnsi="宋体" w:eastAsia="宋体" w:cs="宋体"/>
          <w:color w:val="auto"/>
          <w:sz w:val="24"/>
          <w:u w:val="single"/>
        </w:rPr>
      </w:pPr>
      <w:r>
        <w:rPr>
          <w:rFonts w:hint="eastAsia" w:ascii="宋体" w:hAnsi="宋体" w:eastAsia="宋体" w:cs="宋体"/>
          <w:color w:val="auto"/>
          <w:sz w:val="24"/>
        </w:rPr>
        <w:t xml:space="preserve">              法定代表人（负责人）或被授权代表签字/盖章：</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日期：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pStyle w:val="2"/>
        <w:rPr>
          <w:rFonts w:hint="eastAsia" w:ascii="宋体" w:hAnsi="宋体" w:eastAsia="宋体" w:cs="宋体"/>
          <w:color w:val="auto"/>
          <w:sz w:val="24"/>
        </w:rPr>
      </w:pPr>
    </w:p>
    <w:p>
      <w:pPr>
        <w:pStyle w:val="2"/>
        <w:rPr>
          <w:rFonts w:hint="eastAsia" w:ascii="宋体" w:hAnsi="宋体" w:eastAsia="宋体" w:cs="宋体"/>
          <w:color w:val="auto"/>
          <w:sz w:val="24"/>
        </w:rPr>
      </w:pPr>
    </w:p>
    <w:p>
      <w:pPr>
        <w:pStyle w:val="2"/>
        <w:rPr>
          <w:rFonts w:hint="eastAsia" w:ascii="宋体" w:hAnsi="宋体" w:eastAsia="宋体" w:cs="宋体"/>
          <w:color w:val="auto"/>
        </w:rPr>
      </w:pPr>
    </w:p>
    <w:p>
      <w:pPr>
        <w:pStyle w:val="2"/>
        <w:rPr>
          <w:rFonts w:hint="eastAsia" w:ascii="宋体" w:hAnsi="宋体" w:eastAsia="宋体" w:cs="宋体"/>
          <w:color w:val="auto"/>
          <w:sz w:val="24"/>
        </w:rPr>
      </w:pPr>
    </w:p>
    <w:p>
      <w:pPr>
        <w:pStyle w:val="2"/>
        <w:rPr>
          <w:rFonts w:hint="eastAsia" w:ascii="宋体" w:hAnsi="宋体" w:eastAsia="宋体" w:cs="宋体"/>
          <w:color w:val="auto"/>
          <w:sz w:val="24"/>
        </w:rPr>
      </w:pPr>
    </w:p>
    <w:p>
      <w:pPr>
        <w:pStyle w:val="2"/>
        <w:rPr>
          <w:rFonts w:hint="eastAsia" w:ascii="宋体" w:hAnsi="宋体" w:eastAsia="宋体" w:cs="宋体"/>
          <w:color w:val="auto"/>
          <w:sz w:val="24"/>
        </w:rPr>
      </w:pPr>
    </w:p>
    <w:p>
      <w:pPr>
        <w:rPr>
          <w:rFonts w:hint="eastAsia" w:ascii="宋体" w:hAnsi="宋体" w:eastAsia="宋体" w:cs="宋体"/>
          <w:color w:val="auto"/>
        </w:rPr>
      </w:pPr>
      <w:bookmarkStart w:id="217" w:name="_Toc23360"/>
      <w:bookmarkStart w:id="218" w:name="_Toc20954"/>
      <w:r>
        <w:rPr>
          <w:rFonts w:hint="eastAsia" w:ascii="宋体" w:hAnsi="宋体" w:eastAsia="宋体" w:cs="宋体"/>
          <w:color w:val="auto"/>
        </w:rPr>
        <w:br w:type="page"/>
      </w:r>
    </w:p>
    <w:p>
      <w:pPr>
        <w:pStyle w:val="4"/>
        <w:adjustRightInd w:val="0"/>
        <w:spacing w:line="416" w:lineRule="atLeast"/>
        <w:jc w:val="center"/>
        <w:textAlignment w:val="baseline"/>
        <w:rPr>
          <w:rFonts w:hint="eastAsia" w:ascii="宋体" w:hAnsi="宋体" w:eastAsia="宋体" w:cs="宋体"/>
          <w:color w:val="auto"/>
        </w:rPr>
      </w:pPr>
      <w:r>
        <w:rPr>
          <w:rFonts w:hint="eastAsia" w:ascii="宋体" w:hAnsi="宋体" w:eastAsia="宋体" w:cs="宋体"/>
          <w:color w:val="auto"/>
        </w:rPr>
        <w:t>附件6 声明函/证明文件</w:t>
      </w:r>
      <w:bookmarkEnd w:id="217"/>
      <w:bookmarkEnd w:id="218"/>
    </w:p>
    <w:p>
      <w:pPr>
        <w:pStyle w:val="4"/>
        <w:adjustRightInd w:val="0"/>
        <w:spacing w:line="416" w:lineRule="atLeast"/>
        <w:jc w:val="center"/>
        <w:textAlignment w:val="baseline"/>
        <w:rPr>
          <w:rFonts w:hint="eastAsia" w:ascii="宋体" w:hAnsi="宋体" w:eastAsia="宋体" w:cs="宋体"/>
          <w:bCs/>
          <w:color w:val="auto"/>
          <w:kern w:val="0"/>
          <w:szCs w:val="32"/>
        </w:rPr>
      </w:pPr>
      <w:bookmarkStart w:id="219" w:name="_Toc9827"/>
      <w:bookmarkStart w:id="220" w:name="_Toc3423"/>
      <w:r>
        <w:rPr>
          <w:rFonts w:hint="eastAsia" w:ascii="宋体" w:hAnsi="宋体" w:eastAsia="宋体" w:cs="宋体"/>
          <w:color w:val="auto"/>
          <w:sz w:val="28"/>
          <w:szCs w:val="28"/>
        </w:rPr>
        <w:t>6-1 中小微企业声明函（须附）</w:t>
      </w:r>
      <w:bookmarkEnd w:id="219"/>
      <w:bookmarkEnd w:id="220"/>
    </w:p>
    <w:p>
      <w:pPr>
        <w:spacing w:line="360" w:lineRule="auto"/>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本公司（联合体）郑重声明，根据《政府采购促进中小企业发展管理办法》（财库﹝2020﹞46 号）的规定，本公司（联合体）参加</w:t>
      </w:r>
      <w:r>
        <w:rPr>
          <w:rFonts w:hint="eastAsia" w:ascii="宋体" w:hAnsi="宋体" w:eastAsia="宋体" w:cs="宋体"/>
          <w:color w:val="auto"/>
          <w:spacing w:val="6"/>
          <w:sz w:val="24"/>
          <w:szCs w:val="24"/>
          <w:u w:val="single"/>
        </w:rPr>
        <w:t>（单位名称）</w:t>
      </w:r>
      <w:r>
        <w:rPr>
          <w:rFonts w:hint="eastAsia" w:ascii="宋体" w:hAnsi="宋体" w:eastAsia="宋体" w:cs="宋体"/>
          <w:color w:val="auto"/>
          <w:spacing w:val="6"/>
          <w:sz w:val="24"/>
          <w:szCs w:val="24"/>
        </w:rPr>
        <w:t>的</w:t>
      </w:r>
      <w:r>
        <w:rPr>
          <w:rFonts w:hint="eastAsia" w:ascii="宋体" w:hAnsi="宋体" w:eastAsia="宋体" w:cs="宋体"/>
          <w:color w:val="auto"/>
          <w:spacing w:val="6"/>
          <w:sz w:val="24"/>
          <w:szCs w:val="24"/>
          <w:u w:val="single"/>
        </w:rPr>
        <w:t>（项目名称）</w:t>
      </w:r>
      <w:r>
        <w:rPr>
          <w:rFonts w:hint="eastAsia" w:ascii="宋体" w:hAnsi="宋体" w:eastAsia="宋体" w:cs="宋体"/>
          <w:color w:val="auto"/>
          <w:spacing w:val="6"/>
          <w:sz w:val="24"/>
          <w:szCs w:val="24"/>
        </w:rPr>
        <w:t>采购活动，</w:t>
      </w:r>
      <w:r>
        <w:rPr>
          <w:rFonts w:hint="eastAsia" w:ascii="宋体" w:hAnsi="宋体" w:eastAsia="宋体" w:cs="宋体"/>
          <w:spacing w:val="6"/>
          <w:sz w:val="24"/>
          <w:szCs w:val="24"/>
          <w:lang w:eastAsia="zh-CN"/>
        </w:rPr>
        <w:t>提供的货物全部由符合政策要求的中小企业制造</w:t>
      </w:r>
      <w:r>
        <w:rPr>
          <w:rFonts w:hint="eastAsia" w:ascii="宋体" w:hAnsi="宋体" w:eastAsia="宋体" w:cs="宋体"/>
          <w:color w:val="auto"/>
          <w:spacing w:val="6"/>
          <w:sz w:val="24"/>
          <w:szCs w:val="24"/>
        </w:rPr>
        <w:t>。相关企业（含联合体中的中小企业、签订分包意向协议的中小企业）的具体情况如下：</w:t>
      </w:r>
    </w:p>
    <w:p>
      <w:pPr>
        <w:spacing w:line="360" w:lineRule="auto"/>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w:t>
      </w:r>
      <w:r>
        <w:rPr>
          <w:rFonts w:hint="eastAsia" w:ascii="宋体" w:hAnsi="宋体" w:eastAsia="宋体" w:cs="宋体"/>
          <w:color w:val="auto"/>
          <w:spacing w:val="6"/>
          <w:sz w:val="24"/>
          <w:szCs w:val="24"/>
          <w:u w:val="single"/>
        </w:rPr>
        <w:t xml:space="preserve"> （标的名称） </w:t>
      </w:r>
      <w:r>
        <w:rPr>
          <w:rFonts w:hint="eastAsia" w:ascii="宋体" w:hAnsi="宋体" w:eastAsia="宋体" w:cs="宋体"/>
          <w:color w:val="auto"/>
          <w:spacing w:val="6"/>
          <w:sz w:val="24"/>
          <w:szCs w:val="24"/>
        </w:rPr>
        <w:t>，属于</w:t>
      </w:r>
      <w:r>
        <w:rPr>
          <w:rFonts w:hint="eastAsia" w:ascii="宋体" w:hAnsi="宋体" w:eastAsia="宋体" w:cs="宋体"/>
          <w:color w:val="auto"/>
          <w:spacing w:val="6"/>
          <w:sz w:val="24"/>
          <w:szCs w:val="24"/>
          <w:u w:val="single"/>
          <w:lang w:eastAsia="zh-CN"/>
        </w:rPr>
        <w:t>农</w:t>
      </w:r>
      <w:r>
        <w:rPr>
          <w:rFonts w:hint="eastAsia" w:ascii="宋体" w:hAnsi="宋体" w:eastAsia="宋体" w:cs="宋体"/>
          <w:color w:val="auto"/>
          <w:spacing w:val="6"/>
          <w:sz w:val="24"/>
          <w:szCs w:val="24"/>
          <w:u w:val="single"/>
        </w:rPr>
        <w:t>业</w:t>
      </w:r>
      <w:r>
        <w:rPr>
          <w:rFonts w:hint="eastAsia" w:ascii="宋体" w:hAnsi="宋体" w:eastAsia="宋体" w:cs="宋体"/>
          <w:color w:val="auto"/>
          <w:spacing w:val="6"/>
          <w:sz w:val="24"/>
          <w:szCs w:val="24"/>
        </w:rPr>
        <w:t>；</w:t>
      </w:r>
      <w:r>
        <w:rPr>
          <w:rFonts w:hint="eastAsia" w:ascii="宋体" w:hAnsi="宋体" w:eastAsia="宋体" w:cs="宋体"/>
          <w:color w:val="auto"/>
          <w:spacing w:val="6"/>
          <w:sz w:val="24"/>
          <w:szCs w:val="24"/>
          <w:lang w:eastAsia="zh-CN"/>
        </w:rPr>
        <w:t>制造商</w:t>
      </w:r>
      <w:r>
        <w:rPr>
          <w:rFonts w:hint="eastAsia" w:ascii="宋体" w:hAnsi="宋体" w:eastAsia="宋体" w:cs="宋体"/>
          <w:color w:val="auto"/>
          <w:spacing w:val="6"/>
          <w:sz w:val="24"/>
          <w:szCs w:val="24"/>
        </w:rPr>
        <w:t>为</w:t>
      </w:r>
      <w:r>
        <w:rPr>
          <w:rFonts w:hint="eastAsia" w:ascii="宋体" w:hAnsi="宋体" w:eastAsia="宋体" w:cs="宋体"/>
          <w:color w:val="auto"/>
          <w:spacing w:val="6"/>
          <w:sz w:val="24"/>
          <w:szCs w:val="24"/>
          <w:u w:val="single"/>
        </w:rPr>
        <w:t>（企业名称）</w:t>
      </w:r>
      <w:r>
        <w:rPr>
          <w:rFonts w:hint="eastAsia" w:ascii="宋体" w:hAnsi="宋体" w:eastAsia="宋体" w:cs="宋体"/>
          <w:color w:val="auto"/>
          <w:spacing w:val="6"/>
          <w:sz w:val="24"/>
          <w:szCs w:val="24"/>
        </w:rPr>
        <w:t>，从业人员</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人，营业收入为</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万元，资产总额为</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 xml:space="preserve">万元，属于（中型企业、小型企业、微型企业）； </w:t>
      </w:r>
    </w:p>
    <w:p>
      <w:pPr>
        <w:spacing w:line="360" w:lineRule="auto"/>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w:t>
      </w:r>
      <w:r>
        <w:rPr>
          <w:rFonts w:hint="eastAsia" w:ascii="宋体" w:hAnsi="宋体" w:eastAsia="宋体" w:cs="宋体"/>
          <w:color w:val="auto"/>
          <w:spacing w:val="6"/>
          <w:sz w:val="24"/>
          <w:szCs w:val="24"/>
          <w:u w:val="single"/>
        </w:rPr>
        <w:t xml:space="preserve"> （标的名称） </w:t>
      </w:r>
      <w:r>
        <w:rPr>
          <w:rFonts w:hint="eastAsia" w:ascii="宋体" w:hAnsi="宋体" w:eastAsia="宋体" w:cs="宋体"/>
          <w:color w:val="auto"/>
          <w:spacing w:val="6"/>
          <w:sz w:val="24"/>
          <w:szCs w:val="24"/>
        </w:rPr>
        <w:t>，属于</w:t>
      </w:r>
      <w:r>
        <w:rPr>
          <w:rFonts w:hint="eastAsia" w:ascii="宋体" w:hAnsi="宋体" w:eastAsia="宋体" w:cs="宋体"/>
          <w:color w:val="auto"/>
          <w:spacing w:val="6"/>
          <w:sz w:val="24"/>
          <w:szCs w:val="24"/>
          <w:u w:val="single"/>
          <w:lang w:eastAsia="zh-CN"/>
        </w:rPr>
        <w:t>农</w:t>
      </w:r>
      <w:r>
        <w:rPr>
          <w:rFonts w:hint="eastAsia" w:ascii="宋体" w:hAnsi="宋体" w:eastAsia="宋体" w:cs="宋体"/>
          <w:color w:val="auto"/>
          <w:spacing w:val="6"/>
          <w:sz w:val="24"/>
          <w:szCs w:val="24"/>
          <w:u w:val="single"/>
        </w:rPr>
        <w:t>业</w:t>
      </w:r>
      <w:r>
        <w:rPr>
          <w:rFonts w:hint="eastAsia" w:ascii="宋体" w:hAnsi="宋体" w:eastAsia="宋体" w:cs="宋体"/>
          <w:color w:val="auto"/>
          <w:spacing w:val="6"/>
          <w:sz w:val="24"/>
          <w:szCs w:val="24"/>
        </w:rPr>
        <w:t>；</w:t>
      </w:r>
      <w:r>
        <w:rPr>
          <w:rFonts w:hint="eastAsia" w:ascii="宋体" w:hAnsi="宋体" w:eastAsia="宋体" w:cs="宋体"/>
          <w:color w:val="auto"/>
          <w:spacing w:val="6"/>
          <w:sz w:val="24"/>
          <w:szCs w:val="24"/>
          <w:lang w:eastAsia="zh-CN"/>
        </w:rPr>
        <w:t>制造商</w:t>
      </w:r>
      <w:r>
        <w:rPr>
          <w:rFonts w:hint="eastAsia" w:ascii="宋体" w:hAnsi="宋体" w:eastAsia="宋体" w:cs="宋体"/>
          <w:color w:val="auto"/>
          <w:spacing w:val="6"/>
          <w:sz w:val="24"/>
          <w:szCs w:val="24"/>
        </w:rPr>
        <w:t>为</w:t>
      </w:r>
      <w:r>
        <w:rPr>
          <w:rFonts w:hint="eastAsia" w:ascii="宋体" w:hAnsi="宋体" w:eastAsia="宋体" w:cs="宋体"/>
          <w:color w:val="auto"/>
          <w:spacing w:val="6"/>
          <w:sz w:val="24"/>
          <w:szCs w:val="24"/>
          <w:u w:val="single"/>
        </w:rPr>
        <w:t>（企业名称）</w:t>
      </w:r>
      <w:r>
        <w:rPr>
          <w:rFonts w:hint="eastAsia" w:ascii="宋体" w:hAnsi="宋体" w:eastAsia="宋体" w:cs="宋体"/>
          <w:color w:val="auto"/>
          <w:spacing w:val="6"/>
          <w:sz w:val="24"/>
          <w:szCs w:val="24"/>
        </w:rPr>
        <w:t>，从业人员</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人，营业收入为</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万元，资产总额为</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万元，属于</w:t>
      </w:r>
      <w:r>
        <w:rPr>
          <w:rFonts w:hint="eastAsia" w:ascii="宋体" w:hAnsi="宋体" w:eastAsia="宋体" w:cs="宋体"/>
          <w:color w:val="auto"/>
          <w:spacing w:val="6"/>
          <w:sz w:val="24"/>
          <w:szCs w:val="24"/>
          <w:u w:val="single"/>
        </w:rPr>
        <w:t>（中型企业、小型企业、微型企业）</w:t>
      </w:r>
      <w:r>
        <w:rPr>
          <w:rFonts w:hint="eastAsia" w:ascii="宋体" w:hAnsi="宋体" w:eastAsia="宋体" w:cs="宋体"/>
          <w:color w:val="auto"/>
          <w:spacing w:val="6"/>
          <w:sz w:val="24"/>
          <w:szCs w:val="24"/>
        </w:rPr>
        <w:t xml:space="preserve">； </w:t>
      </w:r>
    </w:p>
    <w:p>
      <w:pPr>
        <w:spacing w:line="360" w:lineRule="auto"/>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w:t>
      </w:r>
    </w:p>
    <w:p>
      <w:pPr>
        <w:spacing w:line="360" w:lineRule="auto"/>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以上企业，不属于大企业的分支机构，不存在控股股东为大企业的情形，也不存在与大企业的负责人为同一人的情形。</w:t>
      </w:r>
    </w:p>
    <w:p>
      <w:pPr>
        <w:spacing w:line="360" w:lineRule="auto"/>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 xml:space="preserve">本企业对上述声明内容的真实性负责。如有虚假，将依法承担相应责任。 </w:t>
      </w:r>
    </w:p>
    <w:p>
      <w:pPr>
        <w:pStyle w:val="26"/>
        <w:spacing w:line="360" w:lineRule="auto"/>
        <w:rPr>
          <w:rFonts w:hint="eastAsia" w:ascii="宋体" w:hAnsi="宋体" w:eastAsia="宋体" w:cs="宋体"/>
          <w:color w:val="auto"/>
          <w:spacing w:val="6"/>
          <w:sz w:val="24"/>
          <w:szCs w:val="24"/>
        </w:rPr>
      </w:pPr>
    </w:p>
    <w:p>
      <w:pPr>
        <w:pStyle w:val="26"/>
        <w:rPr>
          <w:rFonts w:hint="eastAsia" w:ascii="宋体" w:hAnsi="宋体" w:eastAsia="宋体" w:cs="宋体"/>
          <w:color w:val="auto"/>
          <w:spacing w:val="6"/>
          <w:sz w:val="24"/>
          <w:szCs w:val="24"/>
          <w:lang w:val="zh-CN"/>
        </w:rPr>
      </w:pPr>
    </w:p>
    <w:p>
      <w:pPr>
        <w:pStyle w:val="2"/>
        <w:rPr>
          <w:rFonts w:hint="eastAsia" w:ascii="宋体" w:hAnsi="宋体" w:eastAsia="宋体" w:cs="宋体"/>
          <w:color w:val="auto"/>
          <w:lang w:val="zh-CN"/>
        </w:rPr>
      </w:pPr>
    </w:p>
    <w:p>
      <w:pPr>
        <w:autoSpaceDE w:val="0"/>
        <w:autoSpaceDN w:val="0"/>
        <w:adjustRightInd w:val="0"/>
        <w:snapToGrid w:val="0"/>
        <w:spacing w:line="480" w:lineRule="auto"/>
        <w:ind w:firstLine="4320" w:firstLineChars="18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 xml:space="preserve">（盖章）           </w:t>
      </w:r>
    </w:p>
    <w:p>
      <w:pPr>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日期：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autoSpaceDE w:val="0"/>
        <w:autoSpaceDN w:val="0"/>
        <w:adjustRightInd w:val="0"/>
        <w:snapToGrid w:val="0"/>
        <w:spacing w:line="480" w:lineRule="auto"/>
        <w:ind w:firstLine="4320" w:firstLineChars="18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p>
    <w:p>
      <w:pPr>
        <w:pStyle w:val="4"/>
        <w:adjustRightInd w:val="0"/>
        <w:spacing w:line="416" w:lineRule="atLeast"/>
        <w:jc w:val="center"/>
        <w:textAlignment w:val="baseline"/>
        <w:rPr>
          <w:rFonts w:hint="eastAsia" w:ascii="宋体" w:hAnsi="宋体" w:eastAsia="宋体" w:cs="宋体"/>
          <w:color w:val="auto"/>
          <w:sz w:val="28"/>
          <w:szCs w:val="28"/>
        </w:rPr>
        <w:sectPr>
          <w:pgSz w:w="11906" w:h="16838"/>
          <w:pgMar w:top="1440" w:right="1423" w:bottom="1219" w:left="1644" w:header="720" w:footer="720" w:gutter="0"/>
          <w:cols w:space="0" w:num="1"/>
          <w:docGrid w:linePitch="312" w:charSpace="0"/>
        </w:sectPr>
      </w:pPr>
      <w:bookmarkStart w:id="221" w:name="OLE_LINK14"/>
      <w:bookmarkStart w:id="222" w:name="_Toc10187"/>
    </w:p>
    <w:p>
      <w:pPr>
        <w:pStyle w:val="4"/>
        <w:adjustRightInd w:val="0"/>
        <w:spacing w:line="416" w:lineRule="atLeast"/>
        <w:jc w:val="center"/>
        <w:textAlignment w:val="baseline"/>
        <w:rPr>
          <w:rFonts w:hint="eastAsia" w:ascii="宋体" w:hAnsi="宋体" w:eastAsia="宋体" w:cs="宋体"/>
          <w:color w:val="auto"/>
          <w:szCs w:val="32"/>
        </w:rPr>
      </w:pPr>
      <w:bookmarkStart w:id="223" w:name="_Toc20314"/>
      <w:r>
        <w:rPr>
          <w:rFonts w:hint="eastAsia" w:ascii="宋体" w:hAnsi="宋体" w:eastAsia="宋体" w:cs="宋体"/>
          <w:color w:val="auto"/>
          <w:szCs w:val="32"/>
        </w:rPr>
        <w:t>6-2 残疾人福利性单位声明函</w:t>
      </w:r>
      <w:bookmarkEnd w:id="221"/>
      <w:r>
        <w:rPr>
          <w:rFonts w:hint="eastAsia" w:ascii="宋体" w:hAnsi="宋体" w:eastAsia="宋体" w:cs="宋体"/>
          <w:color w:val="auto"/>
          <w:szCs w:val="32"/>
        </w:rPr>
        <w:t>（如是须附）</w:t>
      </w:r>
      <w:bookmarkEnd w:id="222"/>
      <w:bookmarkEnd w:id="223"/>
    </w:p>
    <w:p>
      <w:pPr>
        <w:rPr>
          <w:rFonts w:hint="eastAsia" w:ascii="宋体" w:hAnsi="宋体" w:eastAsia="宋体" w:cs="宋体"/>
          <w:color w:val="auto"/>
        </w:rPr>
      </w:pPr>
    </w:p>
    <w:p>
      <w:pPr>
        <w:spacing w:line="360" w:lineRule="auto"/>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本单位郑重声明，根据《财政部 民政部 中国残疾人联合会关于促进残疾人就业政府采购政策的通知》（财库</w:t>
      </w:r>
      <w:r>
        <w:rPr>
          <w:rFonts w:hint="eastAsia" w:ascii="宋体" w:hAnsi="宋体" w:eastAsia="宋体" w:cs="宋体"/>
          <w:color w:val="auto"/>
          <w:sz w:val="24"/>
          <w:szCs w:val="24"/>
        </w:rPr>
        <w:t>〔2017〕 141</w:t>
      </w:r>
      <w:r>
        <w:rPr>
          <w:rFonts w:hint="eastAsia" w:ascii="宋体" w:hAnsi="宋体" w:eastAsia="宋体" w:cs="宋体"/>
          <w:color w:val="auto"/>
          <w:spacing w:val="6"/>
          <w:sz w:val="24"/>
          <w:szCs w:val="24"/>
        </w:rPr>
        <w:t>号）的规定，本单位为符合条件的残疾人福利性单位，且本单位参加____单位的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本单位对上述声明的真实性负责。如有虚假，将依法承担相应责任。</w:t>
      </w:r>
    </w:p>
    <w:p>
      <w:pPr>
        <w:spacing w:line="360" w:lineRule="auto"/>
        <w:ind w:firstLine="504" w:firstLineChars="200"/>
        <w:rPr>
          <w:rFonts w:hint="eastAsia" w:ascii="宋体" w:hAnsi="宋体" w:eastAsia="宋体" w:cs="宋体"/>
          <w:color w:val="auto"/>
          <w:spacing w:val="6"/>
          <w:sz w:val="24"/>
          <w:szCs w:val="24"/>
        </w:rPr>
      </w:pPr>
    </w:p>
    <w:p>
      <w:pPr>
        <w:spacing w:line="360" w:lineRule="auto"/>
        <w:rPr>
          <w:rFonts w:hint="eastAsia" w:ascii="宋体" w:hAnsi="宋体" w:eastAsia="宋体" w:cs="宋体"/>
          <w:color w:val="auto"/>
          <w:spacing w:val="6"/>
          <w:sz w:val="24"/>
          <w:szCs w:val="24"/>
        </w:rPr>
      </w:pPr>
    </w:p>
    <w:p>
      <w:pPr>
        <w:spacing w:line="360" w:lineRule="auto"/>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根据《三部门联合发布关于促进残疾人就业政府采购政策的通知》（财库〔2017〕141号）的规定，由供应商自行申明，并对申明真实性负责。如有虚假，将依法承担相应责任。</w:t>
      </w:r>
    </w:p>
    <w:p>
      <w:pPr>
        <w:spacing w:line="480" w:lineRule="auto"/>
        <w:ind w:firstLine="504" w:firstLineChars="200"/>
        <w:rPr>
          <w:rFonts w:hint="eastAsia" w:ascii="宋体" w:hAnsi="宋体" w:eastAsia="宋体" w:cs="宋体"/>
          <w:color w:val="auto"/>
          <w:spacing w:val="6"/>
          <w:sz w:val="24"/>
          <w:szCs w:val="24"/>
        </w:rPr>
      </w:pPr>
    </w:p>
    <w:p>
      <w:pPr>
        <w:pStyle w:val="26"/>
        <w:rPr>
          <w:rFonts w:hint="eastAsia" w:ascii="宋体" w:hAnsi="宋体" w:eastAsia="宋体" w:cs="宋体"/>
          <w:color w:val="auto"/>
          <w:spacing w:val="6"/>
          <w:sz w:val="24"/>
          <w:szCs w:val="24"/>
        </w:rPr>
      </w:pPr>
    </w:p>
    <w:p>
      <w:pPr>
        <w:pStyle w:val="26"/>
        <w:rPr>
          <w:rFonts w:hint="eastAsia" w:ascii="宋体" w:hAnsi="宋体" w:eastAsia="宋体" w:cs="宋体"/>
          <w:color w:val="auto"/>
          <w:spacing w:val="6"/>
          <w:sz w:val="24"/>
          <w:szCs w:val="24"/>
        </w:rPr>
      </w:pPr>
    </w:p>
    <w:p>
      <w:pPr>
        <w:pStyle w:val="26"/>
        <w:rPr>
          <w:rFonts w:hint="eastAsia" w:ascii="宋体" w:hAnsi="宋体" w:eastAsia="宋体" w:cs="宋体"/>
          <w:color w:val="auto"/>
          <w:spacing w:val="6"/>
          <w:sz w:val="24"/>
          <w:szCs w:val="24"/>
        </w:rPr>
      </w:pPr>
    </w:p>
    <w:p>
      <w:pPr>
        <w:pStyle w:val="26"/>
        <w:rPr>
          <w:rFonts w:hint="eastAsia" w:ascii="宋体" w:hAnsi="宋体" w:eastAsia="宋体" w:cs="宋体"/>
          <w:color w:val="auto"/>
          <w:spacing w:val="6"/>
          <w:sz w:val="24"/>
          <w:szCs w:val="24"/>
        </w:rPr>
      </w:pPr>
    </w:p>
    <w:p>
      <w:pPr>
        <w:autoSpaceDE w:val="0"/>
        <w:autoSpaceDN w:val="0"/>
        <w:adjustRightInd w:val="0"/>
        <w:snapToGrid w:val="0"/>
        <w:spacing w:line="480" w:lineRule="auto"/>
        <w:ind w:firstLine="4320" w:firstLineChars="18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 xml:space="preserve">（盖章）           </w:t>
      </w:r>
    </w:p>
    <w:p>
      <w:pPr>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日期：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spacing w:line="360" w:lineRule="auto"/>
        <w:rPr>
          <w:rFonts w:hint="eastAsia" w:ascii="宋体" w:hAnsi="宋体" w:eastAsia="宋体" w:cs="宋体"/>
          <w:color w:val="auto"/>
          <w:szCs w:val="21"/>
        </w:rPr>
      </w:pPr>
    </w:p>
    <w:p>
      <w:pPr>
        <w:spacing w:line="360" w:lineRule="auto"/>
        <w:rPr>
          <w:rFonts w:hint="eastAsia" w:ascii="宋体" w:hAnsi="宋体" w:eastAsia="宋体" w:cs="宋体"/>
          <w:color w:val="auto"/>
          <w:szCs w:val="21"/>
        </w:rPr>
      </w:pPr>
    </w:p>
    <w:p>
      <w:pPr>
        <w:rPr>
          <w:rFonts w:hint="eastAsia" w:ascii="宋体" w:hAnsi="宋体" w:eastAsia="宋体" w:cs="宋体"/>
          <w:b/>
          <w:color w:val="auto"/>
          <w:sz w:val="24"/>
        </w:rPr>
      </w:pPr>
      <w:r>
        <w:rPr>
          <w:rFonts w:hint="eastAsia" w:ascii="宋体" w:hAnsi="宋体" w:eastAsia="宋体" w:cs="宋体"/>
          <w:b/>
          <w:color w:val="auto"/>
        </w:rPr>
        <w:br w:type="page"/>
      </w:r>
    </w:p>
    <w:p>
      <w:pPr>
        <w:pStyle w:val="4"/>
        <w:adjustRightInd w:val="0"/>
        <w:spacing w:line="416" w:lineRule="atLeast"/>
        <w:jc w:val="center"/>
        <w:textAlignment w:val="baseline"/>
        <w:rPr>
          <w:rFonts w:hint="eastAsia" w:ascii="宋体" w:hAnsi="宋体" w:eastAsia="宋体" w:cs="宋体"/>
          <w:color w:val="auto"/>
          <w:sz w:val="28"/>
          <w:szCs w:val="28"/>
        </w:rPr>
      </w:pPr>
      <w:bookmarkStart w:id="224" w:name="_Toc5134"/>
      <w:bookmarkStart w:id="225" w:name="_Toc20792"/>
      <w:r>
        <w:rPr>
          <w:rFonts w:hint="eastAsia" w:ascii="宋体" w:hAnsi="宋体" w:eastAsia="宋体" w:cs="宋体"/>
          <w:color w:val="auto"/>
          <w:sz w:val="28"/>
          <w:szCs w:val="28"/>
        </w:rPr>
        <w:t>6-3 监狱企业单位声明函（如是须附）</w:t>
      </w:r>
      <w:bookmarkEnd w:id="224"/>
      <w:bookmarkEnd w:id="225"/>
    </w:p>
    <w:p>
      <w:pPr>
        <w:rPr>
          <w:rFonts w:hint="eastAsia" w:ascii="宋体" w:hAnsi="宋体" w:eastAsia="宋体" w:cs="宋体"/>
          <w:color w:val="auto"/>
        </w:rPr>
      </w:pPr>
    </w:p>
    <w:p>
      <w:pPr>
        <w:snapToGrid w:val="0"/>
        <w:spacing w:line="360" w:lineRule="auto"/>
        <w:ind w:firstLine="504" w:firstLineChars="200"/>
        <w:jc w:val="left"/>
        <w:rPr>
          <w:rFonts w:hint="eastAsia" w:ascii="宋体" w:hAnsi="宋体" w:eastAsia="宋体" w:cs="宋体"/>
          <w:b/>
          <w:bCs/>
          <w:color w:val="auto"/>
          <w:spacing w:val="48"/>
          <w:sz w:val="24"/>
          <w:szCs w:val="24"/>
        </w:rPr>
      </w:pPr>
      <w:r>
        <w:rPr>
          <w:rFonts w:hint="eastAsia" w:ascii="宋体" w:hAnsi="宋体" w:eastAsia="宋体" w:cs="宋体"/>
          <w:color w:val="auto"/>
          <w:spacing w:val="6"/>
          <w:sz w:val="24"/>
          <w:szCs w:val="24"/>
        </w:rPr>
        <w:t>说明：根据</w:t>
      </w:r>
      <w:r>
        <w:rPr>
          <w:rFonts w:hint="eastAsia" w:ascii="宋体" w:hAnsi="宋体" w:eastAsia="宋体" w:cs="宋体"/>
          <w:color w:val="auto"/>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spacing w:line="480" w:lineRule="auto"/>
        <w:ind w:firstLine="504" w:firstLineChars="200"/>
        <w:rPr>
          <w:rFonts w:hint="eastAsia" w:ascii="宋体" w:hAnsi="宋体" w:eastAsia="宋体" w:cs="宋体"/>
          <w:color w:val="auto"/>
          <w:spacing w:val="6"/>
          <w:sz w:val="24"/>
          <w:szCs w:val="24"/>
        </w:rPr>
      </w:pPr>
    </w:p>
    <w:p>
      <w:pPr>
        <w:spacing w:line="480" w:lineRule="auto"/>
        <w:ind w:firstLine="504" w:firstLineChars="200"/>
        <w:rPr>
          <w:rFonts w:hint="eastAsia" w:ascii="宋体" w:hAnsi="宋体" w:eastAsia="宋体" w:cs="宋体"/>
          <w:color w:val="auto"/>
          <w:spacing w:val="6"/>
          <w:sz w:val="24"/>
          <w:szCs w:val="24"/>
        </w:rPr>
      </w:pPr>
    </w:p>
    <w:p>
      <w:pPr>
        <w:pStyle w:val="26"/>
        <w:rPr>
          <w:rFonts w:hint="eastAsia" w:ascii="宋体" w:hAnsi="宋体" w:eastAsia="宋体" w:cs="宋体"/>
          <w:color w:val="auto"/>
        </w:rPr>
      </w:pPr>
    </w:p>
    <w:p>
      <w:pPr>
        <w:pStyle w:val="2"/>
        <w:spacing w:line="480" w:lineRule="auto"/>
        <w:ind w:firstLine="0"/>
        <w:rPr>
          <w:rFonts w:hint="eastAsia" w:ascii="宋体" w:hAnsi="宋体" w:eastAsia="宋体" w:cs="宋体"/>
          <w:color w:val="auto"/>
          <w:sz w:val="24"/>
          <w:szCs w:val="24"/>
        </w:rPr>
      </w:pPr>
    </w:p>
    <w:p>
      <w:pPr>
        <w:pStyle w:val="2"/>
        <w:spacing w:line="480" w:lineRule="auto"/>
        <w:ind w:firstLine="0"/>
        <w:rPr>
          <w:rFonts w:hint="eastAsia" w:ascii="宋体" w:hAnsi="宋体" w:eastAsia="宋体" w:cs="宋体"/>
          <w:color w:val="auto"/>
          <w:sz w:val="24"/>
          <w:szCs w:val="24"/>
        </w:rPr>
      </w:pPr>
    </w:p>
    <w:p>
      <w:pPr>
        <w:pStyle w:val="2"/>
        <w:spacing w:line="480" w:lineRule="auto"/>
        <w:ind w:firstLine="0"/>
        <w:rPr>
          <w:rFonts w:hint="eastAsia" w:ascii="宋体" w:hAnsi="宋体" w:eastAsia="宋体" w:cs="宋体"/>
          <w:color w:val="auto"/>
          <w:sz w:val="24"/>
          <w:szCs w:val="24"/>
        </w:rPr>
      </w:pPr>
    </w:p>
    <w:p>
      <w:pPr>
        <w:pStyle w:val="2"/>
        <w:spacing w:line="480" w:lineRule="auto"/>
        <w:ind w:firstLine="0"/>
        <w:rPr>
          <w:rFonts w:hint="eastAsia" w:ascii="宋体" w:hAnsi="宋体" w:eastAsia="宋体" w:cs="宋体"/>
          <w:color w:val="auto"/>
          <w:sz w:val="24"/>
          <w:szCs w:val="24"/>
        </w:rPr>
      </w:pPr>
    </w:p>
    <w:p>
      <w:pPr>
        <w:pStyle w:val="2"/>
        <w:spacing w:line="480" w:lineRule="auto"/>
        <w:ind w:firstLine="0"/>
        <w:rPr>
          <w:rFonts w:hint="eastAsia" w:ascii="宋体" w:hAnsi="宋体" w:eastAsia="宋体" w:cs="宋体"/>
          <w:color w:val="auto"/>
          <w:sz w:val="24"/>
          <w:szCs w:val="24"/>
        </w:rPr>
      </w:pPr>
    </w:p>
    <w:p>
      <w:pPr>
        <w:pStyle w:val="2"/>
        <w:spacing w:line="480" w:lineRule="auto"/>
        <w:ind w:firstLine="0"/>
        <w:rPr>
          <w:rFonts w:hint="eastAsia" w:ascii="宋体" w:hAnsi="宋体" w:eastAsia="宋体" w:cs="宋体"/>
          <w:color w:val="auto"/>
          <w:sz w:val="24"/>
          <w:szCs w:val="24"/>
        </w:rPr>
      </w:pPr>
    </w:p>
    <w:p>
      <w:pPr>
        <w:pStyle w:val="2"/>
        <w:spacing w:line="480" w:lineRule="auto"/>
        <w:ind w:firstLine="0"/>
        <w:rPr>
          <w:rFonts w:hint="eastAsia" w:ascii="宋体" w:hAnsi="宋体" w:eastAsia="宋体" w:cs="宋体"/>
          <w:color w:val="auto"/>
          <w:sz w:val="24"/>
          <w:szCs w:val="24"/>
        </w:rPr>
      </w:pPr>
    </w:p>
    <w:p>
      <w:pPr>
        <w:pStyle w:val="2"/>
        <w:spacing w:line="480" w:lineRule="auto"/>
        <w:ind w:firstLine="0"/>
        <w:rPr>
          <w:rFonts w:hint="eastAsia" w:ascii="宋体" w:hAnsi="宋体" w:eastAsia="宋体" w:cs="宋体"/>
          <w:color w:val="auto"/>
          <w:sz w:val="24"/>
          <w:szCs w:val="24"/>
        </w:rPr>
      </w:pPr>
    </w:p>
    <w:p>
      <w:pPr>
        <w:pStyle w:val="2"/>
        <w:spacing w:line="480" w:lineRule="auto"/>
        <w:ind w:firstLine="0"/>
        <w:rPr>
          <w:rFonts w:hint="eastAsia" w:ascii="宋体" w:hAnsi="宋体" w:eastAsia="宋体" w:cs="宋体"/>
          <w:color w:val="auto"/>
          <w:sz w:val="24"/>
          <w:szCs w:val="24"/>
        </w:rPr>
      </w:pPr>
    </w:p>
    <w:p>
      <w:pPr>
        <w:pStyle w:val="2"/>
        <w:spacing w:line="480" w:lineRule="auto"/>
        <w:ind w:firstLine="0"/>
        <w:rPr>
          <w:rFonts w:hint="eastAsia" w:ascii="宋体" w:hAnsi="宋体" w:eastAsia="宋体" w:cs="宋体"/>
          <w:color w:val="auto"/>
          <w:sz w:val="24"/>
          <w:szCs w:val="24"/>
        </w:rPr>
      </w:pPr>
    </w:p>
    <w:p>
      <w:pPr>
        <w:pStyle w:val="2"/>
        <w:spacing w:line="480" w:lineRule="auto"/>
        <w:ind w:firstLine="0"/>
        <w:rPr>
          <w:rFonts w:hint="eastAsia" w:ascii="宋体" w:hAnsi="宋体" w:eastAsia="宋体" w:cs="宋体"/>
          <w:color w:val="auto"/>
          <w:sz w:val="24"/>
          <w:szCs w:val="24"/>
        </w:rPr>
      </w:pPr>
    </w:p>
    <w:p>
      <w:pPr>
        <w:pStyle w:val="2"/>
        <w:spacing w:line="480" w:lineRule="auto"/>
        <w:ind w:firstLine="0"/>
        <w:rPr>
          <w:rFonts w:hint="eastAsia" w:ascii="宋体" w:hAnsi="宋体" w:eastAsia="宋体" w:cs="宋体"/>
          <w:color w:val="auto"/>
          <w:sz w:val="24"/>
          <w:szCs w:val="24"/>
        </w:rPr>
      </w:pPr>
    </w:p>
    <w:p>
      <w:pPr>
        <w:pStyle w:val="2"/>
        <w:spacing w:line="480" w:lineRule="auto"/>
        <w:ind w:firstLine="0"/>
        <w:rPr>
          <w:rFonts w:hint="eastAsia" w:ascii="宋体" w:hAnsi="宋体" w:eastAsia="宋体" w:cs="宋体"/>
          <w:color w:val="auto"/>
          <w:sz w:val="24"/>
          <w:szCs w:val="24"/>
        </w:rPr>
      </w:pPr>
    </w:p>
    <w:p>
      <w:pPr>
        <w:pStyle w:val="2"/>
        <w:spacing w:line="480" w:lineRule="auto"/>
        <w:ind w:firstLine="0"/>
        <w:rPr>
          <w:rFonts w:hint="eastAsia" w:ascii="宋体" w:hAnsi="宋体" w:eastAsia="宋体" w:cs="宋体"/>
          <w:color w:val="auto"/>
          <w:sz w:val="24"/>
          <w:szCs w:val="24"/>
        </w:rPr>
      </w:pPr>
    </w:p>
    <w:p>
      <w:pPr>
        <w:pStyle w:val="2"/>
        <w:spacing w:line="480" w:lineRule="auto"/>
        <w:ind w:firstLine="0"/>
        <w:rPr>
          <w:rFonts w:hint="eastAsia" w:ascii="宋体" w:hAnsi="宋体" w:eastAsia="宋体" w:cs="宋体"/>
          <w:color w:val="auto"/>
          <w:sz w:val="24"/>
          <w:szCs w:val="24"/>
        </w:rPr>
      </w:pPr>
    </w:p>
    <w:p>
      <w:pPr>
        <w:pStyle w:val="2"/>
        <w:spacing w:line="480" w:lineRule="auto"/>
        <w:ind w:firstLine="0"/>
        <w:rPr>
          <w:rFonts w:hint="eastAsia" w:ascii="宋体" w:hAnsi="宋体" w:eastAsia="宋体" w:cs="宋体"/>
          <w:color w:val="auto"/>
          <w:sz w:val="24"/>
          <w:szCs w:val="24"/>
        </w:rPr>
      </w:pPr>
    </w:p>
    <w:p>
      <w:pPr>
        <w:pStyle w:val="4"/>
        <w:adjustRightInd w:val="0"/>
        <w:spacing w:line="360" w:lineRule="auto"/>
        <w:jc w:val="center"/>
        <w:textAlignment w:val="baseline"/>
        <w:rPr>
          <w:rFonts w:hint="eastAsia" w:ascii="宋体" w:hAnsi="宋体" w:eastAsia="宋体" w:cs="宋体"/>
          <w:color w:val="auto"/>
          <w:szCs w:val="32"/>
        </w:rPr>
      </w:pPr>
      <w:bookmarkStart w:id="226" w:name="_Toc17374"/>
      <w:r>
        <w:rPr>
          <w:rFonts w:hint="eastAsia" w:ascii="宋体" w:hAnsi="宋体" w:eastAsia="宋体" w:cs="宋体"/>
          <w:color w:val="auto"/>
        </w:rPr>
        <w:t>四、</w:t>
      </w:r>
      <w:r>
        <w:rPr>
          <w:rFonts w:hint="eastAsia" w:ascii="宋体" w:hAnsi="宋体" w:eastAsia="宋体" w:cs="宋体"/>
          <w:color w:val="auto"/>
          <w:szCs w:val="32"/>
        </w:rPr>
        <w:t>磋商保证金缴纳凭证</w:t>
      </w:r>
      <w:bookmarkEnd w:id="226"/>
    </w:p>
    <w:p>
      <w:pPr>
        <w:rPr>
          <w:rFonts w:hint="eastAsia" w:ascii="宋体" w:hAnsi="宋体" w:eastAsia="宋体" w:cs="宋体"/>
          <w:color w:val="auto"/>
        </w:rPr>
      </w:pPr>
    </w:p>
    <w:p>
      <w:pPr>
        <w:jc w:val="center"/>
        <w:rPr>
          <w:rFonts w:hint="eastAsia" w:ascii="宋体" w:hAnsi="宋体" w:eastAsia="宋体" w:cs="宋体"/>
          <w:color w:val="auto"/>
          <w:sz w:val="24"/>
          <w:szCs w:val="24"/>
        </w:rPr>
      </w:pPr>
      <w:bookmarkStart w:id="227" w:name="_Toc13739361"/>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附磋商保证金缴纳凭证复印件加盖供应商公章</w:t>
      </w:r>
      <w:bookmarkEnd w:id="227"/>
    </w:p>
    <w:p>
      <w:pPr>
        <w:pStyle w:val="17"/>
        <w:rPr>
          <w:rFonts w:hint="eastAsia" w:ascii="宋体" w:hAnsi="宋体" w:eastAsia="宋体" w:cs="宋体"/>
          <w:color w:val="auto"/>
        </w:rPr>
      </w:pPr>
    </w:p>
    <w:p>
      <w:pPr>
        <w:rPr>
          <w:rFonts w:hint="eastAsia" w:ascii="宋体" w:hAnsi="宋体" w:eastAsia="宋体" w:cs="宋体"/>
          <w:color w:val="auto"/>
        </w:rPr>
      </w:pPr>
    </w:p>
    <w:p>
      <w:pPr>
        <w:pStyle w:val="17"/>
        <w:rPr>
          <w:rFonts w:hint="eastAsia" w:ascii="宋体" w:hAnsi="宋体" w:eastAsia="宋体" w:cs="宋体"/>
          <w:color w:val="auto"/>
        </w:rPr>
      </w:pPr>
    </w:p>
    <w:p>
      <w:pPr>
        <w:pStyle w:val="17"/>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r>
        <w:rPr>
          <w:rFonts w:hint="eastAsia" w:ascii="宋体" w:hAnsi="宋体" w:eastAsia="宋体" w:cs="宋体"/>
          <w:color w:val="auto"/>
        </w:rPr>
        <w:br w:type="page"/>
      </w:r>
    </w:p>
    <w:bookmarkEnd w:id="204"/>
    <w:bookmarkEnd w:id="205"/>
    <w:p>
      <w:pPr>
        <w:pStyle w:val="4"/>
        <w:numPr>
          <w:ilvl w:val="0"/>
          <w:numId w:val="5"/>
        </w:numPr>
        <w:adjustRightInd w:val="0"/>
        <w:spacing w:line="360" w:lineRule="auto"/>
        <w:jc w:val="center"/>
        <w:textAlignment w:val="baseline"/>
        <w:rPr>
          <w:rFonts w:hint="eastAsia" w:ascii="宋体" w:hAnsi="宋体" w:eastAsia="宋体" w:cs="宋体"/>
          <w:color w:val="auto"/>
        </w:rPr>
      </w:pPr>
      <w:bookmarkStart w:id="228" w:name="_Toc423025063"/>
      <w:bookmarkStart w:id="229" w:name="_Toc463867033"/>
      <w:bookmarkStart w:id="230" w:name="_Toc492955471"/>
      <w:bookmarkStart w:id="231" w:name="_Toc497712145"/>
      <w:bookmarkStart w:id="232" w:name="_Toc497546930"/>
      <w:bookmarkStart w:id="233" w:name="_Toc497551832"/>
      <w:bookmarkStart w:id="234" w:name="_Toc497711597"/>
      <w:r>
        <w:rPr>
          <w:rFonts w:hint="eastAsia" w:ascii="宋体" w:hAnsi="宋体" w:eastAsia="宋体" w:cs="宋体"/>
          <w:color w:val="auto"/>
        </w:rPr>
        <w:t>商务及技术偏离表</w:t>
      </w:r>
    </w:p>
    <w:p>
      <w:pPr>
        <w:pStyle w:val="4"/>
        <w:spacing w:before="0" w:after="0" w:line="360" w:lineRule="auto"/>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商务条款响应偏离表</w:t>
      </w:r>
    </w:p>
    <w:tbl>
      <w:tblPr>
        <w:tblStyle w:val="39"/>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694"/>
        <w:gridCol w:w="2576"/>
        <w:gridCol w:w="1650"/>
        <w:gridCol w:w="14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5" w:type="dxa"/>
            <w:tcMar>
              <w:top w:w="57" w:type="dxa"/>
              <w:left w:w="28" w:type="dxa"/>
              <w:bottom w:w="57" w:type="dxa"/>
              <w:right w:w="28" w:type="dxa"/>
            </w:tcMar>
            <w:vAlign w:val="center"/>
          </w:tcPr>
          <w:p>
            <w:pPr>
              <w:jc w:val="center"/>
              <w:rPr>
                <w:rFonts w:hint="eastAsia" w:ascii="宋体" w:hAnsi="宋体" w:eastAsia="宋体" w:cs="宋体"/>
                <w:b/>
                <w:color w:val="auto"/>
                <w:sz w:val="24"/>
                <w:szCs w:val="28"/>
              </w:rPr>
            </w:pPr>
            <w:r>
              <w:rPr>
                <w:rFonts w:hint="eastAsia" w:ascii="宋体" w:hAnsi="宋体" w:eastAsia="宋体" w:cs="宋体"/>
                <w:b/>
                <w:color w:val="auto"/>
                <w:sz w:val="24"/>
                <w:szCs w:val="28"/>
              </w:rPr>
              <w:t>序号</w:t>
            </w:r>
          </w:p>
        </w:tc>
        <w:tc>
          <w:tcPr>
            <w:tcW w:w="2694" w:type="dxa"/>
            <w:tcMar>
              <w:top w:w="57" w:type="dxa"/>
              <w:left w:w="28" w:type="dxa"/>
              <w:bottom w:w="57" w:type="dxa"/>
              <w:right w:w="28" w:type="dxa"/>
            </w:tcMar>
            <w:vAlign w:val="center"/>
          </w:tcPr>
          <w:p>
            <w:pPr>
              <w:ind w:firstLine="171" w:firstLineChars="71"/>
              <w:jc w:val="center"/>
              <w:rPr>
                <w:rFonts w:hint="eastAsia" w:ascii="宋体" w:hAnsi="宋体" w:eastAsia="宋体" w:cs="宋体"/>
                <w:b/>
                <w:color w:val="auto"/>
                <w:sz w:val="24"/>
                <w:szCs w:val="28"/>
              </w:rPr>
            </w:pPr>
            <w:r>
              <w:rPr>
                <w:rFonts w:hint="eastAsia" w:ascii="宋体" w:hAnsi="宋体" w:eastAsia="宋体" w:cs="宋体"/>
                <w:b/>
                <w:color w:val="auto"/>
                <w:sz w:val="24"/>
                <w:szCs w:val="28"/>
              </w:rPr>
              <w:t>竞争性磋商文件</w:t>
            </w:r>
          </w:p>
          <w:p>
            <w:pPr>
              <w:ind w:firstLine="171" w:firstLineChars="71"/>
              <w:jc w:val="center"/>
              <w:rPr>
                <w:rFonts w:hint="eastAsia" w:ascii="宋体" w:hAnsi="宋体" w:eastAsia="宋体" w:cs="宋体"/>
                <w:b/>
                <w:color w:val="auto"/>
                <w:sz w:val="24"/>
                <w:szCs w:val="28"/>
              </w:rPr>
            </w:pPr>
            <w:r>
              <w:rPr>
                <w:rFonts w:hint="eastAsia" w:ascii="宋体" w:hAnsi="宋体" w:eastAsia="宋体" w:cs="宋体"/>
                <w:b/>
                <w:color w:val="auto"/>
                <w:sz w:val="24"/>
                <w:szCs w:val="28"/>
              </w:rPr>
              <w:t>商务要求</w:t>
            </w:r>
          </w:p>
        </w:tc>
        <w:tc>
          <w:tcPr>
            <w:tcW w:w="2576" w:type="dxa"/>
            <w:tcMar>
              <w:top w:w="57" w:type="dxa"/>
              <w:left w:w="28" w:type="dxa"/>
              <w:bottom w:w="57" w:type="dxa"/>
              <w:right w:w="28" w:type="dxa"/>
            </w:tcMar>
            <w:vAlign w:val="center"/>
          </w:tcPr>
          <w:p>
            <w:pPr>
              <w:ind w:firstLine="171" w:firstLineChars="71"/>
              <w:jc w:val="center"/>
              <w:rPr>
                <w:rFonts w:hint="eastAsia" w:ascii="宋体" w:hAnsi="宋体" w:eastAsia="宋体" w:cs="宋体"/>
                <w:b/>
                <w:color w:val="auto"/>
                <w:sz w:val="24"/>
                <w:szCs w:val="28"/>
              </w:rPr>
            </w:pPr>
            <w:r>
              <w:rPr>
                <w:rFonts w:hint="eastAsia" w:ascii="宋体" w:hAnsi="宋体" w:eastAsia="宋体" w:cs="宋体"/>
                <w:b/>
                <w:color w:val="auto"/>
                <w:sz w:val="24"/>
                <w:szCs w:val="28"/>
              </w:rPr>
              <w:t>竞争性磋商响应文件</w:t>
            </w:r>
          </w:p>
          <w:p>
            <w:pPr>
              <w:ind w:firstLine="171" w:firstLineChars="71"/>
              <w:jc w:val="center"/>
              <w:rPr>
                <w:rFonts w:hint="eastAsia" w:ascii="宋体" w:hAnsi="宋体" w:eastAsia="宋体" w:cs="宋体"/>
                <w:b/>
                <w:color w:val="auto"/>
                <w:sz w:val="24"/>
                <w:szCs w:val="28"/>
              </w:rPr>
            </w:pPr>
            <w:r>
              <w:rPr>
                <w:rFonts w:hint="eastAsia" w:ascii="宋体" w:hAnsi="宋体" w:eastAsia="宋体" w:cs="宋体"/>
                <w:b/>
                <w:color w:val="auto"/>
                <w:sz w:val="24"/>
                <w:szCs w:val="28"/>
              </w:rPr>
              <w:t>商务响应</w:t>
            </w:r>
          </w:p>
        </w:tc>
        <w:tc>
          <w:tcPr>
            <w:tcW w:w="1650" w:type="dxa"/>
            <w:tcMar>
              <w:top w:w="57" w:type="dxa"/>
              <w:left w:w="28" w:type="dxa"/>
              <w:bottom w:w="57" w:type="dxa"/>
              <w:right w:w="28" w:type="dxa"/>
            </w:tcMar>
            <w:vAlign w:val="center"/>
          </w:tcPr>
          <w:p>
            <w:pPr>
              <w:jc w:val="center"/>
              <w:rPr>
                <w:rFonts w:hint="eastAsia" w:ascii="宋体" w:hAnsi="宋体" w:eastAsia="宋体" w:cs="宋体"/>
                <w:b/>
                <w:color w:val="auto"/>
                <w:sz w:val="24"/>
                <w:szCs w:val="28"/>
              </w:rPr>
            </w:pPr>
            <w:r>
              <w:rPr>
                <w:rFonts w:hint="eastAsia" w:ascii="宋体" w:hAnsi="宋体" w:eastAsia="宋体" w:cs="宋体"/>
                <w:b/>
                <w:color w:val="auto"/>
                <w:sz w:val="24"/>
                <w:szCs w:val="28"/>
              </w:rPr>
              <w:t>偏离</w:t>
            </w:r>
          </w:p>
          <w:p>
            <w:pPr>
              <w:jc w:val="center"/>
              <w:rPr>
                <w:rFonts w:hint="eastAsia" w:ascii="宋体" w:hAnsi="宋体" w:eastAsia="宋体" w:cs="宋体"/>
                <w:b/>
                <w:color w:val="auto"/>
                <w:sz w:val="24"/>
                <w:szCs w:val="28"/>
              </w:rPr>
            </w:pPr>
            <w:r>
              <w:rPr>
                <w:rFonts w:hint="eastAsia" w:ascii="宋体" w:hAnsi="宋体" w:eastAsia="宋体" w:cs="宋体"/>
                <w:b/>
                <w:color w:val="auto"/>
                <w:sz w:val="24"/>
                <w:szCs w:val="28"/>
              </w:rPr>
              <w:t>情况</w:t>
            </w:r>
          </w:p>
        </w:tc>
        <w:tc>
          <w:tcPr>
            <w:tcW w:w="1438" w:type="dxa"/>
            <w:vAlign w:val="center"/>
          </w:tcPr>
          <w:p>
            <w:pPr>
              <w:jc w:val="center"/>
              <w:rPr>
                <w:rFonts w:hint="eastAsia" w:ascii="宋体" w:hAnsi="宋体" w:eastAsia="宋体" w:cs="宋体"/>
                <w:b/>
                <w:color w:val="auto"/>
                <w:sz w:val="24"/>
                <w:szCs w:val="28"/>
              </w:rPr>
            </w:pPr>
            <w:r>
              <w:rPr>
                <w:rFonts w:hint="eastAsia" w:ascii="宋体" w:hAnsi="宋体" w:eastAsia="宋体" w:cs="宋体"/>
                <w:b/>
                <w:color w:val="auto"/>
                <w:sz w:val="24"/>
                <w:szCs w:val="28"/>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5" w:type="dxa"/>
            <w:tcBorders>
              <w:bottom w:val="single" w:color="auto" w:sz="4" w:space="0"/>
            </w:tcBorders>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2694" w:type="dxa"/>
            <w:tcBorders>
              <w:bottom w:val="single" w:color="auto" w:sz="4" w:space="0"/>
            </w:tcBorders>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2576" w:type="dxa"/>
            <w:tcBorders>
              <w:bottom w:val="single" w:color="auto" w:sz="4" w:space="0"/>
            </w:tcBorders>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1438" w:type="dxa"/>
            <w:tcBorders>
              <w:bottom w:val="single" w:color="auto" w:sz="4" w:space="0"/>
            </w:tcBorders>
            <w:vAlign w:val="center"/>
          </w:tcPr>
          <w:p>
            <w:pPr>
              <w:spacing w:line="480" w:lineRule="exact"/>
              <w:ind w:left="210" w:leftChars="100" w:firstLine="480"/>
              <w:rPr>
                <w:rFonts w:hint="eastAsia" w:ascii="宋体" w:hAnsi="宋体" w:eastAsia="宋体" w:cs="宋体"/>
                <w:color w:val="auto"/>
                <w:sz w:val="24"/>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5" w:type="dxa"/>
            <w:tcBorders>
              <w:bottom w:val="single" w:color="auto" w:sz="4" w:space="0"/>
            </w:tcBorders>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2694" w:type="dxa"/>
            <w:tcBorders>
              <w:bottom w:val="single" w:color="auto" w:sz="4" w:space="0"/>
            </w:tcBorders>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2576" w:type="dxa"/>
            <w:tcBorders>
              <w:bottom w:val="single" w:color="auto" w:sz="4" w:space="0"/>
            </w:tcBorders>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1438" w:type="dxa"/>
            <w:tcBorders>
              <w:bottom w:val="single" w:color="auto" w:sz="4" w:space="0"/>
            </w:tcBorders>
            <w:vAlign w:val="center"/>
          </w:tcPr>
          <w:p>
            <w:pPr>
              <w:spacing w:line="480" w:lineRule="exact"/>
              <w:ind w:left="210" w:leftChars="100" w:firstLine="480"/>
              <w:rPr>
                <w:rFonts w:hint="eastAsia" w:ascii="宋体" w:hAnsi="宋体" w:eastAsia="宋体" w:cs="宋体"/>
                <w:color w:val="auto"/>
                <w:sz w:val="24"/>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5" w:type="dxa"/>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2694" w:type="dxa"/>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2576" w:type="dxa"/>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1650" w:type="dxa"/>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1438" w:type="dxa"/>
            <w:vAlign w:val="center"/>
          </w:tcPr>
          <w:p>
            <w:pPr>
              <w:spacing w:line="480" w:lineRule="exact"/>
              <w:ind w:left="210" w:leftChars="100" w:firstLine="480"/>
              <w:rPr>
                <w:rFonts w:hint="eastAsia" w:ascii="宋体" w:hAnsi="宋体" w:eastAsia="宋体" w:cs="宋体"/>
                <w:color w:val="auto"/>
                <w:sz w:val="24"/>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5" w:type="dxa"/>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2694" w:type="dxa"/>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2576" w:type="dxa"/>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1650" w:type="dxa"/>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1438" w:type="dxa"/>
            <w:vAlign w:val="center"/>
          </w:tcPr>
          <w:p>
            <w:pPr>
              <w:spacing w:line="480" w:lineRule="exact"/>
              <w:ind w:left="210" w:leftChars="100" w:firstLine="480"/>
              <w:rPr>
                <w:rFonts w:hint="eastAsia" w:ascii="宋体" w:hAnsi="宋体" w:eastAsia="宋体" w:cs="宋体"/>
                <w:color w:val="auto"/>
                <w:sz w:val="24"/>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5" w:type="dxa"/>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2694" w:type="dxa"/>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2576" w:type="dxa"/>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1650" w:type="dxa"/>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1438" w:type="dxa"/>
            <w:vAlign w:val="center"/>
          </w:tcPr>
          <w:p>
            <w:pPr>
              <w:spacing w:line="480" w:lineRule="exact"/>
              <w:ind w:left="210" w:leftChars="100" w:firstLine="480"/>
              <w:rPr>
                <w:rFonts w:hint="eastAsia" w:ascii="宋体" w:hAnsi="宋体" w:eastAsia="宋体" w:cs="宋体"/>
                <w:color w:val="auto"/>
                <w:sz w:val="24"/>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5" w:type="dxa"/>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2694" w:type="dxa"/>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2576" w:type="dxa"/>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1650" w:type="dxa"/>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1438" w:type="dxa"/>
            <w:vAlign w:val="center"/>
          </w:tcPr>
          <w:p>
            <w:pPr>
              <w:spacing w:line="480" w:lineRule="exact"/>
              <w:ind w:left="210" w:leftChars="100" w:firstLine="480"/>
              <w:rPr>
                <w:rFonts w:hint="eastAsia" w:ascii="宋体" w:hAnsi="宋体" w:eastAsia="宋体" w:cs="宋体"/>
                <w:color w:val="auto"/>
                <w:sz w:val="24"/>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5" w:type="dxa"/>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2694" w:type="dxa"/>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2576" w:type="dxa"/>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1650" w:type="dxa"/>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1438" w:type="dxa"/>
            <w:vAlign w:val="center"/>
          </w:tcPr>
          <w:p>
            <w:pPr>
              <w:spacing w:line="480" w:lineRule="exact"/>
              <w:ind w:left="210" w:leftChars="100" w:firstLine="480"/>
              <w:rPr>
                <w:rFonts w:hint="eastAsia" w:ascii="宋体" w:hAnsi="宋体" w:eastAsia="宋体" w:cs="宋体"/>
                <w:color w:val="auto"/>
                <w:sz w:val="24"/>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5" w:type="dxa"/>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2694" w:type="dxa"/>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2576" w:type="dxa"/>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1650" w:type="dxa"/>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1438" w:type="dxa"/>
            <w:vAlign w:val="center"/>
          </w:tcPr>
          <w:p>
            <w:pPr>
              <w:spacing w:line="480" w:lineRule="exact"/>
              <w:ind w:left="210" w:leftChars="100" w:firstLine="480"/>
              <w:rPr>
                <w:rFonts w:hint="eastAsia" w:ascii="宋体" w:hAnsi="宋体" w:eastAsia="宋体" w:cs="宋体"/>
                <w:color w:val="auto"/>
                <w:sz w:val="24"/>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5" w:type="dxa"/>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2694" w:type="dxa"/>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2576" w:type="dxa"/>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1650" w:type="dxa"/>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1438" w:type="dxa"/>
            <w:vAlign w:val="center"/>
          </w:tcPr>
          <w:p>
            <w:pPr>
              <w:spacing w:line="480" w:lineRule="exact"/>
              <w:ind w:left="210" w:leftChars="100" w:firstLine="480"/>
              <w:rPr>
                <w:rFonts w:hint="eastAsia" w:ascii="宋体" w:hAnsi="宋体" w:eastAsia="宋体" w:cs="宋体"/>
                <w:color w:val="auto"/>
                <w:sz w:val="24"/>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5" w:type="dxa"/>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p>
            <w:pPr>
              <w:spacing w:line="480" w:lineRule="exact"/>
              <w:ind w:left="210" w:leftChars="100" w:firstLine="480"/>
              <w:rPr>
                <w:rFonts w:hint="eastAsia" w:ascii="宋体" w:hAnsi="宋体" w:eastAsia="宋体" w:cs="宋体"/>
                <w:color w:val="auto"/>
                <w:sz w:val="24"/>
                <w:szCs w:val="28"/>
              </w:rPr>
            </w:pPr>
          </w:p>
        </w:tc>
        <w:tc>
          <w:tcPr>
            <w:tcW w:w="2694" w:type="dxa"/>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2576" w:type="dxa"/>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1650" w:type="dxa"/>
            <w:tcMar>
              <w:top w:w="57" w:type="dxa"/>
              <w:left w:w="28" w:type="dxa"/>
              <w:bottom w:w="57" w:type="dxa"/>
              <w:right w:w="28" w:type="dxa"/>
            </w:tcMar>
            <w:vAlign w:val="center"/>
          </w:tcPr>
          <w:p>
            <w:pPr>
              <w:spacing w:line="480" w:lineRule="exact"/>
              <w:ind w:left="210" w:leftChars="100" w:firstLine="480"/>
              <w:rPr>
                <w:rFonts w:hint="eastAsia" w:ascii="宋体" w:hAnsi="宋体" w:eastAsia="宋体" w:cs="宋体"/>
                <w:color w:val="auto"/>
                <w:sz w:val="24"/>
                <w:szCs w:val="28"/>
              </w:rPr>
            </w:pPr>
          </w:p>
        </w:tc>
        <w:tc>
          <w:tcPr>
            <w:tcW w:w="1438" w:type="dxa"/>
            <w:vAlign w:val="center"/>
          </w:tcPr>
          <w:p>
            <w:pPr>
              <w:spacing w:line="480" w:lineRule="exact"/>
              <w:ind w:left="210" w:leftChars="100" w:firstLine="480"/>
              <w:rPr>
                <w:rFonts w:hint="eastAsia" w:ascii="宋体" w:hAnsi="宋体" w:eastAsia="宋体" w:cs="宋体"/>
                <w:color w:val="auto"/>
                <w:sz w:val="24"/>
                <w:szCs w:val="28"/>
              </w:rPr>
            </w:pPr>
          </w:p>
        </w:tc>
      </w:tr>
    </w:tbl>
    <w:p>
      <w:pPr>
        <w:spacing w:line="480" w:lineRule="exact"/>
        <w:rPr>
          <w:rFonts w:hint="eastAsia" w:ascii="宋体" w:hAnsi="宋体" w:eastAsia="宋体" w:cs="宋体"/>
          <w:color w:val="auto"/>
          <w:szCs w:val="21"/>
        </w:rPr>
      </w:pPr>
      <w:r>
        <w:rPr>
          <w:rFonts w:hint="eastAsia" w:ascii="宋体" w:hAnsi="宋体" w:eastAsia="宋体" w:cs="宋体"/>
          <w:color w:val="auto"/>
          <w:szCs w:val="21"/>
        </w:rPr>
        <w:t>注：商务条款响应偏离表未填写事项，均视为供应商完全理解并接受全部商务要求。</w:t>
      </w:r>
    </w:p>
    <w:p>
      <w:pPr>
        <w:spacing w:line="480" w:lineRule="exact"/>
        <w:ind w:left="210" w:leftChars="100" w:firstLine="422"/>
        <w:rPr>
          <w:rFonts w:hint="eastAsia" w:ascii="宋体" w:hAnsi="宋体" w:eastAsia="宋体" w:cs="宋体"/>
          <w:b/>
          <w:bCs/>
          <w:color w:val="auto"/>
          <w:szCs w:val="21"/>
        </w:rPr>
      </w:pPr>
    </w:p>
    <w:p>
      <w:pPr>
        <w:spacing w:line="240" w:lineRule="exact"/>
        <w:ind w:left="210" w:leftChars="100" w:firstLine="480"/>
        <w:rPr>
          <w:rFonts w:hint="eastAsia" w:ascii="宋体" w:hAnsi="宋体" w:eastAsia="宋体" w:cs="宋体"/>
          <w:color w:val="auto"/>
          <w:sz w:val="24"/>
          <w:szCs w:val="21"/>
        </w:rPr>
      </w:pPr>
    </w:p>
    <w:p>
      <w:pPr>
        <w:snapToGrid w:val="0"/>
        <w:spacing w:line="360" w:lineRule="auto"/>
        <w:ind w:firstLine="2520" w:firstLineChars="1050"/>
        <w:textAlignment w:val="baseline"/>
        <w:rPr>
          <w:rStyle w:val="219"/>
          <w:rFonts w:hint="eastAsia" w:ascii="宋体" w:hAnsi="宋体" w:eastAsia="宋体" w:cs="宋体"/>
          <w:color w:val="auto"/>
          <w:sz w:val="24"/>
          <w:szCs w:val="24"/>
        </w:rPr>
      </w:pPr>
      <w:r>
        <w:rPr>
          <w:rStyle w:val="219"/>
          <w:rFonts w:hint="eastAsia" w:ascii="宋体" w:hAnsi="宋体" w:eastAsia="宋体" w:cs="宋体"/>
          <w:color w:val="auto"/>
          <w:sz w:val="24"/>
          <w:szCs w:val="24"/>
        </w:rPr>
        <w:t>供应商名称：</w:t>
      </w:r>
      <w:r>
        <w:rPr>
          <w:rStyle w:val="219"/>
          <w:rFonts w:hint="eastAsia" w:ascii="宋体" w:hAnsi="宋体" w:eastAsia="宋体" w:cs="宋体"/>
          <w:color w:val="auto"/>
          <w:sz w:val="24"/>
          <w:szCs w:val="24"/>
          <w:u w:val="single" w:color="000000"/>
        </w:rPr>
        <w:t xml:space="preserve">                           </w:t>
      </w:r>
      <w:r>
        <w:rPr>
          <w:rStyle w:val="219"/>
          <w:rFonts w:hint="eastAsia" w:ascii="宋体" w:hAnsi="宋体" w:eastAsia="宋体" w:cs="宋体"/>
          <w:color w:val="auto"/>
          <w:sz w:val="24"/>
          <w:szCs w:val="24"/>
        </w:rPr>
        <w:t>（盖章）</w:t>
      </w:r>
    </w:p>
    <w:p>
      <w:pPr>
        <w:snapToGrid w:val="0"/>
        <w:spacing w:line="360" w:lineRule="auto"/>
        <w:ind w:firstLine="2520" w:firstLineChars="1050"/>
        <w:textAlignment w:val="baseline"/>
        <w:rPr>
          <w:rStyle w:val="219"/>
          <w:rFonts w:hint="eastAsia" w:ascii="宋体" w:hAnsi="宋体" w:eastAsia="宋体" w:cs="宋体"/>
          <w:color w:val="auto"/>
          <w:sz w:val="24"/>
          <w:szCs w:val="24"/>
        </w:rPr>
      </w:pPr>
      <w:r>
        <w:rPr>
          <w:rStyle w:val="219"/>
          <w:rFonts w:hint="eastAsia" w:ascii="宋体" w:hAnsi="宋体" w:eastAsia="宋体" w:cs="宋体"/>
          <w:color w:val="auto"/>
          <w:sz w:val="24"/>
          <w:szCs w:val="24"/>
        </w:rPr>
        <w:t>法定代表人或委托代理人：</w:t>
      </w:r>
      <w:r>
        <w:rPr>
          <w:rStyle w:val="219"/>
          <w:rFonts w:hint="eastAsia" w:ascii="宋体" w:hAnsi="宋体" w:eastAsia="宋体" w:cs="宋体"/>
          <w:color w:val="auto"/>
          <w:sz w:val="24"/>
          <w:szCs w:val="24"/>
          <w:u w:val="single" w:color="000000"/>
        </w:rPr>
        <w:t xml:space="preserve">          </w:t>
      </w:r>
      <w:r>
        <w:rPr>
          <w:rStyle w:val="219"/>
          <w:rFonts w:hint="eastAsia" w:ascii="宋体" w:hAnsi="宋体" w:eastAsia="宋体" w:cs="宋体"/>
          <w:color w:val="auto"/>
          <w:sz w:val="24"/>
          <w:szCs w:val="24"/>
        </w:rPr>
        <w:t>(签字或盖章)</w:t>
      </w:r>
    </w:p>
    <w:p>
      <w:pPr>
        <w:snapToGrid w:val="0"/>
        <w:spacing w:line="360" w:lineRule="auto"/>
        <w:ind w:firstLine="2520" w:firstLineChars="1050"/>
        <w:jc w:val="left"/>
        <w:textAlignment w:val="baseline"/>
        <w:rPr>
          <w:rStyle w:val="219"/>
          <w:rFonts w:hint="eastAsia" w:ascii="宋体" w:hAnsi="宋体" w:eastAsia="宋体" w:cs="宋体"/>
          <w:color w:val="auto"/>
          <w:sz w:val="24"/>
          <w:szCs w:val="24"/>
        </w:rPr>
      </w:pPr>
      <w:r>
        <w:rPr>
          <w:rStyle w:val="219"/>
          <w:rFonts w:hint="eastAsia" w:ascii="宋体" w:hAnsi="宋体" w:eastAsia="宋体" w:cs="宋体"/>
          <w:color w:val="auto"/>
          <w:sz w:val="24"/>
          <w:szCs w:val="24"/>
        </w:rPr>
        <w:t>日      期：</w:t>
      </w:r>
      <w:r>
        <w:rPr>
          <w:rStyle w:val="219"/>
          <w:rFonts w:hint="eastAsia" w:ascii="宋体" w:hAnsi="宋体" w:eastAsia="宋体" w:cs="宋体"/>
          <w:color w:val="auto"/>
          <w:sz w:val="24"/>
          <w:szCs w:val="24"/>
          <w:u w:val="single" w:color="000000"/>
        </w:rPr>
        <w:t xml:space="preserve">         </w:t>
      </w:r>
      <w:r>
        <w:rPr>
          <w:rStyle w:val="219"/>
          <w:rFonts w:hint="eastAsia" w:ascii="宋体" w:hAnsi="宋体" w:eastAsia="宋体" w:cs="宋体"/>
          <w:color w:val="auto"/>
          <w:sz w:val="24"/>
          <w:szCs w:val="24"/>
        </w:rPr>
        <w:t>年</w:t>
      </w:r>
      <w:r>
        <w:rPr>
          <w:rStyle w:val="219"/>
          <w:rFonts w:hint="eastAsia" w:ascii="宋体" w:hAnsi="宋体" w:eastAsia="宋体" w:cs="宋体"/>
          <w:color w:val="auto"/>
          <w:sz w:val="24"/>
          <w:szCs w:val="24"/>
          <w:u w:val="single" w:color="000000"/>
        </w:rPr>
        <w:t xml:space="preserve">      </w:t>
      </w:r>
      <w:r>
        <w:rPr>
          <w:rStyle w:val="219"/>
          <w:rFonts w:hint="eastAsia" w:ascii="宋体" w:hAnsi="宋体" w:eastAsia="宋体" w:cs="宋体"/>
          <w:color w:val="auto"/>
          <w:sz w:val="24"/>
          <w:szCs w:val="24"/>
        </w:rPr>
        <w:t xml:space="preserve">月 </w:t>
      </w:r>
      <w:r>
        <w:rPr>
          <w:rStyle w:val="219"/>
          <w:rFonts w:hint="eastAsia" w:ascii="宋体" w:hAnsi="宋体" w:eastAsia="宋体" w:cs="宋体"/>
          <w:color w:val="auto"/>
          <w:sz w:val="24"/>
          <w:szCs w:val="24"/>
          <w:u w:val="single" w:color="000000"/>
        </w:rPr>
        <w:t xml:space="preserve">      </w:t>
      </w:r>
      <w:r>
        <w:rPr>
          <w:rStyle w:val="219"/>
          <w:rFonts w:hint="eastAsia" w:ascii="宋体" w:hAnsi="宋体" w:eastAsia="宋体" w:cs="宋体"/>
          <w:color w:val="auto"/>
          <w:sz w:val="24"/>
          <w:szCs w:val="24"/>
        </w:rPr>
        <w:t>日</w:t>
      </w:r>
    </w:p>
    <w:p>
      <w:pPr>
        <w:rPr>
          <w:rFonts w:hint="eastAsia" w:ascii="宋体" w:hAnsi="宋体" w:eastAsia="宋体" w:cs="宋体"/>
          <w:color w:val="auto"/>
        </w:rPr>
      </w:pPr>
    </w:p>
    <w:bookmarkEnd w:id="228"/>
    <w:bookmarkEnd w:id="229"/>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pPr>
        <w:spacing w:line="480" w:lineRule="exact"/>
        <w:ind w:left="210" w:leftChars="100" w:firstLine="643"/>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技术规格响应偏离表</w:t>
      </w:r>
    </w:p>
    <w:tbl>
      <w:tblPr>
        <w:tblStyle w:val="39"/>
        <w:tblpPr w:leftFromText="180" w:rightFromText="180" w:vertAnchor="text" w:horzAnchor="page" w:tblpXSpec="center" w:tblpY="204"/>
        <w:tblOverlap w:val="never"/>
        <w:tblW w:w="919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652"/>
        <w:gridCol w:w="2659"/>
        <w:gridCol w:w="1689"/>
        <w:gridCol w:w="131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9" w:type="dxa"/>
            <w:tcMar>
              <w:top w:w="57" w:type="dxa"/>
              <w:left w:w="28" w:type="dxa"/>
              <w:bottom w:w="57" w:type="dxa"/>
              <w:right w:w="28" w:type="dxa"/>
            </w:tcMar>
            <w:vAlign w:val="center"/>
          </w:tcPr>
          <w:p>
            <w:pPr>
              <w:jc w:val="center"/>
              <w:rPr>
                <w:rFonts w:hint="eastAsia" w:ascii="宋体" w:hAnsi="宋体" w:eastAsia="宋体" w:cs="宋体"/>
                <w:b/>
                <w:color w:val="auto"/>
                <w:sz w:val="24"/>
                <w:szCs w:val="28"/>
              </w:rPr>
            </w:pPr>
            <w:r>
              <w:rPr>
                <w:rFonts w:hint="eastAsia" w:ascii="宋体" w:hAnsi="宋体" w:eastAsia="宋体" w:cs="宋体"/>
                <w:b/>
                <w:color w:val="auto"/>
                <w:sz w:val="24"/>
                <w:szCs w:val="28"/>
              </w:rPr>
              <w:t>序号</w:t>
            </w:r>
          </w:p>
        </w:tc>
        <w:tc>
          <w:tcPr>
            <w:tcW w:w="2652" w:type="dxa"/>
            <w:tcMar>
              <w:top w:w="57" w:type="dxa"/>
              <w:left w:w="28" w:type="dxa"/>
              <w:bottom w:w="57" w:type="dxa"/>
              <w:right w:w="28" w:type="dxa"/>
            </w:tcMar>
            <w:vAlign w:val="center"/>
          </w:tcPr>
          <w:p>
            <w:pPr>
              <w:jc w:val="center"/>
              <w:rPr>
                <w:rFonts w:hint="eastAsia" w:ascii="宋体" w:hAnsi="宋体" w:eastAsia="宋体" w:cs="宋体"/>
                <w:b/>
                <w:color w:val="auto"/>
                <w:sz w:val="24"/>
                <w:szCs w:val="28"/>
              </w:rPr>
            </w:pPr>
            <w:r>
              <w:rPr>
                <w:rFonts w:hint="eastAsia" w:ascii="宋体" w:hAnsi="宋体" w:eastAsia="宋体" w:cs="宋体"/>
                <w:b/>
                <w:color w:val="auto"/>
                <w:sz w:val="24"/>
                <w:szCs w:val="28"/>
              </w:rPr>
              <w:t>竞争性磋商文件</w:t>
            </w:r>
          </w:p>
          <w:p>
            <w:pPr>
              <w:jc w:val="center"/>
              <w:rPr>
                <w:rFonts w:hint="eastAsia" w:ascii="宋体" w:hAnsi="宋体" w:eastAsia="宋体" w:cs="宋体"/>
                <w:b/>
                <w:color w:val="auto"/>
                <w:sz w:val="24"/>
                <w:szCs w:val="28"/>
              </w:rPr>
            </w:pPr>
            <w:r>
              <w:rPr>
                <w:rFonts w:hint="eastAsia" w:ascii="宋体" w:hAnsi="宋体" w:eastAsia="宋体" w:cs="宋体"/>
                <w:b/>
                <w:color w:val="auto"/>
                <w:sz w:val="24"/>
                <w:szCs w:val="28"/>
              </w:rPr>
              <w:t>技术需求</w:t>
            </w:r>
          </w:p>
        </w:tc>
        <w:tc>
          <w:tcPr>
            <w:tcW w:w="2659" w:type="dxa"/>
            <w:tcMar>
              <w:top w:w="57" w:type="dxa"/>
              <w:left w:w="28" w:type="dxa"/>
              <w:bottom w:w="57" w:type="dxa"/>
              <w:right w:w="28" w:type="dxa"/>
            </w:tcMar>
            <w:vAlign w:val="center"/>
          </w:tcPr>
          <w:p>
            <w:pPr>
              <w:jc w:val="center"/>
              <w:rPr>
                <w:rFonts w:hint="eastAsia" w:ascii="宋体" w:hAnsi="宋体" w:eastAsia="宋体" w:cs="宋体"/>
                <w:b/>
                <w:color w:val="auto"/>
                <w:sz w:val="24"/>
                <w:szCs w:val="28"/>
              </w:rPr>
            </w:pPr>
            <w:r>
              <w:rPr>
                <w:rFonts w:hint="eastAsia" w:ascii="宋体" w:hAnsi="宋体" w:eastAsia="宋体" w:cs="宋体"/>
                <w:b/>
                <w:color w:val="auto"/>
                <w:sz w:val="24"/>
                <w:szCs w:val="28"/>
              </w:rPr>
              <w:t>竞争性磋商响应文件配置、规格及主要技术参数</w:t>
            </w:r>
          </w:p>
        </w:tc>
        <w:tc>
          <w:tcPr>
            <w:tcW w:w="1689" w:type="dxa"/>
            <w:tcMar>
              <w:top w:w="57" w:type="dxa"/>
              <w:left w:w="28" w:type="dxa"/>
              <w:bottom w:w="57" w:type="dxa"/>
              <w:right w:w="28" w:type="dxa"/>
            </w:tcMar>
            <w:vAlign w:val="center"/>
          </w:tcPr>
          <w:p>
            <w:pPr>
              <w:jc w:val="center"/>
              <w:rPr>
                <w:rFonts w:hint="eastAsia" w:ascii="宋体" w:hAnsi="宋体" w:eastAsia="宋体" w:cs="宋体"/>
                <w:b/>
                <w:color w:val="auto"/>
                <w:sz w:val="24"/>
                <w:szCs w:val="28"/>
              </w:rPr>
            </w:pPr>
            <w:r>
              <w:rPr>
                <w:rFonts w:hint="eastAsia" w:ascii="宋体" w:hAnsi="宋体" w:eastAsia="宋体" w:cs="宋体"/>
                <w:b/>
                <w:color w:val="auto"/>
                <w:sz w:val="24"/>
                <w:szCs w:val="28"/>
              </w:rPr>
              <w:t>偏离</w:t>
            </w:r>
          </w:p>
          <w:p>
            <w:pPr>
              <w:jc w:val="center"/>
              <w:rPr>
                <w:rFonts w:hint="eastAsia" w:ascii="宋体" w:hAnsi="宋体" w:eastAsia="宋体" w:cs="宋体"/>
                <w:b/>
                <w:color w:val="auto"/>
                <w:sz w:val="24"/>
                <w:szCs w:val="28"/>
              </w:rPr>
            </w:pPr>
            <w:r>
              <w:rPr>
                <w:rFonts w:hint="eastAsia" w:ascii="宋体" w:hAnsi="宋体" w:eastAsia="宋体" w:cs="宋体"/>
                <w:b/>
                <w:color w:val="auto"/>
                <w:sz w:val="24"/>
                <w:szCs w:val="28"/>
              </w:rPr>
              <w:t>情况</w:t>
            </w:r>
          </w:p>
        </w:tc>
        <w:tc>
          <w:tcPr>
            <w:tcW w:w="1319" w:type="dxa"/>
            <w:tcMar>
              <w:top w:w="57" w:type="dxa"/>
              <w:left w:w="28" w:type="dxa"/>
              <w:bottom w:w="57" w:type="dxa"/>
              <w:right w:w="28" w:type="dxa"/>
            </w:tcMar>
            <w:vAlign w:val="center"/>
          </w:tcPr>
          <w:p>
            <w:pPr>
              <w:jc w:val="center"/>
              <w:rPr>
                <w:rFonts w:hint="eastAsia" w:ascii="宋体" w:hAnsi="宋体" w:eastAsia="宋体" w:cs="宋体"/>
                <w:b/>
                <w:color w:val="auto"/>
                <w:sz w:val="24"/>
                <w:szCs w:val="28"/>
              </w:rPr>
            </w:pPr>
            <w:r>
              <w:rPr>
                <w:rFonts w:hint="eastAsia" w:ascii="宋体" w:hAnsi="宋体" w:eastAsia="宋体" w:cs="宋体"/>
                <w:b/>
                <w:color w:val="auto"/>
                <w:sz w:val="24"/>
                <w:szCs w:val="28"/>
              </w:rPr>
              <w:t>说 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9" w:type="dxa"/>
            <w:tcBorders>
              <w:bottom w:val="single" w:color="auto" w:sz="4" w:space="0"/>
            </w:tcBorders>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2652" w:type="dxa"/>
            <w:tcBorders>
              <w:bottom w:val="single" w:color="auto" w:sz="4" w:space="0"/>
            </w:tcBorders>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2659" w:type="dxa"/>
            <w:tcBorders>
              <w:bottom w:val="single" w:color="auto" w:sz="4" w:space="0"/>
            </w:tcBorders>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1689" w:type="dxa"/>
            <w:tcBorders>
              <w:bottom w:val="single" w:color="auto" w:sz="4" w:space="0"/>
            </w:tcBorders>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1319" w:type="dxa"/>
            <w:tcBorders>
              <w:bottom w:val="single" w:color="auto" w:sz="4" w:space="0"/>
            </w:tcBorders>
            <w:tcMar>
              <w:top w:w="57" w:type="dxa"/>
              <w:left w:w="28" w:type="dxa"/>
              <w:bottom w:w="57" w:type="dxa"/>
              <w:right w:w="28" w:type="dxa"/>
            </w:tcMar>
            <w:vAlign w:val="center"/>
          </w:tcPr>
          <w:p>
            <w:pPr>
              <w:rPr>
                <w:rFonts w:hint="eastAsia" w:ascii="宋体" w:hAnsi="宋体" w:eastAsia="宋体" w:cs="宋体"/>
                <w:color w:val="auto"/>
                <w:sz w:val="24"/>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79"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2652"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2659"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1689"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1319" w:type="dxa"/>
            <w:tcMar>
              <w:top w:w="57" w:type="dxa"/>
              <w:left w:w="28" w:type="dxa"/>
              <w:bottom w:w="57" w:type="dxa"/>
              <w:right w:w="28" w:type="dxa"/>
            </w:tcMar>
            <w:vAlign w:val="center"/>
          </w:tcPr>
          <w:p>
            <w:pPr>
              <w:rPr>
                <w:rFonts w:hint="eastAsia" w:ascii="宋体" w:hAnsi="宋体" w:eastAsia="宋体" w:cs="宋体"/>
                <w:color w:val="auto"/>
                <w:sz w:val="24"/>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9"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2652"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2659"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1689"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1319" w:type="dxa"/>
            <w:tcMar>
              <w:top w:w="57" w:type="dxa"/>
              <w:left w:w="28" w:type="dxa"/>
              <w:bottom w:w="57" w:type="dxa"/>
              <w:right w:w="28" w:type="dxa"/>
            </w:tcMar>
            <w:vAlign w:val="center"/>
          </w:tcPr>
          <w:p>
            <w:pPr>
              <w:rPr>
                <w:rFonts w:hint="eastAsia" w:ascii="宋体" w:hAnsi="宋体" w:eastAsia="宋体" w:cs="宋体"/>
                <w:color w:val="auto"/>
                <w:sz w:val="24"/>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9"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2652"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2659"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1689"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1319" w:type="dxa"/>
            <w:tcMar>
              <w:top w:w="57" w:type="dxa"/>
              <w:left w:w="28" w:type="dxa"/>
              <w:bottom w:w="57" w:type="dxa"/>
              <w:right w:w="28" w:type="dxa"/>
            </w:tcMar>
            <w:vAlign w:val="center"/>
          </w:tcPr>
          <w:p>
            <w:pPr>
              <w:rPr>
                <w:rFonts w:hint="eastAsia" w:ascii="宋体" w:hAnsi="宋体" w:eastAsia="宋体" w:cs="宋体"/>
                <w:color w:val="auto"/>
                <w:sz w:val="24"/>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9"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2652"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2659"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1689"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1319" w:type="dxa"/>
            <w:tcMar>
              <w:top w:w="57" w:type="dxa"/>
              <w:left w:w="28" w:type="dxa"/>
              <w:bottom w:w="57" w:type="dxa"/>
              <w:right w:w="28" w:type="dxa"/>
            </w:tcMar>
            <w:vAlign w:val="center"/>
          </w:tcPr>
          <w:p>
            <w:pPr>
              <w:rPr>
                <w:rFonts w:hint="eastAsia" w:ascii="宋体" w:hAnsi="宋体" w:eastAsia="宋体" w:cs="宋体"/>
                <w:color w:val="auto"/>
                <w:sz w:val="24"/>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9"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2652"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2659"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1689"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1319" w:type="dxa"/>
            <w:tcMar>
              <w:top w:w="57" w:type="dxa"/>
              <w:left w:w="28" w:type="dxa"/>
              <w:bottom w:w="57" w:type="dxa"/>
              <w:right w:w="28" w:type="dxa"/>
            </w:tcMar>
            <w:vAlign w:val="center"/>
          </w:tcPr>
          <w:p>
            <w:pPr>
              <w:rPr>
                <w:rFonts w:hint="eastAsia" w:ascii="宋体" w:hAnsi="宋体" w:eastAsia="宋体" w:cs="宋体"/>
                <w:color w:val="auto"/>
                <w:sz w:val="24"/>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9"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2652"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2659"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1689"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1319" w:type="dxa"/>
            <w:tcMar>
              <w:top w:w="57" w:type="dxa"/>
              <w:left w:w="28" w:type="dxa"/>
              <w:bottom w:w="57" w:type="dxa"/>
              <w:right w:w="28" w:type="dxa"/>
            </w:tcMar>
            <w:vAlign w:val="center"/>
          </w:tcPr>
          <w:p>
            <w:pPr>
              <w:rPr>
                <w:rFonts w:hint="eastAsia" w:ascii="宋体" w:hAnsi="宋体" w:eastAsia="宋体" w:cs="宋体"/>
                <w:color w:val="auto"/>
                <w:sz w:val="24"/>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9" w:type="dxa"/>
            <w:tcBorders>
              <w:bottom w:val="single" w:color="auto" w:sz="4" w:space="0"/>
            </w:tcBorders>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2652" w:type="dxa"/>
            <w:tcBorders>
              <w:bottom w:val="single" w:color="auto" w:sz="4" w:space="0"/>
            </w:tcBorders>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2659" w:type="dxa"/>
            <w:tcBorders>
              <w:bottom w:val="single" w:color="auto" w:sz="4" w:space="0"/>
            </w:tcBorders>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1689" w:type="dxa"/>
            <w:tcBorders>
              <w:bottom w:val="single" w:color="auto" w:sz="4" w:space="0"/>
            </w:tcBorders>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1319" w:type="dxa"/>
            <w:tcBorders>
              <w:bottom w:val="single" w:color="auto" w:sz="4" w:space="0"/>
            </w:tcBorders>
            <w:tcMar>
              <w:top w:w="57" w:type="dxa"/>
              <w:left w:w="28" w:type="dxa"/>
              <w:bottom w:w="57" w:type="dxa"/>
              <w:right w:w="28" w:type="dxa"/>
            </w:tcMar>
            <w:vAlign w:val="center"/>
          </w:tcPr>
          <w:p>
            <w:pPr>
              <w:rPr>
                <w:rFonts w:hint="eastAsia" w:ascii="宋体" w:hAnsi="宋体" w:eastAsia="宋体" w:cs="宋体"/>
                <w:color w:val="auto"/>
                <w:sz w:val="24"/>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9"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2652"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2659"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1689"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1319" w:type="dxa"/>
            <w:tcMar>
              <w:top w:w="57" w:type="dxa"/>
              <w:left w:w="28" w:type="dxa"/>
              <w:bottom w:w="57" w:type="dxa"/>
              <w:right w:w="28" w:type="dxa"/>
            </w:tcMar>
            <w:vAlign w:val="center"/>
          </w:tcPr>
          <w:p>
            <w:pPr>
              <w:rPr>
                <w:rFonts w:hint="eastAsia" w:ascii="宋体" w:hAnsi="宋体" w:eastAsia="宋体" w:cs="宋体"/>
                <w:color w:val="auto"/>
                <w:sz w:val="24"/>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9"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2652"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2659"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1689"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1319" w:type="dxa"/>
            <w:tcMar>
              <w:top w:w="57" w:type="dxa"/>
              <w:left w:w="28" w:type="dxa"/>
              <w:bottom w:w="57" w:type="dxa"/>
              <w:right w:w="28" w:type="dxa"/>
            </w:tcMar>
            <w:vAlign w:val="center"/>
          </w:tcPr>
          <w:p>
            <w:pPr>
              <w:rPr>
                <w:rFonts w:hint="eastAsia" w:ascii="宋体" w:hAnsi="宋体" w:eastAsia="宋体" w:cs="宋体"/>
                <w:color w:val="auto"/>
                <w:sz w:val="24"/>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9" w:type="dxa"/>
            <w:tcBorders>
              <w:bottom w:val="single" w:color="auto" w:sz="4" w:space="0"/>
            </w:tcBorders>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2652" w:type="dxa"/>
            <w:tcBorders>
              <w:bottom w:val="single" w:color="auto" w:sz="4" w:space="0"/>
            </w:tcBorders>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2659" w:type="dxa"/>
            <w:tcBorders>
              <w:bottom w:val="single" w:color="auto" w:sz="4" w:space="0"/>
            </w:tcBorders>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1689" w:type="dxa"/>
            <w:tcBorders>
              <w:bottom w:val="single" w:color="auto" w:sz="4" w:space="0"/>
            </w:tcBorders>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1319" w:type="dxa"/>
            <w:tcBorders>
              <w:bottom w:val="single" w:color="auto" w:sz="4" w:space="0"/>
            </w:tcBorders>
            <w:tcMar>
              <w:top w:w="57" w:type="dxa"/>
              <w:left w:w="28" w:type="dxa"/>
              <w:bottom w:w="57" w:type="dxa"/>
              <w:right w:w="28" w:type="dxa"/>
            </w:tcMar>
            <w:vAlign w:val="center"/>
          </w:tcPr>
          <w:p>
            <w:pPr>
              <w:rPr>
                <w:rFonts w:hint="eastAsia" w:ascii="宋体" w:hAnsi="宋体" w:eastAsia="宋体" w:cs="宋体"/>
                <w:color w:val="auto"/>
                <w:sz w:val="24"/>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9"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2652"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2659"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1689" w:type="dxa"/>
            <w:tcMar>
              <w:top w:w="57" w:type="dxa"/>
              <w:left w:w="28" w:type="dxa"/>
              <w:bottom w:w="57" w:type="dxa"/>
              <w:right w:w="28" w:type="dxa"/>
            </w:tcMar>
            <w:vAlign w:val="center"/>
          </w:tcPr>
          <w:p>
            <w:pPr>
              <w:rPr>
                <w:rFonts w:hint="eastAsia" w:ascii="宋体" w:hAnsi="宋体" w:eastAsia="宋体" w:cs="宋体"/>
                <w:color w:val="auto"/>
                <w:sz w:val="24"/>
                <w:szCs w:val="28"/>
              </w:rPr>
            </w:pPr>
          </w:p>
        </w:tc>
        <w:tc>
          <w:tcPr>
            <w:tcW w:w="1319" w:type="dxa"/>
            <w:tcMar>
              <w:top w:w="57" w:type="dxa"/>
              <w:left w:w="28" w:type="dxa"/>
              <w:bottom w:w="57" w:type="dxa"/>
              <w:right w:w="28" w:type="dxa"/>
            </w:tcMar>
            <w:vAlign w:val="center"/>
          </w:tcPr>
          <w:p>
            <w:pPr>
              <w:rPr>
                <w:rFonts w:hint="eastAsia" w:ascii="宋体" w:hAnsi="宋体" w:eastAsia="宋体" w:cs="宋体"/>
                <w:color w:val="auto"/>
                <w:sz w:val="24"/>
                <w:szCs w:val="28"/>
              </w:rPr>
            </w:pPr>
          </w:p>
        </w:tc>
      </w:tr>
    </w:tbl>
    <w:p>
      <w:pPr>
        <w:rPr>
          <w:rFonts w:hint="eastAsia" w:ascii="宋体" w:hAnsi="宋体" w:eastAsia="宋体" w:cs="宋体"/>
          <w:color w:val="auto"/>
        </w:rPr>
      </w:pPr>
    </w:p>
    <w:p>
      <w:pPr>
        <w:rPr>
          <w:rFonts w:hint="eastAsia" w:ascii="宋体" w:hAnsi="宋体" w:eastAsia="宋体" w:cs="宋体"/>
          <w:color w:val="auto"/>
        </w:rPr>
      </w:pPr>
    </w:p>
    <w:bookmarkEnd w:id="230"/>
    <w:bookmarkEnd w:id="231"/>
    <w:bookmarkEnd w:id="232"/>
    <w:bookmarkEnd w:id="233"/>
    <w:bookmarkEnd w:id="234"/>
    <w:p>
      <w:pPr>
        <w:snapToGrid w:val="0"/>
        <w:spacing w:line="360" w:lineRule="auto"/>
        <w:ind w:firstLine="2520" w:firstLineChars="1050"/>
        <w:textAlignment w:val="baseline"/>
        <w:rPr>
          <w:rStyle w:val="219"/>
          <w:rFonts w:hint="eastAsia" w:ascii="宋体" w:hAnsi="宋体" w:eastAsia="宋体" w:cs="宋体"/>
          <w:color w:val="auto"/>
          <w:sz w:val="24"/>
          <w:szCs w:val="24"/>
        </w:rPr>
      </w:pPr>
      <w:bookmarkStart w:id="235" w:name="_Toc27126412"/>
      <w:r>
        <w:rPr>
          <w:rStyle w:val="219"/>
          <w:rFonts w:hint="eastAsia" w:ascii="宋体" w:hAnsi="宋体" w:eastAsia="宋体" w:cs="宋体"/>
          <w:color w:val="auto"/>
          <w:sz w:val="24"/>
          <w:szCs w:val="24"/>
        </w:rPr>
        <w:t>供应商名称：</w:t>
      </w:r>
      <w:r>
        <w:rPr>
          <w:rStyle w:val="219"/>
          <w:rFonts w:hint="eastAsia" w:ascii="宋体" w:hAnsi="宋体" w:eastAsia="宋体" w:cs="宋体"/>
          <w:color w:val="auto"/>
          <w:sz w:val="24"/>
          <w:szCs w:val="24"/>
          <w:u w:val="single" w:color="000000"/>
        </w:rPr>
        <w:t xml:space="preserve">                           </w:t>
      </w:r>
      <w:r>
        <w:rPr>
          <w:rStyle w:val="219"/>
          <w:rFonts w:hint="eastAsia" w:ascii="宋体" w:hAnsi="宋体" w:eastAsia="宋体" w:cs="宋体"/>
          <w:color w:val="auto"/>
          <w:sz w:val="24"/>
          <w:szCs w:val="24"/>
        </w:rPr>
        <w:t>（盖章）</w:t>
      </w:r>
    </w:p>
    <w:p>
      <w:pPr>
        <w:snapToGrid w:val="0"/>
        <w:spacing w:line="360" w:lineRule="auto"/>
        <w:ind w:firstLine="2520" w:firstLineChars="1050"/>
        <w:textAlignment w:val="baseline"/>
        <w:rPr>
          <w:rStyle w:val="219"/>
          <w:rFonts w:hint="eastAsia" w:ascii="宋体" w:hAnsi="宋体" w:eastAsia="宋体" w:cs="宋体"/>
          <w:color w:val="auto"/>
          <w:sz w:val="24"/>
          <w:szCs w:val="24"/>
        </w:rPr>
      </w:pPr>
      <w:r>
        <w:rPr>
          <w:rStyle w:val="219"/>
          <w:rFonts w:hint="eastAsia" w:ascii="宋体" w:hAnsi="宋体" w:eastAsia="宋体" w:cs="宋体"/>
          <w:color w:val="auto"/>
          <w:sz w:val="24"/>
          <w:szCs w:val="24"/>
        </w:rPr>
        <w:t>法定代表人或委托代理人：</w:t>
      </w:r>
      <w:r>
        <w:rPr>
          <w:rStyle w:val="219"/>
          <w:rFonts w:hint="eastAsia" w:ascii="宋体" w:hAnsi="宋体" w:eastAsia="宋体" w:cs="宋体"/>
          <w:color w:val="auto"/>
          <w:sz w:val="24"/>
          <w:szCs w:val="24"/>
          <w:u w:val="single" w:color="000000"/>
        </w:rPr>
        <w:t xml:space="preserve">          </w:t>
      </w:r>
      <w:r>
        <w:rPr>
          <w:rStyle w:val="219"/>
          <w:rFonts w:hint="eastAsia" w:ascii="宋体" w:hAnsi="宋体" w:eastAsia="宋体" w:cs="宋体"/>
          <w:color w:val="auto"/>
          <w:sz w:val="24"/>
          <w:szCs w:val="24"/>
        </w:rPr>
        <w:t>(签字或盖章)</w:t>
      </w:r>
    </w:p>
    <w:p>
      <w:pPr>
        <w:snapToGrid w:val="0"/>
        <w:spacing w:line="360" w:lineRule="auto"/>
        <w:ind w:firstLine="2520" w:firstLineChars="1050"/>
        <w:jc w:val="left"/>
        <w:textAlignment w:val="baseline"/>
        <w:rPr>
          <w:rStyle w:val="219"/>
          <w:rFonts w:hint="eastAsia" w:ascii="宋体" w:hAnsi="宋体" w:eastAsia="宋体" w:cs="宋体"/>
          <w:color w:val="auto"/>
          <w:sz w:val="24"/>
          <w:szCs w:val="24"/>
        </w:rPr>
      </w:pPr>
      <w:r>
        <w:rPr>
          <w:rStyle w:val="219"/>
          <w:rFonts w:hint="eastAsia" w:ascii="宋体" w:hAnsi="宋体" w:eastAsia="宋体" w:cs="宋体"/>
          <w:color w:val="auto"/>
          <w:sz w:val="24"/>
          <w:szCs w:val="24"/>
        </w:rPr>
        <w:t>日      期：</w:t>
      </w:r>
      <w:r>
        <w:rPr>
          <w:rStyle w:val="219"/>
          <w:rFonts w:hint="eastAsia" w:ascii="宋体" w:hAnsi="宋体" w:eastAsia="宋体" w:cs="宋体"/>
          <w:color w:val="auto"/>
          <w:sz w:val="24"/>
          <w:szCs w:val="24"/>
          <w:u w:val="single" w:color="000000"/>
        </w:rPr>
        <w:t xml:space="preserve">         </w:t>
      </w:r>
      <w:r>
        <w:rPr>
          <w:rStyle w:val="219"/>
          <w:rFonts w:hint="eastAsia" w:ascii="宋体" w:hAnsi="宋体" w:eastAsia="宋体" w:cs="宋体"/>
          <w:color w:val="auto"/>
          <w:sz w:val="24"/>
          <w:szCs w:val="24"/>
        </w:rPr>
        <w:t>年</w:t>
      </w:r>
      <w:r>
        <w:rPr>
          <w:rStyle w:val="219"/>
          <w:rFonts w:hint="eastAsia" w:ascii="宋体" w:hAnsi="宋体" w:eastAsia="宋体" w:cs="宋体"/>
          <w:color w:val="auto"/>
          <w:sz w:val="24"/>
          <w:szCs w:val="24"/>
          <w:u w:val="single" w:color="000000"/>
        </w:rPr>
        <w:t xml:space="preserve">      </w:t>
      </w:r>
      <w:r>
        <w:rPr>
          <w:rStyle w:val="219"/>
          <w:rFonts w:hint="eastAsia" w:ascii="宋体" w:hAnsi="宋体" w:eastAsia="宋体" w:cs="宋体"/>
          <w:color w:val="auto"/>
          <w:sz w:val="24"/>
          <w:szCs w:val="24"/>
        </w:rPr>
        <w:t xml:space="preserve">月 </w:t>
      </w:r>
      <w:r>
        <w:rPr>
          <w:rStyle w:val="219"/>
          <w:rFonts w:hint="eastAsia" w:ascii="宋体" w:hAnsi="宋体" w:eastAsia="宋体" w:cs="宋体"/>
          <w:color w:val="auto"/>
          <w:sz w:val="24"/>
          <w:szCs w:val="24"/>
          <w:u w:val="single" w:color="000000"/>
        </w:rPr>
        <w:t xml:space="preserve">      </w:t>
      </w:r>
      <w:r>
        <w:rPr>
          <w:rStyle w:val="219"/>
          <w:rFonts w:hint="eastAsia" w:ascii="宋体" w:hAnsi="宋体" w:eastAsia="宋体" w:cs="宋体"/>
          <w:color w:val="auto"/>
          <w:sz w:val="24"/>
          <w:szCs w:val="24"/>
        </w:rPr>
        <w:t>日</w:t>
      </w:r>
    </w:p>
    <w:p>
      <w:pPr>
        <w:pStyle w:val="4"/>
        <w:adjustRightInd w:val="0"/>
        <w:spacing w:line="360" w:lineRule="auto"/>
        <w:jc w:val="center"/>
        <w:textAlignment w:val="baseline"/>
        <w:rPr>
          <w:rFonts w:hint="eastAsia" w:ascii="宋体" w:hAnsi="宋体" w:eastAsia="宋体" w:cs="宋体"/>
          <w:color w:val="auto"/>
        </w:rPr>
        <w:sectPr>
          <w:pgSz w:w="11906" w:h="16838"/>
          <w:pgMar w:top="1440" w:right="1423" w:bottom="1219" w:left="1644" w:header="720" w:footer="720" w:gutter="0"/>
          <w:cols w:space="0" w:num="1"/>
          <w:docGrid w:linePitch="312" w:charSpace="0"/>
        </w:sectPr>
      </w:pPr>
    </w:p>
    <w:p>
      <w:pPr>
        <w:pStyle w:val="4"/>
        <w:adjustRightInd w:val="0"/>
        <w:spacing w:line="360" w:lineRule="auto"/>
        <w:jc w:val="center"/>
        <w:textAlignment w:val="baseline"/>
        <w:rPr>
          <w:rFonts w:hint="eastAsia" w:ascii="宋体" w:hAnsi="宋体" w:eastAsia="宋体" w:cs="宋体"/>
          <w:color w:val="auto"/>
        </w:rPr>
      </w:pPr>
      <w:bookmarkStart w:id="236" w:name="_Toc9978"/>
      <w:r>
        <w:rPr>
          <w:rFonts w:hint="eastAsia" w:ascii="宋体" w:hAnsi="宋体" w:eastAsia="宋体" w:cs="宋体"/>
          <w:color w:val="auto"/>
        </w:rPr>
        <w:t xml:space="preserve">六、 </w:t>
      </w:r>
      <w:bookmarkEnd w:id="235"/>
      <w:r>
        <w:rPr>
          <w:rFonts w:hint="eastAsia" w:ascii="宋体" w:hAnsi="宋体" w:eastAsia="宋体" w:cs="宋体"/>
          <w:color w:val="auto"/>
        </w:rPr>
        <w:t>技术部分</w:t>
      </w:r>
      <w:bookmarkEnd w:id="236"/>
    </w:p>
    <w:p>
      <w:pPr>
        <w:autoSpaceDE w:val="0"/>
        <w:autoSpaceDN w:val="0"/>
        <w:adjustRightInd w:val="0"/>
        <w:spacing w:line="348" w:lineRule="auto"/>
        <w:jc w:val="center"/>
        <w:rPr>
          <w:rFonts w:hint="eastAsia" w:ascii="宋体" w:hAnsi="宋体" w:eastAsia="宋体" w:cs="宋体"/>
          <w:bCs/>
          <w:color w:val="auto"/>
          <w:sz w:val="24"/>
          <w:szCs w:val="24"/>
        </w:rPr>
      </w:pPr>
    </w:p>
    <w:p>
      <w:pPr>
        <w:autoSpaceDE w:val="0"/>
        <w:autoSpaceDN w:val="0"/>
        <w:adjustRightInd w:val="0"/>
        <w:spacing w:line="348" w:lineRule="auto"/>
        <w:jc w:val="center"/>
        <w:rPr>
          <w:rFonts w:hint="eastAsia" w:ascii="宋体" w:hAnsi="宋体" w:eastAsia="宋体" w:cs="宋体"/>
          <w:b/>
          <w:bCs/>
          <w:color w:val="auto"/>
          <w:sz w:val="24"/>
          <w:szCs w:val="28"/>
        </w:rPr>
      </w:pPr>
      <w:r>
        <w:rPr>
          <w:rFonts w:hint="eastAsia" w:ascii="宋体" w:hAnsi="宋体" w:eastAsia="宋体" w:cs="宋体"/>
          <w:bCs/>
          <w:color w:val="auto"/>
          <w:sz w:val="24"/>
          <w:szCs w:val="24"/>
        </w:rPr>
        <w:t>（格式自拟</w:t>
      </w:r>
      <w:r>
        <w:rPr>
          <w:rFonts w:hint="eastAsia" w:ascii="宋体" w:hAnsi="宋体" w:eastAsia="宋体" w:cs="宋体"/>
          <w:color w:val="auto"/>
          <w:sz w:val="24"/>
          <w:szCs w:val="28"/>
        </w:rPr>
        <w:t>，各供应商根据采购内容及评审办法，自主编写磋商响应方案）</w:t>
      </w:r>
    </w:p>
    <w:p>
      <w:pPr>
        <w:rPr>
          <w:rFonts w:hint="eastAsia" w:ascii="宋体" w:hAnsi="宋体" w:eastAsia="宋体" w:cs="宋体"/>
          <w:color w:val="auto"/>
          <w:sz w:val="24"/>
        </w:rPr>
      </w:pPr>
    </w:p>
    <w:p>
      <w:pPr>
        <w:pStyle w:val="4"/>
        <w:adjustRightInd w:val="0"/>
        <w:spacing w:line="360" w:lineRule="auto"/>
        <w:jc w:val="center"/>
        <w:textAlignment w:val="baseline"/>
        <w:rPr>
          <w:rFonts w:hint="eastAsia" w:ascii="宋体" w:hAnsi="宋体" w:eastAsia="宋体" w:cs="宋体"/>
          <w:color w:val="auto"/>
        </w:rPr>
        <w:sectPr>
          <w:pgSz w:w="11906" w:h="16838"/>
          <w:pgMar w:top="1440" w:right="1423" w:bottom="1219" w:left="1644" w:header="720" w:footer="720" w:gutter="0"/>
          <w:cols w:space="0" w:num="1"/>
          <w:docGrid w:linePitch="312" w:charSpace="0"/>
        </w:sectPr>
      </w:pPr>
    </w:p>
    <w:p>
      <w:pPr>
        <w:pStyle w:val="4"/>
        <w:adjustRightInd w:val="0"/>
        <w:spacing w:line="360" w:lineRule="auto"/>
        <w:jc w:val="center"/>
        <w:textAlignment w:val="baseline"/>
        <w:rPr>
          <w:rFonts w:hint="eastAsia" w:ascii="宋体" w:hAnsi="宋体" w:eastAsia="宋体" w:cs="宋体"/>
          <w:color w:val="auto"/>
          <w:szCs w:val="32"/>
        </w:rPr>
      </w:pPr>
      <w:bookmarkStart w:id="237" w:name="_Toc16601"/>
      <w:r>
        <w:rPr>
          <w:rFonts w:hint="eastAsia" w:ascii="宋体" w:hAnsi="宋体" w:eastAsia="宋体" w:cs="宋体"/>
          <w:color w:val="auto"/>
        </w:rPr>
        <w:t>附件8</w:t>
      </w:r>
      <w:bookmarkStart w:id="238" w:name="_Toc1649"/>
      <w:r>
        <w:rPr>
          <w:rFonts w:hint="eastAsia" w:ascii="宋体" w:hAnsi="宋体" w:eastAsia="宋体" w:cs="宋体"/>
          <w:color w:val="auto"/>
          <w:szCs w:val="32"/>
        </w:rPr>
        <w:t xml:space="preserve"> 同类项目业绩表</w:t>
      </w:r>
      <w:bookmarkEnd w:id="237"/>
      <w:bookmarkEnd w:id="238"/>
    </w:p>
    <w:tbl>
      <w:tblPr>
        <w:tblStyle w:val="40"/>
        <w:tblW w:w="9235"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70"/>
        <w:gridCol w:w="1620"/>
        <w:gridCol w:w="1440"/>
        <w:gridCol w:w="1335"/>
        <w:gridCol w:w="1365"/>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900" w:type="dxa"/>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1170" w:type="dxa"/>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年份</w:t>
            </w:r>
          </w:p>
        </w:tc>
        <w:tc>
          <w:tcPr>
            <w:tcW w:w="1620" w:type="dxa"/>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用户名称</w:t>
            </w:r>
          </w:p>
        </w:tc>
        <w:tc>
          <w:tcPr>
            <w:tcW w:w="1440" w:type="dxa"/>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项目名称</w:t>
            </w:r>
          </w:p>
        </w:tc>
        <w:tc>
          <w:tcPr>
            <w:tcW w:w="1335" w:type="dxa"/>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完成时间</w:t>
            </w:r>
          </w:p>
        </w:tc>
        <w:tc>
          <w:tcPr>
            <w:tcW w:w="1365" w:type="dxa"/>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合同金额</w:t>
            </w:r>
          </w:p>
        </w:tc>
        <w:tc>
          <w:tcPr>
            <w:tcW w:w="1405" w:type="dxa"/>
            <w:vAlign w:val="center"/>
          </w:tcPr>
          <w:p>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900" w:type="dxa"/>
            <w:vAlign w:val="center"/>
          </w:tcPr>
          <w:p>
            <w:pPr>
              <w:spacing w:line="360" w:lineRule="auto"/>
              <w:jc w:val="center"/>
              <w:rPr>
                <w:rFonts w:hint="eastAsia" w:ascii="宋体" w:hAnsi="宋体" w:eastAsia="宋体" w:cs="宋体"/>
                <w:bCs/>
                <w:color w:val="auto"/>
                <w:sz w:val="24"/>
                <w:szCs w:val="24"/>
              </w:rPr>
            </w:pPr>
          </w:p>
        </w:tc>
        <w:tc>
          <w:tcPr>
            <w:tcW w:w="1170" w:type="dxa"/>
            <w:vAlign w:val="center"/>
          </w:tcPr>
          <w:p>
            <w:pPr>
              <w:spacing w:line="360" w:lineRule="auto"/>
              <w:jc w:val="center"/>
              <w:rPr>
                <w:rFonts w:hint="eastAsia" w:ascii="宋体" w:hAnsi="宋体" w:eastAsia="宋体" w:cs="宋体"/>
                <w:bCs/>
                <w:color w:val="auto"/>
                <w:sz w:val="24"/>
                <w:szCs w:val="24"/>
              </w:rPr>
            </w:pPr>
          </w:p>
        </w:tc>
        <w:tc>
          <w:tcPr>
            <w:tcW w:w="1620" w:type="dxa"/>
            <w:vAlign w:val="center"/>
          </w:tcPr>
          <w:p>
            <w:pPr>
              <w:spacing w:line="360" w:lineRule="auto"/>
              <w:jc w:val="center"/>
              <w:rPr>
                <w:rFonts w:hint="eastAsia" w:ascii="宋体" w:hAnsi="宋体" w:eastAsia="宋体" w:cs="宋体"/>
                <w:bCs/>
                <w:color w:val="auto"/>
                <w:sz w:val="24"/>
                <w:szCs w:val="24"/>
              </w:rPr>
            </w:pPr>
          </w:p>
        </w:tc>
        <w:tc>
          <w:tcPr>
            <w:tcW w:w="1440" w:type="dxa"/>
            <w:vAlign w:val="center"/>
          </w:tcPr>
          <w:p>
            <w:pPr>
              <w:spacing w:line="360" w:lineRule="auto"/>
              <w:jc w:val="center"/>
              <w:rPr>
                <w:rFonts w:hint="eastAsia" w:ascii="宋体" w:hAnsi="宋体" w:eastAsia="宋体" w:cs="宋体"/>
                <w:bCs/>
                <w:color w:val="auto"/>
                <w:sz w:val="24"/>
                <w:szCs w:val="24"/>
              </w:rPr>
            </w:pPr>
          </w:p>
        </w:tc>
        <w:tc>
          <w:tcPr>
            <w:tcW w:w="1335" w:type="dxa"/>
            <w:vAlign w:val="center"/>
          </w:tcPr>
          <w:p>
            <w:pPr>
              <w:spacing w:line="360" w:lineRule="auto"/>
              <w:jc w:val="center"/>
              <w:rPr>
                <w:rFonts w:hint="eastAsia" w:ascii="宋体" w:hAnsi="宋体" w:eastAsia="宋体" w:cs="宋体"/>
                <w:bCs/>
                <w:color w:val="auto"/>
                <w:sz w:val="24"/>
                <w:szCs w:val="24"/>
              </w:rPr>
            </w:pPr>
          </w:p>
        </w:tc>
        <w:tc>
          <w:tcPr>
            <w:tcW w:w="1365" w:type="dxa"/>
            <w:vAlign w:val="center"/>
          </w:tcPr>
          <w:p>
            <w:pPr>
              <w:spacing w:line="360" w:lineRule="auto"/>
              <w:jc w:val="center"/>
              <w:rPr>
                <w:rFonts w:hint="eastAsia" w:ascii="宋体" w:hAnsi="宋体" w:eastAsia="宋体" w:cs="宋体"/>
                <w:bCs/>
                <w:color w:val="auto"/>
                <w:sz w:val="24"/>
                <w:szCs w:val="24"/>
              </w:rPr>
            </w:pPr>
          </w:p>
        </w:tc>
        <w:tc>
          <w:tcPr>
            <w:tcW w:w="1405" w:type="dxa"/>
            <w:vAlign w:val="center"/>
          </w:tcPr>
          <w:p>
            <w:pPr>
              <w:spacing w:line="360" w:lineRule="auto"/>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900" w:type="dxa"/>
            <w:vAlign w:val="center"/>
          </w:tcPr>
          <w:p>
            <w:pPr>
              <w:spacing w:line="360" w:lineRule="auto"/>
              <w:jc w:val="center"/>
              <w:rPr>
                <w:rFonts w:hint="eastAsia" w:ascii="宋体" w:hAnsi="宋体" w:eastAsia="宋体" w:cs="宋体"/>
                <w:bCs/>
                <w:color w:val="auto"/>
                <w:sz w:val="24"/>
                <w:szCs w:val="24"/>
              </w:rPr>
            </w:pPr>
          </w:p>
        </w:tc>
        <w:tc>
          <w:tcPr>
            <w:tcW w:w="1170" w:type="dxa"/>
            <w:vAlign w:val="center"/>
          </w:tcPr>
          <w:p>
            <w:pPr>
              <w:spacing w:line="360" w:lineRule="auto"/>
              <w:jc w:val="center"/>
              <w:rPr>
                <w:rFonts w:hint="eastAsia" w:ascii="宋体" w:hAnsi="宋体" w:eastAsia="宋体" w:cs="宋体"/>
                <w:bCs/>
                <w:color w:val="auto"/>
                <w:sz w:val="24"/>
                <w:szCs w:val="24"/>
              </w:rPr>
            </w:pPr>
          </w:p>
        </w:tc>
        <w:tc>
          <w:tcPr>
            <w:tcW w:w="1620" w:type="dxa"/>
            <w:vAlign w:val="center"/>
          </w:tcPr>
          <w:p>
            <w:pPr>
              <w:spacing w:line="360" w:lineRule="auto"/>
              <w:jc w:val="center"/>
              <w:rPr>
                <w:rFonts w:hint="eastAsia" w:ascii="宋体" w:hAnsi="宋体" w:eastAsia="宋体" w:cs="宋体"/>
                <w:bCs/>
                <w:color w:val="auto"/>
                <w:sz w:val="24"/>
                <w:szCs w:val="24"/>
              </w:rPr>
            </w:pPr>
          </w:p>
        </w:tc>
        <w:tc>
          <w:tcPr>
            <w:tcW w:w="1440" w:type="dxa"/>
            <w:vAlign w:val="center"/>
          </w:tcPr>
          <w:p>
            <w:pPr>
              <w:spacing w:line="360" w:lineRule="auto"/>
              <w:jc w:val="center"/>
              <w:rPr>
                <w:rFonts w:hint="eastAsia" w:ascii="宋体" w:hAnsi="宋体" w:eastAsia="宋体" w:cs="宋体"/>
                <w:bCs/>
                <w:color w:val="auto"/>
                <w:sz w:val="24"/>
                <w:szCs w:val="24"/>
              </w:rPr>
            </w:pPr>
          </w:p>
        </w:tc>
        <w:tc>
          <w:tcPr>
            <w:tcW w:w="1335" w:type="dxa"/>
            <w:vAlign w:val="center"/>
          </w:tcPr>
          <w:p>
            <w:pPr>
              <w:spacing w:line="360" w:lineRule="auto"/>
              <w:jc w:val="center"/>
              <w:rPr>
                <w:rFonts w:hint="eastAsia" w:ascii="宋体" w:hAnsi="宋体" w:eastAsia="宋体" w:cs="宋体"/>
                <w:bCs/>
                <w:color w:val="auto"/>
                <w:sz w:val="24"/>
                <w:szCs w:val="24"/>
              </w:rPr>
            </w:pPr>
          </w:p>
        </w:tc>
        <w:tc>
          <w:tcPr>
            <w:tcW w:w="1365" w:type="dxa"/>
            <w:vAlign w:val="center"/>
          </w:tcPr>
          <w:p>
            <w:pPr>
              <w:spacing w:line="360" w:lineRule="auto"/>
              <w:jc w:val="center"/>
              <w:rPr>
                <w:rFonts w:hint="eastAsia" w:ascii="宋体" w:hAnsi="宋体" w:eastAsia="宋体" w:cs="宋体"/>
                <w:bCs/>
                <w:color w:val="auto"/>
                <w:sz w:val="24"/>
                <w:szCs w:val="24"/>
              </w:rPr>
            </w:pPr>
          </w:p>
        </w:tc>
        <w:tc>
          <w:tcPr>
            <w:tcW w:w="1405" w:type="dxa"/>
            <w:vAlign w:val="center"/>
          </w:tcPr>
          <w:p>
            <w:pPr>
              <w:spacing w:line="360" w:lineRule="auto"/>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900" w:type="dxa"/>
            <w:vAlign w:val="center"/>
          </w:tcPr>
          <w:p>
            <w:pPr>
              <w:spacing w:line="360" w:lineRule="auto"/>
              <w:jc w:val="center"/>
              <w:rPr>
                <w:rFonts w:hint="eastAsia" w:ascii="宋体" w:hAnsi="宋体" w:eastAsia="宋体" w:cs="宋体"/>
                <w:bCs/>
                <w:color w:val="auto"/>
                <w:sz w:val="24"/>
                <w:szCs w:val="24"/>
              </w:rPr>
            </w:pPr>
          </w:p>
        </w:tc>
        <w:tc>
          <w:tcPr>
            <w:tcW w:w="1170" w:type="dxa"/>
            <w:vAlign w:val="center"/>
          </w:tcPr>
          <w:p>
            <w:pPr>
              <w:spacing w:line="360" w:lineRule="auto"/>
              <w:jc w:val="center"/>
              <w:rPr>
                <w:rFonts w:hint="eastAsia" w:ascii="宋体" w:hAnsi="宋体" w:eastAsia="宋体" w:cs="宋体"/>
                <w:bCs/>
                <w:color w:val="auto"/>
                <w:sz w:val="24"/>
                <w:szCs w:val="24"/>
              </w:rPr>
            </w:pPr>
          </w:p>
        </w:tc>
        <w:tc>
          <w:tcPr>
            <w:tcW w:w="1620" w:type="dxa"/>
            <w:vAlign w:val="center"/>
          </w:tcPr>
          <w:p>
            <w:pPr>
              <w:spacing w:line="360" w:lineRule="auto"/>
              <w:jc w:val="center"/>
              <w:rPr>
                <w:rFonts w:hint="eastAsia" w:ascii="宋体" w:hAnsi="宋体" w:eastAsia="宋体" w:cs="宋体"/>
                <w:bCs/>
                <w:color w:val="auto"/>
                <w:sz w:val="24"/>
                <w:szCs w:val="24"/>
              </w:rPr>
            </w:pPr>
          </w:p>
        </w:tc>
        <w:tc>
          <w:tcPr>
            <w:tcW w:w="1440" w:type="dxa"/>
            <w:vAlign w:val="center"/>
          </w:tcPr>
          <w:p>
            <w:pPr>
              <w:spacing w:line="360" w:lineRule="auto"/>
              <w:jc w:val="center"/>
              <w:rPr>
                <w:rFonts w:hint="eastAsia" w:ascii="宋体" w:hAnsi="宋体" w:eastAsia="宋体" w:cs="宋体"/>
                <w:bCs/>
                <w:color w:val="auto"/>
                <w:sz w:val="24"/>
                <w:szCs w:val="24"/>
              </w:rPr>
            </w:pPr>
          </w:p>
        </w:tc>
        <w:tc>
          <w:tcPr>
            <w:tcW w:w="1335" w:type="dxa"/>
            <w:vAlign w:val="center"/>
          </w:tcPr>
          <w:p>
            <w:pPr>
              <w:spacing w:line="360" w:lineRule="auto"/>
              <w:jc w:val="center"/>
              <w:rPr>
                <w:rFonts w:hint="eastAsia" w:ascii="宋体" w:hAnsi="宋体" w:eastAsia="宋体" w:cs="宋体"/>
                <w:bCs/>
                <w:color w:val="auto"/>
                <w:sz w:val="24"/>
                <w:szCs w:val="24"/>
              </w:rPr>
            </w:pPr>
          </w:p>
        </w:tc>
        <w:tc>
          <w:tcPr>
            <w:tcW w:w="1365" w:type="dxa"/>
            <w:vAlign w:val="center"/>
          </w:tcPr>
          <w:p>
            <w:pPr>
              <w:spacing w:line="360" w:lineRule="auto"/>
              <w:jc w:val="center"/>
              <w:rPr>
                <w:rFonts w:hint="eastAsia" w:ascii="宋体" w:hAnsi="宋体" w:eastAsia="宋体" w:cs="宋体"/>
                <w:bCs/>
                <w:color w:val="auto"/>
                <w:sz w:val="24"/>
                <w:szCs w:val="24"/>
              </w:rPr>
            </w:pPr>
          </w:p>
        </w:tc>
        <w:tc>
          <w:tcPr>
            <w:tcW w:w="1405" w:type="dxa"/>
            <w:vAlign w:val="center"/>
          </w:tcPr>
          <w:p>
            <w:pPr>
              <w:spacing w:line="360" w:lineRule="auto"/>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900" w:type="dxa"/>
            <w:vAlign w:val="center"/>
          </w:tcPr>
          <w:p>
            <w:pPr>
              <w:spacing w:line="360" w:lineRule="auto"/>
              <w:jc w:val="center"/>
              <w:rPr>
                <w:rFonts w:hint="eastAsia" w:ascii="宋体" w:hAnsi="宋体" w:eastAsia="宋体" w:cs="宋体"/>
                <w:bCs/>
                <w:color w:val="auto"/>
                <w:sz w:val="24"/>
                <w:szCs w:val="24"/>
              </w:rPr>
            </w:pPr>
          </w:p>
        </w:tc>
        <w:tc>
          <w:tcPr>
            <w:tcW w:w="1170" w:type="dxa"/>
            <w:vAlign w:val="center"/>
          </w:tcPr>
          <w:p>
            <w:pPr>
              <w:spacing w:line="360" w:lineRule="auto"/>
              <w:jc w:val="center"/>
              <w:rPr>
                <w:rFonts w:hint="eastAsia" w:ascii="宋体" w:hAnsi="宋体" w:eastAsia="宋体" w:cs="宋体"/>
                <w:bCs/>
                <w:color w:val="auto"/>
                <w:sz w:val="24"/>
                <w:szCs w:val="24"/>
              </w:rPr>
            </w:pPr>
          </w:p>
        </w:tc>
        <w:tc>
          <w:tcPr>
            <w:tcW w:w="1620" w:type="dxa"/>
            <w:vAlign w:val="center"/>
          </w:tcPr>
          <w:p>
            <w:pPr>
              <w:spacing w:line="360" w:lineRule="auto"/>
              <w:jc w:val="center"/>
              <w:rPr>
                <w:rFonts w:hint="eastAsia" w:ascii="宋体" w:hAnsi="宋体" w:eastAsia="宋体" w:cs="宋体"/>
                <w:bCs/>
                <w:color w:val="auto"/>
                <w:sz w:val="24"/>
                <w:szCs w:val="24"/>
              </w:rPr>
            </w:pPr>
          </w:p>
        </w:tc>
        <w:tc>
          <w:tcPr>
            <w:tcW w:w="1440" w:type="dxa"/>
            <w:vAlign w:val="center"/>
          </w:tcPr>
          <w:p>
            <w:pPr>
              <w:spacing w:line="360" w:lineRule="auto"/>
              <w:jc w:val="center"/>
              <w:rPr>
                <w:rFonts w:hint="eastAsia" w:ascii="宋体" w:hAnsi="宋体" w:eastAsia="宋体" w:cs="宋体"/>
                <w:bCs/>
                <w:color w:val="auto"/>
                <w:sz w:val="24"/>
                <w:szCs w:val="24"/>
              </w:rPr>
            </w:pPr>
          </w:p>
        </w:tc>
        <w:tc>
          <w:tcPr>
            <w:tcW w:w="1335" w:type="dxa"/>
            <w:vAlign w:val="center"/>
          </w:tcPr>
          <w:p>
            <w:pPr>
              <w:spacing w:line="360" w:lineRule="auto"/>
              <w:jc w:val="center"/>
              <w:rPr>
                <w:rFonts w:hint="eastAsia" w:ascii="宋体" w:hAnsi="宋体" w:eastAsia="宋体" w:cs="宋体"/>
                <w:bCs/>
                <w:color w:val="auto"/>
                <w:sz w:val="24"/>
                <w:szCs w:val="24"/>
              </w:rPr>
            </w:pPr>
          </w:p>
        </w:tc>
        <w:tc>
          <w:tcPr>
            <w:tcW w:w="1365" w:type="dxa"/>
            <w:vAlign w:val="center"/>
          </w:tcPr>
          <w:p>
            <w:pPr>
              <w:spacing w:line="360" w:lineRule="auto"/>
              <w:jc w:val="center"/>
              <w:rPr>
                <w:rFonts w:hint="eastAsia" w:ascii="宋体" w:hAnsi="宋体" w:eastAsia="宋体" w:cs="宋体"/>
                <w:bCs/>
                <w:color w:val="auto"/>
                <w:sz w:val="24"/>
                <w:szCs w:val="24"/>
              </w:rPr>
            </w:pPr>
          </w:p>
        </w:tc>
        <w:tc>
          <w:tcPr>
            <w:tcW w:w="1405" w:type="dxa"/>
            <w:vAlign w:val="center"/>
          </w:tcPr>
          <w:p>
            <w:pPr>
              <w:spacing w:line="360" w:lineRule="auto"/>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900" w:type="dxa"/>
            <w:vAlign w:val="center"/>
          </w:tcPr>
          <w:p>
            <w:pPr>
              <w:spacing w:line="360" w:lineRule="auto"/>
              <w:jc w:val="center"/>
              <w:rPr>
                <w:rFonts w:hint="eastAsia" w:ascii="宋体" w:hAnsi="宋体" w:eastAsia="宋体" w:cs="宋体"/>
                <w:bCs/>
                <w:color w:val="auto"/>
                <w:sz w:val="24"/>
                <w:szCs w:val="24"/>
              </w:rPr>
            </w:pPr>
          </w:p>
        </w:tc>
        <w:tc>
          <w:tcPr>
            <w:tcW w:w="1170" w:type="dxa"/>
            <w:vAlign w:val="center"/>
          </w:tcPr>
          <w:p>
            <w:pPr>
              <w:spacing w:line="360" w:lineRule="auto"/>
              <w:jc w:val="center"/>
              <w:rPr>
                <w:rFonts w:hint="eastAsia" w:ascii="宋体" w:hAnsi="宋体" w:eastAsia="宋体" w:cs="宋体"/>
                <w:bCs/>
                <w:color w:val="auto"/>
                <w:sz w:val="24"/>
                <w:szCs w:val="24"/>
              </w:rPr>
            </w:pPr>
          </w:p>
        </w:tc>
        <w:tc>
          <w:tcPr>
            <w:tcW w:w="1620" w:type="dxa"/>
            <w:vAlign w:val="center"/>
          </w:tcPr>
          <w:p>
            <w:pPr>
              <w:spacing w:line="360" w:lineRule="auto"/>
              <w:jc w:val="center"/>
              <w:rPr>
                <w:rFonts w:hint="eastAsia" w:ascii="宋体" w:hAnsi="宋体" w:eastAsia="宋体" w:cs="宋体"/>
                <w:bCs/>
                <w:color w:val="auto"/>
                <w:sz w:val="24"/>
                <w:szCs w:val="24"/>
              </w:rPr>
            </w:pPr>
          </w:p>
        </w:tc>
        <w:tc>
          <w:tcPr>
            <w:tcW w:w="1440" w:type="dxa"/>
            <w:vAlign w:val="center"/>
          </w:tcPr>
          <w:p>
            <w:pPr>
              <w:spacing w:line="360" w:lineRule="auto"/>
              <w:jc w:val="center"/>
              <w:rPr>
                <w:rFonts w:hint="eastAsia" w:ascii="宋体" w:hAnsi="宋体" w:eastAsia="宋体" w:cs="宋体"/>
                <w:bCs/>
                <w:color w:val="auto"/>
                <w:sz w:val="24"/>
                <w:szCs w:val="24"/>
              </w:rPr>
            </w:pPr>
          </w:p>
        </w:tc>
        <w:tc>
          <w:tcPr>
            <w:tcW w:w="1335" w:type="dxa"/>
            <w:vAlign w:val="center"/>
          </w:tcPr>
          <w:p>
            <w:pPr>
              <w:spacing w:line="360" w:lineRule="auto"/>
              <w:jc w:val="center"/>
              <w:rPr>
                <w:rFonts w:hint="eastAsia" w:ascii="宋体" w:hAnsi="宋体" w:eastAsia="宋体" w:cs="宋体"/>
                <w:bCs/>
                <w:color w:val="auto"/>
                <w:sz w:val="24"/>
                <w:szCs w:val="24"/>
              </w:rPr>
            </w:pPr>
          </w:p>
        </w:tc>
        <w:tc>
          <w:tcPr>
            <w:tcW w:w="1365" w:type="dxa"/>
            <w:vAlign w:val="center"/>
          </w:tcPr>
          <w:p>
            <w:pPr>
              <w:spacing w:line="360" w:lineRule="auto"/>
              <w:jc w:val="center"/>
              <w:rPr>
                <w:rFonts w:hint="eastAsia" w:ascii="宋体" w:hAnsi="宋体" w:eastAsia="宋体" w:cs="宋体"/>
                <w:bCs/>
                <w:color w:val="auto"/>
                <w:sz w:val="24"/>
                <w:szCs w:val="24"/>
              </w:rPr>
            </w:pPr>
          </w:p>
        </w:tc>
        <w:tc>
          <w:tcPr>
            <w:tcW w:w="1405" w:type="dxa"/>
            <w:vAlign w:val="center"/>
          </w:tcPr>
          <w:p>
            <w:pPr>
              <w:spacing w:line="360" w:lineRule="auto"/>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900" w:type="dxa"/>
            <w:vAlign w:val="center"/>
          </w:tcPr>
          <w:p>
            <w:pPr>
              <w:spacing w:line="360" w:lineRule="auto"/>
              <w:jc w:val="center"/>
              <w:rPr>
                <w:rFonts w:hint="eastAsia" w:ascii="宋体" w:hAnsi="宋体" w:eastAsia="宋体" w:cs="宋体"/>
                <w:bCs/>
                <w:color w:val="auto"/>
                <w:sz w:val="24"/>
                <w:szCs w:val="24"/>
              </w:rPr>
            </w:pPr>
          </w:p>
        </w:tc>
        <w:tc>
          <w:tcPr>
            <w:tcW w:w="1170" w:type="dxa"/>
            <w:vAlign w:val="center"/>
          </w:tcPr>
          <w:p>
            <w:pPr>
              <w:spacing w:line="360" w:lineRule="auto"/>
              <w:jc w:val="center"/>
              <w:rPr>
                <w:rFonts w:hint="eastAsia" w:ascii="宋体" w:hAnsi="宋体" w:eastAsia="宋体" w:cs="宋体"/>
                <w:bCs/>
                <w:color w:val="auto"/>
                <w:sz w:val="24"/>
                <w:szCs w:val="24"/>
              </w:rPr>
            </w:pPr>
          </w:p>
        </w:tc>
        <w:tc>
          <w:tcPr>
            <w:tcW w:w="1620" w:type="dxa"/>
            <w:vAlign w:val="center"/>
          </w:tcPr>
          <w:p>
            <w:pPr>
              <w:spacing w:line="360" w:lineRule="auto"/>
              <w:jc w:val="center"/>
              <w:rPr>
                <w:rFonts w:hint="eastAsia" w:ascii="宋体" w:hAnsi="宋体" w:eastAsia="宋体" w:cs="宋体"/>
                <w:bCs/>
                <w:color w:val="auto"/>
                <w:sz w:val="24"/>
                <w:szCs w:val="24"/>
              </w:rPr>
            </w:pPr>
          </w:p>
        </w:tc>
        <w:tc>
          <w:tcPr>
            <w:tcW w:w="1440" w:type="dxa"/>
            <w:vAlign w:val="center"/>
          </w:tcPr>
          <w:p>
            <w:pPr>
              <w:spacing w:line="360" w:lineRule="auto"/>
              <w:jc w:val="center"/>
              <w:rPr>
                <w:rFonts w:hint="eastAsia" w:ascii="宋体" w:hAnsi="宋体" w:eastAsia="宋体" w:cs="宋体"/>
                <w:bCs/>
                <w:color w:val="auto"/>
                <w:sz w:val="24"/>
                <w:szCs w:val="24"/>
              </w:rPr>
            </w:pPr>
          </w:p>
        </w:tc>
        <w:tc>
          <w:tcPr>
            <w:tcW w:w="1335" w:type="dxa"/>
            <w:vAlign w:val="center"/>
          </w:tcPr>
          <w:p>
            <w:pPr>
              <w:spacing w:line="360" w:lineRule="auto"/>
              <w:jc w:val="center"/>
              <w:rPr>
                <w:rFonts w:hint="eastAsia" w:ascii="宋体" w:hAnsi="宋体" w:eastAsia="宋体" w:cs="宋体"/>
                <w:bCs/>
                <w:color w:val="auto"/>
                <w:sz w:val="24"/>
                <w:szCs w:val="24"/>
              </w:rPr>
            </w:pPr>
          </w:p>
        </w:tc>
        <w:tc>
          <w:tcPr>
            <w:tcW w:w="1365" w:type="dxa"/>
            <w:vAlign w:val="center"/>
          </w:tcPr>
          <w:p>
            <w:pPr>
              <w:spacing w:line="360" w:lineRule="auto"/>
              <w:jc w:val="center"/>
              <w:rPr>
                <w:rFonts w:hint="eastAsia" w:ascii="宋体" w:hAnsi="宋体" w:eastAsia="宋体" w:cs="宋体"/>
                <w:bCs/>
                <w:color w:val="auto"/>
                <w:sz w:val="24"/>
                <w:szCs w:val="24"/>
              </w:rPr>
            </w:pPr>
          </w:p>
        </w:tc>
        <w:tc>
          <w:tcPr>
            <w:tcW w:w="1405" w:type="dxa"/>
            <w:vAlign w:val="center"/>
          </w:tcPr>
          <w:p>
            <w:pPr>
              <w:spacing w:line="360" w:lineRule="auto"/>
              <w:jc w:val="center"/>
              <w:rPr>
                <w:rFonts w:hint="eastAsia" w:ascii="宋体" w:hAnsi="宋体" w:eastAsia="宋体" w:cs="宋体"/>
                <w:bCs/>
                <w:color w:val="auto"/>
                <w:sz w:val="24"/>
                <w:szCs w:val="24"/>
              </w:rPr>
            </w:pPr>
          </w:p>
        </w:tc>
      </w:tr>
    </w:tbl>
    <w:p>
      <w:pPr>
        <w:spacing w:line="400" w:lineRule="exact"/>
        <w:rPr>
          <w:rFonts w:hint="eastAsia" w:ascii="宋体" w:hAnsi="宋体" w:eastAsia="宋体" w:cs="宋体"/>
          <w:b/>
          <w:color w:val="auto"/>
          <w:szCs w:val="21"/>
        </w:rPr>
      </w:pPr>
    </w:p>
    <w:p>
      <w:pPr>
        <w:spacing w:line="360" w:lineRule="auto"/>
        <w:ind w:left="964" w:hanging="964" w:hangingChars="400"/>
        <w:rPr>
          <w:rFonts w:hint="eastAsia" w:ascii="宋体" w:hAnsi="宋体" w:eastAsia="宋体" w:cs="宋体"/>
          <w:b/>
          <w:color w:val="auto"/>
          <w:sz w:val="24"/>
          <w:szCs w:val="24"/>
        </w:rPr>
      </w:pPr>
      <w:r>
        <w:rPr>
          <w:rFonts w:hint="eastAsia" w:ascii="宋体" w:hAnsi="宋体" w:eastAsia="宋体" w:cs="宋体"/>
          <w:b/>
          <w:color w:val="auto"/>
          <w:sz w:val="24"/>
          <w:szCs w:val="24"/>
        </w:rPr>
        <w:t>注：</w:t>
      </w:r>
    </w:p>
    <w:p>
      <w:pPr>
        <w:numPr>
          <w:ilvl w:val="0"/>
          <w:numId w:val="6"/>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供应商自2019年1月1日至今具有类似项目业绩，磋商响应文件中附有其业绩证明材料，业绩以合同为依据并加盖公章。</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2、如有多个类似项目，可按此表格扩展。</w:t>
      </w:r>
    </w:p>
    <w:p>
      <w:pPr>
        <w:spacing w:line="400" w:lineRule="atLeast"/>
        <w:ind w:left="720" w:hanging="720"/>
        <w:rPr>
          <w:rFonts w:hint="eastAsia" w:ascii="宋体" w:hAnsi="宋体" w:eastAsia="宋体" w:cs="宋体"/>
          <w:color w:val="auto"/>
          <w:sz w:val="24"/>
          <w:szCs w:val="24"/>
        </w:rPr>
      </w:pPr>
    </w:p>
    <w:p>
      <w:pPr>
        <w:spacing w:line="400" w:lineRule="atLeast"/>
        <w:rPr>
          <w:rFonts w:hint="eastAsia" w:ascii="宋体" w:hAnsi="宋体" w:eastAsia="宋体" w:cs="宋体"/>
          <w:color w:val="auto"/>
          <w:sz w:val="24"/>
        </w:rPr>
      </w:pPr>
    </w:p>
    <w:p>
      <w:pPr>
        <w:spacing w:line="48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供应商名称：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（公章）</w:t>
      </w:r>
    </w:p>
    <w:p>
      <w:pPr>
        <w:spacing w:line="480" w:lineRule="auto"/>
        <w:jc w:val="center"/>
        <w:rPr>
          <w:rFonts w:hint="eastAsia" w:ascii="宋体" w:hAnsi="宋体" w:eastAsia="宋体" w:cs="宋体"/>
          <w:color w:val="auto"/>
          <w:sz w:val="24"/>
          <w:u w:val="single"/>
        </w:rPr>
      </w:pPr>
      <w:r>
        <w:rPr>
          <w:rFonts w:hint="eastAsia" w:ascii="宋体" w:hAnsi="宋体" w:eastAsia="宋体" w:cs="宋体"/>
          <w:color w:val="auto"/>
          <w:sz w:val="24"/>
        </w:rPr>
        <w:t xml:space="preserve">              法定代表人（负责人）或被授权代表签字/盖章：</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rPr>
          <w:rFonts w:hint="eastAsia" w:ascii="宋体" w:hAnsi="宋体" w:eastAsia="宋体" w:cs="宋体"/>
          <w:color w:val="auto"/>
        </w:rPr>
      </w:pPr>
      <w:r>
        <w:rPr>
          <w:rFonts w:hint="eastAsia" w:ascii="宋体" w:hAnsi="宋体" w:eastAsia="宋体" w:cs="宋体"/>
          <w:color w:val="auto"/>
          <w:sz w:val="24"/>
        </w:rPr>
        <w:t xml:space="preserve">                                     日期：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pStyle w:val="4"/>
        <w:adjustRightInd w:val="0"/>
        <w:spacing w:line="360" w:lineRule="auto"/>
        <w:jc w:val="center"/>
        <w:textAlignment w:val="baseline"/>
        <w:rPr>
          <w:rFonts w:hint="eastAsia" w:ascii="宋体" w:hAnsi="宋体" w:eastAsia="宋体" w:cs="宋体"/>
          <w:color w:val="auto"/>
        </w:rPr>
        <w:sectPr>
          <w:pgSz w:w="11906" w:h="16838"/>
          <w:pgMar w:top="1440" w:right="1423" w:bottom="1219" w:left="1644" w:header="720" w:footer="720" w:gutter="0"/>
          <w:cols w:space="0" w:num="1"/>
          <w:docGrid w:linePitch="312" w:charSpace="0"/>
        </w:sectPr>
      </w:pPr>
    </w:p>
    <w:p>
      <w:pPr>
        <w:pStyle w:val="4"/>
        <w:adjustRightInd w:val="0"/>
        <w:spacing w:line="276" w:lineRule="auto"/>
        <w:textAlignment w:val="baseline"/>
        <w:rPr>
          <w:rFonts w:hint="eastAsia" w:ascii="宋体" w:hAnsi="宋体" w:eastAsia="宋体" w:cs="宋体"/>
          <w:color w:val="auto"/>
        </w:rPr>
      </w:pPr>
      <w:bookmarkStart w:id="239" w:name="_Toc28259"/>
      <w:bookmarkStart w:id="240" w:name="_Toc23208"/>
      <w:r>
        <w:rPr>
          <w:rFonts w:hint="eastAsia" w:ascii="宋体" w:hAnsi="宋体" w:eastAsia="宋体" w:cs="宋体"/>
          <w:color w:val="auto"/>
        </w:rPr>
        <w:t>七、</w:t>
      </w:r>
      <w:bookmarkEnd w:id="188"/>
      <w:bookmarkEnd w:id="189"/>
      <w:bookmarkEnd w:id="190"/>
      <w:bookmarkEnd w:id="191"/>
      <w:bookmarkEnd w:id="192"/>
      <w:bookmarkEnd w:id="193"/>
      <w:bookmarkEnd w:id="194"/>
      <w:bookmarkEnd w:id="195"/>
      <w:bookmarkEnd w:id="200"/>
      <w:bookmarkEnd w:id="239"/>
      <w:r>
        <w:rPr>
          <w:rFonts w:hint="eastAsia" w:ascii="宋体" w:hAnsi="宋体" w:eastAsia="宋体" w:cs="宋体"/>
          <w:color w:val="auto"/>
        </w:rPr>
        <w:t>陕西省政府采购供应商拒绝政府采购领域商业贿赂承诺书</w:t>
      </w:r>
      <w:bookmarkEnd w:id="240"/>
    </w:p>
    <w:p>
      <w:pPr>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为响应党中央、国务院关于治理政府采购领域商业贿赂行为的号召，我公司在此庄严承诺：</w:t>
      </w:r>
    </w:p>
    <w:p>
      <w:pPr>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1、在参与政府采购活动中遵纪守法、诚信经营、公平竞标。</w:t>
      </w:r>
    </w:p>
    <w:p>
      <w:pPr>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2、不向政府采购人、采购代理机构和政府采购评审专家进行任何形式的商业贿赂以谋取交易机会。</w:t>
      </w:r>
    </w:p>
    <w:p>
      <w:pPr>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3、不向政府采购代理机构和采购人提供虚假资质文件或采用虚假应标方式参与政府采购市场竞争并谋取中标、成交。</w:t>
      </w:r>
    </w:p>
    <w:p>
      <w:pPr>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4、不采取“围标、陪标”等商业欺诈手段获得政府采购定单。</w:t>
      </w:r>
    </w:p>
    <w:p>
      <w:pPr>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5、不采取不正当手段诋毁、排挤其他供应商。</w:t>
      </w:r>
    </w:p>
    <w:p>
      <w:pPr>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6、不在提供商品和服务时“偷梁换柱、以次充好”损害采购人的合法权益。</w:t>
      </w:r>
    </w:p>
    <w:p>
      <w:pPr>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7、不与采购人、采购代理机构政府采购评审专家或其它供应商恶意串通，进行质疑和投诉，维护政府采购市场秩序。</w:t>
      </w:r>
    </w:p>
    <w:p>
      <w:pPr>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8、尊重和接受政府采购监督管理部门的监督和政府采购代理机构采购要求，承担因违约行为给采购人造成的损失。</w:t>
      </w:r>
    </w:p>
    <w:p>
      <w:pPr>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9、不发生其他有悖于政府采购公开、公平、公正和诚信原则的行为。</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承诺单位（盖章）：</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法定代表人（负责人）或被授权人签字/盖章：</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电  话：   </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pPr>
        <w:pStyle w:val="2"/>
        <w:spacing w:line="360" w:lineRule="auto"/>
        <w:ind w:firstLine="480" w:firstLineChars="200"/>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3"/>
        <w:spacing w:line="360" w:lineRule="auto"/>
        <w:jc w:val="center"/>
        <w:rPr>
          <w:rFonts w:hint="eastAsia" w:ascii="宋体" w:hAnsi="宋体" w:eastAsia="宋体" w:cs="宋体"/>
          <w:color w:val="auto"/>
          <w:sz w:val="36"/>
          <w:szCs w:val="36"/>
        </w:rPr>
        <w:sectPr>
          <w:footnotePr>
            <w:pos w:val="beneathText"/>
          </w:footnotePr>
          <w:pgSz w:w="11906" w:h="16838"/>
          <w:pgMar w:top="1440" w:right="1423" w:bottom="1219" w:left="1644" w:header="720" w:footer="720" w:gutter="0"/>
          <w:cols w:space="0" w:num="1"/>
          <w:docGrid w:linePitch="312" w:charSpace="0"/>
        </w:sectPr>
      </w:pPr>
    </w:p>
    <w:p>
      <w:pPr>
        <w:pStyle w:val="3"/>
        <w:spacing w:line="360" w:lineRule="auto"/>
        <w:jc w:val="center"/>
        <w:rPr>
          <w:rFonts w:hint="eastAsia" w:ascii="宋体" w:hAnsi="宋体" w:eastAsia="宋体" w:cs="宋体"/>
          <w:bCs/>
          <w:color w:val="auto"/>
          <w:kern w:val="0"/>
          <w:sz w:val="36"/>
          <w:szCs w:val="36"/>
        </w:rPr>
      </w:pPr>
      <w:bookmarkStart w:id="241" w:name="_Toc17188"/>
      <w:r>
        <w:rPr>
          <w:rFonts w:hint="eastAsia" w:ascii="宋体" w:hAnsi="宋体" w:eastAsia="宋体" w:cs="宋体"/>
          <w:bCs/>
          <w:color w:val="auto"/>
          <w:kern w:val="0"/>
          <w:sz w:val="36"/>
          <w:szCs w:val="36"/>
        </w:rPr>
        <w:t>第七部分 采购内容及要求</w:t>
      </w:r>
      <w:bookmarkEnd w:id="241"/>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一、项目用途和概述</w:t>
      </w:r>
    </w:p>
    <w:p>
      <w:pPr>
        <w:widowControl/>
        <w:spacing w:line="360" w:lineRule="auto"/>
        <w:ind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以提高基本农田质量等级和粮食生产保障能力为目标，树立农田建设“量质并重”和“用养结合”理念，通过引导农民实施秸秆还田，增补商品有机肥，提高土壤有机质含量，平衡土壤养分；采取物化补贴、定量供给等方式，鼓励和支持农民群众推广应用地力培肥技术，增强耕地保水保肥能力，提高农业综合生产能力，促进农业可持续发展。</w:t>
      </w:r>
    </w:p>
    <w:p>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二、采购品目：</w:t>
      </w:r>
      <w:r>
        <w:rPr>
          <w:rFonts w:hint="eastAsia" w:ascii="宋体" w:hAnsi="宋体" w:eastAsia="宋体" w:cs="宋体"/>
          <w:color w:val="auto"/>
          <w:sz w:val="24"/>
          <w:szCs w:val="24"/>
        </w:rPr>
        <w:t>物化补贴（有机肥）、秸秆还田机械装备、施肥建议卡。</w:t>
      </w:r>
    </w:p>
    <w:p>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三、采购数量：详见清单。</w:t>
      </w:r>
    </w:p>
    <w:p>
      <w:pPr>
        <w:spacing w:line="360" w:lineRule="auto"/>
        <w:rPr>
          <w:rFonts w:hint="eastAsia" w:ascii="宋体" w:hAnsi="宋体" w:eastAsia="宋体" w:cs="宋体"/>
          <w:color w:val="auto"/>
          <w:kern w:val="0"/>
          <w:sz w:val="24"/>
          <w:szCs w:val="24"/>
        </w:rPr>
      </w:pPr>
      <w:r>
        <w:rPr>
          <w:rFonts w:hint="eastAsia" w:ascii="宋体" w:hAnsi="宋体" w:eastAsia="宋体" w:cs="宋体"/>
          <w:b/>
          <w:bCs/>
          <w:color w:val="auto"/>
          <w:sz w:val="24"/>
          <w:szCs w:val="24"/>
        </w:rPr>
        <w:t>四、其他要求</w:t>
      </w:r>
    </w:p>
    <w:p>
      <w:pPr>
        <w:widowControl/>
        <w:spacing w:line="360" w:lineRule="auto"/>
        <w:ind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供货方将肥料送到采购方指定地点后，进行现场验收。所验货物（产品）指标、性能达不到采购方要求和合同承诺的，将视为货物（产品）验收不合格，供货方应无条件免费更换或退货。</w:t>
      </w:r>
    </w:p>
    <w:p>
      <w:pPr>
        <w:pStyle w:val="17"/>
        <w:rPr>
          <w:rFonts w:hint="eastAsia" w:ascii="宋体" w:hAnsi="宋体" w:eastAsia="宋体" w:cs="宋体"/>
          <w:bCs/>
          <w:color w:val="auto"/>
          <w:sz w:val="24"/>
          <w:szCs w:val="24"/>
        </w:rPr>
      </w:pPr>
      <w:r>
        <w:rPr>
          <w:rFonts w:hint="eastAsia" w:ascii="宋体" w:hAnsi="宋体" w:eastAsia="宋体" w:cs="宋体"/>
          <w:bCs/>
          <w:color w:val="auto"/>
          <w:sz w:val="24"/>
          <w:szCs w:val="24"/>
        </w:rPr>
        <w:t>五、采购清单</w:t>
      </w:r>
    </w:p>
    <w:p>
      <w:pPr>
        <w:rPr>
          <w:rFonts w:hint="eastAsia" w:ascii="宋体" w:hAnsi="宋体" w:eastAsia="宋体" w:cs="宋体"/>
          <w:color w:val="auto"/>
        </w:rPr>
      </w:pPr>
    </w:p>
    <w:p>
      <w:pPr>
        <w:pStyle w:val="17"/>
        <w:rPr>
          <w:rFonts w:hint="eastAsia" w:ascii="宋体" w:hAnsi="宋体" w:eastAsia="宋体" w:cs="宋体"/>
          <w:color w:val="auto"/>
        </w:rPr>
      </w:pPr>
    </w:p>
    <w:p>
      <w:pPr>
        <w:rPr>
          <w:rFonts w:hint="eastAsia" w:ascii="宋体" w:hAnsi="宋体" w:eastAsia="宋体" w:cs="宋体"/>
          <w:color w:val="auto"/>
        </w:rPr>
      </w:pPr>
    </w:p>
    <w:p>
      <w:pPr>
        <w:pStyle w:val="17"/>
        <w:rPr>
          <w:rFonts w:hint="eastAsia" w:ascii="宋体" w:hAnsi="宋体" w:eastAsia="宋体" w:cs="宋体"/>
          <w:color w:val="auto"/>
        </w:rPr>
      </w:pPr>
    </w:p>
    <w:p>
      <w:pPr>
        <w:rPr>
          <w:rFonts w:hint="eastAsia" w:ascii="宋体" w:hAnsi="宋体" w:eastAsia="宋体" w:cs="宋体"/>
          <w:color w:val="auto"/>
        </w:rPr>
        <w:sectPr>
          <w:footnotePr>
            <w:pos w:val="beneathText"/>
          </w:footnotePr>
          <w:pgSz w:w="11906" w:h="16838"/>
          <w:pgMar w:top="1440" w:right="1423" w:bottom="1219" w:left="1644" w:header="720" w:footer="720" w:gutter="0"/>
          <w:cols w:space="0" w:num="1"/>
          <w:docGrid w:linePitch="312" w:charSpace="0"/>
        </w:sectPr>
      </w:pPr>
    </w:p>
    <w:p>
      <w:pPr>
        <w:autoSpaceDN w:val="0"/>
        <w:spacing w:line="600" w:lineRule="exact"/>
        <w:jc w:val="center"/>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镇安县2021年度高标准农田建设项目地力培肥采购清单</w:t>
      </w:r>
    </w:p>
    <w:p>
      <w:pPr>
        <w:rPr>
          <w:rFonts w:hint="eastAsia" w:ascii="宋体" w:hAnsi="宋体" w:eastAsia="宋体" w:cs="宋体"/>
          <w:color w:val="auto"/>
        </w:rPr>
      </w:pPr>
    </w:p>
    <w:tbl>
      <w:tblPr>
        <w:tblStyle w:val="39"/>
        <w:tblW w:w="14918" w:type="dxa"/>
        <w:tblInd w:w="91" w:type="dxa"/>
        <w:tblLayout w:type="fixed"/>
        <w:tblCellMar>
          <w:top w:w="0" w:type="dxa"/>
          <w:left w:w="108" w:type="dxa"/>
          <w:bottom w:w="0" w:type="dxa"/>
          <w:right w:w="108" w:type="dxa"/>
        </w:tblCellMar>
      </w:tblPr>
      <w:tblGrid>
        <w:gridCol w:w="1951"/>
        <w:gridCol w:w="2094"/>
        <w:gridCol w:w="1441"/>
        <w:gridCol w:w="2647"/>
        <w:gridCol w:w="2470"/>
        <w:gridCol w:w="2352"/>
        <w:gridCol w:w="1963"/>
      </w:tblGrid>
      <w:tr>
        <w:tblPrEx>
          <w:tblCellMar>
            <w:top w:w="0" w:type="dxa"/>
            <w:left w:w="108" w:type="dxa"/>
            <w:bottom w:w="0" w:type="dxa"/>
            <w:right w:w="108" w:type="dxa"/>
          </w:tblCellMar>
        </w:tblPrEx>
        <w:trPr>
          <w:trHeight w:val="431" w:hRule="atLeast"/>
          <w:tblHeader/>
        </w:trPr>
        <w:tc>
          <w:tcPr>
            <w:tcW w:w="1951" w:type="dxa"/>
            <w:vMerge w:val="restart"/>
            <w:tcBorders>
              <w:top w:val="single" w:color="000000" w:sz="4" w:space="0"/>
              <w:left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镇（办）</w:t>
            </w:r>
          </w:p>
        </w:tc>
        <w:tc>
          <w:tcPr>
            <w:tcW w:w="2094" w:type="dxa"/>
            <w:vMerge w:val="restart"/>
            <w:tcBorders>
              <w:top w:val="single" w:color="000000" w:sz="4" w:space="0"/>
              <w:left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项目村</w:t>
            </w:r>
          </w:p>
        </w:tc>
        <w:tc>
          <w:tcPr>
            <w:tcW w:w="1441" w:type="dxa"/>
            <w:vMerge w:val="restart"/>
            <w:tcBorders>
              <w:top w:val="single" w:color="000000" w:sz="4" w:space="0"/>
              <w:left w:val="single" w:color="000000" w:sz="4" w:space="0"/>
              <w:right w:val="single" w:color="000000" w:sz="4" w:space="0"/>
            </w:tcBorders>
            <w:shd w:val="clear" w:color="auto" w:fill="FFFFFF"/>
            <w:noWrap/>
            <w:vAlign w:val="center"/>
          </w:tcPr>
          <w:p>
            <w:pPr>
              <w:widowControl/>
              <w:tabs>
                <w:tab w:val="left" w:pos="5270"/>
              </w:tabs>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采购内容 </w:t>
            </w:r>
          </w:p>
        </w:tc>
        <w:tc>
          <w:tcPr>
            <w:tcW w:w="943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abs>
                <w:tab w:val="left" w:pos="5270"/>
              </w:tabs>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技术参数</w:t>
            </w:r>
          </w:p>
        </w:tc>
      </w:tr>
      <w:tr>
        <w:tblPrEx>
          <w:tblCellMar>
            <w:top w:w="0" w:type="dxa"/>
            <w:left w:w="108" w:type="dxa"/>
            <w:bottom w:w="0" w:type="dxa"/>
            <w:right w:w="108" w:type="dxa"/>
          </w:tblCellMar>
        </w:tblPrEx>
        <w:trPr>
          <w:trHeight w:val="431" w:hRule="atLeast"/>
          <w:tblHeader/>
        </w:trPr>
        <w:tc>
          <w:tcPr>
            <w:tcW w:w="1951" w:type="dxa"/>
            <w:vMerge w:val="continue"/>
            <w:tcBorders>
              <w:left w:val="single" w:color="000000" w:sz="4" w:space="0"/>
              <w:bottom w:val="single" w:color="auto"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p>
        </w:tc>
        <w:tc>
          <w:tcPr>
            <w:tcW w:w="2094" w:type="dxa"/>
            <w:vMerge w:val="continue"/>
            <w:tcBorders>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p>
        </w:tc>
        <w:tc>
          <w:tcPr>
            <w:tcW w:w="1441" w:type="dxa"/>
            <w:vMerge w:val="continue"/>
            <w:tcBorders>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kern w:val="0"/>
                <w:sz w:val="24"/>
              </w:rPr>
            </w:pPr>
          </w:p>
        </w:tc>
        <w:tc>
          <w:tcPr>
            <w:tcW w:w="26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highlight w:val="none"/>
              </w:rPr>
              <w:t>参数规格</w:t>
            </w:r>
          </w:p>
        </w:tc>
        <w:tc>
          <w:tcPr>
            <w:tcW w:w="2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培肥面积（亩）</w:t>
            </w:r>
          </w:p>
        </w:tc>
        <w:tc>
          <w:tcPr>
            <w:tcW w:w="23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有机肥量（t）</w:t>
            </w:r>
          </w:p>
        </w:tc>
        <w:tc>
          <w:tcPr>
            <w:tcW w:w="1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备注</w:t>
            </w:r>
          </w:p>
        </w:tc>
      </w:tr>
      <w:tr>
        <w:tblPrEx>
          <w:tblCellMar>
            <w:top w:w="0" w:type="dxa"/>
            <w:left w:w="108" w:type="dxa"/>
            <w:bottom w:w="0" w:type="dxa"/>
            <w:right w:w="108" w:type="dxa"/>
          </w:tblCellMar>
        </w:tblPrEx>
        <w:trPr>
          <w:trHeight w:val="702" w:hRule="atLeast"/>
        </w:trPr>
        <w:tc>
          <w:tcPr>
            <w:tcW w:w="1951"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永</w:t>
            </w:r>
          </w:p>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乐</w:t>
            </w:r>
          </w:p>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街</w:t>
            </w:r>
          </w:p>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道</w:t>
            </w:r>
          </w:p>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办</w:t>
            </w:r>
          </w:p>
        </w:tc>
        <w:tc>
          <w:tcPr>
            <w:tcW w:w="2094"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庙坡村</w:t>
            </w:r>
          </w:p>
        </w:tc>
        <w:tc>
          <w:tcPr>
            <w:tcW w:w="1441"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物化补贴（有机肥)</w:t>
            </w:r>
          </w:p>
        </w:tc>
        <w:tc>
          <w:tcPr>
            <w:tcW w:w="2647" w:type="dxa"/>
            <w:vMerge w:val="restart"/>
            <w:tcBorders>
              <w:top w:val="single" w:color="000000" w:sz="4" w:space="0"/>
              <w:left w:val="single" w:color="000000" w:sz="4" w:space="0"/>
              <w:right w:val="single" w:color="000000" w:sz="4" w:space="0"/>
            </w:tcBorders>
            <w:shd w:val="clear" w:color="auto" w:fill="auto"/>
            <w:noWrap/>
            <w:vAlign w:val="center"/>
          </w:tcPr>
          <w:p>
            <w:pPr>
              <w:widowControl/>
              <w:numPr>
                <w:ilvl w:val="0"/>
                <w:numId w:val="7"/>
              </w:numPr>
              <w:spacing w:line="28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有机质≥40%</w:t>
            </w:r>
            <w:r>
              <w:rPr>
                <w:rFonts w:hint="eastAsia" w:ascii="宋体" w:hAnsi="宋体" w:eastAsia="宋体" w:cs="宋体"/>
                <w:color w:val="auto"/>
                <w:sz w:val="24"/>
                <w:szCs w:val="24"/>
                <w:lang w:eastAsia="zh-CN"/>
              </w:rPr>
              <w:t>。</w:t>
            </w:r>
          </w:p>
          <w:p>
            <w:pPr>
              <w:pStyle w:val="17"/>
              <w:rPr>
                <w:rFonts w:hint="eastAsia" w:ascii="宋体" w:hAnsi="宋体" w:eastAsia="宋体" w:cs="宋体"/>
                <w:color w:val="auto"/>
                <w:sz w:val="24"/>
                <w:szCs w:val="24"/>
              </w:rPr>
            </w:pPr>
            <w:r>
              <w:rPr>
                <w:rFonts w:hint="eastAsia" w:ascii="宋体" w:hAnsi="宋体" w:eastAsia="宋体" w:cs="宋体"/>
                <w:b w:val="0"/>
                <w:color w:val="auto"/>
                <w:kern w:val="2"/>
                <w:sz w:val="24"/>
                <w:szCs w:val="24"/>
                <w:lang w:val="en-US" w:eastAsia="zh-CN" w:bidi="ar-SA"/>
              </w:rPr>
              <w:t>2、运送至采购人指定地点。</w:t>
            </w:r>
          </w:p>
          <w:p>
            <w:pPr>
              <w:pStyle w:val="17"/>
              <w:numPr>
                <w:ilvl w:val="0"/>
                <w:numId w:val="0"/>
              </w:numPr>
              <w:rPr>
                <w:rFonts w:hint="eastAsia" w:ascii="宋体" w:hAnsi="宋体" w:eastAsia="宋体" w:cs="宋体"/>
                <w:color w:val="auto"/>
                <w:sz w:val="24"/>
                <w:szCs w:val="24"/>
                <w:lang w:val="en-US" w:eastAsia="zh-CN"/>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636.00</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60.25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r>
              <w:rPr>
                <w:rFonts w:hint="eastAsia" w:ascii="宋体" w:hAnsi="宋体" w:eastAsia="宋体" w:cs="宋体"/>
                <w:color w:val="auto"/>
                <w:sz w:val="24"/>
              </w:rPr>
              <w:t>（大豆油料示范点加补30吨）</w:t>
            </w:r>
          </w:p>
        </w:tc>
      </w:tr>
      <w:tr>
        <w:tblPrEx>
          <w:tblCellMar>
            <w:top w:w="0" w:type="dxa"/>
            <w:left w:w="108" w:type="dxa"/>
            <w:bottom w:w="0" w:type="dxa"/>
            <w:right w:w="108" w:type="dxa"/>
          </w:tblCellMar>
        </w:tblPrEx>
        <w:trPr>
          <w:trHeight w:val="396" w:hRule="atLeast"/>
        </w:trPr>
        <w:tc>
          <w:tcPr>
            <w:tcW w:w="1951" w:type="dxa"/>
            <w:vMerge w:val="continue"/>
            <w:tcBorders>
              <w:left w:val="single" w:color="auto" w:sz="4" w:space="0"/>
              <w:right w:val="single" w:color="auto"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094"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金花村</w:t>
            </w:r>
          </w:p>
        </w:tc>
        <w:tc>
          <w:tcPr>
            <w:tcW w:w="144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647"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1029.00</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54.00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396" w:hRule="atLeast"/>
        </w:trPr>
        <w:tc>
          <w:tcPr>
            <w:tcW w:w="1951" w:type="dxa"/>
            <w:vMerge w:val="continue"/>
            <w:tcBorders>
              <w:left w:val="single" w:color="auto" w:sz="4" w:space="0"/>
              <w:right w:val="single" w:color="auto"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094"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王家坪社区</w:t>
            </w:r>
          </w:p>
        </w:tc>
        <w:tc>
          <w:tcPr>
            <w:tcW w:w="144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647"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1013.00</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51.31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396" w:hRule="atLeast"/>
        </w:trPr>
        <w:tc>
          <w:tcPr>
            <w:tcW w:w="1951" w:type="dxa"/>
            <w:vMerge w:val="continue"/>
            <w:tcBorders>
              <w:left w:val="single" w:color="auto" w:sz="4" w:space="0"/>
              <w:right w:val="single" w:color="auto"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094"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安山村</w:t>
            </w:r>
          </w:p>
        </w:tc>
        <w:tc>
          <w:tcPr>
            <w:tcW w:w="144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647"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749.00</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30.5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396" w:hRule="atLeast"/>
        </w:trPr>
        <w:tc>
          <w:tcPr>
            <w:tcW w:w="1951"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094"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山海村</w:t>
            </w:r>
          </w:p>
        </w:tc>
        <w:tc>
          <w:tcPr>
            <w:tcW w:w="144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647"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1222.00</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56.60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396" w:hRule="atLeast"/>
        </w:trPr>
        <w:tc>
          <w:tcPr>
            <w:tcW w:w="4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小  计</w:t>
            </w:r>
          </w:p>
        </w:tc>
        <w:tc>
          <w:tcPr>
            <w:tcW w:w="144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p>
        </w:tc>
        <w:tc>
          <w:tcPr>
            <w:tcW w:w="2647"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sz w:val="24"/>
              </w:rPr>
              <w:t>4649.00</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252.66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b/>
                <w:bCs/>
                <w:color w:val="auto"/>
                <w:sz w:val="24"/>
              </w:rPr>
            </w:pPr>
          </w:p>
        </w:tc>
      </w:tr>
      <w:tr>
        <w:tblPrEx>
          <w:tblCellMar>
            <w:top w:w="0" w:type="dxa"/>
            <w:left w:w="108" w:type="dxa"/>
            <w:bottom w:w="0" w:type="dxa"/>
            <w:right w:w="108" w:type="dxa"/>
          </w:tblCellMar>
        </w:tblPrEx>
        <w:trPr>
          <w:trHeight w:val="396" w:hRule="atLeast"/>
        </w:trPr>
        <w:tc>
          <w:tcPr>
            <w:tcW w:w="1951"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西</w:t>
            </w:r>
          </w:p>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口</w:t>
            </w:r>
          </w:p>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回</w:t>
            </w:r>
          </w:p>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族</w:t>
            </w:r>
          </w:p>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镇</w:t>
            </w:r>
          </w:p>
          <w:p>
            <w:pPr>
              <w:widowControl/>
              <w:spacing w:line="280" w:lineRule="exact"/>
              <w:jc w:val="center"/>
              <w:textAlignment w:val="center"/>
              <w:rPr>
                <w:rFonts w:hint="eastAsia" w:ascii="宋体" w:hAnsi="宋体" w:eastAsia="宋体" w:cs="宋体"/>
                <w:color w:val="auto"/>
                <w:sz w:val="24"/>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东庄村</w:t>
            </w:r>
          </w:p>
        </w:tc>
        <w:tc>
          <w:tcPr>
            <w:tcW w:w="144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647"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928.00</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41.84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396" w:hRule="atLeast"/>
        </w:trPr>
        <w:tc>
          <w:tcPr>
            <w:tcW w:w="195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石门村</w:t>
            </w:r>
          </w:p>
        </w:tc>
        <w:tc>
          <w:tcPr>
            <w:tcW w:w="144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647"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679.00</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33.27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396" w:hRule="atLeast"/>
        </w:trPr>
        <w:tc>
          <w:tcPr>
            <w:tcW w:w="195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宝石村</w:t>
            </w:r>
          </w:p>
        </w:tc>
        <w:tc>
          <w:tcPr>
            <w:tcW w:w="144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647"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458.00</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24.1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396" w:hRule="atLeast"/>
        </w:trPr>
        <w:tc>
          <w:tcPr>
            <w:tcW w:w="195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青树村</w:t>
            </w:r>
          </w:p>
        </w:tc>
        <w:tc>
          <w:tcPr>
            <w:tcW w:w="144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647"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514.00</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23.93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658" w:hRule="atLeast"/>
        </w:trPr>
        <w:tc>
          <w:tcPr>
            <w:tcW w:w="1951"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岭沟村</w:t>
            </w:r>
          </w:p>
        </w:tc>
        <w:tc>
          <w:tcPr>
            <w:tcW w:w="144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647"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684.00</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31.52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396" w:hRule="atLeast"/>
        </w:trPr>
        <w:tc>
          <w:tcPr>
            <w:tcW w:w="4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 xml:space="preserve">小  </w:t>
            </w:r>
            <w:r>
              <w:rPr>
                <w:rFonts w:hint="eastAsia" w:ascii="宋体" w:hAnsi="宋体" w:eastAsia="宋体" w:cs="宋体"/>
                <w:b/>
                <w:bCs/>
                <w:color w:val="auto"/>
                <w:sz w:val="24"/>
                <w:szCs w:val="24"/>
              </w:rPr>
              <w:t>计</w:t>
            </w:r>
          </w:p>
        </w:tc>
        <w:tc>
          <w:tcPr>
            <w:tcW w:w="144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p>
        </w:tc>
        <w:tc>
          <w:tcPr>
            <w:tcW w:w="2647"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sz w:val="24"/>
              </w:rPr>
              <w:t>3263.00</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154.66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b/>
                <w:bCs/>
                <w:color w:val="auto"/>
                <w:sz w:val="24"/>
              </w:rPr>
            </w:pPr>
          </w:p>
        </w:tc>
      </w:tr>
      <w:tr>
        <w:tblPrEx>
          <w:tblCellMar>
            <w:top w:w="0" w:type="dxa"/>
            <w:left w:w="108" w:type="dxa"/>
            <w:bottom w:w="0" w:type="dxa"/>
            <w:right w:w="108" w:type="dxa"/>
          </w:tblCellMar>
        </w:tblPrEx>
        <w:trPr>
          <w:trHeight w:val="396" w:hRule="atLeast"/>
        </w:trPr>
        <w:tc>
          <w:tcPr>
            <w:tcW w:w="1951" w:type="dxa"/>
            <w:vMerge w:val="restart"/>
            <w:tcBorders>
              <w:top w:val="single" w:color="000000" w:sz="4" w:space="0"/>
              <w:left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青</w:t>
            </w:r>
          </w:p>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铜</w:t>
            </w:r>
          </w:p>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关</w:t>
            </w:r>
          </w:p>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镇</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旬河村</w:t>
            </w:r>
          </w:p>
        </w:tc>
        <w:tc>
          <w:tcPr>
            <w:tcW w:w="144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647"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576.00</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27.75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396" w:hRule="atLeast"/>
        </w:trPr>
        <w:tc>
          <w:tcPr>
            <w:tcW w:w="1951" w:type="dxa"/>
            <w:vMerge w:val="continue"/>
            <w:tcBorders>
              <w:left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宋体" w:hAnsi="宋体" w:eastAsia="宋体" w:cs="宋体"/>
                <w:color w:val="auto"/>
                <w:kern w:val="0"/>
                <w:sz w:val="24"/>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乡中村</w:t>
            </w:r>
          </w:p>
        </w:tc>
        <w:tc>
          <w:tcPr>
            <w:tcW w:w="144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647"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1023.00</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54.71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396" w:hRule="atLeast"/>
        </w:trPr>
        <w:tc>
          <w:tcPr>
            <w:tcW w:w="1951" w:type="dxa"/>
            <w:vMerge w:val="continue"/>
            <w:tcBorders>
              <w:left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宋体" w:hAnsi="宋体" w:eastAsia="宋体" w:cs="宋体"/>
                <w:color w:val="auto"/>
                <w:kern w:val="0"/>
                <w:sz w:val="24"/>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东坪村</w:t>
            </w:r>
          </w:p>
        </w:tc>
        <w:tc>
          <w:tcPr>
            <w:tcW w:w="144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647"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378.00</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22.05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396" w:hRule="atLeast"/>
        </w:trPr>
        <w:tc>
          <w:tcPr>
            <w:tcW w:w="1951" w:type="dxa"/>
            <w:vMerge w:val="continue"/>
            <w:tcBorders>
              <w:left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宋体" w:hAnsi="宋体" w:eastAsia="宋体" w:cs="宋体"/>
                <w:color w:val="auto"/>
                <w:kern w:val="0"/>
                <w:sz w:val="24"/>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前湾村</w:t>
            </w:r>
          </w:p>
        </w:tc>
        <w:tc>
          <w:tcPr>
            <w:tcW w:w="144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647"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916.00</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39.20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396" w:hRule="atLeast"/>
        </w:trPr>
        <w:tc>
          <w:tcPr>
            <w:tcW w:w="1951"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宋体" w:hAnsi="宋体" w:eastAsia="宋体" w:cs="宋体"/>
                <w:color w:val="auto"/>
                <w:kern w:val="0"/>
                <w:sz w:val="24"/>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兴隆村</w:t>
            </w:r>
          </w:p>
        </w:tc>
        <w:tc>
          <w:tcPr>
            <w:tcW w:w="144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647"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614.00</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31.97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396" w:hRule="atLeast"/>
        </w:trPr>
        <w:tc>
          <w:tcPr>
            <w:tcW w:w="4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小  计</w:t>
            </w:r>
          </w:p>
        </w:tc>
        <w:tc>
          <w:tcPr>
            <w:tcW w:w="144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p>
        </w:tc>
        <w:tc>
          <w:tcPr>
            <w:tcW w:w="2647"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sz w:val="24"/>
              </w:rPr>
              <w:t>3507.00</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175.68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b/>
                <w:bCs/>
                <w:color w:val="auto"/>
                <w:sz w:val="24"/>
              </w:rPr>
            </w:pPr>
          </w:p>
        </w:tc>
      </w:tr>
      <w:tr>
        <w:tblPrEx>
          <w:tblCellMar>
            <w:top w:w="0" w:type="dxa"/>
            <w:left w:w="108" w:type="dxa"/>
            <w:bottom w:w="0" w:type="dxa"/>
            <w:right w:w="108" w:type="dxa"/>
          </w:tblCellMar>
        </w:tblPrEx>
        <w:trPr>
          <w:trHeight w:val="431" w:hRule="atLeast"/>
        </w:trPr>
        <w:tc>
          <w:tcPr>
            <w:tcW w:w="195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高</w:t>
            </w:r>
          </w:p>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峰</w:t>
            </w:r>
          </w:p>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镇</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两河村</w:t>
            </w:r>
          </w:p>
        </w:tc>
        <w:tc>
          <w:tcPr>
            <w:tcW w:w="1441"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647"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579.00</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30.71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31" w:hRule="atLeast"/>
        </w:trPr>
        <w:tc>
          <w:tcPr>
            <w:tcW w:w="195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4"/>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升坪村</w:t>
            </w:r>
          </w:p>
        </w:tc>
        <w:tc>
          <w:tcPr>
            <w:tcW w:w="1441"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647"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498.00</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30.86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31" w:hRule="atLeast"/>
        </w:trPr>
        <w:tc>
          <w:tcPr>
            <w:tcW w:w="195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4"/>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农科村</w:t>
            </w:r>
          </w:p>
        </w:tc>
        <w:tc>
          <w:tcPr>
            <w:tcW w:w="1441"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647"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729.00</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38.29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31" w:hRule="atLeast"/>
        </w:trPr>
        <w:tc>
          <w:tcPr>
            <w:tcW w:w="195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4"/>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长坡村</w:t>
            </w:r>
          </w:p>
        </w:tc>
        <w:tc>
          <w:tcPr>
            <w:tcW w:w="1441"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647"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828.00</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43.14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31" w:hRule="atLeast"/>
        </w:trPr>
        <w:tc>
          <w:tcPr>
            <w:tcW w:w="195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4"/>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永丰村</w:t>
            </w:r>
          </w:p>
        </w:tc>
        <w:tc>
          <w:tcPr>
            <w:tcW w:w="1441"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647"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596.00</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rPr>
              <w:t>31.0</w:t>
            </w:r>
            <w:r>
              <w:rPr>
                <w:rFonts w:hint="eastAsia" w:ascii="宋体" w:hAnsi="宋体" w:eastAsia="宋体" w:cs="宋体"/>
                <w:color w:val="auto"/>
                <w:kern w:val="0"/>
                <w:sz w:val="24"/>
                <w:lang w:val="en-US" w:eastAsia="zh-CN"/>
              </w:rPr>
              <w:t>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31" w:hRule="atLeast"/>
        </w:trPr>
        <w:tc>
          <w:tcPr>
            <w:tcW w:w="4045"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 xml:space="preserve">小  </w:t>
            </w:r>
            <w:r>
              <w:rPr>
                <w:rFonts w:hint="eastAsia" w:ascii="宋体" w:hAnsi="宋体" w:eastAsia="宋体" w:cs="宋体"/>
                <w:b/>
                <w:bCs/>
                <w:color w:val="auto"/>
                <w:sz w:val="24"/>
                <w:szCs w:val="24"/>
              </w:rPr>
              <w:t>计</w:t>
            </w:r>
          </w:p>
        </w:tc>
        <w:tc>
          <w:tcPr>
            <w:tcW w:w="1441"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p>
        </w:tc>
        <w:tc>
          <w:tcPr>
            <w:tcW w:w="2647"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sz w:val="24"/>
              </w:rPr>
              <w:t>3230.00</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241" w:firstLineChars="100"/>
              <w:jc w:val="center"/>
              <w:textAlignment w:val="center"/>
              <w:rPr>
                <w:rFonts w:hint="eastAsia" w:ascii="宋体" w:hAnsi="宋体" w:eastAsia="宋体" w:cs="宋体"/>
                <w:b/>
                <w:bCs/>
                <w:color w:val="auto"/>
                <w:kern w:val="0"/>
                <w:sz w:val="24"/>
                <w:lang w:eastAsia="zh-CN"/>
              </w:rPr>
            </w:pPr>
            <w:r>
              <w:rPr>
                <w:rFonts w:hint="eastAsia" w:ascii="宋体" w:hAnsi="宋体" w:eastAsia="宋体" w:cs="宋体"/>
                <w:b/>
                <w:bCs/>
                <w:color w:val="auto"/>
                <w:kern w:val="0"/>
                <w:sz w:val="24"/>
              </w:rPr>
              <w:t>174.0</w:t>
            </w:r>
            <w:r>
              <w:rPr>
                <w:rFonts w:hint="eastAsia" w:ascii="宋体" w:hAnsi="宋体" w:eastAsia="宋体" w:cs="宋体"/>
                <w:b/>
                <w:bCs/>
                <w:color w:val="auto"/>
                <w:kern w:val="0"/>
                <w:sz w:val="24"/>
                <w:lang w:val="en-US" w:eastAsia="zh-CN"/>
              </w:rPr>
              <w:t>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auto"/>
                <w:sz w:val="24"/>
              </w:rPr>
            </w:pPr>
          </w:p>
        </w:tc>
      </w:tr>
      <w:tr>
        <w:tblPrEx>
          <w:tblCellMar>
            <w:top w:w="0" w:type="dxa"/>
            <w:left w:w="108" w:type="dxa"/>
            <w:bottom w:w="0" w:type="dxa"/>
            <w:right w:w="108" w:type="dxa"/>
          </w:tblCellMar>
        </w:tblPrEx>
        <w:trPr>
          <w:trHeight w:val="431" w:hRule="atLeast"/>
        </w:trPr>
        <w:tc>
          <w:tcPr>
            <w:tcW w:w="1951"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米粮镇</w:t>
            </w:r>
          </w:p>
        </w:tc>
        <w:tc>
          <w:tcPr>
            <w:tcW w:w="2094" w:type="dxa"/>
            <w:tcBorders>
              <w:top w:val="single" w:color="000000" w:sz="4" w:space="0"/>
              <w:left w:val="single" w:color="auto"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树坪村</w:t>
            </w:r>
          </w:p>
        </w:tc>
        <w:tc>
          <w:tcPr>
            <w:tcW w:w="1441"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647"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351.00</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240" w:firstLineChars="100"/>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20.00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91" w:hRule="atLeast"/>
        </w:trPr>
        <w:tc>
          <w:tcPr>
            <w:tcW w:w="4045" w:type="dxa"/>
            <w:gridSpan w:val="2"/>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小计</w:t>
            </w:r>
          </w:p>
        </w:tc>
        <w:tc>
          <w:tcPr>
            <w:tcW w:w="1441"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p>
        </w:tc>
        <w:tc>
          <w:tcPr>
            <w:tcW w:w="2647"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sz w:val="24"/>
              </w:rPr>
              <w:t>351.00</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241" w:firstLineChars="100"/>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20.00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20" w:hRule="atLeast"/>
        </w:trPr>
        <w:tc>
          <w:tcPr>
            <w:tcW w:w="4045" w:type="dxa"/>
            <w:gridSpan w:val="2"/>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总计</w:t>
            </w:r>
          </w:p>
        </w:tc>
        <w:tc>
          <w:tcPr>
            <w:tcW w:w="1441" w:type="dxa"/>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p>
        </w:tc>
        <w:tc>
          <w:tcPr>
            <w:tcW w:w="2647" w:type="dxa"/>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15000.00</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241" w:firstLineChars="100"/>
              <w:jc w:val="center"/>
              <w:textAlignment w:val="center"/>
              <w:rPr>
                <w:rFonts w:hint="eastAsia" w:ascii="宋体" w:hAnsi="宋体" w:eastAsia="宋体" w:cs="宋体"/>
                <w:b/>
                <w:bCs/>
                <w:color w:val="auto"/>
                <w:kern w:val="0"/>
                <w:sz w:val="24"/>
                <w:lang w:eastAsia="zh-CN"/>
              </w:rPr>
            </w:pPr>
            <w:r>
              <w:rPr>
                <w:rFonts w:hint="eastAsia" w:ascii="宋体" w:hAnsi="宋体" w:eastAsia="宋体" w:cs="宋体"/>
                <w:b/>
                <w:bCs/>
                <w:color w:val="auto"/>
                <w:kern w:val="0"/>
                <w:sz w:val="24"/>
              </w:rPr>
              <w:t>777.0</w:t>
            </w:r>
            <w:r>
              <w:rPr>
                <w:rFonts w:hint="eastAsia" w:ascii="宋体" w:hAnsi="宋体" w:eastAsia="宋体" w:cs="宋体"/>
                <w:b/>
                <w:bCs/>
                <w:color w:val="auto"/>
                <w:kern w:val="0"/>
                <w:sz w:val="24"/>
                <w:lang w:val="en-US" w:eastAsia="zh-CN"/>
              </w:rPr>
              <w:t>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bl>
    <w:tbl>
      <w:tblPr>
        <w:tblStyle w:val="40"/>
        <w:tblpPr w:leftFromText="180" w:rightFromText="180" w:vertAnchor="text" w:tblpX="15585" w:tblpY="-5606"/>
        <w:tblOverlap w:val="never"/>
        <w:tblW w:w="1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657" w:type="dxa"/>
          </w:tcPr>
          <w:p>
            <w:pPr>
              <w:spacing w:line="180" w:lineRule="exact"/>
              <w:rPr>
                <w:rFonts w:hint="eastAsia" w:ascii="宋体" w:hAnsi="宋体" w:eastAsia="宋体" w:cs="宋体"/>
                <w:color w:val="auto"/>
                <w:sz w:val="32"/>
                <w:szCs w:val="32"/>
              </w:rPr>
            </w:pPr>
          </w:p>
        </w:tc>
      </w:tr>
    </w:tbl>
    <w:tbl>
      <w:tblPr>
        <w:tblStyle w:val="40"/>
        <w:tblpPr w:leftFromText="180" w:rightFromText="180" w:vertAnchor="text" w:tblpX="15585" w:tblpY="-5306"/>
        <w:tblOverlap w:val="never"/>
        <w:tblW w:w="30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007" w:type="dxa"/>
          </w:tcPr>
          <w:p>
            <w:pPr>
              <w:spacing w:line="180" w:lineRule="exact"/>
              <w:rPr>
                <w:rFonts w:hint="eastAsia" w:ascii="宋体" w:hAnsi="宋体" w:eastAsia="宋体" w:cs="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007" w:type="dxa"/>
          </w:tcPr>
          <w:p>
            <w:pPr>
              <w:spacing w:line="180" w:lineRule="exact"/>
              <w:rPr>
                <w:rFonts w:hint="eastAsia" w:ascii="宋体" w:hAnsi="宋体" w:eastAsia="宋体" w:cs="宋体"/>
                <w:color w:val="auto"/>
                <w:sz w:val="32"/>
                <w:szCs w:val="32"/>
              </w:rPr>
            </w:pPr>
          </w:p>
        </w:tc>
      </w:tr>
    </w:tbl>
    <w:p>
      <w:pPr>
        <w:spacing w:line="180" w:lineRule="exact"/>
        <w:rPr>
          <w:rFonts w:hint="eastAsia" w:ascii="宋体" w:hAnsi="宋体" w:eastAsia="宋体" w:cs="宋体"/>
          <w:color w:val="auto"/>
          <w:sz w:val="32"/>
          <w:szCs w:val="32"/>
        </w:rPr>
      </w:pPr>
    </w:p>
    <w:p>
      <w:pPr>
        <w:rPr>
          <w:rFonts w:hint="eastAsia" w:ascii="宋体" w:hAnsi="宋体" w:eastAsia="宋体" w:cs="宋体"/>
          <w:color w:val="auto"/>
        </w:rPr>
      </w:pPr>
      <w:r>
        <w:rPr>
          <w:rFonts w:hint="eastAsia" w:ascii="宋体" w:hAnsi="宋体" w:eastAsia="宋体" w:cs="宋体"/>
          <w:color w:val="auto"/>
        </w:rPr>
        <w:br w:type="page"/>
      </w:r>
    </w:p>
    <w:p>
      <w:pPr>
        <w:autoSpaceDN w:val="0"/>
        <w:spacing w:line="600" w:lineRule="exact"/>
        <w:jc w:val="center"/>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镇安县2021年度高标准农田建设项目施肥建议卡采购清单</w:t>
      </w:r>
    </w:p>
    <w:p>
      <w:pPr>
        <w:rPr>
          <w:rFonts w:hint="eastAsia" w:ascii="宋体" w:hAnsi="宋体" w:eastAsia="宋体" w:cs="宋体"/>
          <w:color w:val="auto"/>
        </w:rPr>
      </w:pPr>
    </w:p>
    <w:tbl>
      <w:tblPr>
        <w:tblStyle w:val="39"/>
        <w:tblW w:w="14958" w:type="dxa"/>
        <w:tblInd w:w="91" w:type="dxa"/>
        <w:tblLayout w:type="fixed"/>
        <w:tblCellMar>
          <w:top w:w="0" w:type="dxa"/>
          <w:left w:w="108" w:type="dxa"/>
          <w:bottom w:w="0" w:type="dxa"/>
          <w:right w:w="108" w:type="dxa"/>
        </w:tblCellMar>
      </w:tblPr>
      <w:tblGrid>
        <w:gridCol w:w="1956"/>
        <w:gridCol w:w="2099"/>
        <w:gridCol w:w="1445"/>
        <w:gridCol w:w="2651"/>
        <w:gridCol w:w="2475"/>
        <w:gridCol w:w="2357"/>
        <w:gridCol w:w="1975"/>
      </w:tblGrid>
      <w:tr>
        <w:tblPrEx>
          <w:tblCellMar>
            <w:top w:w="0" w:type="dxa"/>
            <w:left w:w="108" w:type="dxa"/>
            <w:bottom w:w="0" w:type="dxa"/>
            <w:right w:w="108" w:type="dxa"/>
          </w:tblCellMar>
        </w:tblPrEx>
        <w:trPr>
          <w:trHeight w:val="446" w:hRule="atLeast"/>
          <w:tblHeader/>
        </w:trPr>
        <w:tc>
          <w:tcPr>
            <w:tcW w:w="1956" w:type="dxa"/>
            <w:vMerge w:val="restart"/>
            <w:tcBorders>
              <w:top w:val="single" w:color="000000" w:sz="4" w:space="0"/>
              <w:left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镇（办）</w:t>
            </w:r>
          </w:p>
        </w:tc>
        <w:tc>
          <w:tcPr>
            <w:tcW w:w="2099" w:type="dxa"/>
            <w:vMerge w:val="restart"/>
            <w:tcBorders>
              <w:top w:val="single" w:color="000000" w:sz="4" w:space="0"/>
              <w:left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项目村</w:t>
            </w:r>
          </w:p>
        </w:tc>
        <w:tc>
          <w:tcPr>
            <w:tcW w:w="1445" w:type="dxa"/>
            <w:vMerge w:val="restart"/>
            <w:tcBorders>
              <w:top w:val="single" w:color="000000" w:sz="4" w:space="0"/>
              <w:left w:val="single" w:color="000000" w:sz="4" w:space="0"/>
              <w:right w:val="single" w:color="000000" w:sz="4" w:space="0"/>
            </w:tcBorders>
            <w:shd w:val="clear" w:color="auto" w:fill="FFFFFF"/>
            <w:noWrap/>
            <w:vAlign w:val="center"/>
          </w:tcPr>
          <w:p>
            <w:pPr>
              <w:widowControl/>
              <w:tabs>
                <w:tab w:val="left" w:pos="5270"/>
              </w:tabs>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采购内容 </w:t>
            </w:r>
          </w:p>
        </w:tc>
        <w:tc>
          <w:tcPr>
            <w:tcW w:w="9458"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abs>
                <w:tab w:val="left" w:pos="5270"/>
              </w:tabs>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技术参数</w:t>
            </w:r>
          </w:p>
        </w:tc>
      </w:tr>
      <w:tr>
        <w:tblPrEx>
          <w:tblCellMar>
            <w:top w:w="0" w:type="dxa"/>
            <w:left w:w="108" w:type="dxa"/>
            <w:bottom w:w="0" w:type="dxa"/>
            <w:right w:w="108" w:type="dxa"/>
          </w:tblCellMar>
        </w:tblPrEx>
        <w:trPr>
          <w:trHeight w:val="446" w:hRule="atLeast"/>
          <w:tblHeader/>
        </w:trPr>
        <w:tc>
          <w:tcPr>
            <w:tcW w:w="1956" w:type="dxa"/>
            <w:vMerge w:val="continue"/>
            <w:tcBorders>
              <w:left w:val="single" w:color="000000" w:sz="4" w:space="0"/>
              <w:bottom w:val="single" w:color="auto"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p>
        </w:tc>
        <w:tc>
          <w:tcPr>
            <w:tcW w:w="2099" w:type="dxa"/>
            <w:vMerge w:val="continue"/>
            <w:tcBorders>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p>
        </w:tc>
        <w:tc>
          <w:tcPr>
            <w:tcW w:w="1445" w:type="dxa"/>
            <w:vMerge w:val="continue"/>
            <w:tcBorders>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kern w:val="0"/>
                <w:sz w:val="24"/>
              </w:rPr>
            </w:pPr>
          </w:p>
        </w:tc>
        <w:tc>
          <w:tcPr>
            <w:tcW w:w="2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highlight w:val="none"/>
              </w:rPr>
              <w:t>参数规格</w:t>
            </w:r>
          </w:p>
        </w:tc>
        <w:tc>
          <w:tcPr>
            <w:tcW w:w="2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sz w:val="24"/>
              </w:rPr>
              <w:t>单位</w:t>
            </w:r>
          </w:p>
        </w:tc>
        <w:tc>
          <w:tcPr>
            <w:tcW w:w="23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数量</w:t>
            </w:r>
          </w:p>
        </w:tc>
        <w:tc>
          <w:tcPr>
            <w:tcW w:w="1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备注</w:t>
            </w:r>
          </w:p>
        </w:tc>
      </w:tr>
      <w:tr>
        <w:tblPrEx>
          <w:tblCellMar>
            <w:top w:w="0" w:type="dxa"/>
            <w:left w:w="108" w:type="dxa"/>
            <w:bottom w:w="0" w:type="dxa"/>
            <w:right w:w="108" w:type="dxa"/>
          </w:tblCellMar>
        </w:tblPrEx>
        <w:trPr>
          <w:trHeight w:val="408" w:hRule="atLeast"/>
        </w:trPr>
        <w:tc>
          <w:tcPr>
            <w:tcW w:w="1956"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永</w:t>
            </w:r>
          </w:p>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乐</w:t>
            </w:r>
          </w:p>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街</w:t>
            </w:r>
          </w:p>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道</w:t>
            </w:r>
          </w:p>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办</w:t>
            </w:r>
          </w:p>
        </w:tc>
        <w:tc>
          <w:tcPr>
            <w:tcW w:w="20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庙坡村</w:t>
            </w:r>
          </w:p>
        </w:tc>
        <w:tc>
          <w:tcPr>
            <w:tcW w:w="1445"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施肥建议卡</w:t>
            </w:r>
          </w:p>
        </w:tc>
        <w:tc>
          <w:tcPr>
            <w:tcW w:w="2651" w:type="dxa"/>
            <w:vMerge w:val="restart"/>
            <w:tcBorders>
              <w:top w:val="single" w:color="000000" w:sz="4" w:space="0"/>
              <w:left w:val="single" w:color="000000" w:sz="4" w:space="0"/>
              <w:right w:val="single" w:color="000000" w:sz="4" w:space="0"/>
            </w:tcBorders>
            <w:shd w:val="clear" w:color="auto" w:fill="auto"/>
            <w:noWrap/>
            <w:vAlign w:val="center"/>
          </w:tcPr>
          <w:p>
            <w:pPr>
              <w:widowControl/>
              <w:numPr>
                <w:ilvl w:val="0"/>
                <w:numId w:val="8"/>
              </w:numPr>
              <w:spacing w:line="280" w:lineRule="exact"/>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不锈钢材质：1500</w:t>
            </w:r>
            <w:r>
              <w:rPr>
                <w:rFonts w:hint="eastAsia" w:ascii="宋体" w:hAnsi="宋体" w:eastAsia="宋体" w:cs="宋体"/>
                <w:color w:val="auto"/>
                <w:sz w:val="24"/>
                <w:szCs w:val="24"/>
                <w:lang w:val="en-US" w:eastAsia="zh-CN"/>
              </w:rPr>
              <w:t>mm</w:t>
            </w:r>
            <w:r>
              <w:rPr>
                <w:rFonts w:hint="eastAsia" w:ascii="宋体" w:hAnsi="宋体" w:eastAsia="宋体" w:cs="宋体"/>
                <w:color w:val="auto"/>
                <w:sz w:val="24"/>
                <w:szCs w:val="24"/>
              </w:rPr>
              <w:t>*1000</w:t>
            </w:r>
            <w:r>
              <w:rPr>
                <w:rFonts w:hint="eastAsia" w:ascii="宋体" w:hAnsi="宋体" w:eastAsia="宋体" w:cs="宋体"/>
                <w:color w:val="auto"/>
                <w:sz w:val="24"/>
                <w:szCs w:val="24"/>
                <w:lang w:val="en-US" w:eastAsia="zh-CN"/>
              </w:rPr>
              <w:t>mm</w:t>
            </w:r>
          </w:p>
          <w:p>
            <w:pPr>
              <w:pStyle w:val="17"/>
              <w:numPr>
                <w:ilvl w:val="0"/>
                <w:numId w:val="0"/>
              </w:numPr>
              <w:jc w:val="left"/>
              <w:rPr>
                <w:rFonts w:hint="eastAsia" w:ascii="宋体" w:hAnsi="宋体" w:eastAsia="宋体" w:cs="宋体"/>
                <w:color w:val="auto"/>
                <w:sz w:val="24"/>
                <w:szCs w:val="24"/>
                <w:lang w:val="en-US" w:eastAsia="zh-CN"/>
              </w:rPr>
            </w:pPr>
            <w:r>
              <w:rPr>
                <w:rFonts w:hint="eastAsia" w:ascii="宋体" w:hAnsi="宋体" w:eastAsia="宋体" w:cs="宋体"/>
                <w:b w:val="0"/>
                <w:color w:val="auto"/>
                <w:kern w:val="2"/>
                <w:sz w:val="24"/>
                <w:szCs w:val="24"/>
                <w:lang w:val="en-US" w:eastAsia="zh-CN" w:bidi="ar-SA"/>
              </w:rPr>
              <w:t>2、运送至采购人指定地点并安装</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 xml:space="preserve"> 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r>
              <w:rPr>
                <w:rFonts w:hint="eastAsia" w:ascii="宋体" w:hAnsi="宋体" w:eastAsia="宋体" w:cs="宋体"/>
                <w:color w:val="auto"/>
                <w:sz w:val="24"/>
              </w:rPr>
              <w:t xml:space="preserve"> </w:t>
            </w:r>
          </w:p>
        </w:tc>
      </w:tr>
      <w:tr>
        <w:tblPrEx>
          <w:tblCellMar>
            <w:top w:w="0" w:type="dxa"/>
            <w:left w:w="108" w:type="dxa"/>
            <w:bottom w:w="0" w:type="dxa"/>
            <w:right w:w="108" w:type="dxa"/>
          </w:tblCellMar>
        </w:tblPrEx>
        <w:trPr>
          <w:trHeight w:val="408" w:hRule="atLeast"/>
        </w:trPr>
        <w:tc>
          <w:tcPr>
            <w:tcW w:w="1956" w:type="dxa"/>
            <w:vMerge w:val="continue"/>
            <w:tcBorders>
              <w:left w:val="single" w:color="auto" w:sz="4" w:space="0"/>
              <w:right w:val="single" w:color="auto"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0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金花村</w:t>
            </w:r>
          </w:p>
        </w:tc>
        <w:tc>
          <w:tcPr>
            <w:tcW w:w="1445"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65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08" w:hRule="atLeast"/>
        </w:trPr>
        <w:tc>
          <w:tcPr>
            <w:tcW w:w="1956" w:type="dxa"/>
            <w:vMerge w:val="continue"/>
            <w:tcBorders>
              <w:left w:val="single" w:color="auto" w:sz="4" w:space="0"/>
              <w:right w:val="single" w:color="auto"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0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王家坪社区</w:t>
            </w:r>
          </w:p>
        </w:tc>
        <w:tc>
          <w:tcPr>
            <w:tcW w:w="1445"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65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08" w:hRule="atLeast"/>
        </w:trPr>
        <w:tc>
          <w:tcPr>
            <w:tcW w:w="1956" w:type="dxa"/>
            <w:vMerge w:val="continue"/>
            <w:tcBorders>
              <w:left w:val="single" w:color="auto" w:sz="4" w:space="0"/>
              <w:right w:val="single" w:color="auto"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0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安山村</w:t>
            </w:r>
          </w:p>
        </w:tc>
        <w:tc>
          <w:tcPr>
            <w:tcW w:w="1445"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65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08" w:hRule="atLeast"/>
        </w:trPr>
        <w:tc>
          <w:tcPr>
            <w:tcW w:w="1956"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0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山海村</w:t>
            </w:r>
          </w:p>
        </w:tc>
        <w:tc>
          <w:tcPr>
            <w:tcW w:w="1445"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65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08" w:hRule="atLeast"/>
        </w:trPr>
        <w:tc>
          <w:tcPr>
            <w:tcW w:w="40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小  计</w:t>
            </w:r>
          </w:p>
        </w:tc>
        <w:tc>
          <w:tcPr>
            <w:tcW w:w="1445"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p>
        </w:tc>
        <w:tc>
          <w:tcPr>
            <w:tcW w:w="265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 xml:space="preserve"> 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5</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b/>
                <w:bCs/>
                <w:color w:val="auto"/>
                <w:sz w:val="24"/>
              </w:rPr>
            </w:pPr>
          </w:p>
        </w:tc>
      </w:tr>
      <w:tr>
        <w:tblPrEx>
          <w:tblCellMar>
            <w:top w:w="0" w:type="dxa"/>
            <w:left w:w="108" w:type="dxa"/>
            <w:bottom w:w="0" w:type="dxa"/>
            <w:right w:w="108" w:type="dxa"/>
          </w:tblCellMar>
        </w:tblPrEx>
        <w:trPr>
          <w:trHeight w:val="408" w:hRule="atLeast"/>
        </w:trPr>
        <w:tc>
          <w:tcPr>
            <w:tcW w:w="1956"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西</w:t>
            </w:r>
          </w:p>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口</w:t>
            </w:r>
          </w:p>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回</w:t>
            </w:r>
          </w:p>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族</w:t>
            </w:r>
          </w:p>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镇</w:t>
            </w:r>
          </w:p>
          <w:p>
            <w:pPr>
              <w:widowControl/>
              <w:spacing w:line="280" w:lineRule="exact"/>
              <w:jc w:val="center"/>
              <w:textAlignment w:val="center"/>
              <w:rPr>
                <w:rFonts w:hint="eastAsia" w:ascii="宋体" w:hAnsi="宋体" w:eastAsia="宋体" w:cs="宋体"/>
                <w:color w:val="auto"/>
                <w:sz w:val="24"/>
              </w:rPr>
            </w:pP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东庄村</w:t>
            </w:r>
          </w:p>
        </w:tc>
        <w:tc>
          <w:tcPr>
            <w:tcW w:w="1445"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65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08" w:hRule="atLeast"/>
        </w:trPr>
        <w:tc>
          <w:tcPr>
            <w:tcW w:w="1956"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石门村</w:t>
            </w:r>
          </w:p>
        </w:tc>
        <w:tc>
          <w:tcPr>
            <w:tcW w:w="1445"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65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08" w:hRule="atLeast"/>
        </w:trPr>
        <w:tc>
          <w:tcPr>
            <w:tcW w:w="1956"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宝石村</w:t>
            </w:r>
          </w:p>
        </w:tc>
        <w:tc>
          <w:tcPr>
            <w:tcW w:w="1445"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65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08" w:hRule="atLeast"/>
        </w:trPr>
        <w:tc>
          <w:tcPr>
            <w:tcW w:w="1956"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青树村</w:t>
            </w:r>
          </w:p>
        </w:tc>
        <w:tc>
          <w:tcPr>
            <w:tcW w:w="1445"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65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711" w:hRule="atLeast"/>
        </w:trPr>
        <w:tc>
          <w:tcPr>
            <w:tcW w:w="1956"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岭沟村</w:t>
            </w:r>
          </w:p>
        </w:tc>
        <w:tc>
          <w:tcPr>
            <w:tcW w:w="1445"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65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 xml:space="preserve"> 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08" w:hRule="atLeast"/>
        </w:trPr>
        <w:tc>
          <w:tcPr>
            <w:tcW w:w="40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 xml:space="preserve">小  </w:t>
            </w:r>
            <w:r>
              <w:rPr>
                <w:rFonts w:hint="eastAsia" w:ascii="宋体" w:hAnsi="宋体" w:eastAsia="宋体" w:cs="宋体"/>
                <w:b/>
                <w:bCs/>
                <w:color w:val="auto"/>
                <w:sz w:val="24"/>
                <w:szCs w:val="24"/>
              </w:rPr>
              <w:t>计</w:t>
            </w:r>
          </w:p>
        </w:tc>
        <w:tc>
          <w:tcPr>
            <w:tcW w:w="1445"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p>
        </w:tc>
        <w:tc>
          <w:tcPr>
            <w:tcW w:w="265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 xml:space="preserve"> 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5</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b/>
                <w:bCs/>
                <w:color w:val="auto"/>
                <w:sz w:val="24"/>
              </w:rPr>
            </w:pPr>
          </w:p>
        </w:tc>
      </w:tr>
      <w:tr>
        <w:tblPrEx>
          <w:tblCellMar>
            <w:top w:w="0" w:type="dxa"/>
            <w:left w:w="108" w:type="dxa"/>
            <w:bottom w:w="0" w:type="dxa"/>
            <w:right w:w="108" w:type="dxa"/>
          </w:tblCellMar>
        </w:tblPrEx>
        <w:trPr>
          <w:trHeight w:val="408" w:hRule="atLeast"/>
        </w:trPr>
        <w:tc>
          <w:tcPr>
            <w:tcW w:w="1956" w:type="dxa"/>
            <w:vMerge w:val="restart"/>
            <w:tcBorders>
              <w:top w:val="single" w:color="000000" w:sz="4" w:space="0"/>
              <w:left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青</w:t>
            </w:r>
          </w:p>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铜</w:t>
            </w:r>
          </w:p>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关</w:t>
            </w:r>
          </w:p>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镇</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旬河村</w:t>
            </w:r>
          </w:p>
        </w:tc>
        <w:tc>
          <w:tcPr>
            <w:tcW w:w="1445"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65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08" w:hRule="atLeast"/>
        </w:trPr>
        <w:tc>
          <w:tcPr>
            <w:tcW w:w="1956" w:type="dxa"/>
            <w:vMerge w:val="continue"/>
            <w:tcBorders>
              <w:left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宋体" w:hAnsi="宋体" w:eastAsia="宋体" w:cs="宋体"/>
                <w:color w:val="auto"/>
                <w:kern w:val="0"/>
                <w:sz w:val="24"/>
              </w:rPr>
            </w:pP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乡中村</w:t>
            </w:r>
          </w:p>
        </w:tc>
        <w:tc>
          <w:tcPr>
            <w:tcW w:w="1445"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65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 xml:space="preserve"> 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08" w:hRule="atLeast"/>
        </w:trPr>
        <w:tc>
          <w:tcPr>
            <w:tcW w:w="1956" w:type="dxa"/>
            <w:vMerge w:val="continue"/>
            <w:tcBorders>
              <w:left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宋体" w:hAnsi="宋体" w:eastAsia="宋体" w:cs="宋体"/>
                <w:color w:val="auto"/>
                <w:kern w:val="0"/>
                <w:sz w:val="24"/>
              </w:rPr>
            </w:pP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东坪村</w:t>
            </w:r>
          </w:p>
        </w:tc>
        <w:tc>
          <w:tcPr>
            <w:tcW w:w="1445"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65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 xml:space="preserve"> 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08" w:hRule="atLeast"/>
        </w:trPr>
        <w:tc>
          <w:tcPr>
            <w:tcW w:w="1956" w:type="dxa"/>
            <w:vMerge w:val="continue"/>
            <w:tcBorders>
              <w:left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宋体" w:hAnsi="宋体" w:eastAsia="宋体" w:cs="宋体"/>
                <w:color w:val="auto"/>
                <w:kern w:val="0"/>
                <w:sz w:val="24"/>
              </w:rPr>
            </w:pP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前湾村</w:t>
            </w:r>
          </w:p>
        </w:tc>
        <w:tc>
          <w:tcPr>
            <w:tcW w:w="1445"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65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 xml:space="preserve"> 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08" w:hRule="atLeast"/>
        </w:trPr>
        <w:tc>
          <w:tcPr>
            <w:tcW w:w="1956"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宋体" w:hAnsi="宋体" w:eastAsia="宋体" w:cs="宋体"/>
                <w:color w:val="auto"/>
                <w:kern w:val="0"/>
                <w:sz w:val="24"/>
              </w:rPr>
            </w:pP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兴隆村</w:t>
            </w:r>
          </w:p>
        </w:tc>
        <w:tc>
          <w:tcPr>
            <w:tcW w:w="1445"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65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 xml:space="preserve"> 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08" w:hRule="atLeast"/>
        </w:trPr>
        <w:tc>
          <w:tcPr>
            <w:tcW w:w="40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小  计</w:t>
            </w:r>
          </w:p>
        </w:tc>
        <w:tc>
          <w:tcPr>
            <w:tcW w:w="1445"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p>
        </w:tc>
        <w:tc>
          <w:tcPr>
            <w:tcW w:w="265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5</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b/>
                <w:bCs/>
                <w:color w:val="auto"/>
                <w:sz w:val="24"/>
              </w:rPr>
            </w:pPr>
          </w:p>
        </w:tc>
      </w:tr>
      <w:tr>
        <w:tblPrEx>
          <w:tblCellMar>
            <w:top w:w="0" w:type="dxa"/>
            <w:left w:w="108" w:type="dxa"/>
            <w:bottom w:w="0" w:type="dxa"/>
            <w:right w:w="108" w:type="dxa"/>
          </w:tblCellMar>
        </w:tblPrEx>
        <w:trPr>
          <w:trHeight w:val="446" w:hRule="atLeast"/>
        </w:trPr>
        <w:tc>
          <w:tcPr>
            <w:tcW w:w="195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高</w:t>
            </w:r>
          </w:p>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峰</w:t>
            </w:r>
          </w:p>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镇</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两河村</w:t>
            </w:r>
          </w:p>
        </w:tc>
        <w:tc>
          <w:tcPr>
            <w:tcW w:w="1445"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651"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46" w:hRule="atLeast"/>
        </w:trPr>
        <w:tc>
          <w:tcPr>
            <w:tcW w:w="1956"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4"/>
              </w:rPr>
            </w:pP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升坪村</w:t>
            </w:r>
          </w:p>
        </w:tc>
        <w:tc>
          <w:tcPr>
            <w:tcW w:w="1445"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651"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46" w:hRule="atLeast"/>
        </w:trPr>
        <w:tc>
          <w:tcPr>
            <w:tcW w:w="1956"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4"/>
              </w:rPr>
            </w:pP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农科村</w:t>
            </w:r>
          </w:p>
        </w:tc>
        <w:tc>
          <w:tcPr>
            <w:tcW w:w="1445"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651"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46" w:hRule="atLeast"/>
        </w:trPr>
        <w:tc>
          <w:tcPr>
            <w:tcW w:w="1956"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4"/>
              </w:rPr>
            </w:pP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长坡村</w:t>
            </w:r>
          </w:p>
        </w:tc>
        <w:tc>
          <w:tcPr>
            <w:tcW w:w="1445"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651"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46" w:hRule="atLeast"/>
        </w:trPr>
        <w:tc>
          <w:tcPr>
            <w:tcW w:w="195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4"/>
              </w:rPr>
            </w:pP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永丰村</w:t>
            </w:r>
          </w:p>
        </w:tc>
        <w:tc>
          <w:tcPr>
            <w:tcW w:w="1445"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651"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46" w:hRule="atLeast"/>
        </w:trPr>
        <w:tc>
          <w:tcPr>
            <w:tcW w:w="4055"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 xml:space="preserve">小  </w:t>
            </w:r>
            <w:r>
              <w:rPr>
                <w:rFonts w:hint="eastAsia" w:ascii="宋体" w:hAnsi="宋体" w:eastAsia="宋体" w:cs="宋体"/>
                <w:b/>
                <w:bCs/>
                <w:color w:val="auto"/>
                <w:sz w:val="24"/>
                <w:szCs w:val="24"/>
              </w:rPr>
              <w:t>计</w:t>
            </w:r>
          </w:p>
        </w:tc>
        <w:tc>
          <w:tcPr>
            <w:tcW w:w="1445"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p>
        </w:tc>
        <w:tc>
          <w:tcPr>
            <w:tcW w:w="2651"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 xml:space="preserve"> 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5</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auto"/>
                <w:sz w:val="24"/>
              </w:rPr>
            </w:pPr>
          </w:p>
        </w:tc>
      </w:tr>
      <w:tr>
        <w:tblPrEx>
          <w:tblCellMar>
            <w:top w:w="0" w:type="dxa"/>
            <w:left w:w="108" w:type="dxa"/>
            <w:bottom w:w="0" w:type="dxa"/>
            <w:right w:w="108" w:type="dxa"/>
          </w:tblCellMar>
        </w:tblPrEx>
        <w:trPr>
          <w:trHeight w:val="446" w:hRule="atLeast"/>
        </w:trPr>
        <w:tc>
          <w:tcPr>
            <w:tcW w:w="1956"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米粮镇</w:t>
            </w:r>
          </w:p>
        </w:tc>
        <w:tc>
          <w:tcPr>
            <w:tcW w:w="2099" w:type="dxa"/>
            <w:tcBorders>
              <w:top w:val="single" w:color="000000" w:sz="4" w:space="0"/>
              <w:left w:val="single" w:color="auto"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树坪村</w:t>
            </w:r>
          </w:p>
        </w:tc>
        <w:tc>
          <w:tcPr>
            <w:tcW w:w="1445"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651"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446" w:hRule="atLeast"/>
        </w:trPr>
        <w:tc>
          <w:tcPr>
            <w:tcW w:w="4055" w:type="dxa"/>
            <w:gridSpan w:val="2"/>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小计</w:t>
            </w:r>
          </w:p>
        </w:tc>
        <w:tc>
          <w:tcPr>
            <w:tcW w:w="1445"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p>
        </w:tc>
        <w:tc>
          <w:tcPr>
            <w:tcW w:w="2651"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 xml:space="preserve"> 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00" w:hRule="atLeast"/>
        </w:trPr>
        <w:tc>
          <w:tcPr>
            <w:tcW w:w="4055" w:type="dxa"/>
            <w:gridSpan w:val="2"/>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总计</w:t>
            </w:r>
          </w:p>
        </w:tc>
        <w:tc>
          <w:tcPr>
            <w:tcW w:w="1445" w:type="dxa"/>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p>
        </w:tc>
        <w:tc>
          <w:tcPr>
            <w:tcW w:w="2651" w:type="dxa"/>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个</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21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bl>
    <w:p>
      <w:pPr>
        <w:rPr>
          <w:rFonts w:hint="eastAsia" w:ascii="宋体" w:hAnsi="宋体" w:eastAsia="宋体" w:cs="宋体"/>
          <w:color w:val="auto"/>
        </w:rPr>
      </w:pPr>
      <w:r>
        <w:rPr>
          <w:rFonts w:hint="eastAsia" w:ascii="宋体" w:hAnsi="宋体" w:eastAsia="宋体" w:cs="宋体"/>
          <w:color w:val="auto"/>
        </w:rPr>
        <w:br w:type="page"/>
      </w:r>
    </w:p>
    <w:p>
      <w:pPr>
        <w:autoSpaceDN w:val="0"/>
        <w:spacing w:line="600" w:lineRule="exact"/>
        <w:jc w:val="center"/>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镇安县2021年度高标准农田建设项目秸秆粉碎机采购清单</w:t>
      </w:r>
    </w:p>
    <w:p>
      <w:pPr>
        <w:rPr>
          <w:rFonts w:hint="eastAsia" w:ascii="宋体" w:hAnsi="宋体" w:eastAsia="宋体" w:cs="宋体"/>
          <w:color w:val="auto"/>
        </w:rPr>
      </w:pPr>
    </w:p>
    <w:tbl>
      <w:tblPr>
        <w:tblStyle w:val="39"/>
        <w:tblW w:w="14958" w:type="dxa"/>
        <w:tblInd w:w="91" w:type="dxa"/>
        <w:tblLayout w:type="fixed"/>
        <w:tblCellMar>
          <w:top w:w="0" w:type="dxa"/>
          <w:left w:w="108" w:type="dxa"/>
          <w:bottom w:w="0" w:type="dxa"/>
          <w:right w:w="108" w:type="dxa"/>
        </w:tblCellMar>
      </w:tblPr>
      <w:tblGrid>
        <w:gridCol w:w="1951"/>
        <w:gridCol w:w="2095"/>
        <w:gridCol w:w="1443"/>
        <w:gridCol w:w="2648"/>
        <w:gridCol w:w="2473"/>
        <w:gridCol w:w="2356"/>
        <w:gridCol w:w="1992"/>
      </w:tblGrid>
      <w:tr>
        <w:tblPrEx>
          <w:tblCellMar>
            <w:top w:w="0" w:type="dxa"/>
            <w:left w:w="108" w:type="dxa"/>
            <w:bottom w:w="0" w:type="dxa"/>
            <w:right w:w="108" w:type="dxa"/>
          </w:tblCellMar>
        </w:tblPrEx>
        <w:trPr>
          <w:trHeight w:val="535" w:hRule="atLeast"/>
          <w:tblHeader/>
        </w:trPr>
        <w:tc>
          <w:tcPr>
            <w:tcW w:w="1951" w:type="dxa"/>
            <w:vMerge w:val="restart"/>
            <w:tcBorders>
              <w:top w:val="single" w:color="000000" w:sz="4" w:space="0"/>
              <w:left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镇（办）</w:t>
            </w:r>
          </w:p>
        </w:tc>
        <w:tc>
          <w:tcPr>
            <w:tcW w:w="2095" w:type="dxa"/>
            <w:vMerge w:val="restart"/>
            <w:tcBorders>
              <w:top w:val="single" w:color="000000" w:sz="4" w:space="0"/>
              <w:left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项目村</w:t>
            </w:r>
          </w:p>
        </w:tc>
        <w:tc>
          <w:tcPr>
            <w:tcW w:w="1443" w:type="dxa"/>
            <w:vMerge w:val="restart"/>
            <w:tcBorders>
              <w:top w:val="single" w:color="000000" w:sz="4" w:space="0"/>
              <w:left w:val="single" w:color="000000" w:sz="4" w:space="0"/>
              <w:right w:val="single" w:color="000000" w:sz="4" w:space="0"/>
            </w:tcBorders>
            <w:shd w:val="clear" w:color="auto" w:fill="FFFFFF"/>
            <w:noWrap/>
            <w:vAlign w:val="center"/>
          </w:tcPr>
          <w:p>
            <w:pPr>
              <w:widowControl/>
              <w:tabs>
                <w:tab w:val="left" w:pos="5270"/>
              </w:tabs>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采购内容 </w:t>
            </w:r>
          </w:p>
        </w:tc>
        <w:tc>
          <w:tcPr>
            <w:tcW w:w="946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abs>
                <w:tab w:val="left" w:pos="5270"/>
              </w:tabs>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技术参数</w:t>
            </w:r>
          </w:p>
        </w:tc>
      </w:tr>
      <w:tr>
        <w:tblPrEx>
          <w:tblCellMar>
            <w:top w:w="0" w:type="dxa"/>
            <w:left w:w="108" w:type="dxa"/>
            <w:bottom w:w="0" w:type="dxa"/>
            <w:right w:w="108" w:type="dxa"/>
          </w:tblCellMar>
        </w:tblPrEx>
        <w:trPr>
          <w:trHeight w:val="535" w:hRule="atLeast"/>
          <w:tblHeader/>
        </w:trPr>
        <w:tc>
          <w:tcPr>
            <w:tcW w:w="1951" w:type="dxa"/>
            <w:vMerge w:val="continue"/>
            <w:tcBorders>
              <w:left w:val="single" w:color="000000" w:sz="4" w:space="0"/>
              <w:bottom w:val="single" w:color="auto"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p>
        </w:tc>
        <w:tc>
          <w:tcPr>
            <w:tcW w:w="2095" w:type="dxa"/>
            <w:vMerge w:val="continue"/>
            <w:tcBorders>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p>
        </w:tc>
        <w:tc>
          <w:tcPr>
            <w:tcW w:w="1443" w:type="dxa"/>
            <w:vMerge w:val="continue"/>
            <w:tcBorders>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kern w:val="0"/>
                <w:sz w:val="24"/>
              </w:rPr>
            </w:pPr>
          </w:p>
        </w:tc>
        <w:tc>
          <w:tcPr>
            <w:tcW w:w="2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highlight w:val="none"/>
              </w:rPr>
              <w:t>参数规格</w:t>
            </w:r>
          </w:p>
        </w:tc>
        <w:tc>
          <w:tcPr>
            <w:tcW w:w="24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sz w:val="24"/>
              </w:rPr>
              <w:t>单位</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数量</w:t>
            </w:r>
          </w:p>
        </w:tc>
        <w:tc>
          <w:tcPr>
            <w:tcW w:w="1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备注</w:t>
            </w:r>
          </w:p>
        </w:tc>
      </w:tr>
      <w:tr>
        <w:tblPrEx>
          <w:tblCellMar>
            <w:top w:w="0" w:type="dxa"/>
            <w:left w:w="108" w:type="dxa"/>
            <w:bottom w:w="0" w:type="dxa"/>
            <w:right w:w="108" w:type="dxa"/>
          </w:tblCellMar>
        </w:tblPrEx>
        <w:trPr>
          <w:trHeight w:val="549" w:hRule="atLeast"/>
        </w:trPr>
        <w:tc>
          <w:tcPr>
            <w:tcW w:w="1951"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永</w:t>
            </w:r>
          </w:p>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乐</w:t>
            </w:r>
          </w:p>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街</w:t>
            </w:r>
          </w:p>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道</w:t>
            </w:r>
          </w:p>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办</w:t>
            </w:r>
          </w:p>
        </w:tc>
        <w:tc>
          <w:tcPr>
            <w:tcW w:w="20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庙坡村</w:t>
            </w:r>
          </w:p>
        </w:tc>
        <w:tc>
          <w:tcPr>
            <w:tcW w:w="1443"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秸秆粉碎机</w:t>
            </w:r>
          </w:p>
        </w:tc>
        <w:tc>
          <w:tcPr>
            <w:tcW w:w="2648"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28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1、整机尺寸：</w:t>
            </w:r>
          </w:p>
          <w:p>
            <w:pPr>
              <w:widowControl/>
              <w:spacing w:line="280" w:lineRule="exact"/>
              <w:ind w:left="239" w:leftChars="114"/>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1700×750×850(长×宽×高)；</w:t>
            </w:r>
          </w:p>
          <w:p>
            <w:pPr>
              <w:widowControl/>
              <w:spacing w:line="28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2、整机重量：150KG</w:t>
            </w:r>
          </w:p>
          <w:p>
            <w:pPr>
              <w:widowControl/>
              <w:spacing w:line="28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3、传动方式：皮带传动；</w:t>
            </w:r>
          </w:p>
          <w:p>
            <w:pPr>
              <w:widowControl/>
              <w:spacing w:line="28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4、轮距：35-45cm；</w:t>
            </w:r>
          </w:p>
          <w:p>
            <w:pPr>
              <w:widowControl/>
              <w:spacing w:line="28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5、刀片数量：32；</w:t>
            </w:r>
          </w:p>
          <w:p>
            <w:pPr>
              <w:widowControl/>
              <w:spacing w:line="280" w:lineRule="exact"/>
              <w:ind w:left="240" w:hanging="240" w:hangingChars="10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6、行走速度：每分钟25转；</w:t>
            </w:r>
          </w:p>
          <w:p>
            <w:pPr>
              <w:widowControl/>
              <w:spacing w:line="28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7、刀片类型：灭茬刀；</w:t>
            </w:r>
          </w:p>
          <w:p>
            <w:pPr>
              <w:widowControl/>
              <w:spacing w:line="280" w:lineRule="exact"/>
              <w:ind w:left="240" w:hanging="240" w:hangingChars="10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8、工作转速： 2100转/分钟；</w:t>
            </w:r>
          </w:p>
          <w:p>
            <w:pPr>
              <w:widowControl/>
              <w:spacing w:line="28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9、动力：186柴油；</w:t>
            </w:r>
          </w:p>
          <w:p>
            <w:pPr>
              <w:widowControl/>
              <w:spacing w:line="28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10、碎草宽度：60cm。</w:t>
            </w:r>
          </w:p>
          <w:p>
            <w:pPr>
              <w:pStyle w:val="17"/>
              <w:rPr>
                <w:rFonts w:hint="eastAsia" w:ascii="宋体" w:hAnsi="宋体" w:eastAsia="宋体" w:cs="宋体"/>
                <w:color w:val="auto"/>
                <w:sz w:val="24"/>
                <w:szCs w:val="24"/>
                <w:lang w:val="en-US" w:eastAsia="zh-CN"/>
              </w:rPr>
            </w:pPr>
            <w:r>
              <w:rPr>
                <w:rFonts w:hint="eastAsia" w:ascii="宋体" w:hAnsi="宋体" w:eastAsia="宋体" w:cs="宋体"/>
                <w:b w:val="0"/>
                <w:color w:val="auto"/>
                <w:kern w:val="2"/>
                <w:sz w:val="24"/>
                <w:szCs w:val="24"/>
                <w:lang w:val="en-US" w:eastAsia="zh-CN" w:bidi="ar-SA"/>
              </w:rPr>
              <w:t>11、运送至采购人指定地点并安装。</w:t>
            </w: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 xml:space="preserve"> 台</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r>
              <w:rPr>
                <w:rFonts w:hint="eastAsia" w:ascii="宋体" w:hAnsi="宋体" w:eastAsia="宋体" w:cs="宋体"/>
                <w:color w:val="auto"/>
                <w:sz w:val="24"/>
              </w:rPr>
              <w:t xml:space="preserve"> </w:t>
            </w:r>
          </w:p>
        </w:tc>
      </w:tr>
      <w:tr>
        <w:tblPrEx>
          <w:tblCellMar>
            <w:top w:w="0" w:type="dxa"/>
            <w:left w:w="108" w:type="dxa"/>
            <w:bottom w:w="0" w:type="dxa"/>
            <w:right w:w="108" w:type="dxa"/>
          </w:tblCellMar>
        </w:tblPrEx>
        <w:trPr>
          <w:trHeight w:val="501" w:hRule="atLeast"/>
        </w:trPr>
        <w:tc>
          <w:tcPr>
            <w:tcW w:w="1951" w:type="dxa"/>
            <w:vMerge w:val="continue"/>
            <w:tcBorders>
              <w:left w:val="single" w:color="auto" w:sz="4" w:space="0"/>
              <w:right w:val="single" w:color="auto"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0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金花村</w:t>
            </w:r>
          </w:p>
        </w:tc>
        <w:tc>
          <w:tcPr>
            <w:tcW w:w="1443"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648"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台</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01" w:hRule="atLeast"/>
        </w:trPr>
        <w:tc>
          <w:tcPr>
            <w:tcW w:w="1951" w:type="dxa"/>
            <w:vMerge w:val="continue"/>
            <w:tcBorders>
              <w:left w:val="single" w:color="auto" w:sz="4" w:space="0"/>
              <w:right w:val="single" w:color="auto"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0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王家坪社区</w:t>
            </w:r>
          </w:p>
        </w:tc>
        <w:tc>
          <w:tcPr>
            <w:tcW w:w="1443"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648"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台</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01" w:hRule="atLeast"/>
        </w:trPr>
        <w:tc>
          <w:tcPr>
            <w:tcW w:w="1951" w:type="dxa"/>
            <w:vMerge w:val="continue"/>
            <w:tcBorders>
              <w:left w:val="single" w:color="auto" w:sz="4" w:space="0"/>
              <w:right w:val="single" w:color="auto"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0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安山村</w:t>
            </w:r>
          </w:p>
        </w:tc>
        <w:tc>
          <w:tcPr>
            <w:tcW w:w="1443"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648"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台</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01" w:hRule="atLeast"/>
        </w:trPr>
        <w:tc>
          <w:tcPr>
            <w:tcW w:w="1951"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09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sz w:val="24"/>
              </w:rPr>
              <w:t>山海村</w:t>
            </w:r>
          </w:p>
        </w:tc>
        <w:tc>
          <w:tcPr>
            <w:tcW w:w="1443"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648"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台</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01" w:hRule="atLeast"/>
        </w:trPr>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小  计</w:t>
            </w:r>
          </w:p>
        </w:tc>
        <w:tc>
          <w:tcPr>
            <w:tcW w:w="1443"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p>
        </w:tc>
        <w:tc>
          <w:tcPr>
            <w:tcW w:w="2648"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 xml:space="preserve"> 台</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10</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b/>
                <w:bCs/>
                <w:color w:val="auto"/>
                <w:sz w:val="24"/>
              </w:rPr>
            </w:pPr>
          </w:p>
        </w:tc>
      </w:tr>
      <w:tr>
        <w:tblPrEx>
          <w:tblCellMar>
            <w:top w:w="0" w:type="dxa"/>
            <w:left w:w="108" w:type="dxa"/>
            <w:bottom w:w="0" w:type="dxa"/>
            <w:right w:w="108" w:type="dxa"/>
          </w:tblCellMar>
        </w:tblPrEx>
        <w:trPr>
          <w:trHeight w:val="501" w:hRule="atLeast"/>
        </w:trPr>
        <w:tc>
          <w:tcPr>
            <w:tcW w:w="1951"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西</w:t>
            </w:r>
          </w:p>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口</w:t>
            </w:r>
          </w:p>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回</w:t>
            </w:r>
          </w:p>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族</w:t>
            </w:r>
          </w:p>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镇</w:t>
            </w:r>
          </w:p>
          <w:p>
            <w:pPr>
              <w:widowControl/>
              <w:spacing w:line="280" w:lineRule="exact"/>
              <w:jc w:val="center"/>
              <w:textAlignment w:val="center"/>
              <w:rPr>
                <w:rFonts w:hint="eastAsia" w:ascii="宋体" w:hAnsi="宋体" w:eastAsia="宋体" w:cs="宋体"/>
                <w:color w:val="auto"/>
                <w:sz w:val="24"/>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东庄村</w:t>
            </w:r>
          </w:p>
        </w:tc>
        <w:tc>
          <w:tcPr>
            <w:tcW w:w="1443"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648"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台</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01" w:hRule="atLeast"/>
        </w:trPr>
        <w:tc>
          <w:tcPr>
            <w:tcW w:w="195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石门村</w:t>
            </w:r>
          </w:p>
        </w:tc>
        <w:tc>
          <w:tcPr>
            <w:tcW w:w="1443"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648"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台</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01" w:hRule="atLeast"/>
        </w:trPr>
        <w:tc>
          <w:tcPr>
            <w:tcW w:w="195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宝石村</w:t>
            </w:r>
          </w:p>
        </w:tc>
        <w:tc>
          <w:tcPr>
            <w:tcW w:w="1443"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648"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台</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01" w:hRule="atLeast"/>
        </w:trPr>
        <w:tc>
          <w:tcPr>
            <w:tcW w:w="1951"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青树村</w:t>
            </w:r>
          </w:p>
        </w:tc>
        <w:tc>
          <w:tcPr>
            <w:tcW w:w="1443"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648"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台</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740" w:hRule="atLeast"/>
        </w:trPr>
        <w:tc>
          <w:tcPr>
            <w:tcW w:w="1951"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sz w:val="24"/>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岭沟村</w:t>
            </w:r>
          </w:p>
        </w:tc>
        <w:tc>
          <w:tcPr>
            <w:tcW w:w="1443"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648"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 xml:space="preserve"> 台</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01" w:hRule="atLeast"/>
        </w:trPr>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 xml:space="preserve">小  </w:t>
            </w:r>
            <w:r>
              <w:rPr>
                <w:rFonts w:hint="eastAsia" w:ascii="宋体" w:hAnsi="宋体" w:eastAsia="宋体" w:cs="宋体"/>
                <w:b/>
                <w:bCs/>
                <w:color w:val="auto"/>
                <w:sz w:val="24"/>
                <w:szCs w:val="24"/>
              </w:rPr>
              <w:t>计</w:t>
            </w:r>
          </w:p>
        </w:tc>
        <w:tc>
          <w:tcPr>
            <w:tcW w:w="1443"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p>
        </w:tc>
        <w:tc>
          <w:tcPr>
            <w:tcW w:w="2648" w:type="dxa"/>
            <w:vMerge w:val="continue"/>
            <w:tcBorders>
              <w:left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 xml:space="preserve"> 台</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10</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jc w:val="center"/>
              <w:rPr>
                <w:rFonts w:hint="eastAsia" w:ascii="宋体" w:hAnsi="宋体" w:eastAsia="宋体" w:cs="宋体"/>
                <w:b/>
                <w:bCs/>
                <w:color w:val="auto"/>
                <w:sz w:val="24"/>
              </w:rPr>
            </w:pPr>
          </w:p>
        </w:tc>
      </w:tr>
      <w:tr>
        <w:tblPrEx>
          <w:tblCellMar>
            <w:top w:w="0" w:type="dxa"/>
            <w:left w:w="108" w:type="dxa"/>
            <w:bottom w:w="0" w:type="dxa"/>
            <w:right w:w="108" w:type="dxa"/>
          </w:tblCellMar>
        </w:tblPrEx>
        <w:trPr>
          <w:trHeight w:val="501" w:hRule="atLeast"/>
        </w:trPr>
        <w:tc>
          <w:tcPr>
            <w:tcW w:w="195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青</w:t>
            </w:r>
          </w:p>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铜</w:t>
            </w:r>
          </w:p>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关</w:t>
            </w:r>
          </w:p>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镇</w:t>
            </w: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旬河村</w:t>
            </w:r>
          </w:p>
        </w:tc>
        <w:tc>
          <w:tcPr>
            <w:tcW w:w="1443"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648"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台</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01" w:hRule="atLeast"/>
        </w:trPr>
        <w:tc>
          <w:tcPr>
            <w:tcW w:w="195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24"/>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乡中村</w:t>
            </w:r>
          </w:p>
        </w:tc>
        <w:tc>
          <w:tcPr>
            <w:tcW w:w="1443"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p>
        </w:tc>
        <w:tc>
          <w:tcPr>
            <w:tcW w:w="2648"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 xml:space="preserve"> 台</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01" w:hRule="atLeast"/>
        </w:trPr>
        <w:tc>
          <w:tcPr>
            <w:tcW w:w="195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24"/>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东坪村</w:t>
            </w:r>
          </w:p>
        </w:tc>
        <w:tc>
          <w:tcPr>
            <w:tcW w:w="1443"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p>
        </w:tc>
        <w:tc>
          <w:tcPr>
            <w:tcW w:w="2648"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 xml:space="preserve"> 台</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01" w:hRule="atLeast"/>
        </w:trPr>
        <w:tc>
          <w:tcPr>
            <w:tcW w:w="195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24"/>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前湾村</w:t>
            </w:r>
          </w:p>
        </w:tc>
        <w:tc>
          <w:tcPr>
            <w:tcW w:w="1443"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p>
        </w:tc>
        <w:tc>
          <w:tcPr>
            <w:tcW w:w="2648"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 xml:space="preserve"> 台</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01" w:hRule="atLeast"/>
        </w:trPr>
        <w:tc>
          <w:tcPr>
            <w:tcW w:w="195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24"/>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兴隆村</w:t>
            </w:r>
          </w:p>
        </w:tc>
        <w:tc>
          <w:tcPr>
            <w:tcW w:w="1443"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p>
        </w:tc>
        <w:tc>
          <w:tcPr>
            <w:tcW w:w="2648"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 xml:space="preserve"> 台</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01" w:hRule="atLeast"/>
        </w:trPr>
        <w:tc>
          <w:tcPr>
            <w:tcW w:w="40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小  计</w:t>
            </w:r>
          </w:p>
        </w:tc>
        <w:tc>
          <w:tcPr>
            <w:tcW w:w="1443"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p>
        </w:tc>
        <w:tc>
          <w:tcPr>
            <w:tcW w:w="2648"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台</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10</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auto"/>
                <w:sz w:val="24"/>
              </w:rPr>
            </w:pPr>
          </w:p>
        </w:tc>
      </w:tr>
      <w:tr>
        <w:tblPrEx>
          <w:tblCellMar>
            <w:top w:w="0" w:type="dxa"/>
            <w:left w:w="108" w:type="dxa"/>
            <w:bottom w:w="0" w:type="dxa"/>
            <w:right w:w="108" w:type="dxa"/>
          </w:tblCellMar>
        </w:tblPrEx>
        <w:trPr>
          <w:trHeight w:val="533" w:hRule="atLeast"/>
        </w:trPr>
        <w:tc>
          <w:tcPr>
            <w:tcW w:w="195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高</w:t>
            </w:r>
          </w:p>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峰</w:t>
            </w:r>
          </w:p>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镇</w:t>
            </w: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两河村</w:t>
            </w:r>
          </w:p>
        </w:tc>
        <w:tc>
          <w:tcPr>
            <w:tcW w:w="1443"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648"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台</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33" w:hRule="atLeast"/>
        </w:trPr>
        <w:tc>
          <w:tcPr>
            <w:tcW w:w="195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4"/>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升坪村</w:t>
            </w:r>
          </w:p>
        </w:tc>
        <w:tc>
          <w:tcPr>
            <w:tcW w:w="1443"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648"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台</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33" w:hRule="atLeast"/>
        </w:trPr>
        <w:tc>
          <w:tcPr>
            <w:tcW w:w="195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4"/>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农科村</w:t>
            </w:r>
          </w:p>
        </w:tc>
        <w:tc>
          <w:tcPr>
            <w:tcW w:w="1443"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648"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台</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33" w:hRule="atLeast"/>
        </w:trPr>
        <w:tc>
          <w:tcPr>
            <w:tcW w:w="195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4"/>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长坡村</w:t>
            </w:r>
          </w:p>
        </w:tc>
        <w:tc>
          <w:tcPr>
            <w:tcW w:w="1443"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648"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台</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33" w:hRule="atLeast"/>
        </w:trPr>
        <w:tc>
          <w:tcPr>
            <w:tcW w:w="1951" w:type="dxa"/>
            <w:vMerge w:val="continue"/>
            <w:tcBorders>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4"/>
              </w:rPr>
            </w:pPr>
          </w:p>
        </w:tc>
        <w:tc>
          <w:tcPr>
            <w:tcW w:w="209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永丰村</w:t>
            </w:r>
          </w:p>
        </w:tc>
        <w:tc>
          <w:tcPr>
            <w:tcW w:w="1443" w:type="dxa"/>
            <w:vMerge w:val="continue"/>
            <w:tcBorders>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648" w:type="dxa"/>
            <w:vMerge w:val="continue"/>
            <w:tcBorders>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p>
        </w:tc>
        <w:tc>
          <w:tcPr>
            <w:tcW w:w="247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 xml:space="preserve"> 台</w:t>
            </w:r>
          </w:p>
        </w:tc>
        <w:tc>
          <w:tcPr>
            <w:tcW w:w="2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4"/>
              </w:rPr>
            </w:pPr>
          </w:p>
        </w:tc>
      </w:tr>
      <w:tr>
        <w:tblPrEx>
          <w:tblCellMar>
            <w:top w:w="0" w:type="dxa"/>
            <w:left w:w="108" w:type="dxa"/>
            <w:bottom w:w="0" w:type="dxa"/>
            <w:right w:w="108" w:type="dxa"/>
          </w:tblCellMar>
        </w:tblPrEx>
        <w:trPr>
          <w:trHeight w:val="533" w:hRule="atLeast"/>
        </w:trPr>
        <w:tc>
          <w:tcPr>
            <w:tcW w:w="4046"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 xml:space="preserve">小  </w:t>
            </w:r>
            <w:r>
              <w:rPr>
                <w:rFonts w:hint="eastAsia" w:ascii="宋体" w:hAnsi="宋体" w:eastAsia="宋体" w:cs="宋体"/>
                <w:b/>
                <w:bCs/>
                <w:color w:val="auto"/>
                <w:sz w:val="24"/>
                <w:szCs w:val="24"/>
              </w:rPr>
              <w:t>计</w:t>
            </w:r>
          </w:p>
        </w:tc>
        <w:tc>
          <w:tcPr>
            <w:tcW w:w="1443" w:type="dxa"/>
            <w:vMerge w:val="continue"/>
            <w:tcBorders>
              <w:top w:val="single" w:color="auto" w:sz="4" w:space="0"/>
              <w:left w:val="single" w:color="000000" w:sz="4" w:space="0"/>
              <w:bottom w:val="nil"/>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p>
        </w:tc>
        <w:tc>
          <w:tcPr>
            <w:tcW w:w="2648" w:type="dxa"/>
            <w:vMerge w:val="continue"/>
            <w:tcBorders>
              <w:top w:val="single" w:color="auto" w:sz="4" w:space="0"/>
              <w:left w:val="single" w:color="000000" w:sz="4" w:space="0"/>
              <w:bottom w:val="nil"/>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p>
        </w:tc>
        <w:tc>
          <w:tcPr>
            <w:tcW w:w="2473" w:type="dxa"/>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r>
              <w:rPr>
                <w:rFonts w:hint="eastAsia" w:ascii="宋体" w:hAnsi="宋体" w:eastAsia="宋体" w:cs="宋体"/>
                <w:b/>
                <w:bCs/>
                <w:color w:val="auto"/>
                <w:kern w:val="0"/>
                <w:sz w:val="24"/>
              </w:rPr>
              <w:t xml:space="preserve"> 台</w:t>
            </w:r>
          </w:p>
        </w:tc>
        <w:tc>
          <w:tcPr>
            <w:tcW w:w="235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10</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auto"/>
                <w:sz w:val="24"/>
              </w:rPr>
            </w:pPr>
          </w:p>
        </w:tc>
      </w:tr>
      <w:tr>
        <w:tblPrEx>
          <w:tblCellMar>
            <w:top w:w="0" w:type="dxa"/>
            <w:left w:w="108" w:type="dxa"/>
            <w:bottom w:w="0" w:type="dxa"/>
            <w:right w:w="108" w:type="dxa"/>
          </w:tblCellMar>
        </w:tblPrEx>
        <w:trPr>
          <w:trHeight w:val="533" w:hRule="atLeast"/>
        </w:trPr>
        <w:tc>
          <w:tcPr>
            <w:tcW w:w="4046"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总计</w:t>
            </w:r>
          </w:p>
        </w:tc>
        <w:tc>
          <w:tcPr>
            <w:tcW w:w="1443" w:type="dxa"/>
            <w:tcBorders>
              <w:top w:val="nil"/>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p>
        </w:tc>
        <w:tc>
          <w:tcPr>
            <w:tcW w:w="2648" w:type="dxa"/>
            <w:tcBorders>
              <w:top w:val="nil"/>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sz w:val="24"/>
              </w:rPr>
            </w:pPr>
          </w:p>
        </w:tc>
        <w:tc>
          <w:tcPr>
            <w:tcW w:w="2473" w:type="dxa"/>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台</w:t>
            </w:r>
          </w:p>
        </w:tc>
        <w:tc>
          <w:tcPr>
            <w:tcW w:w="235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40</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auto"/>
                <w:sz w:val="24"/>
              </w:rPr>
            </w:pPr>
          </w:p>
        </w:tc>
      </w:tr>
    </w:tbl>
    <w:p>
      <w:pPr>
        <w:spacing w:line="20" w:lineRule="exact"/>
        <w:rPr>
          <w:rFonts w:hint="eastAsia" w:ascii="宋体" w:hAnsi="宋体" w:eastAsia="宋体" w:cs="宋体"/>
          <w:color w:val="auto"/>
        </w:rPr>
      </w:pPr>
    </w:p>
    <w:sectPr>
      <w:footnotePr>
        <w:pos w:val="beneathText"/>
      </w:footnotePr>
      <w:pgSz w:w="16838" w:h="11906" w:orient="landscape"/>
      <w:pgMar w:top="1644" w:right="1440" w:bottom="1423" w:left="1219" w:header="720" w:footer="72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altName w:val="宋体"/>
    <w:panose1 w:val="00000000000000000000"/>
    <w:charset w:val="86"/>
    <w:family w:val="modern"/>
    <w:pitch w:val="default"/>
    <w:sig w:usb0="00000000" w:usb1="0000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汉仪魏碑简">
    <w:altName w:val="宋体"/>
    <w:panose1 w:val="00000000000000000000"/>
    <w:charset w:val="86"/>
    <w:family w:val="modern"/>
    <w:pitch w:val="default"/>
    <w:sig w:usb0="00000000" w:usb1="00000000" w:usb2="00000012"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汉仪楷体简">
    <w:altName w:val="宋体"/>
    <w:panose1 w:val="00000000000000000000"/>
    <w:charset w:val="86"/>
    <w:family w:val="modern"/>
    <w:pitch w:val="default"/>
    <w:sig w:usb0="00000000" w:usb1="00000000" w:usb2="00000012" w:usb3="00000000" w:csb0="00040000" w:csb1="00000000"/>
  </w:font>
  <w:font w:name="汉仪中黑简">
    <w:altName w:val="宋体"/>
    <w:panose1 w:val="00000000000000000000"/>
    <w:charset w:val="86"/>
    <w:family w:val="modern"/>
    <w:pitch w:val="default"/>
    <w:sig w:usb0="00000000" w:usb1="00000000" w:usb2="00000012" w:usb3="00000000" w:csb0="00040000" w:csb1="00000000"/>
  </w:font>
  <w:font w:name="Verdana">
    <w:panose1 w:val="020B0604030504040204"/>
    <w:charset w:val="00"/>
    <w:family w:val="swiss"/>
    <w:pitch w:val="default"/>
    <w:sig w:usb0="A10006FF" w:usb1="4000205B" w:usb2="00000010" w:usb3="00000000" w:csb0="2000019F" w:csb1="00000000"/>
  </w:font>
  <w:font w:name="Century Gothic">
    <w:altName w:val="Segoe Print"/>
    <w:panose1 w:val="00000000000000000000"/>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8A856"/>
    <w:multiLevelType w:val="singleLevel"/>
    <w:tmpl w:val="94B8A856"/>
    <w:lvl w:ilvl="0" w:tentative="0">
      <w:start w:val="1"/>
      <w:numFmt w:val="decimal"/>
      <w:suff w:val="nothing"/>
      <w:lvlText w:val="%1、"/>
      <w:lvlJc w:val="left"/>
    </w:lvl>
  </w:abstractNum>
  <w:abstractNum w:abstractNumId="1">
    <w:nsid w:val="96E51064"/>
    <w:multiLevelType w:val="singleLevel"/>
    <w:tmpl w:val="96E51064"/>
    <w:lvl w:ilvl="0" w:tentative="0">
      <w:start w:val="1"/>
      <w:numFmt w:val="chineseCounting"/>
      <w:suff w:val="space"/>
      <w:lvlText w:val="第%1部分"/>
      <w:lvlJc w:val="left"/>
      <w:rPr>
        <w:rFonts w:hint="eastAsia"/>
      </w:rPr>
    </w:lvl>
  </w:abstractNum>
  <w:abstractNum w:abstractNumId="2">
    <w:nsid w:val="B1227FB6"/>
    <w:multiLevelType w:val="singleLevel"/>
    <w:tmpl w:val="B1227FB6"/>
    <w:lvl w:ilvl="0" w:tentative="0">
      <w:start w:val="1"/>
      <w:numFmt w:val="decimal"/>
      <w:suff w:val="nothing"/>
      <w:lvlText w:val="%1、"/>
      <w:lvlJc w:val="left"/>
    </w:lvl>
  </w:abstractNum>
  <w:abstractNum w:abstractNumId="3">
    <w:nsid w:val="CA088A55"/>
    <w:multiLevelType w:val="singleLevel"/>
    <w:tmpl w:val="CA088A55"/>
    <w:lvl w:ilvl="0" w:tentative="0">
      <w:start w:val="1"/>
      <w:numFmt w:val="decimal"/>
      <w:suff w:val="nothing"/>
      <w:lvlText w:val="%1、"/>
      <w:lvlJc w:val="left"/>
      <w:rPr>
        <w:rFonts w:hint="default" w:ascii="宋体" w:hAnsi="宋体" w:eastAsia="宋体" w:cs="宋体"/>
      </w:rPr>
    </w:lvl>
  </w:abstractNum>
  <w:abstractNum w:abstractNumId="4">
    <w:nsid w:val="FD20523C"/>
    <w:multiLevelType w:val="singleLevel"/>
    <w:tmpl w:val="FD20523C"/>
    <w:lvl w:ilvl="0" w:tentative="0">
      <w:start w:val="1"/>
      <w:numFmt w:val="decimal"/>
      <w:suff w:val="nothing"/>
      <w:lvlText w:val="%1、"/>
      <w:lvlJc w:val="left"/>
    </w:lvl>
  </w:abstractNum>
  <w:abstractNum w:abstractNumId="5">
    <w:nsid w:val="2D461D86"/>
    <w:multiLevelType w:val="singleLevel"/>
    <w:tmpl w:val="2D461D86"/>
    <w:lvl w:ilvl="0" w:tentative="0">
      <w:start w:val="5"/>
      <w:numFmt w:val="chineseCounting"/>
      <w:suff w:val="nothing"/>
      <w:lvlText w:val="%1、"/>
      <w:lvlJc w:val="left"/>
      <w:rPr>
        <w:rFonts w:hint="eastAsia"/>
      </w:rPr>
    </w:lvl>
  </w:abstractNum>
  <w:abstractNum w:abstractNumId="6">
    <w:nsid w:val="42F91761"/>
    <w:multiLevelType w:val="multilevel"/>
    <w:tmpl w:val="42F91761"/>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3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74EA0679"/>
    <w:multiLevelType w:val="multilevel"/>
    <w:tmpl w:val="74EA0679"/>
    <w:lvl w:ilvl="0" w:tentative="0">
      <w:start w:val="1"/>
      <w:numFmt w:val="decimal"/>
      <w:lvlText w:val="%1"/>
      <w:lvlJc w:val="left"/>
      <w:pPr>
        <w:tabs>
          <w:tab w:val="left" w:pos="420"/>
        </w:tabs>
        <w:ind w:left="420" w:hanging="250"/>
      </w:pPr>
      <w:rPr>
        <w:rFonts w:hint="default" w:ascii="宋体" w:hAnsi="宋体" w:eastAsia="宋体" w:cs="宋体"/>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1"/>
  </w:num>
  <w:num w:numId="3">
    <w:abstractNumId w:val="7"/>
  </w:num>
  <w:num w:numId="4">
    <w:abstractNumId w:val="0"/>
  </w:num>
  <w:num w:numId="5">
    <w:abstractNumId w:val="5"/>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lZjM4YjI5MGRiMWFmMjkwN2I3NGU3YTRiMDA3NTQifQ=="/>
  </w:docVars>
  <w:rsids>
    <w:rsidRoot w:val="00172A27"/>
    <w:rsid w:val="00003D17"/>
    <w:rsid w:val="000047B9"/>
    <w:rsid w:val="00004F14"/>
    <w:rsid w:val="000054B2"/>
    <w:rsid w:val="00007393"/>
    <w:rsid w:val="00007474"/>
    <w:rsid w:val="00014208"/>
    <w:rsid w:val="000256C3"/>
    <w:rsid w:val="00026847"/>
    <w:rsid w:val="000310E5"/>
    <w:rsid w:val="000331EE"/>
    <w:rsid w:val="00036203"/>
    <w:rsid w:val="00036534"/>
    <w:rsid w:val="00036672"/>
    <w:rsid w:val="000372F4"/>
    <w:rsid w:val="00042EC9"/>
    <w:rsid w:val="00043A45"/>
    <w:rsid w:val="00043C2F"/>
    <w:rsid w:val="00052873"/>
    <w:rsid w:val="00052F7D"/>
    <w:rsid w:val="00053DCF"/>
    <w:rsid w:val="00056B05"/>
    <w:rsid w:val="00061268"/>
    <w:rsid w:val="000621B8"/>
    <w:rsid w:val="000623C2"/>
    <w:rsid w:val="0006767E"/>
    <w:rsid w:val="00070B8E"/>
    <w:rsid w:val="000760E2"/>
    <w:rsid w:val="00077608"/>
    <w:rsid w:val="00077933"/>
    <w:rsid w:val="00077939"/>
    <w:rsid w:val="000808DB"/>
    <w:rsid w:val="00080A6B"/>
    <w:rsid w:val="00081FEE"/>
    <w:rsid w:val="000844EB"/>
    <w:rsid w:val="00084A29"/>
    <w:rsid w:val="00084EC5"/>
    <w:rsid w:val="00085F8F"/>
    <w:rsid w:val="000906B3"/>
    <w:rsid w:val="00092E03"/>
    <w:rsid w:val="00097A5A"/>
    <w:rsid w:val="000A29F7"/>
    <w:rsid w:val="000A3DAD"/>
    <w:rsid w:val="000A50F7"/>
    <w:rsid w:val="000B0310"/>
    <w:rsid w:val="000B2880"/>
    <w:rsid w:val="000B3D80"/>
    <w:rsid w:val="000B5B82"/>
    <w:rsid w:val="000B6C11"/>
    <w:rsid w:val="000C41AE"/>
    <w:rsid w:val="000C432B"/>
    <w:rsid w:val="000C57F2"/>
    <w:rsid w:val="000C719C"/>
    <w:rsid w:val="000D1BAC"/>
    <w:rsid w:val="000D21E3"/>
    <w:rsid w:val="000D2E90"/>
    <w:rsid w:val="000D35DC"/>
    <w:rsid w:val="000D5150"/>
    <w:rsid w:val="000E05AC"/>
    <w:rsid w:val="000E079D"/>
    <w:rsid w:val="000E1A68"/>
    <w:rsid w:val="000E3AC4"/>
    <w:rsid w:val="000E7CE0"/>
    <w:rsid w:val="000F2353"/>
    <w:rsid w:val="000F2FD6"/>
    <w:rsid w:val="000F3488"/>
    <w:rsid w:val="000F59DB"/>
    <w:rsid w:val="000F5AFF"/>
    <w:rsid w:val="00103606"/>
    <w:rsid w:val="001044CC"/>
    <w:rsid w:val="00110163"/>
    <w:rsid w:val="00110591"/>
    <w:rsid w:val="00111F28"/>
    <w:rsid w:val="00112366"/>
    <w:rsid w:val="00112D1D"/>
    <w:rsid w:val="00117577"/>
    <w:rsid w:val="00121AA6"/>
    <w:rsid w:val="00126AE0"/>
    <w:rsid w:val="00131BC2"/>
    <w:rsid w:val="001334B1"/>
    <w:rsid w:val="001339A2"/>
    <w:rsid w:val="00134470"/>
    <w:rsid w:val="00135705"/>
    <w:rsid w:val="00140BCA"/>
    <w:rsid w:val="00141FD8"/>
    <w:rsid w:val="001431C2"/>
    <w:rsid w:val="0015280E"/>
    <w:rsid w:val="00152E39"/>
    <w:rsid w:val="00153D4F"/>
    <w:rsid w:val="00161548"/>
    <w:rsid w:val="00162165"/>
    <w:rsid w:val="00162E6C"/>
    <w:rsid w:val="001639E3"/>
    <w:rsid w:val="001639F7"/>
    <w:rsid w:val="001640D8"/>
    <w:rsid w:val="001655C2"/>
    <w:rsid w:val="00166EB1"/>
    <w:rsid w:val="00167BD2"/>
    <w:rsid w:val="001704F0"/>
    <w:rsid w:val="00170541"/>
    <w:rsid w:val="00172A27"/>
    <w:rsid w:val="00176181"/>
    <w:rsid w:val="001800B9"/>
    <w:rsid w:val="00181374"/>
    <w:rsid w:val="0019202C"/>
    <w:rsid w:val="001946AA"/>
    <w:rsid w:val="001A0410"/>
    <w:rsid w:val="001A0CEB"/>
    <w:rsid w:val="001A29CD"/>
    <w:rsid w:val="001A4189"/>
    <w:rsid w:val="001A5342"/>
    <w:rsid w:val="001A63D2"/>
    <w:rsid w:val="001A65B4"/>
    <w:rsid w:val="001B1B17"/>
    <w:rsid w:val="001B3552"/>
    <w:rsid w:val="001B4CEB"/>
    <w:rsid w:val="001B734F"/>
    <w:rsid w:val="001C0297"/>
    <w:rsid w:val="001C0F13"/>
    <w:rsid w:val="001C2191"/>
    <w:rsid w:val="001C4B84"/>
    <w:rsid w:val="001C4C04"/>
    <w:rsid w:val="001D0938"/>
    <w:rsid w:val="001D4D89"/>
    <w:rsid w:val="001D7F5A"/>
    <w:rsid w:val="001E07D1"/>
    <w:rsid w:val="001E2F71"/>
    <w:rsid w:val="001E3D5B"/>
    <w:rsid w:val="001E43D1"/>
    <w:rsid w:val="001E43F7"/>
    <w:rsid w:val="001E4529"/>
    <w:rsid w:val="001E54AD"/>
    <w:rsid w:val="001E77FD"/>
    <w:rsid w:val="001F049E"/>
    <w:rsid w:val="001F1173"/>
    <w:rsid w:val="001F27EB"/>
    <w:rsid w:val="001F45F6"/>
    <w:rsid w:val="001F49E4"/>
    <w:rsid w:val="001F6298"/>
    <w:rsid w:val="001F7743"/>
    <w:rsid w:val="001F79FD"/>
    <w:rsid w:val="00202402"/>
    <w:rsid w:val="0020400D"/>
    <w:rsid w:val="00205D52"/>
    <w:rsid w:val="00205E0B"/>
    <w:rsid w:val="00207DAC"/>
    <w:rsid w:val="00212376"/>
    <w:rsid w:val="00212A4A"/>
    <w:rsid w:val="00212A95"/>
    <w:rsid w:val="00213439"/>
    <w:rsid w:val="00217EDE"/>
    <w:rsid w:val="002217FB"/>
    <w:rsid w:val="00222780"/>
    <w:rsid w:val="00223EF2"/>
    <w:rsid w:val="00230D14"/>
    <w:rsid w:val="00232343"/>
    <w:rsid w:val="00232D77"/>
    <w:rsid w:val="00234185"/>
    <w:rsid w:val="00234C47"/>
    <w:rsid w:val="00240572"/>
    <w:rsid w:val="002406FF"/>
    <w:rsid w:val="00241007"/>
    <w:rsid w:val="00242261"/>
    <w:rsid w:val="002424CE"/>
    <w:rsid w:val="002436A3"/>
    <w:rsid w:val="0024387A"/>
    <w:rsid w:val="00244ADE"/>
    <w:rsid w:val="00246622"/>
    <w:rsid w:val="00246FC0"/>
    <w:rsid w:val="002470FD"/>
    <w:rsid w:val="00250C2B"/>
    <w:rsid w:val="00253669"/>
    <w:rsid w:val="002545A9"/>
    <w:rsid w:val="00254943"/>
    <w:rsid w:val="002574A8"/>
    <w:rsid w:val="00260A27"/>
    <w:rsid w:val="00260D57"/>
    <w:rsid w:val="00261B55"/>
    <w:rsid w:val="00264A4C"/>
    <w:rsid w:val="00265B18"/>
    <w:rsid w:val="00267995"/>
    <w:rsid w:val="00270FFA"/>
    <w:rsid w:val="00274EC7"/>
    <w:rsid w:val="0027635F"/>
    <w:rsid w:val="00280C43"/>
    <w:rsid w:val="00282582"/>
    <w:rsid w:val="00282E22"/>
    <w:rsid w:val="002833C1"/>
    <w:rsid w:val="00285108"/>
    <w:rsid w:val="002851FD"/>
    <w:rsid w:val="00286095"/>
    <w:rsid w:val="002914BD"/>
    <w:rsid w:val="00292187"/>
    <w:rsid w:val="002924DA"/>
    <w:rsid w:val="00295A02"/>
    <w:rsid w:val="002978E5"/>
    <w:rsid w:val="002A05E8"/>
    <w:rsid w:val="002A112E"/>
    <w:rsid w:val="002A1A97"/>
    <w:rsid w:val="002A4805"/>
    <w:rsid w:val="002A5B21"/>
    <w:rsid w:val="002B076F"/>
    <w:rsid w:val="002B08F3"/>
    <w:rsid w:val="002B3ACE"/>
    <w:rsid w:val="002B41B8"/>
    <w:rsid w:val="002B48CC"/>
    <w:rsid w:val="002B7063"/>
    <w:rsid w:val="002C0364"/>
    <w:rsid w:val="002C3C97"/>
    <w:rsid w:val="002C471B"/>
    <w:rsid w:val="002C5A65"/>
    <w:rsid w:val="002C6396"/>
    <w:rsid w:val="002D2DEE"/>
    <w:rsid w:val="002D2EB9"/>
    <w:rsid w:val="002D5AC8"/>
    <w:rsid w:val="002E309F"/>
    <w:rsid w:val="002E36DF"/>
    <w:rsid w:val="002E3ADA"/>
    <w:rsid w:val="002E5939"/>
    <w:rsid w:val="002E5E10"/>
    <w:rsid w:val="002E7CDA"/>
    <w:rsid w:val="002F000A"/>
    <w:rsid w:val="002F05E6"/>
    <w:rsid w:val="002F1DB4"/>
    <w:rsid w:val="002F5E09"/>
    <w:rsid w:val="002F6730"/>
    <w:rsid w:val="002F68C4"/>
    <w:rsid w:val="00300C8C"/>
    <w:rsid w:val="0030261B"/>
    <w:rsid w:val="00306206"/>
    <w:rsid w:val="0031096B"/>
    <w:rsid w:val="00311A2A"/>
    <w:rsid w:val="00311A69"/>
    <w:rsid w:val="00312A37"/>
    <w:rsid w:val="00313A6A"/>
    <w:rsid w:val="00314EE3"/>
    <w:rsid w:val="00315CA1"/>
    <w:rsid w:val="00316E42"/>
    <w:rsid w:val="00325A13"/>
    <w:rsid w:val="00326A94"/>
    <w:rsid w:val="003274CF"/>
    <w:rsid w:val="00331C49"/>
    <w:rsid w:val="00331EFB"/>
    <w:rsid w:val="0033495E"/>
    <w:rsid w:val="00340F3A"/>
    <w:rsid w:val="00343271"/>
    <w:rsid w:val="00347296"/>
    <w:rsid w:val="00347C3A"/>
    <w:rsid w:val="00350077"/>
    <w:rsid w:val="0035316D"/>
    <w:rsid w:val="0035748D"/>
    <w:rsid w:val="00362030"/>
    <w:rsid w:val="00365849"/>
    <w:rsid w:val="003662BC"/>
    <w:rsid w:val="00371FDE"/>
    <w:rsid w:val="003723D2"/>
    <w:rsid w:val="00372A5B"/>
    <w:rsid w:val="00373425"/>
    <w:rsid w:val="00375053"/>
    <w:rsid w:val="00376201"/>
    <w:rsid w:val="00376FFE"/>
    <w:rsid w:val="00380624"/>
    <w:rsid w:val="00380980"/>
    <w:rsid w:val="00381771"/>
    <w:rsid w:val="003835CF"/>
    <w:rsid w:val="00384D40"/>
    <w:rsid w:val="00385A1F"/>
    <w:rsid w:val="0038746E"/>
    <w:rsid w:val="003900B7"/>
    <w:rsid w:val="00390F2B"/>
    <w:rsid w:val="00394492"/>
    <w:rsid w:val="00394687"/>
    <w:rsid w:val="00395CFC"/>
    <w:rsid w:val="003A10AB"/>
    <w:rsid w:val="003A34F1"/>
    <w:rsid w:val="003A48D2"/>
    <w:rsid w:val="003A55F0"/>
    <w:rsid w:val="003A5631"/>
    <w:rsid w:val="003A623D"/>
    <w:rsid w:val="003A6998"/>
    <w:rsid w:val="003A719A"/>
    <w:rsid w:val="003A72B7"/>
    <w:rsid w:val="003A7E0E"/>
    <w:rsid w:val="003B240C"/>
    <w:rsid w:val="003B2CF2"/>
    <w:rsid w:val="003C09F1"/>
    <w:rsid w:val="003C2091"/>
    <w:rsid w:val="003C2263"/>
    <w:rsid w:val="003C4F75"/>
    <w:rsid w:val="003D0017"/>
    <w:rsid w:val="003D11AD"/>
    <w:rsid w:val="003D2D85"/>
    <w:rsid w:val="003D34B8"/>
    <w:rsid w:val="003D4AFF"/>
    <w:rsid w:val="003D6078"/>
    <w:rsid w:val="003E0268"/>
    <w:rsid w:val="003E0ECE"/>
    <w:rsid w:val="003E2F47"/>
    <w:rsid w:val="003E3466"/>
    <w:rsid w:val="003E57FB"/>
    <w:rsid w:val="003E7EC2"/>
    <w:rsid w:val="003F03B5"/>
    <w:rsid w:val="003F0714"/>
    <w:rsid w:val="003F0819"/>
    <w:rsid w:val="003F1F90"/>
    <w:rsid w:val="003F31DC"/>
    <w:rsid w:val="003F3A78"/>
    <w:rsid w:val="003F3DBF"/>
    <w:rsid w:val="0040078C"/>
    <w:rsid w:val="004136BD"/>
    <w:rsid w:val="004154F4"/>
    <w:rsid w:val="004156D8"/>
    <w:rsid w:val="00420EE7"/>
    <w:rsid w:val="0042113E"/>
    <w:rsid w:val="00421D3C"/>
    <w:rsid w:val="00421D78"/>
    <w:rsid w:val="0042436A"/>
    <w:rsid w:val="004319A7"/>
    <w:rsid w:val="004321A9"/>
    <w:rsid w:val="004325BD"/>
    <w:rsid w:val="004325D6"/>
    <w:rsid w:val="00432A6D"/>
    <w:rsid w:val="00434E07"/>
    <w:rsid w:val="00434FBD"/>
    <w:rsid w:val="0043644F"/>
    <w:rsid w:val="00436862"/>
    <w:rsid w:val="00437723"/>
    <w:rsid w:val="00441584"/>
    <w:rsid w:val="00442D96"/>
    <w:rsid w:val="004437DC"/>
    <w:rsid w:val="0044403E"/>
    <w:rsid w:val="00450AD2"/>
    <w:rsid w:val="004516E1"/>
    <w:rsid w:val="004521E1"/>
    <w:rsid w:val="00456CCA"/>
    <w:rsid w:val="00457C41"/>
    <w:rsid w:val="004600BF"/>
    <w:rsid w:val="004601AF"/>
    <w:rsid w:val="00462D5C"/>
    <w:rsid w:val="00464C37"/>
    <w:rsid w:val="00465EA5"/>
    <w:rsid w:val="004678F8"/>
    <w:rsid w:val="00470859"/>
    <w:rsid w:val="00470B32"/>
    <w:rsid w:val="0047508C"/>
    <w:rsid w:val="004753B1"/>
    <w:rsid w:val="00476F7B"/>
    <w:rsid w:val="004805D5"/>
    <w:rsid w:val="004819EB"/>
    <w:rsid w:val="00484696"/>
    <w:rsid w:val="00485DB8"/>
    <w:rsid w:val="00486D93"/>
    <w:rsid w:val="004900E8"/>
    <w:rsid w:val="00492FD6"/>
    <w:rsid w:val="00493AF7"/>
    <w:rsid w:val="004A08E2"/>
    <w:rsid w:val="004A13BB"/>
    <w:rsid w:val="004A16C2"/>
    <w:rsid w:val="004A60D1"/>
    <w:rsid w:val="004A622F"/>
    <w:rsid w:val="004A6582"/>
    <w:rsid w:val="004B0DF9"/>
    <w:rsid w:val="004B0E88"/>
    <w:rsid w:val="004B14FE"/>
    <w:rsid w:val="004B5A87"/>
    <w:rsid w:val="004B7851"/>
    <w:rsid w:val="004C06F0"/>
    <w:rsid w:val="004C18F5"/>
    <w:rsid w:val="004C3181"/>
    <w:rsid w:val="004C5783"/>
    <w:rsid w:val="004D153D"/>
    <w:rsid w:val="004D1565"/>
    <w:rsid w:val="004D500C"/>
    <w:rsid w:val="004D6426"/>
    <w:rsid w:val="004D758B"/>
    <w:rsid w:val="004E0B5F"/>
    <w:rsid w:val="004E0D01"/>
    <w:rsid w:val="004E1BF8"/>
    <w:rsid w:val="004E25F0"/>
    <w:rsid w:val="004E2FB6"/>
    <w:rsid w:val="004E5694"/>
    <w:rsid w:val="004F02FF"/>
    <w:rsid w:val="004F4EEF"/>
    <w:rsid w:val="004F60AE"/>
    <w:rsid w:val="004F6627"/>
    <w:rsid w:val="004F6672"/>
    <w:rsid w:val="004F7A6F"/>
    <w:rsid w:val="005007C6"/>
    <w:rsid w:val="00500F72"/>
    <w:rsid w:val="005022E0"/>
    <w:rsid w:val="00503026"/>
    <w:rsid w:val="005048FB"/>
    <w:rsid w:val="005114D0"/>
    <w:rsid w:val="00511B56"/>
    <w:rsid w:val="005126FF"/>
    <w:rsid w:val="00515B79"/>
    <w:rsid w:val="00515FB3"/>
    <w:rsid w:val="005173BA"/>
    <w:rsid w:val="0051741C"/>
    <w:rsid w:val="005214F8"/>
    <w:rsid w:val="005215DD"/>
    <w:rsid w:val="0052226D"/>
    <w:rsid w:val="00527C37"/>
    <w:rsid w:val="00531064"/>
    <w:rsid w:val="00532318"/>
    <w:rsid w:val="0053631A"/>
    <w:rsid w:val="005412E4"/>
    <w:rsid w:val="00545937"/>
    <w:rsid w:val="00546CBC"/>
    <w:rsid w:val="0054739B"/>
    <w:rsid w:val="0055135C"/>
    <w:rsid w:val="005520C1"/>
    <w:rsid w:val="00552837"/>
    <w:rsid w:val="00552943"/>
    <w:rsid w:val="00554355"/>
    <w:rsid w:val="00560500"/>
    <w:rsid w:val="00561CC9"/>
    <w:rsid w:val="0056269C"/>
    <w:rsid w:val="00566956"/>
    <w:rsid w:val="00567FE9"/>
    <w:rsid w:val="005720CB"/>
    <w:rsid w:val="00574634"/>
    <w:rsid w:val="00575764"/>
    <w:rsid w:val="00575EC8"/>
    <w:rsid w:val="00584138"/>
    <w:rsid w:val="005876A3"/>
    <w:rsid w:val="00594CFC"/>
    <w:rsid w:val="00594DF4"/>
    <w:rsid w:val="00595221"/>
    <w:rsid w:val="005957AD"/>
    <w:rsid w:val="00596A55"/>
    <w:rsid w:val="00596B36"/>
    <w:rsid w:val="005A21A3"/>
    <w:rsid w:val="005A4E41"/>
    <w:rsid w:val="005A6D98"/>
    <w:rsid w:val="005A6EAC"/>
    <w:rsid w:val="005A70B6"/>
    <w:rsid w:val="005A731B"/>
    <w:rsid w:val="005B507E"/>
    <w:rsid w:val="005B6331"/>
    <w:rsid w:val="005B79B7"/>
    <w:rsid w:val="005C152C"/>
    <w:rsid w:val="005C3191"/>
    <w:rsid w:val="005C3E28"/>
    <w:rsid w:val="005C5A4C"/>
    <w:rsid w:val="005C5BAF"/>
    <w:rsid w:val="005D189B"/>
    <w:rsid w:val="005D37CD"/>
    <w:rsid w:val="005D410B"/>
    <w:rsid w:val="005D4A2F"/>
    <w:rsid w:val="005D679D"/>
    <w:rsid w:val="005D6BDD"/>
    <w:rsid w:val="005E039C"/>
    <w:rsid w:val="005E08D8"/>
    <w:rsid w:val="005E0C6E"/>
    <w:rsid w:val="005E269A"/>
    <w:rsid w:val="005E2D2A"/>
    <w:rsid w:val="005E4AFD"/>
    <w:rsid w:val="005E534B"/>
    <w:rsid w:val="005E6F2F"/>
    <w:rsid w:val="005F00EE"/>
    <w:rsid w:val="005F0DEB"/>
    <w:rsid w:val="005F3543"/>
    <w:rsid w:val="005F420D"/>
    <w:rsid w:val="005F4831"/>
    <w:rsid w:val="005F52BD"/>
    <w:rsid w:val="005F7012"/>
    <w:rsid w:val="00600816"/>
    <w:rsid w:val="00601665"/>
    <w:rsid w:val="00602494"/>
    <w:rsid w:val="0060330C"/>
    <w:rsid w:val="00603769"/>
    <w:rsid w:val="0060654A"/>
    <w:rsid w:val="0061222D"/>
    <w:rsid w:val="00616C09"/>
    <w:rsid w:val="00625F45"/>
    <w:rsid w:val="00626E53"/>
    <w:rsid w:val="006306AD"/>
    <w:rsid w:val="0063071A"/>
    <w:rsid w:val="006321E7"/>
    <w:rsid w:val="006374A5"/>
    <w:rsid w:val="00643161"/>
    <w:rsid w:val="00645E5C"/>
    <w:rsid w:val="006465B3"/>
    <w:rsid w:val="00652A9E"/>
    <w:rsid w:val="006533F7"/>
    <w:rsid w:val="00655768"/>
    <w:rsid w:val="00657209"/>
    <w:rsid w:val="00663658"/>
    <w:rsid w:val="00664151"/>
    <w:rsid w:val="00665134"/>
    <w:rsid w:val="006660D6"/>
    <w:rsid w:val="00666987"/>
    <w:rsid w:val="006707C1"/>
    <w:rsid w:val="006723AE"/>
    <w:rsid w:val="006761FE"/>
    <w:rsid w:val="00676AFC"/>
    <w:rsid w:val="00677515"/>
    <w:rsid w:val="00680074"/>
    <w:rsid w:val="0068050A"/>
    <w:rsid w:val="00681E16"/>
    <w:rsid w:val="006836AC"/>
    <w:rsid w:val="0068709D"/>
    <w:rsid w:val="0069074F"/>
    <w:rsid w:val="00692B26"/>
    <w:rsid w:val="00694784"/>
    <w:rsid w:val="00695863"/>
    <w:rsid w:val="00696BF3"/>
    <w:rsid w:val="0069722E"/>
    <w:rsid w:val="0069741D"/>
    <w:rsid w:val="006A498B"/>
    <w:rsid w:val="006A4EE6"/>
    <w:rsid w:val="006A76F3"/>
    <w:rsid w:val="006A7D01"/>
    <w:rsid w:val="006A7FEF"/>
    <w:rsid w:val="006B11A4"/>
    <w:rsid w:val="006B31E8"/>
    <w:rsid w:val="006B56FF"/>
    <w:rsid w:val="006B6246"/>
    <w:rsid w:val="006C6AD0"/>
    <w:rsid w:val="006C7340"/>
    <w:rsid w:val="006D02E7"/>
    <w:rsid w:val="006D043D"/>
    <w:rsid w:val="006D099F"/>
    <w:rsid w:val="006D42FE"/>
    <w:rsid w:val="006D5CAA"/>
    <w:rsid w:val="006E12C9"/>
    <w:rsid w:val="006E1FB4"/>
    <w:rsid w:val="006E3882"/>
    <w:rsid w:val="006E3C07"/>
    <w:rsid w:val="006E4321"/>
    <w:rsid w:val="006E6BE6"/>
    <w:rsid w:val="006F208C"/>
    <w:rsid w:val="006F50D6"/>
    <w:rsid w:val="006F5E45"/>
    <w:rsid w:val="006F76DB"/>
    <w:rsid w:val="007031B9"/>
    <w:rsid w:val="00704489"/>
    <w:rsid w:val="00704490"/>
    <w:rsid w:val="00705199"/>
    <w:rsid w:val="00705FF3"/>
    <w:rsid w:val="007075E8"/>
    <w:rsid w:val="0071440D"/>
    <w:rsid w:val="007149DD"/>
    <w:rsid w:val="00714E42"/>
    <w:rsid w:val="00716CAC"/>
    <w:rsid w:val="0071744C"/>
    <w:rsid w:val="00721462"/>
    <w:rsid w:val="0072274B"/>
    <w:rsid w:val="007235BD"/>
    <w:rsid w:val="007244B9"/>
    <w:rsid w:val="007308AD"/>
    <w:rsid w:val="00730D96"/>
    <w:rsid w:val="00731005"/>
    <w:rsid w:val="00732669"/>
    <w:rsid w:val="007326EC"/>
    <w:rsid w:val="0073429F"/>
    <w:rsid w:val="007374B1"/>
    <w:rsid w:val="00741101"/>
    <w:rsid w:val="00741E95"/>
    <w:rsid w:val="00743576"/>
    <w:rsid w:val="0074473E"/>
    <w:rsid w:val="00750DC6"/>
    <w:rsid w:val="0075504D"/>
    <w:rsid w:val="00761106"/>
    <w:rsid w:val="00761E98"/>
    <w:rsid w:val="00762FA9"/>
    <w:rsid w:val="007635BD"/>
    <w:rsid w:val="00763D8D"/>
    <w:rsid w:val="007643DB"/>
    <w:rsid w:val="0076466B"/>
    <w:rsid w:val="007659F9"/>
    <w:rsid w:val="007674BA"/>
    <w:rsid w:val="00767D58"/>
    <w:rsid w:val="00770558"/>
    <w:rsid w:val="0077200D"/>
    <w:rsid w:val="007722E8"/>
    <w:rsid w:val="00772932"/>
    <w:rsid w:val="0077298B"/>
    <w:rsid w:val="00773213"/>
    <w:rsid w:val="00773968"/>
    <w:rsid w:val="00774755"/>
    <w:rsid w:val="007747E9"/>
    <w:rsid w:val="00777A51"/>
    <w:rsid w:val="00781221"/>
    <w:rsid w:val="007815FB"/>
    <w:rsid w:val="00781CA2"/>
    <w:rsid w:val="00781F45"/>
    <w:rsid w:val="00782244"/>
    <w:rsid w:val="007867CC"/>
    <w:rsid w:val="00786AA0"/>
    <w:rsid w:val="007901E7"/>
    <w:rsid w:val="0079028D"/>
    <w:rsid w:val="0079083F"/>
    <w:rsid w:val="007929E2"/>
    <w:rsid w:val="00793577"/>
    <w:rsid w:val="00794B0B"/>
    <w:rsid w:val="00794CFF"/>
    <w:rsid w:val="00795D38"/>
    <w:rsid w:val="00797D4F"/>
    <w:rsid w:val="007A0389"/>
    <w:rsid w:val="007A15A6"/>
    <w:rsid w:val="007A2954"/>
    <w:rsid w:val="007A2D6B"/>
    <w:rsid w:val="007A5A71"/>
    <w:rsid w:val="007A7896"/>
    <w:rsid w:val="007A7CF6"/>
    <w:rsid w:val="007B16AB"/>
    <w:rsid w:val="007B1E63"/>
    <w:rsid w:val="007B4A52"/>
    <w:rsid w:val="007B6469"/>
    <w:rsid w:val="007B6795"/>
    <w:rsid w:val="007B682A"/>
    <w:rsid w:val="007C1CC7"/>
    <w:rsid w:val="007C2D82"/>
    <w:rsid w:val="007C36DE"/>
    <w:rsid w:val="007C3FA1"/>
    <w:rsid w:val="007C5936"/>
    <w:rsid w:val="007C72F8"/>
    <w:rsid w:val="007C7BA7"/>
    <w:rsid w:val="007D2886"/>
    <w:rsid w:val="007D36F6"/>
    <w:rsid w:val="007D3806"/>
    <w:rsid w:val="007D6617"/>
    <w:rsid w:val="007E0A3B"/>
    <w:rsid w:val="007E3482"/>
    <w:rsid w:val="007E58B8"/>
    <w:rsid w:val="007E6981"/>
    <w:rsid w:val="007E6F8A"/>
    <w:rsid w:val="007F251C"/>
    <w:rsid w:val="007F29A2"/>
    <w:rsid w:val="007F39D6"/>
    <w:rsid w:val="007F43A2"/>
    <w:rsid w:val="007F47B5"/>
    <w:rsid w:val="007F4912"/>
    <w:rsid w:val="007F7D53"/>
    <w:rsid w:val="00802FF5"/>
    <w:rsid w:val="00810E64"/>
    <w:rsid w:val="008112A3"/>
    <w:rsid w:val="00812237"/>
    <w:rsid w:val="00814103"/>
    <w:rsid w:val="008151AD"/>
    <w:rsid w:val="00820370"/>
    <w:rsid w:val="00822D71"/>
    <w:rsid w:val="00825CCD"/>
    <w:rsid w:val="00826296"/>
    <w:rsid w:val="00832FC7"/>
    <w:rsid w:val="008372DB"/>
    <w:rsid w:val="0084036F"/>
    <w:rsid w:val="008411E5"/>
    <w:rsid w:val="00841B48"/>
    <w:rsid w:val="00842AD2"/>
    <w:rsid w:val="00843673"/>
    <w:rsid w:val="00843919"/>
    <w:rsid w:val="00843E42"/>
    <w:rsid w:val="00844BC1"/>
    <w:rsid w:val="00846EB5"/>
    <w:rsid w:val="008470B3"/>
    <w:rsid w:val="00853F58"/>
    <w:rsid w:val="0085602E"/>
    <w:rsid w:val="00865B7E"/>
    <w:rsid w:val="0087053C"/>
    <w:rsid w:val="00873AB2"/>
    <w:rsid w:val="0087458E"/>
    <w:rsid w:val="00875A99"/>
    <w:rsid w:val="00880BF5"/>
    <w:rsid w:val="00880F34"/>
    <w:rsid w:val="00883D5D"/>
    <w:rsid w:val="00884AC7"/>
    <w:rsid w:val="00886374"/>
    <w:rsid w:val="008873F8"/>
    <w:rsid w:val="00891594"/>
    <w:rsid w:val="0089446E"/>
    <w:rsid w:val="00894EA9"/>
    <w:rsid w:val="008A08EB"/>
    <w:rsid w:val="008A191C"/>
    <w:rsid w:val="008A48A4"/>
    <w:rsid w:val="008A4D62"/>
    <w:rsid w:val="008A666E"/>
    <w:rsid w:val="008B106D"/>
    <w:rsid w:val="008B1354"/>
    <w:rsid w:val="008B55C7"/>
    <w:rsid w:val="008B5BD2"/>
    <w:rsid w:val="008B6CD5"/>
    <w:rsid w:val="008B79E5"/>
    <w:rsid w:val="008C1A9D"/>
    <w:rsid w:val="008C251D"/>
    <w:rsid w:val="008C267E"/>
    <w:rsid w:val="008C364C"/>
    <w:rsid w:val="008C3C7F"/>
    <w:rsid w:val="008C47F1"/>
    <w:rsid w:val="008C52F7"/>
    <w:rsid w:val="008D155E"/>
    <w:rsid w:val="008D1ED1"/>
    <w:rsid w:val="008E03F9"/>
    <w:rsid w:val="008E35E7"/>
    <w:rsid w:val="008E46E9"/>
    <w:rsid w:val="008E51EE"/>
    <w:rsid w:val="008E71E5"/>
    <w:rsid w:val="008F123B"/>
    <w:rsid w:val="008F15D7"/>
    <w:rsid w:val="008F1985"/>
    <w:rsid w:val="008F2301"/>
    <w:rsid w:val="008F38EF"/>
    <w:rsid w:val="008F70EE"/>
    <w:rsid w:val="00901B59"/>
    <w:rsid w:val="009028F2"/>
    <w:rsid w:val="009043E1"/>
    <w:rsid w:val="009115A0"/>
    <w:rsid w:val="00913256"/>
    <w:rsid w:val="00913DE1"/>
    <w:rsid w:val="00914DDC"/>
    <w:rsid w:val="00921F63"/>
    <w:rsid w:val="00923FAE"/>
    <w:rsid w:val="00923FEF"/>
    <w:rsid w:val="00924542"/>
    <w:rsid w:val="00927A45"/>
    <w:rsid w:val="00931530"/>
    <w:rsid w:val="00931FC1"/>
    <w:rsid w:val="009349F0"/>
    <w:rsid w:val="009363E3"/>
    <w:rsid w:val="00937E79"/>
    <w:rsid w:val="009413D5"/>
    <w:rsid w:val="00942ECB"/>
    <w:rsid w:val="009438D7"/>
    <w:rsid w:val="00943911"/>
    <w:rsid w:val="00944100"/>
    <w:rsid w:val="00944523"/>
    <w:rsid w:val="00944F3B"/>
    <w:rsid w:val="009455B1"/>
    <w:rsid w:val="00951418"/>
    <w:rsid w:val="009532D3"/>
    <w:rsid w:val="009538C7"/>
    <w:rsid w:val="0095727E"/>
    <w:rsid w:val="009642E8"/>
    <w:rsid w:val="0096792A"/>
    <w:rsid w:val="00967C61"/>
    <w:rsid w:val="00970325"/>
    <w:rsid w:val="0097054F"/>
    <w:rsid w:val="009717A4"/>
    <w:rsid w:val="009720FE"/>
    <w:rsid w:val="00973484"/>
    <w:rsid w:val="00974070"/>
    <w:rsid w:val="00982AD8"/>
    <w:rsid w:val="00983DD5"/>
    <w:rsid w:val="0098411A"/>
    <w:rsid w:val="00984E61"/>
    <w:rsid w:val="00985897"/>
    <w:rsid w:val="009875DE"/>
    <w:rsid w:val="009879E6"/>
    <w:rsid w:val="00987DD6"/>
    <w:rsid w:val="00994830"/>
    <w:rsid w:val="00994B21"/>
    <w:rsid w:val="00994DA0"/>
    <w:rsid w:val="0099504C"/>
    <w:rsid w:val="00995146"/>
    <w:rsid w:val="00995F77"/>
    <w:rsid w:val="0099790D"/>
    <w:rsid w:val="009A091F"/>
    <w:rsid w:val="009A1A2E"/>
    <w:rsid w:val="009B090D"/>
    <w:rsid w:val="009B46C2"/>
    <w:rsid w:val="009B4A82"/>
    <w:rsid w:val="009C0EE3"/>
    <w:rsid w:val="009C1FB6"/>
    <w:rsid w:val="009C2CD7"/>
    <w:rsid w:val="009C5881"/>
    <w:rsid w:val="009C64C0"/>
    <w:rsid w:val="009C6A97"/>
    <w:rsid w:val="009C712A"/>
    <w:rsid w:val="009C730C"/>
    <w:rsid w:val="009D2A34"/>
    <w:rsid w:val="009E15B4"/>
    <w:rsid w:val="009E422C"/>
    <w:rsid w:val="009E44C0"/>
    <w:rsid w:val="009E53A8"/>
    <w:rsid w:val="009E6EB3"/>
    <w:rsid w:val="009E76A2"/>
    <w:rsid w:val="009F19EB"/>
    <w:rsid w:val="009F2185"/>
    <w:rsid w:val="009F2BA5"/>
    <w:rsid w:val="009F5C63"/>
    <w:rsid w:val="009F5E5A"/>
    <w:rsid w:val="009F636F"/>
    <w:rsid w:val="009F640F"/>
    <w:rsid w:val="00A0020D"/>
    <w:rsid w:val="00A00C47"/>
    <w:rsid w:val="00A017DB"/>
    <w:rsid w:val="00A0264A"/>
    <w:rsid w:val="00A03385"/>
    <w:rsid w:val="00A04706"/>
    <w:rsid w:val="00A0614F"/>
    <w:rsid w:val="00A07383"/>
    <w:rsid w:val="00A1341D"/>
    <w:rsid w:val="00A13D62"/>
    <w:rsid w:val="00A1477D"/>
    <w:rsid w:val="00A15016"/>
    <w:rsid w:val="00A174BE"/>
    <w:rsid w:val="00A20138"/>
    <w:rsid w:val="00A23C25"/>
    <w:rsid w:val="00A23E0B"/>
    <w:rsid w:val="00A2571D"/>
    <w:rsid w:val="00A315F8"/>
    <w:rsid w:val="00A33B75"/>
    <w:rsid w:val="00A34005"/>
    <w:rsid w:val="00A369AC"/>
    <w:rsid w:val="00A40629"/>
    <w:rsid w:val="00A411DB"/>
    <w:rsid w:val="00A41B18"/>
    <w:rsid w:val="00A4207A"/>
    <w:rsid w:val="00A4459C"/>
    <w:rsid w:val="00A44CCB"/>
    <w:rsid w:val="00A453E9"/>
    <w:rsid w:val="00A46C40"/>
    <w:rsid w:val="00A53AA6"/>
    <w:rsid w:val="00A55B64"/>
    <w:rsid w:val="00A55CA1"/>
    <w:rsid w:val="00A5624B"/>
    <w:rsid w:val="00A5698F"/>
    <w:rsid w:val="00A57026"/>
    <w:rsid w:val="00A5742F"/>
    <w:rsid w:val="00A60E13"/>
    <w:rsid w:val="00A61E1A"/>
    <w:rsid w:val="00A63359"/>
    <w:rsid w:val="00A644D0"/>
    <w:rsid w:val="00A64C4F"/>
    <w:rsid w:val="00A660E8"/>
    <w:rsid w:val="00A66B87"/>
    <w:rsid w:val="00A66D39"/>
    <w:rsid w:val="00A67837"/>
    <w:rsid w:val="00A701AD"/>
    <w:rsid w:val="00A70761"/>
    <w:rsid w:val="00A70B59"/>
    <w:rsid w:val="00A719F8"/>
    <w:rsid w:val="00A724D8"/>
    <w:rsid w:val="00A73230"/>
    <w:rsid w:val="00A75B0E"/>
    <w:rsid w:val="00A773DF"/>
    <w:rsid w:val="00A7794B"/>
    <w:rsid w:val="00A809AE"/>
    <w:rsid w:val="00A824B7"/>
    <w:rsid w:val="00A87B30"/>
    <w:rsid w:val="00A92373"/>
    <w:rsid w:val="00A931E9"/>
    <w:rsid w:val="00A949F8"/>
    <w:rsid w:val="00A962ED"/>
    <w:rsid w:val="00AA0995"/>
    <w:rsid w:val="00AA0A83"/>
    <w:rsid w:val="00AA12F7"/>
    <w:rsid w:val="00AA1986"/>
    <w:rsid w:val="00AA24A0"/>
    <w:rsid w:val="00AA3129"/>
    <w:rsid w:val="00AA340A"/>
    <w:rsid w:val="00AA3BED"/>
    <w:rsid w:val="00AA3F3C"/>
    <w:rsid w:val="00AA608B"/>
    <w:rsid w:val="00AA6CA9"/>
    <w:rsid w:val="00AB0B62"/>
    <w:rsid w:val="00AC36A3"/>
    <w:rsid w:val="00AC5D99"/>
    <w:rsid w:val="00AC7115"/>
    <w:rsid w:val="00AD744D"/>
    <w:rsid w:val="00AE0809"/>
    <w:rsid w:val="00AE470A"/>
    <w:rsid w:val="00AE585B"/>
    <w:rsid w:val="00AF1EEE"/>
    <w:rsid w:val="00AF4244"/>
    <w:rsid w:val="00AF6119"/>
    <w:rsid w:val="00AF63BB"/>
    <w:rsid w:val="00AF671A"/>
    <w:rsid w:val="00AF6804"/>
    <w:rsid w:val="00B00649"/>
    <w:rsid w:val="00B01E35"/>
    <w:rsid w:val="00B0324D"/>
    <w:rsid w:val="00B03E20"/>
    <w:rsid w:val="00B04B6B"/>
    <w:rsid w:val="00B06B02"/>
    <w:rsid w:val="00B10810"/>
    <w:rsid w:val="00B15C65"/>
    <w:rsid w:val="00B15F3E"/>
    <w:rsid w:val="00B22C45"/>
    <w:rsid w:val="00B22CF7"/>
    <w:rsid w:val="00B2489E"/>
    <w:rsid w:val="00B24BDA"/>
    <w:rsid w:val="00B2669A"/>
    <w:rsid w:val="00B3041B"/>
    <w:rsid w:val="00B31824"/>
    <w:rsid w:val="00B31E9E"/>
    <w:rsid w:val="00B41450"/>
    <w:rsid w:val="00B4210B"/>
    <w:rsid w:val="00B426F4"/>
    <w:rsid w:val="00B42E41"/>
    <w:rsid w:val="00B44D12"/>
    <w:rsid w:val="00B46EFC"/>
    <w:rsid w:val="00B5216D"/>
    <w:rsid w:val="00B53933"/>
    <w:rsid w:val="00B55362"/>
    <w:rsid w:val="00B61284"/>
    <w:rsid w:val="00B6142E"/>
    <w:rsid w:val="00B62467"/>
    <w:rsid w:val="00B645AF"/>
    <w:rsid w:val="00B65C87"/>
    <w:rsid w:val="00B712F9"/>
    <w:rsid w:val="00B71823"/>
    <w:rsid w:val="00B72AA5"/>
    <w:rsid w:val="00B740FD"/>
    <w:rsid w:val="00B74FBB"/>
    <w:rsid w:val="00B77BB4"/>
    <w:rsid w:val="00B80669"/>
    <w:rsid w:val="00B822A9"/>
    <w:rsid w:val="00B831D8"/>
    <w:rsid w:val="00B83AAC"/>
    <w:rsid w:val="00B8437A"/>
    <w:rsid w:val="00B852F2"/>
    <w:rsid w:val="00B85AF0"/>
    <w:rsid w:val="00B85B0E"/>
    <w:rsid w:val="00B87C54"/>
    <w:rsid w:val="00B914B1"/>
    <w:rsid w:val="00B92A3D"/>
    <w:rsid w:val="00B93674"/>
    <w:rsid w:val="00B9394A"/>
    <w:rsid w:val="00B950CE"/>
    <w:rsid w:val="00B953B5"/>
    <w:rsid w:val="00B97855"/>
    <w:rsid w:val="00BA0DDD"/>
    <w:rsid w:val="00BA1DFB"/>
    <w:rsid w:val="00BA2C10"/>
    <w:rsid w:val="00BA32CF"/>
    <w:rsid w:val="00BA440B"/>
    <w:rsid w:val="00BA569F"/>
    <w:rsid w:val="00BA5870"/>
    <w:rsid w:val="00BA6925"/>
    <w:rsid w:val="00BB0013"/>
    <w:rsid w:val="00BB0AC6"/>
    <w:rsid w:val="00BB0CA8"/>
    <w:rsid w:val="00BB21F5"/>
    <w:rsid w:val="00BB29B6"/>
    <w:rsid w:val="00BB52D9"/>
    <w:rsid w:val="00BB5E14"/>
    <w:rsid w:val="00BB6215"/>
    <w:rsid w:val="00BC1B28"/>
    <w:rsid w:val="00BC21CF"/>
    <w:rsid w:val="00BC352A"/>
    <w:rsid w:val="00BD279F"/>
    <w:rsid w:val="00BD658F"/>
    <w:rsid w:val="00BD6EC9"/>
    <w:rsid w:val="00BD7DCA"/>
    <w:rsid w:val="00BE120C"/>
    <w:rsid w:val="00BE4B53"/>
    <w:rsid w:val="00BE530C"/>
    <w:rsid w:val="00BE5A1A"/>
    <w:rsid w:val="00BE713B"/>
    <w:rsid w:val="00BF025E"/>
    <w:rsid w:val="00BF13E3"/>
    <w:rsid w:val="00BF1B10"/>
    <w:rsid w:val="00BF1E08"/>
    <w:rsid w:val="00BF25EF"/>
    <w:rsid w:val="00BF3742"/>
    <w:rsid w:val="00BF5F85"/>
    <w:rsid w:val="00BF78BE"/>
    <w:rsid w:val="00C02DD7"/>
    <w:rsid w:val="00C02F70"/>
    <w:rsid w:val="00C030FC"/>
    <w:rsid w:val="00C1109A"/>
    <w:rsid w:val="00C14A0D"/>
    <w:rsid w:val="00C14ACB"/>
    <w:rsid w:val="00C14C00"/>
    <w:rsid w:val="00C158D8"/>
    <w:rsid w:val="00C22D3D"/>
    <w:rsid w:val="00C23A3A"/>
    <w:rsid w:val="00C26D19"/>
    <w:rsid w:val="00C26E12"/>
    <w:rsid w:val="00C3061C"/>
    <w:rsid w:val="00C32AAC"/>
    <w:rsid w:val="00C3372C"/>
    <w:rsid w:val="00C33862"/>
    <w:rsid w:val="00C3769B"/>
    <w:rsid w:val="00C40A09"/>
    <w:rsid w:val="00C40B95"/>
    <w:rsid w:val="00C41B1B"/>
    <w:rsid w:val="00C44478"/>
    <w:rsid w:val="00C46262"/>
    <w:rsid w:val="00C50BF1"/>
    <w:rsid w:val="00C5235A"/>
    <w:rsid w:val="00C52F47"/>
    <w:rsid w:val="00C54672"/>
    <w:rsid w:val="00C55095"/>
    <w:rsid w:val="00C55966"/>
    <w:rsid w:val="00C56212"/>
    <w:rsid w:val="00C571C3"/>
    <w:rsid w:val="00C62466"/>
    <w:rsid w:val="00C6317E"/>
    <w:rsid w:val="00C6407C"/>
    <w:rsid w:val="00C65865"/>
    <w:rsid w:val="00C65B89"/>
    <w:rsid w:val="00C749A5"/>
    <w:rsid w:val="00C75FF8"/>
    <w:rsid w:val="00C76459"/>
    <w:rsid w:val="00C77FD7"/>
    <w:rsid w:val="00C800D3"/>
    <w:rsid w:val="00C81A8A"/>
    <w:rsid w:val="00C82735"/>
    <w:rsid w:val="00C83EE5"/>
    <w:rsid w:val="00C8430C"/>
    <w:rsid w:val="00C8744A"/>
    <w:rsid w:val="00C90574"/>
    <w:rsid w:val="00C90CCC"/>
    <w:rsid w:val="00C95E3E"/>
    <w:rsid w:val="00CA1E06"/>
    <w:rsid w:val="00CA2720"/>
    <w:rsid w:val="00CA4CE2"/>
    <w:rsid w:val="00CB1A04"/>
    <w:rsid w:val="00CB20F6"/>
    <w:rsid w:val="00CB451E"/>
    <w:rsid w:val="00CB47AE"/>
    <w:rsid w:val="00CB5DDE"/>
    <w:rsid w:val="00CB656D"/>
    <w:rsid w:val="00CB7157"/>
    <w:rsid w:val="00CC0695"/>
    <w:rsid w:val="00CC2515"/>
    <w:rsid w:val="00CC43FA"/>
    <w:rsid w:val="00CC5FC6"/>
    <w:rsid w:val="00CC6097"/>
    <w:rsid w:val="00CC7484"/>
    <w:rsid w:val="00CC7DE7"/>
    <w:rsid w:val="00CD146E"/>
    <w:rsid w:val="00CD2051"/>
    <w:rsid w:val="00CD3044"/>
    <w:rsid w:val="00CD30C3"/>
    <w:rsid w:val="00CD35E6"/>
    <w:rsid w:val="00CD4FBE"/>
    <w:rsid w:val="00CD54ED"/>
    <w:rsid w:val="00CD65DC"/>
    <w:rsid w:val="00CD7D01"/>
    <w:rsid w:val="00CE1AFE"/>
    <w:rsid w:val="00CE1BB6"/>
    <w:rsid w:val="00CE2289"/>
    <w:rsid w:val="00CE3702"/>
    <w:rsid w:val="00CE4BD5"/>
    <w:rsid w:val="00CE5D16"/>
    <w:rsid w:val="00CE6674"/>
    <w:rsid w:val="00CF036C"/>
    <w:rsid w:val="00CF31F0"/>
    <w:rsid w:val="00CF33A7"/>
    <w:rsid w:val="00CF5501"/>
    <w:rsid w:val="00CF57BF"/>
    <w:rsid w:val="00CF6622"/>
    <w:rsid w:val="00CF6DE7"/>
    <w:rsid w:val="00CF726C"/>
    <w:rsid w:val="00D00DFD"/>
    <w:rsid w:val="00D0687E"/>
    <w:rsid w:val="00D1079D"/>
    <w:rsid w:val="00D10C09"/>
    <w:rsid w:val="00D12B9D"/>
    <w:rsid w:val="00D13D77"/>
    <w:rsid w:val="00D14576"/>
    <w:rsid w:val="00D15A5F"/>
    <w:rsid w:val="00D16F37"/>
    <w:rsid w:val="00D17079"/>
    <w:rsid w:val="00D214B5"/>
    <w:rsid w:val="00D21BE0"/>
    <w:rsid w:val="00D22A4C"/>
    <w:rsid w:val="00D27720"/>
    <w:rsid w:val="00D31C0F"/>
    <w:rsid w:val="00D326A3"/>
    <w:rsid w:val="00D32F5B"/>
    <w:rsid w:val="00D3308B"/>
    <w:rsid w:val="00D33BFC"/>
    <w:rsid w:val="00D3682B"/>
    <w:rsid w:val="00D36D0C"/>
    <w:rsid w:val="00D40436"/>
    <w:rsid w:val="00D410AF"/>
    <w:rsid w:val="00D42171"/>
    <w:rsid w:val="00D44070"/>
    <w:rsid w:val="00D4445F"/>
    <w:rsid w:val="00D45E8A"/>
    <w:rsid w:val="00D472FE"/>
    <w:rsid w:val="00D47764"/>
    <w:rsid w:val="00D51C3B"/>
    <w:rsid w:val="00D533CA"/>
    <w:rsid w:val="00D56282"/>
    <w:rsid w:val="00D6012D"/>
    <w:rsid w:val="00D615DA"/>
    <w:rsid w:val="00D66EF5"/>
    <w:rsid w:val="00D70BD5"/>
    <w:rsid w:val="00D7128F"/>
    <w:rsid w:val="00D71EB6"/>
    <w:rsid w:val="00D74C64"/>
    <w:rsid w:val="00D7599C"/>
    <w:rsid w:val="00D76BD1"/>
    <w:rsid w:val="00D76EB7"/>
    <w:rsid w:val="00D80004"/>
    <w:rsid w:val="00D80B25"/>
    <w:rsid w:val="00D8200B"/>
    <w:rsid w:val="00D82475"/>
    <w:rsid w:val="00D831D4"/>
    <w:rsid w:val="00D92170"/>
    <w:rsid w:val="00D9444D"/>
    <w:rsid w:val="00D95F24"/>
    <w:rsid w:val="00D97752"/>
    <w:rsid w:val="00DA183F"/>
    <w:rsid w:val="00DA3576"/>
    <w:rsid w:val="00DA4D4D"/>
    <w:rsid w:val="00DA5E11"/>
    <w:rsid w:val="00DA72E1"/>
    <w:rsid w:val="00DB05B6"/>
    <w:rsid w:val="00DB129A"/>
    <w:rsid w:val="00DB2E9D"/>
    <w:rsid w:val="00DB3476"/>
    <w:rsid w:val="00DB5F65"/>
    <w:rsid w:val="00DB7230"/>
    <w:rsid w:val="00DB7F86"/>
    <w:rsid w:val="00DC0A35"/>
    <w:rsid w:val="00DC2895"/>
    <w:rsid w:val="00DC2E20"/>
    <w:rsid w:val="00DC4A5D"/>
    <w:rsid w:val="00DD0A8A"/>
    <w:rsid w:val="00DD1571"/>
    <w:rsid w:val="00DD1CB2"/>
    <w:rsid w:val="00DD32FA"/>
    <w:rsid w:val="00DD34C0"/>
    <w:rsid w:val="00DD523D"/>
    <w:rsid w:val="00DD7D21"/>
    <w:rsid w:val="00DE31A6"/>
    <w:rsid w:val="00DE3EEC"/>
    <w:rsid w:val="00DE43A3"/>
    <w:rsid w:val="00DE640E"/>
    <w:rsid w:val="00DE66AD"/>
    <w:rsid w:val="00DE6BE7"/>
    <w:rsid w:val="00DF470B"/>
    <w:rsid w:val="00DF7BE6"/>
    <w:rsid w:val="00DF7C89"/>
    <w:rsid w:val="00E00800"/>
    <w:rsid w:val="00E0080D"/>
    <w:rsid w:val="00E02E7E"/>
    <w:rsid w:val="00E03EB8"/>
    <w:rsid w:val="00E041E8"/>
    <w:rsid w:val="00E04BBB"/>
    <w:rsid w:val="00E11316"/>
    <w:rsid w:val="00E11B30"/>
    <w:rsid w:val="00E1346B"/>
    <w:rsid w:val="00E13779"/>
    <w:rsid w:val="00E13BBC"/>
    <w:rsid w:val="00E16E9F"/>
    <w:rsid w:val="00E22750"/>
    <w:rsid w:val="00E23DC4"/>
    <w:rsid w:val="00E26255"/>
    <w:rsid w:val="00E2749B"/>
    <w:rsid w:val="00E30D6D"/>
    <w:rsid w:val="00E31518"/>
    <w:rsid w:val="00E34217"/>
    <w:rsid w:val="00E404CE"/>
    <w:rsid w:val="00E40A37"/>
    <w:rsid w:val="00E42DE0"/>
    <w:rsid w:val="00E447EF"/>
    <w:rsid w:val="00E47156"/>
    <w:rsid w:val="00E47774"/>
    <w:rsid w:val="00E5174A"/>
    <w:rsid w:val="00E52BE7"/>
    <w:rsid w:val="00E53B89"/>
    <w:rsid w:val="00E54DEA"/>
    <w:rsid w:val="00E552B1"/>
    <w:rsid w:val="00E574F1"/>
    <w:rsid w:val="00E57E49"/>
    <w:rsid w:val="00E6015B"/>
    <w:rsid w:val="00E621A4"/>
    <w:rsid w:val="00E64A94"/>
    <w:rsid w:val="00E654C0"/>
    <w:rsid w:val="00E66058"/>
    <w:rsid w:val="00E67520"/>
    <w:rsid w:val="00E67FD1"/>
    <w:rsid w:val="00E747D1"/>
    <w:rsid w:val="00E7571D"/>
    <w:rsid w:val="00E75BD2"/>
    <w:rsid w:val="00E75D6D"/>
    <w:rsid w:val="00E77B11"/>
    <w:rsid w:val="00E77BF8"/>
    <w:rsid w:val="00E80300"/>
    <w:rsid w:val="00E80AB8"/>
    <w:rsid w:val="00E82717"/>
    <w:rsid w:val="00E84439"/>
    <w:rsid w:val="00E85DDD"/>
    <w:rsid w:val="00E8667D"/>
    <w:rsid w:val="00E874D6"/>
    <w:rsid w:val="00E87A79"/>
    <w:rsid w:val="00E90034"/>
    <w:rsid w:val="00E91079"/>
    <w:rsid w:val="00E942A6"/>
    <w:rsid w:val="00E94C7B"/>
    <w:rsid w:val="00E96414"/>
    <w:rsid w:val="00E96E3F"/>
    <w:rsid w:val="00E974D8"/>
    <w:rsid w:val="00EA2A9D"/>
    <w:rsid w:val="00EA606D"/>
    <w:rsid w:val="00EA64CC"/>
    <w:rsid w:val="00EA6B1D"/>
    <w:rsid w:val="00EA6D52"/>
    <w:rsid w:val="00EA6E0F"/>
    <w:rsid w:val="00EA7707"/>
    <w:rsid w:val="00EB00A6"/>
    <w:rsid w:val="00EB0223"/>
    <w:rsid w:val="00EB4289"/>
    <w:rsid w:val="00EB4B2B"/>
    <w:rsid w:val="00EB586C"/>
    <w:rsid w:val="00EB6206"/>
    <w:rsid w:val="00EB6C45"/>
    <w:rsid w:val="00EC3C50"/>
    <w:rsid w:val="00EC5A2C"/>
    <w:rsid w:val="00EC5B4F"/>
    <w:rsid w:val="00EC7A8B"/>
    <w:rsid w:val="00ED33D7"/>
    <w:rsid w:val="00ED35AB"/>
    <w:rsid w:val="00ED3C1F"/>
    <w:rsid w:val="00ED4E88"/>
    <w:rsid w:val="00ED544C"/>
    <w:rsid w:val="00ED565C"/>
    <w:rsid w:val="00EE0757"/>
    <w:rsid w:val="00EE16E0"/>
    <w:rsid w:val="00EE1DAC"/>
    <w:rsid w:val="00EE35F4"/>
    <w:rsid w:val="00EE41EE"/>
    <w:rsid w:val="00EE4B44"/>
    <w:rsid w:val="00EE5DDC"/>
    <w:rsid w:val="00EE5F9B"/>
    <w:rsid w:val="00EE661F"/>
    <w:rsid w:val="00EF0E15"/>
    <w:rsid w:val="00EF2448"/>
    <w:rsid w:val="00EF63A0"/>
    <w:rsid w:val="00EF7368"/>
    <w:rsid w:val="00F05AEC"/>
    <w:rsid w:val="00F11412"/>
    <w:rsid w:val="00F2127A"/>
    <w:rsid w:val="00F22A83"/>
    <w:rsid w:val="00F22ED0"/>
    <w:rsid w:val="00F305C1"/>
    <w:rsid w:val="00F30647"/>
    <w:rsid w:val="00F34EF3"/>
    <w:rsid w:val="00F42BEC"/>
    <w:rsid w:val="00F453A7"/>
    <w:rsid w:val="00F46550"/>
    <w:rsid w:val="00F51729"/>
    <w:rsid w:val="00F523D9"/>
    <w:rsid w:val="00F529D4"/>
    <w:rsid w:val="00F56070"/>
    <w:rsid w:val="00F56DE4"/>
    <w:rsid w:val="00F56E85"/>
    <w:rsid w:val="00F57683"/>
    <w:rsid w:val="00F60CB2"/>
    <w:rsid w:val="00F613DD"/>
    <w:rsid w:val="00F61915"/>
    <w:rsid w:val="00F6321C"/>
    <w:rsid w:val="00F63ED0"/>
    <w:rsid w:val="00F63EEA"/>
    <w:rsid w:val="00F64399"/>
    <w:rsid w:val="00F66DF3"/>
    <w:rsid w:val="00F71E20"/>
    <w:rsid w:val="00F72F6F"/>
    <w:rsid w:val="00F73A52"/>
    <w:rsid w:val="00F73C85"/>
    <w:rsid w:val="00F75CA8"/>
    <w:rsid w:val="00F7622E"/>
    <w:rsid w:val="00F76943"/>
    <w:rsid w:val="00F76E7A"/>
    <w:rsid w:val="00F80232"/>
    <w:rsid w:val="00F80ED8"/>
    <w:rsid w:val="00F80F80"/>
    <w:rsid w:val="00F83C48"/>
    <w:rsid w:val="00F86A7F"/>
    <w:rsid w:val="00F916AA"/>
    <w:rsid w:val="00F93968"/>
    <w:rsid w:val="00F94AA5"/>
    <w:rsid w:val="00F9603D"/>
    <w:rsid w:val="00F9636B"/>
    <w:rsid w:val="00FA01E2"/>
    <w:rsid w:val="00FA0FFF"/>
    <w:rsid w:val="00FB18C3"/>
    <w:rsid w:val="00FB76FF"/>
    <w:rsid w:val="00FC2899"/>
    <w:rsid w:val="00FC3059"/>
    <w:rsid w:val="00FC3B34"/>
    <w:rsid w:val="00FD0B76"/>
    <w:rsid w:val="00FD109F"/>
    <w:rsid w:val="00FD2BD5"/>
    <w:rsid w:val="00FD319A"/>
    <w:rsid w:val="00FD3914"/>
    <w:rsid w:val="00FD6F29"/>
    <w:rsid w:val="00FD7107"/>
    <w:rsid w:val="00FE0022"/>
    <w:rsid w:val="00FE1775"/>
    <w:rsid w:val="00FE3293"/>
    <w:rsid w:val="00FE3F5A"/>
    <w:rsid w:val="00FF739E"/>
    <w:rsid w:val="00FF7AE5"/>
    <w:rsid w:val="013177C8"/>
    <w:rsid w:val="013E3256"/>
    <w:rsid w:val="01436346"/>
    <w:rsid w:val="01BA12D5"/>
    <w:rsid w:val="01BA234A"/>
    <w:rsid w:val="021115D7"/>
    <w:rsid w:val="0250024D"/>
    <w:rsid w:val="02965065"/>
    <w:rsid w:val="02AD6A06"/>
    <w:rsid w:val="02B5293D"/>
    <w:rsid w:val="0319401E"/>
    <w:rsid w:val="038D7696"/>
    <w:rsid w:val="03973555"/>
    <w:rsid w:val="039750AB"/>
    <w:rsid w:val="03E57F48"/>
    <w:rsid w:val="03EA0279"/>
    <w:rsid w:val="03F96344"/>
    <w:rsid w:val="03FA04A6"/>
    <w:rsid w:val="041B50CE"/>
    <w:rsid w:val="044C3F1F"/>
    <w:rsid w:val="04567DC1"/>
    <w:rsid w:val="04677A9E"/>
    <w:rsid w:val="0581378D"/>
    <w:rsid w:val="05993153"/>
    <w:rsid w:val="05E41A92"/>
    <w:rsid w:val="06172EB4"/>
    <w:rsid w:val="061B2F96"/>
    <w:rsid w:val="061D0E3B"/>
    <w:rsid w:val="065B738A"/>
    <w:rsid w:val="06B965F5"/>
    <w:rsid w:val="076273D8"/>
    <w:rsid w:val="076F3A75"/>
    <w:rsid w:val="077B0772"/>
    <w:rsid w:val="07801EB8"/>
    <w:rsid w:val="078A3902"/>
    <w:rsid w:val="07AD40C1"/>
    <w:rsid w:val="07D52497"/>
    <w:rsid w:val="080D34D5"/>
    <w:rsid w:val="08175703"/>
    <w:rsid w:val="084B6B65"/>
    <w:rsid w:val="08537A72"/>
    <w:rsid w:val="087B33D1"/>
    <w:rsid w:val="08AC6202"/>
    <w:rsid w:val="08E405A1"/>
    <w:rsid w:val="08F214BF"/>
    <w:rsid w:val="09072F63"/>
    <w:rsid w:val="090C13D9"/>
    <w:rsid w:val="090E0037"/>
    <w:rsid w:val="094C696A"/>
    <w:rsid w:val="0960469E"/>
    <w:rsid w:val="096E4265"/>
    <w:rsid w:val="09B95C29"/>
    <w:rsid w:val="09E16AD8"/>
    <w:rsid w:val="09FC7B61"/>
    <w:rsid w:val="0A1774C9"/>
    <w:rsid w:val="0A9B3899"/>
    <w:rsid w:val="0AA5178A"/>
    <w:rsid w:val="0AB079B6"/>
    <w:rsid w:val="0B0C523D"/>
    <w:rsid w:val="0B1957C1"/>
    <w:rsid w:val="0B581DAD"/>
    <w:rsid w:val="0B666A61"/>
    <w:rsid w:val="0B6F2FB1"/>
    <w:rsid w:val="0B801D1D"/>
    <w:rsid w:val="0C090A64"/>
    <w:rsid w:val="0C160A28"/>
    <w:rsid w:val="0C227278"/>
    <w:rsid w:val="0CE43E76"/>
    <w:rsid w:val="0CF2676A"/>
    <w:rsid w:val="0D3F6768"/>
    <w:rsid w:val="0D406690"/>
    <w:rsid w:val="0D636DA8"/>
    <w:rsid w:val="0D742401"/>
    <w:rsid w:val="0D7737C4"/>
    <w:rsid w:val="0D9C2C0E"/>
    <w:rsid w:val="0E0C4DEA"/>
    <w:rsid w:val="0E2C5E80"/>
    <w:rsid w:val="0E53323A"/>
    <w:rsid w:val="0E6B795D"/>
    <w:rsid w:val="0EC746B7"/>
    <w:rsid w:val="0EEF7C0E"/>
    <w:rsid w:val="0EFB5482"/>
    <w:rsid w:val="0F4C1A29"/>
    <w:rsid w:val="0F64110F"/>
    <w:rsid w:val="0FAC47A7"/>
    <w:rsid w:val="0FE543B2"/>
    <w:rsid w:val="10053398"/>
    <w:rsid w:val="1037362C"/>
    <w:rsid w:val="10514996"/>
    <w:rsid w:val="10742629"/>
    <w:rsid w:val="10A27970"/>
    <w:rsid w:val="10C00446"/>
    <w:rsid w:val="10E75CA5"/>
    <w:rsid w:val="110551F0"/>
    <w:rsid w:val="112104AC"/>
    <w:rsid w:val="11321305"/>
    <w:rsid w:val="1150003F"/>
    <w:rsid w:val="119803A3"/>
    <w:rsid w:val="11D32CC9"/>
    <w:rsid w:val="11E519CE"/>
    <w:rsid w:val="120E7225"/>
    <w:rsid w:val="121F796A"/>
    <w:rsid w:val="12937726"/>
    <w:rsid w:val="12C76FD8"/>
    <w:rsid w:val="12E60F1C"/>
    <w:rsid w:val="12F11306"/>
    <w:rsid w:val="12F25EC1"/>
    <w:rsid w:val="13025038"/>
    <w:rsid w:val="130A4345"/>
    <w:rsid w:val="130C6180"/>
    <w:rsid w:val="134A662F"/>
    <w:rsid w:val="134E58A3"/>
    <w:rsid w:val="137869BD"/>
    <w:rsid w:val="137C41D0"/>
    <w:rsid w:val="138C249F"/>
    <w:rsid w:val="13941A38"/>
    <w:rsid w:val="1400570D"/>
    <w:rsid w:val="1437442A"/>
    <w:rsid w:val="1471552C"/>
    <w:rsid w:val="149A20F5"/>
    <w:rsid w:val="14B765EA"/>
    <w:rsid w:val="14D5224C"/>
    <w:rsid w:val="14FA4787"/>
    <w:rsid w:val="1510625F"/>
    <w:rsid w:val="15325CB5"/>
    <w:rsid w:val="15654ADD"/>
    <w:rsid w:val="156C77D7"/>
    <w:rsid w:val="15FF6AD1"/>
    <w:rsid w:val="16352593"/>
    <w:rsid w:val="16362E82"/>
    <w:rsid w:val="164E5293"/>
    <w:rsid w:val="16597A33"/>
    <w:rsid w:val="166D5834"/>
    <w:rsid w:val="16706EF3"/>
    <w:rsid w:val="16AF494F"/>
    <w:rsid w:val="16FE1367"/>
    <w:rsid w:val="1732275D"/>
    <w:rsid w:val="176745AC"/>
    <w:rsid w:val="17C12802"/>
    <w:rsid w:val="17E261A1"/>
    <w:rsid w:val="17F84D4B"/>
    <w:rsid w:val="1808198B"/>
    <w:rsid w:val="18140E9B"/>
    <w:rsid w:val="182868AE"/>
    <w:rsid w:val="182C452C"/>
    <w:rsid w:val="187D1D80"/>
    <w:rsid w:val="188B3562"/>
    <w:rsid w:val="18EE3338"/>
    <w:rsid w:val="19627703"/>
    <w:rsid w:val="19A1441B"/>
    <w:rsid w:val="19BC22ED"/>
    <w:rsid w:val="19C34023"/>
    <w:rsid w:val="19EF6572"/>
    <w:rsid w:val="1A1E3002"/>
    <w:rsid w:val="1A4E6994"/>
    <w:rsid w:val="1A51675B"/>
    <w:rsid w:val="1A6B51E8"/>
    <w:rsid w:val="1AA53287"/>
    <w:rsid w:val="1B533E49"/>
    <w:rsid w:val="1B7964C6"/>
    <w:rsid w:val="1B8A6FB0"/>
    <w:rsid w:val="1B9224DA"/>
    <w:rsid w:val="1B96476A"/>
    <w:rsid w:val="1BD743B0"/>
    <w:rsid w:val="1BDA73E2"/>
    <w:rsid w:val="1BFB4FA4"/>
    <w:rsid w:val="1C1343C7"/>
    <w:rsid w:val="1C8043EC"/>
    <w:rsid w:val="1C996698"/>
    <w:rsid w:val="1CA24D94"/>
    <w:rsid w:val="1D544EC2"/>
    <w:rsid w:val="1D7962C2"/>
    <w:rsid w:val="1D7C2114"/>
    <w:rsid w:val="1D8666CC"/>
    <w:rsid w:val="1DAF29D9"/>
    <w:rsid w:val="1DB615C2"/>
    <w:rsid w:val="1DE01EEC"/>
    <w:rsid w:val="1DF8587E"/>
    <w:rsid w:val="1E5264E8"/>
    <w:rsid w:val="1E7B4610"/>
    <w:rsid w:val="1E80500E"/>
    <w:rsid w:val="1F097EE7"/>
    <w:rsid w:val="1F172E92"/>
    <w:rsid w:val="1F756E5C"/>
    <w:rsid w:val="1FA0436B"/>
    <w:rsid w:val="1FD34B27"/>
    <w:rsid w:val="1FE172AC"/>
    <w:rsid w:val="1FF93FA1"/>
    <w:rsid w:val="20251541"/>
    <w:rsid w:val="20307B98"/>
    <w:rsid w:val="205253E0"/>
    <w:rsid w:val="205778C4"/>
    <w:rsid w:val="207D6006"/>
    <w:rsid w:val="20AA19D0"/>
    <w:rsid w:val="20BB4A7B"/>
    <w:rsid w:val="20C308D2"/>
    <w:rsid w:val="20C6368D"/>
    <w:rsid w:val="20DA7731"/>
    <w:rsid w:val="211519F4"/>
    <w:rsid w:val="211D6B52"/>
    <w:rsid w:val="212B00D9"/>
    <w:rsid w:val="21536AEA"/>
    <w:rsid w:val="21806BD8"/>
    <w:rsid w:val="21AA2D55"/>
    <w:rsid w:val="21BB2C52"/>
    <w:rsid w:val="21FD54D0"/>
    <w:rsid w:val="221F3213"/>
    <w:rsid w:val="222D2AF1"/>
    <w:rsid w:val="222D6E1B"/>
    <w:rsid w:val="224448E2"/>
    <w:rsid w:val="225F01F3"/>
    <w:rsid w:val="225F2877"/>
    <w:rsid w:val="23355D68"/>
    <w:rsid w:val="23A724A5"/>
    <w:rsid w:val="23C4773A"/>
    <w:rsid w:val="23C9579F"/>
    <w:rsid w:val="240E4586"/>
    <w:rsid w:val="24344F13"/>
    <w:rsid w:val="24936A9B"/>
    <w:rsid w:val="24B310C8"/>
    <w:rsid w:val="25086F49"/>
    <w:rsid w:val="25446AC1"/>
    <w:rsid w:val="25585215"/>
    <w:rsid w:val="25A0126A"/>
    <w:rsid w:val="25A523FF"/>
    <w:rsid w:val="26950232"/>
    <w:rsid w:val="26B37B31"/>
    <w:rsid w:val="26CB2CFB"/>
    <w:rsid w:val="26D3560E"/>
    <w:rsid w:val="26D83FAA"/>
    <w:rsid w:val="2706420B"/>
    <w:rsid w:val="272B69DB"/>
    <w:rsid w:val="273161C4"/>
    <w:rsid w:val="277234B6"/>
    <w:rsid w:val="277D4FA8"/>
    <w:rsid w:val="27D10B46"/>
    <w:rsid w:val="27ED48F7"/>
    <w:rsid w:val="281A39CF"/>
    <w:rsid w:val="2845256F"/>
    <w:rsid w:val="28487623"/>
    <w:rsid w:val="28C10B2D"/>
    <w:rsid w:val="28D360B9"/>
    <w:rsid w:val="28D452BF"/>
    <w:rsid w:val="28D45B18"/>
    <w:rsid w:val="28DB0B1F"/>
    <w:rsid w:val="28EC39E6"/>
    <w:rsid w:val="28F0761C"/>
    <w:rsid w:val="29276E6B"/>
    <w:rsid w:val="29397CD7"/>
    <w:rsid w:val="29511CA0"/>
    <w:rsid w:val="29545F49"/>
    <w:rsid w:val="29A8160D"/>
    <w:rsid w:val="2A103E83"/>
    <w:rsid w:val="2A662BEF"/>
    <w:rsid w:val="2AC66EFC"/>
    <w:rsid w:val="2B174ACE"/>
    <w:rsid w:val="2B2126A9"/>
    <w:rsid w:val="2B2844F4"/>
    <w:rsid w:val="2B957C08"/>
    <w:rsid w:val="2B9A4B16"/>
    <w:rsid w:val="2B9C23AA"/>
    <w:rsid w:val="2BAC3CD4"/>
    <w:rsid w:val="2BE74E00"/>
    <w:rsid w:val="2C1F623B"/>
    <w:rsid w:val="2C46369F"/>
    <w:rsid w:val="2C476F07"/>
    <w:rsid w:val="2C6C4A0A"/>
    <w:rsid w:val="2CD07149"/>
    <w:rsid w:val="2CD96C68"/>
    <w:rsid w:val="2CF154EA"/>
    <w:rsid w:val="2CFF7117"/>
    <w:rsid w:val="2D1F12A3"/>
    <w:rsid w:val="2D256F9C"/>
    <w:rsid w:val="2D371697"/>
    <w:rsid w:val="2D3A16A4"/>
    <w:rsid w:val="2D406F64"/>
    <w:rsid w:val="2D45573C"/>
    <w:rsid w:val="2D5105AA"/>
    <w:rsid w:val="2D754ED8"/>
    <w:rsid w:val="2DD0602F"/>
    <w:rsid w:val="2DDD164A"/>
    <w:rsid w:val="2DE6617E"/>
    <w:rsid w:val="2DFA18C4"/>
    <w:rsid w:val="2E2E6CF2"/>
    <w:rsid w:val="2E4C07F0"/>
    <w:rsid w:val="2E500276"/>
    <w:rsid w:val="2E5B3F54"/>
    <w:rsid w:val="2E5E5B77"/>
    <w:rsid w:val="2F1446EF"/>
    <w:rsid w:val="2F1808D1"/>
    <w:rsid w:val="2FA50193"/>
    <w:rsid w:val="2FAB3F0D"/>
    <w:rsid w:val="2FB460CA"/>
    <w:rsid w:val="2FCB65B8"/>
    <w:rsid w:val="300546DA"/>
    <w:rsid w:val="302B12AE"/>
    <w:rsid w:val="30C84B1B"/>
    <w:rsid w:val="310D7418"/>
    <w:rsid w:val="311D41C4"/>
    <w:rsid w:val="31510984"/>
    <w:rsid w:val="31845650"/>
    <w:rsid w:val="318D1B71"/>
    <w:rsid w:val="31DD59FE"/>
    <w:rsid w:val="31E15C0B"/>
    <w:rsid w:val="31FD5145"/>
    <w:rsid w:val="322D632E"/>
    <w:rsid w:val="32600283"/>
    <w:rsid w:val="332C2EAA"/>
    <w:rsid w:val="33471D57"/>
    <w:rsid w:val="33480E57"/>
    <w:rsid w:val="3374535A"/>
    <w:rsid w:val="337A6659"/>
    <w:rsid w:val="33A91842"/>
    <w:rsid w:val="33BA7D80"/>
    <w:rsid w:val="33C431CA"/>
    <w:rsid w:val="33CA6755"/>
    <w:rsid w:val="33EA5DFE"/>
    <w:rsid w:val="342B48F0"/>
    <w:rsid w:val="345A20B5"/>
    <w:rsid w:val="345A3EAF"/>
    <w:rsid w:val="34BD1BEF"/>
    <w:rsid w:val="34C43A72"/>
    <w:rsid w:val="34D31264"/>
    <w:rsid w:val="34D33F35"/>
    <w:rsid w:val="34D83DFB"/>
    <w:rsid w:val="3507532F"/>
    <w:rsid w:val="35096217"/>
    <w:rsid w:val="355902B8"/>
    <w:rsid w:val="356928AF"/>
    <w:rsid w:val="357B5589"/>
    <w:rsid w:val="35A214F4"/>
    <w:rsid w:val="35C36E8A"/>
    <w:rsid w:val="35F85B62"/>
    <w:rsid w:val="362E21B3"/>
    <w:rsid w:val="362E40A6"/>
    <w:rsid w:val="362E7DF4"/>
    <w:rsid w:val="36520DF3"/>
    <w:rsid w:val="36AD3BF9"/>
    <w:rsid w:val="36F91C6A"/>
    <w:rsid w:val="37024E27"/>
    <w:rsid w:val="37085F50"/>
    <w:rsid w:val="373674DD"/>
    <w:rsid w:val="37374A71"/>
    <w:rsid w:val="378754E9"/>
    <w:rsid w:val="379F4679"/>
    <w:rsid w:val="37B62AC0"/>
    <w:rsid w:val="37C440BE"/>
    <w:rsid w:val="37E76A1C"/>
    <w:rsid w:val="37FF055C"/>
    <w:rsid w:val="382B5E33"/>
    <w:rsid w:val="38764AB1"/>
    <w:rsid w:val="38837440"/>
    <w:rsid w:val="38917C5E"/>
    <w:rsid w:val="38EE7BF2"/>
    <w:rsid w:val="38F85D5C"/>
    <w:rsid w:val="390A63CE"/>
    <w:rsid w:val="39573B0B"/>
    <w:rsid w:val="395B0752"/>
    <w:rsid w:val="3988746D"/>
    <w:rsid w:val="3993098D"/>
    <w:rsid w:val="399574E0"/>
    <w:rsid w:val="39A557B8"/>
    <w:rsid w:val="39C320DC"/>
    <w:rsid w:val="39D52E80"/>
    <w:rsid w:val="39E9579E"/>
    <w:rsid w:val="3A06303A"/>
    <w:rsid w:val="3A0A66C7"/>
    <w:rsid w:val="3A6A0D2A"/>
    <w:rsid w:val="3A6E6186"/>
    <w:rsid w:val="3A7C6E8C"/>
    <w:rsid w:val="3A970B5A"/>
    <w:rsid w:val="3AB05637"/>
    <w:rsid w:val="3AE138A5"/>
    <w:rsid w:val="3AE83F75"/>
    <w:rsid w:val="3AF655D5"/>
    <w:rsid w:val="3AFB32B2"/>
    <w:rsid w:val="3B595609"/>
    <w:rsid w:val="3B905C23"/>
    <w:rsid w:val="3BA27E48"/>
    <w:rsid w:val="3BE1439B"/>
    <w:rsid w:val="3BF30407"/>
    <w:rsid w:val="3C581DE1"/>
    <w:rsid w:val="3C964B49"/>
    <w:rsid w:val="3CB97F53"/>
    <w:rsid w:val="3D115023"/>
    <w:rsid w:val="3D766A61"/>
    <w:rsid w:val="3D7D1865"/>
    <w:rsid w:val="3D8C36AE"/>
    <w:rsid w:val="3D9F3BE2"/>
    <w:rsid w:val="3DEA5C74"/>
    <w:rsid w:val="3E237891"/>
    <w:rsid w:val="3E24004A"/>
    <w:rsid w:val="3E472260"/>
    <w:rsid w:val="3E9164CA"/>
    <w:rsid w:val="3E967E4C"/>
    <w:rsid w:val="3EB64EF8"/>
    <w:rsid w:val="3EDB4E83"/>
    <w:rsid w:val="3EF749C1"/>
    <w:rsid w:val="3F2A09D9"/>
    <w:rsid w:val="3F5911FB"/>
    <w:rsid w:val="3F6859CB"/>
    <w:rsid w:val="3FBF176D"/>
    <w:rsid w:val="3FC35D3C"/>
    <w:rsid w:val="3FD6165F"/>
    <w:rsid w:val="3FEA4706"/>
    <w:rsid w:val="403A1F03"/>
    <w:rsid w:val="40423085"/>
    <w:rsid w:val="40724C44"/>
    <w:rsid w:val="40AC2639"/>
    <w:rsid w:val="40AE2352"/>
    <w:rsid w:val="40E559EE"/>
    <w:rsid w:val="412734E7"/>
    <w:rsid w:val="4135642F"/>
    <w:rsid w:val="413D3C14"/>
    <w:rsid w:val="41A7124A"/>
    <w:rsid w:val="41CF3B7C"/>
    <w:rsid w:val="41D935AE"/>
    <w:rsid w:val="425B4C8B"/>
    <w:rsid w:val="42B143C4"/>
    <w:rsid w:val="42B16CF2"/>
    <w:rsid w:val="42BE0763"/>
    <w:rsid w:val="43125331"/>
    <w:rsid w:val="43385F02"/>
    <w:rsid w:val="435F0C7D"/>
    <w:rsid w:val="436D09B2"/>
    <w:rsid w:val="437332AA"/>
    <w:rsid w:val="437D1B7F"/>
    <w:rsid w:val="439B3874"/>
    <w:rsid w:val="440B4B3C"/>
    <w:rsid w:val="44314938"/>
    <w:rsid w:val="445544F0"/>
    <w:rsid w:val="4491077D"/>
    <w:rsid w:val="449166E0"/>
    <w:rsid w:val="44BA2800"/>
    <w:rsid w:val="44C466C9"/>
    <w:rsid w:val="44E81905"/>
    <w:rsid w:val="44F54408"/>
    <w:rsid w:val="45063E44"/>
    <w:rsid w:val="453852D0"/>
    <w:rsid w:val="45471CEA"/>
    <w:rsid w:val="45644DE2"/>
    <w:rsid w:val="457A09C9"/>
    <w:rsid w:val="45915189"/>
    <w:rsid w:val="45CD3C59"/>
    <w:rsid w:val="45E43797"/>
    <w:rsid w:val="46003FB5"/>
    <w:rsid w:val="462268CA"/>
    <w:rsid w:val="462C2211"/>
    <w:rsid w:val="46315BB1"/>
    <w:rsid w:val="467A397F"/>
    <w:rsid w:val="46923ED6"/>
    <w:rsid w:val="46F267D7"/>
    <w:rsid w:val="473A7450"/>
    <w:rsid w:val="47456D73"/>
    <w:rsid w:val="476C01E2"/>
    <w:rsid w:val="47853567"/>
    <w:rsid w:val="4788363C"/>
    <w:rsid w:val="4791751B"/>
    <w:rsid w:val="47CC50D6"/>
    <w:rsid w:val="481F7538"/>
    <w:rsid w:val="48507A5E"/>
    <w:rsid w:val="48633E21"/>
    <w:rsid w:val="487A1308"/>
    <w:rsid w:val="48B27A4E"/>
    <w:rsid w:val="48D43FBB"/>
    <w:rsid w:val="492505BB"/>
    <w:rsid w:val="493D1423"/>
    <w:rsid w:val="495026E3"/>
    <w:rsid w:val="495C5AB7"/>
    <w:rsid w:val="49802C36"/>
    <w:rsid w:val="49A77672"/>
    <w:rsid w:val="49B52953"/>
    <w:rsid w:val="49BA1963"/>
    <w:rsid w:val="49D85FBA"/>
    <w:rsid w:val="4A2572ED"/>
    <w:rsid w:val="4A2611EF"/>
    <w:rsid w:val="4A2A7A30"/>
    <w:rsid w:val="4A384130"/>
    <w:rsid w:val="4A4B4392"/>
    <w:rsid w:val="4A795270"/>
    <w:rsid w:val="4A8159B8"/>
    <w:rsid w:val="4A9244B8"/>
    <w:rsid w:val="4A942176"/>
    <w:rsid w:val="4AB93B2E"/>
    <w:rsid w:val="4AC31DC2"/>
    <w:rsid w:val="4AD71E69"/>
    <w:rsid w:val="4AF7579E"/>
    <w:rsid w:val="4B082F06"/>
    <w:rsid w:val="4B0C2DEC"/>
    <w:rsid w:val="4B415E49"/>
    <w:rsid w:val="4B7B7973"/>
    <w:rsid w:val="4BC5385B"/>
    <w:rsid w:val="4BC978F9"/>
    <w:rsid w:val="4BD84BE4"/>
    <w:rsid w:val="4C105A07"/>
    <w:rsid w:val="4C1F427B"/>
    <w:rsid w:val="4C3B749F"/>
    <w:rsid w:val="4C511DAE"/>
    <w:rsid w:val="4C5352EA"/>
    <w:rsid w:val="4C8973EF"/>
    <w:rsid w:val="4C952338"/>
    <w:rsid w:val="4C9E53B4"/>
    <w:rsid w:val="4D0637E8"/>
    <w:rsid w:val="4D30700A"/>
    <w:rsid w:val="4D520FCC"/>
    <w:rsid w:val="4D567777"/>
    <w:rsid w:val="4D664BC9"/>
    <w:rsid w:val="4DBE68BB"/>
    <w:rsid w:val="4E473C19"/>
    <w:rsid w:val="4E9C058B"/>
    <w:rsid w:val="4EC43D11"/>
    <w:rsid w:val="4EF13E61"/>
    <w:rsid w:val="4EF353DB"/>
    <w:rsid w:val="4F480891"/>
    <w:rsid w:val="4F56366B"/>
    <w:rsid w:val="4F791314"/>
    <w:rsid w:val="4F871206"/>
    <w:rsid w:val="4F8D3F05"/>
    <w:rsid w:val="4F9E0308"/>
    <w:rsid w:val="4FF91972"/>
    <w:rsid w:val="50135FBC"/>
    <w:rsid w:val="508B462C"/>
    <w:rsid w:val="50BE1B87"/>
    <w:rsid w:val="510B2CB1"/>
    <w:rsid w:val="513745A8"/>
    <w:rsid w:val="517D0070"/>
    <w:rsid w:val="51EE365F"/>
    <w:rsid w:val="520311D3"/>
    <w:rsid w:val="520E5BBF"/>
    <w:rsid w:val="521F5A0C"/>
    <w:rsid w:val="524D4E98"/>
    <w:rsid w:val="527B7AB3"/>
    <w:rsid w:val="530F3A66"/>
    <w:rsid w:val="53271FE1"/>
    <w:rsid w:val="534C32E6"/>
    <w:rsid w:val="5387786B"/>
    <w:rsid w:val="53DF60B9"/>
    <w:rsid w:val="53EF0172"/>
    <w:rsid w:val="54203A17"/>
    <w:rsid w:val="542A69A5"/>
    <w:rsid w:val="54416179"/>
    <w:rsid w:val="54AD6A66"/>
    <w:rsid w:val="54B24ADE"/>
    <w:rsid w:val="54C91174"/>
    <w:rsid w:val="54F85482"/>
    <w:rsid w:val="55073EA4"/>
    <w:rsid w:val="55417994"/>
    <w:rsid w:val="55472209"/>
    <w:rsid w:val="55723DD8"/>
    <w:rsid w:val="55AB784C"/>
    <w:rsid w:val="55E32039"/>
    <w:rsid w:val="56005BBE"/>
    <w:rsid w:val="56575812"/>
    <w:rsid w:val="56A07C1B"/>
    <w:rsid w:val="56BD58F6"/>
    <w:rsid w:val="56D15278"/>
    <w:rsid w:val="56F06514"/>
    <w:rsid w:val="57095B3E"/>
    <w:rsid w:val="573C19BC"/>
    <w:rsid w:val="575D7918"/>
    <w:rsid w:val="57604B06"/>
    <w:rsid w:val="57635617"/>
    <w:rsid w:val="57693C93"/>
    <w:rsid w:val="579818A8"/>
    <w:rsid w:val="57A36AA9"/>
    <w:rsid w:val="57BB098B"/>
    <w:rsid w:val="57EB5780"/>
    <w:rsid w:val="582252AE"/>
    <w:rsid w:val="583765A2"/>
    <w:rsid w:val="58696A27"/>
    <w:rsid w:val="58782A2E"/>
    <w:rsid w:val="588E073A"/>
    <w:rsid w:val="58983326"/>
    <w:rsid w:val="58A338FD"/>
    <w:rsid w:val="58C25B34"/>
    <w:rsid w:val="58D62394"/>
    <w:rsid w:val="58DD7CB0"/>
    <w:rsid w:val="58E30BF7"/>
    <w:rsid w:val="58E81918"/>
    <w:rsid w:val="59216076"/>
    <w:rsid w:val="596D0A08"/>
    <w:rsid w:val="5979303C"/>
    <w:rsid w:val="59875314"/>
    <w:rsid w:val="598A2AC8"/>
    <w:rsid w:val="5996538B"/>
    <w:rsid w:val="599A1DB2"/>
    <w:rsid w:val="599E19CD"/>
    <w:rsid w:val="59A07A25"/>
    <w:rsid w:val="59CC01DE"/>
    <w:rsid w:val="59FA6587"/>
    <w:rsid w:val="5A08382E"/>
    <w:rsid w:val="5A784F31"/>
    <w:rsid w:val="5A8524E3"/>
    <w:rsid w:val="5A8A461E"/>
    <w:rsid w:val="5AA71448"/>
    <w:rsid w:val="5B12200E"/>
    <w:rsid w:val="5B1C2DB5"/>
    <w:rsid w:val="5B301727"/>
    <w:rsid w:val="5B7423E9"/>
    <w:rsid w:val="5BA80263"/>
    <w:rsid w:val="5C2861E3"/>
    <w:rsid w:val="5C616571"/>
    <w:rsid w:val="5CBB5F56"/>
    <w:rsid w:val="5CBF5B6C"/>
    <w:rsid w:val="5CDA06EE"/>
    <w:rsid w:val="5CDC50BC"/>
    <w:rsid w:val="5CEA3AB8"/>
    <w:rsid w:val="5D2924BD"/>
    <w:rsid w:val="5D4726CB"/>
    <w:rsid w:val="5D537D6D"/>
    <w:rsid w:val="5D67536F"/>
    <w:rsid w:val="5D760F08"/>
    <w:rsid w:val="5DAE4EFE"/>
    <w:rsid w:val="5DEF2131"/>
    <w:rsid w:val="5DEF7D4D"/>
    <w:rsid w:val="5E26156D"/>
    <w:rsid w:val="5E5555EB"/>
    <w:rsid w:val="5E5F7247"/>
    <w:rsid w:val="5E612A5F"/>
    <w:rsid w:val="5E8B2E94"/>
    <w:rsid w:val="5E9439BC"/>
    <w:rsid w:val="5EDF69B5"/>
    <w:rsid w:val="5F5A2B69"/>
    <w:rsid w:val="5F6637C3"/>
    <w:rsid w:val="5F721D1D"/>
    <w:rsid w:val="5F9B677C"/>
    <w:rsid w:val="5FA723A6"/>
    <w:rsid w:val="5FAB79A1"/>
    <w:rsid w:val="5FD7555F"/>
    <w:rsid w:val="5FF72500"/>
    <w:rsid w:val="601A284A"/>
    <w:rsid w:val="6028031A"/>
    <w:rsid w:val="604503A5"/>
    <w:rsid w:val="604D56E3"/>
    <w:rsid w:val="60702BF2"/>
    <w:rsid w:val="607B5C3F"/>
    <w:rsid w:val="60A06BCF"/>
    <w:rsid w:val="60B51726"/>
    <w:rsid w:val="60DB671F"/>
    <w:rsid w:val="60EE13E6"/>
    <w:rsid w:val="60EF1305"/>
    <w:rsid w:val="614978B4"/>
    <w:rsid w:val="619F0475"/>
    <w:rsid w:val="61A20606"/>
    <w:rsid w:val="61AA6EC1"/>
    <w:rsid w:val="61B46D6F"/>
    <w:rsid w:val="61CF004D"/>
    <w:rsid w:val="620B106A"/>
    <w:rsid w:val="62176AE3"/>
    <w:rsid w:val="62466CE8"/>
    <w:rsid w:val="62703C9A"/>
    <w:rsid w:val="62A07662"/>
    <w:rsid w:val="62BE732C"/>
    <w:rsid w:val="62D013C5"/>
    <w:rsid w:val="62EF6D5B"/>
    <w:rsid w:val="63067BB4"/>
    <w:rsid w:val="63720F5D"/>
    <w:rsid w:val="63B96383"/>
    <w:rsid w:val="648A3809"/>
    <w:rsid w:val="64A363A4"/>
    <w:rsid w:val="64D14A59"/>
    <w:rsid w:val="6505069F"/>
    <w:rsid w:val="6572399D"/>
    <w:rsid w:val="65E83807"/>
    <w:rsid w:val="660C4A2D"/>
    <w:rsid w:val="662216D1"/>
    <w:rsid w:val="663770E4"/>
    <w:rsid w:val="665C3B92"/>
    <w:rsid w:val="66B61CEC"/>
    <w:rsid w:val="66E4008E"/>
    <w:rsid w:val="66E435A6"/>
    <w:rsid w:val="6738165C"/>
    <w:rsid w:val="67C73BDD"/>
    <w:rsid w:val="67DF1A07"/>
    <w:rsid w:val="67EA1710"/>
    <w:rsid w:val="68297E94"/>
    <w:rsid w:val="684F01C5"/>
    <w:rsid w:val="684F263A"/>
    <w:rsid w:val="68546498"/>
    <w:rsid w:val="688F435C"/>
    <w:rsid w:val="689807B4"/>
    <w:rsid w:val="68AA1981"/>
    <w:rsid w:val="68B92F24"/>
    <w:rsid w:val="68F465CF"/>
    <w:rsid w:val="68FF1F10"/>
    <w:rsid w:val="691522A6"/>
    <w:rsid w:val="69663FBB"/>
    <w:rsid w:val="696B107C"/>
    <w:rsid w:val="698C36A3"/>
    <w:rsid w:val="69A05479"/>
    <w:rsid w:val="69C01515"/>
    <w:rsid w:val="69C44681"/>
    <w:rsid w:val="69DD43C2"/>
    <w:rsid w:val="6A1179E4"/>
    <w:rsid w:val="6A4351C7"/>
    <w:rsid w:val="6A4F6AF6"/>
    <w:rsid w:val="6A5169C6"/>
    <w:rsid w:val="6A6472C5"/>
    <w:rsid w:val="6AEF229B"/>
    <w:rsid w:val="6AFF5C1B"/>
    <w:rsid w:val="6B093274"/>
    <w:rsid w:val="6B0A4EF5"/>
    <w:rsid w:val="6B1225BF"/>
    <w:rsid w:val="6B3343C6"/>
    <w:rsid w:val="6B363726"/>
    <w:rsid w:val="6B5B2C33"/>
    <w:rsid w:val="6B6606B8"/>
    <w:rsid w:val="6B763F03"/>
    <w:rsid w:val="6B865F5A"/>
    <w:rsid w:val="6B930322"/>
    <w:rsid w:val="6B9A5924"/>
    <w:rsid w:val="6BCB6B4F"/>
    <w:rsid w:val="6BDB422E"/>
    <w:rsid w:val="6C204EDE"/>
    <w:rsid w:val="6C251B1E"/>
    <w:rsid w:val="6C585EBA"/>
    <w:rsid w:val="6CA716ED"/>
    <w:rsid w:val="6CD618CA"/>
    <w:rsid w:val="6CDD6044"/>
    <w:rsid w:val="6CDE6D3B"/>
    <w:rsid w:val="6CFB2B80"/>
    <w:rsid w:val="6D08758F"/>
    <w:rsid w:val="6D0D7F1B"/>
    <w:rsid w:val="6D1C7721"/>
    <w:rsid w:val="6D5040B8"/>
    <w:rsid w:val="6D586653"/>
    <w:rsid w:val="6D7453A6"/>
    <w:rsid w:val="6D7C024B"/>
    <w:rsid w:val="6D8642E3"/>
    <w:rsid w:val="6DAA71C6"/>
    <w:rsid w:val="6E0C7A1B"/>
    <w:rsid w:val="6E1D6C81"/>
    <w:rsid w:val="6E7C38C5"/>
    <w:rsid w:val="6EA76CD8"/>
    <w:rsid w:val="6EBD20FE"/>
    <w:rsid w:val="6EDA5052"/>
    <w:rsid w:val="6EEA194B"/>
    <w:rsid w:val="6F2A4AF9"/>
    <w:rsid w:val="6F825674"/>
    <w:rsid w:val="70396AA6"/>
    <w:rsid w:val="70890A8A"/>
    <w:rsid w:val="70C91F5E"/>
    <w:rsid w:val="70F57AF7"/>
    <w:rsid w:val="70F823F5"/>
    <w:rsid w:val="71501CCC"/>
    <w:rsid w:val="716A17C7"/>
    <w:rsid w:val="7170790F"/>
    <w:rsid w:val="71B95DC9"/>
    <w:rsid w:val="71D04EDB"/>
    <w:rsid w:val="71F3540D"/>
    <w:rsid w:val="72057863"/>
    <w:rsid w:val="723A07F5"/>
    <w:rsid w:val="72DD537E"/>
    <w:rsid w:val="72E320B1"/>
    <w:rsid w:val="73094C52"/>
    <w:rsid w:val="7318365E"/>
    <w:rsid w:val="733D489A"/>
    <w:rsid w:val="7341548C"/>
    <w:rsid w:val="735D28C9"/>
    <w:rsid w:val="73840570"/>
    <w:rsid w:val="7385486F"/>
    <w:rsid w:val="739745CF"/>
    <w:rsid w:val="7397745B"/>
    <w:rsid w:val="73CF0122"/>
    <w:rsid w:val="73D25DDD"/>
    <w:rsid w:val="73D32BA3"/>
    <w:rsid w:val="74100036"/>
    <w:rsid w:val="74517B00"/>
    <w:rsid w:val="74892D9C"/>
    <w:rsid w:val="74B3486D"/>
    <w:rsid w:val="74B90C6B"/>
    <w:rsid w:val="7516790D"/>
    <w:rsid w:val="752A684C"/>
    <w:rsid w:val="754652ED"/>
    <w:rsid w:val="75675DB8"/>
    <w:rsid w:val="757E6F6C"/>
    <w:rsid w:val="758C19B0"/>
    <w:rsid w:val="758D1B72"/>
    <w:rsid w:val="76086F7C"/>
    <w:rsid w:val="76692CD7"/>
    <w:rsid w:val="768E5141"/>
    <w:rsid w:val="76BC2B07"/>
    <w:rsid w:val="76D15E86"/>
    <w:rsid w:val="76F42322"/>
    <w:rsid w:val="779574FE"/>
    <w:rsid w:val="77B915E5"/>
    <w:rsid w:val="77E06BB0"/>
    <w:rsid w:val="77EC7F99"/>
    <w:rsid w:val="77F90176"/>
    <w:rsid w:val="78214D65"/>
    <w:rsid w:val="78296660"/>
    <w:rsid w:val="78303E4D"/>
    <w:rsid w:val="784F1673"/>
    <w:rsid w:val="785711E7"/>
    <w:rsid w:val="78FE269E"/>
    <w:rsid w:val="79035EB2"/>
    <w:rsid w:val="79077471"/>
    <w:rsid w:val="79096768"/>
    <w:rsid w:val="79316609"/>
    <w:rsid w:val="79517E72"/>
    <w:rsid w:val="795A7D07"/>
    <w:rsid w:val="79CF61A2"/>
    <w:rsid w:val="7A0B164B"/>
    <w:rsid w:val="7A1B4DD2"/>
    <w:rsid w:val="7A2D6D03"/>
    <w:rsid w:val="7A3D71BF"/>
    <w:rsid w:val="7A51391E"/>
    <w:rsid w:val="7A6271D8"/>
    <w:rsid w:val="7A7E53FC"/>
    <w:rsid w:val="7A8A3B4E"/>
    <w:rsid w:val="7A8C7618"/>
    <w:rsid w:val="7A97379E"/>
    <w:rsid w:val="7AAC7C92"/>
    <w:rsid w:val="7B2121A2"/>
    <w:rsid w:val="7B240A6A"/>
    <w:rsid w:val="7B34247D"/>
    <w:rsid w:val="7B69329F"/>
    <w:rsid w:val="7B982F3B"/>
    <w:rsid w:val="7C124148"/>
    <w:rsid w:val="7C2B08F6"/>
    <w:rsid w:val="7C4974AD"/>
    <w:rsid w:val="7C59127D"/>
    <w:rsid w:val="7C62341F"/>
    <w:rsid w:val="7CC91AC9"/>
    <w:rsid w:val="7D0D1F81"/>
    <w:rsid w:val="7D462E2C"/>
    <w:rsid w:val="7D6C2CC7"/>
    <w:rsid w:val="7D751279"/>
    <w:rsid w:val="7D935E73"/>
    <w:rsid w:val="7DB440E3"/>
    <w:rsid w:val="7DF96C0E"/>
    <w:rsid w:val="7E6C2ABD"/>
    <w:rsid w:val="7E845688"/>
    <w:rsid w:val="7EB651FB"/>
    <w:rsid w:val="7EF72D51"/>
    <w:rsid w:val="7F333909"/>
    <w:rsid w:val="7F500377"/>
    <w:rsid w:val="7F55314A"/>
    <w:rsid w:val="7F950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4"/>
    <w:qFormat/>
    <w:uiPriority w:val="0"/>
    <w:pPr>
      <w:keepNext/>
      <w:keepLines/>
      <w:spacing w:before="340" w:after="330" w:line="576" w:lineRule="auto"/>
      <w:outlineLvl w:val="0"/>
    </w:pPr>
    <w:rPr>
      <w:b/>
      <w:kern w:val="44"/>
      <w:sz w:val="44"/>
    </w:rPr>
  </w:style>
  <w:style w:type="paragraph" w:styleId="4">
    <w:name w:val="heading 2"/>
    <w:basedOn w:val="1"/>
    <w:next w:val="1"/>
    <w:link w:val="55"/>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56"/>
    <w:qFormat/>
    <w:uiPriority w:val="0"/>
    <w:pPr>
      <w:keepNext/>
      <w:keepLines/>
      <w:spacing w:before="260" w:after="260" w:line="415" w:lineRule="auto"/>
      <w:outlineLvl w:val="2"/>
    </w:pPr>
    <w:rPr>
      <w:b/>
      <w:sz w:val="32"/>
    </w:rPr>
  </w:style>
  <w:style w:type="paragraph" w:styleId="6">
    <w:name w:val="heading 4"/>
    <w:basedOn w:val="1"/>
    <w:next w:val="1"/>
    <w:link w:val="57"/>
    <w:qFormat/>
    <w:uiPriority w:val="0"/>
    <w:pPr>
      <w:keepNext/>
      <w:keepLines/>
      <w:adjustRightInd w:val="0"/>
      <w:spacing w:before="280" w:after="290" w:line="376" w:lineRule="atLeast"/>
      <w:outlineLvl w:val="3"/>
    </w:pPr>
    <w:rPr>
      <w:rFonts w:ascii="Arial" w:hAnsi="Arial" w:eastAsia="黑体"/>
      <w:b/>
      <w:kern w:val="0"/>
      <w:sz w:val="28"/>
    </w:rPr>
  </w:style>
  <w:style w:type="paragraph" w:styleId="7">
    <w:name w:val="heading 5"/>
    <w:basedOn w:val="1"/>
    <w:next w:val="1"/>
    <w:qFormat/>
    <w:uiPriority w:val="0"/>
    <w:pPr>
      <w:keepNext/>
      <w:keepLines/>
      <w:adjustRightInd w:val="0"/>
      <w:spacing w:before="280" w:after="290" w:line="376" w:lineRule="atLeast"/>
      <w:outlineLvl w:val="4"/>
    </w:pPr>
    <w:rPr>
      <w:b/>
      <w:kern w:val="0"/>
      <w:sz w:val="28"/>
    </w:rPr>
  </w:style>
  <w:style w:type="paragraph" w:styleId="8">
    <w:name w:val="heading 6"/>
    <w:basedOn w:val="1"/>
    <w:next w:val="1"/>
    <w:qFormat/>
    <w:uiPriority w:val="0"/>
    <w:pPr>
      <w:keepNext/>
      <w:keepLines/>
      <w:adjustRightInd w:val="0"/>
      <w:spacing w:before="240" w:after="64" w:line="320" w:lineRule="atLeast"/>
      <w:outlineLvl w:val="5"/>
    </w:pPr>
    <w:rPr>
      <w:rFonts w:ascii="Arial" w:hAnsi="Arial" w:eastAsia="黑体"/>
      <w:b/>
      <w:kern w:val="0"/>
      <w:sz w:val="24"/>
    </w:rPr>
  </w:style>
  <w:style w:type="paragraph" w:styleId="9">
    <w:name w:val="heading 7"/>
    <w:basedOn w:val="1"/>
    <w:next w:val="1"/>
    <w:qFormat/>
    <w:uiPriority w:val="0"/>
    <w:pPr>
      <w:keepNext/>
      <w:keepLines/>
      <w:adjustRightInd w:val="0"/>
      <w:spacing w:before="240" w:after="64" w:line="320" w:lineRule="atLeast"/>
      <w:outlineLvl w:val="6"/>
    </w:pPr>
    <w:rPr>
      <w:b/>
      <w:kern w:val="0"/>
      <w:sz w:val="24"/>
    </w:rPr>
  </w:style>
  <w:style w:type="paragraph" w:styleId="10">
    <w:name w:val="heading 8"/>
    <w:basedOn w:val="1"/>
    <w:next w:val="1"/>
    <w:qFormat/>
    <w:uiPriority w:val="0"/>
    <w:pPr>
      <w:keepNext/>
      <w:keepLines/>
      <w:adjustRightInd w:val="0"/>
      <w:spacing w:before="240" w:after="64" w:line="320" w:lineRule="atLeast"/>
      <w:outlineLvl w:val="7"/>
    </w:pPr>
    <w:rPr>
      <w:rFonts w:ascii="Arial" w:hAnsi="Arial" w:eastAsia="黑体"/>
      <w:kern w:val="0"/>
      <w:sz w:val="24"/>
    </w:rPr>
  </w:style>
  <w:style w:type="paragraph" w:styleId="11">
    <w:name w:val="heading 9"/>
    <w:basedOn w:val="1"/>
    <w:next w:val="1"/>
    <w:qFormat/>
    <w:uiPriority w:val="0"/>
    <w:pPr>
      <w:keepNext/>
      <w:keepLines/>
      <w:adjustRightInd w:val="0"/>
      <w:spacing w:before="240" w:after="64" w:line="320" w:lineRule="atLeast"/>
      <w:outlineLvl w:val="8"/>
    </w:pPr>
    <w:rPr>
      <w:rFonts w:ascii="Arial" w:hAnsi="Arial" w:eastAsia="黑体"/>
      <w:kern w:val="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next w:val="1"/>
    <w:qFormat/>
    <w:uiPriority w:val="0"/>
    <w:pPr>
      <w:adjustRightInd w:val="0"/>
      <w:ind w:firstLine="420"/>
      <w:jc w:val="left"/>
      <w:textAlignment w:val="baseline"/>
    </w:pPr>
    <w:rPr>
      <w:kern w:val="0"/>
      <w:sz w:val="21"/>
    </w:rPr>
  </w:style>
  <w:style w:type="paragraph" w:styleId="12">
    <w:name w:val="toc 7"/>
    <w:basedOn w:val="1"/>
    <w:next w:val="1"/>
    <w:qFormat/>
    <w:uiPriority w:val="0"/>
    <w:pPr>
      <w:ind w:left="1260"/>
      <w:jc w:val="left"/>
    </w:pPr>
    <w:rPr>
      <w:sz w:val="18"/>
      <w:szCs w:val="18"/>
    </w:rPr>
  </w:style>
  <w:style w:type="paragraph" w:styleId="13">
    <w:name w:val="Normal Indent"/>
    <w:basedOn w:val="1"/>
    <w:qFormat/>
    <w:uiPriority w:val="0"/>
    <w:pPr>
      <w:ind w:firstLine="420"/>
    </w:pPr>
  </w:style>
  <w:style w:type="paragraph" w:styleId="14">
    <w:name w:val="Document Map"/>
    <w:basedOn w:val="1"/>
    <w:link w:val="58"/>
    <w:qFormat/>
    <w:uiPriority w:val="0"/>
    <w:pPr>
      <w:shd w:val="clear" w:color="auto" w:fill="000080"/>
    </w:pPr>
  </w:style>
  <w:style w:type="paragraph" w:styleId="15">
    <w:name w:val="annotation text"/>
    <w:basedOn w:val="1"/>
    <w:semiHidden/>
    <w:qFormat/>
    <w:uiPriority w:val="0"/>
    <w:pPr>
      <w:jc w:val="left"/>
    </w:pPr>
  </w:style>
  <w:style w:type="paragraph" w:styleId="16">
    <w:name w:val="Body Text 3"/>
    <w:basedOn w:val="1"/>
    <w:qFormat/>
    <w:uiPriority w:val="0"/>
    <w:pPr>
      <w:spacing w:after="120"/>
    </w:pPr>
    <w:rPr>
      <w:sz w:val="16"/>
    </w:rPr>
  </w:style>
  <w:style w:type="paragraph" w:styleId="17">
    <w:name w:val="Body Text"/>
    <w:basedOn w:val="1"/>
    <w:next w:val="1"/>
    <w:link w:val="59"/>
    <w:qFormat/>
    <w:uiPriority w:val="0"/>
    <w:rPr>
      <w:b/>
      <w:sz w:val="28"/>
    </w:rPr>
  </w:style>
  <w:style w:type="paragraph" w:styleId="18">
    <w:name w:val="Body Text Indent"/>
    <w:basedOn w:val="1"/>
    <w:qFormat/>
    <w:uiPriority w:val="0"/>
    <w:pPr>
      <w:ind w:left="1083" w:leftChars="30" w:hanging="1020" w:hangingChars="425"/>
    </w:pPr>
    <w:rPr>
      <w:rFonts w:ascii="宋体" w:hAnsi="宋体"/>
      <w:sz w:val="24"/>
    </w:rPr>
  </w:style>
  <w:style w:type="paragraph" w:styleId="19">
    <w:name w:val="toc 5"/>
    <w:basedOn w:val="1"/>
    <w:next w:val="1"/>
    <w:qFormat/>
    <w:uiPriority w:val="0"/>
    <w:pPr>
      <w:ind w:left="840"/>
      <w:jc w:val="left"/>
    </w:pPr>
    <w:rPr>
      <w:sz w:val="18"/>
      <w:szCs w:val="18"/>
    </w:rPr>
  </w:style>
  <w:style w:type="paragraph" w:styleId="20">
    <w:name w:val="toc 3"/>
    <w:basedOn w:val="1"/>
    <w:next w:val="1"/>
    <w:qFormat/>
    <w:uiPriority w:val="39"/>
    <w:pPr>
      <w:ind w:left="420"/>
      <w:jc w:val="left"/>
    </w:pPr>
    <w:rPr>
      <w:i/>
      <w:iCs/>
      <w:sz w:val="20"/>
    </w:rPr>
  </w:style>
  <w:style w:type="paragraph" w:styleId="21">
    <w:name w:val="Plain Text"/>
    <w:basedOn w:val="1"/>
    <w:link w:val="60"/>
    <w:qFormat/>
    <w:uiPriority w:val="0"/>
    <w:rPr>
      <w:rFonts w:ascii="宋体" w:hAnsi="Courier New"/>
      <w:sz w:val="24"/>
    </w:rPr>
  </w:style>
  <w:style w:type="paragraph" w:styleId="22">
    <w:name w:val="toc 8"/>
    <w:basedOn w:val="1"/>
    <w:next w:val="1"/>
    <w:qFormat/>
    <w:uiPriority w:val="0"/>
    <w:pPr>
      <w:ind w:left="1470"/>
      <w:jc w:val="left"/>
    </w:pPr>
    <w:rPr>
      <w:sz w:val="18"/>
      <w:szCs w:val="18"/>
    </w:rPr>
  </w:style>
  <w:style w:type="paragraph" w:styleId="23">
    <w:name w:val="Date"/>
    <w:basedOn w:val="1"/>
    <w:next w:val="1"/>
    <w:qFormat/>
    <w:uiPriority w:val="0"/>
    <w:pPr>
      <w:ind w:left="100" w:leftChars="2500"/>
    </w:pPr>
    <w:rPr>
      <w:b/>
      <w:sz w:val="36"/>
    </w:rPr>
  </w:style>
  <w:style w:type="paragraph" w:styleId="24">
    <w:name w:val="Body Text Indent 2"/>
    <w:basedOn w:val="1"/>
    <w:qFormat/>
    <w:uiPriority w:val="0"/>
    <w:pPr>
      <w:spacing w:line="360" w:lineRule="auto"/>
      <w:ind w:firstLine="480" w:firstLineChars="200"/>
    </w:pPr>
    <w:rPr>
      <w:rFonts w:ascii="幼圆" w:hAnsi="宋体" w:eastAsia="幼圆"/>
      <w:color w:val="FF0000"/>
      <w:sz w:val="24"/>
    </w:rPr>
  </w:style>
  <w:style w:type="paragraph" w:styleId="25">
    <w:name w:val="Balloon Text"/>
    <w:basedOn w:val="1"/>
    <w:link w:val="61"/>
    <w:qFormat/>
    <w:uiPriority w:val="0"/>
    <w:rPr>
      <w:sz w:val="18"/>
    </w:rPr>
  </w:style>
  <w:style w:type="paragraph" w:styleId="26">
    <w:name w:val="footer"/>
    <w:basedOn w:val="1"/>
    <w:link w:val="53"/>
    <w:qFormat/>
    <w:uiPriority w:val="0"/>
    <w:pPr>
      <w:tabs>
        <w:tab w:val="center" w:pos="4153"/>
        <w:tab w:val="right" w:pos="8306"/>
      </w:tabs>
      <w:snapToGrid w:val="0"/>
      <w:jc w:val="left"/>
    </w:pPr>
    <w:rPr>
      <w:sz w:val="18"/>
    </w:rPr>
  </w:style>
  <w:style w:type="paragraph" w:styleId="27">
    <w:name w:val="header"/>
    <w:basedOn w:val="1"/>
    <w:link w:val="62"/>
    <w:qFormat/>
    <w:uiPriority w:val="0"/>
    <w:pPr>
      <w:pBdr>
        <w:bottom w:val="single" w:color="auto" w:sz="6" w:space="1"/>
      </w:pBdr>
      <w:tabs>
        <w:tab w:val="center" w:pos="4153"/>
        <w:tab w:val="right" w:pos="8306"/>
      </w:tabs>
      <w:adjustRightInd w:val="0"/>
      <w:spacing w:line="240" w:lineRule="atLeast"/>
      <w:jc w:val="center"/>
    </w:pPr>
    <w:rPr>
      <w:kern w:val="0"/>
      <w:sz w:val="18"/>
    </w:rPr>
  </w:style>
  <w:style w:type="paragraph" w:styleId="28">
    <w:name w:val="toc 1"/>
    <w:basedOn w:val="1"/>
    <w:next w:val="1"/>
    <w:qFormat/>
    <w:uiPriority w:val="39"/>
    <w:pPr>
      <w:spacing w:before="120" w:after="120"/>
      <w:jc w:val="left"/>
    </w:pPr>
    <w:rPr>
      <w:b/>
      <w:bCs/>
      <w:caps/>
      <w:sz w:val="20"/>
    </w:rPr>
  </w:style>
  <w:style w:type="paragraph" w:styleId="29">
    <w:name w:val="toc 4"/>
    <w:basedOn w:val="1"/>
    <w:next w:val="1"/>
    <w:qFormat/>
    <w:uiPriority w:val="0"/>
    <w:pPr>
      <w:ind w:left="630"/>
      <w:jc w:val="left"/>
    </w:pPr>
    <w:rPr>
      <w:sz w:val="18"/>
      <w:szCs w:val="18"/>
    </w:rPr>
  </w:style>
  <w:style w:type="paragraph" w:styleId="30">
    <w:name w:val="toc 6"/>
    <w:basedOn w:val="1"/>
    <w:next w:val="1"/>
    <w:qFormat/>
    <w:uiPriority w:val="0"/>
    <w:pPr>
      <w:ind w:left="1050"/>
      <w:jc w:val="left"/>
    </w:pPr>
    <w:rPr>
      <w:sz w:val="18"/>
      <w:szCs w:val="18"/>
    </w:rPr>
  </w:style>
  <w:style w:type="paragraph" w:styleId="31">
    <w:name w:val="Body Text Indent 3"/>
    <w:basedOn w:val="1"/>
    <w:link w:val="63"/>
    <w:qFormat/>
    <w:uiPriority w:val="0"/>
    <w:pPr>
      <w:spacing w:after="120"/>
      <w:ind w:left="420" w:leftChars="200"/>
    </w:pPr>
    <w:rPr>
      <w:sz w:val="16"/>
    </w:rPr>
  </w:style>
  <w:style w:type="paragraph" w:styleId="32">
    <w:name w:val="toc 2"/>
    <w:basedOn w:val="1"/>
    <w:next w:val="1"/>
    <w:qFormat/>
    <w:uiPriority w:val="39"/>
    <w:pPr>
      <w:ind w:left="210"/>
      <w:jc w:val="left"/>
    </w:pPr>
    <w:rPr>
      <w:smallCaps/>
      <w:sz w:val="20"/>
    </w:rPr>
  </w:style>
  <w:style w:type="paragraph" w:styleId="33">
    <w:name w:val="toc 9"/>
    <w:basedOn w:val="1"/>
    <w:next w:val="1"/>
    <w:qFormat/>
    <w:uiPriority w:val="0"/>
    <w:pPr>
      <w:ind w:left="1680"/>
      <w:jc w:val="left"/>
    </w:pPr>
    <w:rPr>
      <w:sz w:val="18"/>
      <w:szCs w:val="18"/>
    </w:rPr>
  </w:style>
  <w:style w:type="paragraph" w:styleId="34">
    <w:name w:val="Body Text 2"/>
    <w:basedOn w:val="1"/>
    <w:qFormat/>
    <w:uiPriority w:val="0"/>
    <w:pPr>
      <w:spacing w:line="360" w:lineRule="auto"/>
    </w:pPr>
    <w:rPr>
      <w:rFonts w:ascii="幼圆" w:eastAsia="幼圆"/>
      <w:sz w:val="24"/>
      <w:u w:val="single"/>
    </w:rPr>
  </w:style>
  <w:style w:type="paragraph" w:styleId="35">
    <w:name w:val="HTML Preformatted"/>
    <w:basedOn w:val="1"/>
    <w:qFormat/>
    <w:uiPriority w:val="0"/>
    <w:rPr>
      <w:rFonts w:ascii="Courier New" w:hAnsi="Courier New"/>
      <w:sz w:val="20"/>
    </w:rPr>
  </w:style>
  <w:style w:type="paragraph" w:styleId="36">
    <w:name w:val="Normal (Web)"/>
    <w:basedOn w:val="1"/>
    <w:qFormat/>
    <w:uiPriority w:val="99"/>
    <w:pPr>
      <w:widowControl/>
      <w:spacing w:before="100" w:beforeAutospacing="1" w:after="100" w:afterAutospacing="1"/>
      <w:jc w:val="left"/>
    </w:pPr>
    <w:rPr>
      <w:rFonts w:ascii="宋体" w:hAnsi="宋体"/>
      <w:kern w:val="0"/>
      <w:sz w:val="24"/>
    </w:rPr>
  </w:style>
  <w:style w:type="paragraph" w:styleId="37">
    <w:name w:val="index 1"/>
    <w:basedOn w:val="1"/>
    <w:next w:val="1"/>
    <w:qFormat/>
    <w:uiPriority w:val="0"/>
  </w:style>
  <w:style w:type="paragraph" w:styleId="38">
    <w:name w:val="annotation subject"/>
    <w:basedOn w:val="15"/>
    <w:next w:val="15"/>
    <w:semiHidden/>
    <w:qFormat/>
    <w:uiPriority w:val="0"/>
    <w:rPr>
      <w:b/>
      <w:bCs/>
    </w:rPr>
  </w:style>
  <w:style w:type="table" w:styleId="40">
    <w:name w:val="Table Grid"/>
    <w:basedOn w:val="3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basedOn w:val="41"/>
    <w:qFormat/>
    <w:uiPriority w:val="22"/>
    <w:rPr>
      <w:b/>
    </w:rPr>
  </w:style>
  <w:style w:type="character" w:styleId="43">
    <w:name w:val="page number"/>
    <w:basedOn w:val="41"/>
    <w:qFormat/>
    <w:uiPriority w:val="0"/>
  </w:style>
  <w:style w:type="character" w:styleId="44">
    <w:name w:val="FollowedHyperlink"/>
    <w:qFormat/>
    <w:uiPriority w:val="0"/>
    <w:rPr>
      <w:rFonts w:hint="eastAsia" w:ascii="宋体" w:hAnsi="宋体" w:eastAsia="宋体" w:cs="宋体"/>
      <w:color w:val="000000"/>
      <w:sz w:val="18"/>
      <w:szCs w:val="18"/>
      <w:u w:val="none"/>
    </w:rPr>
  </w:style>
  <w:style w:type="character" w:styleId="45">
    <w:name w:val="Emphasis"/>
    <w:qFormat/>
    <w:uiPriority w:val="0"/>
    <w:rPr>
      <w:rFonts w:cs="Times New Roman"/>
      <w:i/>
      <w:iCs/>
    </w:rPr>
  </w:style>
  <w:style w:type="character" w:styleId="46">
    <w:name w:val="HTML Definition"/>
    <w:basedOn w:val="41"/>
    <w:qFormat/>
    <w:uiPriority w:val="0"/>
    <w:rPr>
      <w:i/>
      <w:iCs/>
    </w:rPr>
  </w:style>
  <w:style w:type="character" w:styleId="47">
    <w:name w:val="Hyperlink"/>
    <w:qFormat/>
    <w:uiPriority w:val="99"/>
    <w:rPr>
      <w:rFonts w:hint="eastAsia" w:ascii="宋体" w:hAnsi="宋体" w:eastAsia="宋体" w:cs="宋体"/>
      <w:color w:val="000000"/>
      <w:sz w:val="18"/>
      <w:szCs w:val="18"/>
      <w:u w:val="none"/>
    </w:rPr>
  </w:style>
  <w:style w:type="character" w:styleId="48">
    <w:name w:val="HTML Code"/>
    <w:basedOn w:val="41"/>
    <w:qFormat/>
    <w:uiPriority w:val="0"/>
    <w:rPr>
      <w:rFonts w:hint="default" w:ascii="Consolas" w:hAnsi="Consolas" w:eastAsia="Consolas" w:cs="Consolas"/>
      <w:color w:val="C7254E"/>
      <w:sz w:val="21"/>
      <w:szCs w:val="21"/>
      <w:shd w:val="clear" w:color="auto" w:fill="F9F2F4"/>
    </w:rPr>
  </w:style>
  <w:style w:type="character" w:styleId="49">
    <w:name w:val="annotation reference"/>
    <w:semiHidden/>
    <w:qFormat/>
    <w:uiPriority w:val="0"/>
    <w:rPr>
      <w:sz w:val="21"/>
      <w:szCs w:val="21"/>
    </w:rPr>
  </w:style>
  <w:style w:type="character" w:styleId="50">
    <w:name w:val="HTML Keyboard"/>
    <w:basedOn w:val="41"/>
    <w:qFormat/>
    <w:uiPriority w:val="0"/>
    <w:rPr>
      <w:rFonts w:hint="default" w:ascii="Consolas" w:hAnsi="Consolas" w:eastAsia="Consolas" w:cs="Consolas"/>
      <w:color w:val="FFFFFF"/>
      <w:sz w:val="21"/>
      <w:szCs w:val="21"/>
      <w:shd w:val="clear" w:color="auto" w:fill="333333"/>
    </w:rPr>
  </w:style>
  <w:style w:type="character" w:styleId="51">
    <w:name w:val="HTML Sample"/>
    <w:basedOn w:val="41"/>
    <w:qFormat/>
    <w:uiPriority w:val="0"/>
    <w:rPr>
      <w:rFonts w:ascii="Consolas" w:hAnsi="Consolas" w:eastAsia="Consolas" w:cs="Consolas"/>
      <w:sz w:val="21"/>
      <w:szCs w:val="21"/>
    </w:rPr>
  </w:style>
  <w:style w:type="paragraph" w:customStyle="1" w:styleId="52">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character" w:customStyle="1" w:styleId="53">
    <w:name w:val="页脚 Char1"/>
    <w:link w:val="26"/>
    <w:qFormat/>
    <w:locked/>
    <w:uiPriority w:val="0"/>
    <w:rPr>
      <w:rFonts w:eastAsia="宋体"/>
      <w:kern w:val="2"/>
      <w:sz w:val="18"/>
      <w:lang w:val="en-US" w:eastAsia="zh-CN" w:bidi="ar-SA"/>
    </w:rPr>
  </w:style>
  <w:style w:type="character" w:customStyle="1" w:styleId="54">
    <w:name w:val="标题 1 Char1"/>
    <w:link w:val="3"/>
    <w:qFormat/>
    <w:locked/>
    <w:uiPriority w:val="0"/>
    <w:rPr>
      <w:rFonts w:eastAsia="宋体"/>
      <w:b/>
      <w:kern w:val="44"/>
      <w:sz w:val="44"/>
      <w:lang w:val="en-US" w:eastAsia="zh-CN" w:bidi="ar-SA"/>
    </w:rPr>
  </w:style>
  <w:style w:type="character" w:customStyle="1" w:styleId="55">
    <w:name w:val="标题 2 Char1"/>
    <w:link w:val="4"/>
    <w:qFormat/>
    <w:uiPriority w:val="0"/>
    <w:rPr>
      <w:rFonts w:ascii="Arial" w:hAnsi="Arial" w:eastAsia="黑体"/>
      <w:b/>
      <w:kern w:val="2"/>
      <w:sz w:val="32"/>
      <w:lang w:val="en-US" w:eastAsia="zh-CN" w:bidi="ar-SA"/>
    </w:rPr>
  </w:style>
  <w:style w:type="character" w:customStyle="1" w:styleId="56">
    <w:name w:val="标题 3 Char"/>
    <w:link w:val="5"/>
    <w:qFormat/>
    <w:uiPriority w:val="0"/>
    <w:rPr>
      <w:rFonts w:eastAsia="宋体"/>
      <w:b/>
      <w:kern w:val="2"/>
      <w:sz w:val="32"/>
      <w:lang w:val="en-US" w:eastAsia="zh-CN"/>
    </w:rPr>
  </w:style>
  <w:style w:type="character" w:customStyle="1" w:styleId="57">
    <w:name w:val="标题 4 Char"/>
    <w:link w:val="6"/>
    <w:qFormat/>
    <w:locked/>
    <w:uiPriority w:val="0"/>
    <w:rPr>
      <w:rFonts w:ascii="Arial" w:hAnsi="Arial" w:eastAsia="黑体"/>
      <w:b/>
      <w:sz w:val="28"/>
      <w:lang w:val="en-US" w:eastAsia="zh-CN" w:bidi="ar-SA"/>
    </w:rPr>
  </w:style>
  <w:style w:type="character" w:customStyle="1" w:styleId="58">
    <w:name w:val="文档结构图 Char"/>
    <w:link w:val="14"/>
    <w:qFormat/>
    <w:uiPriority w:val="0"/>
    <w:rPr>
      <w:rFonts w:eastAsia="宋体"/>
      <w:kern w:val="2"/>
      <w:sz w:val="21"/>
      <w:lang w:val="en-US" w:eastAsia="zh-CN" w:bidi="ar-SA"/>
    </w:rPr>
  </w:style>
  <w:style w:type="character" w:customStyle="1" w:styleId="59">
    <w:name w:val="正文文本 Char"/>
    <w:link w:val="17"/>
    <w:qFormat/>
    <w:locked/>
    <w:uiPriority w:val="0"/>
    <w:rPr>
      <w:rFonts w:eastAsia="宋体"/>
      <w:b/>
      <w:kern w:val="2"/>
      <w:sz w:val="28"/>
      <w:lang w:val="en-US" w:eastAsia="zh-CN" w:bidi="ar-SA"/>
    </w:rPr>
  </w:style>
  <w:style w:type="character" w:customStyle="1" w:styleId="60">
    <w:name w:val="纯文本 Char"/>
    <w:link w:val="21"/>
    <w:qFormat/>
    <w:uiPriority w:val="0"/>
    <w:rPr>
      <w:rFonts w:ascii="宋体" w:hAnsi="Courier New" w:eastAsia="宋体"/>
      <w:kern w:val="2"/>
      <w:sz w:val="24"/>
      <w:lang w:val="en-US" w:eastAsia="zh-CN" w:bidi="ar-SA"/>
    </w:rPr>
  </w:style>
  <w:style w:type="character" w:customStyle="1" w:styleId="61">
    <w:name w:val="批注框文本 Char1"/>
    <w:link w:val="25"/>
    <w:semiHidden/>
    <w:qFormat/>
    <w:locked/>
    <w:uiPriority w:val="0"/>
    <w:rPr>
      <w:rFonts w:eastAsia="宋体"/>
      <w:kern w:val="2"/>
      <w:sz w:val="18"/>
      <w:lang w:val="en-US" w:eastAsia="zh-CN" w:bidi="ar-SA"/>
    </w:rPr>
  </w:style>
  <w:style w:type="character" w:customStyle="1" w:styleId="62">
    <w:name w:val="页眉 Char1"/>
    <w:link w:val="27"/>
    <w:qFormat/>
    <w:locked/>
    <w:uiPriority w:val="0"/>
    <w:rPr>
      <w:rFonts w:eastAsia="宋体"/>
      <w:sz w:val="18"/>
      <w:lang w:val="en-US" w:eastAsia="zh-CN" w:bidi="ar-SA"/>
    </w:rPr>
  </w:style>
  <w:style w:type="character" w:customStyle="1" w:styleId="63">
    <w:name w:val="正文文本缩进 3 Char"/>
    <w:link w:val="31"/>
    <w:semiHidden/>
    <w:qFormat/>
    <w:uiPriority w:val="0"/>
    <w:rPr>
      <w:rFonts w:eastAsia="宋体"/>
      <w:kern w:val="2"/>
      <w:sz w:val="16"/>
      <w:lang w:val="en-US" w:eastAsia="zh-CN" w:bidi="ar-SA"/>
    </w:rPr>
  </w:style>
  <w:style w:type="character" w:customStyle="1" w:styleId="64">
    <w:name w:val="font31"/>
    <w:qFormat/>
    <w:uiPriority w:val="0"/>
    <w:rPr>
      <w:rFonts w:hint="eastAsia" w:ascii="宋体" w:hAnsi="宋体" w:eastAsia="宋体" w:cs="宋体"/>
      <w:color w:val="000000"/>
      <w:sz w:val="24"/>
      <w:szCs w:val="24"/>
      <w:u w:val="none"/>
      <w:vertAlign w:val="superscript"/>
    </w:rPr>
  </w:style>
  <w:style w:type="character" w:customStyle="1" w:styleId="65">
    <w:name w:val="标题 1 字符"/>
    <w:qFormat/>
    <w:uiPriority w:val="0"/>
    <w:rPr>
      <w:rFonts w:ascii="Times New Roman" w:hAnsi="Times New Roman" w:eastAsia="宋体" w:cs="Times New Roman"/>
      <w:b/>
      <w:bCs/>
      <w:kern w:val="44"/>
      <w:sz w:val="44"/>
      <w:szCs w:val="44"/>
    </w:rPr>
  </w:style>
  <w:style w:type="character" w:customStyle="1" w:styleId="66">
    <w:name w:val="表格内容"/>
    <w:qFormat/>
    <w:uiPriority w:val="0"/>
    <w:rPr>
      <w:sz w:val="24"/>
    </w:rPr>
  </w:style>
  <w:style w:type="character" w:customStyle="1" w:styleId="67">
    <w:name w:val="param-name"/>
    <w:qFormat/>
    <w:uiPriority w:val="0"/>
    <w:rPr>
      <w:rFonts w:cs="Times New Roman"/>
    </w:rPr>
  </w:style>
  <w:style w:type="character" w:customStyle="1" w:styleId="68">
    <w:name w:val="Char Char"/>
    <w:qFormat/>
    <w:uiPriority w:val="0"/>
    <w:rPr>
      <w:rFonts w:eastAsia="宋体"/>
      <w:b/>
      <w:kern w:val="2"/>
      <w:sz w:val="32"/>
      <w:lang w:val="en-US" w:eastAsia="zh-CN"/>
    </w:rPr>
  </w:style>
  <w:style w:type="character" w:customStyle="1" w:styleId="69">
    <w:name w:val="font51"/>
    <w:qFormat/>
    <w:uiPriority w:val="0"/>
    <w:rPr>
      <w:rFonts w:hint="eastAsia" w:ascii="仿宋_GB2312" w:eastAsia="仿宋_GB2312"/>
      <w:color w:val="000000"/>
      <w:sz w:val="20"/>
      <w:szCs w:val="20"/>
      <w:u w:val="none"/>
    </w:rPr>
  </w:style>
  <w:style w:type="character" w:customStyle="1" w:styleId="70">
    <w:name w:val="me041"/>
    <w:qFormat/>
    <w:uiPriority w:val="0"/>
    <w:rPr>
      <w:color w:val="6F6F73"/>
      <w:sz w:val="18"/>
      <w:szCs w:val="18"/>
    </w:rPr>
  </w:style>
  <w:style w:type="character" w:customStyle="1" w:styleId="71">
    <w:name w:val="breakword"/>
    <w:basedOn w:val="41"/>
    <w:qFormat/>
    <w:uiPriority w:val="0"/>
  </w:style>
  <w:style w:type="character" w:customStyle="1" w:styleId="72">
    <w:name w:val="批注框文本 Char"/>
    <w:qFormat/>
    <w:locked/>
    <w:uiPriority w:val="0"/>
    <w:rPr>
      <w:rFonts w:cs="Times New Roman"/>
      <w:kern w:val="2"/>
      <w:sz w:val="18"/>
      <w:szCs w:val="18"/>
    </w:rPr>
  </w:style>
  <w:style w:type="character" w:customStyle="1" w:styleId="73">
    <w:name w:val="普通(网站) Char Char"/>
    <w:link w:val="74"/>
    <w:qFormat/>
    <w:uiPriority w:val="0"/>
    <w:rPr>
      <w:rFonts w:ascii="宋体" w:hAnsi="宋体"/>
      <w:sz w:val="24"/>
      <w:lang w:bidi="ar-SA"/>
    </w:rPr>
  </w:style>
  <w:style w:type="paragraph" w:customStyle="1" w:styleId="74">
    <w:name w:val="普通(网站)1"/>
    <w:basedOn w:val="1"/>
    <w:link w:val="73"/>
    <w:qFormat/>
    <w:uiPriority w:val="0"/>
    <w:pPr>
      <w:widowControl/>
      <w:spacing w:before="100" w:beforeAutospacing="1" w:after="100" w:afterAutospacing="1" w:line="360" w:lineRule="auto"/>
      <w:ind w:firstLine="420" w:firstLineChars="200"/>
      <w:jc w:val="left"/>
    </w:pPr>
    <w:rPr>
      <w:rFonts w:ascii="宋体" w:hAnsi="宋体"/>
      <w:kern w:val="0"/>
      <w:sz w:val="24"/>
    </w:rPr>
  </w:style>
  <w:style w:type="character" w:customStyle="1" w:styleId="75">
    <w:name w:val="标题 1 Char"/>
    <w:qFormat/>
    <w:uiPriority w:val="0"/>
    <w:rPr>
      <w:b/>
      <w:bCs/>
      <w:kern w:val="44"/>
      <w:sz w:val="44"/>
      <w:szCs w:val="44"/>
    </w:rPr>
  </w:style>
  <w:style w:type="character" w:customStyle="1" w:styleId="76">
    <w:name w:val="para1"/>
    <w:qFormat/>
    <w:uiPriority w:val="0"/>
    <w:rPr>
      <w:rFonts w:hint="default" w:ascii="Arial" w:hAnsi="Arial"/>
      <w:sz w:val="18"/>
    </w:rPr>
  </w:style>
  <w:style w:type="character" w:customStyle="1" w:styleId="77">
    <w:name w:val="font21"/>
    <w:qFormat/>
    <w:uiPriority w:val="0"/>
    <w:rPr>
      <w:rFonts w:hint="eastAsia" w:ascii="宋体" w:hAnsi="宋体" w:eastAsia="宋体" w:cs="宋体"/>
      <w:color w:val="000000"/>
      <w:sz w:val="20"/>
      <w:szCs w:val="20"/>
      <w:u w:val="none"/>
    </w:rPr>
  </w:style>
  <w:style w:type="character" w:customStyle="1" w:styleId="78">
    <w:name w:val="Heading 2 Char"/>
    <w:qFormat/>
    <w:locked/>
    <w:uiPriority w:val="0"/>
    <w:rPr>
      <w:rFonts w:ascii="Cambria" w:hAnsi="Cambria" w:eastAsia="宋体" w:cs="Times New Roman"/>
      <w:b/>
      <w:kern w:val="0"/>
      <w:sz w:val="32"/>
    </w:rPr>
  </w:style>
  <w:style w:type="character" w:customStyle="1" w:styleId="79">
    <w:name w:val="apple-converted-space"/>
    <w:qFormat/>
    <w:uiPriority w:val="0"/>
    <w:rPr>
      <w:rFonts w:cs="Times New Roman"/>
    </w:rPr>
  </w:style>
  <w:style w:type="character" w:customStyle="1" w:styleId="80">
    <w:name w:val="Heading 3 Char"/>
    <w:qFormat/>
    <w:locked/>
    <w:uiPriority w:val="0"/>
    <w:rPr>
      <w:rFonts w:ascii="Times New Roman" w:hAnsi="Times New Roman" w:eastAsia="宋体" w:cs="Times New Roman"/>
      <w:b/>
      <w:kern w:val="0"/>
      <w:sz w:val="32"/>
    </w:rPr>
  </w:style>
  <w:style w:type="character" w:customStyle="1" w:styleId="81">
    <w:name w:val="标题 2 Char"/>
    <w:qFormat/>
    <w:uiPriority w:val="0"/>
    <w:rPr>
      <w:rFonts w:ascii="Arial" w:hAnsi="Arial" w:eastAsia="黑体"/>
      <w:b/>
      <w:kern w:val="2"/>
      <w:sz w:val="32"/>
      <w:lang w:val="en-US" w:eastAsia="zh-CN" w:bidi="ar-SA"/>
    </w:rPr>
  </w:style>
  <w:style w:type="character" w:customStyle="1" w:styleId="82">
    <w:name w:val="title_emph1"/>
    <w:qFormat/>
    <w:uiPriority w:val="0"/>
    <w:rPr>
      <w:rFonts w:hint="default" w:ascii="Arial" w:hAnsi="Arial"/>
      <w:b/>
      <w:sz w:val="18"/>
    </w:rPr>
  </w:style>
  <w:style w:type="character" w:customStyle="1" w:styleId="83">
    <w:name w:val="font41"/>
    <w:qFormat/>
    <w:uiPriority w:val="0"/>
    <w:rPr>
      <w:rFonts w:hint="eastAsia" w:ascii="宋体" w:hAnsi="宋体" w:eastAsia="宋体"/>
      <w:color w:val="000000"/>
      <w:sz w:val="20"/>
      <w:szCs w:val="20"/>
      <w:u w:val="none"/>
    </w:rPr>
  </w:style>
  <w:style w:type="character" w:customStyle="1" w:styleId="84">
    <w:name w:val="apple-style-span"/>
    <w:basedOn w:val="41"/>
    <w:qFormat/>
    <w:uiPriority w:val="0"/>
  </w:style>
  <w:style w:type="character" w:customStyle="1" w:styleId="85">
    <w:name w:val="font01"/>
    <w:qFormat/>
    <w:uiPriority w:val="0"/>
    <w:rPr>
      <w:rFonts w:hint="eastAsia" w:ascii="宋体" w:hAnsi="宋体" w:eastAsia="宋体" w:cs="宋体"/>
      <w:color w:val="000000"/>
      <w:sz w:val="20"/>
      <w:szCs w:val="20"/>
      <w:u w:val="none"/>
    </w:rPr>
  </w:style>
  <w:style w:type="character" w:customStyle="1" w:styleId="86">
    <w:name w:val="font61"/>
    <w:qFormat/>
    <w:uiPriority w:val="0"/>
    <w:rPr>
      <w:rFonts w:hint="eastAsia" w:ascii="宋体" w:hAnsi="宋体" w:eastAsia="宋体" w:cs="宋体"/>
      <w:color w:val="000000"/>
      <w:sz w:val="20"/>
      <w:szCs w:val="20"/>
      <w:u w:val="none"/>
    </w:rPr>
  </w:style>
  <w:style w:type="character" w:customStyle="1" w:styleId="87">
    <w:name w:val="Plain Text Char"/>
    <w:qFormat/>
    <w:locked/>
    <w:uiPriority w:val="0"/>
    <w:rPr>
      <w:rFonts w:ascii="宋体" w:hAnsi="Courier New" w:eastAsia="宋体"/>
      <w:sz w:val="21"/>
    </w:rPr>
  </w:style>
  <w:style w:type="character" w:customStyle="1" w:styleId="88">
    <w:name w:val="point_normal1"/>
    <w:qFormat/>
    <w:uiPriority w:val="0"/>
    <w:rPr>
      <w:rFonts w:hint="default" w:ascii="Arial" w:hAnsi="Arial"/>
      <w:sz w:val="18"/>
    </w:rPr>
  </w:style>
  <w:style w:type="character" w:customStyle="1" w:styleId="89">
    <w:name w:val="页脚 Char"/>
    <w:qFormat/>
    <w:uiPriority w:val="0"/>
    <w:rPr>
      <w:sz w:val="18"/>
    </w:rPr>
  </w:style>
  <w:style w:type="character" w:customStyle="1" w:styleId="90">
    <w:name w:val="param-value"/>
    <w:qFormat/>
    <w:uiPriority w:val="0"/>
    <w:rPr>
      <w:rFonts w:cs="Times New Roman"/>
    </w:rPr>
  </w:style>
  <w:style w:type="character" w:customStyle="1" w:styleId="91">
    <w:name w:val="Char Char Char Char Char Char1 Char Char"/>
    <w:link w:val="92"/>
    <w:qFormat/>
    <w:uiPriority w:val="0"/>
    <w:rPr>
      <w:rFonts w:ascii="Tahoma" w:hAnsi="Tahoma" w:eastAsia="宋体"/>
      <w:kern w:val="2"/>
      <w:sz w:val="24"/>
      <w:szCs w:val="24"/>
      <w:lang w:val="en-US" w:eastAsia="zh-CN" w:bidi="ar-SA"/>
    </w:rPr>
  </w:style>
  <w:style w:type="paragraph" w:customStyle="1" w:styleId="92">
    <w:name w:val="Char Char Char Char Char Char1 Char"/>
    <w:basedOn w:val="14"/>
    <w:link w:val="91"/>
    <w:qFormat/>
    <w:uiPriority w:val="0"/>
    <w:rPr>
      <w:rFonts w:ascii="Tahoma" w:hAnsi="Tahoma"/>
      <w:sz w:val="24"/>
      <w:szCs w:val="24"/>
    </w:rPr>
  </w:style>
  <w:style w:type="character" w:customStyle="1" w:styleId="93">
    <w:name w:val="页眉 Char"/>
    <w:qFormat/>
    <w:uiPriority w:val="0"/>
    <w:rPr>
      <w:sz w:val="18"/>
    </w:rPr>
  </w:style>
  <w:style w:type="paragraph" w:customStyle="1" w:styleId="94">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95">
    <w:name w:val="2 - 节标题"/>
    <w:basedOn w:val="4"/>
    <w:next w:val="1"/>
    <w:qFormat/>
    <w:uiPriority w:val="0"/>
    <w:pPr>
      <w:keepNext w:val="0"/>
      <w:keepLines w:val="0"/>
      <w:tabs>
        <w:tab w:val="left" w:pos="0"/>
      </w:tabs>
      <w:spacing w:line="240" w:lineRule="auto"/>
    </w:pPr>
    <w:rPr>
      <w:b w:val="0"/>
      <w:bCs/>
      <w:kern w:val="0"/>
      <w:sz w:val="30"/>
      <w:szCs w:val="32"/>
    </w:rPr>
  </w:style>
  <w:style w:type="paragraph" w:customStyle="1" w:styleId="96">
    <w:name w:val="╒222222²¡¡"/>
    <w:qFormat/>
    <w:uiPriority w:val="0"/>
    <w:pPr>
      <w:widowControl w:val="0"/>
      <w:autoSpaceDE w:val="0"/>
      <w:autoSpaceDN w:val="0"/>
      <w:adjustRightInd w:val="0"/>
      <w:spacing w:line="345" w:lineRule="atLeast"/>
      <w:jc w:val="both"/>
    </w:pPr>
    <w:rPr>
      <w:rFonts w:ascii="Times New Roman" w:hAnsi="Times New Roman" w:eastAsia="宋体" w:cs="Times New Roman"/>
      <w:sz w:val="24"/>
      <w:szCs w:val="24"/>
      <w:lang w:val="en-US" w:eastAsia="zh-CN" w:bidi="ar-SA"/>
    </w:rPr>
  </w:style>
  <w:style w:type="paragraph" w:customStyle="1" w:styleId="97">
    <w:name w:val="font7"/>
    <w:basedOn w:val="1"/>
    <w:qFormat/>
    <w:uiPriority w:val="0"/>
    <w:pPr>
      <w:widowControl/>
      <w:spacing w:before="100" w:beforeAutospacing="1" w:after="100" w:afterAutospacing="1"/>
      <w:jc w:val="left"/>
    </w:pPr>
    <w:rPr>
      <w:kern w:val="0"/>
      <w:sz w:val="24"/>
    </w:rPr>
  </w:style>
  <w:style w:type="paragraph" w:customStyle="1" w:styleId="98">
    <w:name w:val="Char Char1 Char Char Char Char Char Char Char Char Char Char Char Char Char Char Char"/>
    <w:basedOn w:val="1"/>
    <w:qFormat/>
    <w:uiPriority w:val="0"/>
    <w:pPr>
      <w:widowControl/>
      <w:spacing w:after="160" w:line="240" w:lineRule="exact"/>
      <w:jc w:val="left"/>
    </w:pPr>
    <w:rPr>
      <w:szCs w:val="24"/>
    </w:rPr>
  </w:style>
  <w:style w:type="paragraph" w:customStyle="1" w:styleId="9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0"/>
    </w:rPr>
  </w:style>
  <w:style w:type="paragraph" w:customStyle="1" w:styleId="100">
    <w:name w:val="xl36"/>
    <w:basedOn w:val="1"/>
    <w:qFormat/>
    <w:uiPriority w:val="0"/>
    <w:pPr>
      <w:widowControl/>
      <w:spacing w:before="100" w:after="100"/>
      <w:jc w:val="center"/>
    </w:pPr>
    <w:rPr>
      <w:rFonts w:hint="eastAsia" w:ascii="宋体" w:hAnsi="宋体"/>
      <w:kern w:val="0"/>
      <w:sz w:val="24"/>
    </w:rPr>
  </w:style>
  <w:style w:type="paragraph" w:customStyle="1" w:styleId="101">
    <w:name w:val="tit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2">
    <w:name w:val="小标题 3"/>
    <w:qFormat/>
    <w:uiPriority w:val="0"/>
    <w:pPr>
      <w:widowControl w:val="0"/>
      <w:autoSpaceDE w:val="0"/>
      <w:autoSpaceDN w:val="0"/>
      <w:adjustRightInd w:val="0"/>
      <w:spacing w:line="340" w:lineRule="atLeast"/>
      <w:ind w:firstLine="454"/>
    </w:pPr>
    <w:rPr>
      <w:rFonts w:ascii="汉仪魏碑简" w:hAnsi="Times New Roman" w:eastAsia="汉仪魏碑简" w:cs="汉仪魏碑简"/>
      <w:color w:val="000000"/>
      <w:spacing w:val="-15"/>
      <w:sz w:val="22"/>
      <w:szCs w:val="22"/>
      <w:lang w:val="en-US" w:eastAsia="zh-CN" w:bidi="ar-SA"/>
    </w:rPr>
  </w:style>
  <w:style w:type="paragraph" w:customStyle="1" w:styleId="103">
    <w:name w:val="xl3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4">
    <w:name w:val="xl68"/>
    <w:basedOn w:val="1"/>
    <w:qFormat/>
    <w:uiPriority w:val="0"/>
    <w:pPr>
      <w:widowControl/>
      <w:spacing w:before="100" w:beforeAutospacing="1" w:after="100" w:afterAutospacing="1"/>
      <w:jc w:val="left"/>
      <w:textAlignment w:val="center"/>
    </w:pPr>
    <w:rPr>
      <w:rFonts w:ascii="Arial" w:hAnsi="Arial"/>
      <w:kern w:val="0"/>
      <w:sz w:val="20"/>
    </w:rPr>
  </w:style>
  <w:style w:type="paragraph" w:customStyle="1" w:styleId="105">
    <w:name w:val="font10"/>
    <w:basedOn w:val="1"/>
    <w:qFormat/>
    <w:uiPriority w:val="0"/>
    <w:pPr>
      <w:widowControl/>
      <w:spacing w:before="100" w:beforeAutospacing="1" w:after="100" w:afterAutospacing="1"/>
      <w:jc w:val="left"/>
    </w:pPr>
    <w:rPr>
      <w:rFonts w:hint="eastAsia" w:ascii="宋体" w:hAnsi="宋体"/>
      <w:kern w:val="0"/>
      <w:sz w:val="22"/>
    </w:rPr>
  </w:style>
  <w:style w:type="paragraph" w:customStyle="1" w:styleId="106">
    <w:name w:val="font12"/>
    <w:basedOn w:val="1"/>
    <w:qFormat/>
    <w:uiPriority w:val="0"/>
    <w:pPr>
      <w:widowControl/>
      <w:spacing w:before="100" w:beforeAutospacing="1" w:after="100" w:afterAutospacing="1"/>
      <w:jc w:val="left"/>
    </w:pPr>
    <w:rPr>
      <w:rFonts w:ascii="Arial" w:hAnsi="Arial"/>
      <w:kern w:val="0"/>
      <w:sz w:val="22"/>
    </w:rPr>
  </w:style>
  <w:style w:type="paragraph" w:customStyle="1" w:styleId="107">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8">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9">
    <w:name w:val="xl3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10">
    <w:name w:val="普通 (Web)"/>
    <w:basedOn w:val="1"/>
    <w:qFormat/>
    <w:uiPriority w:val="0"/>
    <w:pPr>
      <w:widowControl/>
      <w:spacing w:before="100" w:after="100"/>
      <w:jc w:val="left"/>
    </w:pPr>
    <w:rPr>
      <w:rFonts w:ascii="Arial Unicode MS" w:hAnsi="Arial Unicode MS" w:eastAsia="Arial Unicode MS"/>
      <w:kern w:val="0"/>
      <w:sz w:val="24"/>
    </w:rPr>
  </w:style>
  <w:style w:type="paragraph" w:styleId="111">
    <w:name w:val="No Spacing"/>
    <w:qFormat/>
    <w:uiPriority w:val="1"/>
    <w:pPr>
      <w:widowControl w:val="0"/>
      <w:ind w:firstLine="200" w:firstLineChars="200"/>
      <w:jc w:val="both"/>
    </w:pPr>
    <w:rPr>
      <w:rFonts w:ascii="Times New Roman" w:hAnsi="Times New Roman" w:eastAsia="微软雅黑" w:cs="Times New Roman"/>
      <w:kern w:val="2"/>
      <w:sz w:val="21"/>
      <w:szCs w:val="22"/>
      <w:lang w:val="en-US" w:eastAsia="zh-CN" w:bidi="ar-SA"/>
    </w:rPr>
  </w:style>
  <w:style w:type="paragraph" w:customStyle="1" w:styleId="11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13">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14">
    <w:name w:val="Char Char Char Char"/>
    <w:basedOn w:val="1"/>
    <w:qFormat/>
    <w:uiPriority w:val="0"/>
    <w:rPr>
      <w:rFonts w:ascii="Tahoma" w:hAnsi="Tahoma"/>
      <w:sz w:val="24"/>
    </w:rPr>
  </w:style>
  <w:style w:type="paragraph" w:customStyle="1" w:styleId="11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1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kern w:val="0"/>
      <w:sz w:val="22"/>
    </w:rPr>
  </w:style>
  <w:style w:type="paragraph" w:customStyle="1" w:styleId="11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rPr>
  </w:style>
  <w:style w:type="paragraph" w:customStyle="1" w:styleId="118">
    <w:name w:val="正文K 标准"/>
    <w:qFormat/>
    <w:uiPriority w:val="0"/>
    <w:pPr>
      <w:widowControl w:val="0"/>
      <w:autoSpaceDE w:val="0"/>
      <w:autoSpaceDN w:val="0"/>
      <w:adjustRightInd w:val="0"/>
      <w:spacing w:line="340" w:lineRule="atLeast"/>
      <w:ind w:firstLine="428"/>
      <w:jc w:val="both"/>
    </w:pPr>
    <w:rPr>
      <w:rFonts w:ascii="汉仪楷体简" w:hAnsi="Times New Roman" w:eastAsia="汉仪楷体简" w:cs="汉仪楷体简"/>
      <w:sz w:val="21"/>
      <w:szCs w:val="21"/>
      <w:lang w:val="en-US" w:eastAsia="zh-CN" w:bidi="ar-SA"/>
    </w:rPr>
  </w:style>
  <w:style w:type="paragraph" w:customStyle="1" w:styleId="119">
    <w:name w:val="Char Char Char Char Char Char Char Char Char Char"/>
    <w:basedOn w:val="1"/>
    <w:qFormat/>
    <w:uiPriority w:val="0"/>
    <w:rPr>
      <w:rFonts w:ascii="Tahoma" w:hAnsi="Tahoma"/>
      <w:sz w:val="24"/>
    </w:rPr>
  </w:style>
  <w:style w:type="paragraph" w:customStyle="1" w:styleId="12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kern w:val="0"/>
      <w:sz w:val="22"/>
    </w:rPr>
  </w:style>
  <w:style w:type="paragraph" w:customStyle="1" w:styleId="121">
    <w:name w:val="Char Char10"/>
    <w:basedOn w:val="14"/>
    <w:qFormat/>
    <w:uiPriority w:val="0"/>
    <w:rPr>
      <w:rFonts w:ascii="Tahoma" w:hAnsi="Tahoma"/>
      <w:sz w:val="24"/>
      <w:szCs w:val="24"/>
    </w:rPr>
  </w:style>
  <w:style w:type="paragraph" w:customStyle="1" w:styleId="122">
    <w:name w:val="xl78"/>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Arial" w:hAnsi="Arial"/>
      <w:kern w:val="0"/>
      <w:sz w:val="22"/>
    </w:rPr>
  </w:style>
  <w:style w:type="paragraph" w:customStyle="1" w:styleId="123">
    <w:name w:val="列出段落1"/>
    <w:basedOn w:val="1"/>
    <w:qFormat/>
    <w:uiPriority w:val="0"/>
    <w:pPr>
      <w:ind w:firstLine="420" w:firstLineChars="200"/>
    </w:pPr>
    <w:rPr>
      <w:rFonts w:ascii="Calibri" w:hAnsi="Calibri"/>
      <w:szCs w:val="22"/>
    </w:rPr>
  </w:style>
  <w:style w:type="paragraph" w:customStyle="1" w:styleId="124">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kern w:val="0"/>
      <w:sz w:val="22"/>
    </w:rPr>
  </w:style>
  <w:style w:type="paragraph" w:customStyle="1" w:styleId="12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kern w:val="0"/>
      <w:sz w:val="22"/>
    </w:rPr>
  </w:style>
  <w:style w:type="paragraph" w:customStyle="1" w:styleId="12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kern w:val="0"/>
      <w:sz w:val="22"/>
    </w:rPr>
  </w:style>
  <w:style w:type="paragraph" w:customStyle="1" w:styleId="127">
    <w:name w:val="xl5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28">
    <w:name w:val="reader-word-layer reader-word-s10-1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9">
    <w:name w:val="列出段落2"/>
    <w:basedOn w:val="1"/>
    <w:qFormat/>
    <w:uiPriority w:val="0"/>
    <w:pPr>
      <w:ind w:firstLine="420" w:firstLineChars="200"/>
    </w:pPr>
    <w:rPr>
      <w:szCs w:val="24"/>
    </w:rPr>
  </w:style>
  <w:style w:type="paragraph" w:customStyle="1" w:styleId="130">
    <w:name w:val="reader-word-layer reader-word-s10-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1">
    <w:name w:val="reader-word-layer reader-word-s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kern w:val="0"/>
      <w:sz w:val="22"/>
    </w:rPr>
  </w:style>
  <w:style w:type="paragraph" w:customStyle="1" w:styleId="133">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kern w:val="0"/>
      <w:sz w:val="22"/>
    </w:rPr>
  </w:style>
  <w:style w:type="paragraph" w:customStyle="1" w:styleId="134">
    <w:name w:val="xl6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rPr>
  </w:style>
  <w:style w:type="paragraph" w:customStyle="1" w:styleId="135">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kern w:val="0"/>
      <w:sz w:val="22"/>
    </w:rPr>
  </w:style>
  <w:style w:type="paragraph" w:customStyle="1" w:styleId="136">
    <w:name w:val="例文标题"/>
    <w:qFormat/>
    <w:uiPriority w:val="0"/>
    <w:pPr>
      <w:widowControl w:val="0"/>
      <w:autoSpaceDE w:val="0"/>
      <w:autoSpaceDN w:val="0"/>
      <w:adjustRightInd w:val="0"/>
      <w:spacing w:line="680" w:lineRule="atLeast"/>
      <w:jc w:val="center"/>
    </w:pPr>
    <w:rPr>
      <w:rFonts w:ascii="汉仪中黑简" w:hAnsi="Times New Roman" w:eastAsia="汉仪中黑简" w:cs="汉仪中黑简"/>
      <w:sz w:val="21"/>
      <w:szCs w:val="21"/>
      <w:lang w:val="en-US" w:eastAsia="zh-CN" w:bidi="ar-SA"/>
    </w:rPr>
  </w:style>
  <w:style w:type="paragraph" w:customStyle="1" w:styleId="13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xl6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kern w:val="0"/>
      <w:sz w:val="22"/>
    </w:rPr>
  </w:style>
  <w:style w:type="paragraph" w:customStyle="1" w:styleId="139">
    <w:name w:val="样式5"/>
    <w:basedOn w:val="1"/>
    <w:qFormat/>
    <w:uiPriority w:val="0"/>
    <w:pPr>
      <w:keepNext/>
      <w:keepLines/>
      <w:widowControl/>
      <w:numPr>
        <w:ilvl w:val="1"/>
        <w:numId w:val="1"/>
      </w:numPr>
      <w:tabs>
        <w:tab w:val="left" w:pos="540"/>
        <w:tab w:val="left" w:pos="720"/>
        <w:tab w:val="clear" w:pos="1260"/>
      </w:tabs>
      <w:kinsoku w:val="0"/>
      <w:overflowPunct w:val="0"/>
      <w:snapToGrid w:val="0"/>
      <w:spacing w:beforeLines="100" w:afterLines="50"/>
      <w:ind w:left="896" w:hanging="716"/>
      <w:jc w:val="left"/>
      <w:textAlignment w:val="top"/>
      <w:outlineLvl w:val="1"/>
    </w:pPr>
    <w:rPr>
      <w:rFonts w:ascii="Arial" w:hAnsi="Arial" w:cs="宋体"/>
      <w:spacing w:val="-5"/>
      <w:kern w:val="0"/>
      <w:sz w:val="30"/>
      <w:shd w:val="clear" w:color="auto" w:fill="000080"/>
    </w:rPr>
  </w:style>
  <w:style w:type="paragraph" w:customStyle="1" w:styleId="140">
    <w:name w:val="样式 行距: 1.5 倍行距1"/>
    <w:basedOn w:val="1"/>
    <w:qFormat/>
    <w:uiPriority w:val="0"/>
    <w:pPr>
      <w:spacing w:line="360" w:lineRule="auto"/>
      <w:ind w:firstLine="480"/>
    </w:pPr>
    <w:rPr>
      <w:rFonts w:cs="宋体"/>
      <w:sz w:val="24"/>
      <w:szCs w:val="24"/>
    </w:rPr>
  </w:style>
  <w:style w:type="paragraph" w:customStyle="1" w:styleId="14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42">
    <w:name w:val="标题4"/>
    <w:basedOn w:val="1"/>
    <w:qFormat/>
    <w:uiPriority w:val="0"/>
    <w:pPr>
      <w:widowControl/>
      <w:snapToGrid w:val="0"/>
      <w:spacing w:line="500" w:lineRule="exact"/>
      <w:ind w:firstLine="641"/>
      <w:jc w:val="left"/>
    </w:pPr>
    <w:rPr>
      <w:rFonts w:ascii="Verdana" w:hAnsi="Verdana" w:eastAsia="黑体"/>
      <w:b/>
      <w:kern w:val="0"/>
      <w:sz w:val="32"/>
      <w:szCs w:val="32"/>
      <w:lang w:eastAsia="en-US"/>
    </w:rPr>
  </w:style>
  <w:style w:type="paragraph" w:customStyle="1" w:styleId="14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44">
    <w:name w:val="p0"/>
    <w:basedOn w:val="1"/>
    <w:qFormat/>
    <w:uiPriority w:val="0"/>
    <w:pPr>
      <w:widowControl/>
    </w:pPr>
    <w:rPr>
      <w:rFonts w:ascii="Calibri" w:hAnsi="Calibri" w:cs="宋体"/>
      <w:kern w:val="0"/>
      <w:szCs w:val="21"/>
    </w:rPr>
  </w:style>
  <w:style w:type="paragraph" w:customStyle="1" w:styleId="14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kern w:val="0"/>
      <w:sz w:val="20"/>
    </w:rPr>
  </w:style>
  <w:style w:type="paragraph" w:customStyle="1" w:styleId="14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4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rPr>
  </w:style>
  <w:style w:type="paragraph" w:customStyle="1" w:styleId="148">
    <w:name w:val="xl63"/>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Arial" w:hAnsi="Arial"/>
      <w:kern w:val="0"/>
      <w:sz w:val="22"/>
    </w:rPr>
  </w:style>
  <w:style w:type="paragraph" w:customStyle="1" w:styleId="149">
    <w:name w:val="TOC 标题1"/>
    <w:basedOn w:val="3"/>
    <w:next w:val="1"/>
    <w:qFormat/>
    <w:uiPriority w:val="0"/>
    <w:pPr>
      <w:widowControl/>
      <w:spacing w:before="480" w:after="0" w:line="276" w:lineRule="auto"/>
      <w:jc w:val="left"/>
      <w:outlineLvl w:val="9"/>
    </w:pPr>
    <w:rPr>
      <w:rFonts w:ascii="Cambria" w:hAnsi="Cambria"/>
      <w:bCs/>
      <w:color w:val="365F91"/>
      <w:kern w:val="0"/>
      <w:sz w:val="28"/>
      <w:szCs w:val="28"/>
    </w:rPr>
  </w:style>
  <w:style w:type="paragraph" w:customStyle="1" w:styleId="150">
    <w:name w:val="Char1"/>
    <w:basedOn w:val="1"/>
    <w:qFormat/>
    <w:uiPriority w:val="0"/>
    <w:rPr>
      <w:rFonts w:ascii="仿宋_GB2312" w:eastAsia="仿宋_GB2312"/>
      <w:b/>
      <w:sz w:val="32"/>
      <w:szCs w:val="32"/>
    </w:rPr>
  </w:style>
  <w:style w:type="paragraph" w:customStyle="1" w:styleId="15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2">
    <w:name w:val="Char Char Char Char Char Char Char Char Char Char1"/>
    <w:basedOn w:val="1"/>
    <w:qFormat/>
    <w:uiPriority w:val="0"/>
    <w:rPr>
      <w:szCs w:val="24"/>
    </w:rPr>
  </w:style>
  <w:style w:type="paragraph" w:customStyle="1" w:styleId="153">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5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kern w:val="0"/>
      <w:sz w:val="22"/>
    </w:rPr>
  </w:style>
  <w:style w:type="paragraph" w:customStyle="1" w:styleId="155">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6">
    <w:name w:val="xl71"/>
    <w:basedOn w:val="1"/>
    <w:qFormat/>
    <w:uiPriority w:val="0"/>
    <w:pPr>
      <w:widowControl/>
      <w:spacing w:before="100" w:beforeAutospacing="1" w:after="100" w:afterAutospacing="1"/>
      <w:jc w:val="left"/>
      <w:textAlignment w:val="center"/>
    </w:pPr>
    <w:rPr>
      <w:rFonts w:ascii="Arial" w:hAnsi="Arial"/>
      <w:kern w:val="0"/>
      <w:sz w:val="24"/>
    </w:rPr>
  </w:style>
  <w:style w:type="paragraph" w:customStyle="1" w:styleId="15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58">
    <w:name w:val="font5"/>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59">
    <w:name w:val="Char"/>
    <w:basedOn w:val="1"/>
    <w:qFormat/>
    <w:uiPriority w:val="0"/>
  </w:style>
  <w:style w:type="paragraph" w:customStyle="1" w:styleId="160">
    <w:name w:val="font11"/>
    <w:basedOn w:val="1"/>
    <w:qFormat/>
    <w:uiPriority w:val="0"/>
    <w:pPr>
      <w:widowControl/>
      <w:spacing w:before="100" w:beforeAutospacing="1" w:after="100" w:afterAutospacing="1"/>
      <w:jc w:val="left"/>
    </w:pPr>
    <w:rPr>
      <w:kern w:val="0"/>
      <w:sz w:val="22"/>
    </w:rPr>
  </w:style>
  <w:style w:type="paragraph" w:customStyle="1" w:styleId="16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kern w:val="0"/>
      <w:sz w:val="22"/>
    </w:rPr>
  </w:style>
  <w:style w:type="paragraph" w:customStyle="1" w:styleId="16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2"/>
    </w:rPr>
  </w:style>
  <w:style w:type="paragraph" w:customStyle="1" w:styleId="163">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rPr>
  </w:style>
  <w:style w:type="paragraph" w:customStyle="1" w:styleId="164">
    <w:name w:val="Char Char Char Char Char Char Char"/>
    <w:basedOn w:val="1"/>
    <w:qFormat/>
    <w:uiPriority w:val="0"/>
    <w:pPr>
      <w:widowControl/>
      <w:snapToGrid w:val="0"/>
      <w:spacing w:after="160" w:line="360" w:lineRule="auto"/>
      <w:jc w:val="left"/>
    </w:pPr>
  </w:style>
  <w:style w:type="paragraph" w:customStyle="1" w:styleId="165">
    <w:name w:val="font9"/>
    <w:basedOn w:val="1"/>
    <w:qFormat/>
    <w:uiPriority w:val="0"/>
    <w:pPr>
      <w:widowControl/>
      <w:spacing w:before="100" w:beforeAutospacing="1" w:after="100" w:afterAutospacing="1"/>
      <w:jc w:val="left"/>
    </w:pPr>
    <w:rPr>
      <w:rFonts w:hint="eastAsia" w:ascii="宋体" w:hAnsi="宋体"/>
      <w:b/>
      <w:kern w:val="0"/>
      <w:sz w:val="40"/>
    </w:rPr>
  </w:style>
  <w:style w:type="paragraph" w:customStyle="1" w:styleId="166">
    <w:name w:val="_Style 10"/>
    <w:basedOn w:val="1"/>
    <w:qFormat/>
    <w:uiPriority w:val="0"/>
    <w:rPr>
      <w:szCs w:val="24"/>
    </w:rPr>
  </w:style>
  <w:style w:type="paragraph" w:customStyle="1" w:styleId="167">
    <w:name w:val="xl69"/>
    <w:basedOn w:val="1"/>
    <w:qFormat/>
    <w:uiPriority w:val="0"/>
    <w:pPr>
      <w:widowControl/>
      <w:spacing w:before="100" w:beforeAutospacing="1" w:after="100" w:afterAutospacing="1"/>
      <w:jc w:val="left"/>
      <w:textAlignment w:val="center"/>
    </w:pPr>
    <w:rPr>
      <w:rFonts w:ascii="Arial" w:hAnsi="Arial"/>
      <w:kern w:val="0"/>
      <w:sz w:val="24"/>
    </w:rPr>
  </w:style>
  <w:style w:type="paragraph" w:customStyle="1" w:styleId="168">
    <w:name w:val="5"/>
    <w:basedOn w:val="1"/>
    <w:next w:val="21"/>
    <w:qFormat/>
    <w:uiPriority w:val="0"/>
    <w:rPr>
      <w:rFonts w:ascii="宋体" w:hAnsi="Courier New"/>
    </w:rPr>
  </w:style>
  <w:style w:type="paragraph" w:customStyle="1" w:styleId="169">
    <w:name w:val="xl39"/>
    <w:basedOn w:val="1"/>
    <w:qFormat/>
    <w:uiPriority w:val="0"/>
    <w:pPr>
      <w:widowControl/>
      <w:pBdr>
        <w:left w:val="single" w:color="auto" w:sz="4" w:space="0"/>
        <w:right w:val="single" w:color="auto" w:sz="4" w:space="0"/>
      </w:pBdr>
      <w:spacing w:before="100" w:beforeAutospacing="1" w:after="100" w:afterAutospacing="1"/>
      <w:jc w:val="center"/>
    </w:pPr>
    <w:rPr>
      <w:rFonts w:hint="eastAsia" w:ascii="仿宋_GB2312" w:hAnsi="宋体" w:eastAsia="仿宋_GB2312"/>
      <w:b/>
      <w:kern w:val="0"/>
      <w:sz w:val="24"/>
    </w:rPr>
  </w:style>
  <w:style w:type="paragraph" w:customStyle="1" w:styleId="170">
    <w:name w:val="font6"/>
    <w:basedOn w:val="1"/>
    <w:qFormat/>
    <w:uiPriority w:val="0"/>
    <w:pPr>
      <w:widowControl/>
      <w:spacing w:before="100" w:beforeAutospacing="1" w:after="100" w:afterAutospacing="1"/>
      <w:jc w:val="left"/>
    </w:pPr>
    <w:rPr>
      <w:rFonts w:hint="eastAsia" w:ascii="宋体" w:hAnsi="宋体"/>
      <w:kern w:val="0"/>
      <w:sz w:val="18"/>
    </w:rPr>
  </w:style>
  <w:style w:type="paragraph" w:customStyle="1" w:styleId="171">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173">
    <w:name w:val="TableTextLeft"/>
    <w:qFormat/>
    <w:uiPriority w:val="0"/>
    <w:rPr>
      <w:rFonts w:ascii="Century Gothic" w:hAnsi="Century Gothic" w:eastAsia="宋体" w:cs="Times New Roman"/>
      <w:sz w:val="18"/>
      <w:szCs w:val="18"/>
      <w:lang w:val="en-US" w:eastAsia="zh-CN" w:bidi="ar-SA"/>
    </w:rPr>
  </w:style>
  <w:style w:type="paragraph" w:customStyle="1" w:styleId="174">
    <w:name w:val="xl83"/>
    <w:basedOn w:val="1"/>
    <w:qFormat/>
    <w:uiPriority w:val="0"/>
    <w:pPr>
      <w:widowControl/>
      <w:pBdr>
        <w:bottom w:val="single" w:color="auto" w:sz="4" w:space="0"/>
      </w:pBdr>
      <w:spacing w:before="100" w:beforeAutospacing="1" w:after="100" w:afterAutospacing="1"/>
      <w:jc w:val="center"/>
      <w:textAlignment w:val="center"/>
    </w:pPr>
    <w:rPr>
      <w:rFonts w:ascii="宋体" w:hAnsi="宋体"/>
      <w:b/>
      <w:kern w:val="0"/>
      <w:sz w:val="32"/>
    </w:rPr>
  </w:style>
  <w:style w:type="paragraph" w:customStyle="1" w:styleId="175">
    <w:name w:val="xl81"/>
    <w:basedOn w:val="1"/>
    <w:qFormat/>
    <w:uiPriority w:val="0"/>
    <w:pPr>
      <w:widowControl/>
      <w:spacing w:before="100" w:beforeAutospacing="1" w:after="100" w:afterAutospacing="1"/>
      <w:jc w:val="center"/>
      <w:textAlignment w:val="center"/>
    </w:pPr>
    <w:rPr>
      <w:rFonts w:ascii="宋体" w:hAnsi="宋体"/>
      <w:b/>
      <w:kern w:val="0"/>
      <w:sz w:val="44"/>
    </w:rPr>
  </w:style>
  <w:style w:type="paragraph" w:customStyle="1" w:styleId="176">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77">
    <w:name w:val="xl67"/>
    <w:basedOn w:val="1"/>
    <w:qFormat/>
    <w:uiPriority w:val="0"/>
    <w:pPr>
      <w:widowControl/>
      <w:spacing w:before="100" w:beforeAutospacing="1" w:after="100" w:afterAutospacing="1"/>
      <w:jc w:val="left"/>
      <w:textAlignment w:val="center"/>
    </w:pPr>
    <w:rPr>
      <w:rFonts w:ascii="宋体" w:hAnsi="宋体"/>
      <w:kern w:val="0"/>
      <w:sz w:val="24"/>
    </w:rPr>
  </w:style>
  <w:style w:type="paragraph" w:customStyle="1" w:styleId="178">
    <w:name w:val="我的征文"/>
    <w:basedOn w:val="1"/>
    <w:qFormat/>
    <w:uiPriority w:val="0"/>
    <w:pPr>
      <w:tabs>
        <w:tab w:val="left" w:pos="851"/>
      </w:tabs>
      <w:spacing w:before="360" w:after="360"/>
      <w:ind w:left="851" w:right="113" w:hanging="851"/>
    </w:pPr>
  </w:style>
  <w:style w:type="paragraph" w:customStyle="1" w:styleId="179">
    <w:name w:val="日期1"/>
    <w:basedOn w:val="1"/>
    <w:next w:val="1"/>
    <w:qFormat/>
    <w:uiPriority w:val="0"/>
    <w:pPr>
      <w:adjustRightInd w:val="0"/>
      <w:spacing w:line="312" w:lineRule="atLeast"/>
      <w:jc w:val="right"/>
      <w:textAlignment w:val="baseline"/>
    </w:pPr>
    <w:rPr>
      <w:b/>
      <w:kern w:val="0"/>
      <w:sz w:val="36"/>
    </w:rPr>
  </w:style>
  <w:style w:type="paragraph" w:customStyle="1" w:styleId="180">
    <w:name w:val="reader-word-layer reader-word-s10-1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1">
    <w:name w:val="论文正文"/>
    <w:basedOn w:val="1"/>
    <w:qFormat/>
    <w:uiPriority w:val="0"/>
    <w:pPr>
      <w:spacing w:line="400" w:lineRule="exact"/>
    </w:pPr>
    <w:rPr>
      <w:rFonts w:ascii="宋体" w:hAnsi="宋体"/>
      <w:sz w:val="24"/>
      <w:szCs w:val="24"/>
    </w:rPr>
  </w:style>
  <w:style w:type="paragraph" w:customStyle="1" w:styleId="182">
    <w:name w:val="xl72"/>
    <w:basedOn w:val="1"/>
    <w:qFormat/>
    <w:uiPriority w:val="0"/>
    <w:pPr>
      <w:widowControl/>
      <w:spacing w:before="100" w:beforeAutospacing="1" w:after="100" w:afterAutospacing="1"/>
      <w:jc w:val="left"/>
      <w:textAlignment w:val="center"/>
    </w:pPr>
    <w:rPr>
      <w:rFonts w:ascii="Arial" w:hAnsi="Arial"/>
      <w:kern w:val="0"/>
      <w:sz w:val="20"/>
    </w:rPr>
  </w:style>
  <w:style w:type="paragraph" w:customStyle="1" w:styleId="183">
    <w:name w:val="正文K"/>
    <w:qFormat/>
    <w:uiPriority w:val="0"/>
    <w:pPr>
      <w:widowControl w:val="0"/>
      <w:autoSpaceDE w:val="0"/>
      <w:autoSpaceDN w:val="0"/>
      <w:adjustRightInd w:val="0"/>
      <w:spacing w:line="340" w:lineRule="atLeast"/>
      <w:ind w:firstLine="428"/>
      <w:jc w:val="both"/>
    </w:pPr>
    <w:rPr>
      <w:rFonts w:ascii="汉仪楷体简" w:hAnsi="Times New Roman" w:eastAsia="汉仪楷体简" w:cs="汉仪楷体简"/>
      <w:sz w:val="21"/>
      <w:szCs w:val="21"/>
      <w:lang w:val="en-US" w:eastAsia="zh-CN" w:bidi="ar-SA"/>
    </w:rPr>
  </w:style>
  <w:style w:type="paragraph" w:customStyle="1" w:styleId="184">
    <w:name w:val="xl82"/>
    <w:basedOn w:val="1"/>
    <w:qFormat/>
    <w:uiPriority w:val="0"/>
    <w:pPr>
      <w:widowControl/>
      <w:spacing w:before="100" w:beforeAutospacing="1" w:after="100" w:afterAutospacing="1"/>
      <w:jc w:val="center"/>
      <w:textAlignment w:val="center"/>
    </w:pPr>
    <w:rPr>
      <w:rFonts w:ascii="宋体" w:hAnsi="宋体"/>
      <w:b/>
      <w:kern w:val="0"/>
      <w:sz w:val="40"/>
    </w:rPr>
  </w:style>
  <w:style w:type="paragraph" w:customStyle="1" w:styleId="185">
    <w:name w:val="Char Char1 Char"/>
    <w:basedOn w:val="1"/>
    <w:qFormat/>
    <w:uiPriority w:val="0"/>
    <w:rPr>
      <w:rFonts w:ascii="宋体" w:hAnsi="宋体"/>
      <w:sz w:val="24"/>
    </w:rPr>
  </w:style>
  <w:style w:type="paragraph" w:customStyle="1" w:styleId="18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kern w:val="0"/>
      <w:sz w:val="22"/>
    </w:rPr>
  </w:style>
  <w:style w:type="paragraph" w:customStyle="1" w:styleId="18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188">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kern w:val="0"/>
      <w:sz w:val="22"/>
    </w:rPr>
  </w:style>
  <w:style w:type="paragraph" w:customStyle="1" w:styleId="189">
    <w:name w:val="xl65"/>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Arial" w:hAnsi="Arial"/>
      <w:kern w:val="0"/>
      <w:sz w:val="22"/>
    </w:rPr>
  </w:style>
  <w:style w:type="paragraph" w:customStyle="1" w:styleId="190">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rPr>
  </w:style>
  <w:style w:type="paragraph" w:customStyle="1" w:styleId="191">
    <w:name w:val="_Style 43"/>
    <w:basedOn w:val="14"/>
    <w:qFormat/>
    <w:uiPriority w:val="0"/>
    <w:rPr>
      <w:rFonts w:ascii="Tahoma" w:hAnsi="Tahoma"/>
      <w:sz w:val="24"/>
      <w:szCs w:val="24"/>
    </w:rPr>
  </w:style>
  <w:style w:type="paragraph" w:customStyle="1" w:styleId="192">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19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194">
    <w:name w:val="List Paragraph1"/>
    <w:basedOn w:val="1"/>
    <w:qFormat/>
    <w:uiPriority w:val="0"/>
    <w:pPr>
      <w:ind w:firstLine="420" w:firstLineChars="200"/>
    </w:pPr>
    <w:rPr>
      <w:szCs w:val="24"/>
    </w:rPr>
  </w:style>
  <w:style w:type="paragraph" w:customStyle="1" w:styleId="195">
    <w:name w:val="xl27"/>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9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kern w:val="0"/>
      <w:sz w:val="22"/>
    </w:rPr>
  </w:style>
  <w:style w:type="paragraph" w:customStyle="1" w:styleId="197">
    <w:name w:val="font8"/>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8">
    <w:name w:val="Default"/>
    <w:qFormat/>
    <w:uiPriority w:val="0"/>
    <w:pPr>
      <w:widowControl w:val="0"/>
      <w:autoSpaceDE w:val="0"/>
      <w:autoSpaceDN w:val="0"/>
      <w:adjustRightInd w:val="0"/>
    </w:pPr>
    <w:rPr>
      <w:rFonts w:ascii="黑体" w:hAnsi="Times New Roman" w:eastAsia="黑体" w:cs="Times New Roman"/>
      <w:color w:val="000000"/>
      <w:sz w:val="24"/>
      <w:lang w:val="en-US" w:eastAsia="zh-CN" w:bidi="ar-SA"/>
    </w:rPr>
  </w:style>
  <w:style w:type="paragraph" w:customStyle="1" w:styleId="199">
    <w:name w:val="_Style 131"/>
    <w:basedOn w:val="14"/>
    <w:qFormat/>
    <w:uiPriority w:val="0"/>
    <w:rPr>
      <w:rFonts w:ascii="Tahoma" w:hAnsi="Tahoma"/>
      <w:sz w:val="24"/>
      <w:szCs w:val="24"/>
    </w:rPr>
  </w:style>
  <w:style w:type="paragraph" w:customStyle="1" w:styleId="200">
    <w:name w:val="Char Char1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styleId="201">
    <w:name w:val="List Paragraph"/>
    <w:basedOn w:val="1"/>
    <w:qFormat/>
    <w:uiPriority w:val="99"/>
    <w:pPr>
      <w:ind w:firstLine="420" w:firstLineChars="200"/>
    </w:pPr>
    <w:rPr>
      <w:szCs w:val="21"/>
    </w:rPr>
  </w:style>
  <w:style w:type="paragraph" w:customStyle="1" w:styleId="202">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宋体" w:hAnsi="宋体"/>
      <w:kern w:val="0"/>
      <w:sz w:val="22"/>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4">
    <w:name w:val="xl73"/>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Arial" w:hAnsi="Arial"/>
      <w:kern w:val="0"/>
      <w:sz w:val="22"/>
    </w:rPr>
  </w:style>
  <w:style w:type="paragraph" w:customStyle="1" w:styleId="205">
    <w:name w:val="_Style 83"/>
    <w:basedOn w:val="1"/>
    <w:qFormat/>
    <w:uiPriority w:val="0"/>
  </w:style>
  <w:style w:type="paragraph" w:customStyle="1" w:styleId="206">
    <w:name w:val="title12"/>
    <w:basedOn w:val="1"/>
    <w:qFormat/>
    <w:uiPriority w:val="0"/>
    <w:pPr>
      <w:spacing w:before="120"/>
      <w:jc w:val="left"/>
    </w:pPr>
    <w:rPr>
      <w:b/>
      <w:bCs/>
      <w:kern w:val="0"/>
      <w:sz w:val="18"/>
      <w:szCs w:val="18"/>
    </w:rPr>
  </w:style>
  <w:style w:type="paragraph" w:customStyle="1" w:styleId="207">
    <w:name w:val="09正文_wh"/>
    <w:qFormat/>
    <w:uiPriority w:val="0"/>
    <w:pPr>
      <w:spacing w:line="300" w:lineRule="auto"/>
      <w:ind w:firstLine="200" w:firstLineChars="200"/>
      <w:jc w:val="both"/>
    </w:pPr>
    <w:rPr>
      <w:rFonts w:ascii="Calibri" w:hAnsi="Calibri" w:eastAsia="宋体" w:cs="Times New Roman"/>
      <w:sz w:val="28"/>
      <w:szCs w:val="22"/>
      <w:lang w:val="en-US" w:eastAsia="zh-CN" w:bidi="ar-SA"/>
    </w:rPr>
  </w:style>
  <w:style w:type="character" w:customStyle="1" w:styleId="208">
    <w:name w:val="hover3"/>
    <w:basedOn w:val="41"/>
    <w:qFormat/>
    <w:uiPriority w:val="0"/>
    <w:rPr>
      <w:shd w:val="clear" w:color="auto" w:fill="EEEEEE"/>
    </w:rPr>
  </w:style>
  <w:style w:type="character" w:customStyle="1" w:styleId="209">
    <w:name w:val="glyphicon"/>
    <w:basedOn w:val="41"/>
    <w:qFormat/>
    <w:uiPriority w:val="0"/>
  </w:style>
  <w:style w:type="character" w:customStyle="1" w:styleId="210">
    <w:name w:val="hour_pm"/>
    <w:basedOn w:val="41"/>
    <w:qFormat/>
    <w:uiPriority w:val="0"/>
  </w:style>
  <w:style w:type="character" w:customStyle="1" w:styleId="211">
    <w:name w:val="old"/>
    <w:basedOn w:val="41"/>
    <w:qFormat/>
    <w:uiPriority w:val="0"/>
    <w:rPr>
      <w:color w:val="999999"/>
    </w:rPr>
  </w:style>
  <w:style w:type="character" w:customStyle="1" w:styleId="212">
    <w:name w:val="hour_am"/>
    <w:basedOn w:val="41"/>
    <w:qFormat/>
    <w:uiPriority w:val="0"/>
  </w:style>
  <w:style w:type="character" w:customStyle="1" w:styleId="213">
    <w:name w:val="indent"/>
    <w:basedOn w:val="41"/>
    <w:qFormat/>
    <w:uiPriority w:val="0"/>
  </w:style>
  <w:style w:type="character" w:customStyle="1" w:styleId="214">
    <w:name w:val="button"/>
    <w:basedOn w:val="41"/>
    <w:qFormat/>
    <w:uiPriority w:val="0"/>
  </w:style>
  <w:style w:type="character" w:customStyle="1" w:styleId="215">
    <w:name w:val="tmpztreemove_arrow"/>
    <w:basedOn w:val="41"/>
    <w:qFormat/>
    <w:uiPriority w:val="0"/>
    <w:rPr>
      <w:shd w:val="clear" w:color="auto" w:fill="FFFFFF"/>
    </w:rPr>
  </w:style>
  <w:style w:type="paragraph" w:customStyle="1" w:styleId="216">
    <w:name w:val="Heading4"/>
    <w:next w:val="1"/>
    <w:qFormat/>
    <w:uiPriority w:val="0"/>
    <w:pPr>
      <w:keepNext/>
      <w:widowControl w:val="0"/>
      <w:jc w:val="both"/>
      <w:textAlignment w:val="baseline"/>
    </w:pPr>
    <w:rPr>
      <w:rFonts w:ascii="Times New Roman" w:hAnsi="Times New Roman" w:eastAsia="宋体" w:cs="Times New Roman"/>
      <w:color w:val="FF0000"/>
      <w:kern w:val="2"/>
      <w:sz w:val="28"/>
      <w:u w:val="single"/>
      <w:lang w:val="en-US" w:eastAsia="zh-CN" w:bidi="ar-SA"/>
    </w:rPr>
  </w:style>
  <w:style w:type="character" w:customStyle="1" w:styleId="217">
    <w:name w:val="font81"/>
    <w:basedOn w:val="41"/>
    <w:qFormat/>
    <w:uiPriority w:val="0"/>
    <w:rPr>
      <w:rFonts w:hint="eastAsia" w:ascii="宋体" w:hAnsi="宋体" w:eastAsia="宋体" w:cs="宋体"/>
      <w:color w:val="000000"/>
      <w:sz w:val="21"/>
      <w:szCs w:val="21"/>
      <w:u w:val="none"/>
    </w:rPr>
  </w:style>
  <w:style w:type="character" w:customStyle="1" w:styleId="218">
    <w:name w:val="font121"/>
    <w:basedOn w:val="41"/>
    <w:qFormat/>
    <w:uiPriority w:val="0"/>
    <w:rPr>
      <w:rFonts w:ascii="Calibri" w:hAnsi="Calibri" w:cs="Calibri"/>
      <w:color w:val="000000"/>
      <w:sz w:val="21"/>
      <w:szCs w:val="21"/>
      <w:u w:val="none"/>
    </w:rPr>
  </w:style>
  <w:style w:type="character" w:customStyle="1" w:styleId="219">
    <w:name w:val="NormalCharacter"/>
    <w:qFormat/>
    <w:uiPriority w:val="0"/>
    <w:rPr>
      <w:kern w:val="2"/>
      <w:sz w:val="21"/>
      <w:lang w:val="en-US" w:eastAsia="zh-CN" w:bidi="ar-SA"/>
    </w:rPr>
  </w:style>
  <w:style w:type="paragraph" w:customStyle="1" w:styleId="220">
    <w:name w:val="p15"/>
    <w:basedOn w:val="1"/>
    <w:qFormat/>
    <w:uiPriority w:val="99"/>
    <w:pPr>
      <w:widowControl/>
    </w:pPr>
    <w:rPr>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9E5F42-C513-47F2-A3E6-0F284C96FFD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26250</Words>
  <Characters>28291</Characters>
  <Lines>240</Lines>
  <Paragraphs>67</Paragraphs>
  <TotalTime>13</TotalTime>
  <ScaleCrop>false</ScaleCrop>
  <LinksUpToDate>false</LinksUpToDate>
  <CharactersWithSpaces>31643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2018-06-05T06:45:00Z</dcterms:created>
  <dc:creator>郭大军</dc:creator>
  <cp:lastModifiedBy>晨晨晨晨晨晨晨晨晨</cp:lastModifiedBy>
  <cp:lastPrinted>2020-08-19T02:03:00Z</cp:lastPrinted>
  <dcterms:modified xsi:type="dcterms:W3CDTF">2022-09-13T06:42:33Z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45C4F6FDDBA346E987C40D7A8681D174</vt:lpwstr>
  </property>
</Properties>
</file>