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hAnsi="宋体" w:cs="宋体"/>
          <w:b/>
          <w:sz w:val="36"/>
          <w:highlight w:val="none"/>
          <w:lang w:val="en-US"/>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SXZCZB2022-ZCCS-0520</w:t>
      </w:r>
    </w:p>
    <w:p>
      <w:pPr>
        <w:rPr>
          <w:rFonts w:hint="eastAsia" w:hAnsi="宋体" w:cs="宋体"/>
          <w:b/>
          <w:sz w:val="36"/>
          <w:highlight w:val="none"/>
        </w:rPr>
      </w:pPr>
    </w:p>
    <w:p>
      <w:pPr>
        <w:rPr>
          <w:rFonts w:hint="eastAsia" w:hAnsi="宋体" w:cs="宋体"/>
          <w:b/>
          <w:sz w:val="72"/>
          <w:szCs w:val="72"/>
          <w:highlight w:val="none"/>
        </w:rPr>
      </w:pPr>
    </w:p>
    <w:p>
      <w:pPr>
        <w:pStyle w:val="2"/>
        <w:rPr>
          <w:rFonts w:hint="eastAsia"/>
          <w:highlight w:val="none"/>
        </w:rPr>
      </w:pPr>
    </w:p>
    <w:p>
      <w:pPr>
        <w:pStyle w:val="2"/>
        <w:rPr>
          <w:rFonts w:hint="eastAsia"/>
          <w:highlight w:val="none"/>
        </w:rPr>
      </w:pPr>
    </w:p>
    <w:p>
      <w:pPr>
        <w:spacing w:line="780" w:lineRule="auto"/>
        <w:jc w:val="center"/>
        <w:rPr>
          <w:rFonts w:hint="eastAsia" w:hAnsi="宋体" w:cs="宋体"/>
          <w:b/>
          <w:sz w:val="52"/>
          <w:szCs w:val="52"/>
          <w:highlight w:val="none"/>
        </w:rPr>
      </w:pPr>
      <w:r>
        <w:rPr>
          <w:rFonts w:hint="eastAsia" w:hAnsi="宋体" w:cs="宋体"/>
          <w:b/>
          <w:sz w:val="48"/>
          <w:szCs w:val="48"/>
          <w:highlight w:val="none"/>
          <w:lang w:eastAsia="zh-CN"/>
        </w:rPr>
        <w:t>柞水县2022年栎类大径木培育基地项目</w:t>
      </w:r>
    </w:p>
    <w:p>
      <w:pPr>
        <w:spacing w:line="780" w:lineRule="auto"/>
        <w:jc w:val="center"/>
        <w:rPr>
          <w:rFonts w:hint="eastAsia" w:hAnsi="宋体" w:cs="宋体"/>
          <w:b/>
          <w:sz w:val="52"/>
          <w:szCs w:val="52"/>
          <w:highlight w:val="none"/>
        </w:rPr>
      </w:pPr>
    </w:p>
    <w:p>
      <w:pPr>
        <w:pStyle w:val="2"/>
        <w:rPr>
          <w:rFonts w:hint="eastAsia"/>
          <w:highlight w:val="none"/>
        </w:rPr>
      </w:pPr>
    </w:p>
    <w:p>
      <w:pPr>
        <w:spacing w:line="780" w:lineRule="auto"/>
        <w:jc w:val="center"/>
        <w:rPr>
          <w:rFonts w:hint="eastAsia" w:hAnsi="宋体" w:cs="宋体"/>
          <w:b/>
          <w:sz w:val="52"/>
          <w:szCs w:val="52"/>
          <w:highlight w:val="none"/>
        </w:rPr>
      </w:pPr>
      <w:r>
        <w:rPr>
          <w:rFonts w:hint="eastAsia" w:hAnsi="宋体" w:cs="宋体"/>
          <w:b/>
          <w:sz w:val="52"/>
          <w:szCs w:val="52"/>
          <w:highlight w:val="none"/>
        </w:rPr>
        <w:t>竞争性磋商文件</w:t>
      </w:r>
    </w:p>
    <w:p>
      <w:pPr>
        <w:jc w:val="center"/>
        <w:rPr>
          <w:rFonts w:hint="eastAsia" w:hAnsi="宋体" w:cs="宋体"/>
          <w:b/>
          <w:sz w:val="36"/>
          <w:szCs w:val="36"/>
          <w:highlight w:val="none"/>
        </w:rPr>
      </w:pPr>
    </w:p>
    <w:p>
      <w:pPr>
        <w:jc w:val="center"/>
        <w:rPr>
          <w:rFonts w:hint="eastAsia" w:hAnsi="宋体" w:cs="宋体"/>
          <w:b/>
          <w:sz w:val="36"/>
          <w:szCs w:val="36"/>
          <w:highlight w:val="none"/>
        </w:rPr>
      </w:pPr>
    </w:p>
    <w:p>
      <w:pPr>
        <w:jc w:val="center"/>
        <w:rPr>
          <w:rFonts w:hint="eastAsia" w:hAnsi="宋体" w:cs="宋体"/>
          <w:b/>
          <w:sz w:val="36"/>
          <w:szCs w:val="36"/>
          <w:highlight w:val="none"/>
        </w:rPr>
      </w:pPr>
    </w:p>
    <w:p>
      <w:pPr>
        <w:jc w:val="center"/>
        <w:rPr>
          <w:rFonts w:hint="eastAsia" w:hAnsi="宋体" w:cs="宋体"/>
          <w:b/>
          <w:sz w:val="36"/>
          <w:szCs w:val="36"/>
          <w:highlight w:val="none"/>
        </w:rPr>
      </w:pPr>
    </w:p>
    <w:p>
      <w:pPr>
        <w:jc w:val="center"/>
        <w:rPr>
          <w:rFonts w:hint="eastAsia" w:hAnsi="宋体" w:cs="宋体"/>
          <w:b/>
          <w:bCs/>
          <w:sz w:val="32"/>
          <w:szCs w:val="32"/>
          <w:highlight w:val="none"/>
        </w:rPr>
      </w:pPr>
    </w:p>
    <w:p>
      <w:pPr>
        <w:rPr>
          <w:rFonts w:hint="eastAsia" w:hAnsi="宋体" w:cs="宋体"/>
          <w:b/>
          <w:bCs/>
          <w:sz w:val="32"/>
          <w:szCs w:val="32"/>
          <w:highlight w:val="none"/>
        </w:rPr>
      </w:pPr>
    </w:p>
    <w:p>
      <w:pPr>
        <w:pStyle w:val="8"/>
        <w:rPr>
          <w:rFonts w:hint="eastAsia"/>
          <w:highlight w:val="none"/>
        </w:rPr>
      </w:pPr>
    </w:p>
    <w:p>
      <w:pPr>
        <w:jc w:val="center"/>
        <w:rPr>
          <w:rFonts w:hint="eastAsia" w:hAnsi="宋体" w:eastAsia="宋体" w:cs="宋体"/>
          <w:b/>
          <w:bCs/>
          <w:sz w:val="32"/>
          <w:szCs w:val="32"/>
          <w:highlight w:val="none"/>
          <w:lang w:eastAsia="zh-CN"/>
        </w:rPr>
      </w:pPr>
      <w:r>
        <w:rPr>
          <w:rFonts w:hint="eastAsia" w:hAnsi="宋体" w:cs="宋体"/>
          <w:b/>
          <w:bCs/>
          <w:sz w:val="32"/>
          <w:szCs w:val="32"/>
          <w:highlight w:val="none"/>
          <w:lang w:eastAsia="zh-CN"/>
        </w:rPr>
        <w:t>陕西至诚招标咨询有限公司</w:t>
      </w:r>
    </w:p>
    <w:p>
      <w:pPr>
        <w:spacing w:line="480" w:lineRule="auto"/>
        <w:jc w:val="center"/>
        <w:rPr>
          <w:rFonts w:hint="eastAsia"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418" w:right="1418" w:bottom="1418" w:left="1701" w:header="851" w:footer="992" w:gutter="0"/>
          <w:cols w:space="720" w:num="1"/>
          <w:titlePg/>
          <w:docGrid w:type="lines" w:linePitch="312" w:charSpace="0"/>
        </w:sectPr>
      </w:pPr>
      <w:r>
        <w:rPr>
          <w:rFonts w:hint="eastAsia" w:hAnsi="宋体" w:cs="宋体"/>
          <w:b/>
          <w:bCs/>
          <w:sz w:val="32"/>
          <w:szCs w:val="32"/>
          <w:highlight w:val="none"/>
        </w:rPr>
        <w:t>二〇二</w:t>
      </w:r>
      <w:r>
        <w:rPr>
          <w:rFonts w:hint="eastAsia" w:hAnsi="宋体" w:cs="宋体"/>
          <w:b/>
          <w:bCs/>
          <w:sz w:val="32"/>
          <w:szCs w:val="32"/>
          <w:highlight w:val="none"/>
          <w:lang w:eastAsia="zh-CN"/>
        </w:rPr>
        <w:t>二</w:t>
      </w:r>
      <w:r>
        <w:rPr>
          <w:rFonts w:hint="eastAsia" w:hAnsi="宋体" w:cs="宋体"/>
          <w:b/>
          <w:bCs/>
          <w:sz w:val="32"/>
          <w:szCs w:val="32"/>
          <w:highlight w:val="none"/>
        </w:rPr>
        <w:t>年</w:t>
      </w:r>
      <w:r>
        <w:rPr>
          <w:rFonts w:hint="eastAsia" w:hAnsi="宋体" w:cs="宋体"/>
          <w:b/>
          <w:bCs/>
          <w:sz w:val="32"/>
          <w:szCs w:val="32"/>
          <w:highlight w:val="none"/>
          <w:lang w:eastAsia="zh-CN"/>
        </w:rPr>
        <w:t>五</w:t>
      </w:r>
      <w:r>
        <w:rPr>
          <w:rFonts w:hint="eastAsia" w:hAnsi="宋体" w:cs="宋体"/>
          <w:b/>
          <w:bCs/>
          <w:sz w:val="32"/>
          <w:szCs w:val="32"/>
          <w:highlight w:val="none"/>
        </w:rPr>
        <w:t>月</w:t>
      </w:r>
    </w:p>
    <w:p>
      <w:pPr>
        <w:spacing w:line="480" w:lineRule="auto"/>
        <w:jc w:val="center"/>
        <w:rPr>
          <w:rFonts w:hint="eastAsia" w:ascii="幼圆" w:eastAsia="幼圆"/>
          <w:b/>
          <w:sz w:val="44"/>
          <w:szCs w:val="44"/>
          <w:highlight w:val="none"/>
        </w:rPr>
      </w:pPr>
      <w:r>
        <w:rPr>
          <w:rFonts w:hint="eastAsia" w:ascii="幼圆" w:eastAsia="幼圆"/>
          <w:b/>
          <w:sz w:val="44"/>
          <w:szCs w:val="44"/>
          <w:highlight w:val="none"/>
        </w:rPr>
        <w:t>目   录</w:t>
      </w:r>
    </w:p>
    <w:sdt>
      <w:sdtPr>
        <w:rPr>
          <w:rFonts w:ascii="宋体" w:hAnsi="宋体" w:eastAsia="宋体" w:cs="Times New Roman"/>
          <w:sz w:val="22"/>
          <w:szCs w:val="21"/>
          <w:lang w:val="en-US" w:eastAsia="zh-CN" w:bidi="ar-SA"/>
        </w:rPr>
        <w:id w:val="147474969"/>
        <w15:color w:val="DBDBDB"/>
        <w:docPartObj>
          <w:docPartGallery w:val="Table of Contents"/>
          <w:docPartUnique/>
        </w:docPartObj>
      </w:sdtPr>
      <w:sdtEndPr>
        <w:rPr>
          <w:rFonts w:hint="eastAsia" w:ascii="宋体" w:hAnsi="Times New Roman" w:eastAsia="宋体" w:cs="Times New Roman"/>
          <w:bCs/>
          <w:sz w:val="24"/>
          <w:szCs w:val="36"/>
          <w:highlight w:val="none"/>
          <w:lang w:val="en-US" w:eastAsia="zh-CN" w:bidi="ar-SA"/>
        </w:rPr>
      </w:sdtEndPr>
      <w:sdtContent>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rPr>
          </w:pPr>
          <w:bookmarkStart w:id="0" w:name="_Toc21518"/>
          <w:bookmarkStart w:id="1" w:name="_Toc16218"/>
          <w:bookmarkStart w:id="2" w:name="_Toc5293"/>
          <w:bookmarkStart w:id="3" w:name="_Toc20652"/>
          <w:bookmarkStart w:id="4" w:name="_Toc19886"/>
          <w:bookmarkStart w:id="5" w:name="_Toc389582033"/>
          <w:bookmarkStart w:id="6" w:name="_Toc20858"/>
          <w:bookmarkStart w:id="7" w:name="_Toc27420"/>
          <w:bookmarkStart w:id="8" w:name="_Toc363473971"/>
          <w:bookmarkStart w:id="9" w:name="_Toc403077638"/>
          <w:bookmarkStart w:id="10" w:name="_Toc363474016"/>
          <w:r>
            <w:rPr>
              <w:rFonts w:hint="eastAsia"/>
              <w:bCs/>
              <w:sz w:val="40"/>
              <w:szCs w:val="40"/>
              <w:highlight w:val="none"/>
            </w:rPr>
            <w:fldChar w:fldCharType="begin"/>
          </w:r>
          <w:r>
            <w:rPr>
              <w:rFonts w:hint="eastAsia"/>
              <w:bCs/>
              <w:sz w:val="40"/>
              <w:szCs w:val="40"/>
              <w:highlight w:val="none"/>
            </w:rPr>
            <w:instrText xml:space="preserve">TOC \o "1-3" \h \u </w:instrText>
          </w:r>
          <w:r>
            <w:rPr>
              <w:rFonts w:hint="eastAsia"/>
              <w:bCs/>
              <w:sz w:val="40"/>
              <w:szCs w:val="40"/>
              <w:highlight w:val="none"/>
            </w:rPr>
            <w:fldChar w:fldCharType="separate"/>
          </w:r>
          <w:r>
            <w:rPr>
              <w:rFonts w:hint="eastAsia"/>
              <w:bCs/>
              <w:sz w:val="28"/>
              <w:szCs w:val="40"/>
              <w:highlight w:val="none"/>
            </w:rPr>
            <w:fldChar w:fldCharType="begin"/>
          </w:r>
          <w:r>
            <w:rPr>
              <w:rFonts w:hint="eastAsia"/>
              <w:bCs/>
              <w:sz w:val="28"/>
              <w:szCs w:val="40"/>
              <w:highlight w:val="none"/>
            </w:rPr>
            <w:instrText xml:space="preserve"> HYPERLINK \l _Toc23896 </w:instrText>
          </w:r>
          <w:r>
            <w:rPr>
              <w:rFonts w:hint="eastAsia"/>
              <w:bCs/>
              <w:sz w:val="28"/>
              <w:szCs w:val="40"/>
              <w:highlight w:val="none"/>
            </w:rPr>
            <w:fldChar w:fldCharType="separate"/>
          </w:r>
          <w:r>
            <w:rPr>
              <w:rFonts w:hint="eastAsia" w:ascii="宋体" w:eastAsia="宋体" w:cs="宋体"/>
              <w:sz w:val="28"/>
              <w:szCs w:val="21"/>
              <w:highlight w:val="none"/>
            </w:rPr>
            <w:t>第一章  竞争性磋商公告</w:t>
          </w:r>
          <w:r>
            <w:rPr>
              <w:sz w:val="28"/>
              <w:szCs w:val="21"/>
            </w:rPr>
            <w:tab/>
          </w:r>
          <w:r>
            <w:rPr>
              <w:sz w:val="28"/>
              <w:szCs w:val="21"/>
            </w:rPr>
            <w:fldChar w:fldCharType="begin"/>
          </w:r>
          <w:r>
            <w:rPr>
              <w:sz w:val="28"/>
              <w:szCs w:val="21"/>
            </w:rPr>
            <w:instrText xml:space="preserve"> PAGEREF _Toc23896 \h </w:instrText>
          </w:r>
          <w:r>
            <w:rPr>
              <w:sz w:val="28"/>
              <w:szCs w:val="21"/>
            </w:rPr>
            <w:fldChar w:fldCharType="separate"/>
          </w:r>
          <w:r>
            <w:rPr>
              <w:sz w:val="28"/>
              <w:szCs w:val="21"/>
            </w:rPr>
            <w:t>2</w:t>
          </w:r>
          <w:r>
            <w:rPr>
              <w:sz w:val="28"/>
              <w:szCs w:val="21"/>
            </w:rPr>
            <w:fldChar w:fldCharType="end"/>
          </w:r>
          <w:r>
            <w:rPr>
              <w:rFonts w:hint="eastAsia"/>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rPr>
          </w:pPr>
          <w:r>
            <w:rPr>
              <w:rFonts w:hint="eastAsia"/>
              <w:bCs/>
              <w:sz w:val="28"/>
              <w:szCs w:val="40"/>
              <w:highlight w:val="none"/>
            </w:rPr>
            <w:fldChar w:fldCharType="begin"/>
          </w:r>
          <w:r>
            <w:rPr>
              <w:rFonts w:hint="eastAsia"/>
              <w:bCs/>
              <w:sz w:val="28"/>
              <w:szCs w:val="40"/>
              <w:highlight w:val="none"/>
            </w:rPr>
            <w:instrText xml:space="preserve"> HYPERLINK \l _Toc21244 </w:instrText>
          </w:r>
          <w:r>
            <w:rPr>
              <w:rFonts w:hint="eastAsia"/>
              <w:bCs/>
              <w:sz w:val="28"/>
              <w:szCs w:val="40"/>
              <w:highlight w:val="none"/>
            </w:rPr>
            <w:fldChar w:fldCharType="separate"/>
          </w:r>
          <w:r>
            <w:rPr>
              <w:rFonts w:hint="eastAsia" w:ascii="宋体" w:hAnsi="宋体" w:eastAsia="宋体" w:cs="宋体"/>
              <w:sz w:val="28"/>
              <w:szCs w:val="21"/>
              <w:highlight w:val="none"/>
            </w:rPr>
            <w:t>第二章  供应商须知</w:t>
          </w:r>
          <w:r>
            <w:rPr>
              <w:sz w:val="28"/>
              <w:szCs w:val="21"/>
            </w:rPr>
            <w:tab/>
          </w:r>
          <w:r>
            <w:rPr>
              <w:sz w:val="28"/>
              <w:szCs w:val="21"/>
            </w:rPr>
            <w:fldChar w:fldCharType="begin"/>
          </w:r>
          <w:r>
            <w:rPr>
              <w:sz w:val="28"/>
              <w:szCs w:val="21"/>
            </w:rPr>
            <w:instrText xml:space="preserve"> PAGEREF _Toc21244 \h </w:instrText>
          </w:r>
          <w:r>
            <w:rPr>
              <w:sz w:val="28"/>
              <w:szCs w:val="21"/>
            </w:rPr>
            <w:fldChar w:fldCharType="separate"/>
          </w:r>
          <w:r>
            <w:rPr>
              <w:sz w:val="28"/>
              <w:szCs w:val="21"/>
            </w:rPr>
            <w:t>7</w:t>
          </w:r>
          <w:r>
            <w:rPr>
              <w:sz w:val="28"/>
              <w:szCs w:val="21"/>
            </w:rPr>
            <w:fldChar w:fldCharType="end"/>
          </w:r>
          <w:r>
            <w:rPr>
              <w:rFonts w:hint="eastAsia"/>
              <w:bCs/>
              <w:sz w:val="28"/>
              <w:szCs w:val="40"/>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rPr>
          </w:pPr>
          <w:r>
            <w:rPr>
              <w:rFonts w:hint="eastAsia"/>
              <w:bCs/>
              <w:sz w:val="28"/>
              <w:szCs w:val="40"/>
              <w:highlight w:val="none"/>
            </w:rPr>
            <w:fldChar w:fldCharType="begin"/>
          </w:r>
          <w:r>
            <w:rPr>
              <w:rFonts w:hint="eastAsia"/>
              <w:bCs/>
              <w:sz w:val="28"/>
              <w:szCs w:val="40"/>
              <w:highlight w:val="none"/>
            </w:rPr>
            <w:instrText xml:space="preserve"> HYPERLINK \l _Toc25161 </w:instrText>
          </w:r>
          <w:r>
            <w:rPr>
              <w:rFonts w:hint="eastAsia"/>
              <w:bCs/>
              <w:sz w:val="28"/>
              <w:szCs w:val="40"/>
              <w:highlight w:val="none"/>
            </w:rPr>
            <w:fldChar w:fldCharType="separate"/>
          </w:r>
          <w:r>
            <w:rPr>
              <w:rFonts w:hint="eastAsia" w:ascii="宋体" w:hAnsi="宋体" w:cs="宋体"/>
              <w:sz w:val="28"/>
              <w:szCs w:val="21"/>
              <w:highlight w:val="none"/>
            </w:rPr>
            <w:t>供应商须知前附表</w:t>
          </w:r>
          <w:r>
            <w:rPr>
              <w:sz w:val="28"/>
              <w:szCs w:val="21"/>
            </w:rPr>
            <w:tab/>
          </w:r>
          <w:r>
            <w:rPr>
              <w:sz w:val="28"/>
              <w:szCs w:val="21"/>
            </w:rPr>
            <w:fldChar w:fldCharType="begin"/>
          </w:r>
          <w:r>
            <w:rPr>
              <w:sz w:val="28"/>
              <w:szCs w:val="21"/>
            </w:rPr>
            <w:instrText xml:space="preserve"> PAGEREF _Toc25161 \h </w:instrText>
          </w:r>
          <w:r>
            <w:rPr>
              <w:sz w:val="28"/>
              <w:szCs w:val="21"/>
            </w:rPr>
            <w:fldChar w:fldCharType="separate"/>
          </w:r>
          <w:r>
            <w:rPr>
              <w:sz w:val="28"/>
              <w:szCs w:val="21"/>
            </w:rPr>
            <w:t>7</w:t>
          </w:r>
          <w:r>
            <w:rPr>
              <w:sz w:val="28"/>
              <w:szCs w:val="21"/>
            </w:rPr>
            <w:fldChar w:fldCharType="end"/>
          </w:r>
          <w:r>
            <w:rPr>
              <w:rFonts w:hint="eastAsia"/>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rPr>
          </w:pPr>
          <w:r>
            <w:rPr>
              <w:rFonts w:hint="eastAsia"/>
              <w:bCs/>
              <w:sz w:val="28"/>
              <w:szCs w:val="40"/>
              <w:highlight w:val="none"/>
            </w:rPr>
            <w:fldChar w:fldCharType="begin"/>
          </w:r>
          <w:r>
            <w:rPr>
              <w:rFonts w:hint="eastAsia"/>
              <w:bCs/>
              <w:sz w:val="28"/>
              <w:szCs w:val="40"/>
              <w:highlight w:val="none"/>
            </w:rPr>
            <w:instrText xml:space="preserve"> HYPERLINK \l _Toc22752 </w:instrText>
          </w:r>
          <w:r>
            <w:rPr>
              <w:rFonts w:hint="eastAsia"/>
              <w:bCs/>
              <w:sz w:val="28"/>
              <w:szCs w:val="40"/>
              <w:highlight w:val="none"/>
            </w:rPr>
            <w:fldChar w:fldCharType="separate"/>
          </w:r>
          <w:r>
            <w:rPr>
              <w:rFonts w:hint="eastAsia" w:ascii="宋体" w:eastAsia="宋体"/>
              <w:bCs/>
              <w:sz w:val="28"/>
              <w:szCs w:val="36"/>
              <w:highlight w:val="none"/>
            </w:rPr>
            <w:t xml:space="preserve">第三章 </w:t>
          </w:r>
          <w:r>
            <w:rPr>
              <w:rFonts w:hint="eastAsia" w:ascii="宋体" w:eastAsia="宋体"/>
              <w:bCs/>
              <w:sz w:val="28"/>
              <w:szCs w:val="36"/>
              <w:highlight w:val="none"/>
              <w:lang w:val="en-US" w:eastAsia="zh-CN"/>
            </w:rPr>
            <w:t xml:space="preserve"> </w:t>
          </w:r>
          <w:r>
            <w:rPr>
              <w:rFonts w:hint="eastAsia" w:ascii="宋体" w:eastAsia="宋体"/>
              <w:bCs/>
              <w:sz w:val="28"/>
              <w:szCs w:val="36"/>
              <w:highlight w:val="none"/>
            </w:rPr>
            <w:t>合同条款及格式</w:t>
          </w:r>
          <w:r>
            <w:rPr>
              <w:sz w:val="28"/>
              <w:szCs w:val="21"/>
            </w:rPr>
            <w:tab/>
          </w:r>
          <w:r>
            <w:rPr>
              <w:sz w:val="28"/>
              <w:szCs w:val="21"/>
            </w:rPr>
            <w:fldChar w:fldCharType="begin"/>
          </w:r>
          <w:r>
            <w:rPr>
              <w:sz w:val="28"/>
              <w:szCs w:val="21"/>
            </w:rPr>
            <w:instrText xml:space="preserve"> PAGEREF _Toc22752 \h </w:instrText>
          </w:r>
          <w:r>
            <w:rPr>
              <w:sz w:val="28"/>
              <w:szCs w:val="21"/>
            </w:rPr>
            <w:fldChar w:fldCharType="separate"/>
          </w:r>
          <w:r>
            <w:rPr>
              <w:sz w:val="28"/>
              <w:szCs w:val="21"/>
            </w:rPr>
            <w:t>25</w:t>
          </w:r>
          <w:r>
            <w:rPr>
              <w:sz w:val="28"/>
              <w:szCs w:val="21"/>
            </w:rPr>
            <w:fldChar w:fldCharType="end"/>
          </w:r>
          <w:r>
            <w:rPr>
              <w:rFonts w:hint="eastAsia"/>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rPr>
          </w:pPr>
          <w:r>
            <w:rPr>
              <w:rFonts w:hint="eastAsia"/>
              <w:bCs/>
              <w:sz w:val="28"/>
              <w:szCs w:val="40"/>
              <w:highlight w:val="none"/>
            </w:rPr>
            <w:fldChar w:fldCharType="begin"/>
          </w:r>
          <w:r>
            <w:rPr>
              <w:rFonts w:hint="eastAsia"/>
              <w:bCs/>
              <w:sz w:val="28"/>
              <w:szCs w:val="40"/>
              <w:highlight w:val="none"/>
            </w:rPr>
            <w:instrText xml:space="preserve"> HYPERLINK \l _Toc64 </w:instrText>
          </w:r>
          <w:r>
            <w:rPr>
              <w:rFonts w:hint="eastAsia"/>
              <w:bCs/>
              <w:sz w:val="28"/>
              <w:szCs w:val="40"/>
              <w:highlight w:val="none"/>
            </w:rPr>
            <w:fldChar w:fldCharType="separate"/>
          </w:r>
          <w:r>
            <w:rPr>
              <w:rFonts w:hint="eastAsia" w:ascii="宋体" w:eastAsia="宋体"/>
              <w:bCs/>
              <w:sz w:val="28"/>
              <w:szCs w:val="36"/>
              <w:highlight w:val="none"/>
              <w:lang w:val="en-US" w:eastAsia="zh-CN"/>
            </w:rPr>
            <w:t xml:space="preserve">第四章  </w:t>
          </w:r>
          <w:r>
            <w:rPr>
              <w:rFonts w:hint="eastAsia" w:ascii="宋体" w:eastAsia="宋体"/>
              <w:bCs/>
              <w:sz w:val="28"/>
              <w:szCs w:val="36"/>
              <w:highlight w:val="none"/>
            </w:rPr>
            <w:t>项目概况及技术要求</w:t>
          </w:r>
          <w:r>
            <w:rPr>
              <w:sz w:val="28"/>
              <w:szCs w:val="21"/>
            </w:rPr>
            <w:tab/>
          </w:r>
          <w:r>
            <w:rPr>
              <w:sz w:val="28"/>
              <w:szCs w:val="21"/>
            </w:rPr>
            <w:fldChar w:fldCharType="begin"/>
          </w:r>
          <w:r>
            <w:rPr>
              <w:sz w:val="28"/>
              <w:szCs w:val="21"/>
            </w:rPr>
            <w:instrText xml:space="preserve"> PAGEREF _Toc64 \h </w:instrText>
          </w:r>
          <w:r>
            <w:rPr>
              <w:sz w:val="28"/>
              <w:szCs w:val="21"/>
            </w:rPr>
            <w:fldChar w:fldCharType="separate"/>
          </w:r>
          <w:r>
            <w:rPr>
              <w:sz w:val="28"/>
              <w:szCs w:val="21"/>
            </w:rPr>
            <w:t>40</w:t>
          </w:r>
          <w:r>
            <w:rPr>
              <w:sz w:val="28"/>
              <w:szCs w:val="21"/>
            </w:rPr>
            <w:fldChar w:fldCharType="end"/>
          </w:r>
          <w:r>
            <w:rPr>
              <w:rFonts w:hint="eastAsia"/>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rPr>
          </w:pPr>
          <w:r>
            <w:rPr>
              <w:rFonts w:hint="eastAsia"/>
              <w:bCs/>
              <w:sz w:val="28"/>
              <w:szCs w:val="40"/>
              <w:highlight w:val="none"/>
            </w:rPr>
            <w:fldChar w:fldCharType="begin"/>
          </w:r>
          <w:r>
            <w:rPr>
              <w:rFonts w:hint="eastAsia"/>
              <w:bCs/>
              <w:sz w:val="28"/>
              <w:szCs w:val="40"/>
              <w:highlight w:val="none"/>
            </w:rPr>
            <w:instrText xml:space="preserve"> HYPERLINK \l _Toc19027 </w:instrText>
          </w:r>
          <w:r>
            <w:rPr>
              <w:rFonts w:hint="eastAsia"/>
              <w:bCs/>
              <w:sz w:val="28"/>
              <w:szCs w:val="40"/>
              <w:highlight w:val="none"/>
            </w:rPr>
            <w:fldChar w:fldCharType="separate"/>
          </w:r>
          <w:r>
            <w:rPr>
              <w:rFonts w:hint="eastAsia" w:ascii="宋体" w:hAnsi="宋体" w:eastAsia="宋体" w:cs="宋体"/>
              <w:sz w:val="28"/>
              <w:szCs w:val="21"/>
              <w:highlight w:val="none"/>
              <w:lang w:val="en-US" w:eastAsia="zh-CN"/>
            </w:rPr>
            <w:t>第五章  评审办法</w:t>
          </w:r>
          <w:r>
            <w:rPr>
              <w:sz w:val="28"/>
              <w:szCs w:val="21"/>
            </w:rPr>
            <w:tab/>
          </w:r>
          <w:r>
            <w:rPr>
              <w:sz w:val="28"/>
              <w:szCs w:val="21"/>
            </w:rPr>
            <w:fldChar w:fldCharType="begin"/>
          </w:r>
          <w:r>
            <w:rPr>
              <w:sz w:val="28"/>
              <w:szCs w:val="21"/>
            </w:rPr>
            <w:instrText xml:space="preserve"> PAGEREF _Toc19027 \h </w:instrText>
          </w:r>
          <w:r>
            <w:rPr>
              <w:sz w:val="28"/>
              <w:szCs w:val="21"/>
            </w:rPr>
            <w:fldChar w:fldCharType="separate"/>
          </w:r>
          <w:r>
            <w:rPr>
              <w:sz w:val="28"/>
              <w:szCs w:val="21"/>
            </w:rPr>
            <w:t>51</w:t>
          </w:r>
          <w:r>
            <w:rPr>
              <w:sz w:val="28"/>
              <w:szCs w:val="21"/>
            </w:rPr>
            <w:fldChar w:fldCharType="end"/>
          </w:r>
          <w:r>
            <w:rPr>
              <w:rFonts w:hint="eastAsia"/>
              <w:bCs/>
              <w:sz w:val="28"/>
              <w:szCs w:val="40"/>
              <w:highlight w:val="none"/>
            </w:rPr>
            <w:fldChar w:fldCharType="end"/>
          </w:r>
        </w:p>
        <w:p>
          <w:pPr>
            <w:pStyle w:val="16"/>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rPr>
          </w:pPr>
          <w:r>
            <w:rPr>
              <w:rFonts w:hint="eastAsia"/>
              <w:bCs/>
              <w:sz w:val="28"/>
              <w:szCs w:val="40"/>
              <w:highlight w:val="none"/>
            </w:rPr>
            <w:fldChar w:fldCharType="begin"/>
          </w:r>
          <w:r>
            <w:rPr>
              <w:rFonts w:hint="eastAsia"/>
              <w:bCs/>
              <w:sz w:val="28"/>
              <w:szCs w:val="40"/>
              <w:highlight w:val="none"/>
            </w:rPr>
            <w:instrText xml:space="preserve"> HYPERLINK \l _Toc18565 </w:instrText>
          </w:r>
          <w:r>
            <w:rPr>
              <w:rFonts w:hint="eastAsia"/>
              <w:bCs/>
              <w:sz w:val="28"/>
              <w:szCs w:val="40"/>
              <w:highlight w:val="none"/>
            </w:rPr>
            <w:fldChar w:fldCharType="separate"/>
          </w:r>
          <w:r>
            <w:rPr>
              <w:rFonts w:hint="eastAsia"/>
              <w:sz w:val="28"/>
              <w:szCs w:val="21"/>
              <w:highlight w:val="none"/>
            </w:rPr>
            <w:t>评审要素和分值分解表</w:t>
          </w:r>
          <w:r>
            <w:rPr>
              <w:sz w:val="28"/>
              <w:szCs w:val="21"/>
            </w:rPr>
            <w:tab/>
          </w:r>
          <w:r>
            <w:rPr>
              <w:sz w:val="28"/>
              <w:szCs w:val="21"/>
            </w:rPr>
            <w:fldChar w:fldCharType="begin"/>
          </w:r>
          <w:r>
            <w:rPr>
              <w:sz w:val="28"/>
              <w:szCs w:val="21"/>
            </w:rPr>
            <w:instrText xml:space="preserve"> PAGEREF _Toc18565 \h </w:instrText>
          </w:r>
          <w:r>
            <w:rPr>
              <w:sz w:val="28"/>
              <w:szCs w:val="21"/>
            </w:rPr>
            <w:fldChar w:fldCharType="separate"/>
          </w:r>
          <w:r>
            <w:rPr>
              <w:sz w:val="28"/>
              <w:szCs w:val="21"/>
            </w:rPr>
            <w:t>55</w:t>
          </w:r>
          <w:r>
            <w:rPr>
              <w:sz w:val="28"/>
              <w:szCs w:val="21"/>
            </w:rPr>
            <w:fldChar w:fldCharType="end"/>
          </w:r>
          <w:r>
            <w:rPr>
              <w:rFonts w:hint="eastAsia"/>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sz w:val="28"/>
              <w:szCs w:val="21"/>
            </w:rPr>
          </w:pPr>
          <w:r>
            <w:rPr>
              <w:rFonts w:hint="eastAsia"/>
              <w:bCs/>
              <w:sz w:val="28"/>
              <w:szCs w:val="40"/>
              <w:highlight w:val="none"/>
            </w:rPr>
            <w:fldChar w:fldCharType="begin"/>
          </w:r>
          <w:r>
            <w:rPr>
              <w:rFonts w:hint="eastAsia"/>
              <w:bCs/>
              <w:sz w:val="28"/>
              <w:szCs w:val="40"/>
              <w:highlight w:val="none"/>
            </w:rPr>
            <w:instrText xml:space="preserve"> HYPERLINK \l _Toc15391 </w:instrText>
          </w:r>
          <w:r>
            <w:rPr>
              <w:rFonts w:hint="eastAsia"/>
              <w:bCs/>
              <w:sz w:val="28"/>
              <w:szCs w:val="40"/>
              <w:highlight w:val="none"/>
            </w:rPr>
            <w:fldChar w:fldCharType="separate"/>
          </w:r>
          <w:r>
            <w:rPr>
              <w:rFonts w:hint="eastAsia" w:ascii="宋体" w:hAnsi="宋体" w:eastAsia="宋体" w:cs="宋体"/>
              <w:sz w:val="28"/>
              <w:szCs w:val="21"/>
              <w:highlight w:val="none"/>
              <w:lang w:eastAsia="zh-CN"/>
            </w:rPr>
            <w:t>第六章</w:t>
          </w:r>
          <w:r>
            <w:rPr>
              <w:rFonts w:hint="eastAsia" w:ascii="宋体" w:hAnsi="宋体" w:eastAsia="宋体" w:cs="宋体"/>
              <w:sz w:val="28"/>
              <w:szCs w:val="21"/>
              <w:highlight w:val="none"/>
              <w:lang w:val="en-US" w:eastAsia="zh-CN"/>
            </w:rPr>
            <w:t xml:space="preserve"> </w:t>
          </w:r>
          <w:r>
            <w:rPr>
              <w:rFonts w:hint="eastAsia" w:ascii="宋体" w:eastAsia="宋体" w:cs="宋体"/>
              <w:sz w:val="28"/>
              <w:szCs w:val="21"/>
              <w:highlight w:val="none"/>
              <w:lang w:val="en-US" w:eastAsia="zh-CN"/>
            </w:rPr>
            <w:t xml:space="preserve"> </w:t>
          </w:r>
          <w:r>
            <w:rPr>
              <w:rFonts w:hint="eastAsia" w:ascii="宋体" w:hAnsi="宋体" w:eastAsia="宋体" w:cs="宋体"/>
              <w:sz w:val="28"/>
              <w:szCs w:val="21"/>
              <w:highlight w:val="none"/>
              <w:lang w:val="en-US" w:eastAsia="zh-CN"/>
            </w:rPr>
            <w:t>竞争性磋商文件构成及格式</w:t>
          </w:r>
          <w:r>
            <w:rPr>
              <w:sz w:val="28"/>
              <w:szCs w:val="21"/>
            </w:rPr>
            <w:tab/>
          </w:r>
          <w:r>
            <w:rPr>
              <w:sz w:val="28"/>
              <w:szCs w:val="21"/>
            </w:rPr>
            <w:fldChar w:fldCharType="begin"/>
          </w:r>
          <w:r>
            <w:rPr>
              <w:sz w:val="28"/>
              <w:szCs w:val="21"/>
            </w:rPr>
            <w:instrText xml:space="preserve"> PAGEREF _Toc15391 \h </w:instrText>
          </w:r>
          <w:r>
            <w:rPr>
              <w:sz w:val="28"/>
              <w:szCs w:val="21"/>
            </w:rPr>
            <w:fldChar w:fldCharType="separate"/>
          </w:r>
          <w:r>
            <w:rPr>
              <w:sz w:val="28"/>
              <w:szCs w:val="21"/>
            </w:rPr>
            <w:t>57</w:t>
          </w:r>
          <w:r>
            <w:rPr>
              <w:sz w:val="28"/>
              <w:szCs w:val="21"/>
            </w:rPr>
            <w:fldChar w:fldCharType="end"/>
          </w:r>
          <w:r>
            <w:rPr>
              <w:rFonts w:hint="eastAsia"/>
              <w:bCs/>
              <w:sz w:val="28"/>
              <w:szCs w:val="40"/>
              <w:highlight w:val="none"/>
            </w:rPr>
            <w:fldChar w:fldCharType="end"/>
          </w:r>
        </w:p>
        <w:p>
          <w:pPr>
            <w:pStyle w:val="14"/>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bCs/>
              <w:sz w:val="36"/>
              <w:szCs w:val="36"/>
              <w:highlight w:val="none"/>
            </w:rPr>
          </w:pPr>
          <w:r>
            <w:rPr>
              <w:rFonts w:hint="eastAsia"/>
              <w:bCs/>
              <w:sz w:val="28"/>
              <w:szCs w:val="40"/>
              <w:highlight w:val="none"/>
            </w:rPr>
            <w:fldChar w:fldCharType="end"/>
          </w:r>
        </w:p>
      </w:sdtContent>
    </w:sdt>
    <w:p>
      <w:pPr>
        <w:pStyle w:val="3"/>
        <w:spacing w:before="312" w:beforeLines="100"/>
        <w:jc w:val="center"/>
        <w:rPr>
          <w:rFonts w:hint="eastAsia" w:ascii="宋体" w:eastAsia="宋体"/>
          <w:bCs/>
          <w:sz w:val="36"/>
          <w:szCs w:val="36"/>
          <w:highlight w:val="none"/>
        </w:rPr>
        <w:sectPr>
          <w:footerReference r:id="rId9" w:type="first"/>
          <w:footerReference r:id="rId8" w:type="default"/>
          <w:pgSz w:w="11906" w:h="16838"/>
          <w:pgMar w:top="1418" w:right="1418" w:bottom="1418" w:left="1701" w:header="851" w:footer="992" w:gutter="0"/>
          <w:pgNumType w:fmt="decimal" w:start="1"/>
          <w:cols w:space="720" w:num="1"/>
          <w:titlePg/>
          <w:docGrid w:type="lines" w:linePitch="312" w:charSpace="0"/>
        </w:sectPr>
      </w:pPr>
    </w:p>
    <w:p>
      <w:pPr>
        <w:pStyle w:val="3"/>
        <w:jc w:val="center"/>
        <w:rPr>
          <w:rFonts w:hint="eastAsia" w:ascii="宋体" w:eastAsia="宋体" w:cs="宋体"/>
          <w:highlight w:val="none"/>
        </w:rPr>
      </w:pPr>
      <w:bookmarkStart w:id="11" w:name="_Toc28633"/>
      <w:bookmarkStart w:id="12" w:name="_Toc23896"/>
      <w:bookmarkStart w:id="13" w:name="_Toc6307"/>
      <w:bookmarkStart w:id="14" w:name="_Toc423973071"/>
      <w:r>
        <w:rPr>
          <w:rFonts w:hint="eastAsia" w:ascii="宋体" w:eastAsia="宋体" w:cs="宋体"/>
          <w:highlight w:val="none"/>
        </w:rPr>
        <w:t xml:space="preserve">第一章  </w:t>
      </w:r>
      <w:bookmarkEnd w:id="0"/>
      <w:bookmarkEnd w:id="1"/>
      <w:bookmarkEnd w:id="2"/>
      <w:bookmarkEnd w:id="3"/>
      <w:bookmarkEnd w:id="4"/>
      <w:bookmarkEnd w:id="5"/>
      <w:bookmarkEnd w:id="6"/>
      <w:r>
        <w:rPr>
          <w:rFonts w:hint="eastAsia" w:ascii="宋体" w:eastAsia="宋体" w:cs="宋体"/>
          <w:highlight w:val="none"/>
        </w:rPr>
        <w:t>竞争性磋商公告</w:t>
      </w:r>
      <w:bookmarkEnd w:id="7"/>
      <w:bookmarkEnd w:id="11"/>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bookmarkStart w:id="15" w:name="_Toc2929"/>
      <w:bookmarkStart w:id="16" w:name="_Toc389582035"/>
      <w:bookmarkStart w:id="17" w:name="_Toc423973072"/>
      <w:bookmarkStart w:id="18" w:name="_Toc29249"/>
      <w:r>
        <w:rPr>
          <w:rStyle w:val="22"/>
          <w:rFonts w:hint="eastAsia" w:ascii="宋体" w:hAnsi="宋体" w:eastAsia="宋体" w:cs="宋体"/>
          <w:b/>
          <w:bCs/>
          <w:i w:val="0"/>
          <w:iCs w:val="0"/>
          <w:caps w:val="0"/>
          <w:color w:val="auto"/>
          <w:spacing w:val="0"/>
          <w:sz w:val="24"/>
          <w:szCs w:val="24"/>
          <w:highlight w:val="none"/>
          <w:shd w:val="clear" w:fill="FFFFFF"/>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柞水县2022年栎类大径木培育基地项目采购项目的潜在供应商应在陕西省西安市高新区高新路25号瑞欣大厦6楼A获取采购文件，并于2022年05月30日 14时30分（北京时间）前提交响应文件。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项目编号：SXZCZB2022-ZCCS-0520</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项目名称：柞水县2022年栎类大径木培育基地项目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预算金额：970,000.00元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合同包1(第一包1、2、5小班（820亩）):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合同包预算金额：477,145.00元</w:t>
      </w:r>
    </w:p>
    <w:tbl>
      <w:tblPr>
        <w:tblStyle w:val="19"/>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8"/>
        <w:gridCol w:w="2128"/>
        <w:gridCol w:w="2128"/>
        <w:gridCol w:w="722"/>
        <w:gridCol w:w="1312"/>
        <w:gridCol w:w="1440"/>
        <w:gridCol w:w="7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林木抚育管理服务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第一标段1、2、5小班（820亩）</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color w:val="auto"/>
                <w:sz w:val="24"/>
                <w:szCs w:val="24"/>
                <w:highlight w:val="none"/>
              </w:rPr>
            </w:pPr>
            <w:r>
              <w:rPr>
                <w:rFonts w:ascii="宋体" w:hAnsi="宋体" w:eastAsia="宋体" w:cs="宋体"/>
                <w:color w:val="auto"/>
                <w:kern w:val="0"/>
                <w:sz w:val="24"/>
                <w:szCs w:val="24"/>
                <w:highlight w:val="none"/>
                <w:lang w:val="en-US" w:eastAsia="zh-CN" w:bidi="ar"/>
              </w:rPr>
              <w:t>477,145.00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color w:val="auto"/>
                <w:sz w:val="24"/>
                <w:szCs w:val="24"/>
                <w:highlight w:val="none"/>
              </w:rPr>
            </w:pPr>
            <w:r>
              <w:rPr>
                <w:rFonts w:ascii="宋体" w:hAnsi="宋体" w:eastAsia="宋体" w:cs="宋体"/>
                <w:color w:val="auto"/>
                <w:kern w:val="0"/>
                <w:sz w:val="24"/>
                <w:szCs w:val="24"/>
                <w:highlight w:val="none"/>
                <w:lang w:val="en-US" w:eastAsia="zh-CN" w:bidi="ar"/>
              </w:rPr>
              <w:t>-</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合同包2(第二包3、4小班（847亩）):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合同包预算金额：492,855.00元</w:t>
      </w:r>
    </w:p>
    <w:tbl>
      <w:tblPr>
        <w:tblStyle w:val="19"/>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8"/>
        <w:gridCol w:w="2128"/>
        <w:gridCol w:w="2128"/>
        <w:gridCol w:w="722"/>
        <w:gridCol w:w="1312"/>
        <w:gridCol w:w="1440"/>
        <w:gridCol w:w="7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b/>
                <w:bCs/>
                <w:color w:val="auto"/>
                <w:sz w:val="24"/>
                <w:szCs w:val="24"/>
                <w:highlight w:val="none"/>
              </w:rPr>
            </w:pPr>
            <w:r>
              <w:rPr>
                <w:rFonts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林木抚育管理服务</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第二标段3、4小班（847亩）</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color w:val="auto"/>
                <w:sz w:val="24"/>
                <w:szCs w:val="24"/>
                <w:highlight w:val="none"/>
              </w:rPr>
            </w:pPr>
            <w:r>
              <w:rPr>
                <w:rFonts w:ascii="宋体" w:hAnsi="宋体" w:eastAsia="宋体" w:cs="宋体"/>
                <w:color w:val="auto"/>
                <w:kern w:val="0"/>
                <w:sz w:val="24"/>
                <w:szCs w:val="24"/>
                <w:highlight w:val="none"/>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color w:val="auto"/>
                <w:sz w:val="24"/>
                <w:szCs w:val="24"/>
                <w:highlight w:val="none"/>
              </w:rPr>
            </w:pPr>
            <w:r>
              <w:rPr>
                <w:rFonts w:ascii="宋体" w:hAnsi="宋体" w:eastAsia="宋体" w:cs="宋体"/>
                <w:color w:val="auto"/>
                <w:kern w:val="0"/>
                <w:sz w:val="24"/>
                <w:szCs w:val="24"/>
                <w:highlight w:val="none"/>
                <w:lang w:val="en-US" w:eastAsia="zh-CN" w:bidi="ar"/>
              </w:rPr>
              <w:t>492,855.00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color w:val="auto"/>
                <w:sz w:val="24"/>
                <w:szCs w:val="24"/>
                <w:highlight w:val="none"/>
              </w:rPr>
            </w:pPr>
            <w:r>
              <w:rPr>
                <w:rFonts w:ascii="宋体" w:hAnsi="宋体" w:eastAsia="宋体" w:cs="宋体"/>
                <w:color w:val="auto"/>
                <w:kern w:val="0"/>
                <w:sz w:val="24"/>
                <w:szCs w:val="24"/>
                <w:highlight w:val="none"/>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合同包1(第一包1、2、5小班（820亩）)落实政府采购政策需满足的资格要求如下: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（1）《财政部国家发展改革委关于印发〈节能产品政府采购实施意见〉的通知》（财库〔2004〕185号）；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（2）《国务院办公厅关于建立政府强制采购节能产品制度的通知》（国办发〔2007〕51号）；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（3）《财政部环保总局关于环境标志产品政府采购实施的意见》（财库〔2006〕90号）；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（4）《政府采购促进中小企业发展管理办法》（财库〔2020〕46号）；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（5）《财政部司法部关于政府采购支持监狱企业发展有关问题的通知》（财库〔2014〕68号）；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（7）《财政部发展改革委生态环境部市场监管总局关于调整优化节能产品、环境标志产品政府采购执行机制的通知》（财库〔2019〕9号）；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（8）《财政部国务院扶贫办关于运用政府采购政策支持脱贫攻坚的通知》（财库〔2019〕27号）；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（9）《陕西省中小企业政府采购信用融资办法》（陕财办采〔2018〕23号）。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合同包2(第二包3、4小班（847亩）)落实政府采购政策需满足的资格要求如下: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（1）《财政部国家发展改革委关于印发〈节能产品政府采购实施意见〉的通知》（财库〔2004〕185号）；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（2）《国务院办公厅关于建立政府强制采购节能产品制度的通知》（国办发〔2007〕51号）；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（3）《财政部环保总局关于环境标志产品政府采购实施的意见》（财库〔2006〕90号）；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（4）《政府采购促进中小企业发展管理办法》（财库〔2020〕46号）；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（5）《财政部司法部关于政府采购支持监狱企业发展有关问题的通知》（财库〔2014〕68号）；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（7）《财政部发展改革委生态环境部市场监管总局关于调整优化节能产品、环境标志产品政府采购执行机制的通知》（财库〔2019〕9号）；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（8）《财政部国务院扶贫办关于运用政府采购政策支持脱贫攻坚的通知》（财库〔2019〕27号）；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（9）《陕西省中小企业政府采购信用融资办法》（陕财办采〔2018〕23号）。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合同包1(第一包1、2、5小班（820亩）)特定资格要求如下: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2、提供法定代表人授权书（附法定代表人、被授权人身份证复印件）及被授权人身份证原件（法定代表人直接参加磋商，须提供法定代表人身份证明及身份证原件）；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4、税收缴纳证明：提供磋商截止日前一年内已缴纳的至少一个月的纳税证明或完税证明（任意税种），依法免税的单位应提供相关证明材料；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6、提供具有履行本合同所必需的设备和专业技术能力的说明及承诺书；</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7、供应商应通过“信用中国”网站(www.creditchina.gov.cn)、中国政府采购网(www.ccgp.gov.cn) 查询相关主体信用记录；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8、参加政府采购活动前3年内，在经营活动中没有重大违法记录的书面声明；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9、提供磋商保证金缴纳凭证或担保机构出具的保函；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10、本项目各包不接受联合体磋商。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合同包2(第二包3、4小班（847亩）)特定资格要求如下: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2、提供法定代表人授权书（附法定代表人、被授权人身份证复印件）及被授权人身份证原件（法定代表人直接参加磋商，须提供法定代表人身份证明及身份证原件）；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4、税收缴纳证明：提供磋商截止日前一年内已缴纳的至少一个月的纳税证明或完税证明（任意税种），依法免税的单位应提供相关证明材料；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6、提供具有履行本合同所必需的设备和专业技术能力的说明及承诺书；</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7、供应商应通过“信用中国”网站(www.creditchina.gov.cn)、中国政府采购网(www.ccgp.gov.cn) 查询相关主体信用记录；</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8、参加政府采购活动前3年内，在经营活动中没有重大违法记录的书面声明；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9、提供磋商保证金缴纳凭证或担保机构出具的保函；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10、本项目各包不接受联合体磋商。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三、获取采购文件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时间：2022年05月1</w:t>
      </w: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日至2022年05月</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日，每天上午09:00:00至12:00:00，下午14:00:00至17:00:00（北京时间,法定节假日除外）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售价：300元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四、响应文件提交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截止时间：2022年05月30日 14时30分00秒（北京时间）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五、开启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时间：2022年05月30日 14时30分00秒（北京时间）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六、公告期限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七、其他补充事宜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文件售价：¥300元/包。现金购买，售后不退，谢绝邮寄。注：（1）供应商购买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供应商可同时参加多个包的投标，但一个供应商最多只能中一个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名称：柞水县乾佑河国有林场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地址：柞水县营盘镇营镇社区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联系方式：18992408266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名称：陕西至诚招标咨询有限公司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地址：陕西省西安市高新区高新路25号瑞欣大厦6楼A</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项目联系人：康乐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电话：029-88219779</w:t>
      </w:r>
    </w:p>
    <w:p>
      <w:pPr>
        <w:pStyle w:val="17"/>
        <w:widowControl/>
        <w:shd w:val="clear" w:color="auto" w:fill="FFFFFF"/>
        <w:spacing w:before="0" w:beforeLines="0" w:beforeAutospacing="0" w:after="0" w:afterLines="0" w:afterAutospacing="0" w:line="510" w:lineRule="atLeast"/>
        <w:ind w:left="0" w:right="0" w:firstLine="420"/>
        <w:jc w:val="left"/>
        <w:rPr>
          <w:rFonts w:hint="eastAsia" w:ascii="新宋体" w:hAnsi="新宋体" w:eastAsia="新宋体" w:cs="新宋体"/>
          <w:color w:val="333333"/>
          <w:highlight w:val="none"/>
          <w:shd w:val="clear" w:color="auto" w:fill="FFFFFF"/>
          <w:lang w:bidi="ar-SA"/>
        </w:rPr>
      </w:pPr>
    </w:p>
    <w:p>
      <w:pPr>
        <w:pStyle w:val="17"/>
        <w:widowControl/>
        <w:shd w:val="clear" w:color="auto" w:fill="FFFFFF"/>
        <w:spacing w:before="0" w:beforeLines="0" w:beforeAutospacing="0" w:after="0" w:afterLines="0" w:afterAutospacing="0" w:line="510" w:lineRule="atLeast"/>
        <w:ind w:left="0" w:right="0" w:firstLine="420"/>
        <w:jc w:val="left"/>
        <w:rPr>
          <w:rFonts w:hint="eastAsia" w:ascii="新宋体" w:hAnsi="新宋体" w:eastAsia="新宋体" w:cs="新宋体"/>
          <w:color w:val="333333"/>
          <w:highlight w:val="none"/>
          <w:shd w:val="clear" w:color="auto" w:fill="FFFFFF"/>
          <w:lang w:bidi="ar-SA"/>
        </w:rPr>
      </w:pPr>
    </w:p>
    <w:p>
      <w:pPr>
        <w:pStyle w:val="17"/>
        <w:widowControl/>
        <w:shd w:val="clear" w:color="auto" w:fill="FFFFFF"/>
        <w:spacing w:before="0" w:beforeLines="0" w:beforeAutospacing="0" w:after="0" w:afterLines="0" w:afterAutospacing="0" w:line="510" w:lineRule="atLeast"/>
        <w:ind w:left="0" w:right="0" w:firstLine="420"/>
        <w:jc w:val="right"/>
        <w:rPr>
          <w:rFonts w:hint="eastAsia" w:ascii="新宋体" w:hAnsi="新宋体" w:eastAsia="新宋体" w:cs="新宋体"/>
          <w:color w:val="333333"/>
          <w:highlight w:val="none"/>
          <w:shd w:val="clear" w:color="auto" w:fill="FFFFFF"/>
          <w:lang w:eastAsia="zh-CN" w:bidi="ar-SA"/>
        </w:rPr>
      </w:pPr>
      <w:r>
        <w:rPr>
          <w:rFonts w:hint="eastAsia" w:ascii="新宋体" w:hAnsi="新宋体" w:eastAsia="新宋体" w:cs="新宋体"/>
          <w:color w:val="333333"/>
          <w:highlight w:val="none"/>
          <w:shd w:val="clear" w:color="auto" w:fill="FFFFFF"/>
          <w:lang w:bidi="ar-SA"/>
        </w:rPr>
        <w:t xml:space="preserve">                                  </w:t>
      </w:r>
      <w:r>
        <w:rPr>
          <w:rFonts w:hint="eastAsia" w:ascii="新宋体" w:hAnsi="新宋体" w:eastAsia="新宋体" w:cs="新宋体"/>
          <w:color w:val="333333"/>
          <w:highlight w:val="none"/>
          <w:shd w:val="clear" w:color="auto" w:fill="FFFFFF"/>
          <w:lang w:eastAsia="zh-CN" w:bidi="ar-SA"/>
        </w:rPr>
        <w:t>陕西至诚招标咨询有限公司</w:t>
      </w:r>
    </w:p>
    <w:p>
      <w:pPr>
        <w:pStyle w:val="17"/>
        <w:widowControl/>
        <w:shd w:val="clear" w:color="auto" w:fill="FFFFFF"/>
        <w:spacing w:before="0" w:beforeLines="0" w:beforeAutospacing="0" w:after="0" w:afterLines="0" w:afterAutospacing="0" w:line="510" w:lineRule="atLeast"/>
        <w:ind w:left="0" w:right="0" w:firstLine="420"/>
        <w:jc w:val="right"/>
        <w:rPr>
          <w:rFonts w:hint="eastAsia" w:eastAsia="新宋体"/>
          <w:highlight w:val="none"/>
          <w:lang w:eastAsia="zh-CN"/>
        </w:rPr>
      </w:pPr>
      <w:r>
        <w:rPr>
          <w:rFonts w:hint="eastAsia" w:ascii="新宋体" w:hAnsi="新宋体" w:eastAsia="新宋体" w:cs="新宋体"/>
          <w:color w:val="333333"/>
          <w:highlight w:val="none"/>
          <w:shd w:val="clear" w:color="auto" w:fill="FFFFFF"/>
          <w:lang w:bidi="ar-SA"/>
        </w:rPr>
        <w:t xml:space="preserve">                                  </w:t>
      </w:r>
      <w:r>
        <w:rPr>
          <w:rFonts w:hint="eastAsia" w:ascii="新宋体" w:hAnsi="新宋体" w:eastAsia="新宋体" w:cs="新宋体"/>
          <w:color w:val="333333"/>
          <w:highlight w:val="none"/>
          <w:shd w:val="clear" w:color="auto" w:fill="FFFFFF"/>
          <w:lang w:val="en-US" w:eastAsia="zh-CN" w:bidi="ar-SA"/>
        </w:rPr>
        <w:t>二〇二二</w:t>
      </w:r>
      <w:r>
        <w:rPr>
          <w:rFonts w:hint="eastAsia" w:ascii="新宋体" w:hAnsi="新宋体" w:eastAsia="新宋体" w:cs="新宋体"/>
          <w:color w:val="333333"/>
          <w:highlight w:val="none"/>
          <w:shd w:val="clear" w:color="auto" w:fill="FFFFFF"/>
          <w:lang w:bidi="ar-SA"/>
        </w:rPr>
        <w:t>年</w:t>
      </w:r>
      <w:r>
        <w:rPr>
          <w:rFonts w:hint="eastAsia" w:ascii="新宋体" w:hAnsi="新宋体" w:eastAsia="新宋体" w:cs="新宋体"/>
          <w:color w:val="333333"/>
          <w:highlight w:val="none"/>
          <w:shd w:val="clear" w:color="auto" w:fill="FFFFFF"/>
          <w:lang w:eastAsia="zh-CN" w:bidi="ar-SA"/>
        </w:rPr>
        <w:t>五</w:t>
      </w:r>
      <w:r>
        <w:rPr>
          <w:rFonts w:hint="eastAsia" w:ascii="新宋体" w:hAnsi="新宋体" w:eastAsia="新宋体" w:cs="新宋体"/>
          <w:color w:val="333333"/>
          <w:highlight w:val="none"/>
          <w:shd w:val="clear" w:color="auto" w:fill="FFFFFF"/>
          <w:lang w:bidi="ar-SA"/>
        </w:rPr>
        <w:t>月</w:t>
      </w:r>
      <w:r>
        <w:rPr>
          <w:rFonts w:hint="eastAsia" w:ascii="新宋体" w:hAnsi="新宋体" w:eastAsia="新宋体" w:cs="新宋体"/>
          <w:color w:val="333333"/>
          <w:highlight w:val="none"/>
          <w:shd w:val="clear" w:color="auto" w:fill="FFFFFF"/>
          <w:lang w:eastAsia="zh-CN" w:bidi="ar-SA"/>
        </w:rPr>
        <w:t>十八日</w:t>
      </w:r>
    </w:p>
    <w:p>
      <w:pPr>
        <w:kinsoku w:val="0"/>
        <w:spacing w:line="520" w:lineRule="exact"/>
        <w:ind w:firstLine="480" w:firstLineChars="200"/>
        <w:jc w:val="right"/>
        <w:rPr>
          <w:rFonts w:hint="eastAsia" w:hAnsi="宋体"/>
          <w:szCs w:val="24"/>
          <w:highlight w:val="none"/>
        </w:rPr>
      </w:pPr>
    </w:p>
    <w:p>
      <w:pPr>
        <w:rPr>
          <w:rFonts w:hint="eastAsia" w:ascii="宋体" w:hAnsi="宋体" w:eastAsia="宋体" w:cs="宋体"/>
          <w:highlight w:val="none"/>
        </w:rPr>
      </w:pPr>
      <w:bookmarkStart w:id="19" w:name="_Toc11491"/>
      <w:bookmarkStart w:id="20" w:name="_Toc10789"/>
      <w:r>
        <w:rPr>
          <w:rFonts w:hint="eastAsia" w:ascii="宋体" w:hAnsi="宋体" w:eastAsia="宋体" w:cs="宋体"/>
          <w:highlight w:val="none"/>
        </w:rPr>
        <w:br w:type="page"/>
      </w:r>
    </w:p>
    <w:p>
      <w:pPr>
        <w:pStyle w:val="3"/>
        <w:bidi w:val="0"/>
        <w:jc w:val="center"/>
        <w:rPr>
          <w:rFonts w:hint="eastAsia"/>
          <w:highlight w:val="none"/>
        </w:rPr>
      </w:pPr>
      <w:bookmarkStart w:id="21" w:name="_Toc21244"/>
      <w:r>
        <w:rPr>
          <w:rFonts w:hint="eastAsia" w:ascii="宋体" w:hAnsi="宋体" w:eastAsia="宋体" w:cs="宋体"/>
          <w:highlight w:val="none"/>
        </w:rPr>
        <w:t xml:space="preserve">第二章  </w:t>
      </w:r>
      <w:bookmarkEnd w:id="15"/>
      <w:bookmarkEnd w:id="16"/>
      <w:bookmarkStart w:id="22" w:name="OLE_LINK3"/>
      <w:r>
        <w:rPr>
          <w:rFonts w:hint="eastAsia" w:ascii="宋体" w:hAnsi="宋体" w:eastAsia="宋体" w:cs="宋体"/>
          <w:highlight w:val="none"/>
        </w:rPr>
        <w:t>供应商须知</w:t>
      </w:r>
      <w:bookmarkEnd w:id="17"/>
      <w:bookmarkEnd w:id="18"/>
      <w:bookmarkEnd w:id="19"/>
      <w:bookmarkEnd w:id="20"/>
      <w:bookmarkEnd w:id="21"/>
      <w:bookmarkEnd w:id="22"/>
    </w:p>
    <w:p>
      <w:pPr>
        <w:pStyle w:val="4"/>
        <w:widowControl w:val="0"/>
        <w:spacing w:before="120" w:after="120" w:line="360" w:lineRule="auto"/>
        <w:ind w:left="0"/>
        <w:jc w:val="center"/>
        <w:rPr>
          <w:rFonts w:hint="eastAsia" w:ascii="宋体" w:hAnsi="宋体" w:cs="宋体"/>
          <w:sz w:val="32"/>
          <w:highlight w:val="none"/>
        </w:rPr>
      </w:pPr>
      <w:bookmarkStart w:id="23" w:name="_Toc12353"/>
      <w:bookmarkStart w:id="24" w:name="_Toc31462"/>
      <w:bookmarkStart w:id="25" w:name="_Toc5172"/>
      <w:bookmarkStart w:id="26" w:name="OLE_LINK2"/>
      <w:bookmarkStart w:id="27" w:name="_Toc423973073"/>
      <w:bookmarkStart w:id="28" w:name="_Toc23268"/>
      <w:bookmarkStart w:id="29" w:name="_Toc19364"/>
      <w:bookmarkStart w:id="30" w:name="_Toc25161"/>
      <w:r>
        <w:rPr>
          <w:rFonts w:hint="eastAsia" w:ascii="宋体" w:hAnsi="宋体" w:cs="宋体"/>
          <w:sz w:val="32"/>
          <w:highlight w:val="none"/>
        </w:rPr>
        <w:t>供应商须知前附表</w:t>
      </w:r>
      <w:bookmarkEnd w:id="23"/>
      <w:bookmarkEnd w:id="24"/>
      <w:bookmarkEnd w:id="25"/>
      <w:bookmarkEnd w:id="26"/>
      <w:bookmarkEnd w:id="27"/>
      <w:bookmarkEnd w:id="28"/>
      <w:bookmarkEnd w:id="29"/>
      <w:bookmarkEnd w:id="30"/>
    </w:p>
    <w:p>
      <w:pPr>
        <w:spacing w:line="440" w:lineRule="exact"/>
        <w:ind w:firstLine="480" w:firstLineChars="200"/>
        <w:rPr>
          <w:rFonts w:hint="eastAsia"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19"/>
        <w:tblW w:w="97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8"/>
        <w:gridCol w:w="1019"/>
        <w:gridCol w:w="81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68" w:type="dxa"/>
            <w:noWrap w:val="0"/>
            <w:vAlign w:val="top"/>
          </w:tcPr>
          <w:p>
            <w:pPr>
              <w:spacing w:before="120" w:beforeLines="50" w:line="360" w:lineRule="auto"/>
              <w:jc w:val="center"/>
              <w:rPr>
                <w:rFonts w:hint="eastAsia" w:hAnsi="宋体" w:cs="宋体"/>
                <w:b/>
                <w:szCs w:val="24"/>
                <w:highlight w:val="none"/>
              </w:rPr>
            </w:pPr>
            <w:r>
              <w:rPr>
                <w:rFonts w:hint="eastAsia" w:hAnsi="宋体" w:cs="宋体"/>
                <w:b/>
                <w:szCs w:val="24"/>
                <w:highlight w:val="none"/>
              </w:rPr>
              <w:t>序号</w:t>
            </w:r>
          </w:p>
        </w:tc>
        <w:tc>
          <w:tcPr>
            <w:tcW w:w="1019" w:type="dxa"/>
            <w:noWrap w:val="0"/>
            <w:vAlign w:val="center"/>
          </w:tcPr>
          <w:p>
            <w:pPr>
              <w:spacing w:before="120" w:beforeLines="50" w:line="360" w:lineRule="auto"/>
              <w:jc w:val="center"/>
              <w:rPr>
                <w:rFonts w:hint="eastAsia" w:hAnsi="宋体" w:cs="宋体"/>
                <w:b/>
                <w:szCs w:val="24"/>
                <w:highlight w:val="none"/>
              </w:rPr>
            </w:pPr>
            <w:r>
              <w:rPr>
                <w:rFonts w:hint="eastAsia" w:hAnsi="宋体" w:cs="宋体"/>
                <w:b/>
                <w:szCs w:val="24"/>
                <w:highlight w:val="none"/>
              </w:rPr>
              <w:t>条款号</w:t>
            </w:r>
          </w:p>
        </w:tc>
        <w:tc>
          <w:tcPr>
            <w:tcW w:w="8137" w:type="dxa"/>
            <w:noWrap w:val="0"/>
            <w:vAlign w:val="top"/>
          </w:tcPr>
          <w:p>
            <w:pPr>
              <w:spacing w:line="360" w:lineRule="auto"/>
              <w:jc w:val="center"/>
              <w:rPr>
                <w:rFonts w:hint="eastAsia" w:hAnsi="宋体" w:cs="宋体"/>
                <w:b/>
                <w:szCs w:val="24"/>
                <w:highlight w:val="none"/>
              </w:rPr>
            </w:pPr>
            <w:r>
              <w:rPr>
                <w:rFonts w:hint="eastAsia" w:hAnsi="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68"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1</w:t>
            </w:r>
          </w:p>
        </w:tc>
        <w:tc>
          <w:tcPr>
            <w:tcW w:w="1019"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2.3</w:t>
            </w:r>
          </w:p>
        </w:tc>
        <w:tc>
          <w:tcPr>
            <w:tcW w:w="8137" w:type="dxa"/>
            <w:noWrap w:val="0"/>
            <w:vAlign w:val="top"/>
          </w:tcPr>
          <w:p>
            <w:pPr>
              <w:spacing w:line="360" w:lineRule="auto"/>
              <w:rPr>
                <w:rFonts w:hint="eastAsia" w:hAnsi="宋体" w:eastAsia="宋体" w:cs="宋体"/>
                <w:szCs w:val="24"/>
                <w:highlight w:val="none"/>
                <w:lang w:eastAsia="zh-CN"/>
              </w:rPr>
            </w:pPr>
            <w:r>
              <w:rPr>
                <w:rFonts w:hint="eastAsia" w:hAnsi="宋体" w:cs="宋体"/>
                <w:szCs w:val="24"/>
                <w:highlight w:val="none"/>
              </w:rPr>
              <w:t>采购代理机构：</w:t>
            </w:r>
            <w:r>
              <w:rPr>
                <w:rFonts w:hint="eastAsia" w:hAnsi="宋体" w:cs="宋体"/>
                <w:szCs w:val="24"/>
                <w:highlight w:val="none"/>
                <w:lang w:eastAsia="zh-CN"/>
              </w:rPr>
              <w:t>陕西至诚招标咨询有限公司</w:t>
            </w:r>
          </w:p>
          <w:p>
            <w:pPr>
              <w:spacing w:line="360" w:lineRule="auto"/>
              <w:rPr>
                <w:rFonts w:hint="eastAsia" w:hAnsi="宋体" w:eastAsia="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西安市高新区高新路25号瑞欣大厦B座6楼</w:t>
            </w:r>
          </w:p>
          <w:p>
            <w:pPr>
              <w:spacing w:line="360" w:lineRule="auto"/>
              <w:rPr>
                <w:rFonts w:hint="default" w:hAnsi="宋体" w:eastAsia="宋体" w:cs="宋体"/>
                <w:szCs w:val="24"/>
                <w:highlight w:val="none"/>
                <w:lang w:val="en-US" w:eastAsia="zh-CN"/>
              </w:rPr>
            </w:pPr>
            <w:r>
              <w:rPr>
                <w:rFonts w:hint="eastAsia" w:hAnsi="宋体" w:cs="宋体"/>
                <w:szCs w:val="24"/>
                <w:highlight w:val="none"/>
              </w:rPr>
              <w:t>邮        编：7100</w:t>
            </w:r>
            <w:r>
              <w:rPr>
                <w:rFonts w:hint="eastAsia" w:hAnsi="宋体" w:cs="宋体"/>
                <w:szCs w:val="24"/>
                <w:highlight w:val="none"/>
                <w:lang w:val="en-US" w:eastAsia="zh-CN"/>
              </w:rPr>
              <w:t>65</w:t>
            </w:r>
          </w:p>
          <w:p>
            <w:pPr>
              <w:spacing w:line="360" w:lineRule="auto"/>
              <w:rPr>
                <w:rFonts w:hint="eastAsia" w:hAnsi="宋体" w:eastAsia="宋体" w:cs="宋体"/>
                <w:szCs w:val="24"/>
                <w:highlight w:val="none"/>
                <w:lang w:eastAsia="zh-CN"/>
              </w:rPr>
            </w:pPr>
            <w:r>
              <w:rPr>
                <w:rFonts w:hint="eastAsia" w:hAnsi="宋体" w:cs="宋体"/>
                <w:szCs w:val="24"/>
                <w:highlight w:val="none"/>
              </w:rPr>
              <w:t>电        话：</w:t>
            </w:r>
            <w:r>
              <w:rPr>
                <w:rFonts w:hint="eastAsia" w:hAnsi="宋体" w:cs="宋体"/>
                <w:szCs w:val="24"/>
                <w:highlight w:val="none"/>
                <w:lang w:eastAsia="zh-CN"/>
              </w:rPr>
              <w:t>029-88219779</w:t>
            </w:r>
          </w:p>
          <w:p>
            <w:pPr>
              <w:spacing w:line="360" w:lineRule="auto"/>
              <w:rPr>
                <w:rFonts w:hint="eastAsia" w:hAnsi="宋体" w:cs="宋体"/>
                <w:szCs w:val="24"/>
                <w:highlight w:val="none"/>
              </w:rPr>
            </w:pPr>
            <w:r>
              <w:rPr>
                <w:rFonts w:hint="eastAsia" w:hAnsi="宋体" w:cs="宋体"/>
                <w:szCs w:val="24"/>
                <w:highlight w:val="none"/>
              </w:rPr>
              <w:t>邮        箱：sxzczbzxyxgs@163.com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68" w:type="dxa"/>
            <w:noWrap w:val="0"/>
            <w:vAlign w:val="center"/>
          </w:tcPr>
          <w:p>
            <w:pPr>
              <w:spacing w:line="360" w:lineRule="auto"/>
              <w:jc w:val="center"/>
              <w:rPr>
                <w:rFonts w:hint="eastAsia" w:hAnsi="宋体" w:eastAsia="宋体" w:cs="宋体"/>
                <w:szCs w:val="24"/>
                <w:highlight w:val="none"/>
                <w:lang w:val="en-US" w:eastAsia="zh-CN"/>
              </w:rPr>
            </w:pPr>
            <w:r>
              <w:rPr>
                <w:rFonts w:hint="eastAsia" w:hAnsi="宋体" w:cs="宋体"/>
                <w:szCs w:val="24"/>
                <w:highlight w:val="none"/>
              </w:rPr>
              <w:t>2</w:t>
            </w:r>
          </w:p>
        </w:tc>
        <w:tc>
          <w:tcPr>
            <w:tcW w:w="1019"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3.6</w:t>
            </w:r>
          </w:p>
        </w:tc>
        <w:tc>
          <w:tcPr>
            <w:tcW w:w="8137" w:type="dxa"/>
            <w:noWrap w:val="0"/>
            <w:vAlign w:val="center"/>
          </w:tcPr>
          <w:p>
            <w:pPr>
              <w:spacing w:line="360" w:lineRule="auto"/>
              <w:rPr>
                <w:rFonts w:hint="eastAsia"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568"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3</w:t>
            </w:r>
          </w:p>
        </w:tc>
        <w:tc>
          <w:tcPr>
            <w:tcW w:w="1019"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9.2</w:t>
            </w:r>
          </w:p>
        </w:tc>
        <w:tc>
          <w:tcPr>
            <w:tcW w:w="8137" w:type="dxa"/>
            <w:noWrap w:val="0"/>
            <w:vAlign w:val="center"/>
          </w:tcPr>
          <w:p>
            <w:pPr>
              <w:spacing w:line="360" w:lineRule="auto"/>
              <w:rPr>
                <w:rFonts w:hint="eastAsia"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68"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4</w:t>
            </w:r>
          </w:p>
        </w:tc>
        <w:tc>
          <w:tcPr>
            <w:tcW w:w="1019"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9.3</w:t>
            </w:r>
          </w:p>
        </w:tc>
        <w:tc>
          <w:tcPr>
            <w:tcW w:w="8137" w:type="dxa"/>
            <w:noWrap w:val="0"/>
            <w:vAlign w:val="center"/>
          </w:tcPr>
          <w:p>
            <w:pPr>
              <w:spacing w:line="360" w:lineRule="auto"/>
              <w:ind w:firstLine="480"/>
              <w:rPr>
                <w:rFonts w:hint="eastAsia"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eastAsia="zh-CN"/>
              </w:rPr>
              <w:t>包</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68"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5</w:t>
            </w:r>
          </w:p>
        </w:tc>
        <w:tc>
          <w:tcPr>
            <w:tcW w:w="1019"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11.1</w:t>
            </w:r>
          </w:p>
        </w:tc>
        <w:tc>
          <w:tcPr>
            <w:tcW w:w="8137" w:type="dxa"/>
            <w:noWrap w:val="0"/>
            <w:vAlign w:val="top"/>
          </w:tcPr>
          <w:p>
            <w:pPr>
              <w:spacing w:line="360" w:lineRule="auto"/>
              <w:ind w:firstLine="480"/>
              <w:rPr>
                <w:rFonts w:hint="eastAsia" w:hAnsi="宋体" w:cs="宋体"/>
                <w:szCs w:val="24"/>
                <w:highlight w:val="none"/>
              </w:rPr>
            </w:pPr>
            <w:r>
              <w:rPr>
                <w:rFonts w:hint="eastAsia" w:hAnsi="宋体" w:cs="宋体"/>
                <w:szCs w:val="24"/>
                <w:highlight w:val="none"/>
              </w:rPr>
              <w:t>磋商报价：为完成本项目全部内容的价格体现，包括但不限于</w:t>
            </w:r>
            <w:r>
              <w:rPr>
                <w:rFonts w:hint="eastAsia" w:hAnsi="宋体" w:cs="宋体"/>
                <w:szCs w:val="24"/>
                <w:highlight w:val="none"/>
                <w:lang w:eastAsia="zh-CN"/>
              </w:rPr>
              <w:t>苗木费、养护费、劳务费</w:t>
            </w:r>
            <w:r>
              <w:rPr>
                <w:rFonts w:hint="eastAsia" w:hAnsi="宋体" w:cs="宋体"/>
                <w:szCs w:val="24"/>
                <w:highlight w:val="none"/>
              </w:rPr>
              <w:t>、</w:t>
            </w:r>
            <w:r>
              <w:rPr>
                <w:rFonts w:hint="eastAsia" w:hAnsi="宋体" w:cs="宋体"/>
                <w:szCs w:val="24"/>
                <w:highlight w:val="none"/>
                <w:lang w:eastAsia="zh-CN"/>
              </w:rPr>
              <w:t>管理费</w:t>
            </w:r>
            <w:r>
              <w:rPr>
                <w:rFonts w:hint="eastAsia" w:hAnsi="宋体" w:cs="宋体"/>
                <w:szCs w:val="24"/>
                <w:highlight w:val="none"/>
              </w:rPr>
              <w:t>、税金等其他一切相关费用，任何有选择的报价将不予接受，按无效磋商响应。供应商所报的价格应考虑到可能发生的所有与完成本项目相关服务及履行合同义务有关的一切费用。</w:t>
            </w:r>
          </w:p>
          <w:p>
            <w:pPr>
              <w:spacing w:line="360" w:lineRule="auto"/>
              <w:ind w:firstLine="480"/>
              <w:rPr>
                <w:rFonts w:hint="eastAsia" w:hAnsi="宋体" w:cs="宋体"/>
                <w:szCs w:val="24"/>
                <w:highlight w:val="none"/>
              </w:rPr>
            </w:pPr>
            <w:r>
              <w:rPr>
                <w:rFonts w:hint="eastAsia" w:hAnsi="宋体" w:cs="宋体"/>
                <w:szCs w:val="24"/>
                <w:highlight w:val="none"/>
              </w:rPr>
              <w:t>磋商报价表中标明</w:t>
            </w:r>
            <w:r>
              <w:rPr>
                <w:rFonts w:hint="eastAsia"/>
                <w:highlight w:val="none"/>
              </w:rPr>
              <w:t>完成本工程要求的所有单价清单</w:t>
            </w:r>
            <w:r>
              <w:rPr>
                <w:rFonts w:hint="eastAsia" w:hAnsi="宋体" w:cs="宋体"/>
                <w:szCs w:val="24"/>
                <w:highlight w:val="none"/>
              </w:rPr>
              <w:t>，任何有选择的报价将不予接受，按无效磋商处理。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68"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6</w:t>
            </w:r>
          </w:p>
        </w:tc>
        <w:tc>
          <w:tcPr>
            <w:tcW w:w="1019"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12.1</w:t>
            </w:r>
          </w:p>
        </w:tc>
        <w:tc>
          <w:tcPr>
            <w:tcW w:w="8137" w:type="dxa"/>
            <w:noWrap w:val="0"/>
            <w:vAlign w:val="top"/>
          </w:tcPr>
          <w:p>
            <w:pPr>
              <w:spacing w:line="520" w:lineRule="exact"/>
              <w:rPr>
                <w:rFonts w:hint="eastAsia" w:hAnsi="宋体" w:cs="宋体"/>
                <w:b/>
                <w:bCs/>
                <w:szCs w:val="24"/>
                <w:highlight w:val="none"/>
              </w:rPr>
            </w:pPr>
            <w:r>
              <w:rPr>
                <w:rFonts w:hint="eastAsia" w:hAnsi="宋体" w:cs="宋体"/>
                <w:b/>
                <w:bCs/>
                <w:szCs w:val="24"/>
                <w:highlight w:val="none"/>
              </w:rPr>
              <w:t>供应商</w:t>
            </w:r>
            <w:r>
              <w:rPr>
                <w:rFonts w:hint="eastAsia" w:hAnsi="宋体" w:cs="宋体"/>
                <w:b/>
                <w:bCs/>
                <w:szCs w:val="24"/>
                <w:highlight w:val="none"/>
                <w:lang w:eastAsia="zh-CN"/>
              </w:rPr>
              <w:t>特定</w:t>
            </w:r>
            <w:r>
              <w:rPr>
                <w:rFonts w:hint="eastAsia" w:hAnsi="宋体" w:cs="宋体"/>
                <w:b/>
                <w:bCs/>
                <w:szCs w:val="24"/>
                <w:highlight w:val="none"/>
              </w:rPr>
              <w:t>资格要求：</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1、提供合格有效的法人或者其他组织的营业执照等证明文件，自然人的身份证明；</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2、提供法定代表人授权书（附法定代表人、被授权人身份证复印件）及被授权人身份证原件（法定代表人直接参加磋商，须提供法定代表人身份证明及身份证原件）；</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4、税收缴纳证明：提供磋商截止日前一年内已缴纳的至少一个月的纳税证明或完税证明（任意税种），依法免税的单位应提供相关证明材料；</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6、提供具有履行本合同所必需的设备和专业技术能力的说明及承诺书；</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7、供应商应通过“信用中国”网站(www.creditchina.gov.cn)、中国政府采购网(www.ccgp.gov.cn) 查询相关主体信用记录；</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8、参加政府采购活动前3年内，在经营活动中没有重大违法记录的书面声明；</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9、提供磋商保证金缴纳凭证或担保机构出具的保函；</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10、本项目各包不接受联合体磋商。</w:t>
            </w:r>
          </w:p>
          <w:p>
            <w:pPr>
              <w:spacing w:line="360" w:lineRule="auto"/>
              <w:ind w:firstLine="482" w:firstLineChars="200"/>
              <w:rPr>
                <w:rFonts w:hint="eastAsia" w:hAnsi="宋体" w:cs="宋体"/>
                <w:b/>
                <w:highlight w:val="none"/>
              </w:rPr>
            </w:pPr>
            <w:r>
              <w:rPr>
                <w:rFonts w:hint="eastAsia" w:hAnsi="宋体" w:cs="宋体"/>
                <w:b/>
                <w:szCs w:val="24"/>
                <w:highlight w:val="none"/>
              </w:rPr>
              <w:t>以上1-</w:t>
            </w:r>
            <w:r>
              <w:rPr>
                <w:rFonts w:hint="eastAsia" w:hAnsi="宋体" w:cs="宋体"/>
                <w:b/>
                <w:szCs w:val="24"/>
                <w:highlight w:val="none"/>
                <w:lang w:val="en-US" w:eastAsia="zh-CN"/>
              </w:rPr>
              <w:t>9</w:t>
            </w:r>
            <w:r>
              <w:rPr>
                <w:rFonts w:hint="eastAsia" w:hAnsi="宋体" w:cs="宋体"/>
                <w:b/>
                <w:szCs w:val="24"/>
                <w:highlight w:val="none"/>
              </w:rPr>
              <w:t>项为必备资质，</w:t>
            </w:r>
            <w:r>
              <w:rPr>
                <w:rFonts w:hint="eastAsia" w:hAnsi="宋体" w:cs="宋体"/>
                <w:b/>
                <w:highlight w:val="none"/>
              </w:rPr>
              <w:t>缺一项或某项达不到要求，按无效磋商处理。上述资格证明文件在磋商响应文件正、副本中各附一套复印件并加盖供应商公章,否则按无效磋商处理。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568" w:type="dxa"/>
            <w:noWrap w:val="0"/>
            <w:vAlign w:val="center"/>
          </w:tcPr>
          <w:p>
            <w:pPr>
              <w:spacing w:line="360" w:lineRule="auto"/>
              <w:jc w:val="center"/>
              <w:rPr>
                <w:szCs w:val="24"/>
                <w:highlight w:val="none"/>
              </w:rPr>
            </w:pPr>
            <w:r>
              <w:rPr>
                <w:rFonts w:hint="eastAsia"/>
                <w:szCs w:val="24"/>
                <w:highlight w:val="none"/>
              </w:rPr>
              <w:t>7</w:t>
            </w:r>
          </w:p>
        </w:tc>
        <w:tc>
          <w:tcPr>
            <w:tcW w:w="1019" w:type="dxa"/>
            <w:noWrap w:val="0"/>
            <w:vAlign w:val="center"/>
          </w:tcPr>
          <w:p>
            <w:pPr>
              <w:spacing w:line="360" w:lineRule="auto"/>
              <w:jc w:val="center"/>
              <w:rPr>
                <w:szCs w:val="24"/>
                <w:highlight w:val="none"/>
              </w:rPr>
            </w:pPr>
            <w:r>
              <w:rPr>
                <w:szCs w:val="24"/>
                <w:highlight w:val="none"/>
              </w:rPr>
              <w:t>14.</w:t>
            </w:r>
            <w:r>
              <w:rPr>
                <w:rFonts w:hint="eastAsia"/>
                <w:szCs w:val="24"/>
                <w:highlight w:val="none"/>
              </w:rPr>
              <w:t>4</w:t>
            </w:r>
          </w:p>
        </w:tc>
        <w:tc>
          <w:tcPr>
            <w:tcW w:w="8137" w:type="dxa"/>
            <w:noWrap w:val="0"/>
            <w:vAlign w:val="top"/>
          </w:tcPr>
          <w:p>
            <w:pPr>
              <w:spacing w:line="360" w:lineRule="auto"/>
              <w:rPr>
                <w:rFonts w:hint="eastAsia" w:hAnsi="宋体" w:cs="宋体"/>
                <w:b/>
                <w:szCs w:val="24"/>
                <w:highlight w:val="none"/>
              </w:rPr>
            </w:pPr>
            <w:r>
              <w:rPr>
                <w:rFonts w:hint="eastAsia" w:hAnsi="宋体" w:cs="宋体"/>
                <w:b/>
                <w:szCs w:val="24"/>
                <w:highlight w:val="none"/>
              </w:rPr>
              <w:t>磋商保证金：</w:t>
            </w:r>
          </w:p>
          <w:p>
            <w:pPr>
              <w:spacing w:line="360" w:lineRule="auto"/>
              <w:rPr>
                <w:rFonts w:hint="eastAsia" w:hAnsi="宋体" w:cs="宋体"/>
                <w:b/>
                <w:szCs w:val="24"/>
                <w:highlight w:val="none"/>
              </w:rPr>
            </w:pPr>
            <w:r>
              <w:rPr>
                <w:rFonts w:hint="eastAsia" w:hAnsi="宋体" w:cs="宋体"/>
                <w:b/>
                <w:szCs w:val="24"/>
                <w:highlight w:val="none"/>
                <w:lang w:eastAsia="zh-CN"/>
              </w:rPr>
              <w:t>第一包：</w:t>
            </w:r>
            <w:r>
              <w:rPr>
                <w:rFonts w:hint="eastAsia" w:hAnsi="宋体" w:cs="宋体"/>
                <w:b/>
                <w:szCs w:val="24"/>
                <w:highlight w:val="none"/>
              </w:rPr>
              <w:t>人民币</w:t>
            </w:r>
            <w:r>
              <w:rPr>
                <w:rFonts w:hint="eastAsia" w:hAnsi="宋体" w:cs="宋体"/>
                <w:b/>
                <w:szCs w:val="24"/>
                <w:highlight w:val="none"/>
                <w:lang w:eastAsia="zh-CN"/>
              </w:rPr>
              <w:t>玖仟元整</w:t>
            </w:r>
            <w:r>
              <w:rPr>
                <w:rFonts w:hint="eastAsia" w:hAnsi="宋体" w:cs="宋体"/>
                <w:b/>
                <w:szCs w:val="24"/>
                <w:highlight w:val="none"/>
              </w:rPr>
              <w:t>（￥</w:t>
            </w:r>
            <w:r>
              <w:rPr>
                <w:rFonts w:hint="eastAsia" w:hAnsi="宋体" w:cs="宋体"/>
                <w:b/>
                <w:szCs w:val="24"/>
                <w:highlight w:val="none"/>
                <w:lang w:val="en-US" w:eastAsia="zh-CN"/>
              </w:rPr>
              <w:t>9000.00</w:t>
            </w:r>
            <w:r>
              <w:rPr>
                <w:rFonts w:hint="eastAsia" w:hAnsi="宋体" w:cs="宋体"/>
                <w:b/>
                <w:szCs w:val="24"/>
                <w:highlight w:val="none"/>
              </w:rPr>
              <w:t>）</w:t>
            </w:r>
          </w:p>
          <w:p>
            <w:pPr>
              <w:spacing w:line="360" w:lineRule="auto"/>
              <w:rPr>
                <w:rFonts w:hint="eastAsia"/>
                <w:highlight w:val="none"/>
              </w:rPr>
            </w:pPr>
            <w:r>
              <w:rPr>
                <w:rFonts w:hint="eastAsia" w:hAnsi="宋体" w:cs="宋体"/>
                <w:b/>
                <w:szCs w:val="24"/>
                <w:highlight w:val="none"/>
                <w:lang w:eastAsia="zh-CN"/>
              </w:rPr>
              <w:t>第二包：</w:t>
            </w:r>
            <w:r>
              <w:rPr>
                <w:rFonts w:hint="eastAsia" w:hAnsi="宋体" w:cs="宋体"/>
                <w:b/>
                <w:szCs w:val="24"/>
                <w:highlight w:val="none"/>
              </w:rPr>
              <w:t>人民币</w:t>
            </w:r>
            <w:r>
              <w:rPr>
                <w:rFonts w:hint="eastAsia" w:hAnsi="宋体" w:cs="宋体"/>
                <w:b/>
                <w:szCs w:val="24"/>
                <w:highlight w:val="none"/>
                <w:lang w:eastAsia="zh-CN"/>
              </w:rPr>
              <w:t>玖仟元整</w:t>
            </w:r>
            <w:r>
              <w:rPr>
                <w:rFonts w:hint="eastAsia" w:hAnsi="宋体" w:cs="宋体"/>
                <w:b/>
                <w:szCs w:val="24"/>
                <w:highlight w:val="none"/>
              </w:rPr>
              <w:t>（￥</w:t>
            </w:r>
            <w:r>
              <w:rPr>
                <w:rFonts w:hint="eastAsia" w:hAnsi="宋体" w:cs="宋体"/>
                <w:b/>
                <w:szCs w:val="24"/>
                <w:highlight w:val="none"/>
                <w:lang w:val="en-US" w:eastAsia="zh-CN"/>
              </w:rPr>
              <w:t>9000.00</w:t>
            </w:r>
            <w:r>
              <w:rPr>
                <w:rFonts w:hint="eastAsia" w:hAnsi="宋体" w:cs="宋体"/>
                <w:b/>
                <w:szCs w:val="24"/>
                <w:highlight w:val="none"/>
              </w:rPr>
              <w:t>）</w:t>
            </w:r>
          </w:p>
          <w:p>
            <w:pPr>
              <w:spacing w:line="360" w:lineRule="auto"/>
              <w:rPr>
                <w:rFonts w:hint="eastAsia" w:hAnsi="宋体" w:cs="宋体"/>
                <w:highlight w:val="none"/>
              </w:rPr>
            </w:pPr>
            <w:r>
              <w:rPr>
                <w:rFonts w:hint="eastAsia" w:hAnsi="宋体" w:cs="宋体"/>
                <w:highlight w:val="none"/>
              </w:rPr>
              <w:t>磋商保证金的有效期与磋商有效期一致。</w:t>
            </w:r>
          </w:p>
          <w:p>
            <w:pPr>
              <w:spacing w:line="360" w:lineRule="auto"/>
              <w:rPr>
                <w:rFonts w:hint="eastAsia" w:hAnsi="宋体" w:cs="宋体"/>
                <w:szCs w:val="24"/>
                <w:highlight w:val="none"/>
              </w:rPr>
            </w:pPr>
            <w:r>
              <w:rPr>
                <w:rFonts w:hint="eastAsia" w:hAnsi="宋体" w:cs="宋体"/>
                <w:highlight w:val="none"/>
              </w:rPr>
              <w:t>磋商保证金</w:t>
            </w:r>
            <w:r>
              <w:rPr>
                <w:rFonts w:hint="eastAsia" w:hAnsi="宋体" w:cs="宋体"/>
                <w:szCs w:val="24"/>
                <w:highlight w:val="none"/>
              </w:rPr>
              <w:t>的交纳形式：转账、电汇、担保机构保函。</w:t>
            </w:r>
          </w:p>
          <w:p>
            <w:pPr>
              <w:spacing w:line="360" w:lineRule="auto"/>
              <w:rPr>
                <w:rFonts w:hint="eastAsia" w:hAnsi="宋体" w:cs="宋体"/>
                <w:szCs w:val="24"/>
                <w:highlight w:val="none"/>
              </w:rPr>
            </w:pPr>
            <w:r>
              <w:rPr>
                <w:rFonts w:hint="eastAsia" w:hAnsi="宋体" w:cs="宋体"/>
                <w:szCs w:val="24"/>
                <w:highlight w:val="none"/>
              </w:rPr>
              <w:t>供应商以银行转账、电汇形式交纳磋商保证金的（</w:t>
            </w:r>
            <w:r>
              <w:rPr>
                <w:rFonts w:hint="eastAsia" w:hAnsi="宋体" w:cs="宋体"/>
                <w:b/>
                <w:szCs w:val="24"/>
                <w:highlight w:val="none"/>
              </w:rPr>
              <w:t>转账时请注明项目编号</w:t>
            </w:r>
            <w:r>
              <w:rPr>
                <w:rFonts w:hint="eastAsia" w:hAnsi="宋体" w:cs="宋体"/>
                <w:b/>
                <w:szCs w:val="24"/>
                <w:highlight w:val="none"/>
                <w:lang w:eastAsia="zh-CN"/>
              </w:rPr>
              <w:t>，包号</w:t>
            </w:r>
            <w:r>
              <w:rPr>
                <w:rFonts w:hint="eastAsia" w:hAnsi="宋体" w:cs="宋体"/>
                <w:szCs w:val="24"/>
                <w:highlight w:val="none"/>
              </w:rPr>
              <w:t>），磋商结束之后以转账形式退到供应商的基本账户。</w:t>
            </w:r>
          </w:p>
          <w:p>
            <w:pPr>
              <w:spacing w:line="360" w:lineRule="auto"/>
              <w:rPr>
                <w:rFonts w:hint="eastAsia" w:hAnsi="宋体" w:cs="宋体"/>
                <w:szCs w:val="24"/>
                <w:highlight w:val="none"/>
              </w:rPr>
            </w:pPr>
            <w:r>
              <w:rPr>
                <w:rFonts w:hint="eastAsia" w:hAnsi="宋体" w:cs="宋体"/>
                <w:szCs w:val="24"/>
                <w:highlight w:val="none"/>
              </w:rPr>
              <w:t>供应商以担保机构保函形式交纳磋商保证金的，在磋商响应文件递交截止时间前须将担保机构保函正本原件提交至招标代理机构备案，磋商结束之后将担保机构保函正本原件退回，有效期应当符合磋商文件规定。</w:t>
            </w:r>
          </w:p>
          <w:p>
            <w:pPr>
              <w:spacing w:line="360" w:lineRule="auto"/>
              <w:rPr>
                <w:rFonts w:hint="eastAsia" w:hAnsi="宋体" w:cs="宋体"/>
                <w:b w:val="0"/>
                <w:bCs/>
                <w:szCs w:val="24"/>
                <w:highlight w:val="none"/>
              </w:rPr>
            </w:pPr>
            <w:r>
              <w:rPr>
                <w:rFonts w:hint="eastAsia" w:hAnsi="宋体" w:cs="宋体"/>
                <w:szCs w:val="24"/>
                <w:highlight w:val="none"/>
              </w:rPr>
              <w:t>供应商以银行转账、电汇形式交纳磋商保证金的截止时间：</w:t>
            </w:r>
            <w:r>
              <w:rPr>
                <w:rFonts w:hint="eastAsia" w:hAnsi="宋体" w:cs="宋体"/>
                <w:b w:val="0"/>
                <w:bCs/>
                <w:szCs w:val="24"/>
                <w:highlight w:val="none"/>
              </w:rPr>
              <w:t>须在磋商文件递交截止时间前存入以下帐户。</w:t>
            </w:r>
          </w:p>
          <w:p>
            <w:pPr>
              <w:spacing w:line="360" w:lineRule="auto"/>
              <w:rPr>
                <w:rFonts w:hint="eastAsia" w:hAnsi="宋体" w:cs="宋体"/>
                <w:b/>
                <w:bCs/>
                <w:szCs w:val="24"/>
                <w:highlight w:val="none"/>
              </w:rPr>
            </w:pPr>
            <w:r>
              <w:rPr>
                <w:rFonts w:hint="eastAsia" w:hAnsi="宋体" w:cs="宋体"/>
                <w:b/>
                <w:bCs/>
                <w:szCs w:val="24"/>
                <w:highlight w:val="none"/>
              </w:rPr>
              <w:t>开户名称: 陕西至诚招标咨询有限公司</w:t>
            </w:r>
          </w:p>
          <w:p>
            <w:pPr>
              <w:spacing w:line="360" w:lineRule="auto"/>
              <w:rPr>
                <w:rFonts w:hint="eastAsia" w:hAnsi="宋体" w:cs="宋体"/>
                <w:b/>
                <w:bCs/>
                <w:szCs w:val="24"/>
                <w:highlight w:val="none"/>
              </w:rPr>
            </w:pPr>
            <w:r>
              <w:rPr>
                <w:rFonts w:hint="eastAsia" w:hAnsi="宋体" w:cs="宋体"/>
                <w:b/>
                <w:bCs/>
                <w:szCs w:val="24"/>
                <w:highlight w:val="none"/>
              </w:rPr>
              <w:t>开户行名称：中国建设银行股份有限公司西安高新技术产业开发区支行</w:t>
            </w:r>
          </w:p>
          <w:p>
            <w:pPr>
              <w:spacing w:line="360" w:lineRule="auto"/>
              <w:rPr>
                <w:rFonts w:hint="eastAsia" w:hAnsi="宋体" w:cs="宋体"/>
                <w:b/>
                <w:bCs/>
                <w:szCs w:val="24"/>
                <w:highlight w:val="none"/>
              </w:rPr>
            </w:pPr>
            <w:r>
              <w:rPr>
                <w:rFonts w:hint="eastAsia" w:hAnsi="宋体" w:cs="宋体"/>
                <w:b/>
                <w:bCs/>
                <w:szCs w:val="24"/>
                <w:highlight w:val="none"/>
              </w:rPr>
              <w:t>账号：61050192090000002152。</w:t>
            </w:r>
          </w:p>
          <w:p>
            <w:pPr>
              <w:spacing w:line="360" w:lineRule="auto"/>
              <w:rPr>
                <w:rFonts w:hint="eastAsia" w:hAnsi="宋体" w:cs="宋体"/>
                <w:szCs w:val="24"/>
                <w:highlight w:val="none"/>
              </w:rPr>
            </w:pPr>
            <w:r>
              <w:rPr>
                <w:rFonts w:hint="eastAsia" w:hAnsi="宋体" w:cs="宋体"/>
                <w:b/>
                <w:bCs w:val="0"/>
                <w:szCs w:val="22"/>
                <w:highlight w:val="none"/>
                <w:lang w:eastAsia="zh-CN"/>
              </w:rPr>
              <w:t>注：</w:t>
            </w:r>
            <w:r>
              <w:rPr>
                <w:rFonts w:hint="eastAsia" w:hAnsi="宋体" w:cs="宋体"/>
                <w:b/>
                <w:bCs w:val="0"/>
                <w:szCs w:val="22"/>
                <w:highlight w:val="none"/>
              </w:rPr>
              <w:t>磋商保证金到达招</w:t>
            </w:r>
            <w:r>
              <w:rPr>
                <w:rFonts w:hint="eastAsia" w:hAnsi="宋体" w:cs="宋体"/>
                <w:b/>
                <w:bCs w:val="0"/>
                <w:highlight w:val="none"/>
              </w:rPr>
              <w:t>标代理机构指定账户后，供应商须与</w:t>
            </w:r>
            <w:r>
              <w:rPr>
                <w:rFonts w:hint="eastAsia" w:hAnsi="宋体" w:cs="宋体"/>
                <w:b/>
                <w:bCs w:val="0"/>
                <w:highlight w:val="none"/>
                <w:lang w:eastAsia="zh-CN"/>
              </w:rPr>
              <w:t>陕西至诚招标咨询有限公司</w:t>
            </w:r>
            <w:r>
              <w:rPr>
                <w:rFonts w:hint="eastAsia" w:hAnsi="宋体" w:cs="宋体"/>
                <w:b/>
                <w:bCs w:val="0"/>
                <w:highlight w:val="none"/>
              </w:rPr>
              <w:t>财务部联系确认到账后（联系电话：</w:t>
            </w:r>
            <w:r>
              <w:rPr>
                <w:rFonts w:hint="eastAsia" w:hAnsi="宋体" w:cs="宋体"/>
                <w:b/>
                <w:bCs w:val="0"/>
                <w:highlight w:val="none"/>
                <w:lang w:eastAsia="zh-CN"/>
              </w:rPr>
              <w:t>029-88219779</w:t>
            </w:r>
            <w:r>
              <w:rPr>
                <w:rFonts w:hint="eastAsia" w:hAnsi="宋体" w:cs="宋体"/>
                <w:b/>
                <w:bCs w:val="0"/>
                <w:highlight w:val="none"/>
              </w:rPr>
              <w:t>），将保证金转账凭证复印件或担保机构出具的保函正本复印件粘贴于磋商文件规定处。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68" w:type="dxa"/>
            <w:noWrap w:val="0"/>
            <w:vAlign w:val="center"/>
          </w:tcPr>
          <w:p>
            <w:pPr>
              <w:spacing w:line="360" w:lineRule="auto"/>
              <w:jc w:val="center"/>
              <w:rPr>
                <w:szCs w:val="24"/>
                <w:highlight w:val="none"/>
              </w:rPr>
            </w:pPr>
            <w:r>
              <w:rPr>
                <w:rFonts w:hint="eastAsia"/>
                <w:szCs w:val="24"/>
                <w:highlight w:val="none"/>
              </w:rPr>
              <w:t>8</w:t>
            </w:r>
          </w:p>
        </w:tc>
        <w:tc>
          <w:tcPr>
            <w:tcW w:w="1019" w:type="dxa"/>
            <w:noWrap w:val="0"/>
            <w:vAlign w:val="center"/>
          </w:tcPr>
          <w:p>
            <w:pPr>
              <w:spacing w:line="360" w:lineRule="auto"/>
              <w:jc w:val="center"/>
              <w:rPr>
                <w:szCs w:val="24"/>
                <w:highlight w:val="none"/>
              </w:rPr>
            </w:pPr>
            <w:r>
              <w:rPr>
                <w:szCs w:val="24"/>
                <w:highlight w:val="none"/>
              </w:rPr>
              <w:t>15.1</w:t>
            </w:r>
          </w:p>
        </w:tc>
        <w:tc>
          <w:tcPr>
            <w:tcW w:w="8137" w:type="dxa"/>
            <w:noWrap w:val="0"/>
            <w:vAlign w:val="center"/>
          </w:tcPr>
          <w:p>
            <w:pPr>
              <w:spacing w:line="360" w:lineRule="auto"/>
              <w:rPr>
                <w:rFonts w:hint="eastAsia" w:hAnsi="宋体" w:cs="宋体"/>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68" w:type="dxa"/>
            <w:noWrap w:val="0"/>
            <w:vAlign w:val="center"/>
          </w:tcPr>
          <w:p>
            <w:pPr>
              <w:spacing w:line="360" w:lineRule="auto"/>
              <w:jc w:val="center"/>
              <w:rPr>
                <w:szCs w:val="24"/>
                <w:highlight w:val="none"/>
              </w:rPr>
            </w:pPr>
            <w:r>
              <w:rPr>
                <w:rFonts w:hint="eastAsia"/>
                <w:szCs w:val="24"/>
                <w:highlight w:val="none"/>
              </w:rPr>
              <w:t>9</w:t>
            </w:r>
          </w:p>
        </w:tc>
        <w:tc>
          <w:tcPr>
            <w:tcW w:w="1019" w:type="dxa"/>
            <w:noWrap w:val="0"/>
            <w:vAlign w:val="center"/>
          </w:tcPr>
          <w:p>
            <w:pPr>
              <w:spacing w:after="120" w:afterLines="50" w:line="360" w:lineRule="auto"/>
              <w:jc w:val="center"/>
              <w:rPr>
                <w:szCs w:val="24"/>
                <w:highlight w:val="none"/>
              </w:rPr>
            </w:pPr>
            <w:r>
              <w:rPr>
                <w:szCs w:val="24"/>
                <w:highlight w:val="none"/>
              </w:rPr>
              <w:t>16.1</w:t>
            </w:r>
          </w:p>
        </w:tc>
        <w:tc>
          <w:tcPr>
            <w:tcW w:w="8137" w:type="dxa"/>
            <w:noWrap w:val="0"/>
            <w:vAlign w:val="center"/>
          </w:tcPr>
          <w:p>
            <w:pPr>
              <w:spacing w:line="360" w:lineRule="auto"/>
              <w:rPr>
                <w:rFonts w:hint="eastAsia" w:hAnsi="宋体" w:cs="宋体"/>
                <w:szCs w:val="24"/>
                <w:highlight w:val="none"/>
              </w:rPr>
            </w:pPr>
            <w:r>
              <w:rPr>
                <w:rFonts w:hint="eastAsia" w:hAnsi="宋体" w:cs="宋体"/>
                <w:szCs w:val="24"/>
                <w:highlight w:val="none"/>
              </w:rPr>
              <w:t>正本的份数：壹份；副本的份数：贰份；报价一览表：壹份；同时提供与正本内容一致的电子版（U盘</w:t>
            </w:r>
            <w:r>
              <w:rPr>
                <w:rFonts w:hint="eastAsia" w:hAnsi="宋体" w:cs="宋体"/>
                <w:szCs w:val="24"/>
                <w:highlight w:val="none"/>
                <w:lang w:eastAsia="zh-CN"/>
              </w:rPr>
              <w:t>或光盘</w:t>
            </w:r>
            <w:bookmarkStart w:id="114" w:name="_GoBack"/>
            <w:bookmarkEnd w:id="114"/>
            <w:r>
              <w:rPr>
                <w:rFonts w:hint="eastAsia" w:hAnsi="宋体" w:cs="宋体"/>
                <w:szCs w:val="24"/>
                <w:highlight w:val="none"/>
              </w:rPr>
              <w:t>）</w:t>
            </w:r>
            <w:r>
              <w:rPr>
                <w:rFonts w:hint="eastAsia" w:hAnsi="宋体" w:cs="宋体"/>
                <w:szCs w:val="24"/>
                <w:highlight w:val="none"/>
                <w:lang w:eastAsia="zh-CN"/>
              </w:rPr>
              <w:t>壹</w:t>
            </w:r>
            <w:r>
              <w:rPr>
                <w:rFonts w:hint="eastAsia" w:hAnsi="宋体" w:cs="宋体"/>
                <w:szCs w:val="24"/>
                <w:highlight w:val="none"/>
              </w:rPr>
              <w:t>份，并在盘面标注供应商全称、项目名称、编号；磋商响应文件装订要求：胶装。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68" w:type="dxa"/>
            <w:noWrap w:val="0"/>
            <w:vAlign w:val="center"/>
          </w:tcPr>
          <w:p>
            <w:pPr>
              <w:spacing w:after="120" w:afterLines="50" w:line="360" w:lineRule="auto"/>
              <w:jc w:val="center"/>
              <w:rPr>
                <w:szCs w:val="24"/>
                <w:highlight w:val="none"/>
              </w:rPr>
            </w:pPr>
            <w:r>
              <w:rPr>
                <w:rFonts w:hint="eastAsia"/>
                <w:szCs w:val="24"/>
                <w:highlight w:val="none"/>
              </w:rPr>
              <w:t>10</w:t>
            </w:r>
          </w:p>
        </w:tc>
        <w:tc>
          <w:tcPr>
            <w:tcW w:w="1019" w:type="dxa"/>
            <w:noWrap w:val="0"/>
            <w:vAlign w:val="center"/>
          </w:tcPr>
          <w:p>
            <w:pPr>
              <w:spacing w:after="120" w:afterLines="50" w:line="360" w:lineRule="auto"/>
              <w:jc w:val="center"/>
              <w:rPr>
                <w:szCs w:val="24"/>
                <w:highlight w:val="none"/>
              </w:rPr>
            </w:pPr>
            <w:r>
              <w:rPr>
                <w:rFonts w:hint="eastAsia"/>
                <w:szCs w:val="24"/>
                <w:highlight w:val="none"/>
              </w:rPr>
              <w:t>17.2</w:t>
            </w:r>
          </w:p>
        </w:tc>
        <w:tc>
          <w:tcPr>
            <w:tcW w:w="8137" w:type="dxa"/>
            <w:noWrap w:val="0"/>
            <w:vAlign w:val="center"/>
          </w:tcPr>
          <w:p>
            <w:pPr>
              <w:spacing w:line="360" w:lineRule="auto"/>
              <w:rPr>
                <w:rFonts w:hint="eastAsia" w:hAnsi="宋体" w:cs="宋体"/>
                <w:szCs w:val="24"/>
                <w:highlight w:val="none"/>
              </w:rPr>
            </w:pPr>
            <w:r>
              <w:rPr>
                <w:rFonts w:hint="eastAsia" w:hAnsi="宋体" w:cs="宋体"/>
                <w:szCs w:val="24"/>
                <w:highlight w:val="none"/>
              </w:rPr>
              <w:t>磋商响应单位应将竞争性磋商响应文件正本、所有的副本、电子版本、报价一览表、分开密封装在单独的封袋中（封袋不得有破损），且在封袋正面标明“正本”“副本”“电子版本”“报价一览表”字样。封袋应加贴封条，并在封线处加盖供应商鲜章，封袋正面要粘贴供应商全称、项目名称、编号</w:t>
            </w:r>
            <w:r>
              <w:rPr>
                <w:rFonts w:hint="eastAsia" w:hAnsi="宋体" w:cs="宋体"/>
                <w:szCs w:val="24"/>
                <w:highlight w:val="none"/>
                <w:lang w:eastAsia="zh-CN"/>
              </w:rPr>
              <w:t>、包号</w:t>
            </w:r>
            <w:r>
              <w:rPr>
                <w:rFonts w:hint="eastAsia" w:hAnsi="宋体" w:cs="宋体"/>
                <w:szCs w:val="24"/>
                <w:highlight w:val="none"/>
              </w:rPr>
              <w:t>等标识。</w:t>
            </w:r>
          </w:p>
          <w:p>
            <w:pPr>
              <w:spacing w:line="360" w:lineRule="auto"/>
              <w:rPr>
                <w:rFonts w:hint="eastAsia" w:hAnsi="宋体" w:cs="宋体"/>
                <w:szCs w:val="24"/>
                <w:highlight w:val="none"/>
              </w:rPr>
            </w:pPr>
            <w:r>
              <w:rPr>
                <w:rFonts w:hint="eastAsia" w:hAnsi="宋体" w:cs="宋体"/>
                <w:szCs w:val="24"/>
                <w:highlight w:val="none"/>
              </w:rPr>
              <w:t>外层包装请按以下要求标记：</w:t>
            </w:r>
          </w:p>
          <w:p>
            <w:pPr>
              <w:spacing w:line="360" w:lineRule="auto"/>
              <w:rPr>
                <w:rFonts w:hint="eastAsia" w:hAnsi="宋体" w:cs="宋体"/>
                <w:szCs w:val="24"/>
                <w:highlight w:val="none"/>
              </w:rPr>
            </w:pPr>
            <w:r>
              <w:rPr>
                <w:rFonts w:hint="eastAsia" w:hAnsi="宋体" w:cs="宋体"/>
                <w:szCs w:val="24"/>
                <w:highlight w:val="none"/>
              </w:rPr>
              <w:t>1) 磋商响应单位的全称；</w:t>
            </w:r>
          </w:p>
          <w:p>
            <w:pPr>
              <w:spacing w:line="360" w:lineRule="auto"/>
              <w:rPr>
                <w:rFonts w:hint="eastAsia" w:hAnsi="宋体" w:cs="宋体"/>
                <w:szCs w:val="24"/>
                <w:highlight w:val="none"/>
              </w:rPr>
            </w:pPr>
            <w:r>
              <w:rPr>
                <w:rFonts w:hint="eastAsia" w:hAnsi="宋体" w:cs="宋体"/>
                <w:szCs w:val="24"/>
                <w:highlight w:val="none"/>
              </w:rPr>
              <w:t>2) 磋商项目名称、项目编号</w:t>
            </w:r>
            <w:r>
              <w:rPr>
                <w:rFonts w:hint="eastAsia" w:hAnsi="宋体" w:cs="宋体"/>
                <w:szCs w:val="24"/>
                <w:highlight w:val="none"/>
                <w:lang w:eastAsia="zh-CN"/>
              </w:rPr>
              <w:t>、包号</w:t>
            </w:r>
            <w:r>
              <w:rPr>
                <w:rFonts w:hint="eastAsia" w:hAnsi="宋体" w:cs="宋体"/>
                <w:szCs w:val="24"/>
                <w:highlight w:val="none"/>
              </w:rPr>
              <w:t>；</w:t>
            </w:r>
          </w:p>
          <w:p>
            <w:pPr>
              <w:spacing w:line="360" w:lineRule="auto"/>
              <w:rPr>
                <w:rFonts w:hint="eastAsia" w:hAnsi="宋体" w:cs="宋体"/>
                <w:szCs w:val="24"/>
                <w:highlight w:val="none"/>
              </w:rPr>
            </w:pPr>
            <w:r>
              <w:rPr>
                <w:rFonts w:hint="eastAsia" w:hAnsi="宋体" w:cs="宋体"/>
                <w:szCs w:val="24"/>
                <w:highlight w:val="none"/>
              </w:rPr>
              <w:t>3）正本或副本、电子版、报价一览表“请勿在</w:t>
            </w:r>
            <w:r>
              <w:rPr>
                <w:rFonts w:hint="eastAsia" w:hAnsi="宋体" w:cs="宋体"/>
                <w:szCs w:val="24"/>
                <w:highlight w:val="none"/>
                <w:u w:val="single"/>
              </w:rPr>
              <w:t>＿＿＿＿＿</w:t>
            </w:r>
            <w:r>
              <w:rPr>
                <w:rFonts w:hint="eastAsia" w:hAnsi="宋体" w:cs="宋体"/>
                <w:szCs w:val="24"/>
                <w:highlight w:val="none"/>
              </w:rPr>
              <w:t>(磋商时间)之前启封”。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68" w:type="dxa"/>
            <w:noWrap w:val="0"/>
            <w:vAlign w:val="center"/>
          </w:tcPr>
          <w:p>
            <w:pPr>
              <w:spacing w:after="120" w:afterLines="50" w:line="360" w:lineRule="auto"/>
              <w:jc w:val="center"/>
              <w:rPr>
                <w:szCs w:val="24"/>
                <w:highlight w:val="none"/>
              </w:rPr>
            </w:pPr>
            <w:r>
              <w:rPr>
                <w:rFonts w:hint="eastAsia"/>
                <w:szCs w:val="24"/>
                <w:highlight w:val="none"/>
              </w:rPr>
              <w:t>11</w:t>
            </w:r>
          </w:p>
        </w:tc>
        <w:tc>
          <w:tcPr>
            <w:tcW w:w="1019" w:type="dxa"/>
            <w:noWrap w:val="0"/>
            <w:vAlign w:val="center"/>
          </w:tcPr>
          <w:p>
            <w:pPr>
              <w:spacing w:after="120" w:afterLines="50" w:line="360" w:lineRule="auto"/>
              <w:jc w:val="center"/>
              <w:rPr>
                <w:szCs w:val="24"/>
                <w:highlight w:val="none"/>
              </w:rPr>
            </w:pPr>
            <w:r>
              <w:rPr>
                <w:rFonts w:hint="eastAsia"/>
                <w:szCs w:val="24"/>
                <w:highlight w:val="none"/>
              </w:rPr>
              <w:t>18.1</w:t>
            </w:r>
          </w:p>
        </w:tc>
        <w:tc>
          <w:tcPr>
            <w:tcW w:w="8137" w:type="dxa"/>
            <w:noWrap w:val="0"/>
            <w:vAlign w:val="top"/>
          </w:tcPr>
          <w:p>
            <w:pPr>
              <w:spacing w:line="360" w:lineRule="auto"/>
              <w:rPr>
                <w:rFonts w:hint="eastAsia" w:hAnsi="宋体" w:cs="宋体"/>
                <w:szCs w:val="24"/>
                <w:highlight w:val="none"/>
              </w:rPr>
            </w:pPr>
            <w:r>
              <w:rPr>
                <w:rFonts w:hint="eastAsia" w:hAnsi="宋体" w:cs="宋体"/>
                <w:szCs w:val="24"/>
                <w:highlight w:val="none"/>
              </w:rPr>
              <w:t>磋商响应文件递交截止时间：20</w:t>
            </w:r>
            <w:r>
              <w:rPr>
                <w:rFonts w:hint="eastAsia" w:hAnsi="宋体" w:cs="宋体"/>
                <w:szCs w:val="24"/>
                <w:highlight w:val="none"/>
                <w:lang w:val="en-US" w:eastAsia="zh-CN"/>
              </w:rPr>
              <w:t>22</w:t>
            </w:r>
            <w:r>
              <w:rPr>
                <w:rFonts w:hint="eastAsia" w:hAnsi="宋体" w:cs="宋体"/>
                <w:szCs w:val="24"/>
                <w:highlight w:val="none"/>
              </w:rPr>
              <w:t>年</w:t>
            </w:r>
            <w:r>
              <w:rPr>
                <w:rFonts w:hint="eastAsia" w:hAnsi="宋体" w:cs="宋体"/>
                <w:szCs w:val="24"/>
                <w:highlight w:val="none"/>
                <w:lang w:val="en-US" w:eastAsia="zh-CN"/>
              </w:rPr>
              <w:t>05</w:t>
            </w:r>
            <w:r>
              <w:rPr>
                <w:rFonts w:hint="eastAsia" w:hAnsi="宋体" w:cs="宋体"/>
                <w:szCs w:val="24"/>
                <w:highlight w:val="none"/>
              </w:rPr>
              <w:t>月</w:t>
            </w:r>
            <w:r>
              <w:rPr>
                <w:rFonts w:hint="eastAsia" w:hAnsi="宋体" w:cs="宋体"/>
                <w:szCs w:val="24"/>
                <w:highlight w:val="none"/>
                <w:lang w:val="en-US" w:eastAsia="zh-CN"/>
              </w:rPr>
              <w:t>30</w:t>
            </w:r>
            <w:r>
              <w:rPr>
                <w:rFonts w:hint="eastAsia" w:hAnsi="宋体" w:cs="宋体"/>
                <w:szCs w:val="24"/>
                <w:highlight w:val="none"/>
              </w:rPr>
              <w:t>日1</w:t>
            </w:r>
            <w:r>
              <w:rPr>
                <w:rFonts w:hint="eastAsia" w:hAnsi="宋体" w:cs="宋体"/>
                <w:szCs w:val="24"/>
                <w:highlight w:val="none"/>
                <w:lang w:val="en-US" w:eastAsia="zh-CN"/>
              </w:rPr>
              <w:t>4</w:t>
            </w:r>
            <w:r>
              <w:rPr>
                <w:rFonts w:hint="eastAsia" w:hAnsi="宋体" w:cs="宋体"/>
                <w:szCs w:val="24"/>
                <w:highlight w:val="none"/>
              </w:rPr>
              <w:t>：</w:t>
            </w:r>
            <w:r>
              <w:rPr>
                <w:rFonts w:hint="eastAsia" w:hAnsi="宋体" w:cs="宋体"/>
                <w:szCs w:val="24"/>
                <w:highlight w:val="none"/>
                <w:lang w:val="en-US" w:eastAsia="zh-CN"/>
              </w:rPr>
              <w:t>3</w:t>
            </w:r>
            <w:r>
              <w:rPr>
                <w:rFonts w:hint="eastAsia" w:hAnsi="宋体" w:cs="宋体"/>
                <w:szCs w:val="24"/>
                <w:highlight w:val="none"/>
              </w:rPr>
              <w:t>0</w:t>
            </w:r>
            <w:r>
              <w:rPr>
                <w:rFonts w:hint="eastAsia" w:hAnsi="宋体" w:cs="宋体"/>
                <w:szCs w:val="24"/>
                <w:highlight w:val="none"/>
                <w:lang w:eastAsia="zh-CN"/>
              </w:rPr>
              <w:t>分</w:t>
            </w:r>
            <w:r>
              <w:rPr>
                <w:rFonts w:hint="eastAsia" w:hAnsi="宋体" w:cs="宋体"/>
                <w:szCs w:val="24"/>
                <w:highlight w:val="none"/>
              </w:rPr>
              <w:t>(北京时间)</w:t>
            </w:r>
          </w:p>
          <w:p>
            <w:pPr>
              <w:spacing w:line="360" w:lineRule="auto"/>
              <w:jc w:val="left"/>
              <w:rPr>
                <w:rFonts w:hint="eastAsia" w:hAnsi="宋体" w:cs="宋体"/>
                <w:szCs w:val="24"/>
                <w:highlight w:val="none"/>
              </w:rPr>
            </w:pPr>
            <w:r>
              <w:rPr>
                <w:rFonts w:hint="eastAsia" w:hAnsi="宋体" w:cs="宋体"/>
                <w:szCs w:val="24"/>
                <w:highlight w:val="none"/>
              </w:rPr>
              <w:t>磋商响应文件递交地址：</w:t>
            </w:r>
            <w:r>
              <w:rPr>
                <w:rFonts w:hint="eastAsia" w:hAnsi="宋体" w:cs="宋体"/>
                <w:szCs w:val="24"/>
                <w:highlight w:val="none"/>
                <w:lang w:eastAsia="zh-CN"/>
              </w:rPr>
              <w:t>陕西省西安市高新区高新路25号瑞欣大厦6楼A开标室</w:t>
            </w:r>
            <w:r>
              <w:rPr>
                <w:rFonts w:hint="eastAsia" w:hAnsi="宋体" w:cs="宋体"/>
                <w:szCs w:val="24"/>
                <w:highlight w:val="none"/>
              </w:rPr>
              <w:t>。</w:t>
            </w:r>
          </w:p>
          <w:p>
            <w:pPr>
              <w:spacing w:line="360" w:lineRule="auto"/>
              <w:rPr>
                <w:rFonts w:hint="eastAsia" w:hAnsi="宋体" w:eastAsia="宋体" w:cs="宋体"/>
                <w:szCs w:val="24"/>
                <w:highlight w:val="none"/>
                <w:lang w:val="en-US" w:eastAsia="zh-CN"/>
              </w:rPr>
            </w:pPr>
            <w:r>
              <w:rPr>
                <w:rFonts w:hint="eastAsia" w:hAnsi="宋体" w:cs="宋体"/>
                <w:szCs w:val="24"/>
                <w:highlight w:val="none"/>
              </w:rPr>
              <w:t>磋商响应文件接收人：</w:t>
            </w:r>
            <w:r>
              <w:rPr>
                <w:rFonts w:hint="eastAsia" w:hAnsi="宋体" w:cs="宋体"/>
                <w:szCs w:val="24"/>
                <w:highlight w:val="none"/>
                <w:lang w:eastAsia="zh-CN"/>
              </w:rPr>
              <w:t>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68" w:type="dxa"/>
            <w:noWrap w:val="0"/>
            <w:vAlign w:val="center"/>
          </w:tcPr>
          <w:p>
            <w:pPr>
              <w:spacing w:after="120" w:afterLines="50" w:line="360" w:lineRule="auto"/>
              <w:jc w:val="center"/>
              <w:rPr>
                <w:szCs w:val="24"/>
                <w:highlight w:val="none"/>
              </w:rPr>
            </w:pPr>
            <w:r>
              <w:rPr>
                <w:rFonts w:hint="eastAsia"/>
                <w:szCs w:val="24"/>
                <w:highlight w:val="none"/>
              </w:rPr>
              <w:t>12</w:t>
            </w:r>
          </w:p>
        </w:tc>
        <w:tc>
          <w:tcPr>
            <w:tcW w:w="1019" w:type="dxa"/>
            <w:noWrap w:val="0"/>
            <w:vAlign w:val="center"/>
          </w:tcPr>
          <w:p>
            <w:pPr>
              <w:spacing w:after="120" w:afterLines="50" w:line="360" w:lineRule="auto"/>
              <w:jc w:val="center"/>
              <w:rPr>
                <w:szCs w:val="24"/>
                <w:highlight w:val="none"/>
              </w:rPr>
            </w:pPr>
            <w:r>
              <w:rPr>
                <w:szCs w:val="24"/>
                <w:highlight w:val="none"/>
              </w:rPr>
              <w:t>21.1</w:t>
            </w:r>
          </w:p>
        </w:tc>
        <w:tc>
          <w:tcPr>
            <w:tcW w:w="8137" w:type="dxa"/>
            <w:noWrap w:val="0"/>
            <w:vAlign w:val="center"/>
          </w:tcPr>
          <w:p>
            <w:pPr>
              <w:spacing w:line="360" w:lineRule="auto"/>
              <w:rPr>
                <w:rFonts w:hint="eastAsia" w:hAnsi="宋体" w:cs="宋体"/>
                <w:szCs w:val="24"/>
                <w:highlight w:val="none"/>
              </w:rPr>
            </w:pPr>
            <w:r>
              <w:rPr>
                <w:rFonts w:hint="eastAsia" w:hAnsi="宋体" w:cs="宋体"/>
                <w:szCs w:val="24"/>
                <w:highlight w:val="none"/>
              </w:rPr>
              <w:t>磋商时间：20</w:t>
            </w:r>
            <w:r>
              <w:rPr>
                <w:rFonts w:hint="eastAsia" w:hAnsi="宋体" w:cs="宋体"/>
                <w:szCs w:val="24"/>
                <w:highlight w:val="none"/>
                <w:lang w:val="en-US" w:eastAsia="zh-CN"/>
              </w:rPr>
              <w:t>22</w:t>
            </w:r>
            <w:r>
              <w:rPr>
                <w:rFonts w:hint="eastAsia" w:hAnsi="宋体" w:cs="宋体"/>
                <w:szCs w:val="24"/>
                <w:highlight w:val="none"/>
              </w:rPr>
              <w:t>年</w:t>
            </w:r>
            <w:r>
              <w:rPr>
                <w:rFonts w:hint="eastAsia" w:hAnsi="宋体" w:cs="宋体"/>
                <w:szCs w:val="24"/>
                <w:highlight w:val="none"/>
                <w:lang w:val="en-US" w:eastAsia="zh-CN"/>
              </w:rPr>
              <w:t>05</w:t>
            </w:r>
            <w:r>
              <w:rPr>
                <w:rFonts w:hint="eastAsia" w:hAnsi="宋体" w:cs="宋体"/>
                <w:szCs w:val="24"/>
                <w:highlight w:val="none"/>
              </w:rPr>
              <w:t>月</w:t>
            </w:r>
            <w:r>
              <w:rPr>
                <w:rFonts w:hint="eastAsia" w:hAnsi="宋体" w:cs="宋体"/>
                <w:szCs w:val="24"/>
                <w:highlight w:val="none"/>
                <w:lang w:val="en-US" w:eastAsia="zh-CN"/>
              </w:rPr>
              <w:t>30</w:t>
            </w:r>
            <w:r>
              <w:rPr>
                <w:rFonts w:hint="eastAsia" w:hAnsi="宋体" w:cs="宋体"/>
                <w:szCs w:val="24"/>
                <w:highlight w:val="none"/>
              </w:rPr>
              <w:t>日1</w:t>
            </w:r>
            <w:r>
              <w:rPr>
                <w:rFonts w:hint="eastAsia" w:hAnsi="宋体" w:cs="宋体"/>
                <w:szCs w:val="24"/>
                <w:highlight w:val="none"/>
                <w:lang w:val="en-US" w:eastAsia="zh-CN"/>
              </w:rPr>
              <w:t>4</w:t>
            </w:r>
            <w:r>
              <w:rPr>
                <w:rFonts w:hint="eastAsia" w:hAnsi="宋体" w:cs="宋体"/>
                <w:szCs w:val="24"/>
                <w:highlight w:val="none"/>
              </w:rPr>
              <w:t>：</w:t>
            </w:r>
            <w:r>
              <w:rPr>
                <w:rFonts w:hint="eastAsia" w:hAnsi="宋体" w:cs="宋体"/>
                <w:szCs w:val="24"/>
                <w:highlight w:val="none"/>
                <w:lang w:val="en-US" w:eastAsia="zh-CN"/>
              </w:rPr>
              <w:t>3</w:t>
            </w:r>
            <w:r>
              <w:rPr>
                <w:rFonts w:hint="eastAsia" w:hAnsi="宋体" w:cs="宋体"/>
                <w:szCs w:val="24"/>
                <w:highlight w:val="none"/>
              </w:rPr>
              <w:t>0</w:t>
            </w:r>
            <w:r>
              <w:rPr>
                <w:rFonts w:hint="eastAsia" w:hAnsi="宋体" w:cs="宋体"/>
                <w:szCs w:val="24"/>
                <w:highlight w:val="none"/>
                <w:lang w:eastAsia="zh-CN"/>
              </w:rPr>
              <w:t>分</w:t>
            </w:r>
            <w:r>
              <w:rPr>
                <w:rFonts w:hint="eastAsia" w:hAnsi="宋体" w:cs="宋体"/>
                <w:szCs w:val="24"/>
                <w:highlight w:val="none"/>
              </w:rPr>
              <w:t>(北京时间)</w:t>
            </w:r>
          </w:p>
          <w:p>
            <w:pPr>
              <w:spacing w:line="360" w:lineRule="auto"/>
              <w:rPr>
                <w:rFonts w:hint="eastAsia" w:hAnsi="宋体" w:cs="宋体"/>
                <w:szCs w:val="24"/>
                <w:highlight w:val="none"/>
              </w:rPr>
            </w:pPr>
            <w:r>
              <w:rPr>
                <w:rFonts w:hint="eastAsia" w:hAnsi="宋体" w:cs="宋体"/>
                <w:szCs w:val="24"/>
                <w:highlight w:val="none"/>
              </w:rPr>
              <w:t>磋商地点：</w:t>
            </w:r>
            <w:r>
              <w:rPr>
                <w:rFonts w:hint="eastAsia" w:hAnsi="宋体" w:cs="宋体"/>
                <w:szCs w:val="24"/>
                <w:highlight w:val="none"/>
                <w:lang w:eastAsia="zh-CN"/>
              </w:rPr>
              <w:t>陕西省西安市高新区高新路25号瑞欣大厦6楼A开标室</w:t>
            </w:r>
            <w:r>
              <w:rPr>
                <w:rFonts w:hint="eastAsia" w:hAnsi="宋体" w:cs="宋体"/>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568" w:type="dxa"/>
            <w:noWrap w:val="0"/>
            <w:vAlign w:val="center"/>
          </w:tcPr>
          <w:p>
            <w:pPr>
              <w:spacing w:after="120" w:afterLines="50" w:line="360" w:lineRule="auto"/>
              <w:jc w:val="center"/>
              <w:rPr>
                <w:rFonts w:hint="eastAsia"/>
                <w:szCs w:val="24"/>
                <w:highlight w:val="none"/>
              </w:rPr>
            </w:pPr>
            <w:r>
              <w:rPr>
                <w:rFonts w:hint="eastAsia"/>
                <w:szCs w:val="24"/>
                <w:highlight w:val="none"/>
              </w:rPr>
              <w:t>13</w:t>
            </w:r>
          </w:p>
        </w:tc>
        <w:tc>
          <w:tcPr>
            <w:tcW w:w="1019" w:type="dxa"/>
            <w:noWrap w:val="0"/>
            <w:vAlign w:val="center"/>
          </w:tcPr>
          <w:p>
            <w:pPr>
              <w:spacing w:after="120" w:afterLines="50" w:line="360" w:lineRule="auto"/>
              <w:jc w:val="center"/>
              <w:rPr>
                <w:rFonts w:hint="eastAsia"/>
                <w:szCs w:val="24"/>
                <w:highlight w:val="none"/>
              </w:rPr>
            </w:pPr>
            <w:r>
              <w:rPr>
                <w:rFonts w:hint="eastAsia"/>
                <w:szCs w:val="24"/>
                <w:highlight w:val="none"/>
              </w:rPr>
              <w:t>24.1</w:t>
            </w:r>
          </w:p>
        </w:tc>
        <w:tc>
          <w:tcPr>
            <w:tcW w:w="8137" w:type="dxa"/>
            <w:noWrap w:val="0"/>
            <w:vAlign w:val="center"/>
          </w:tcPr>
          <w:p>
            <w:pPr>
              <w:spacing w:line="360" w:lineRule="auto"/>
              <w:jc w:val="left"/>
              <w:rPr>
                <w:rFonts w:hint="eastAsia" w:hAnsi="宋体" w:cs="宋体"/>
                <w:szCs w:val="24"/>
                <w:highlight w:val="none"/>
              </w:rPr>
            </w:pPr>
            <w:r>
              <w:rPr>
                <w:rFonts w:hint="eastAsia" w:hAnsi="宋体" w:cs="宋体"/>
                <w:b/>
                <w:bCs/>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7" w:hRule="atLeast"/>
          <w:jc w:val="center"/>
        </w:trPr>
        <w:tc>
          <w:tcPr>
            <w:tcW w:w="568" w:type="dxa"/>
            <w:noWrap w:val="0"/>
            <w:vAlign w:val="center"/>
          </w:tcPr>
          <w:p>
            <w:pPr>
              <w:spacing w:after="120" w:afterLines="50" w:line="360" w:lineRule="auto"/>
              <w:jc w:val="center"/>
              <w:rPr>
                <w:rFonts w:hint="eastAsia"/>
                <w:szCs w:val="24"/>
                <w:highlight w:val="none"/>
              </w:rPr>
            </w:pPr>
            <w:r>
              <w:rPr>
                <w:rFonts w:hint="eastAsia"/>
                <w:szCs w:val="24"/>
                <w:highlight w:val="none"/>
              </w:rPr>
              <w:t>14</w:t>
            </w:r>
          </w:p>
        </w:tc>
        <w:tc>
          <w:tcPr>
            <w:tcW w:w="1019" w:type="dxa"/>
            <w:noWrap w:val="0"/>
            <w:vAlign w:val="center"/>
          </w:tcPr>
          <w:p>
            <w:pPr>
              <w:spacing w:after="120" w:afterLines="50" w:line="360" w:lineRule="auto"/>
              <w:jc w:val="center"/>
              <w:rPr>
                <w:rFonts w:hint="eastAsia"/>
                <w:szCs w:val="24"/>
                <w:highlight w:val="none"/>
              </w:rPr>
            </w:pPr>
            <w:r>
              <w:rPr>
                <w:rFonts w:hint="eastAsia"/>
                <w:szCs w:val="24"/>
                <w:highlight w:val="none"/>
              </w:rPr>
              <w:t>29</w:t>
            </w:r>
          </w:p>
        </w:tc>
        <w:tc>
          <w:tcPr>
            <w:tcW w:w="8137" w:type="dxa"/>
            <w:noWrap w:val="0"/>
            <w:vAlign w:val="center"/>
          </w:tcPr>
          <w:p>
            <w:pPr>
              <w:spacing w:line="360" w:lineRule="auto"/>
              <w:rPr>
                <w:rFonts w:hAnsi="宋体" w:cs="宋体"/>
                <w:szCs w:val="24"/>
                <w:highlight w:val="none"/>
              </w:rPr>
            </w:pPr>
            <w:r>
              <w:rPr>
                <w:rFonts w:hint="eastAsia" w:hAnsi="宋体" w:cs="宋体"/>
                <w:szCs w:val="24"/>
                <w:highlight w:val="none"/>
              </w:rPr>
              <w:t xml:space="preserve">磋商代理服务费： </w:t>
            </w:r>
          </w:p>
          <w:p>
            <w:pPr>
              <w:spacing w:line="360" w:lineRule="auto"/>
              <w:ind w:firstLine="480" w:firstLineChars="200"/>
              <w:jc w:val="both"/>
              <w:rPr>
                <w:rFonts w:hint="eastAsia" w:hAnsi="宋体" w:cs="宋体"/>
                <w:b w:val="0"/>
                <w:bCs w:val="0"/>
                <w:szCs w:val="24"/>
                <w:highlight w:val="none"/>
              </w:rPr>
            </w:pPr>
            <w:r>
              <w:rPr>
                <w:rFonts w:hint="eastAsia" w:hAnsi="宋体" w:cs="宋体"/>
                <w:b w:val="0"/>
                <w:bCs w:val="0"/>
                <w:szCs w:val="24"/>
                <w:highlight w:val="none"/>
              </w:rPr>
              <w:t>29.1按国家计委颁发的《招标代理服务收费管理暂行办法》（计价格[2002]1980号）和国家发展改革委员会办公厅颁发的《关于招标代理服务收费有关问题的通知》（发改办价格[2003]857号）的有关规定执行。不足5000按5000收取。</w:t>
            </w:r>
          </w:p>
          <w:p>
            <w:pPr>
              <w:spacing w:line="360" w:lineRule="auto"/>
              <w:ind w:firstLine="480" w:firstLineChars="200"/>
              <w:jc w:val="both"/>
              <w:rPr>
                <w:rFonts w:hint="eastAsia" w:hAnsi="宋体" w:cs="宋体"/>
                <w:b w:val="0"/>
                <w:bCs w:val="0"/>
                <w:szCs w:val="24"/>
                <w:highlight w:val="none"/>
              </w:rPr>
            </w:pPr>
            <w:r>
              <w:rPr>
                <w:rFonts w:hint="eastAsia" w:hAnsi="宋体" w:cs="宋体"/>
                <w:b w:val="0"/>
                <w:bCs w:val="0"/>
                <w:szCs w:val="24"/>
                <w:highlight w:val="none"/>
              </w:rPr>
              <w:t>29.2成交单位在领取成交通知书前，须向采购代理机构一次性支付代理服务费。</w:t>
            </w:r>
          </w:p>
          <w:p>
            <w:pPr>
              <w:spacing w:line="360" w:lineRule="auto"/>
              <w:rPr>
                <w:rFonts w:hint="eastAsia"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int="eastAsia" w:hAnsi="宋体" w:cs="宋体"/>
                <w:b/>
                <w:bCs/>
                <w:szCs w:val="24"/>
                <w:highlight w:val="none"/>
              </w:rPr>
            </w:pPr>
            <w:r>
              <w:rPr>
                <w:rFonts w:hint="eastAsia" w:hAnsi="宋体" w:cs="宋体"/>
                <w:b/>
                <w:bCs/>
                <w:szCs w:val="24"/>
                <w:highlight w:val="none"/>
                <w:lang w:eastAsia="zh-CN"/>
              </w:rPr>
              <w:t>①</w:t>
            </w:r>
            <w:r>
              <w:rPr>
                <w:rFonts w:hint="eastAsia" w:hAnsi="宋体" w:cs="宋体"/>
                <w:b/>
                <w:bCs/>
                <w:szCs w:val="24"/>
                <w:highlight w:val="none"/>
              </w:rPr>
              <w:t>采购代理机构开户名称: 陕西至诚招标咨询有限公司</w:t>
            </w:r>
          </w:p>
          <w:p>
            <w:pPr>
              <w:spacing w:line="360" w:lineRule="auto"/>
              <w:ind w:firstLine="482" w:firstLineChars="200"/>
              <w:rPr>
                <w:rFonts w:hint="eastAsia" w:hAnsi="宋体" w:cs="宋体"/>
                <w:b/>
                <w:bCs/>
                <w:szCs w:val="24"/>
                <w:highlight w:val="none"/>
              </w:rPr>
            </w:pPr>
            <w:r>
              <w:rPr>
                <w:rFonts w:hint="eastAsia" w:hAnsi="宋体" w:cs="宋体"/>
                <w:b/>
                <w:bCs/>
                <w:szCs w:val="24"/>
                <w:highlight w:val="none"/>
                <w:lang w:eastAsia="zh-CN"/>
              </w:rPr>
              <w:t>②</w:t>
            </w:r>
            <w:r>
              <w:rPr>
                <w:rFonts w:hint="eastAsia" w:hAnsi="宋体" w:cs="宋体"/>
                <w:b/>
                <w:bCs/>
                <w:szCs w:val="24"/>
                <w:highlight w:val="none"/>
              </w:rPr>
              <w:t>开户行名称：中国建设银行股份有限公司西安高新技术产业开发区支行</w:t>
            </w:r>
          </w:p>
          <w:p>
            <w:pPr>
              <w:spacing w:line="360" w:lineRule="auto"/>
              <w:ind w:firstLine="482" w:firstLineChars="200"/>
              <w:rPr>
                <w:rFonts w:hint="eastAsia"/>
                <w:szCs w:val="24"/>
                <w:highlight w:val="none"/>
              </w:rPr>
            </w:pPr>
            <w:r>
              <w:rPr>
                <w:rFonts w:hint="eastAsia" w:hAnsi="宋体" w:cs="宋体"/>
                <w:b/>
                <w:bCs/>
                <w:szCs w:val="24"/>
                <w:highlight w:val="none"/>
                <w:lang w:eastAsia="zh-CN"/>
              </w:rPr>
              <w:t>③</w:t>
            </w:r>
            <w:r>
              <w:rPr>
                <w:rFonts w:hint="eastAsia" w:hAnsi="宋体" w:cs="宋体"/>
                <w:b/>
                <w:bCs/>
                <w:szCs w:val="24"/>
                <w:highlight w:val="none"/>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68" w:type="dxa"/>
            <w:noWrap w:val="0"/>
            <w:vAlign w:val="center"/>
          </w:tcPr>
          <w:p>
            <w:pPr>
              <w:spacing w:after="120" w:afterLines="50" w:line="360" w:lineRule="auto"/>
              <w:jc w:val="center"/>
              <w:rPr>
                <w:rFonts w:hint="eastAsia"/>
                <w:szCs w:val="24"/>
                <w:highlight w:val="none"/>
              </w:rPr>
            </w:pPr>
            <w:r>
              <w:rPr>
                <w:rFonts w:hint="eastAsia"/>
                <w:szCs w:val="24"/>
                <w:highlight w:val="none"/>
              </w:rPr>
              <w:t>15</w:t>
            </w:r>
          </w:p>
        </w:tc>
        <w:tc>
          <w:tcPr>
            <w:tcW w:w="1019"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其他</w:t>
            </w:r>
          </w:p>
        </w:tc>
        <w:tc>
          <w:tcPr>
            <w:tcW w:w="8137" w:type="dxa"/>
            <w:noWrap w:val="0"/>
            <w:vAlign w:val="center"/>
          </w:tcPr>
          <w:p>
            <w:pPr>
              <w:numPr>
                <w:ilvl w:val="0"/>
                <w:numId w:val="1"/>
              </w:numPr>
              <w:spacing w:line="360" w:lineRule="auto"/>
              <w:rPr>
                <w:rFonts w:hint="eastAsia" w:hAnsi="宋体" w:cs="宋体"/>
                <w:szCs w:val="24"/>
                <w:highlight w:val="none"/>
              </w:rPr>
            </w:pPr>
            <w:r>
              <w:rPr>
                <w:rFonts w:hint="eastAsia" w:hAnsi="宋体" w:cs="宋体"/>
                <w:szCs w:val="24"/>
                <w:highlight w:val="none"/>
              </w:rPr>
              <w:t>踏勘：不组织统一踏勘，各</w:t>
            </w:r>
            <w:r>
              <w:rPr>
                <w:rFonts w:hint="eastAsia" w:hAnsi="宋体" w:cs="宋体"/>
                <w:szCs w:val="24"/>
                <w:highlight w:val="none"/>
                <w:lang w:eastAsia="zh-CN"/>
              </w:rPr>
              <w:t>供应商</w:t>
            </w:r>
            <w:r>
              <w:rPr>
                <w:rFonts w:hint="eastAsia" w:hAnsi="宋体" w:cs="宋体"/>
                <w:szCs w:val="24"/>
                <w:highlight w:val="none"/>
              </w:rPr>
              <w:t>自行踏勘。</w:t>
            </w:r>
          </w:p>
          <w:p>
            <w:pPr>
              <w:numPr>
                <w:ilvl w:val="0"/>
                <w:numId w:val="1"/>
              </w:numPr>
              <w:spacing w:line="360" w:lineRule="auto"/>
              <w:rPr>
                <w:rFonts w:hint="eastAsia" w:hAnsi="宋体" w:cs="宋体"/>
                <w:szCs w:val="24"/>
                <w:highlight w:val="none"/>
              </w:rPr>
            </w:pPr>
            <w:r>
              <w:rPr>
                <w:rFonts w:hint="eastAsia" w:hAnsi="宋体" w:cs="宋体"/>
                <w:szCs w:val="24"/>
                <w:highlight w:val="none"/>
              </w:rPr>
              <w:t>履约担保：无</w:t>
            </w:r>
          </w:p>
          <w:p>
            <w:pPr>
              <w:spacing w:line="360" w:lineRule="auto"/>
              <w:rPr>
                <w:rFonts w:hAnsi="宋体" w:cs="宋体"/>
                <w:szCs w:val="24"/>
                <w:highlight w:val="none"/>
              </w:rPr>
            </w:pPr>
            <w:r>
              <w:rPr>
                <w:rFonts w:hint="eastAsia" w:hAnsi="宋体" w:cs="宋体"/>
                <w:szCs w:val="24"/>
                <w:highlight w:val="none"/>
              </w:rPr>
              <w:t>3、答疑：不召开；</w:t>
            </w:r>
            <w:r>
              <w:rPr>
                <w:rFonts w:hint="eastAsia" w:hAnsi="宋体" w:cs="宋体"/>
                <w:szCs w:val="24"/>
                <w:highlight w:val="none"/>
                <w:lang w:eastAsia="zh-CN"/>
              </w:rPr>
              <w:t>供应商</w:t>
            </w:r>
            <w:r>
              <w:rPr>
                <w:rFonts w:hint="eastAsia" w:hAnsi="宋体" w:cs="宋体"/>
                <w:szCs w:val="24"/>
                <w:highlight w:val="none"/>
              </w:rPr>
              <w:t>对招标文件、</w:t>
            </w:r>
            <w:r>
              <w:rPr>
                <w:rFonts w:hint="eastAsia" w:hAnsi="宋体" w:cs="宋体"/>
                <w:szCs w:val="24"/>
                <w:highlight w:val="none"/>
                <w:lang w:eastAsia="zh-CN"/>
              </w:rPr>
              <w:t>作业设计方案</w:t>
            </w:r>
            <w:r>
              <w:rPr>
                <w:rFonts w:hint="eastAsia" w:hAnsi="宋体" w:cs="宋体"/>
                <w:szCs w:val="24"/>
                <w:highlight w:val="none"/>
              </w:rPr>
              <w:t>以及施工现场条件的所有疑问的内容，以书面方式在</w:t>
            </w:r>
            <w:r>
              <w:rPr>
                <w:rFonts w:hint="eastAsia" w:hAnsi="宋体" w:cs="宋体"/>
                <w:szCs w:val="24"/>
                <w:highlight w:val="none"/>
                <w:lang w:eastAsia="zh-CN"/>
              </w:rPr>
              <w:t>磋商</w:t>
            </w:r>
            <w:r>
              <w:rPr>
                <w:rFonts w:hint="eastAsia" w:hAnsi="宋体" w:cs="宋体"/>
                <w:szCs w:val="24"/>
                <w:highlight w:val="none"/>
              </w:rPr>
              <w:t>时间截止时间</w:t>
            </w:r>
            <w:r>
              <w:rPr>
                <w:rFonts w:hint="eastAsia" w:hAnsi="宋体" w:cs="宋体"/>
                <w:szCs w:val="24"/>
                <w:highlight w:val="none"/>
                <w:lang w:val="en-US" w:eastAsia="zh-CN"/>
              </w:rPr>
              <w:t>2</w:t>
            </w:r>
            <w:r>
              <w:rPr>
                <w:rFonts w:hint="eastAsia" w:hAnsi="宋体" w:cs="宋体"/>
                <w:szCs w:val="24"/>
                <w:highlight w:val="none"/>
              </w:rPr>
              <w:t>天前通过信函、送交或传真方式递交招标代理公司，</w:t>
            </w:r>
            <w:r>
              <w:rPr>
                <w:rFonts w:hint="eastAsia" w:hAnsi="宋体" w:cs="宋体"/>
                <w:szCs w:val="24"/>
                <w:highlight w:val="none"/>
                <w:lang w:eastAsia="zh-CN"/>
              </w:rPr>
              <w:t>采购人</w:t>
            </w:r>
            <w:r>
              <w:rPr>
                <w:rFonts w:hint="eastAsia" w:hAnsi="宋体" w:cs="宋体"/>
                <w:szCs w:val="24"/>
                <w:highlight w:val="none"/>
              </w:rPr>
              <w:t>或招标代理机构负责作出统一解答和必要的澄清后，以书面的《</w:t>
            </w:r>
            <w:r>
              <w:rPr>
                <w:rFonts w:hint="eastAsia" w:hAnsi="宋体" w:cs="宋体"/>
                <w:szCs w:val="24"/>
                <w:highlight w:val="none"/>
                <w:lang w:eastAsia="zh-CN"/>
              </w:rPr>
              <w:t>磋商</w:t>
            </w:r>
            <w:r>
              <w:rPr>
                <w:rFonts w:hint="eastAsia" w:hAnsi="宋体" w:cs="宋体"/>
                <w:szCs w:val="24"/>
                <w:highlight w:val="none"/>
              </w:rPr>
              <w:t>答疑纪要》发送各</w:t>
            </w:r>
            <w:r>
              <w:rPr>
                <w:rFonts w:hint="eastAsia" w:hAnsi="宋体" w:cs="宋体"/>
                <w:szCs w:val="24"/>
                <w:highlight w:val="none"/>
                <w:lang w:eastAsia="zh-CN"/>
              </w:rPr>
              <w:t>供应商</w:t>
            </w:r>
            <w:r>
              <w:rPr>
                <w:rFonts w:hint="eastAsia" w:hAnsi="宋体" w:cs="宋体"/>
                <w:szCs w:val="24"/>
                <w:highlight w:val="none"/>
              </w:rPr>
              <w:t>。</w:t>
            </w:r>
            <w:r>
              <w:rPr>
                <w:rFonts w:hint="eastAsia" w:hAnsi="宋体" w:cs="宋体"/>
                <w:szCs w:val="24"/>
                <w:highlight w:val="none"/>
                <w:lang w:eastAsia="zh-CN"/>
              </w:rPr>
              <w:t>采购代理机构视情况必要时将书面答复传送给每个购买竞争性磋商文件的供应商</w:t>
            </w:r>
            <w:r>
              <w:rPr>
                <w:rFonts w:hint="eastAsia" w:hAnsi="宋体" w:cs="宋体"/>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60" w:hRule="atLeast"/>
          <w:jc w:val="center"/>
        </w:trPr>
        <w:tc>
          <w:tcPr>
            <w:tcW w:w="568" w:type="dxa"/>
            <w:noWrap w:val="0"/>
            <w:vAlign w:val="center"/>
          </w:tcPr>
          <w:p>
            <w:pPr>
              <w:spacing w:after="120" w:afterLines="50" w:line="360" w:lineRule="auto"/>
              <w:jc w:val="center"/>
              <w:rPr>
                <w:szCs w:val="24"/>
                <w:highlight w:val="none"/>
              </w:rPr>
            </w:pPr>
            <w:r>
              <w:rPr>
                <w:rFonts w:hint="eastAsia"/>
                <w:szCs w:val="24"/>
                <w:highlight w:val="none"/>
              </w:rPr>
              <w:t>16</w:t>
            </w:r>
          </w:p>
        </w:tc>
        <w:tc>
          <w:tcPr>
            <w:tcW w:w="1019" w:type="dxa"/>
            <w:noWrap w:val="0"/>
            <w:vAlign w:val="center"/>
          </w:tcPr>
          <w:p>
            <w:pPr>
              <w:widowControl/>
              <w:spacing w:line="360" w:lineRule="auto"/>
              <w:jc w:val="center"/>
              <w:rPr>
                <w:rFonts w:hint="eastAsia"/>
                <w:szCs w:val="24"/>
                <w:highlight w:val="none"/>
              </w:rPr>
            </w:pPr>
            <w:r>
              <w:rPr>
                <w:rFonts w:hint="eastAsia" w:hAnsi="宋体"/>
                <w:b/>
                <w:bCs/>
                <w:szCs w:val="24"/>
                <w:highlight w:val="none"/>
              </w:rPr>
              <w:t>备注</w:t>
            </w:r>
          </w:p>
        </w:tc>
        <w:tc>
          <w:tcPr>
            <w:tcW w:w="8137" w:type="dxa"/>
            <w:noWrap w:val="0"/>
            <w:vAlign w:val="center"/>
          </w:tcPr>
          <w:p>
            <w:pPr>
              <w:spacing w:line="360" w:lineRule="auto"/>
              <w:jc w:val="left"/>
              <w:rPr>
                <w:rFonts w:hint="eastAsia" w:hAnsi="宋体" w:cs="宋体"/>
                <w:b/>
                <w:bCs/>
                <w:szCs w:val="24"/>
                <w:highlight w:val="none"/>
              </w:rPr>
            </w:pPr>
            <w:r>
              <w:rPr>
                <w:rFonts w:hint="eastAsia" w:hAnsi="宋体" w:cs="宋体"/>
                <w:b/>
                <w:bCs/>
                <w:szCs w:val="24"/>
                <w:highlight w:val="none"/>
              </w:rPr>
              <w:t>供应商注册登记提醒：</w:t>
            </w:r>
          </w:p>
          <w:p>
            <w:pPr>
              <w:spacing w:line="360" w:lineRule="auto"/>
              <w:ind w:firstLine="482" w:firstLineChars="200"/>
              <w:jc w:val="left"/>
              <w:rPr>
                <w:rFonts w:hint="eastAsia" w:hAnsi="宋体" w:cs="宋体"/>
                <w:b/>
                <w:bCs/>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bookmarkEnd w:id="8"/>
      <w:bookmarkEnd w:id="9"/>
      <w:bookmarkEnd w:id="10"/>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3" w:hRule="atLeast"/>
          <w:jc w:val="center"/>
        </w:trPr>
        <w:tc>
          <w:tcPr>
            <w:tcW w:w="9724" w:type="dxa"/>
            <w:gridSpan w:val="3"/>
            <w:noWrap w:val="0"/>
            <w:vAlign w:val="center"/>
          </w:tcPr>
          <w:p>
            <w:pPr>
              <w:spacing w:line="360" w:lineRule="auto"/>
              <w:rPr>
                <w:rFonts w:hint="eastAsia" w:hAnsi="宋体" w:cs="宋体"/>
                <w:b/>
                <w:bCs/>
                <w:szCs w:val="24"/>
                <w:highlight w:val="none"/>
              </w:rPr>
            </w:pPr>
            <w:bookmarkStart w:id="31" w:name="_Toc363474017"/>
            <w:bookmarkStart w:id="32" w:name="_Toc363473972"/>
            <w:bookmarkStart w:id="33" w:name="_Toc403077639"/>
            <w:r>
              <w:rPr>
                <w:rFonts w:hint="eastAsia" w:hAnsi="宋体" w:cs="宋体"/>
                <w:szCs w:val="24"/>
                <w:highlight w:val="none"/>
              </w:rPr>
              <w:t>1</w:t>
            </w:r>
            <w:r>
              <w:rPr>
                <w:rFonts w:hint="eastAsia" w:hAnsi="宋体" w:cs="宋体"/>
                <w:szCs w:val="24"/>
                <w:highlight w:val="none"/>
                <w:lang w:val="en-US" w:eastAsia="zh-CN"/>
              </w:rPr>
              <w:t>7</w:t>
            </w:r>
            <w:r>
              <w:rPr>
                <w:rFonts w:hint="eastAsia" w:hAnsi="宋体" w:cs="宋体"/>
                <w:szCs w:val="24"/>
                <w:highlight w:val="none"/>
              </w:rPr>
              <w:t xml:space="preserve">  解释权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724" w:type="dxa"/>
            <w:gridSpan w:val="3"/>
            <w:noWrap w:val="0"/>
            <w:vAlign w:val="center"/>
          </w:tcPr>
          <w:p>
            <w:pPr>
              <w:spacing w:line="360" w:lineRule="auto"/>
              <w:rPr>
                <w:rFonts w:hint="eastAsia" w:hAnsi="宋体" w:cs="宋体"/>
                <w:b/>
                <w:bCs/>
                <w:szCs w:val="24"/>
                <w:highlight w:val="none"/>
              </w:rPr>
            </w:pPr>
            <w:r>
              <w:rPr>
                <w:rFonts w:hint="eastAsia" w:hAnsi="宋体" w:cs="宋体"/>
                <w:szCs w:val="24"/>
                <w:highlight w:val="none"/>
              </w:rPr>
              <w:t>本</w:t>
            </w:r>
            <w:r>
              <w:rPr>
                <w:rFonts w:hint="eastAsia" w:hAnsi="宋体" w:cs="宋体"/>
                <w:szCs w:val="24"/>
                <w:highlight w:val="none"/>
                <w:lang w:eastAsia="zh-CN"/>
              </w:rPr>
              <w:t>竞争性磋商</w:t>
            </w:r>
            <w:r>
              <w:rPr>
                <w:rFonts w:hint="eastAsia" w:hAnsi="宋体" w:cs="宋体"/>
                <w:szCs w:val="24"/>
                <w:highlight w:val="none"/>
              </w:rPr>
              <w:t>文件由采购人和招标代理机构负责解释。</w:t>
            </w:r>
          </w:p>
        </w:tc>
      </w:tr>
    </w:tbl>
    <w:p>
      <w:pPr>
        <w:spacing w:after="120" w:afterLines="50"/>
        <w:jc w:val="center"/>
        <w:rPr>
          <w:rFonts w:hint="eastAsia" w:hAnsi="宋体" w:cs="宋体"/>
          <w:sz w:val="32"/>
          <w:szCs w:val="32"/>
          <w:highlight w:val="none"/>
        </w:rPr>
      </w:pPr>
      <w:r>
        <w:rPr>
          <w:rFonts w:hint="eastAsia" w:hAnsi="宋体"/>
          <w:b/>
          <w:sz w:val="32"/>
          <w:szCs w:val="32"/>
          <w:highlight w:val="none"/>
        </w:rPr>
        <w:br w:type="page"/>
      </w:r>
      <w:r>
        <w:rPr>
          <w:rFonts w:hint="eastAsia" w:hAnsi="宋体" w:cs="宋体"/>
          <w:b/>
          <w:sz w:val="32"/>
          <w:szCs w:val="32"/>
          <w:highlight w:val="none"/>
        </w:rPr>
        <w:t>一.总  则</w:t>
      </w:r>
      <w:bookmarkEnd w:id="31"/>
      <w:bookmarkEnd w:id="32"/>
      <w:bookmarkEnd w:id="33"/>
    </w:p>
    <w:p>
      <w:pPr>
        <w:spacing w:line="360" w:lineRule="auto"/>
        <w:rPr>
          <w:rFonts w:hint="eastAsia"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int="eastAsia"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财政拨款</w:t>
      </w:r>
      <w:r>
        <w:rPr>
          <w:rFonts w:hint="eastAsia" w:hAnsi="宋体" w:cs="宋体"/>
          <w:szCs w:val="24"/>
          <w:highlight w:val="none"/>
        </w:rPr>
        <w:t>，资金已落实到位。</w:t>
      </w:r>
    </w:p>
    <w:p>
      <w:pPr>
        <w:numPr>
          <w:ilvl w:val="0"/>
          <w:numId w:val="2"/>
        </w:numPr>
        <w:spacing w:line="500" w:lineRule="exact"/>
        <w:rPr>
          <w:rFonts w:hint="eastAsia" w:hAnsi="宋体" w:cs="宋体"/>
          <w:b/>
          <w:szCs w:val="24"/>
          <w:highlight w:val="none"/>
        </w:rPr>
      </w:pPr>
      <w:bookmarkStart w:id="34" w:name="_Toc363473973"/>
      <w:bookmarkStart w:id="35" w:name="_Toc363474018"/>
      <w:bookmarkStart w:id="36" w:name="_Toc403077640"/>
      <w:r>
        <w:rPr>
          <w:rFonts w:hint="eastAsia" w:hAnsi="宋体" w:cs="宋体"/>
          <w:b/>
          <w:szCs w:val="24"/>
          <w:highlight w:val="none"/>
        </w:rPr>
        <w:t>名词解释</w:t>
      </w:r>
    </w:p>
    <w:p>
      <w:pPr>
        <w:tabs>
          <w:tab w:val="left" w:pos="7665"/>
        </w:tabs>
        <w:spacing w:line="360" w:lineRule="auto"/>
        <w:ind w:firstLine="480" w:firstLineChars="200"/>
        <w:rPr>
          <w:rFonts w:hint="eastAsia" w:hAnsi="宋体" w:eastAsia="宋体" w:cs="宋体"/>
          <w:color w:val="000000"/>
          <w:highlight w:val="none"/>
          <w:lang w:eastAsia="zh-CN"/>
        </w:rPr>
      </w:pPr>
      <w:r>
        <w:rPr>
          <w:rFonts w:hint="eastAsia" w:hAnsi="宋体" w:cs="宋体"/>
          <w:color w:val="000000"/>
          <w:highlight w:val="none"/>
        </w:rPr>
        <w:t>2.1采购人：</w:t>
      </w:r>
      <w:r>
        <w:rPr>
          <w:rFonts w:hint="eastAsia" w:hAnsi="宋体" w:cs="宋体"/>
          <w:color w:val="000000"/>
          <w:highlight w:val="none"/>
          <w:lang w:eastAsia="zh-CN"/>
        </w:rPr>
        <w:t>柞水县乾佑河国有林场</w:t>
      </w:r>
    </w:p>
    <w:p>
      <w:pPr>
        <w:tabs>
          <w:tab w:val="left" w:pos="7665"/>
        </w:tabs>
        <w:spacing w:line="360" w:lineRule="auto"/>
        <w:ind w:firstLine="480" w:firstLineChars="200"/>
        <w:rPr>
          <w:rFonts w:hint="eastAsia" w:hAnsi="宋体" w:cs="宋体"/>
          <w:color w:val="000000"/>
          <w:highlight w:val="none"/>
        </w:rPr>
      </w:pPr>
      <w:r>
        <w:rPr>
          <w:rFonts w:hint="eastAsia" w:hAnsi="宋体" w:cs="宋体"/>
          <w:color w:val="000000"/>
          <w:highlight w:val="none"/>
        </w:rPr>
        <w:t>2.2监督机构：同级人民政府财政部门</w:t>
      </w:r>
    </w:p>
    <w:p>
      <w:pPr>
        <w:tabs>
          <w:tab w:val="left" w:pos="7665"/>
        </w:tabs>
        <w:spacing w:line="360" w:lineRule="auto"/>
        <w:ind w:firstLine="480" w:firstLineChars="200"/>
        <w:rPr>
          <w:rFonts w:hint="eastAsia" w:hAnsi="宋体" w:eastAsia="宋体" w:cs="宋体"/>
          <w:color w:val="000000"/>
          <w:highlight w:val="none"/>
          <w:lang w:eastAsia="zh-CN"/>
        </w:rPr>
      </w:pPr>
      <w:r>
        <w:rPr>
          <w:rFonts w:hint="eastAsia" w:hAnsi="宋体" w:cs="宋体"/>
          <w:color w:val="000000"/>
          <w:highlight w:val="none"/>
        </w:rPr>
        <w:t>2.3采购代理机构：</w:t>
      </w:r>
      <w:r>
        <w:rPr>
          <w:rFonts w:hint="eastAsia" w:hAnsi="宋体" w:cs="宋体"/>
          <w:color w:val="000000"/>
          <w:highlight w:val="none"/>
          <w:lang w:eastAsia="zh-CN"/>
        </w:rPr>
        <w:t>陕西至诚招标咨询有限公司</w:t>
      </w:r>
    </w:p>
    <w:p>
      <w:pPr>
        <w:tabs>
          <w:tab w:val="left" w:pos="7665"/>
        </w:tabs>
        <w:spacing w:line="360" w:lineRule="auto"/>
        <w:ind w:firstLine="480" w:firstLineChars="200"/>
        <w:rPr>
          <w:rFonts w:hint="eastAsia" w:hAnsi="宋体" w:cs="宋体"/>
          <w:color w:val="000000"/>
          <w:highlight w:val="none"/>
        </w:rPr>
      </w:pPr>
      <w:r>
        <w:rPr>
          <w:rFonts w:hint="eastAsia" w:hAnsi="宋体" w:cs="宋体"/>
          <w:color w:val="000000"/>
          <w:highlight w:val="none"/>
        </w:rPr>
        <w:t>2.4供应商：是指响应和符合竞争性磋商文件规定资格条件且参与竞争性磋商的法人、</w:t>
      </w:r>
      <w:r>
        <w:rPr>
          <w:rFonts w:hint="eastAsia" w:hAnsi="宋体" w:cs="宋体"/>
          <w:highlight w:val="none"/>
        </w:rPr>
        <w:t>其他组织或者自然人。</w:t>
      </w:r>
    </w:p>
    <w:p>
      <w:pPr>
        <w:adjustRightInd w:val="0"/>
        <w:snapToGrid w:val="0"/>
        <w:spacing w:line="360" w:lineRule="auto"/>
        <w:ind w:firstLine="480" w:firstLineChars="200"/>
        <w:rPr>
          <w:rFonts w:hint="eastAsia" w:hAnsi="宋体" w:cs="宋体"/>
          <w:color w:val="000000"/>
          <w:highlight w:val="none"/>
        </w:rPr>
      </w:pPr>
      <w:r>
        <w:rPr>
          <w:rFonts w:hint="eastAsia" w:hAnsi="宋体" w:cs="宋体"/>
          <w:color w:val="000000"/>
          <w:highlight w:val="none"/>
        </w:rPr>
        <w:t>2.5产品是指本竞争性磋商文件中第四章所述所有产品。</w:t>
      </w:r>
    </w:p>
    <w:p>
      <w:pPr>
        <w:adjustRightInd w:val="0"/>
        <w:snapToGrid w:val="0"/>
        <w:spacing w:line="360" w:lineRule="auto"/>
        <w:ind w:firstLine="480" w:firstLineChars="200"/>
        <w:rPr>
          <w:rFonts w:hint="eastAsia" w:hAnsi="宋体" w:cs="宋体"/>
          <w:color w:val="000000"/>
          <w:highlight w:val="none"/>
        </w:rPr>
      </w:pPr>
      <w:r>
        <w:rPr>
          <w:rFonts w:hint="eastAsia" w:hAnsi="宋体" w:cs="宋体"/>
          <w:color w:val="000000"/>
          <w:highlight w:val="none"/>
        </w:rPr>
        <w:t>2.6服务是指供应商为满足竞争性磋商文件要求而提供的服务。</w:t>
      </w:r>
    </w:p>
    <w:p>
      <w:pPr>
        <w:adjustRightInd w:val="0"/>
        <w:snapToGrid w:val="0"/>
        <w:spacing w:line="360" w:lineRule="auto"/>
        <w:ind w:firstLine="480" w:firstLineChars="200"/>
        <w:rPr>
          <w:rFonts w:hint="eastAsia" w:hAnsi="宋体" w:cs="宋体"/>
          <w:color w:val="000000"/>
          <w:highlight w:val="none"/>
        </w:rPr>
      </w:pPr>
      <w:r>
        <w:rPr>
          <w:rFonts w:hint="eastAsia" w:hAnsi="宋体" w:cs="宋体"/>
          <w:color w:val="000000"/>
          <w:highlight w:val="none"/>
        </w:rPr>
        <w:t>2.7节能产品或者环保产品是指财政部发布的《节能产品政府采购清单》或《环境标志产品政府采购清单》的产品。</w:t>
      </w:r>
    </w:p>
    <w:p>
      <w:pPr>
        <w:adjustRightInd w:val="0"/>
        <w:snapToGrid w:val="0"/>
        <w:spacing w:line="360" w:lineRule="auto"/>
        <w:ind w:firstLine="480" w:firstLineChars="200"/>
        <w:rPr>
          <w:rFonts w:hint="eastAsia" w:hAnsi="宋体" w:cs="宋体"/>
          <w:color w:val="000000"/>
          <w:highlight w:val="none"/>
        </w:rPr>
      </w:pPr>
      <w:r>
        <w:rPr>
          <w:rFonts w:hint="eastAsia" w:hAnsi="宋体" w:cs="宋体"/>
          <w:color w:val="000000"/>
          <w:highlight w:val="none"/>
        </w:rPr>
        <w:t>2.8中小企业是指符合《工业和信息化部、国家统计局、国家发展和改革委员会、财政部关于印发中小企业划型标准规定的通知》（工信部联企业[2011]300号）规定的对中小企业的划分标准的企业。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hAnsi="宋体" w:cs="宋体"/>
          <w:color w:val="000000"/>
          <w:highlight w:val="none"/>
        </w:rPr>
      </w:pPr>
      <w:r>
        <w:rPr>
          <w:rFonts w:hint="eastAsia" w:hAnsi="宋体" w:cs="宋体"/>
          <w:color w:val="000000"/>
          <w:highlight w:val="none"/>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hAnsi="宋体" w:cs="宋体"/>
          <w:color w:val="000000"/>
          <w:highlight w:val="none"/>
        </w:rPr>
      </w:pPr>
      <w:r>
        <w:rPr>
          <w:rFonts w:hint="eastAsia" w:hAnsi="宋体" w:cs="宋体"/>
          <w:color w:val="000000"/>
          <w:highlight w:val="none"/>
        </w:rPr>
        <w:t>2.10残疾人福利性单位是指符合《三部门联合发布关于促进残疾人就业政府采购政策的通知》财库〔2017〕141号规定的对残疾人福利性单位划分标准的单位。</w:t>
      </w:r>
    </w:p>
    <w:p>
      <w:pPr>
        <w:spacing w:line="500" w:lineRule="exact"/>
        <w:rPr>
          <w:rFonts w:hint="eastAsia" w:hAnsi="宋体" w:cs="宋体"/>
          <w:b/>
          <w:szCs w:val="24"/>
          <w:highlight w:val="none"/>
        </w:rPr>
      </w:pPr>
      <w:r>
        <w:rPr>
          <w:rFonts w:hint="eastAsia" w:hAnsi="宋体" w:cs="宋体"/>
          <w:b/>
          <w:szCs w:val="24"/>
          <w:highlight w:val="none"/>
        </w:rPr>
        <w:t>3.合格的供应商</w:t>
      </w:r>
    </w:p>
    <w:p>
      <w:pPr>
        <w:tabs>
          <w:tab w:val="left" w:pos="851"/>
        </w:tabs>
        <w:spacing w:line="500" w:lineRule="exact"/>
        <w:ind w:firstLine="482" w:firstLineChars="200"/>
        <w:rPr>
          <w:rFonts w:hint="eastAsia" w:hAnsi="宋体" w:cs="宋体"/>
          <w:b/>
          <w:bCs/>
          <w:szCs w:val="24"/>
          <w:highlight w:val="none"/>
        </w:rPr>
      </w:pPr>
      <w:r>
        <w:rPr>
          <w:rFonts w:hint="eastAsia" w:hAnsi="宋体" w:cs="宋体"/>
          <w:b/>
          <w:bCs/>
          <w:szCs w:val="24"/>
          <w:highlight w:val="none"/>
        </w:rPr>
        <w:t>3.1《政府采购法》第二十二条第一款规定的供应商基本资格条件:</w:t>
      </w:r>
    </w:p>
    <w:p>
      <w:pPr>
        <w:spacing w:line="500" w:lineRule="exact"/>
        <w:ind w:firstLine="480" w:firstLineChars="200"/>
        <w:rPr>
          <w:rFonts w:hint="eastAsia" w:hAnsi="宋体" w:cs="宋体"/>
          <w:szCs w:val="24"/>
          <w:highlight w:val="none"/>
        </w:rPr>
      </w:pPr>
      <w:r>
        <w:rPr>
          <w:rFonts w:hint="eastAsia" w:hAnsi="宋体" w:cs="宋体"/>
          <w:szCs w:val="24"/>
          <w:highlight w:val="none"/>
        </w:rPr>
        <w:t xml:space="preserve">    1）具有独立承担民事责任的能力；</w:t>
      </w:r>
    </w:p>
    <w:p>
      <w:pPr>
        <w:spacing w:line="500" w:lineRule="exact"/>
        <w:ind w:firstLine="480" w:firstLineChars="200"/>
        <w:rPr>
          <w:rFonts w:hint="eastAsia" w:hAnsi="宋体" w:cs="宋体"/>
          <w:szCs w:val="24"/>
          <w:highlight w:val="none"/>
        </w:rPr>
      </w:pPr>
      <w:r>
        <w:rPr>
          <w:rFonts w:hint="eastAsia" w:hAnsi="宋体" w:cs="宋体"/>
          <w:szCs w:val="24"/>
          <w:highlight w:val="none"/>
        </w:rPr>
        <w:t xml:space="preserve">    2）具有良好的商业信誉和健全的财务会计制度；</w:t>
      </w:r>
    </w:p>
    <w:p>
      <w:pPr>
        <w:spacing w:line="500" w:lineRule="exact"/>
        <w:ind w:firstLine="480" w:firstLineChars="200"/>
        <w:rPr>
          <w:rFonts w:hint="eastAsia" w:hAnsi="宋体" w:cs="宋体"/>
          <w:szCs w:val="24"/>
          <w:highlight w:val="none"/>
        </w:rPr>
      </w:pPr>
      <w:r>
        <w:rPr>
          <w:rFonts w:hint="eastAsia" w:hAnsi="宋体" w:cs="宋体"/>
          <w:szCs w:val="24"/>
          <w:highlight w:val="none"/>
        </w:rPr>
        <w:t xml:space="preserve">    3）具有履行合同所必需的设备和专业技术能力；</w:t>
      </w:r>
    </w:p>
    <w:p>
      <w:pPr>
        <w:spacing w:line="500" w:lineRule="exact"/>
        <w:ind w:firstLine="480" w:firstLineChars="200"/>
        <w:rPr>
          <w:rFonts w:hint="eastAsia" w:hAnsi="宋体" w:cs="宋体"/>
          <w:szCs w:val="24"/>
          <w:highlight w:val="none"/>
        </w:rPr>
      </w:pPr>
      <w:r>
        <w:rPr>
          <w:rFonts w:hint="eastAsia" w:hAnsi="宋体" w:cs="宋体"/>
          <w:szCs w:val="24"/>
          <w:highlight w:val="none"/>
        </w:rPr>
        <w:t xml:space="preserve">    4）</w:t>
      </w:r>
      <w:r>
        <w:rPr>
          <w:rFonts w:hint="eastAsia" w:hAnsi="宋体" w:cs="宋体"/>
          <w:szCs w:val="24"/>
          <w:highlight w:val="none"/>
          <w:lang w:val="en-US" w:eastAsia="zh-CN"/>
        </w:rPr>
        <w:t>具</w:t>
      </w:r>
      <w:r>
        <w:rPr>
          <w:rFonts w:hint="eastAsia" w:hAnsi="宋体" w:cs="宋体"/>
          <w:szCs w:val="24"/>
          <w:highlight w:val="none"/>
        </w:rPr>
        <w:t>有依法缴纳税收和社会保障资金的良好记录；</w:t>
      </w:r>
    </w:p>
    <w:p>
      <w:pPr>
        <w:spacing w:line="500" w:lineRule="exact"/>
        <w:ind w:firstLine="480" w:firstLineChars="200"/>
        <w:rPr>
          <w:rFonts w:hint="eastAsia"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500" w:lineRule="exact"/>
        <w:ind w:firstLine="480" w:firstLineChars="200"/>
        <w:rPr>
          <w:rFonts w:hint="eastAsia" w:hAnsi="宋体" w:cs="宋体"/>
          <w:szCs w:val="24"/>
          <w:highlight w:val="none"/>
        </w:rPr>
      </w:pPr>
      <w:r>
        <w:rPr>
          <w:rFonts w:hint="eastAsia" w:hAnsi="宋体" w:cs="宋体"/>
          <w:szCs w:val="24"/>
          <w:highlight w:val="none"/>
        </w:rPr>
        <w:t xml:space="preserve">    6）法律、行政法规规定的其他条件；</w:t>
      </w:r>
    </w:p>
    <w:p>
      <w:pPr>
        <w:spacing w:line="500" w:lineRule="exact"/>
        <w:ind w:firstLine="480" w:firstLineChars="200"/>
        <w:rPr>
          <w:rFonts w:hint="eastAsia" w:hAnsi="宋体" w:cs="宋体"/>
          <w:szCs w:val="24"/>
          <w:highlight w:val="none"/>
        </w:rPr>
      </w:pPr>
      <w:r>
        <w:rPr>
          <w:rFonts w:hint="eastAsia" w:hAnsi="宋体" w:cs="宋体"/>
          <w:szCs w:val="24"/>
          <w:highlight w:val="none"/>
        </w:rPr>
        <w:t>3.2</w:t>
      </w:r>
      <w:r>
        <w:rPr>
          <w:rFonts w:hint="eastAsia" w:hAnsi="宋体" w:cs="宋体"/>
          <w:b/>
          <w:bCs/>
          <w:szCs w:val="24"/>
          <w:highlight w:val="none"/>
        </w:rPr>
        <w:t>根据本次采购项目的特殊要求，规定的供应商特殊条件（见供应商须知前附表）。</w:t>
      </w:r>
    </w:p>
    <w:p>
      <w:pPr>
        <w:spacing w:line="500" w:lineRule="exact"/>
        <w:ind w:firstLine="482" w:firstLineChars="200"/>
        <w:rPr>
          <w:rFonts w:hint="eastAsia" w:hAnsi="宋体" w:cs="宋体"/>
          <w:b/>
          <w:bCs/>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hAnsi="宋体" w:cs="宋体"/>
          <w:szCs w:val="24"/>
          <w:highlight w:val="none"/>
        </w:rPr>
      </w:pPr>
      <w:r>
        <w:rPr>
          <w:rFonts w:hint="eastAsia" w:hAnsi="宋体" w:cs="宋体"/>
          <w:szCs w:val="24"/>
          <w:highlight w:val="none"/>
        </w:rPr>
        <w:t>3.4供应商必须在</w:t>
      </w:r>
      <w:r>
        <w:rPr>
          <w:rFonts w:hint="eastAsia" w:hAnsi="宋体" w:cs="宋体"/>
          <w:szCs w:val="24"/>
          <w:highlight w:val="none"/>
          <w:lang w:eastAsia="zh-CN"/>
        </w:rPr>
        <w:t>陕西至诚招标咨询有限公司</w:t>
      </w:r>
      <w:r>
        <w:rPr>
          <w:rFonts w:hint="eastAsia" w:hAnsi="宋体" w:cs="宋体"/>
          <w:szCs w:val="24"/>
          <w:highlight w:val="none"/>
        </w:rPr>
        <w:t>购买</w:t>
      </w:r>
      <w:r>
        <w:rPr>
          <w:rFonts w:hint="eastAsia" w:hAnsi="宋体" w:cs="宋体"/>
          <w:color w:val="000000"/>
          <w:highlight w:val="none"/>
        </w:rPr>
        <w:t>竞争性磋商文件</w:t>
      </w:r>
      <w:r>
        <w:rPr>
          <w:rFonts w:hint="eastAsia" w:hAnsi="宋体" w:cs="宋体"/>
          <w:szCs w:val="24"/>
          <w:highlight w:val="none"/>
        </w:rPr>
        <w:t>，方可参加磋商。</w:t>
      </w:r>
      <w:r>
        <w:rPr>
          <w:rFonts w:hint="eastAsia" w:hAnsi="宋体" w:cs="宋体"/>
          <w:color w:val="000000"/>
          <w:highlight w:val="none"/>
        </w:rPr>
        <w:t>竞争性</w:t>
      </w:r>
      <w:r>
        <w:rPr>
          <w:rFonts w:hint="eastAsia" w:hAnsi="宋体" w:cs="宋体"/>
          <w:szCs w:val="24"/>
          <w:highlight w:val="none"/>
        </w:rPr>
        <w:t>磋商文件售后不退。</w:t>
      </w:r>
    </w:p>
    <w:p>
      <w:pPr>
        <w:spacing w:line="500" w:lineRule="exact"/>
        <w:ind w:firstLine="480" w:firstLineChars="200"/>
        <w:rPr>
          <w:rFonts w:hint="eastAsia" w:hAnsi="宋体" w:cs="宋体"/>
          <w:szCs w:val="24"/>
          <w:highlight w:val="none"/>
        </w:rPr>
      </w:pPr>
      <w:bookmarkStart w:id="37" w:name="OLE_LINK33"/>
      <w:r>
        <w:rPr>
          <w:rFonts w:hint="eastAsia" w:hAnsi="宋体" w:cs="宋体"/>
          <w:szCs w:val="24"/>
          <w:highlight w:val="none"/>
        </w:rPr>
        <w:t>3.</w:t>
      </w:r>
      <w:bookmarkEnd w:id="37"/>
      <w:r>
        <w:rPr>
          <w:rFonts w:hint="eastAsia" w:hAnsi="宋体" w:cs="宋体"/>
          <w:szCs w:val="24"/>
          <w:highlight w:val="none"/>
        </w:rPr>
        <w:t>5本项目不接受联合体磋商。</w:t>
      </w:r>
    </w:p>
    <w:p>
      <w:pPr>
        <w:spacing w:line="500" w:lineRule="exact"/>
        <w:ind w:firstLine="480" w:firstLineChars="200"/>
        <w:rPr>
          <w:rFonts w:hint="eastAsia"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spacing w:line="500" w:lineRule="exact"/>
        <w:rPr>
          <w:rFonts w:hint="eastAsia" w:hAnsi="宋体" w:cs="宋体"/>
          <w:b/>
          <w:szCs w:val="24"/>
          <w:highlight w:val="none"/>
        </w:rPr>
      </w:pPr>
      <w:r>
        <w:rPr>
          <w:rFonts w:hint="eastAsia" w:hAnsi="宋体" w:cs="宋体"/>
          <w:b/>
          <w:szCs w:val="24"/>
          <w:highlight w:val="none"/>
        </w:rPr>
        <w:t>4.竞争性磋商产品（含服务）的合格性和合法性</w:t>
      </w:r>
    </w:p>
    <w:p>
      <w:pPr>
        <w:tabs>
          <w:tab w:val="left" w:pos="747"/>
        </w:tabs>
        <w:snapToGrid w:val="0"/>
        <w:spacing w:line="500" w:lineRule="exact"/>
        <w:ind w:firstLine="480" w:firstLineChars="200"/>
        <w:rPr>
          <w:rFonts w:hint="eastAsia" w:hAnsi="宋体" w:cs="宋体"/>
          <w:color w:val="000000"/>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color w:val="000000"/>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hAnsi="宋体" w:cs="宋体"/>
          <w:szCs w:val="24"/>
          <w:highlight w:val="none"/>
        </w:rPr>
      </w:pPr>
      <w:r>
        <w:rPr>
          <w:rFonts w:hint="eastAsia" w:hAnsi="宋体" w:cs="宋体"/>
          <w:color w:val="000000"/>
          <w:highlight w:val="none"/>
        </w:rPr>
        <w:t>4.2采购人有权拒绝接受任何不合格的产品和服务，由此产生的费用及相关后果均由供应商自行承担。</w:t>
      </w:r>
    </w:p>
    <w:p>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pPr>
        <w:spacing w:line="360" w:lineRule="auto"/>
        <w:ind w:firstLine="480" w:firstLineChars="200"/>
        <w:rPr>
          <w:rFonts w:hint="eastAsia"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120" w:beforeLines="50" w:after="120" w:afterLines="50" w:line="360" w:lineRule="auto"/>
        <w:jc w:val="center"/>
        <w:rPr>
          <w:rFonts w:hint="eastAsia" w:hAnsi="宋体" w:cs="宋体"/>
          <w:b/>
          <w:sz w:val="32"/>
          <w:szCs w:val="32"/>
          <w:highlight w:val="none"/>
        </w:rPr>
      </w:pPr>
      <w:r>
        <w:rPr>
          <w:rFonts w:hint="eastAsia" w:hAnsi="宋体" w:cs="宋体"/>
          <w:b/>
          <w:sz w:val="32"/>
          <w:szCs w:val="32"/>
          <w:highlight w:val="none"/>
        </w:rPr>
        <w:t>二.竞争性磋商文件</w:t>
      </w:r>
      <w:bookmarkEnd w:id="34"/>
      <w:bookmarkEnd w:id="35"/>
      <w:bookmarkEnd w:id="36"/>
    </w:p>
    <w:p>
      <w:pPr>
        <w:spacing w:line="360" w:lineRule="auto"/>
        <w:rPr>
          <w:rFonts w:hint="eastAsia"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int="eastAsia"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int="eastAsia"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int="eastAsia" w:hAnsi="宋体" w:cs="宋体"/>
          <w:szCs w:val="24"/>
          <w:highlight w:val="none"/>
        </w:rPr>
      </w:pPr>
      <w:r>
        <w:rPr>
          <w:rFonts w:hint="eastAsia" w:hAnsi="宋体" w:cs="宋体"/>
          <w:szCs w:val="24"/>
          <w:highlight w:val="none"/>
        </w:rPr>
        <w:t>第三章 合同条款及格式</w:t>
      </w:r>
    </w:p>
    <w:p>
      <w:pPr>
        <w:spacing w:line="360" w:lineRule="auto"/>
        <w:ind w:firstLine="480" w:firstLineChars="200"/>
        <w:rPr>
          <w:rFonts w:hint="eastAsia" w:hAnsi="宋体" w:cs="宋体"/>
          <w:szCs w:val="24"/>
          <w:highlight w:val="none"/>
        </w:rPr>
      </w:pPr>
      <w:r>
        <w:rPr>
          <w:rFonts w:hint="eastAsia" w:hAnsi="宋体" w:cs="宋体"/>
          <w:szCs w:val="24"/>
          <w:highlight w:val="none"/>
        </w:rPr>
        <w:t>第四章 项目概况及技术要求</w:t>
      </w:r>
    </w:p>
    <w:p>
      <w:pPr>
        <w:spacing w:line="360" w:lineRule="auto"/>
        <w:ind w:firstLine="480" w:firstLineChars="200"/>
        <w:rPr>
          <w:rFonts w:hint="eastAsia" w:hAnsi="宋体" w:cs="宋体"/>
          <w:szCs w:val="24"/>
          <w:highlight w:val="none"/>
        </w:rPr>
      </w:pPr>
      <w:r>
        <w:rPr>
          <w:rFonts w:hint="eastAsia" w:hAnsi="宋体" w:cs="宋体"/>
          <w:szCs w:val="24"/>
          <w:highlight w:val="none"/>
        </w:rPr>
        <w:t>第五章 评审方法</w:t>
      </w:r>
    </w:p>
    <w:p>
      <w:pPr>
        <w:spacing w:line="360" w:lineRule="auto"/>
        <w:ind w:firstLine="480" w:firstLineChars="200"/>
        <w:rPr>
          <w:rFonts w:hint="eastAsia" w:hAnsi="宋体" w:cs="宋体"/>
          <w:szCs w:val="24"/>
          <w:highlight w:val="none"/>
        </w:rPr>
      </w:pPr>
      <w:r>
        <w:rPr>
          <w:rFonts w:hint="eastAsia" w:hAnsi="宋体" w:cs="宋体"/>
          <w:szCs w:val="24"/>
          <w:highlight w:val="none"/>
        </w:rPr>
        <w:t>第六章 竞争性磋商响应文件构成及格式</w:t>
      </w:r>
    </w:p>
    <w:p>
      <w:pPr>
        <w:spacing w:line="360" w:lineRule="auto"/>
        <w:ind w:firstLine="480" w:firstLineChars="200"/>
        <w:rPr>
          <w:rFonts w:hint="eastAsia"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hAnsi="宋体" w:cs="宋体"/>
          <w:szCs w:val="24"/>
          <w:highlight w:val="none"/>
        </w:rPr>
      </w:pPr>
      <w:r>
        <w:rPr>
          <w:rFonts w:hint="eastAsia" w:hAnsi="宋体" w:cs="宋体"/>
          <w:szCs w:val="24"/>
          <w:highlight w:val="none"/>
        </w:rPr>
        <w:t>6.3本竞争性磋商文件的解释权归</w:t>
      </w:r>
      <w:r>
        <w:rPr>
          <w:rFonts w:hint="eastAsia" w:hAnsi="宋体" w:cs="宋体"/>
          <w:szCs w:val="24"/>
          <w:highlight w:val="none"/>
          <w:lang w:eastAsia="zh-CN"/>
        </w:rPr>
        <w:t>陕西至诚招标咨询有限公司</w:t>
      </w:r>
      <w:r>
        <w:rPr>
          <w:rFonts w:hint="eastAsia" w:hAnsi="宋体" w:cs="宋体"/>
          <w:szCs w:val="24"/>
          <w:highlight w:val="none"/>
        </w:rPr>
        <w:t>，如发现竞争性磋商响应文件内容与现行法律法规不相符的情况，以现行法律法规为准。</w:t>
      </w:r>
    </w:p>
    <w:p>
      <w:pPr>
        <w:spacing w:line="360" w:lineRule="auto"/>
        <w:rPr>
          <w:rFonts w:hint="eastAsia"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int="eastAsia" w:hAnsi="宋体" w:cs="宋体"/>
          <w:szCs w:val="24"/>
          <w:highlight w:val="none"/>
        </w:rPr>
      </w:pPr>
      <w:r>
        <w:rPr>
          <w:rFonts w:hint="eastAsia" w:hAnsi="宋体" w:cs="宋体"/>
          <w:szCs w:val="24"/>
          <w:highlight w:val="none"/>
        </w:rPr>
        <w:t>7.1在磋商响应文件截止时间3日前，采购代理机构可以视采购具体情况，延长竞争性磋商响应文件递交截止时间和磋商时间并在财政部门指定的媒体上发布变更公告，同时将变更时间书面通知所有购买竞争性磋商文件的磋商申请人。</w:t>
      </w:r>
    </w:p>
    <w:p>
      <w:pPr>
        <w:spacing w:line="360" w:lineRule="auto"/>
        <w:ind w:firstLine="480" w:firstLineChars="200"/>
        <w:rPr>
          <w:rFonts w:hint="eastAsia" w:hAnsi="宋体" w:cs="宋体"/>
          <w:szCs w:val="24"/>
          <w:highlight w:val="none"/>
        </w:rPr>
      </w:pPr>
      <w:r>
        <w:rPr>
          <w:rFonts w:hint="eastAsia" w:hAnsi="宋体" w:cs="宋体"/>
          <w:szCs w:val="24"/>
          <w:highlight w:val="none"/>
        </w:rPr>
        <w:t>7.2采购单位如果对已发出的竞争性磋商文件进行必要的澄清或者修改，将在竞争性磋商文件要求提交竞争性磋商响应文件截止时间3个工作日前，以书面形式通知所有购买竞争性磋商文件的磋商申请人。该澄清或者修改的内容为竞争性磋商文件的组成部分。</w:t>
      </w:r>
    </w:p>
    <w:p>
      <w:pPr>
        <w:spacing w:line="360" w:lineRule="auto"/>
        <w:ind w:firstLine="480" w:firstLineChars="200"/>
        <w:rPr>
          <w:rFonts w:hint="eastAsia" w:hAnsi="宋体" w:cs="宋体"/>
          <w:szCs w:val="24"/>
          <w:highlight w:val="none"/>
        </w:rPr>
      </w:pPr>
      <w:r>
        <w:rPr>
          <w:rFonts w:hint="eastAsia" w:hAnsi="宋体" w:cs="宋体"/>
          <w:szCs w:val="24"/>
          <w:highlight w:val="none"/>
        </w:rPr>
        <w:t>7.3已经购买竞争性磋商文件的供应商对竞争性磋商文件有疑问的，均应在磋商截止日期2日前以书面形式向采购代理机构提出。采购代理机构视情况必要时将书面答复传送给每个购买竞争性磋商文件的供应商。</w:t>
      </w:r>
    </w:p>
    <w:p>
      <w:pPr>
        <w:spacing w:line="360" w:lineRule="auto"/>
        <w:ind w:firstLine="480" w:firstLineChars="200"/>
        <w:rPr>
          <w:rFonts w:hint="eastAsia"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120" w:beforeLines="50" w:after="120" w:afterLines="50" w:line="360" w:lineRule="auto"/>
        <w:jc w:val="center"/>
        <w:rPr>
          <w:rFonts w:hint="eastAsia" w:hAnsi="宋体" w:cs="宋体"/>
          <w:b/>
          <w:sz w:val="32"/>
          <w:szCs w:val="32"/>
          <w:highlight w:val="none"/>
        </w:rPr>
      </w:pPr>
      <w:bookmarkStart w:id="38" w:name="_Toc363473974"/>
      <w:bookmarkStart w:id="39" w:name="_Toc363474019"/>
      <w:bookmarkStart w:id="40" w:name="_Toc403077641"/>
      <w:r>
        <w:rPr>
          <w:rFonts w:hint="eastAsia" w:hAnsi="宋体" w:cs="宋体"/>
          <w:b/>
          <w:sz w:val="32"/>
          <w:szCs w:val="32"/>
          <w:highlight w:val="none"/>
        </w:rPr>
        <w:t>三.磋商响应文件的编制</w:t>
      </w:r>
      <w:bookmarkEnd w:id="38"/>
      <w:bookmarkEnd w:id="39"/>
      <w:bookmarkEnd w:id="40"/>
    </w:p>
    <w:p>
      <w:pPr>
        <w:spacing w:line="360" w:lineRule="auto"/>
        <w:rPr>
          <w:rFonts w:hint="eastAsia" w:hAnsi="宋体" w:cs="宋体"/>
          <w:b/>
          <w:szCs w:val="24"/>
          <w:highlight w:val="none"/>
        </w:rPr>
      </w:pPr>
      <w:r>
        <w:rPr>
          <w:rFonts w:hint="eastAsia" w:hAnsi="宋体" w:cs="宋体"/>
          <w:b/>
          <w:szCs w:val="24"/>
          <w:highlight w:val="none"/>
        </w:rPr>
        <w:t>8.磋商语言和磋商货币</w:t>
      </w:r>
    </w:p>
    <w:p>
      <w:pPr>
        <w:spacing w:line="360" w:lineRule="auto"/>
        <w:ind w:firstLine="480" w:firstLineChars="200"/>
        <w:rPr>
          <w:rFonts w:hint="eastAsia"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int="eastAsia"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int="eastAsia"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int="eastAsia" w:hAnsi="宋体" w:cs="宋体"/>
          <w:szCs w:val="24"/>
          <w:highlight w:val="none"/>
        </w:rPr>
      </w:pPr>
      <w:r>
        <w:rPr>
          <w:rFonts w:hint="eastAsia" w:hAnsi="宋体" w:cs="宋体"/>
          <w:szCs w:val="24"/>
          <w:highlight w:val="none"/>
        </w:rPr>
        <w:t>1） 按照供应商须知的要求和竞争性磋商文件规定格式填写的竞争性磋商函、磋商报价表、法定代表人授权委托书。</w:t>
      </w:r>
    </w:p>
    <w:p>
      <w:pPr>
        <w:spacing w:line="500" w:lineRule="exact"/>
        <w:ind w:firstLine="480" w:firstLineChars="200"/>
        <w:rPr>
          <w:rFonts w:hint="eastAsia" w:hAnsi="宋体" w:cs="宋体"/>
          <w:szCs w:val="24"/>
          <w:highlight w:val="none"/>
        </w:rPr>
      </w:pPr>
      <w:r>
        <w:rPr>
          <w:rFonts w:hint="eastAsia" w:hAnsi="宋体" w:cs="宋体"/>
          <w:szCs w:val="24"/>
          <w:highlight w:val="none"/>
        </w:rPr>
        <w:t>2）按照竞争性磋商文件的要求编制的磋商方案说明书，内容至少应包括项目实施方案和履约能力及服务承诺说明等。</w:t>
      </w:r>
    </w:p>
    <w:p>
      <w:pPr>
        <w:spacing w:line="360" w:lineRule="auto"/>
        <w:ind w:firstLine="480" w:firstLineChars="200"/>
        <w:rPr>
          <w:rFonts w:hint="eastAsia"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int="eastAsia" w:hAnsi="宋体" w:cs="宋体"/>
          <w:szCs w:val="24"/>
          <w:highlight w:val="none"/>
        </w:rPr>
      </w:pPr>
      <w:r>
        <w:rPr>
          <w:rFonts w:hint="eastAsia" w:hAnsi="宋体" w:cs="宋体"/>
          <w:szCs w:val="24"/>
          <w:highlight w:val="none"/>
        </w:rPr>
        <w:t>4）按照本须知第14条要求提交的磋商保证金。</w:t>
      </w:r>
    </w:p>
    <w:p>
      <w:pPr>
        <w:spacing w:line="360" w:lineRule="auto"/>
        <w:ind w:firstLine="480" w:firstLineChars="200"/>
        <w:rPr>
          <w:rFonts w:hint="eastAsia" w:hAnsi="宋体" w:cs="宋体"/>
          <w:szCs w:val="24"/>
          <w:highlight w:val="none"/>
        </w:rPr>
      </w:pPr>
      <w:r>
        <w:rPr>
          <w:rFonts w:hint="eastAsia" w:hAnsi="宋体" w:cs="宋体"/>
          <w:szCs w:val="24"/>
          <w:highlight w:val="none"/>
        </w:rPr>
        <w:t>5）竞争磋商文件中要求的其他证明文件。</w:t>
      </w:r>
    </w:p>
    <w:p>
      <w:pPr>
        <w:spacing w:line="500" w:lineRule="exact"/>
        <w:ind w:firstLine="480" w:firstLineChars="200"/>
        <w:rPr>
          <w:rFonts w:hint="eastAsia"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500" w:lineRule="exact"/>
        <w:ind w:firstLine="480" w:firstLineChars="200"/>
        <w:rPr>
          <w:rFonts w:hint="eastAsia"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int="eastAsia"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hAnsi="宋体" w:cs="宋体"/>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hAnsi="宋体" w:cs="宋体"/>
          <w:b/>
          <w:szCs w:val="24"/>
          <w:highlight w:val="none"/>
        </w:rPr>
      </w:pPr>
      <w:r>
        <w:rPr>
          <w:rFonts w:hint="eastAsia" w:hAnsi="宋体" w:cs="宋体"/>
          <w:b/>
          <w:szCs w:val="24"/>
          <w:highlight w:val="none"/>
        </w:rPr>
        <w:t>11.磋商报价</w:t>
      </w:r>
    </w:p>
    <w:p>
      <w:pPr>
        <w:spacing w:line="360" w:lineRule="auto"/>
        <w:ind w:firstLine="480" w:firstLineChars="200"/>
        <w:rPr>
          <w:rFonts w:hint="eastAsia" w:hAnsi="宋体" w:cs="宋体"/>
          <w:szCs w:val="24"/>
          <w:highlight w:val="none"/>
        </w:rPr>
      </w:pPr>
      <w:r>
        <w:rPr>
          <w:rFonts w:hint="eastAsia" w:hAnsi="宋体" w:cs="宋体"/>
          <w:szCs w:val="24"/>
          <w:highlight w:val="none"/>
        </w:rPr>
        <w:t>11.1磋商报价：为完成本项目全部内容的价格体现，包括但不限于苗木费、养护费、劳务费、管理费、税金等其他一切相关费用，任何有选择的报价将不予接受，按无效磋商响应。供应商所报的价格应考虑到可能发生的所有与完成本项目相关服务及履行合同义务有关的一切费用。</w:t>
      </w:r>
    </w:p>
    <w:p>
      <w:pPr>
        <w:spacing w:line="360" w:lineRule="auto"/>
        <w:ind w:firstLine="480" w:firstLineChars="200"/>
        <w:rPr>
          <w:rFonts w:hint="eastAsia" w:hAnsi="宋体" w:cs="宋体"/>
          <w:szCs w:val="24"/>
          <w:highlight w:val="none"/>
        </w:rPr>
      </w:pPr>
      <w:r>
        <w:rPr>
          <w:rFonts w:hint="eastAsia" w:hAnsi="宋体" w:cs="宋体"/>
          <w:szCs w:val="24"/>
          <w:highlight w:val="none"/>
        </w:rPr>
        <w:t>11.2磋商报价表中标明本次服务的所有单项价格，任何有选择的报价将不予接受，按无效文件处理。所有价格均以人民币报价。</w:t>
      </w:r>
    </w:p>
    <w:p>
      <w:pPr>
        <w:spacing w:line="360" w:lineRule="auto"/>
        <w:ind w:firstLine="480" w:firstLineChars="200"/>
        <w:rPr>
          <w:rFonts w:hint="eastAsia"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int="eastAsia"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hAnsi="宋体" w:cs="宋体"/>
          <w:b/>
          <w:szCs w:val="24"/>
          <w:highlight w:val="none"/>
        </w:rPr>
      </w:pPr>
      <w:r>
        <w:rPr>
          <w:rFonts w:hint="eastAsia" w:hAnsi="宋体" w:cs="宋体"/>
          <w:b/>
          <w:szCs w:val="24"/>
          <w:highlight w:val="none"/>
        </w:rPr>
        <w:t>13.证明的合格性和符合竞争性磋商文件规定的文件</w:t>
      </w:r>
    </w:p>
    <w:p>
      <w:pPr>
        <w:spacing w:line="360" w:lineRule="auto"/>
        <w:ind w:firstLine="480" w:firstLineChars="200"/>
        <w:rPr>
          <w:rFonts w:hint="eastAsia"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pacing w:line="500" w:lineRule="exact"/>
        <w:ind w:firstLine="480" w:firstLineChars="200"/>
        <w:rPr>
          <w:rFonts w:hint="eastAsia" w:hAnsi="宋体" w:cs="宋体"/>
          <w:szCs w:val="24"/>
          <w:highlight w:val="none"/>
        </w:rPr>
      </w:pPr>
      <w:r>
        <w:rPr>
          <w:rFonts w:hint="eastAsia" w:hAnsi="宋体" w:cs="宋体"/>
          <w:szCs w:val="24"/>
          <w:highlight w:val="none"/>
        </w:rPr>
        <w:t>13.2上述证明文件可以是文字资料、图纸、图片、数据等，所有证明文件表达意思必须统一。</w:t>
      </w:r>
    </w:p>
    <w:p>
      <w:pPr>
        <w:spacing w:line="360" w:lineRule="auto"/>
        <w:rPr>
          <w:rFonts w:hint="eastAsia" w:hAnsi="宋体" w:cs="宋体"/>
          <w:b/>
          <w:szCs w:val="24"/>
          <w:highlight w:val="none"/>
        </w:rPr>
      </w:pPr>
      <w:r>
        <w:rPr>
          <w:rFonts w:hint="eastAsia" w:hAnsi="宋体" w:cs="宋体"/>
          <w:b/>
          <w:szCs w:val="24"/>
          <w:highlight w:val="none"/>
        </w:rPr>
        <w:t>14.磋商保证金</w:t>
      </w:r>
    </w:p>
    <w:p>
      <w:pPr>
        <w:spacing w:line="360" w:lineRule="auto"/>
        <w:ind w:firstLine="480" w:firstLineChars="200"/>
        <w:rPr>
          <w:rFonts w:hint="eastAsia" w:hAnsi="宋体" w:cs="宋体"/>
          <w:szCs w:val="24"/>
          <w:highlight w:val="none"/>
        </w:rPr>
      </w:pPr>
      <w:r>
        <w:rPr>
          <w:rFonts w:hint="eastAsia" w:hAnsi="宋体" w:cs="宋体"/>
          <w:szCs w:val="24"/>
          <w:highlight w:val="none"/>
        </w:rPr>
        <w:t>14.1供应商在磋商时应向</w:t>
      </w:r>
      <w:r>
        <w:rPr>
          <w:rFonts w:hint="eastAsia" w:hAnsi="宋体" w:cs="宋体"/>
          <w:szCs w:val="24"/>
          <w:highlight w:val="none"/>
          <w:lang w:eastAsia="zh-CN"/>
        </w:rPr>
        <w:t>陕西至诚招标咨询有限公司</w:t>
      </w:r>
      <w:r>
        <w:rPr>
          <w:rFonts w:hint="eastAsia" w:hAnsi="宋体" w:cs="宋体"/>
          <w:szCs w:val="24"/>
          <w:highlight w:val="none"/>
        </w:rPr>
        <w:t>提交“供应商须知前附表”规定数额的磋商保证金,并作为其磋商的一部分。</w:t>
      </w:r>
    </w:p>
    <w:p>
      <w:pPr>
        <w:spacing w:line="360" w:lineRule="auto"/>
        <w:ind w:firstLine="480" w:firstLineChars="200"/>
        <w:rPr>
          <w:rFonts w:hint="eastAsia" w:hAnsi="宋体" w:cs="宋体"/>
          <w:szCs w:val="24"/>
          <w:highlight w:val="none"/>
        </w:rPr>
      </w:pPr>
      <w:r>
        <w:rPr>
          <w:rFonts w:hint="eastAsia" w:hAnsi="宋体" w:cs="宋体"/>
          <w:szCs w:val="24"/>
          <w:highlight w:val="none"/>
        </w:rPr>
        <w:t>14.2磋商保证金是为了保护采购单位（包括</w:t>
      </w:r>
      <w:r>
        <w:rPr>
          <w:rFonts w:hint="eastAsia" w:hAnsi="宋体" w:cs="宋体"/>
          <w:szCs w:val="24"/>
          <w:highlight w:val="none"/>
          <w:lang w:eastAsia="zh-CN"/>
        </w:rPr>
        <w:t>陕西至诚招标咨询有限公司</w:t>
      </w:r>
      <w:r>
        <w:rPr>
          <w:rFonts w:hint="eastAsia" w:hAnsi="宋体" w:cs="宋体"/>
          <w:szCs w:val="24"/>
          <w:highlight w:val="none"/>
        </w:rPr>
        <w:t>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hAnsi="宋体" w:cs="宋体"/>
          <w:szCs w:val="24"/>
          <w:highlight w:val="none"/>
        </w:rPr>
      </w:pPr>
      <w:r>
        <w:rPr>
          <w:rFonts w:hint="eastAsia" w:hAnsi="宋体" w:cs="宋体"/>
          <w:szCs w:val="24"/>
          <w:highlight w:val="none"/>
        </w:rPr>
        <w:t>14.3磋商保证金可采取“供应商须知前附表”规定的任何一种形式。</w:t>
      </w:r>
    </w:p>
    <w:p>
      <w:pPr>
        <w:spacing w:line="360" w:lineRule="auto"/>
        <w:ind w:firstLine="480" w:firstLineChars="200"/>
        <w:rPr>
          <w:rFonts w:hint="eastAsia"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pPr>
        <w:spacing w:line="360" w:lineRule="auto"/>
        <w:ind w:firstLine="480" w:firstLineChars="200"/>
        <w:rPr>
          <w:rFonts w:hint="eastAsia" w:hAnsi="宋体" w:cs="宋体"/>
          <w:szCs w:val="24"/>
          <w:highlight w:val="none"/>
        </w:rPr>
      </w:pPr>
      <w:r>
        <w:rPr>
          <w:rFonts w:hint="eastAsia" w:hAnsi="宋体" w:cs="宋体"/>
          <w:szCs w:val="24"/>
          <w:highlight w:val="none"/>
        </w:rPr>
        <w:t>14.5开标后经审查，未提交磋商保证金、未按竞争性磋商文件规定时间提交磋商保证金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int="eastAsia"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pPr>
        <w:spacing w:line="360" w:lineRule="auto"/>
        <w:ind w:firstLine="480" w:firstLineChars="200"/>
        <w:rPr>
          <w:rFonts w:hint="eastAsia"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hAnsi="宋体" w:cs="宋体"/>
          <w:b/>
          <w:szCs w:val="24"/>
          <w:highlight w:val="none"/>
        </w:rPr>
      </w:pPr>
      <w:r>
        <w:rPr>
          <w:rFonts w:hint="eastAsia" w:hAnsi="宋体" w:cs="宋体"/>
          <w:b/>
          <w:szCs w:val="24"/>
          <w:highlight w:val="none"/>
        </w:rPr>
        <w:t>14.8 下列任何情况发生时，视为供应商违约，其磋商保证金将被没收：</w:t>
      </w:r>
    </w:p>
    <w:p>
      <w:pPr>
        <w:spacing w:line="360" w:lineRule="auto"/>
        <w:ind w:firstLine="480" w:firstLineChars="200"/>
        <w:rPr>
          <w:rFonts w:hint="eastAsia" w:hAnsi="宋体" w:cs="宋体"/>
          <w:szCs w:val="24"/>
          <w:highlight w:val="none"/>
        </w:rPr>
      </w:pPr>
      <w:r>
        <w:rPr>
          <w:rFonts w:hint="eastAsia" w:hAnsi="宋体" w:cs="宋体"/>
          <w:szCs w:val="24"/>
          <w:highlight w:val="none"/>
        </w:rPr>
        <w:t>1) 供应商在磋商有效期内撤回其磋商响应文件；</w:t>
      </w:r>
    </w:p>
    <w:p>
      <w:pPr>
        <w:spacing w:line="360" w:lineRule="auto"/>
        <w:ind w:firstLine="480" w:firstLineChars="200"/>
        <w:rPr>
          <w:rFonts w:hint="eastAsia" w:hAnsi="宋体" w:cs="宋体"/>
          <w:szCs w:val="24"/>
          <w:highlight w:val="none"/>
        </w:rPr>
      </w:pPr>
      <w:r>
        <w:rPr>
          <w:rFonts w:hint="eastAsia" w:hAnsi="宋体" w:cs="宋体"/>
          <w:szCs w:val="24"/>
          <w:highlight w:val="none"/>
        </w:rPr>
        <w:t>2）供应商在响应文件中提供伪造、套改、虚假资料参加磋商的。</w:t>
      </w:r>
    </w:p>
    <w:p>
      <w:pPr>
        <w:spacing w:line="360" w:lineRule="auto"/>
        <w:ind w:firstLine="480" w:firstLineChars="200"/>
        <w:rPr>
          <w:rFonts w:hint="eastAsia" w:hAnsi="宋体" w:cs="宋体"/>
          <w:szCs w:val="24"/>
          <w:highlight w:val="none"/>
        </w:rPr>
      </w:pPr>
      <w:r>
        <w:rPr>
          <w:rFonts w:hint="eastAsia" w:hAnsi="宋体" w:cs="宋体"/>
          <w:szCs w:val="24"/>
          <w:highlight w:val="none"/>
        </w:rPr>
        <w:t>3) 供应商成交后放弃成交或未能按规定签订合同。</w:t>
      </w:r>
    </w:p>
    <w:p>
      <w:pPr>
        <w:spacing w:line="360" w:lineRule="auto"/>
        <w:ind w:firstLine="480" w:firstLineChars="200"/>
        <w:rPr>
          <w:rFonts w:hint="eastAsia"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hAnsi="宋体" w:cs="宋体"/>
          <w:szCs w:val="24"/>
          <w:highlight w:val="none"/>
        </w:rPr>
      </w:pPr>
      <w:r>
        <w:rPr>
          <w:rFonts w:hint="eastAsia" w:hAnsi="宋体" w:cs="宋体"/>
          <w:szCs w:val="24"/>
          <w:highlight w:val="none"/>
        </w:rPr>
        <w:t>5）供应商事先未通告无故不参加磋商活动的。</w:t>
      </w:r>
    </w:p>
    <w:p>
      <w:pPr>
        <w:spacing w:line="360" w:lineRule="auto"/>
        <w:ind w:firstLine="480" w:firstLineChars="200"/>
        <w:rPr>
          <w:rFonts w:hint="eastAsia"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int="eastAsia" w:hAnsi="宋体" w:cs="宋体"/>
          <w:szCs w:val="24"/>
          <w:highlight w:val="none"/>
        </w:rPr>
      </w:pPr>
      <w:r>
        <w:rPr>
          <w:rFonts w:hint="eastAsia" w:hAnsi="宋体" w:cs="宋体"/>
          <w:szCs w:val="24"/>
          <w:highlight w:val="none"/>
        </w:rPr>
        <w:t>14.9磋商保证金的有效期与磋商有效期一致。担保机构出具的保函的有效期为磋商有效期延长一个月。</w:t>
      </w:r>
    </w:p>
    <w:p>
      <w:pPr>
        <w:spacing w:line="360" w:lineRule="auto"/>
        <w:rPr>
          <w:rFonts w:hint="eastAsia"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int="eastAsia" w:hAnsi="宋体" w:cs="宋体"/>
          <w:szCs w:val="24"/>
          <w:highlight w:val="none"/>
        </w:rPr>
      </w:pPr>
      <w:bookmarkStart w:id="41"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1"/>
    </w:p>
    <w:p>
      <w:pPr>
        <w:spacing w:line="360" w:lineRule="auto"/>
        <w:ind w:firstLine="480" w:firstLineChars="200"/>
        <w:rPr>
          <w:rFonts w:hint="eastAsia"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int="eastAsia"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w:t>
      </w:r>
      <w:r>
        <w:rPr>
          <w:rFonts w:hint="eastAsia" w:hAnsi="宋体" w:cs="宋体"/>
          <w:szCs w:val="24"/>
          <w:highlight w:val="none"/>
          <w:lang w:eastAsia="zh-CN"/>
        </w:rPr>
        <w:t>、包号</w:t>
      </w:r>
      <w:r>
        <w:rPr>
          <w:rFonts w:hint="eastAsia" w:hAnsi="宋体" w:cs="宋体"/>
          <w:szCs w:val="24"/>
          <w:highlight w:val="none"/>
        </w:rPr>
        <w:t>，并与竞争性磋商响应文件同时递交。</w:t>
      </w:r>
    </w:p>
    <w:p>
      <w:pPr>
        <w:spacing w:line="500" w:lineRule="exact"/>
        <w:ind w:firstLine="480" w:firstLineChars="200"/>
        <w:rPr>
          <w:rFonts w:hint="eastAsia" w:hAnsi="宋体" w:cs="宋体"/>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所有竞争性磋商响应文件正本和副本须按第六章规定的顺序编排、并应编制目录、逐页标注连续页码，并</w:t>
      </w:r>
      <w:r>
        <w:rPr>
          <w:rFonts w:hint="eastAsia" w:hAnsi="宋体" w:cs="宋体"/>
          <w:highlight w:val="none"/>
        </w:rPr>
        <w:t>分别胶装成册。</w:t>
      </w:r>
    </w:p>
    <w:p>
      <w:pPr>
        <w:spacing w:line="360" w:lineRule="auto"/>
        <w:ind w:firstLine="480" w:firstLineChars="200"/>
        <w:rPr>
          <w:rFonts w:hint="eastAsia"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0" w:firstLineChars="200"/>
        <w:rPr>
          <w:rFonts w:hint="eastAsia" w:hAnsi="宋体" w:cs="宋体"/>
          <w:szCs w:val="24"/>
          <w:highlight w:val="none"/>
        </w:rPr>
      </w:pPr>
      <w:r>
        <w:rPr>
          <w:rFonts w:hint="eastAsia" w:hAnsi="宋体" w:cs="宋体"/>
          <w:szCs w:val="24"/>
          <w:highlight w:val="none"/>
        </w:rPr>
        <w:t>16.</w:t>
      </w:r>
      <w:r>
        <w:rPr>
          <w:rFonts w:hint="eastAsia" w:hAnsi="宋体" w:cs="宋体"/>
          <w:szCs w:val="24"/>
          <w:highlight w:val="none"/>
          <w:lang w:val="en-US" w:eastAsia="zh-CN"/>
        </w:rPr>
        <w:t>4</w:t>
      </w:r>
      <w:r>
        <w:rPr>
          <w:rFonts w:hint="eastAsia" w:hAnsi="宋体" w:cs="宋体"/>
          <w:szCs w:val="24"/>
          <w:highlight w:val="none"/>
        </w:rPr>
        <w:t>供应商名称应填写全称</w:t>
      </w:r>
      <w:r>
        <w:rPr>
          <w:rFonts w:hint="eastAsia" w:hAnsi="宋体" w:cs="宋体"/>
          <w:szCs w:val="24"/>
          <w:highlight w:val="none"/>
          <w:lang w:eastAsia="zh-CN"/>
        </w:rPr>
        <w:t>，</w:t>
      </w:r>
      <w:r>
        <w:rPr>
          <w:rFonts w:hint="eastAsia" w:hAnsi="宋体" w:cs="宋体"/>
          <w:szCs w:val="24"/>
          <w:highlight w:val="none"/>
        </w:rPr>
        <w:t>因字迹潦草、表述不清或不按竞争性磋商文件格式编制的竞争性磋商响应文件，所引起的对供应商不利的后果，由供应商自行负责。</w:t>
      </w:r>
    </w:p>
    <w:p>
      <w:pPr>
        <w:spacing w:line="360" w:lineRule="auto"/>
        <w:ind w:firstLine="480" w:firstLineChars="200"/>
        <w:rPr>
          <w:rFonts w:hint="eastAsia" w:hAnsi="宋体" w:cs="宋体"/>
          <w:color w:val="000000"/>
          <w:highlight w:val="none"/>
        </w:rPr>
      </w:pPr>
      <w:r>
        <w:rPr>
          <w:rFonts w:hint="eastAsia" w:hAnsi="宋体" w:cs="宋体"/>
          <w:szCs w:val="24"/>
          <w:highlight w:val="none"/>
        </w:rPr>
        <w:t>16.</w:t>
      </w:r>
      <w:r>
        <w:rPr>
          <w:rFonts w:hint="eastAsia" w:hAnsi="宋体" w:cs="宋体"/>
          <w:szCs w:val="24"/>
          <w:highlight w:val="none"/>
          <w:lang w:val="en-US" w:eastAsia="zh-CN"/>
        </w:rPr>
        <w:t>5</w:t>
      </w:r>
      <w:r>
        <w:rPr>
          <w:rFonts w:hint="eastAsia" w:hAnsi="宋体" w:cs="宋体"/>
          <w:szCs w:val="24"/>
          <w:highlight w:val="none"/>
        </w:rPr>
        <w:t>竞争性磋商文件的副本、电子版须和正本保持一致。</w:t>
      </w:r>
      <w:r>
        <w:rPr>
          <w:rFonts w:hint="eastAsia" w:hAnsi="宋体" w:cs="宋体"/>
          <w:color w:val="000000"/>
          <w:highlight w:val="none"/>
        </w:rPr>
        <w:t>若正本、副本和电子版有不一致的内容，以正本为准。</w:t>
      </w:r>
    </w:p>
    <w:p>
      <w:pPr>
        <w:keepNext/>
        <w:keepLines/>
        <w:spacing w:after="120" w:afterLines="50" w:line="360" w:lineRule="auto"/>
        <w:jc w:val="center"/>
        <w:rPr>
          <w:rFonts w:hint="eastAsia" w:hAnsi="宋体" w:cs="宋体"/>
          <w:b/>
          <w:sz w:val="32"/>
          <w:szCs w:val="32"/>
          <w:highlight w:val="none"/>
        </w:rPr>
      </w:pPr>
      <w:r>
        <w:rPr>
          <w:rFonts w:hint="eastAsia" w:hAnsi="宋体" w:cs="宋体"/>
          <w:b/>
          <w:sz w:val="32"/>
          <w:szCs w:val="32"/>
          <w:highlight w:val="none"/>
        </w:rPr>
        <w:t>四.竞争性磋商响应文件的递交</w:t>
      </w:r>
    </w:p>
    <w:p>
      <w:pPr>
        <w:spacing w:line="360" w:lineRule="auto"/>
        <w:rPr>
          <w:rFonts w:hint="eastAsia"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int="eastAsia"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hAnsi="宋体" w:cs="宋体"/>
          <w:szCs w:val="24"/>
          <w:highlight w:val="none"/>
        </w:rPr>
      </w:pPr>
      <w:r>
        <w:rPr>
          <w:rFonts w:hint="eastAsia" w:hAnsi="宋体" w:cs="宋体"/>
          <w:highlight w:val="none"/>
        </w:rPr>
        <w:t>17.2供应商应将竞争性磋商响应文件正本、</w:t>
      </w:r>
      <w:r>
        <w:rPr>
          <w:rFonts w:hint="eastAsia" w:hAnsi="宋体" w:cs="宋体"/>
          <w:szCs w:val="24"/>
          <w:highlight w:val="none"/>
        </w:rPr>
        <w:t>所有的副本、</w:t>
      </w:r>
      <w:r>
        <w:rPr>
          <w:rFonts w:hint="eastAsia" w:hAnsi="宋体" w:cs="宋体"/>
          <w:highlight w:val="none"/>
        </w:rPr>
        <w:t>电子版本、报价一览表单独密封装在封袋中（封袋不得有破损），且在封袋正面标明</w:t>
      </w:r>
      <w:r>
        <w:rPr>
          <w:rFonts w:hint="eastAsia" w:hAnsi="宋体" w:cs="宋体"/>
          <w:szCs w:val="24"/>
          <w:highlight w:val="none"/>
        </w:rPr>
        <w:t>“正本”“副本”</w:t>
      </w:r>
      <w:r>
        <w:rPr>
          <w:rFonts w:hint="eastAsia" w:hAnsi="宋体" w:cs="宋体"/>
          <w:highlight w:val="none"/>
        </w:rPr>
        <w:t>“电子版本”“报价一览表”字样。封袋应加贴封条，并在封线处加盖供应商鲜章，封袋正面要粘贴供应商全称、项目名称、编号</w:t>
      </w:r>
      <w:r>
        <w:rPr>
          <w:rFonts w:hint="eastAsia" w:hAnsi="宋体" w:cs="宋体"/>
          <w:highlight w:val="none"/>
          <w:lang w:eastAsia="zh-CN"/>
        </w:rPr>
        <w:t>、包号</w:t>
      </w:r>
      <w:r>
        <w:rPr>
          <w:rFonts w:hint="eastAsia" w:hAnsi="宋体" w:cs="宋体"/>
          <w:highlight w:val="none"/>
        </w:rPr>
        <w:t>等标识。</w:t>
      </w:r>
    </w:p>
    <w:p>
      <w:pPr>
        <w:spacing w:line="360" w:lineRule="auto"/>
        <w:ind w:firstLine="480" w:firstLineChars="200"/>
        <w:rPr>
          <w:rFonts w:hint="eastAsia" w:hAnsi="宋体" w:cs="宋体"/>
          <w:szCs w:val="24"/>
          <w:highlight w:val="none"/>
        </w:rPr>
      </w:pPr>
      <w:r>
        <w:rPr>
          <w:rFonts w:hint="eastAsia" w:hAnsi="宋体" w:cs="宋体"/>
          <w:szCs w:val="24"/>
          <w:highlight w:val="none"/>
        </w:rPr>
        <w:t>外层包装请按以下要求标记：</w:t>
      </w:r>
    </w:p>
    <w:p>
      <w:pPr>
        <w:spacing w:line="360" w:lineRule="auto"/>
        <w:ind w:firstLine="720" w:firstLineChars="300"/>
        <w:rPr>
          <w:rFonts w:hint="eastAsia"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int="eastAsia" w:hAnsi="宋体" w:cs="宋体"/>
          <w:szCs w:val="24"/>
          <w:highlight w:val="none"/>
        </w:rPr>
      </w:pPr>
      <w:r>
        <w:rPr>
          <w:rFonts w:hint="eastAsia" w:hAnsi="宋体" w:cs="宋体"/>
          <w:szCs w:val="24"/>
          <w:highlight w:val="none"/>
        </w:rPr>
        <w:t>2) 磋商项目名称、项目编号</w:t>
      </w:r>
      <w:r>
        <w:rPr>
          <w:rFonts w:hint="eastAsia" w:hAnsi="宋体" w:cs="宋体"/>
          <w:szCs w:val="24"/>
          <w:highlight w:val="none"/>
          <w:lang w:eastAsia="zh-CN"/>
        </w:rPr>
        <w:t>、包号</w:t>
      </w:r>
      <w:r>
        <w:rPr>
          <w:rFonts w:hint="eastAsia" w:hAnsi="宋体" w:cs="宋体"/>
          <w:szCs w:val="24"/>
          <w:highlight w:val="none"/>
        </w:rPr>
        <w:t>；</w:t>
      </w:r>
    </w:p>
    <w:p>
      <w:pPr>
        <w:spacing w:line="360" w:lineRule="auto"/>
        <w:ind w:firstLine="720" w:firstLineChars="300"/>
        <w:rPr>
          <w:rFonts w:hint="eastAsia" w:hAnsi="宋体" w:cs="宋体"/>
          <w:szCs w:val="24"/>
          <w:highlight w:val="none"/>
        </w:rPr>
      </w:pPr>
      <w:r>
        <w:rPr>
          <w:rFonts w:hint="eastAsia" w:hAnsi="宋体" w:cs="宋体"/>
          <w:szCs w:val="24"/>
          <w:highlight w:val="none"/>
        </w:rPr>
        <w:t>3）正本或副本、电子版、报价一览表 “请勿在</w:t>
      </w:r>
      <w:r>
        <w:rPr>
          <w:rFonts w:hint="eastAsia" w:hAnsi="宋体" w:cs="宋体"/>
          <w:szCs w:val="24"/>
          <w:highlight w:val="none"/>
          <w:u w:val="single"/>
        </w:rPr>
        <w:t xml:space="preserve">              </w:t>
      </w:r>
      <w:r>
        <w:rPr>
          <w:rFonts w:hint="eastAsia" w:hAnsi="宋体" w:cs="宋体"/>
          <w:szCs w:val="24"/>
          <w:highlight w:val="none"/>
        </w:rPr>
        <w:t>(磋商时间)之前启封”。</w:t>
      </w:r>
    </w:p>
    <w:p>
      <w:pPr>
        <w:spacing w:line="360" w:lineRule="auto"/>
        <w:ind w:firstLine="480" w:firstLineChars="200"/>
        <w:rPr>
          <w:rFonts w:hint="eastAsia"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pPr>
        <w:spacing w:line="360" w:lineRule="auto"/>
        <w:rPr>
          <w:rFonts w:hint="eastAsia"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int="eastAsia"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hAnsi="宋体" w:cs="宋体"/>
          <w:szCs w:val="24"/>
          <w:highlight w:val="none"/>
        </w:rPr>
      </w:pPr>
      <w:r>
        <w:rPr>
          <w:rFonts w:hint="eastAsia" w:hAnsi="宋体" w:cs="宋体"/>
          <w:szCs w:val="24"/>
          <w:highlight w:val="none"/>
        </w:rPr>
        <w:t>18.2采购代理机构项目接收人在竞争性磋商文件规定的竞争性磋商响应文件递交截止时间前，只负责竞争性磋商响应文件的接收、清点、造册登记工作，并请递交人签字确认，对其有效性不负任何责任；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int="eastAsia"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int="eastAsia"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int="eastAsia"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int="eastAsia"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int="eastAsia"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120" w:beforeLines="50" w:after="120" w:afterLines="50" w:line="360" w:lineRule="auto"/>
        <w:jc w:val="center"/>
        <w:rPr>
          <w:rFonts w:hint="eastAsia" w:hAnsi="宋体" w:cs="宋体"/>
          <w:b/>
          <w:sz w:val="32"/>
          <w:szCs w:val="32"/>
          <w:highlight w:val="none"/>
        </w:rPr>
      </w:pPr>
      <w:bookmarkStart w:id="42" w:name="_Toc403077643"/>
      <w:bookmarkStart w:id="43" w:name="_Toc363474021"/>
      <w:bookmarkStart w:id="44" w:name="_Toc363473976"/>
      <w:r>
        <w:rPr>
          <w:rFonts w:hint="eastAsia" w:hAnsi="宋体" w:cs="宋体"/>
          <w:b/>
          <w:sz w:val="32"/>
          <w:szCs w:val="32"/>
          <w:highlight w:val="none"/>
        </w:rPr>
        <w:t>五.磋商与评标</w:t>
      </w:r>
      <w:bookmarkEnd w:id="42"/>
      <w:bookmarkEnd w:id="43"/>
      <w:bookmarkEnd w:id="44"/>
    </w:p>
    <w:p>
      <w:pPr>
        <w:spacing w:line="360" w:lineRule="auto"/>
        <w:rPr>
          <w:rFonts w:hint="eastAsia" w:hAnsi="宋体" w:cs="宋体"/>
          <w:b/>
          <w:szCs w:val="24"/>
          <w:highlight w:val="none"/>
        </w:rPr>
      </w:pPr>
      <w:r>
        <w:rPr>
          <w:rFonts w:hint="eastAsia" w:hAnsi="宋体" w:cs="宋体"/>
          <w:b/>
          <w:szCs w:val="24"/>
          <w:highlight w:val="none"/>
        </w:rPr>
        <w:t>21.磋商</w:t>
      </w:r>
    </w:p>
    <w:p>
      <w:pPr>
        <w:spacing w:line="360" w:lineRule="auto"/>
        <w:ind w:firstLine="480" w:firstLineChars="200"/>
        <w:rPr>
          <w:rFonts w:hint="eastAsia"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hAnsi="宋体" w:cs="宋体"/>
          <w:szCs w:val="24"/>
          <w:highlight w:val="none"/>
        </w:rPr>
      </w:pPr>
      <w:r>
        <w:rPr>
          <w:rFonts w:hint="eastAsia" w:hAnsi="宋体" w:cs="宋体"/>
          <w:szCs w:val="24"/>
          <w:highlight w:val="none"/>
        </w:rPr>
        <w:t>21.2采购代理机构将做磋商记录，存档备查。</w:t>
      </w:r>
    </w:p>
    <w:p>
      <w:pPr>
        <w:spacing w:line="360" w:lineRule="auto"/>
        <w:rPr>
          <w:rFonts w:hint="eastAsia" w:hAnsi="宋体" w:cs="宋体"/>
          <w:b/>
          <w:szCs w:val="24"/>
          <w:highlight w:val="none"/>
        </w:rPr>
      </w:pPr>
      <w:r>
        <w:rPr>
          <w:rFonts w:hint="eastAsia" w:hAnsi="宋体" w:cs="宋体"/>
          <w:b/>
          <w:szCs w:val="24"/>
          <w:highlight w:val="none"/>
        </w:rPr>
        <w:t>22．评审组织及评审原则</w:t>
      </w:r>
    </w:p>
    <w:p>
      <w:pPr>
        <w:spacing w:line="500" w:lineRule="exact"/>
        <w:ind w:firstLine="480" w:firstLineChars="200"/>
        <w:rPr>
          <w:rFonts w:hint="eastAsia" w:hAnsi="宋体" w:cs="宋体"/>
          <w:szCs w:val="24"/>
          <w:highlight w:val="none"/>
        </w:rPr>
      </w:pPr>
      <w:r>
        <w:rPr>
          <w:rFonts w:hint="eastAsia" w:hAnsi="宋体" w:cs="宋体"/>
          <w:szCs w:val="24"/>
          <w:highlight w:val="none"/>
        </w:rPr>
        <w:t>22.1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500" w:lineRule="exact"/>
        <w:ind w:firstLine="480" w:firstLineChars="200"/>
        <w:rPr>
          <w:rFonts w:hint="eastAsia" w:hAnsi="宋体" w:cs="宋体"/>
          <w:szCs w:val="24"/>
          <w:highlight w:val="none"/>
        </w:rPr>
      </w:pPr>
      <w:r>
        <w:rPr>
          <w:rFonts w:hint="eastAsia" w:hAnsi="宋体" w:cs="宋体"/>
          <w:szCs w:val="24"/>
          <w:highlight w:val="none"/>
        </w:rPr>
        <w:t>22.2竞争性磋商文件和竞争性磋商响应文件是评审的依据。在评审中，不得改变竞争性磋商文件中规定的评审标准、方法和成交条件。</w:t>
      </w:r>
    </w:p>
    <w:p>
      <w:pPr>
        <w:spacing w:line="500" w:lineRule="exact"/>
        <w:ind w:firstLine="480" w:firstLineChars="200"/>
        <w:rPr>
          <w:rFonts w:hint="eastAsia" w:hAnsi="宋体" w:cs="宋体"/>
          <w:szCs w:val="24"/>
          <w:highlight w:val="none"/>
        </w:rPr>
      </w:pPr>
      <w:r>
        <w:rPr>
          <w:rFonts w:hint="eastAsia" w:hAnsi="宋体" w:cs="宋体"/>
          <w:szCs w:val="24"/>
          <w:highlight w:val="none"/>
        </w:rPr>
        <w:t>22.3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500" w:lineRule="exact"/>
        <w:ind w:firstLine="480" w:firstLineChars="200"/>
        <w:rPr>
          <w:rFonts w:hint="eastAsia" w:hAnsi="宋体" w:cs="宋体"/>
          <w:szCs w:val="24"/>
          <w:highlight w:val="none"/>
        </w:rPr>
      </w:pPr>
      <w:r>
        <w:rPr>
          <w:rFonts w:hint="eastAsia" w:hAnsi="宋体" w:cs="宋体"/>
          <w:szCs w:val="24"/>
          <w:highlight w:val="none"/>
        </w:rPr>
        <w:t>22.4如果供应商在澄清规定期限内，未能答复或拒绝答复磋商小组提出的澄清要求，将由磋商小组根据其竞争性磋商响应文件按最大风险进行评审。</w:t>
      </w:r>
    </w:p>
    <w:p>
      <w:pPr>
        <w:spacing w:line="500" w:lineRule="exact"/>
        <w:ind w:firstLine="480" w:firstLineChars="200"/>
        <w:rPr>
          <w:rFonts w:hint="eastAsia" w:hAnsi="宋体" w:cs="宋体"/>
          <w:szCs w:val="24"/>
          <w:highlight w:val="none"/>
        </w:rPr>
      </w:pPr>
      <w:r>
        <w:rPr>
          <w:rFonts w:hint="eastAsia" w:hAnsi="宋体" w:cs="宋体"/>
          <w:szCs w:val="24"/>
          <w:highlight w:val="none"/>
        </w:rPr>
        <w:t>22.5磋商过程中的实质性变动：</w:t>
      </w:r>
    </w:p>
    <w:p>
      <w:pPr>
        <w:spacing w:line="500" w:lineRule="exact"/>
        <w:ind w:firstLine="480" w:firstLineChars="200"/>
        <w:rPr>
          <w:rFonts w:hint="eastAsia" w:hAnsi="宋体" w:cs="宋体"/>
          <w:szCs w:val="24"/>
          <w:highlight w:val="none"/>
        </w:rPr>
      </w:pPr>
      <w:r>
        <w:rPr>
          <w:rFonts w:hint="eastAsia" w:hAnsi="宋体" w:cs="宋体"/>
          <w:szCs w:val="24"/>
          <w:highlight w:val="none"/>
        </w:rPr>
        <w:t>22.5.1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500" w:lineRule="exact"/>
        <w:ind w:firstLine="480" w:firstLineChars="200"/>
        <w:rPr>
          <w:rFonts w:hint="eastAsia" w:hAnsi="宋体" w:cs="宋体"/>
          <w:szCs w:val="24"/>
          <w:highlight w:val="none"/>
        </w:rPr>
      </w:pPr>
      <w:r>
        <w:rPr>
          <w:rFonts w:hint="eastAsia" w:hAnsi="宋体" w:cs="宋体"/>
          <w:szCs w:val="24"/>
          <w:highlight w:val="none"/>
        </w:rPr>
        <w:t>22.5.2对竞争性磋商文件做出的实质性变动是磋商文件的有效组成部分，磋商小组应当及时以书面形式通知所有参加磋商的供应商。</w:t>
      </w:r>
    </w:p>
    <w:p>
      <w:pPr>
        <w:spacing w:line="500" w:lineRule="exact"/>
        <w:ind w:firstLine="480" w:firstLineChars="200"/>
        <w:rPr>
          <w:rFonts w:hint="eastAsia" w:hAnsi="宋体" w:cs="宋体"/>
          <w:szCs w:val="24"/>
          <w:highlight w:val="none"/>
        </w:rPr>
      </w:pPr>
      <w:r>
        <w:rPr>
          <w:rFonts w:hint="eastAsia" w:hAnsi="宋体" w:cs="宋体"/>
          <w:szCs w:val="24"/>
          <w:highlight w:val="none"/>
        </w:rPr>
        <w:t>22.6竞争性磋商响应文件的初审（含资格性检查和符合性检查）</w:t>
      </w:r>
    </w:p>
    <w:p>
      <w:pPr>
        <w:spacing w:line="500" w:lineRule="exact"/>
        <w:ind w:firstLine="480" w:firstLineChars="200"/>
        <w:rPr>
          <w:rFonts w:hint="eastAsia" w:hAnsi="宋体" w:cs="宋体"/>
          <w:szCs w:val="24"/>
          <w:highlight w:val="none"/>
        </w:rPr>
      </w:pPr>
      <w:r>
        <w:rPr>
          <w:rFonts w:hint="eastAsia" w:hAnsi="宋体" w:cs="宋体"/>
          <w:szCs w:val="24"/>
          <w:highlight w:val="none"/>
        </w:rPr>
        <w:t>22.6.1磋商小组将审查竞争性磋商响应文件是否完整、资格证明文件是否齐全，磋商保证金是否合格、有无计算上的错误等。</w:t>
      </w:r>
    </w:p>
    <w:p>
      <w:pPr>
        <w:spacing w:line="500" w:lineRule="exact"/>
        <w:ind w:firstLine="482" w:firstLineChars="200"/>
        <w:rPr>
          <w:rFonts w:hint="eastAsia" w:hAnsi="宋体" w:cs="宋体"/>
          <w:b/>
          <w:szCs w:val="24"/>
          <w:highlight w:val="none"/>
        </w:rPr>
      </w:pPr>
      <w:r>
        <w:rPr>
          <w:rFonts w:hint="eastAsia" w:hAnsi="宋体" w:cs="宋体"/>
          <w:b/>
          <w:szCs w:val="24"/>
          <w:highlight w:val="none"/>
        </w:rPr>
        <w:t>22.6.2计算错误将按以下方法更正：</w:t>
      </w:r>
    </w:p>
    <w:p>
      <w:pPr>
        <w:spacing w:line="500" w:lineRule="exact"/>
        <w:ind w:firstLine="480" w:firstLineChars="200"/>
        <w:rPr>
          <w:rFonts w:hint="eastAsia"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hAnsi="宋体" w:cs="宋体"/>
          <w:szCs w:val="24"/>
          <w:highlight w:val="none"/>
        </w:rPr>
      </w:pPr>
      <w:r>
        <w:rPr>
          <w:rFonts w:hint="eastAsia" w:hAnsi="宋体" w:cs="宋体"/>
          <w:szCs w:val="24"/>
          <w:highlight w:val="none"/>
        </w:rPr>
        <w:t>（2）磋商响应文件的大写金额和小写金额不一致的，以大写金额为准；</w:t>
      </w:r>
    </w:p>
    <w:p>
      <w:pPr>
        <w:spacing w:line="500" w:lineRule="exact"/>
        <w:ind w:firstLine="480" w:firstLineChars="200"/>
        <w:rPr>
          <w:rFonts w:hint="eastAsia"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hAnsi="宋体" w:cs="宋体"/>
          <w:szCs w:val="24"/>
          <w:highlight w:val="none"/>
        </w:rPr>
      </w:pPr>
      <w:r>
        <w:rPr>
          <w:rFonts w:hint="eastAsia" w:hAnsi="宋体" w:cs="宋体"/>
          <w:szCs w:val="24"/>
          <w:highlight w:val="none"/>
        </w:rPr>
        <w:t>（4）总价金额与按单价汇总金额不一致的，以单价金额计算结果为准；</w:t>
      </w:r>
    </w:p>
    <w:p>
      <w:pPr>
        <w:spacing w:line="500" w:lineRule="exact"/>
        <w:ind w:firstLine="480" w:firstLineChars="200"/>
        <w:rPr>
          <w:rFonts w:hint="eastAsia"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hAnsi="宋体" w:cs="宋体"/>
          <w:szCs w:val="24"/>
          <w:highlight w:val="none"/>
        </w:rPr>
      </w:pPr>
      <w:r>
        <w:rPr>
          <w:rFonts w:hint="eastAsia" w:hAnsi="宋体" w:cs="宋体"/>
          <w:szCs w:val="24"/>
          <w:highlight w:val="none"/>
        </w:rPr>
        <w:t>22.6.3对于竞争性磋商响应文件中明显的标点符号错误或不构成实质性偏差的不正规、不一致或不规则，采购人可以接受。</w:t>
      </w:r>
    </w:p>
    <w:p>
      <w:pPr>
        <w:spacing w:line="360" w:lineRule="auto"/>
        <w:ind w:firstLine="480" w:firstLineChars="200"/>
        <w:rPr>
          <w:rFonts w:hint="eastAsia" w:hAnsi="宋体" w:cs="宋体"/>
          <w:szCs w:val="24"/>
          <w:highlight w:val="none"/>
        </w:rPr>
      </w:pPr>
      <w:r>
        <w:rPr>
          <w:rFonts w:hint="eastAsia" w:hAnsi="宋体" w:cs="宋体"/>
          <w:szCs w:val="24"/>
          <w:highlight w:val="none"/>
        </w:rPr>
        <w:t>22.6.4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hAnsi="宋体" w:cs="宋体"/>
          <w:b/>
          <w:szCs w:val="24"/>
          <w:highlight w:val="none"/>
        </w:rPr>
      </w:pPr>
      <w:r>
        <w:rPr>
          <w:rFonts w:hint="eastAsia" w:hAnsi="宋体" w:cs="宋体"/>
          <w:szCs w:val="24"/>
          <w:highlight w:val="none"/>
        </w:rPr>
        <w:t>22.6.5</w:t>
      </w:r>
      <w:r>
        <w:rPr>
          <w:rFonts w:hint="eastAsia" w:hAnsi="宋体" w:cs="宋体"/>
          <w:b/>
          <w:szCs w:val="24"/>
          <w:highlight w:val="none"/>
        </w:rPr>
        <w:t>实质上没有响应竞争性磋商文件要求的磋商将被拒绝</w:t>
      </w:r>
      <w:r>
        <w:rPr>
          <w:rFonts w:hint="eastAsia" w:hAnsi="宋体" w:cs="宋体"/>
          <w:szCs w:val="24"/>
          <w:highlight w:val="none"/>
        </w:rPr>
        <w:t>。供应商不得通过修正或撤销不合要求的偏离从而使其磋商成为实质性响应的磋商。</w:t>
      </w:r>
      <w:r>
        <w:rPr>
          <w:rFonts w:hint="eastAsia" w:hAnsi="宋体" w:cs="宋体"/>
          <w:b/>
          <w:szCs w:val="24"/>
          <w:highlight w:val="none"/>
        </w:rPr>
        <w:t>如发现下列情况之一的，其磋商将构成非实质性响应，按无效磋商处理：</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4）资格证明文件不全的或无效的，或不符合国家规定的；</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8）存在有重大缺漏项和重大偏离的；</w:t>
      </w:r>
    </w:p>
    <w:p>
      <w:pPr>
        <w:tabs>
          <w:tab w:val="left" w:pos="1260"/>
        </w:tabs>
        <w:spacing w:line="360" w:lineRule="auto"/>
        <w:ind w:firstLine="482" w:firstLineChars="200"/>
        <w:rPr>
          <w:rFonts w:hint="eastAsia"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hAnsi="宋体" w:cs="宋体"/>
          <w:b/>
          <w:bCs/>
          <w:szCs w:val="24"/>
          <w:highlight w:val="none"/>
        </w:rPr>
      </w:pPr>
      <w:r>
        <w:rPr>
          <w:rFonts w:hint="eastAsia" w:hAnsi="宋体" w:cs="宋体"/>
          <w:b/>
          <w:bCs/>
          <w:szCs w:val="24"/>
          <w:highlight w:val="none"/>
        </w:rPr>
        <w:t>10）磋商总报价低于成本或者高于竞争性磋商文件公布的采购预算的。</w:t>
      </w:r>
    </w:p>
    <w:p>
      <w:pPr>
        <w:pStyle w:val="17"/>
        <w:spacing w:before="0" w:beforeAutospacing="0" w:after="0" w:afterAutospacing="0" w:line="500" w:lineRule="exact"/>
        <w:ind w:firstLine="482" w:firstLineChars="200"/>
        <w:jc w:val="both"/>
        <w:rPr>
          <w:rFonts w:hint="eastAsia" w:cs="宋体"/>
          <w:b/>
          <w:bCs/>
          <w:highlight w:val="none"/>
        </w:rPr>
      </w:pPr>
      <w:r>
        <w:rPr>
          <w:rFonts w:hint="eastAsia" w:cs="宋体"/>
          <w:b/>
          <w:bCs/>
          <w:highlight w:val="none"/>
        </w:rPr>
        <w:t>11）竞争性磋商响应文件含有采购人不能接受的附加条件的；</w:t>
      </w:r>
    </w:p>
    <w:p>
      <w:pPr>
        <w:spacing w:line="500" w:lineRule="exact"/>
        <w:ind w:firstLine="482" w:firstLineChars="200"/>
        <w:rPr>
          <w:rFonts w:hint="eastAsia" w:hAnsi="宋体" w:cs="宋体"/>
          <w:b/>
          <w:bCs/>
          <w:szCs w:val="24"/>
          <w:highlight w:val="none"/>
        </w:rPr>
      </w:pPr>
      <w:r>
        <w:rPr>
          <w:rFonts w:hint="eastAsia" w:hAnsi="宋体" w:cs="宋体"/>
          <w:b/>
          <w:bCs/>
          <w:szCs w:val="24"/>
          <w:highlight w:val="none"/>
        </w:rPr>
        <w:t>12）竞争性磋商响应文件不符合法律法规要求的；</w:t>
      </w:r>
    </w:p>
    <w:p>
      <w:pPr>
        <w:pStyle w:val="17"/>
        <w:spacing w:before="0" w:beforeAutospacing="0" w:after="0" w:afterAutospacing="0" w:line="500" w:lineRule="exact"/>
        <w:ind w:firstLine="482" w:firstLineChars="200"/>
        <w:jc w:val="both"/>
        <w:rPr>
          <w:rFonts w:hint="default" w:eastAsia="宋体" w:cs="宋体"/>
          <w:b/>
          <w:bCs/>
          <w:highlight w:val="none"/>
          <w:lang w:val="en-US" w:eastAsia="zh-CN"/>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r>
        <w:rPr>
          <w:rFonts w:hint="eastAsia" w:cs="宋体"/>
          <w:b/>
          <w:bCs/>
          <w:highlight w:val="none"/>
          <w:lang w:eastAsia="zh-CN"/>
        </w:rPr>
        <w:t>。</w:t>
      </w:r>
    </w:p>
    <w:p>
      <w:pPr>
        <w:pStyle w:val="17"/>
        <w:spacing w:before="0" w:beforeAutospacing="0" w:after="0" w:afterAutospacing="0" w:line="500" w:lineRule="exact"/>
        <w:ind w:firstLine="480" w:firstLineChars="200"/>
        <w:jc w:val="both"/>
        <w:rPr>
          <w:rFonts w:hint="eastAsia" w:cs="宋体"/>
          <w:highlight w:val="none"/>
        </w:rPr>
      </w:pPr>
      <w:r>
        <w:rPr>
          <w:rFonts w:hint="eastAsia" w:cs="宋体"/>
          <w:highlight w:val="none"/>
        </w:rPr>
        <w:t>22.7竞争性磋商响应文件的详细评审</w:t>
      </w:r>
    </w:p>
    <w:p>
      <w:pPr>
        <w:pStyle w:val="17"/>
        <w:spacing w:before="0" w:beforeAutospacing="0" w:after="0" w:afterAutospacing="0" w:line="500" w:lineRule="exact"/>
        <w:ind w:firstLine="480" w:firstLineChars="200"/>
        <w:jc w:val="both"/>
        <w:rPr>
          <w:rFonts w:hint="eastAsia" w:cs="宋体"/>
          <w:highlight w:val="none"/>
        </w:rPr>
      </w:pPr>
      <w:r>
        <w:rPr>
          <w:rFonts w:hint="eastAsia" w:cs="宋体"/>
          <w:highlight w:val="none"/>
        </w:rPr>
        <w:t>22.7.1磋商小组将按照本须知第22.6.4条规定，只对确定为实质性响应竞争性磋商文件要求的磋商响应文件进行详细评审。</w:t>
      </w:r>
    </w:p>
    <w:p>
      <w:pPr>
        <w:pStyle w:val="17"/>
        <w:spacing w:before="0" w:beforeAutospacing="0" w:after="0" w:afterAutospacing="0" w:line="500" w:lineRule="exact"/>
        <w:ind w:firstLine="480" w:firstLineChars="200"/>
        <w:jc w:val="both"/>
        <w:rPr>
          <w:rFonts w:hint="eastAsia" w:cs="宋体"/>
          <w:highlight w:val="none"/>
        </w:rPr>
      </w:pPr>
      <w:r>
        <w:rPr>
          <w:rFonts w:hint="eastAsia" w:cs="宋体"/>
          <w:highlight w:val="none"/>
        </w:rPr>
        <w:t>22.7.2详细评审按照“供应商须知前附表”的评审方法进行。</w:t>
      </w:r>
    </w:p>
    <w:p>
      <w:pPr>
        <w:pStyle w:val="17"/>
        <w:spacing w:before="0" w:beforeAutospacing="0" w:after="0" w:afterAutospacing="0" w:line="500" w:lineRule="exact"/>
        <w:ind w:firstLine="480" w:firstLineChars="200"/>
        <w:jc w:val="both"/>
        <w:rPr>
          <w:rFonts w:hint="eastAsia" w:cs="宋体"/>
          <w:highlight w:val="none"/>
        </w:rPr>
      </w:pPr>
      <w:r>
        <w:rPr>
          <w:rFonts w:hint="eastAsia" w:cs="宋体"/>
          <w:highlight w:val="none"/>
        </w:rPr>
        <w:t>22.8成交候选人的确定</w:t>
      </w:r>
    </w:p>
    <w:p>
      <w:pPr>
        <w:pStyle w:val="17"/>
        <w:spacing w:before="0" w:beforeAutospacing="0" w:after="0" w:afterAutospacing="0" w:line="500" w:lineRule="exact"/>
        <w:ind w:firstLine="480" w:firstLineChars="200"/>
        <w:jc w:val="both"/>
        <w:rPr>
          <w:rFonts w:hint="eastAsia" w:cs="宋体"/>
          <w:highlight w:val="none"/>
        </w:rPr>
      </w:pPr>
      <w:r>
        <w:rPr>
          <w:rFonts w:hint="eastAsia" w:cs="宋体"/>
          <w:highlight w:val="none"/>
        </w:rPr>
        <w:t>磋商小组完成评审后，向采购人提出书面评审，并推荐1-3名成交候选人，标明排列顺序。</w:t>
      </w:r>
    </w:p>
    <w:p>
      <w:pPr>
        <w:spacing w:line="360" w:lineRule="auto"/>
        <w:rPr>
          <w:rFonts w:hint="eastAsia" w:hAnsi="宋体" w:cs="宋体"/>
          <w:b/>
          <w:szCs w:val="24"/>
          <w:highlight w:val="none"/>
        </w:rPr>
      </w:pPr>
      <w:r>
        <w:rPr>
          <w:rFonts w:hint="eastAsia" w:hAnsi="宋体" w:cs="宋体"/>
          <w:b/>
          <w:szCs w:val="24"/>
          <w:highlight w:val="none"/>
        </w:rPr>
        <w:t>23．评审过程的保密</w:t>
      </w:r>
    </w:p>
    <w:p>
      <w:pPr>
        <w:spacing w:line="360" w:lineRule="auto"/>
        <w:ind w:firstLine="480" w:firstLineChars="200"/>
        <w:rPr>
          <w:rFonts w:hint="eastAsia"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spacing w:before="120" w:beforeLines="50"/>
        <w:jc w:val="left"/>
        <w:rPr>
          <w:rFonts w:hint="eastAsia" w:hAnsi="宋体" w:cs="宋体"/>
          <w:b/>
          <w:szCs w:val="24"/>
          <w:highlight w:val="none"/>
        </w:rPr>
      </w:pPr>
      <w:r>
        <w:rPr>
          <w:rFonts w:hint="eastAsia" w:hAnsi="宋体" w:cs="宋体"/>
          <w:b/>
          <w:szCs w:val="24"/>
          <w:highlight w:val="none"/>
        </w:rPr>
        <w:t>24．评审方法</w:t>
      </w:r>
    </w:p>
    <w:p>
      <w:pPr>
        <w:spacing w:line="360" w:lineRule="auto"/>
        <w:ind w:firstLine="480" w:firstLineChars="200"/>
        <w:rPr>
          <w:rFonts w:hint="eastAsia" w:hAnsi="宋体" w:cs="宋体"/>
          <w:szCs w:val="24"/>
          <w:highlight w:val="none"/>
        </w:rPr>
      </w:pPr>
      <w:r>
        <w:rPr>
          <w:rFonts w:hint="eastAsia" w:hAnsi="宋体" w:cs="宋体"/>
          <w:szCs w:val="24"/>
          <w:highlight w:val="none"/>
        </w:rPr>
        <w:t>24.1按照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spacing w:line="360" w:lineRule="auto"/>
        <w:rPr>
          <w:rFonts w:hint="eastAsia" w:hAnsi="宋体" w:cs="宋体"/>
          <w:b/>
          <w:szCs w:val="24"/>
          <w:highlight w:val="none"/>
        </w:rPr>
      </w:pPr>
      <w:r>
        <w:rPr>
          <w:rFonts w:hint="eastAsia" w:hAnsi="宋体" w:cs="宋体"/>
          <w:b/>
          <w:szCs w:val="24"/>
          <w:highlight w:val="none"/>
        </w:rPr>
        <w:t>25．评审程序</w:t>
      </w:r>
    </w:p>
    <w:p>
      <w:pPr>
        <w:spacing w:line="360" w:lineRule="auto"/>
        <w:ind w:firstLine="480" w:firstLineChars="200"/>
        <w:rPr>
          <w:rFonts w:hint="eastAsia" w:hAnsi="宋体" w:cs="宋体"/>
          <w:szCs w:val="24"/>
          <w:highlight w:val="none"/>
        </w:rPr>
      </w:pPr>
      <w:r>
        <w:rPr>
          <w:rFonts w:hint="eastAsia" w:hAnsi="宋体" w:cs="宋体"/>
          <w:szCs w:val="24"/>
          <w:highlight w:val="none"/>
        </w:rPr>
        <w:t>按照竞争性磋商响应文件初审、澄清有关问题、分别磋商、最终报价、比较与评审、推荐成交候选人名单的工作程序进行评审。在上一步评审中被认定为无效磋商者，不进入下一步的评审。</w:t>
      </w:r>
    </w:p>
    <w:p>
      <w:pPr>
        <w:keepNext/>
        <w:keepLines/>
        <w:spacing w:before="120" w:beforeLines="50" w:after="120" w:afterLines="50" w:line="360" w:lineRule="auto"/>
        <w:jc w:val="center"/>
        <w:rPr>
          <w:rFonts w:hint="eastAsia" w:hAnsi="宋体" w:cs="宋体"/>
          <w:b/>
          <w:sz w:val="32"/>
          <w:szCs w:val="32"/>
          <w:highlight w:val="none"/>
        </w:rPr>
      </w:pPr>
      <w:r>
        <w:rPr>
          <w:rFonts w:hint="eastAsia" w:hAnsi="宋体" w:cs="宋体"/>
          <w:b/>
          <w:sz w:val="32"/>
          <w:szCs w:val="32"/>
          <w:highlight w:val="none"/>
        </w:rPr>
        <w:t>六.成交、通知与签约</w:t>
      </w:r>
    </w:p>
    <w:p>
      <w:pPr>
        <w:spacing w:line="360" w:lineRule="auto"/>
        <w:rPr>
          <w:rFonts w:hint="eastAsia"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int="eastAsia"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int="eastAsia"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int="eastAsia"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500" w:lineRule="exact"/>
        <w:ind w:firstLine="480" w:firstLineChars="200"/>
        <w:rPr>
          <w:rFonts w:hint="eastAsia"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int="eastAsia" w:hAnsi="宋体" w:cs="宋体"/>
          <w:b/>
          <w:szCs w:val="24"/>
          <w:highlight w:val="none"/>
        </w:rPr>
      </w:pPr>
      <w:r>
        <w:rPr>
          <w:rFonts w:hint="eastAsia" w:hAnsi="宋体" w:cs="宋体"/>
          <w:b/>
          <w:szCs w:val="24"/>
          <w:highlight w:val="none"/>
        </w:rPr>
        <w:t>27．成交与落标通知</w:t>
      </w:r>
    </w:p>
    <w:p>
      <w:pPr>
        <w:spacing w:line="360" w:lineRule="auto"/>
        <w:ind w:firstLine="480" w:firstLineChars="200"/>
        <w:rPr>
          <w:rFonts w:hint="eastAsia" w:hAnsi="宋体" w:cs="宋体"/>
          <w:szCs w:val="24"/>
          <w:highlight w:val="none"/>
        </w:rPr>
      </w:pPr>
      <w:r>
        <w:rPr>
          <w:rFonts w:hint="eastAsia" w:hAnsi="宋体" w:cs="宋体"/>
          <w:szCs w:val="24"/>
          <w:highlight w:val="none"/>
        </w:rPr>
        <w:t xml:space="preserve">27.1采购代理机构向成交供应商发出《成交通知书》。 </w:t>
      </w:r>
    </w:p>
    <w:p>
      <w:pPr>
        <w:spacing w:line="360" w:lineRule="auto"/>
        <w:ind w:firstLine="480" w:firstLineChars="200"/>
        <w:rPr>
          <w:rFonts w:hint="eastAsia"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hAnsi="宋体" w:cs="宋体"/>
          <w:b/>
          <w:szCs w:val="24"/>
          <w:highlight w:val="none"/>
        </w:rPr>
      </w:pPr>
      <w:r>
        <w:rPr>
          <w:rFonts w:hint="eastAsia" w:hAnsi="宋体" w:cs="宋体"/>
          <w:b/>
          <w:szCs w:val="24"/>
          <w:highlight w:val="none"/>
        </w:rPr>
        <w:t>28. 成交合同的签订</w:t>
      </w:r>
    </w:p>
    <w:p>
      <w:pPr>
        <w:spacing w:line="360" w:lineRule="auto"/>
        <w:ind w:firstLine="480" w:firstLineChars="200"/>
        <w:rPr>
          <w:rFonts w:hint="eastAsia"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hAnsi="宋体" w:cs="宋体"/>
          <w:szCs w:val="24"/>
          <w:highlight w:val="none"/>
        </w:rPr>
      </w:pPr>
      <w:r>
        <w:rPr>
          <w:rFonts w:hint="eastAsia" w:hAnsi="宋体" w:cs="宋体"/>
          <w:szCs w:val="24"/>
          <w:highlight w:val="none"/>
        </w:rPr>
        <w:t>28.2采购人自采购合同签订之日起2个工作日内，将采购合同副本报同级人民政府财政部门备案。</w:t>
      </w:r>
    </w:p>
    <w:p>
      <w:pPr>
        <w:spacing w:line="360" w:lineRule="auto"/>
        <w:rPr>
          <w:rFonts w:hint="eastAsia"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hAnsi="宋体" w:cs="宋体"/>
          <w:szCs w:val="24"/>
          <w:highlight w:val="none"/>
        </w:rPr>
        <w:t>29.</w:t>
      </w:r>
      <w:r>
        <w:rPr>
          <w:rFonts w:hint="eastAsia" w:ascii="宋体" w:hAnsi="宋体" w:eastAsia="宋体" w:cs="宋体"/>
          <w:color w:val="auto"/>
          <w:sz w:val="24"/>
          <w:szCs w:val="24"/>
          <w:highlight w:val="none"/>
        </w:rPr>
        <w:t>1按国家计委颁发的《招标代理服务收费管理暂行办法》（计价格[2002]1980号）和国家发展改革委员会办公厅颁发的《关于招标代理服务收费有关问题的通知》（发改办价格[2003]857号）的有关规定执行。不足5000按5000收取。</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成交单位在领取成交通知书前，须向采购代理机构一次性支付代理服务费。</w:t>
      </w:r>
    </w:p>
    <w:p>
      <w:pPr>
        <w:spacing w:line="360" w:lineRule="auto"/>
        <w:ind w:firstLine="482" w:firstLineChars="200"/>
        <w:rPr>
          <w:rFonts w:hint="eastAsia"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1、采购代理机构开户名称:</w:t>
      </w:r>
      <w:r>
        <w:rPr>
          <w:rFonts w:hint="eastAsia" w:hAnsi="宋体" w:cs="宋体"/>
          <w:b/>
          <w:bCs/>
          <w:szCs w:val="24"/>
          <w:highlight w:val="none"/>
          <w:lang w:eastAsia="zh-CN"/>
        </w:rPr>
        <w:t>陕西至诚招标咨询有限公司</w:t>
      </w:r>
    </w:p>
    <w:p>
      <w:pPr>
        <w:spacing w:line="360" w:lineRule="auto"/>
        <w:ind w:firstLine="48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2、开户行名称：</w:t>
      </w:r>
      <w:r>
        <w:rPr>
          <w:rFonts w:hint="eastAsia" w:hAnsi="宋体" w:cs="宋体"/>
          <w:b/>
          <w:bCs/>
          <w:szCs w:val="24"/>
          <w:highlight w:val="none"/>
          <w:lang w:eastAsia="zh-CN"/>
        </w:rPr>
        <w:t>中国建设银行股份有限公司西安高新技术产业开发区支行</w:t>
      </w:r>
    </w:p>
    <w:p>
      <w:pPr>
        <w:pStyle w:val="8"/>
        <w:ind w:firstLine="482" w:firstLineChars="200"/>
        <w:rPr>
          <w:rFonts w:hint="eastAsia" w:ascii="宋体" w:hAnsi="宋体" w:eastAsia="宋体" w:cs="宋体"/>
          <w:highlight w:val="none"/>
          <w:lang w:val="en-US" w:eastAsia="zh-CN"/>
        </w:rPr>
      </w:pPr>
      <w:r>
        <w:rPr>
          <w:rFonts w:hint="eastAsia" w:ascii="宋体" w:hAnsi="宋体" w:eastAsia="宋体" w:cs="宋体"/>
          <w:b/>
          <w:bCs/>
          <w:sz w:val="24"/>
          <w:szCs w:val="24"/>
          <w:highlight w:val="none"/>
          <w:lang w:val="en-US" w:eastAsia="zh-CN"/>
        </w:rPr>
        <w:t>3、账号：</w:t>
      </w:r>
      <w:r>
        <w:rPr>
          <w:rFonts w:hint="eastAsia" w:ascii="宋体" w:hAnsi="宋体" w:cs="宋体"/>
          <w:b/>
          <w:bCs/>
          <w:sz w:val="24"/>
          <w:szCs w:val="24"/>
          <w:highlight w:val="none"/>
          <w:lang w:val="en-US" w:eastAsia="zh-CN"/>
        </w:rPr>
        <w:t>61050192090000002152</w:t>
      </w:r>
    </w:p>
    <w:p>
      <w:pPr>
        <w:numPr>
          <w:ilvl w:val="0"/>
          <w:numId w:val="3"/>
        </w:numPr>
        <w:spacing w:line="600" w:lineRule="exact"/>
        <w:rPr>
          <w:rFonts w:hint="eastAsia" w:hAnsi="宋体" w:cs="宋体"/>
          <w:b/>
          <w:bCs/>
          <w:szCs w:val="24"/>
          <w:highlight w:val="none"/>
        </w:rPr>
      </w:pPr>
      <w:r>
        <w:rPr>
          <w:rFonts w:hint="eastAsia" w:hAnsi="宋体" w:cs="宋体"/>
          <w:b/>
          <w:bCs/>
          <w:szCs w:val="24"/>
          <w:highlight w:val="none"/>
        </w:rPr>
        <w:t>质疑</w:t>
      </w:r>
    </w:p>
    <w:p>
      <w:pPr>
        <w:spacing w:line="500" w:lineRule="exact"/>
        <w:ind w:right="12" w:firstLine="480"/>
        <w:rPr>
          <w:rFonts w:hint="eastAsia" w:hAnsi="宋体" w:cs="宋体"/>
          <w:szCs w:val="24"/>
          <w:highlight w:val="none"/>
        </w:rPr>
      </w:pPr>
      <w:r>
        <w:rPr>
          <w:rFonts w:hint="eastAsia" w:hAnsi="宋体" w:cs="宋体"/>
          <w:szCs w:val="24"/>
          <w:highlight w:val="none"/>
        </w:rPr>
        <w:t>30.1供应商认为竞争性磋商文件、采购过程、成交结果使自己的合法权益受到损害的，可以在法律规定的时间内以书面形式向采购人、采购代理机构提出质疑。</w:t>
      </w:r>
    </w:p>
    <w:p>
      <w:pPr>
        <w:spacing w:line="500" w:lineRule="exact"/>
        <w:ind w:left="196" w:leftChars="66" w:hanging="38" w:hangingChars="16"/>
        <w:rPr>
          <w:rStyle w:val="22"/>
          <w:rFonts w:hint="eastAsia" w:hAnsi="宋体" w:cs="宋体"/>
          <w:bCs w:val="0"/>
          <w:color w:val="000000"/>
          <w:szCs w:val="24"/>
          <w:highlight w:val="none"/>
          <w:shd w:val="clear" w:color="auto" w:fill="FFFFFF"/>
        </w:rPr>
      </w:pPr>
      <w:r>
        <w:rPr>
          <w:rFonts w:hint="eastAsia" w:hAnsi="宋体" w:cs="宋体"/>
          <w:szCs w:val="24"/>
          <w:highlight w:val="none"/>
        </w:rPr>
        <w:t xml:space="preserve">   30.2</w:t>
      </w:r>
      <w:r>
        <w:rPr>
          <w:rStyle w:val="22"/>
          <w:rFonts w:hint="eastAsia" w:hAnsi="宋体" w:cs="宋体"/>
          <w:b w:val="0"/>
          <w:color w:val="000000"/>
          <w:szCs w:val="24"/>
          <w:highlight w:val="none"/>
          <w:shd w:val="clear" w:color="auto" w:fill="FFFFFF"/>
        </w:rPr>
        <w:t xml:space="preserve"> 提交质疑书需携带以下资料：</w:t>
      </w:r>
    </w:p>
    <w:p>
      <w:pPr>
        <w:spacing w:line="500" w:lineRule="exact"/>
        <w:ind w:left="523" w:leftChars="218"/>
        <w:rPr>
          <w:rStyle w:val="22"/>
          <w:rFonts w:hint="eastAsia" w:hAnsi="宋体" w:cs="宋体"/>
          <w:b w:val="0"/>
          <w:color w:val="000000"/>
          <w:szCs w:val="24"/>
          <w:highlight w:val="none"/>
          <w:shd w:val="clear" w:color="auto" w:fill="FFFFFF"/>
        </w:rPr>
      </w:pPr>
      <w:r>
        <w:rPr>
          <w:rStyle w:val="22"/>
          <w:rFonts w:hint="eastAsia" w:hAnsi="宋体" w:cs="宋体"/>
          <w:b w:val="0"/>
          <w:color w:val="000000"/>
          <w:szCs w:val="24"/>
          <w:highlight w:val="none"/>
          <w:shd w:val="clear" w:color="auto" w:fill="FFFFFF"/>
        </w:rPr>
        <w:t>30.2.1加盖公章的营业执照副本复印件；</w:t>
      </w:r>
    </w:p>
    <w:p>
      <w:pPr>
        <w:spacing w:line="460" w:lineRule="exact"/>
        <w:ind w:left="3" w:firstLine="518" w:firstLineChars="216"/>
        <w:rPr>
          <w:rFonts w:hint="eastAsia" w:hAnsi="宋体" w:cs="宋体"/>
          <w:szCs w:val="24"/>
          <w:highlight w:val="none"/>
        </w:rPr>
      </w:pPr>
      <w:r>
        <w:rPr>
          <w:rStyle w:val="22"/>
          <w:rFonts w:hint="eastAsia" w:hAnsi="宋体" w:cs="宋体"/>
          <w:b w:val="0"/>
          <w:color w:val="000000"/>
          <w:szCs w:val="24"/>
          <w:highlight w:val="none"/>
          <w:shd w:val="clear" w:color="auto" w:fill="FFFFFF"/>
        </w:rPr>
        <w:t>30.2.2法定代表人针对本项目的专项授权书（须经法定代表人签字并加盖法人章和单位公章）及被授权人身份证复印件（查看原件）；法定代表人提交质疑书须提交其身份证复印件（查看原件）。</w:t>
      </w:r>
    </w:p>
    <w:p>
      <w:pPr>
        <w:spacing w:line="360" w:lineRule="auto"/>
        <w:ind w:firstLine="480" w:firstLineChars="200"/>
        <w:rPr>
          <w:rFonts w:hint="eastAsia" w:hAnsi="宋体" w:cs="宋体"/>
          <w:szCs w:val="24"/>
          <w:highlight w:val="none"/>
        </w:rPr>
      </w:pPr>
      <w:r>
        <w:rPr>
          <w:rFonts w:hint="eastAsia" w:hAnsi="宋体" w:cs="宋体"/>
          <w:szCs w:val="24"/>
          <w:highlight w:val="none"/>
        </w:rPr>
        <w:t>30.3质疑书应该包含以下主要内容：</w:t>
      </w:r>
    </w:p>
    <w:p>
      <w:pPr>
        <w:spacing w:line="360" w:lineRule="auto"/>
        <w:ind w:firstLine="480" w:firstLineChars="200"/>
        <w:rPr>
          <w:rFonts w:hint="eastAsia" w:hAnsi="宋体" w:cs="宋体"/>
          <w:szCs w:val="24"/>
          <w:highlight w:val="none"/>
        </w:rPr>
      </w:pPr>
      <w:r>
        <w:rPr>
          <w:rFonts w:hint="eastAsia" w:hAnsi="宋体" w:cs="宋体"/>
          <w:szCs w:val="24"/>
          <w:highlight w:val="none"/>
        </w:rPr>
        <w:t>30.3.1质疑供应商的基本情况信息：名称、地址、法定代表人、委托代理人、电话、邮编。</w:t>
      </w:r>
    </w:p>
    <w:p>
      <w:pPr>
        <w:spacing w:line="360" w:lineRule="auto"/>
        <w:ind w:firstLine="480" w:firstLineChars="200"/>
        <w:rPr>
          <w:rFonts w:hint="eastAsia" w:hAnsi="宋体" w:cs="宋体"/>
          <w:szCs w:val="24"/>
          <w:highlight w:val="none"/>
        </w:rPr>
      </w:pPr>
      <w:r>
        <w:rPr>
          <w:rFonts w:hint="eastAsia" w:hAnsi="宋体" w:cs="宋体"/>
          <w:szCs w:val="24"/>
          <w:highlight w:val="none"/>
        </w:rPr>
        <w:t>30.3.2所质疑的政府采购项目的信息：包含采购人或者采购代理机构名称、项目名称、包（标段）、编号。</w:t>
      </w:r>
    </w:p>
    <w:p>
      <w:pPr>
        <w:spacing w:line="360" w:lineRule="auto"/>
        <w:ind w:firstLine="480" w:firstLineChars="200"/>
        <w:rPr>
          <w:rFonts w:hint="eastAsia" w:hAnsi="宋体" w:cs="宋体"/>
          <w:szCs w:val="24"/>
          <w:highlight w:val="none"/>
        </w:rPr>
      </w:pPr>
      <w:r>
        <w:rPr>
          <w:rFonts w:hint="eastAsia" w:hAnsi="宋体" w:cs="宋体"/>
          <w:szCs w:val="24"/>
          <w:highlight w:val="none"/>
        </w:rPr>
        <w:t>30.3.3具体的质疑事项。质疑事项不得超出法定范围并且与质疑供应商有利害关系。</w:t>
      </w:r>
    </w:p>
    <w:p>
      <w:pPr>
        <w:spacing w:line="360" w:lineRule="auto"/>
        <w:ind w:firstLine="480" w:firstLineChars="200"/>
        <w:rPr>
          <w:rFonts w:hint="eastAsia" w:hAnsi="宋体" w:cs="宋体"/>
          <w:szCs w:val="24"/>
          <w:highlight w:val="none"/>
        </w:rPr>
      </w:pPr>
      <w:r>
        <w:rPr>
          <w:rFonts w:hint="eastAsia" w:hAnsi="宋体" w:cs="宋体"/>
          <w:szCs w:val="24"/>
          <w:highlight w:val="none"/>
        </w:rPr>
        <w:t>30.3.4明确、具体的质疑请求。</w:t>
      </w:r>
    </w:p>
    <w:p>
      <w:pPr>
        <w:spacing w:line="360" w:lineRule="auto"/>
        <w:ind w:firstLine="480" w:firstLineChars="200"/>
        <w:rPr>
          <w:rFonts w:hint="eastAsia" w:hAnsi="宋体" w:cs="宋体"/>
          <w:szCs w:val="24"/>
          <w:highlight w:val="none"/>
        </w:rPr>
      </w:pPr>
      <w:r>
        <w:rPr>
          <w:rFonts w:hint="eastAsia" w:hAnsi="宋体" w:cs="宋体"/>
          <w:szCs w:val="24"/>
          <w:highlight w:val="none"/>
        </w:rPr>
        <w:t>30.3.5质疑所依据的事实、理由和法律依据及证明材料。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30.3.6质疑书需要加盖质疑供应商公章并经法定代表人签字和盖章。</w:t>
      </w:r>
    </w:p>
    <w:p>
      <w:pPr>
        <w:spacing w:line="360" w:lineRule="auto"/>
        <w:ind w:firstLine="480" w:firstLineChars="200"/>
        <w:rPr>
          <w:rFonts w:hint="eastAsia" w:hAnsi="宋体" w:cs="宋体"/>
          <w:szCs w:val="24"/>
          <w:highlight w:val="none"/>
        </w:rPr>
      </w:pPr>
      <w:r>
        <w:rPr>
          <w:rFonts w:hint="eastAsia" w:hAnsi="宋体" w:cs="宋体"/>
          <w:szCs w:val="24"/>
          <w:highlight w:val="none"/>
        </w:rPr>
        <w:t>30.4有下列情形之一的，属于无效质疑，采购代理机构和采购人不予受理；</w:t>
      </w:r>
    </w:p>
    <w:p>
      <w:pPr>
        <w:spacing w:line="360" w:lineRule="auto"/>
        <w:ind w:firstLine="480" w:firstLineChars="200"/>
        <w:rPr>
          <w:rFonts w:hint="eastAsia" w:hAnsi="宋体" w:cs="宋体"/>
          <w:szCs w:val="24"/>
          <w:highlight w:val="none"/>
        </w:rPr>
      </w:pPr>
      <w:r>
        <w:rPr>
          <w:rFonts w:hint="eastAsia" w:hAnsi="宋体" w:cs="宋体"/>
          <w:szCs w:val="24"/>
          <w:highlight w:val="none"/>
        </w:rPr>
        <w:t>30.4.1质疑供应商不是参与本次政府采购项目的供应商；</w:t>
      </w:r>
    </w:p>
    <w:p>
      <w:pPr>
        <w:spacing w:line="360" w:lineRule="auto"/>
        <w:ind w:firstLine="480" w:firstLineChars="200"/>
        <w:rPr>
          <w:rFonts w:hint="eastAsia" w:hAnsi="宋体" w:cs="宋体"/>
          <w:szCs w:val="24"/>
          <w:highlight w:val="none"/>
        </w:rPr>
      </w:pPr>
      <w:r>
        <w:rPr>
          <w:rFonts w:hint="eastAsia" w:hAnsi="宋体" w:cs="宋体"/>
          <w:szCs w:val="24"/>
          <w:highlight w:val="none"/>
        </w:rPr>
        <w:t>30.4.2质疑供应商与质疑事项不存在利害关系的；</w:t>
      </w:r>
    </w:p>
    <w:p>
      <w:pPr>
        <w:spacing w:line="360" w:lineRule="auto"/>
        <w:ind w:firstLine="480" w:firstLineChars="200"/>
        <w:rPr>
          <w:rFonts w:hint="eastAsia" w:hAnsi="宋体" w:cs="宋体"/>
          <w:szCs w:val="24"/>
          <w:highlight w:val="none"/>
        </w:rPr>
      </w:pPr>
      <w:r>
        <w:rPr>
          <w:rFonts w:hint="eastAsia" w:hAnsi="宋体" w:cs="宋体"/>
          <w:szCs w:val="24"/>
          <w:highlight w:val="none"/>
        </w:rPr>
        <w:t>30.4.3未在法定期限内提出质疑的；</w:t>
      </w:r>
    </w:p>
    <w:p>
      <w:pPr>
        <w:spacing w:line="360" w:lineRule="auto"/>
        <w:ind w:firstLine="480" w:firstLineChars="200"/>
        <w:rPr>
          <w:rFonts w:hint="eastAsia" w:hAnsi="宋体" w:cs="宋体"/>
          <w:szCs w:val="24"/>
          <w:highlight w:val="none"/>
        </w:rPr>
      </w:pPr>
      <w:r>
        <w:rPr>
          <w:rFonts w:hint="eastAsia" w:hAnsi="宋体" w:cs="宋体"/>
          <w:szCs w:val="24"/>
          <w:highlight w:val="none"/>
        </w:rPr>
        <w:t>30.4.4质疑未以书面形式提出，或质疑书主要内容构成不完整的；</w:t>
      </w:r>
    </w:p>
    <w:p>
      <w:pPr>
        <w:spacing w:line="360" w:lineRule="auto"/>
        <w:ind w:firstLine="480" w:firstLineChars="200"/>
        <w:rPr>
          <w:rFonts w:hint="eastAsia" w:hAnsi="宋体" w:cs="宋体"/>
          <w:szCs w:val="24"/>
          <w:highlight w:val="none"/>
        </w:rPr>
      </w:pPr>
      <w:r>
        <w:rPr>
          <w:rFonts w:hint="eastAsia" w:hAnsi="宋体" w:cs="宋体"/>
          <w:szCs w:val="24"/>
          <w:highlight w:val="none"/>
        </w:rPr>
        <w:t>30.4.5质疑书没有合法有效的签字、盖章或授权的；</w:t>
      </w:r>
    </w:p>
    <w:p>
      <w:pPr>
        <w:spacing w:line="360" w:lineRule="auto"/>
        <w:ind w:firstLine="480" w:firstLineChars="200"/>
        <w:rPr>
          <w:rFonts w:hint="eastAsia" w:hAnsi="宋体" w:cs="宋体"/>
          <w:szCs w:val="24"/>
          <w:highlight w:val="none"/>
        </w:rPr>
      </w:pPr>
      <w:r>
        <w:rPr>
          <w:rFonts w:hint="eastAsia" w:hAnsi="宋体" w:cs="宋体"/>
          <w:szCs w:val="24"/>
          <w:highlight w:val="none"/>
        </w:rPr>
        <w:t>30.4.6以非法手段取得证据、材料的；</w:t>
      </w:r>
    </w:p>
    <w:p>
      <w:pPr>
        <w:spacing w:line="360" w:lineRule="auto"/>
        <w:ind w:firstLine="480" w:firstLineChars="200"/>
        <w:rPr>
          <w:rFonts w:hint="eastAsia" w:hAnsi="宋体" w:cs="宋体"/>
          <w:szCs w:val="24"/>
          <w:highlight w:val="none"/>
        </w:rPr>
      </w:pPr>
      <w:r>
        <w:rPr>
          <w:rFonts w:hint="eastAsia" w:hAnsi="宋体" w:cs="宋体"/>
          <w:szCs w:val="24"/>
          <w:highlight w:val="none"/>
        </w:rPr>
        <w:t>30.4.7质疑答复后，同一质疑人就同一事项再次提出质疑的；</w:t>
      </w:r>
    </w:p>
    <w:p>
      <w:pPr>
        <w:spacing w:line="360" w:lineRule="auto"/>
        <w:ind w:firstLine="480" w:firstLineChars="200"/>
        <w:rPr>
          <w:rFonts w:hint="eastAsia" w:hAnsi="宋体" w:cs="宋体"/>
          <w:szCs w:val="24"/>
          <w:highlight w:val="none"/>
        </w:rPr>
      </w:pPr>
      <w:r>
        <w:rPr>
          <w:rFonts w:hint="eastAsia" w:hAnsi="宋体" w:cs="宋体"/>
          <w:szCs w:val="24"/>
          <w:highlight w:val="none"/>
        </w:rPr>
        <w:t>30.4.8不符合法律、法规、规章和政府采购监管机构规定的其他条件的。</w:t>
      </w:r>
    </w:p>
    <w:p>
      <w:pPr>
        <w:spacing w:line="360" w:lineRule="auto"/>
        <w:ind w:firstLine="480" w:firstLineChars="200"/>
        <w:rPr>
          <w:rFonts w:hint="eastAsia" w:hAnsi="宋体" w:cs="宋体"/>
          <w:szCs w:val="24"/>
          <w:highlight w:val="none"/>
        </w:rPr>
      </w:pPr>
      <w:r>
        <w:rPr>
          <w:rFonts w:hint="eastAsia" w:hAnsi="宋体" w:cs="宋体"/>
          <w:szCs w:val="24"/>
          <w:highlight w:val="none"/>
        </w:rPr>
        <w:t>30.5质疑答复</w:t>
      </w:r>
    </w:p>
    <w:p>
      <w:pPr>
        <w:spacing w:line="360" w:lineRule="auto"/>
        <w:ind w:firstLine="480" w:firstLineChars="200"/>
        <w:rPr>
          <w:rFonts w:hint="eastAsia" w:hAnsi="宋体" w:cs="宋体"/>
          <w:szCs w:val="24"/>
          <w:highlight w:val="none"/>
        </w:rPr>
      </w:pPr>
      <w:r>
        <w:rPr>
          <w:rFonts w:hint="eastAsia" w:hAnsi="宋体" w:cs="宋体"/>
          <w:szCs w:val="24"/>
          <w:highlight w:val="none"/>
        </w:rPr>
        <w:t>采购人或采购代理机构在收到供应商的书面质疑后将按规定的时间进行回复。</w:t>
      </w:r>
    </w:p>
    <w:p>
      <w:pPr>
        <w:spacing w:line="360" w:lineRule="auto"/>
        <w:rPr>
          <w:rFonts w:hint="eastAsia" w:hAnsi="宋体" w:cs="宋体"/>
          <w:b/>
          <w:szCs w:val="24"/>
          <w:highlight w:val="none"/>
        </w:rPr>
      </w:pPr>
      <w:r>
        <w:rPr>
          <w:rFonts w:hint="eastAsia" w:hAnsi="宋体" w:cs="宋体"/>
          <w:b/>
          <w:szCs w:val="24"/>
          <w:highlight w:val="none"/>
        </w:rPr>
        <w:t>31.其他</w:t>
      </w:r>
    </w:p>
    <w:p>
      <w:pPr>
        <w:spacing w:line="360" w:lineRule="auto"/>
        <w:ind w:firstLine="480" w:firstLineChars="200"/>
        <w:rPr>
          <w:rFonts w:hint="eastAsia" w:hAnsi="宋体" w:cs="宋体"/>
          <w:szCs w:val="24"/>
          <w:highlight w:val="none"/>
        </w:rPr>
      </w:pPr>
      <w:r>
        <w:rPr>
          <w:rFonts w:hint="eastAsia" w:hAnsi="宋体" w:cs="宋体"/>
          <w:szCs w:val="24"/>
          <w:highlight w:val="none"/>
        </w:rPr>
        <w:t>31.1磋商步骤为：第一次报价---初步评审---分别磋商---最终报价---综合评审推荐成交候选人。（以供应商递交的磋商响应文件中的总报价为第一次报价。分别磋商后，供应商现场填报的磋商响应总报价为最终报价）</w:t>
      </w:r>
    </w:p>
    <w:p>
      <w:pPr>
        <w:spacing w:line="360" w:lineRule="auto"/>
        <w:ind w:firstLine="480" w:firstLineChars="200"/>
        <w:rPr>
          <w:rFonts w:hint="eastAsia" w:hAnsi="宋体" w:cs="宋体"/>
          <w:szCs w:val="24"/>
          <w:highlight w:val="none"/>
        </w:rPr>
      </w:pPr>
      <w:r>
        <w:rPr>
          <w:rFonts w:hint="eastAsia" w:hAnsi="宋体" w:cs="宋体"/>
          <w:szCs w:val="24"/>
          <w:highlight w:val="none"/>
        </w:rPr>
        <w:t>31.2当最终报价全部超过磋商文件规定的采购预算（或最高限价），且采购人又无力支付，磋商小组有权决定磋商失败。</w:t>
      </w:r>
    </w:p>
    <w:p>
      <w:pPr>
        <w:spacing w:line="360" w:lineRule="auto"/>
        <w:ind w:firstLine="480" w:firstLineChars="200"/>
        <w:jc w:val="left"/>
        <w:rPr>
          <w:rFonts w:hint="eastAsia"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hAnsi="宋体" w:cs="宋体"/>
          <w:szCs w:val="24"/>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45" w:name="_Toc363474023"/>
    </w:p>
    <w:p>
      <w:pPr>
        <w:pStyle w:val="8"/>
        <w:spacing w:after="0" w:line="360" w:lineRule="auto"/>
        <w:jc w:val="left"/>
        <w:rPr>
          <w:rFonts w:hint="eastAsia" w:ascii="宋体" w:hAnsi="宋体" w:cs="宋体"/>
          <w:b/>
          <w:bCs/>
          <w:sz w:val="24"/>
          <w:szCs w:val="24"/>
          <w:highlight w:val="none"/>
        </w:rPr>
      </w:pPr>
      <w:r>
        <w:rPr>
          <w:rFonts w:hint="eastAsia" w:ascii="宋体" w:hAnsi="宋体" w:cs="宋体"/>
          <w:b/>
          <w:bCs/>
          <w:sz w:val="24"/>
          <w:szCs w:val="24"/>
          <w:highlight w:val="none"/>
        </w:rPr>
        <w:t>32.信用担保</w:t>
      </w:r>
    </w:p>
    <w:p>
      <w:pPr>
        <w:pStyle w:val="8"/>
        <w:spacing w:after="0"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（一）陕西省信用担保及信用融资政策</w:t>
      </w:r>
    </w:p>
    <w:p>
      <w:pPr>
        <w:pStyle w:val="8"/>
        <w:spacing w:after="0"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w:t>
      </w:r>
      <w:r>
        <w:rPr>
          <w:rFonts w:hint="eastAsia" w:ascii="宋体" w:hAnsi="宋体" w:cs="宋体"/>
          <w:sz w:val="24"/>
          <w:szCs w:val="24"/>
          <w:highlight w:val="none"/>
          <w:lang w:eastAsia="zh-CN"/>
        </w:rPr>
        <w:t>供应商</w:t>
      </w:r>
      <w:r>
        <w:rPr>
          <w:rFonts w:hint="eastAsia" w:ascii="宋体" w:hAnsi="宋体" w:cs="宋体"/>
          <w:sz w:val="24"/>
          <w:szCs w:val="24"/>
          <w:highlight w:val="none"/>
        </w:rPr>
        <w:t>提供政府采购信用担保，并按照程序确定了合作的担保机构。</w:t>
      </w:r>
      <w:r>
        <w:rPr>
          <w:rFonts w:hint="eastAsia" w:ascii="宋体" w:hAnsi="宋体" w:cs="宋体"/>
          <w:sz w:val="24"/>
          <w:szCs w:val="24"/>
          <w:highlight w:val="none"/>
          <w:lang w:eastAsia="zh-CN"/>
        </w:rPr>
        <w:t>供应商</w:t>
      </w:r>
      <w:r>
        <w:rPr>
          <w:rFonts w:hint="eastAsia" w:ascii="宋体" w:hAnsi="宋体" w:cs="宋体"/>
          <w:sz w:val="24"/>
          <w:szCs w:val="24"/>
          <w:highlight w:val="none"/>
        </w:rPr>
        <w:t>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spacing w:line="360" w:lineRule="auto"/>
        <w:ind w:firstLine="480" w:firstLineChars="200"/>
        <w:rPr>
          <w:rFonts w:hint="eastAsia" w:hAnsi="宋体"/>
          <w:szCs w:val="24"/>
          <w:highlight w:val="none"/>
        </w:rPr>
      </w:pPr>
      <w:r>
        <w:rPr>
          <w:rFonts w:hint="eastAsia" w:hAnsi="宋体"/>
          <w:szCs w:val="24"/>
          <w:highlight w:val="none"/>
        </w:rPr>
        <w:br w:type="page"/>
      </w:r>
    </w:p>
    <w:p>
      <w:pPr>
        <w:pStyle w:val="3"/>
        <w:jc w:val="center"/>
        <w:rPr>
          <w:rFonts w:hint="eastAsia" w:ascii="宋体" w:eastAsia="宋体"/>
          <w:bCs/>
          <w:szCs w:val="32"/>
          <w:highlight w:val="none"/>
        </w:rPr>
      </w:pPr>
      <w:bookmarkStart w:id="46" w:name="_Toc423973074"/>
      <w:bookmarkStart w:id="47" w:name="_Toc10408"/>
      <w:bookmarkStart w:id="48" w:name="_Toc25783"/>
      <w:bookmarkStart w:id="49" w:name="_Toc26870"/>
      <w:bookmarkStart w:id="50" w:name="_Toc403077645"/>
      <w:bookmarkStart w:id="51" w:name="_Toc22752"/>
      <w:r>
        <w:rPr>
          <w:rFonts w:hint="eastAsia" w:ascii="宋体" w:eastAsia="宋体"/>
          <w:bCs/>
          <w:szCs w:val="32"/>
          <w:highlight w:val="none"/>
        </w:rPr>
        <w:t xml:space="preserve">第三章 </w:t>
      </w:r>
      <w:r>
        <w:rPr>
          <w:rFonts w:hint="eastAsia" w:ascii="宋体" w:eastAsia="宋体"/>
          <w:bCs/>
          <w:szCs w:val="32"/>
          <w:highlight w:val="none"/>
          <w:lang w:val="en-US" w:eastAsia="zh-CN"/>
        </w:rPr>
        <w:t xml:space="preserve"> </w:t>
      </w:r>
      <w:r>
        <w:rPr>
          <w:rFonts w:hint="eastAsia" w:ascii="宋体" w:eastAsia="宋体"/>
          <w:bCs/>
          <w:szCs w:val="32"/>
          <w:highlight w:val="none"/>
        </w:rPr>
        <w:t>合同条款及格式</w:t>
      </w:r>
      <w:bookmarkEnd w:id="46"/>
      <w:bookmarkEnd w:id="47"/>
      <w:bookmarkEnd w:id="48"/>
      <w:bookmarkEnd w:id="49"/>
      <w:bookmarkEnd w:id="50"/>
      <w:bookmarkEnd w:id="51"/>
    </w:p>
    <w:p>
      <w:pPr>
        <w:bidi w:val="0"/>
        <w:jc w:val="center"/>
        <w:rPr>
          <w:rFonts w:hint="eastAsia"/>
          <w:b/>
          <w:bCs/>
          <w:sz w:val="30"/>
          <w:szCs w:val="30"/>
          <w:highlight w:val="none"/>
        </w:rPr>
      </w:pPr>
      <w:bookmarkStart w:id="52" w:name="_Toc23618"/>
      <w:bookmarkStart w:id="53" w:name="_Toc23303"/>
      <w:bookmarkStart w:id="54" w:name="_Toc8306"/>
      <w:r>
        <w:rPr>
          <w:rFonts w:hint="eastAsia"/>
          <w:b/>
          <w:bCs/>
          <w:sz w:val="30"/>
          <w:szCs w:val="30"/>
          <w:highlight w:val="none"/>
        </w:rPr>
        <w:t>合同前附表</w:t>
      </w:r>
      <w:bookmarkEnd w:id="52"/>
      <w:bookmarkEnd w:id="53"/>
      <w:bookmarkEnd w:id="54"/>
    </w:p>
    <w:p>
      <w:pPr>
        <w:rPr>
          <w:rFonts w:hAnsi="宋体"/>
          <w:szCs w:val="24"/>
          <w:highlight w:val="none"/>
        </w:rPr>
      </w:pPr>
      <w:r>
        <w:rPr>
          <w:rFonts w:hint="eastAsia" w:hAnsi="宋体" w:cs="宋体"/>
          <w:szCs w:val="24"/>
          <w:highlight w:val="none"/>
        </w:rPr>
        <w:t>本表是对合同条款的具体补充和修改，如有矛盾，应以本资料表为准。</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23"/>
        <w:gridCol w:w="76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1" w:hRule="atLeast"/>
        </w:trPr>
        <w:tc>
          <w:tcPr>
            <w:tcW w:w="1123" w:type="dxa"/>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条款号</w:t>
            </w:r>
          </w:p>
        </w:tc>
        <w:tc>
          <w:tcPr>
            <w:tcW w:w="7694" w:type="dxa"/>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23" w:type="dxa"/>
            <w:noWrap w:val="0"/>
            <w:vAlign w:val="center"/>
          </w:tcPr>
          <w:p>
            <w:pPr>
              <w:spacing w:line="360" w:lineRule="auto"/>
              <w:jc w:val="center"/>
              <w:rPr>
                <w:rFonts w:hint="eastAsia" w:hAnsi="宋体" w:cs="宋体"/>
                <w:sz w:val="24"/>
                <w:szCs w:val="24"/>
                <w:highlight w:val="none"/>
              </w:rPr>
            </w:pPr>
            <w:r>
              <w:rPr>
                <w:rFonts w:hint="eastAsia" w:hAnsi="宋体" w:cs="宋体"/>
                <w:sz w:val="24"/>
                <w:szCs w:val="24"/>
                <w:highlight w:val="none"/>
              </w:rPr>
              <w:t>1</w:t>
            </w:r>
          </w:p>
        </w:tc>
        <w:tc>
          <w:tcPr>
            <w:tcW w:w="7694" w:type="dxa"/>
            <w:noWrap w:val="0"/>
            <w:vAlign w:val="center"/>
          </w:tcPr>
          <w:p>
            <w:pPr>
              <w:spacing w:line="360" w:lineRule="auto"/>
              <w:rPr>
                <w:rFonts w:hint="eastAsia" w:hAnsi="宋体" w:eastAsia="宋体"/>
                <w:sz w:val="24"/>
                <w:szCs w:val="24"/>
                <w:highlight w:val="none"/>
                <w:lang w:eastAsia="zh-CN"/>
              </w:rPr>
            </w:pPr>
            <w:r>
              <w:rPr>
                <w:rFonts w:hint="eastAsia" w:hAnsi="宋体"/>
                <w:sz w:val="24"/>
                <w:szCs w:val="24"/>
                <w:highlight w:val="none"/>
              </w:rPr>
              <w:t>采购人名称：</w:t>
            </w:r>
            <w:r>
              <w:rPr>
                <w:rFonts w:hint="eastAsia" w:hAnsi="宋体"/>
                <w:sz w:val="24"/>
                <w:szCs w:val="24"/>
                <w:highlight w:val="none"/>
                <w:lang w:eastAsia="zh-CN"/>
              </w:rPr>
              <w:t>柞水县乾佑河国有林场</w:t>
            </w:r>
          </w:p>
          <w:p>
            <w:pPr>
              <w:spacing w:line="360" w:lineRule="auto"/>
              <w:rPr>
                <w:rFonts w:hint="eastAsia" w:hAnsi="宋体" w:eastAsia="宋体"/>
                <w:sz w:val="24"/>
                <w:szCs w:val="24"/>
                <w:highlight w:val="none"/>
                <w:lang w:eastAsia="zh-CN"/>
              </w:rPr>
            </w:pPr>
            <w:r>
              <w:rPr>
                <w:rFonts w:hint="eastAsia" w:hAnsi="宋体"/>
                <w:sz w:val="24"/>
                <w:szCs w:val="24"/>
                <w:highlight w:val="none"/>
              </w:rPr>
              <w:t>地    址：</w:t>
            </w:r>
            <w:r>
              <w:rPr>
                <w:rFonts w:hint="eastAsia" w:hAnsi="宋体"/>
                <w:sz w:val="24"/>
                <w:szCs w:val="24"/>
                <w:highlight w:val="none"/>
                <w:lang w:eastAsia="zh-CN"/>
              </w:rPr>
              <w:t>柞水县营盘镇营镇社区</w:t>
            </w:r>
          </w:p>
          <w:p>
            <w:pPr>
              <w:spacing w:line="360" w:lineRule="auto"/>
              <w:rPr>
                <w:rFonts w:hint="eastAsia" w:hAnsi="宋体" w:eastAsia="宋体"/>
                <w:sz w:val="24"/>
                <w:szCs w:val="24"/>
                <w:highlight w:val="none"/>
                <w:lang w:eastAsia="zh-CN"/>
              </w:rPr>
            </w:pPr>
            <w:r>
              <w:rPr>
                <w:rFonts w:hint="eastAsia" w:hAnsi="宋体"/>
                <w:sz w:val="24"/>
                <w:szCs w:val="24"/>
                <w:highlight w:val="none"/>
              </w:rPr>
              <w:t>项目名称：</w:t>
            </w:r>
            <w:r>
              <w:rPr>
                <w:rFonts w:hint="eastAsia" w:hAnsi="宋体"/>
                <w:sz w:val="24"/>
                <w:szCs w:val="24"/>
                <w:highlight w:val="none"/>
                <w:lang w:eastAsia="zh-CN"/>
              </w:rPr>
              <w:t>柞水县2022年栎类大径木培育基地项目</w:t>
            </w:r>
          </w:p>
          <w:p>
            <w:pPr>
              <w:spacing w:line="360" w:lineRule="auto"/>
              <w:rPr>
                <w:rFonts w:hint="eastAsia" w:hAnsi="宋体" w:cs="宋体"/>
                <w:sz w:val="24"/>
                <w:szCs w:val="24"/>
                <w:highlight w:val="none"/>
              </w:rPr>
            </w:pPr>
            <w:r>
              <w:rPr>
                <w:rFonts w:hint="eastAsia" w:hAnsi="宋体"/>
                <w:sz w:val="24"/>
                <w:szCs w:val="24"/>
                <w:highlight w:val="none"/>
              </w:rPr>
              <w:t>资金来源：</w:t>
            </w:r>
            <w:r>
              <w:rPr>
                <w:rFonts w:hint="eastAsia" w:hAnsi="宋体"/>
                <w:sz w:val="24"/>
                <w:szCs w:val="24"/>
                <w:highlight w:val="none"/>
                <w:lang w:eastAsia="zh-CN"/>
              </w:rPr>
              <w:t>财政拨款</w:t>
            </w:r>
            <w:r>
              <w:rPr>
                <w:rFonts w:hint="eastAsia" w:hAnsi="宋体"/>
                <w:sz w:val="24"/>
                <w:szCs w:val="24"/>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6" w:hRule="exact"/>
        </w:trPr>
        <w:tc>
          <w:tcPr>
            <w:tcW w:w="1123" w:type="dxa"/>
            <w:noWrap w:val="0"/>
            <w:vAlign w:val="center"/>
          </w:tcPr>
          <w:p>
            <w:pPr>
              <w:spacing w:line="360" w:lineRule="auto"/>
              <w:jc w:val="center"/>
              <w:rPr>
                <w:rFonts w:hint="eastAsia" w:hAnsi="宋体" w:eastAsia="宋体" w:cs="宋体"/>
                <w:sz w:val="24"/>
                <w:szCs w:val="24"/>
                <w:highlight w:val="none"/>
                <w:lang w:val="en-US" w:eastAsia="zh-CN"/>
              </w:rPr>
            </w:pPr>
            <w:r>
              <w:rPr>
                <w:rFonts w:hint="eastAsia" w:hAnsi="宋体" w:cs="宋体"/>
                <w:sz w:val="24"/>
                <w:szCs w:val="24"/>
                <w:highlight w:val="none"/>
                <w:lang w:val="en-US" w:eastAsia="zh-CN"/>
              </w:rPr>
              <w:t>2</w:t>
            </w:r>
          </w:p>
        </w:tc>
        <w:tc>
          <w:tcPr>
            <w:tcW w:w="7694" w:type="dxa"/>
            <w:noWrap w:val="0"/>
            <w:vAlign w:val="center"/>
          </w:tcPr>
          <w:p>
            <w:pPr>
              <w:spacing w:line="360" w:lineRule="auto"/>
              <w:rPr>
                <w:rFonts w:hint="default"/>
                <w:sz w:val="24"/>
                <w:szCs w:val="24"/>
                <w:highlight w:val="none"/>
                <w:lang w:val="en-US" w:eastAsia="zh-CN"/>
              </w:rPr>
            </w:pPr>
            <w:r>
              <w:rPr>
                <w:rFonts w:hint="eastAsia"/>
                <w:sz w:val="24"/>
                <w:szCs w:val="24"/>
                <w:highlight w:val="none"/>
                <w:lang w:val="en-US" w:eastAsia="zh-CN"/>
              </w:rPr>
              <w:t>第一包：西川作业区1、2、5小班（820亩）</w:t>
            </w:r>
          </w:p>
          <w:p>
            <w:pPr>
              <w:pStyle w:val="7"/>
              <w:ind w:left="0" w:leftChars="0" w:firstLine="0" w:firstLineChars="0"/>
              <w:rPr>
                <w:rFonts w:hint="eastAsia"/>
                <w:sz w:val="24"/>
                <w:szCs w:val="24"/>
                <w:highlight w:val="none"/>
                <w:lang w:val="en-US" w:eastAsia="zh-CN"/>
              </w:rPr>
            </w:pPr>
            <w:r>
              <w:rPr>
                <w:rFonts w:hint="eastAsia" w:ascii="宋体" w:hAnsi="Times New Roman" w:eastAsia="宋体" w:cs="Times New Roman"/>
                <w:kern w:val="0"/>
                <w:sz w:val="24"/>
                <w:szCs w:val="24"/>
                <w:highlight w:val="none"/>
                <w:lang w:val="en-US" w:eastAsia="zh-CN" w:bidi="ar-SA"/>
              </w:rPr>
              <w:t>第二包：西川作业区3</w:t>
            </w:r>
            <w:r>
              <w:rPr>
                <w:rFonts w:hint="eastAsia" w:ascii="宋体" w:cs="Times New Roman"/>
                <w:kern w:val="0"/>
                <w:sz w:val="24"/>
                <w:szCs w:val="24"/>
                <w:highlight w:val="none"/>
                <w:lang w:val="en-US" w:eastAsia="zh-CN" w:bidi="ar-SA"/>
              </w:rPr>
              <w:t>、</w:t>
            </w:r>
            <w:r>
              <w:rPr>
                <w:rFonts w:hint="eastAsia" w:ascii="宋体" w:hAnsi="Times New Roman" w:eastAsia="宋体" w:cs="Times New Roman"/>
                <w:kern w:val="0"/>
                <w:sz w:val="24"/>
                <w:szCs w:val="24"/>
                <w:highlight w:val="none"/>
                <w:lang w:val="en-US" w:eastAsia="zh-CN" w:bidi="ar-SA"/>
              </w:rPr>
              <w:t>4小班（8</w:t>
            </w:r>
            <w:r>
              <w:rPr>
                <w:rFonts w:hint="eastAsia" w:ascii="宋体" w:cs="Times New Roman"/>
                <w:kern w:val="0"/>
                <w:sz w:val="24"/>
                <w:szCs w:val="24"/>
                <w:highlight w:val="none"/>
                <w:lang w:val="en-US" w:eastAsia="zh-CN" w:bidi="ar-SA"/>
              </w:rPr>
              <w:t>47</w:t>
            </w:r>
            <w:r>
              <w:rPr>
                <w:rFonts w:hint="eastAsia" w:ascii="宋体" w:hAnsi="Times New Roman" w:eastAsia="宋体" w:cs="Times New Roman"/>
                <w:kern w:val="0"/>
                <w:sz w:val="24"/>
                <w:szCs w:val="24"/>
                <w:highlight w:val="none"/>
                <w:lang w:val="en-US" w:eastAsia="zh-CN" w:bidi="ar-SA"/>
              </w:rPr>
              <w:t>亩</w:t>
            </w:r>
            <w:r>
              <w:rPr>
                <w:rFonts w:hint="eastAsia"/>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exact"/>
        </w:trPr>
        <w:tc>
          <w:tcPr>
            <w:tcW w:w="1123" w:type="dxa"/>
            <w:noWrap w:val="0"/>
            <w:vAlign w:val="center"/>
          </w:tcPr>
          <w:p>
            <w:pPr>
              <w:spacing w:line="360" w:lineRule="auto"/>
              <w:jc w:val="center"/>
              <w:rPr>
                <w:rFonts w:hint="eastAsia" w:hAnsi="宋体" w:eastAsia="宋体" w:cs="宋体"/>
                <w:sz w:val="24"/>
                <w:szCs w:val="24"/>
                <w:highlight w:val="none"/>
                <w:lang w:eastAsia="zh-CN"/>
              </w:rPr>
            </w:pPr>
            <w:r>
              <w:rPr>
                <w:rFonts w:hint="eastAsia" w:hAnsi="宋体" w:cs="宋体"/>
                <w:sz w:val="24"/>
                <w:szCs w:val="24"/>
                <w:highlight w:val="none"/>
                <w:lang w:val="en-US" w:eastAsia="zh-CN"/>
              </w:rPr>
              <w:t>3</w:t>
            </w:r>
          </w:p>
        </w:tc>
        <w:tc>
          <w:tcPr>
            <w:tcW w:w="7694" w:type="dxa"/>
            <w:noWrap w:val="0"/>
            <w:vAlign w:val="center"/>
          </w:tcPr>
          <w:p>
            <w:pPr>
              <w:spacing w:line="360" w:lineRule="auto"/>
              <w:rPr>
                <w:rFonts w:hint="eastAsia" w:eastAsia="宋体"/>
                <w:sz w:val="24"/>
                <w:szCs w:val="24"/>
                <w:highlight w:val="none"/>
                <w:lang w:val="en-US" w:eastAsia="zh-CN"/>
              </w:rPr>
            </w:pPr>
            <w:r>
              <w:rPr>
                <w:rFonts w:hint="eastAsia"/>
                <w:sz w:val="24"/>
                <w:szCs w:val="24"/>
                <w:highlight w:val="none"/>
                <w:lang w:val="en-US" w:eastAsia="zh-CN"/>
              </w:rPr>
              <w:t>工期</w:t>
            </w:r>
            <w:r>
              <w:rPr>
                <w:rFonts w:hint="eastAsia" w:eastAsia="宋体"/>
                <w:sz w:val="24"/>
                <w:szCs w:val="24"/>
                <w:highlight w:val="none"/>
                <w:lang w:val="en-US" w:eastAsia="zh-CN"/>
              </w:rPr>
              <w:t>：</w:t>
            </w:r>
            <w:r>
              <w:rPr>
                <w:rFonts w:hint="eastAsia"/>
                <w:sz w:val="24"/>
                <w:szCs w:val="24"/>
                <w:highlight w:val="none"/>
                <w:lang w:val="en-US" w:eastAsia="zh-CN"/>
              </w:rPr>
              <w:t>自合同签订之日起6个月内完成；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9" w:hRule="exact"/>
        </w:trPr>
        <w:tc>
          <w:tcPr>
            <w:tcW w:w="1123" w:type="dxa"/>
            <w:noWrap w:val="0"/>
            <w:vAlign w:val="center"/>
          </w:tcPr>
          <w:p>
            <w:pPr>
              <w:spacing w:line="360" w:lineRule="auto"/>
              <w:jc w:val="center"/>
              <w:rPr>
                <w:rFonts w:hint="eastAsia" w:hAnsi="宋体" w:eastAsia="宋体" w:cs="宋体"/>
                <w:sz w:val="24"/>
                <w:szCs w:val="24"/>
                <w:highlight w:val="none"/>
                <w:lang w:eastAsia="zh-CN"/>
              </w:rPr>
            </w:pPr>
            <w:r>
              <w:rPr>
                <w:rFonts w:hint="eastAsia" w:hAnsi="宋体" w:cs="宋体"/>
                <w:sz w:val="24"/>
                <w:szCs w:val="24"/>
                <w:highlight w:val="none"/>
                <w:lang w:val="en-US" w:eastAsia="zh-CN"/>
              </w:rPr>
              <w:t>4</w:t>
            </w:r>
          </w:p>
        </w:tc>
        <w:tc>
          <w:tcPr>
            <w:tcW w:w="7694" w:type="dxa"/>
            <w:noWrap w:val="0"/>
            <w:vAlign w:val="center"/>
          </w:tcPr>
          <w:p>
            <w:pPr>
              <w:spacing w:line="360" w:lineRule="auto"/>
              <w:rPr>
                <w:rFonts w:hint="eastAsia" w:eastAsia="宋体"/>
                <w:sz w:val="24"/>
                <w:szCs w:val="24"/>
                <w:highlight w:val="none"/>
                <w:u w:val="single"/>
                <w:lang w:eastAsia="zh-CN"/>
              </w:rPr>
            </w:pPr>
            <w:r>
              <w:rPr>
                <w:rFonts w:hint="eastAsia"/>
                <w:sz w:val="24"/>
                <w:szCs w:val="24"/>
                <w:highlight w:val="none"/>
              </w:rPr>
              <w:t>质量标准：</w:t>
            </w:r>
            <w:r>
              <w:rPr>
                <w:rFonts w:hint="eastAsia"/>
                <w:sz w:val="24"/>
                <w:szCs w:val="24"/>
                <w:highlight w:val="none"/>
                <w:lang w:eastAsia="zh-CN"/>
              </w:rPr>
              <w:t>符合作业设计方案，达到</w:t>
            </w:r>
            <w:r>
              <w:rPr>
                <w:rFonts w:hint="eastAsia"/>
                <w:sz w:val="24"/>
                <w:szCs w:val="24"/>
                <w:highlight w:val="none"/>
              </w:rPr>
              <w:t>国家现行有关质量验收规范“合格”要求。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exact"/>
        </w:trPr>
        <w:tc>
          <w:tcPr>
            <w:tcW w:w="1123" w:type="dxa"/>
            <w:noWrap w:val="0"/>
            <w:vAlign w:val="center"/>
          </w:tcPr>
          <w:p>
            <w:pPr>
              <w:spacing w:line="360" w:lineRule="auto"/>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5</w:t>
            </w:r>
          </w:p>
        </w:tc>
        <w:tc>
          <w:tcPr>
            <w:tcW w:w="7694" w:type="dxa"/>
            <w:noWrap w:val="0"/>
            <w:vAlign w:val="center"/>
          </w:tcPr>
          <w:p>
            <w:pPr>
              <w:spacing w:line="360" w:lineRule="auto"/>
              <w:rPr>
                <w:rFonts w:hint="eastAsia" w:eastAsia="宋体"/>
                <w:sz w:val="24"/>
                <w:szCs w:val="24"/>
                <w:highlight w:val="none"/>
                <w:lang w:eastAsia="zh-CN"/>
              </w:rPr>
            </w:pPr>
            <w:r>
              <w:rPr>
                <w:rFonts w:hint="eastAsia"/>
                <w:sz w:val="24"/>
                <w:szCs w:val="24"/>
                <w:highlight w:val="none"/>
                <w:lang w:eastAsia="zh-CN"/>
              </w:rPr>
              <w:t>安全责任：工程施工过程中一切安全责任由成交单位负责。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 w:hRule="atLeast"/>
        </w:trPr>
        <w:tc>
          <w:tcPr>
            <w:tcW w:w="1123" w:type="dxa"/>
            <w:noWrap w:val="0"/>
            <w:vAlign w:val="center"/>
          </w:tcPr>
          <w:p>
            <w:pPr>
              <w:spacing w:line="360" w:lineRule="auto"/>
              <w:jc w:val="center"/>
              <w:rPr>
                <w:rFonts w:hint="eastAsia" w:hAnsi="宋体" w:eastAsia="宋体" w:cs="宋体"/>
                <w:sz w:val="24"/>
                <w:szCs w:val="24"/>
                <w:highlight w:val="none"/>
                <w:lang w:eastAsia="zh-CN"/>
              </w:rPr>
            </w:pPr>
            <w:r>
              <w:rPr>
                <w:rFonts w:hint="eastAsia" w:hAnsi="宋体" w:cs="宋体"/>
                <w:sz w:val="24"/>
                <w:szCs w:val="24"/>
                <w:highlight w:val="none"/>
                <w:lang w:val="en-US" w:eastAsia="zh-CN"/>
              </w:rPr>
              <w:t>6</w:t>
            </w:r>
          </w:p>
        </w:tc>
        <w:tc>
          <w:tcPr>
            <w:tcW w:w="7694" w:type="dxa"/>
            <w:noWrap w:val="0"/>
            <w:vAlign w:val="center"/>
          </w:tcPr>
          <w:p>
            <w:pPr>
              <w:spacing w:line="360" w:lineRule="auto"/>
              <w:rPr>
                <w:rFonts w:hint="eastAsia" w:hAnsi="宋体"/>
                <w:sz w:val="24"/>
                <w:szCs w:val="24"/>
                <w:highlight w:val="none"/>
              </w:rPr>
            </w:pPr>
            <w:r>
              <w:rPr>
                <w:rFonts w:hint="eastAsia" w:hAnsi="宋体"/>
                <w:sz w:val="24"/>
                <w:szCs w:val="24"/>
                <w:highlight w:val="none"/>
              </w:rPr>
              <w:t>付款：</w:t>
            </w:r>
          </w:p>
          <w:p>
            <w:pPr>
              <w:spacing w:line="360" w:lineRule="auto"/>
              <w:rPr>
                <w:rFonts w:hint="eastAsia" w:hAnsi="宋体"/>
                <w:sz w:val="24"/>
                <w:szCs w:val="24"/>
                <w:highlight w:val="none"/>
              </w:rPr>
            </w:pPr>
            <w:r>
              <w:rPr>
                <w:rFonts w:hint="eastAsia" w:hAnsi="宋体"/>
                <w:sz w:val="24"/>
                <w:szCs w:val="24"/>
                <w:highlight w:val="none"/>
              </w:rPr>
              <w:t>1.合同总价即成交价，磋商报价采用固定总价。成交报价是磋商文件所确定的全部工程内容的价格体现。任何有选择的报价将不予接受，按无效磋商响应。</w:t>
            </w:r>
          </w:p>
          <w:p>
            <w:pPr>
              <w:spacing w:line="360" w:lineRule="auto"/>
              <w:rPr>
                <w:rFonts w:hint="eastAsia" w:hAnsi="宋体"/>
                <w:sz w:val="24"/>
                <w:szCs w:val="24"/>
                <w:highlight w:val="none"/>
              </w:rPr>
            </w:pPr>
            <w:r>
              <w:rPr>
                <w:rFonts w:hint="eastAsia" w:hAnsi="宋体"/>
                <w:sz w:val="24"/>
                <w:szCs w:val="24"/>
                <w:highlight w:val="none"/>
              </w:rPr>
              <w:t>2.成交后合同总价不做调整，不再因为环境的变化和工程量的增减而变化，任何有选择的报价将不予接受。</w:t>
            </w:r>
          </w:p>
          <w:p>
            <w:pPr>
              <w:spacing w:line="360" w:lineRule="auto"/>
              <w:rPr>
                <w:rFonts w:hint="eastAsia" w:hAnsi="宋体"/>
                <w:sz w:val="24"/>
                <w:szCs w:val="24"/>
                <w:highlight w:val="none"/>
              </w:rPr>
            </w:pPr>
            <w:r>
              <w:rPr>
                <w:rFonts w:hint="eastAsia" w:hAnsi="宋体"/>
                <w:sz w:val="24"/>
                <w:szCs w:val="24"/>
                <w:highlight w:val="none"/>
              </w:rPr>
              <w:t>3.付款方式和程序：</w:t>
            </w:r>
          </w:p>
          <w:p>
            <w:pPr>
              <w:spacing w:line="360" w:lineRule="auto"/>
              <w:rPr>
                <w:rFonts w:hint="eastAsia" w:hAnsi="宋体"/>
                <w:sz w:val="24"/>
                <w:szCs w:val="24"/>
                <w:highlight w:val="none"/>
              </w:rPr>
            </w:pPr>
            <w:r>
              <w:rPr>
                <w:rFonts w:hint="eastAsia" w:hAnsi="宋体"/>
                <w:sz w:val="24"/>
                <w:szCs w:val="24"/>
                <w:highlight w:val="none"/>
              </w:rPr>
              <w:t>（1）结算方式：</w:t>
            </w:r>
          </w:p>
          <w:p>
            <w:pPr>
              <w:spacing w:line="360" w:lineRule="auto"/>
              <w:rPr>
                <w:rFonts w:hint="eastAsia" w:hAnsi="宋体"/>
                <w:sz w:val="24"/>
                <w:szCs w:val="24"/>
                <w:highlight w:val="none"/>
              </w:rPr>
            </w:pPr>
            <w:r>
              <w:rPr>
                <w:rFonts w:hint="eastAsia" w:hAnsi="宋体"/>
                <w:sz w:val="24"/>
                <w:szCs w:val="24"/>
                <w:highlight w:val="none"/>
              </w:rPr>
              <w:t>由</w:t>
            </w:r>
            <w:r>
              <w:rPr>
                <w:rFonts w:hint="eastAsia" w:hAnsi="宋体"/>
                <w:sz w:val="24"/>
                <w:szCs w:val="24"/>
                <w:highlight w:val="none"/>
                <w:lang w:eastAsia="zh-CN"/>
              </w:rPr>
              <w:t>采购人</w:t>
            </w:r>
            <w:r>
              <w:rPr>
                <w:rFonts w:hint="eastAsia" w:hAnsi="宋体"/>
                <w:sz w:val="24"/>
                <w:szCs w:val="24"/>
                <w:highlight w:val="none"/>
              </w:rPr>
              <w:t>负责结算，在在付款前，成交供应商须开具全额发票给采购人。</w:t>
            </w:r>
          </w:p>
          <w:p>
            <w:pPr>
              <w:spacing w:line="360" w:lineRule="auto"/>
              <w:rPr>
                <w:rFonts w:hint="eastAsia" w:hAnsi="宋体"/>
                <w:sz w:val="24"/>
                <w:szCs w:val="24"/>
                <w:highlight w:val="none"/>
              </w:rPr>
            </w:pPr>
            <w:r>
              <w:rPr>
                <w:rFonts w:hint="eastAsia" w:hAnsi="宋体"/>
                <w:sz w:val="24"/>
                <w:szCs w:val="24"/>
                <w:highlight w:val="none"/>
              </w:rPr>
              <w:t>（2）付款方式：</w:t>
            </w:r>
          </w:p>
          <w:p>
            <w:pPr>
              <w:spacing w:line="360" w:lineRule="auto"/>
              <w:rPr>
                <w:rFonts w:hint="eastAsia" w:hAnsi="宋体"/>
                <w:sz w:val="24"/>
                <w:szCs w:val="24"/>
                <w:highlight w:val="none"/>
              </w:rPr>
            </w:pPr>
            <w:r>
              <w:rPr>
                <w:rFonts w:hint="eastAsia" w:hAnsi="宋体"/>
                <w:sz w:val="24"/>
                <w:szCs w:val="24"/>
                <w:highlight w:val="none"/>
              </w:rPr>
              <w:t>（1）银行转账，项目实施完成并通过验收后，由供应商提供票据等财务报账所需材料进行报账。</w:t>
            </w:r>
          </w:p>
          <w:p>
            <w:pPr>
              <w:spacing w:line="360" w:lineRule="auto"/>
              <w:rPr>
                <w:rFonts w:hint="default" w:eastAsia="宋体"/>
                <w:sz w:val="24"/>
                <w:szCs w:val="24"/>
                <w:highlight w:val="none"/>
                <w:lang w:val="en-US" w:eastAsia="zh-CN"/>
              </w:rPr>
            </w:pPr>
            <w:r>
              <w:rPr>
                <w:rFonts w:hint="eastAsia" w:hAnsi="宋体"/>
                <w:sz w:val="24"/>
                <w:szCs w:val="24"/>
                <w:highlight w:val="none"/>
              </w:rPr>
              <w:t>（2）付款方式：</w:t>
            </w:r>
            <w:r>
              <w:rPr>
                <w:rFonts w:hint="eastAsia" w:hAnsi="宋体"/>
                <w:color w:val="auto"/>
                <w:szCs w:val="24"/>
                <w:highlight w:val="none"/>
              </w:rPr>
              <w:t>合同签订后，预付合同金额工程款的30%，工程完工后经验收合格后付50%，第二年秋苗木成活率达到85%付剩余20%工程款。（具体以合同签订为准）。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23" w:type="dxa"/>
            <w:noWrap w:val="0"/>
            <w:vAlign w:val="center"/>
          </w:tcPr>
          <w:p>
            <w:pPr>
              <w:spacing w:line="360" w:lineRule="auto"/>
              <w:jc w:val="center"/>
              <w:rPr>
                <w:rFonts w:hint="eastAsia" w:hAnsi="宋体" w:eastAsia="宋体" w:cs="宋体"/>
                <w:sz w:val="24"/>
                <w:szCs w:val="24"/>
                <w:highlight w:val="none"/>
                <w:lang w:eastAsia="zh-CN"/>
              </w:rPr>
            </w:pPr>
            <w:r>
              <w:rPr>
                <w:rFonts w:hint="eastAsia" w:hAnsi="宋体" w:cs="宋体"/>
                <w:sz w:val="24"/>
                <w:szCs w:val="24"/>
                <w:highlight w:val="none"/>
                <w:lang w:val="en-US" w:eastAsia="zh-CN"/>
              </w:rPr>
              <w:t>7</w:t>
            </w:r>
          </w:p>
        </w:tc>
        <w:tc>
          <w:tcPr>
            <w:tcW w:w="7694" w:type="dxa"/>
            <w:noWrap w:val="0"/>
            <w:vAlign w:val="center"/>
          </w:tcPr>
          <w:p>
            <w:pPr>
              <w:spacing w:line="360" w:lineRule="auto"/>
              <w:rPr>
                <w:rFonts w:hAnsi="宋体" w:cs="宋体"/>
                <w:b/>
                <w:sz w:val="24"/>
                <w:szCs w:val="24"/>
                <w:highlight w:val="none"/>
              </w:rPr>
            </w:pPr>
            <w:r>
              <w:rPr>
                <w:rFonts w:hint="eastAsia" w:hAnsi="宋体" w:cs="宋体"/>
                <w:b/>
                <w:sz w:val="24"/>
                <w:szCs w:val="24"/>
                <w:highlight w:val="none"/>
              </w:rPr>
              <w:t>质量要求：</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1、所有工程须符合行业标准及相关规定；</w:t>
            </w:r>
          </w:p>
          <w:p>
            <w:pPr>
              <w:spacing w:line="360" w:lineRule="auto"/>
              <w:ind w:firstLine="480" w:firstLineChars="200"/>
              <w:rPr>
                <w:rFonts w:hint="eastAsia" w:hAnsi="宋体"/>
                <w:sz w:val="24"/>
                <w:szCs w:val="24"/>
                <w:highlight w:val="none"/>
              </w:rPr>
            </w:pPr>
            <w:r>
              <w:rPr>
                <w:rFonts w:hint="eastAsia" w:hAnsi="宋体" w:cs="宋体"/>
                <w:sz w:val="24"/>
                <w:szCs w:val="24"/>
                <w:highlight w:val="none"/>
              </w:rPr>
              <w:t>2、所有工程须符合国家有关规范和执行标准。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20" w:hRule="atLeast"/>
        </w:trPr>
        <w:tc>
          <w:tcPr>
            <w:tcW w:w="1123" w:type="dxa"/>
            <w:noWrap w:val="0"/>
            <w:vAlign w:val="center"/>
          </w:tcPr>
          <w:p>
            <w:pPr>
              <w:jc w:val="center"/>
              <w:rPr>
                <w:rFonts w:hint="eastAsia" w:eastAsia="宋体"/>
                <w:sz w:val="24"/>
                <w:szCs w:val="24"/>
                <w:highlight w:val="none"/>
                <w:lang w:eastAsia="zh-CN"/>
              </w:rPr>
            </w:pPr>
            <w:bookmarkStart w:id="55" w:name="_Toc423973075"/>
            <w:bookmarkStart w:id="56" w:name="_Toc19246"/>
            <w:bookmarkStart w:id="57" w:name="_Toc389582037"/>
            <w:bookmarkStart w:id="58" w:name="_Toc31520"/>
            <w:bookmarkStart w:id="59" w:name="_Toc29888"/>
            <w:bookmarkStart w:id="60" w:name="_Toc26595"/>
            <w:bookmarkStart w:id="61" w:name="_Toc8333"/>
            <w:bookmarkStart w:id="62" w:name="_Toc19199"/>
            <w:bookmarkStart w:id="63" w:name="_Toc4679"/>
            <w:r>
              <w:rPr>
                <w:rFonts w:hint="eastAsia"/>
                <w:sz w:val="24"/>
                <w:szCs w:val="24"/>
                <w:highlight w:val="none"/>
                <w:lang w:val="en-US" w:eastAsia="zh-CN"/>
              </w:rPr>
              <w:t>8</w:t>
            </w:r>
          </w:p>
        </w:tc>
        <w:tc>
          <w:tcPr>
            <w:tcW w:w="7694" w:type="dxa"/>
            <w:noWrap w:val="0"/>
            <w:vAlign w:val="center"/>
          </w:tcPr>
          <w:p>
            <w:pPr>
              <w:spacing w:line="360" w:lineRule="auto"/>
              <w:rPr>
                <w:rFonts w:hAnsi="宋体" w:cs="宋体"/>
                <w:b/>
                <w:bCs/>
                <w:sz w:val="24"/>
                <w:szCs w:val="24"/>
                <w:highlight w:val="none"/>
              </w:rPr>
            </w:pPr>
            <w:r>
              <w:rPr>
                <w:rFonts w:hint="eastAsia" w:hAnsi="宋体" w:cs="宋体"/>
                <w:b/>
                <w:bCs/>
                <w:sz w:val="24"/>
                <w:szCs w:val="24"/>
                <w:highlight w:val="none"/>
              </w:rPr>
              <w:t>验收：</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由</w:t>
            </w:r>
            <w:r>
              <w:rPr>
                <w:rFonts w:hint="eastAsia" w:hAnsi="宋体" w:cs="宋体"/>
                <w:sz w:val="24"/>
                <w:szCs w:val="24"/>
                <w:highlight w:val="none"/>
                <w:lang w:eastAsia="zh-CN"/>
              </w:rPr>
              <w:t>采购人</w:t>
            </w:r>
            <w:r>
              <w:rPr>
                <w:rFonts w:hint="eastAsia" w:hAnsi="宋体" w:cs="宋体"/>
                <w:sz w:val="24"/>
                <w:szCs w:val="24"/>
                <w:highlight w:val="none"/>
              </w:rPr>
              <w:t>和供应商共同对项目进行整体验收。其内容包括苗木质量、成活率、</w:t>
            </w:r>
            <w:r>
              <w:rPr>
                <w:rFonts w:hint="eastAsia" w:hAnsi="宋体" w:cs="宋体"/>
                <w:sz w:val="24"/>
                <w:szCs w:val="24"/>
                <w:highlight w:val="none"/>
                <w:lang w:eastAsia="zh-CN"/>
              </w:rPr>
              <w:t>造林</w:t>
            </w:r>
            <w:r>
              <w:rPr>
                <w:rFonts w:hint="eastAsia" w:hAnsi="宋体" w:cs="宋体"/>
                <w:sz w:val="24"/>
                <w:szCs w:val="24"/>
                <w:highlight w:val="none"/>
              </w:rPr>
              <w:t>施工是否达到现行国家有关验收规范“合格”标准、是否按照</w:t>
            </w:r>
            <w:r>
              <w:rPr>
                <w:rFonts w:hint="eastAsia" w:hAnsi="宋体" w:cs="宋体"/>
                <w:sz w:val="24"/>
                <w:szCs w:val="24"/>
                <w:highlight w:val="none"/>
                <w:lang w:eastAsia="zh-CN"/>
              </w:rPr>
              <w:t>采购人</w:t>
            </w:r>
            <w:r>
              <w:rPr>
                <w:rFonts w:hint="eastAsia" w:hAnsi="宋体" w:cs="宋体"/>
                <w:sz w:val="24"/>
                <w:szCs w:val="24"/>
                <w:highlight w:val="none"/>
              </w:rPr>
              <w:t>要求按时完工。</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1.所验各项内容最终验收达不到磋商文件要求和磋商响应文件承诺的，或在后续使用中发现</w:t>
            </w:r>
            <w:r>
              <w:rPr>
                <w:rFonts w:hint="eastAsia" w:hAnsi="宋体" w:cs="宋体"/>
                <w:sz w:val="24"/>
                <w:szCs w:val="24"/>
                <w:highlight w:val="none"/>
                <w:lang w:eastAsia="zh-CN"/>
              </w:rPr>
              <w:t>采购人</w:t>
            </w:r>
            <w:r>
              <w:rPr>
                <w:rFonts w:hint="eastAsia" w:hAnsi="宋体" w:cs="宋体"/>
                <w:sz w:val="24"/>
                <w:szCs w:val="24"/>
                <w:highlight w:val="none"/>
              </w:rPr>
              <w:t>不能容忍的缺陷等，将视为验收不合格，供应商应在采购人要求的时间内无条件整改及恢复。</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2.若发现供应商有弄虚作假的，在磋商阶段故意或随意夸大技术能力、工程、服务质量的，采购人有权解除合同，并且要求供应商赔偿相关损失。</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3.验收标准：按磋商文件、磋商响应文件及澄清函等技术指标进行验收。各项指标均应符合验收标准及要求。</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4.验收合格后，填写验收单，双方签字生效。</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5.验收依据：</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a)合同文本；</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b)磋商文件及澄清函、磋商响应文件；</w:t>
            </w:r>
          </w:p>
          <w:p>
            <w:pPr>
              <w:spacing w:line="360" w:lineRule="auto"/>
              <w:ind w:firstLine="480" w:firstLineChars="200"/>
              <w:rPr>
                <w:rFonts w:hint="eastAsia" w:hAnsi="宋体" w:cs="宋体"/>
                <w:sz w:val="24"/>
                <w:szCs w:val="24"/>
                <w:highlight w:val="none"/>
              </w:rPr>
            </w:pPr>
            <w:r>
              <w:rPr>
                <w:rFonts w:hint="eastAsia" w:hAnsi="宋体" w:cs="宋体"/>
                <w:sz w:val="24"/>
                <w:szCs w:val="24"/>
                <w:highlight w:val="none"/>
              </w:rPr>
              <w:t>c)国家和行业制定的相应的标准和规范；</w:t>
            </w:r>
          </w:p>
          <w:p>
            <w:pPr>
              <w:spacing w:line="360" w:lineRule="auto"/>
              <w:ind w:firstLine="480" w:firstLineChars="200"/>
              <w:rPr>
                <w:sz w:val="24"/>
                <w:szCs w:val="24"/>
                <w:highlight w:val="none"/>
              </w:rPr>
            </w:pPr>
            <w:r>
              <w:rPr>
                <w:rFonts w:hint="eastAsia" w:hAnsi="宋体" w:cs="宋体"/>
                <w:sz w:val="24"/>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23" w:type="dxa"/>
            <w:noWrap w:val="0"/>
            <w:vAlign w:val="center"/>
          </w:tcPr>
          <w:p>
            <w:pPr>
              <w:pStyle w:val="11"/>
              <w:spacing w:line="360" w:lineRule="auto"/>
              <w:jc w:val="center"/>
              <w:rPr>
                <w:rFonts w:hint="eastAsia" w:hAnsi="宋体" w:eastAsia="宋体" w:cs="宋体"/>
                <w:sz w:val="24"/>
                <w:szCs w:val="24"/>
                <w:highlight w:val="none"/>
                <w:lang w:eastAsia="zh-CN"/>
              </w:rPr>
            </w:pPr>
            <w:r>
              <w:rPr>
                <w:rFonts w:hint="eastAsia" w:hAnsi="宋体" w:cs="宋体"/>
                <w:sz w:val="24"/>
                <w:szCs w:val="24"/>
                <w:highlight w:val="none"/>
                <w:lang w:val="en-US" w:eastAsia="zh-CN"/>
              </w:rPr>
              <w:t>9</w:t>
            </w:r>
          </w:p>
        </w:tc>
        <w:tc>
          <w:tcPr>
            <w:tcW w:w="7694" w:type="dxa"/>
            <w:noWrap w:val="0"/>
            <w:vAlign w:val="center"/>
          </w:tcPr>
          <w:p>
            <w:pPr>
              <w:spacing w:line="360" w:lineRule="auto"/>
              <w:rPr>
                <w:rFonts w:hAnsi="宋体" w:cs="宋体"/>
                <w:b/>
                <w:sz w:val="24"/>
                <w:szCs w:val="24"/>
                <w:highlight w:val="none"/>
              </w:rPr>
            </w:pPr>
            <w:r>
              <w:rPr>
                <w:rFonts w:hint="eastAsia" w:hAnsi="宋体" w:cs="宋体"/>
                <w:b/>
                <w:sz w:val="24"/>
                <w:szCs w:val="24"/>
                <w:highlight w:val="none"/>
              </w:rPr>
              <w:t>违约责任：</w:t>
            </w:r>
          </w:p>
          <w:p>
            <w:pPr>
              <w:tabs>
                <w:tab w:val="left" w:pos="152"/>
              </w:tabs>
              <w:spacing w:line="360" w:lineRule="auto"/>
              <w:ind w:firstLine="480" w:firstLineChars="200"/>
              <w:rPr>
                <w:rFonts w:hAnsi="宋体" w:cs="宋体"/>
                <w:sz w:val="24"/>
                <w:szCs w:val="24"/>
                <w:highlight w:val="none"/>
              </w:rPr>
            </w:pPr>
            <w:r>
              <w:rPr>
                <w:rFonts w:hint="eastAsia" w:hAnsi="宋体" w:cs="宋体"/>
                <w:sz w:val="24"/>
                <w:szCs w:val="24"/>
                <w:highlight w:val="none"/>
              </w:rPr>
              <w:t>1、按《</w:t>
            </w:r>
            <w:r>
              <w:rPr>
                <w:rFonts w:hint="eastAsia" w:hAnsi="宋体" w:cs="宋体"/>
                <w:sz w:val="24"/>
                <w:szCs w:val="24"/>
                <w:highlight w:val="none"/>
                <w:lang w:eastAsia="zh-CN"/>
              </w:rPr>
              <w:t>中华人民共和国民法典</w:t>
            </w:r>
            <w:r>
              <w:rPr>
                <w:rFonts w:hint="eastAsia" w:hAnsi="宋体" w:cs="宋体"/>
                <w:sz w:val="24"/>
                <w:szCs w:val="24"/>
                <w:highlight w:val="none"/>
              </w:rPr>
              <w:t>》中的相关条款执行。</w:t>
            </w:r>
          </w:p>
          <w:p>
            <w:pPr>
              <w:tabs>
                <w:tab w:val="left" w:pos="152"/>
              </w:tabs>
              <w:spacing w:line="360" w:lineRule="auto"/>
              <w:ind w:firstLine="480" w:firstLineChars="200"/>
              <w:rPr>
                <w:rFonts w:hint="eastAsia" w:hAnsi="宋体"/>
                <w:sz w:val="24"/>
                <w:szCs w:val="24"/>
                <w:highlight w:val="none"/>
              </w:rPr>
            </w:pPr>
            <w:r>
              <w:rPr>
                <w:rFonts w:hint="eastAsia"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 w:val="24"/>
                <w:szCs w:val="24"/>
                <w:highlight w:val="none"/>
                <w:lang w:eastAsia="zh-CN"/>
              </w:rPr>
              <w:t>中华人民共和国民法典</w:t>
            </w:r>
            <w:r>
              <w:rPr>
                <w:rFonts w:hint="eastAsia" w:hAnsi="宋体" w:cs="宋体"/>
                <w:sz w:val="24"/>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23" w:type="dxa"/>
            <w:noWrap w:val="0"/>
            <w:vAlign w:val="center"/>
          </w:tcPr>
          <w:p>
            <w:pPr>
              <w:pStyle w:val="11"/>
              <w:spacing w:line="360" w:lineRule="auto"/>
              <w:jc w:val="center"/>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10</w:t>
            </w:r>
          </w:p>
        </w:tc>
        <w:tc>
          <w:tcPr>
            <w:tcW w:w="7694" w:type="dxa"/>
            <w:noWrap w:val="0"/>
            <w:vAlign w:val="center"/>
          </w:tcPr>
          <w:p>
            <w:pPr>
              <w:spacing w:line="360" w:lineRule="auto"/>
              <w:rPr>
                <w:rFonts w:hAnsi="宋体" w:cs="宋体"/>
                <w:b/>
                <w:sz w:val="24"/>
                <w:szCs w:val="24"/>
                <w:highlight w:val="none"/>
              </w:rPr>
            </w:pPr>
            <w:r>
              <w:rPr>
                <w:rFonts w:hint="eastAsia" w:hAnsi="宋体" w:cs="宋体"/>
                <w:b/>
                <w:sz w:val="24"/>
                <w:szCs w:val="24"/>
                <w:highlight w:val="none"/>
              </w:rPr>
              <w:t>政府采购合同：</w:t>
            </w:r>
          </w:p>
          <w:p>
            <w:pPr>
              <w:spacing w:line="360" w:lineRule="auto"/>
              <w:ind w:firstLine="480" w:firstLineChars="200"/>
              <w:rPr>
                <w:rFonts w:hAnsi="宋体" w:cs="宋体"/>
                <w:sz w:val="24"/>
                <w:szCs w:val="24"/>
                <w:highlight w:val="none"/>
              </w:rPr>
            </w:pPr>
            <w:r>
              <w:rPr>
                <w:rFonts w:hint="eastAsia" w:hAnsi="宋体" w:cs="宋体"/>
                <w:sz w:val="24"/>
                <w:szCs w:val="24"/>
                <w:highlight w:val="none"/>
              </w:rPr>
              <w:t>政府采购合同适用</w:t>
            </w:r>
            <w:r>
              <w:rPr>
                <w:rFonts w:hint="eastAsia" w:hAnsi="宋体" w:cs="宋体"/>
                <w:sz w:val="24"/>
                <w:szCs w:val="24"/>
                <w:highlight w:val="none"/>
                <w:lang w:eastAsia="zh-CN"/>
              </w:rPr>
              <w:t>中华人民共和国民法典</w:t>
            </w:r>
            <w:r>
              <w:rPr>
                <w:rFonts w:hint="eastAsia" w:hAnsi="宋体" w:cs="宋体"/>
                <w:sz w:val="24"/>
                <w:szCs w:val="24"/>
                <w:highlight w:val="none"/>
              </w:rPr>
              <w:t>。采购人和供应商之间的权利和义务，应当按照平等、自愿的原则以合同方式约定。</w:t>
            </w:r>
            <w:r>
              <w:rPr>
                <w:rFonts w:hint="eastAsia" w:hAnsi="宋体" w:cs="宋体"/>
                <w:sz w:val="24"/>
                <w:szCs w:val="24"/>
                <w:highlight w:val="none"/>
              </w:rPr>
              <w:br w:type="textWrapping"/>
            </w:r>
            <w:r>
              <w:rPr>
                <w:rFonts w:hint="eastAsia" w:hAnsi="宋体" w:cs="宋体"/>
                <w:sz w:val="24"/>
                <w:szCs w:val="24"/>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sz w:val="24"/>
                <w:szCs w:val="24"/>
                <w:highlight w:val="none"/>
              </w:rPr>
            </w:pPr>
            <w:r>
              <w:rPr>
                <w:rFonts w:hint="eastAsia" w:hAnsi="宋体" w:cs="宋体"/>
                <w:sz w:val="24"/>
                <w:szCs w:val="24"/>
                <w:highlight w:val="none"/>
              </w:rPr>
              <w:t>政府采购合同应当采用书面形式。</w:t>
            </w:r>
          </w:p>
          <w:p>
            <w:pPr>
              <w:spacing w:line="360" w:lineRule="auto"/>
              <w:ind w:firstLine="480" w:firstLineChars="200"/>
              <w:rPr>
                <w:rFonts w:hAnsi="宋体" w:cs="宋体"/>
                <w:sz w:val="24"/>
                <w:szCs w:val="24"/>
                <w:highlight w:val="none"/>
              </w:rPr>
            </w:pPr>
            <w:r>
              <w:rPr>
                <w:rFonts w:hint="eastAsia" w:hAnsi="宋体" w:cs="宋体"/>
                <w:sz w:val="24"/>
                <w:szCs w:val="24"/>
                <w:highlight w:val="none"/>
              </w:rPr>
              <w:t>国务院政府采购监督管理部门应当会同国务院有关部门，规定政府采购合同必须具备的条款。</w:t>
            </w:r>
            <w:r>
              <w:rPr>
                <w:rFonts w:hint="eastAsia" w:hAnsi="宋体" w:cs="宋体"/>
                <w:sz w:val="24"/>
                <w:szCs w:val="24"/>
                <w:highlight w:val="none"/>
              </w:rPr>
              <w:br w:type="textWrapping"/>
            </w:r>
            <w:r>
              <w:rPr>
                <w:rFonts w:hint="eastAsia" w:hAnsi="宋体" w:cs="宋体"/>
                <w:sz w:val="24"/>
                <w:szCs w:val="24"/>
                <w:highlight w:val="none"/>
              </w:rPr>
              <w:t xml:space="preserve">    采购人与中标、成交供应商应当在中标、成交通知书发出之日起三十日内，按照采购文件确定的事项签订政府采购合同。</w:t>
            </w:r>
            <w:r>
              <w:rPr>
                <w:rFonts w:hint="eastAsia" w:hAnsi="宋体" w:cs="宋体"/>
                <w:sz w:val="24"/>
                <w:szCs w:val="24"/>
                <w:highlight w:val="none"/>
              </w:rPr>
              <w:br w:type="textWrapping"/>
            </w:r>
            <w:r>
              <w:rPr>
                <w:rFonts w:hint="eastAsia"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widowControl/>
              <w:spacing w:line="560" w:lineRule="exact"/>
              <w:ind w:firstLine="480" w:firstLineChars="200"/>
              <w:rPr>
                <w:rFonts w:hint="eastAsia" w:hAnsi="宋体"/>
                <w:sz w:val="24"/>
                <w:szCs w:val="24"/>
                <w:highlight w:val="none"/>
              </w:rPr>
            </w:pPr>
            <w:r>
              <w:rPr>
                <w:rFonts w:hint="eastAsia" w:hAnsi="宋体" w:cs="宋体"/>
                <w:sz w:val="24"/>
                <w:szCs w:val="24"/>
                <w:highlight w:val="none"/>
              </w:rPr>
              <w:t>政府采购项目的采购合同自签订之日起七个工作日内，采购人应当将合同副本报同级政府采购监督管理部门和有关部门备案。</w:t>
            </w:r>
            <w:r>
              <w:rPr>
                <w:rFonts w:hint="eastAsia" w:hAnsi="宋体" w:cs="宋体"/>
                <w:sz w:val="24"/>
                <w:szCs w:val="24"/>
                <w:highlight w:val="none"/>
              </w:rPr>
              <w:br w:type="textWrapping"/>
            </w:r>
            <w:r>
              <w:rPr>
                <w:rFonts w:hint="eastAsia" w:hAnsi="宋体" w:cs="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sz w:val="24"/>
                <w:szCs w:val="24"/>
                <w:highlight w:val="none"/>
              </w:rPr>
              <w:br w:type="textWrapping"/>
            </w: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sz w:val="24"/>
                <w:szCs w:val="24"/>
                <w:highlight w:val="none"/>
              </w:rPr>
              <w:br w:type="textWrapping"/>
            </w:r>
            <w:r>
              <w:rPr>
                <w:rFonts w:hint="eastAsia" w:hAnsi="宋体" w:cs="宋体"/>
                <w:sz w:val="24"/>
                <w:szCs w:val="24"/>
                <w:highlight w:val="none"/>
              </w:rPr>
              <w:t xml:space="preserve">    政府采购合同的双方当事人不得擅自变更、中止或者终止合同。</w:t>
            </w:r>
            <w:r>
              <w:rPr>
                <w:rFonts w:hint="eastAsia" w:hAnsi="宋体" w:cs="宋体"/>
                <w:sz w:val="24"/>
                <w:szCs w:val="24"/>
                <w:highlight w:val="none"/>
              </w:rPr>
              <w:br w:type="textWrapping"/>
            </w: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jc w:val="center"/>
        <w:rPr>
          <w:rFonts w:hint="eastAsia" w:ascii="华文仿宋" w:hAnsi="华文仿宋" w:eastAsia="华文仿宋" w:cs="华文仿宋"/>
          <w:b/>
          <w:color w:val="auto"/>
          <w:sz w:val="52"/>
          <w:szCs w:val="52"/>
          <w:highlight w:val="none"/>
          <w:lang w:eastAsia="zh-CN"/>
        </w:rPr>
      </w:pPr>
      <w:r>
        <w:rPr>
          <w:rFonts w:hint="eastAsia" w:ascii="华文中宋" w:hAnsi="华文中宋" w:eastAsia="华文中宋"/>
          <w:b/>
          <w:bCs/>
          <w:color w:val="000000"/>
          <w:sz w:val="48"/>
          <w:szCs w:val="48"/>
          <w:highlight w:val="none"/>
        </w:rPr>
        <w:br w:type="page"/>
      </w:r>
    </w:p>
    <w:p>
      <w:pPr>
        <w:jc w:val="center"/>
        <w:rPr>
          <w:rFonts w:hint="eastAsia" w:ascii="华文仿宋" w:hAnsi="华文仿宋" w:eastAsia="华文仿宋" w:cs="华文仿宋"/>
          <w:b/>
          <w:color w:val="auto"/>
          <w:sz w:val="52"/>
          <w:szCs w:val="52"/>
          <w:highlight w:val="none"/>
          <w:lang w:eastAsia="zh-CN"/>
        </w:rPr>
      </w:pPr>
    </w:p>
    <w:p>
      <w:pPr>
        <w:jc w:val="center"/>
        <w:rPr>
          <w:rFonts w:hint="eastAsia" w:ascii="华文仿宋" w:hAnsi="华文仿宋" w:eastAsia="华文仿宋" w:cs="华文仿宋"/>
          <w:b/>
          <w:color w:val="auto"/>
          <w:sz w:val="52"/>
          <w:szCs w:val="52"/>
          <w:highlight w:val="none"/>
          <w:lang w:eastAsia="zh-CN"/>
        </w:rPr>
      </w:pPr>
    </w:p>
    <w:p>
      <w:pPr>
        <w:jc w:val="center"/>
        <w:rPr>
          <w:rFonts w:hint="eastAsia" w:ascii="华文仿宋" w:hAnsi="华文仿宋" w:eastAsia="华文仿宋" w:cs="华文仿宋"/>
          <w:b/>
          <w:color w:val="auto"/>
          <w:sz w:val="52"/>
          <w:szCs w:val="52"/>
          <w:highlight w:val="none"/>
          <w:lang w:eastAsia="zh-CN"/>
        </w:rPr>
      </w:pPr>
    </w:p>
    <w:p>
      <w:pPr>
        <w:jc w:val="center"/>
        <w:rPr>
          <w:rFonts w:hint="eastAsia" w:ascii="华文仿宋" w:hAnsi="华文仿宋" w:eastAsia="华文仿宋" w:cs="华文仿宋"/>
          <w:b/>
          <w:color w:val="auto"/>
          <w:sz w:val="52"/>
          <w:szCs w:val="52"/>
          <w:highlight w:val="none"/>
          <w:lang w:eastAsia="zh-CN"/>
        </w:rPr>
      </w:pPr>
    </w:p>
    <w:p>
      <w:pPr>
        <w:jc w:val="center"/>
        <w:rPr>
          <w:rFonts w:hint="eastAsia"/>
          <w:b/>
          <w:color w:val="auto"/>
          <w:sz w:val="44"/>
          <w:szCs w:val="44"/>
          <w:highlight w:val="none"/>
        </w:rPr>
      </w:pPr>
      <w:r>
        <w:rPr>
          <w:rFonts w:hint="eastAsia" w:ascii="华文仿宋" w:hAnsi="华文仿宋" w:eastAsia="华文仿宋" w:cs="华文仿宋"/>
          <w:b/>
          <w:color w:val="auto"/>
          <w:sz w:val="52"/>
          <w:szCs w:val="52"/>
          <w:highlight w:val="none"/>
          <w:lang w:eastAsia="zh-CN"/>
        </w:rPr>
        <w:t>柞水县2022年栎类大径木培育基地项目</w:t>
      </w:r>
    </w:p>
    <w:p>
      <w:pPr>
        <w:jc w:val="center"/>
        <w:rPr>
          <w:rFonts w:hint="eastAsia"/>
          <w:color w:val="auto"/>
          <w:sz w:val="28"/>
          <w:szCs w:val="28"/>
          <w:highlight w:val="none"/>
        </w:rPr>
      </w:pPr>
      <w:r>
        <w:rPr>
          <w:rFonts w:hint="eastAsia"/>
          <w:b/>
          <w:color w:val="auto"/>
          <w:sz w:val="44"/>
          <w:szCs w:val="44"/>
          <w:highlight w:val="none"/>
        </w:rPr>
        <w:t>（示范文本）</w:t>
      </w:r>
    </w:p>
    <w:p>
      <w:pPr>
        <w:jc w:val="center"/>
        <w:rPr>
          <w:rFonts w:hint="eastAsia"/>
          <w:color w:val="auto"/>
          <w:sz w:val="28"/>
          <w:szCs w:val="28"/>
          <w:highlight w:val="none"/>
        </w:rPr>
      </w:pPr>
    </w:p>
    <w:p>
      <w:pPr>
        <w:jc w:val="cente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rPr>
          <w:rFonts w:hint="eastAsia"/>
          <w:color w:val="auto"/>
          <w:sz w:val="28"/>
          <w:szCs w:val="28"/>
          <w:highlight w:val="none"/>
        </w:rPr>
      </w:pPr>
    </w:p>
    <w:p>
      <w:pPr>
        <w:ind w:firstLine="1960" w:firstLineChars="700"/>
        <w:rPr>
          <w:rFonts w:hint="eastAsia"/>
          <w:color w:val="auto"/>
          <w:sz w:val="28"/>
          <w:szCs w:val="28"/>
          <w:highlight w:val="none"/>
          <w:u w:val="single"/>
        </w:rPr>
      </w:pPr>
    </w:p>
    <w:p>
      <w:pPr>
        <w:ind w:firstLine="1960" w:firstLineChars="700"/>
        <w:rPr>
          <w:rFonts w:hint="eastAsia"/>
          <w:color w:val="auto"/>
          <w:sz w:val="28"/>
          <w:szCs w:val="28"/>
          <w:highlight w:val="none"/>
          <w:u w:val="single"/>
        </w:rPr>
      </w:pPr>
    </w:p>
    <w:p>
      <w:pPr>
        <w:pageBreakBefore/>
        <w:spacing w:after="120" w:afterLines="50" w:line="360" w:lineRule="auto"/>
        <w:jc w:val="center"/>
        <w:outlineLvl w:val="1"/>
        <w:rPr>
          <w:rFonts w:hint="eastAsia" w:hAnsi="宋体"/>
          <w:b/>
          <w:color w:val="auto"/>
          <w:sz w:val="32"/>
          <w:szCs w:val="32"/>
          <w:highlight w:val="none"/>
        </w:rPr>
      </w:pPr>
      <w:bookmarkStart w:id="64" w:name="_Toc826"/>
      <w:bookmarkStart w:id="65" w:name="_Toc11496"/>
      <w:bookmarkStart w:id="66" w:name="_Toc27199"/>
      <w:bookmarkStart w:id="67" w:name="_Toc18407"/>
      <w:bookmarkStart w:id="68" w:name="_Toc26644"/>
      <w:r>
        <w:rPr>
          <w:rFonts w:hint="eastAsia" w:hAnsi="宋体"/>
          <w:b/>
          <w:color w:val="auto"/>
          <w:sz w:val="32"/>
          <w:szCs w:val="32"/>
          <w:highlight w:val="none"/>
        </w:rPr>
        <w:t>第一部分  协议书</w:t>
      </w:r>
      <w:bookmarkEnd w:id="64"/>
      <w:bookmarkEnd w:id="65"/>
      <w:bookmarkEnd w:id="66"/>
      <w:bookmarkEnd w:id="67"/>
      <w:bookmarkEnd w:id="68"/>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 xml:space="preserve">》、《 中华人民共和国建筑法》及其他有关法律、行政法规，遵循平等、自愿、公平和诚实信用的原则，双方就本建设工程施工事项协商一致，订立本合同。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rPr>
        <w:t xml:space="preserve">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二、工程承包范围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rPr>
        <w:t xml:space="preserve">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三、合同工期</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rPr>
        <w:t xml:space="preserve">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rPr>
        <w:t xml:space="preserve">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日历日。</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四、质量标准</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工程质量标准：</w:t>
      </w:r>
      <w:r>
        <w:rPr>
          <w:rFonts w:hint="eastAsia"/>
          <w:szCs w:val="24"/>
          <w:highlight w:val="none"/>
          <w:lang w:eastAsia="zh-CN"/>
        </w:rPr>
        <w:t>符合作业设计方案，达到</w:t>
      </w:r>
      <w:r>
        <w:rPr>
          <w:rFonts w:hint="eastAsia"/>
          <w:szCs w:val="24"/>
          <w:highlight w:val="none"/>
        </w:rPr>
        <w:t>国家现行有关质量验收规范“合格”要求。</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五、合同价款</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六、组成合同的文件</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组成本合同的文件包括：</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1、本合同协议书</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2、本合同专用条款</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3、本合同通用条款</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通知书</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5、投标文件、工程报价单或预算书及其附件</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6、招标文件、答疑纪要</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7、标准、规范及有关技术文件</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双方为履行本合同的有关洽商、变更等书面协议或文件视为本合同的组成部分。</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七、本协议书中有关词语含义与本合同第二部分《通用条款》中分别赋予它们的定义相同。</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八、承包人向发包人承诺按照合同约定进行施工、竣工并在质量保修期内承担工程质量保修责任。</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九、发包人向承包人承诺按照合同约定的期限和方式支付合同价款及其他应当支付的款项。</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十、合同生效</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          年            月            日</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合同订立地点：                                       </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本合同双方约定 双方签字盖章 后生效。</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联系人：</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spacing w:before="240" w:beforeLines="100" w:after="240" w:afterLines="100" w:line="360" w:lineRule="auto"/>
        <w:ind w:firstLine="460" w:firstLineChars="192"/>
        <w:jc w:val="left"/>
        <w:rPr>
          <w:rFonts w:hint="eastAsia" w:ascii="宋体" w:hAnsi="宋体" w:eastAsia="宋体" w:cs="宋体"/>
          <w:color w:val="auto"/>
          <w:sz w:val="24"/>
          <w:szCs w:val="24"/>
          <w:highlight w:val="none"/>
        </w:rPr>
        <w:sectPr>
          <w:footerReference r:id="rId10" w:type="default"/>
          <w:pgSz w:w="11907" w:h="16840"/>
          <w:pgMar w:top="1418" w:right="1418" w:bottom="1418" w:left="1701" w:header="720" w:footer="720" w:gutter="0"/>
          <w:pgNumType w:fmt="decimal"/>
          <w:cols w:space="720" w:num="1"/>
        </w:sectPr>
      </w:pPr>
      <w:r>
        <w:rPr>
          <w:rFonts w:hint="eastAsia" w:ascii="宋体" w:hAnsi="宋体" w:eastAsia="宋体" w:cs="宋体"/>
          <w:color w:val="auto"/>
          <w:sz w:val="24"/>
          <w:szCs w:val="24"/>
          <w:highlight w:val="none"/>
        </w:rPr>
        <w:t>账号：                               账号：</w:t>
      </w:r>
    </w:p>
    <w:p>
      <w:pPr>
        <w:spacing w:line="360" w:lineRule="auto"/>
        <w:ind w:firstLine="723" w:firstLineChars="200"/>
        <w:jc w:val="center"/>
        <w:rPr>
          <w:rFonts w:hAnsi="宋体"/>
          <w:color w:val="auto"/>
          <w:highlight w:val="none"/>
        </w:rPr>
      </w:pPr>
      <w:r>
        <w:rPr>
          <w:rFonts w:hint="eastAsia" w:hAnsi="宋体"/>
          <w:b/>
          <w:bCs/>
          <w:color w:val="auto"/>
          <w:sz w:val="36"/>
          <w:szCs w:val="36"/>
          <w:highlight w:val="none"/>
        </w:rPr>
        <w:t>第二部分  通用合同条款</w:t>
      </w:r>
    </w:p>
    <w:p>
      <w:pPr>
        <w:pStyle w:val="17"/>
        <w:spacing w:before="0" w:beforeAutospacing="0" w:after="0" w:afterAutospacing="0" w:line="300" w:lineRule="auto"/>
        <w:jc w:val="center"/>
        <w:rPr>
          <w:rFonts w:hint="eastAsia" w:cs="宋体"/>
          <w:b/>
          <w:bCs/>
          <w:color w:val="auto"/>
          <w:sz w:val="28"/>
          <w:szCs w:val="28"/>
          <w:highlight w:val="none"/>
        </w:rPr>
      </w:pPr>
      <w:r>
        <w:rPr>
          <w:rFonts w:hint="eastAsia" w:cs="宋体"/>
          <w:b/>
          <w:bCs/>
          <w:color w:val="auto"/>
          <w:sz w:val="28"/>
          <w:szCs w:val="28"/>
          <w:highlight w:val="none"/>
        </w:rPr>
        <w:t>执行《陕西省建设工程施工合同》（示范文本）</w:t>
      </w:r>
    </w:p>
    <w:p>
      <w:pPr>
        <w:pStyle w:val="17"/>
        <w:spacing w:before="0" w:beforeAutospacing="0" w:after="0" w:afterAutospacing="0" w:line="300" w:lineRule="auto"/>
        <w:jc w:val="center"/>
        <w:rPr>
          <w:rFonts w:hint="eastAsia" w:cs="宋体"/>
          <w:b/>
          <w:bCs/>
          <w:color w:val="auto"/>
          <w:sz w:val="28"/>
          <w:szCs w:val="28"/>
          <w:highlight w:val="none"/>
        </w:rPr>
      </w:pPr>
    </w:p>
    <w:p>
      <w:pPr>
        <w:pStyle w:val="17"/>
        <w:spacing w:before="0" w:beforeAutospacing="0" w:after="0" w:afterAutospacing="0" w:line="300" w:lineRule="auto"/>
        <w:jc w:val="center"/>
        <w:rPr>
          <w:rFonts w:hint="eastAsia" w:cs="宋体"/>
          <w:b/>
          <w:bCs/>
          <w:color w:val="auto"/>
          <w:sz w:val="28"/>
          <w:szCs w:val="28"/>
          <w:highlight w:val="none"/>
        </w:rPr>
        <w:sectPr>
          <w:pgSz w:w="12240" w:h="15840"/>
          <w:pgMar w:top="1440" w:right="1797" w:bottom="1440" w:left="1400" w:header="720" w:footer="720" w:gutter="0"/>
          <w:pgNumType w:fmt="decimal"/>
          <w:cols w:space="720" w:num="1"/>
        </w:sectPr>
      </w:pPr>
    </w:p>
    <w:p>
      <w:pPr>
        <w:jc w:val="center"/>
        <w:rPr>
          <w:rFonts w:ascii="黑体" w:eastAsia="黑体"/>
          <w:color w:val="auto"/>
          <w:sz w:val="30"/>
          <w:szCs w:val="30"/>
          <w:highlight w:val="none"/>
        </w:rPr>
      </w:pPr>
      <w:r>
        <w:rPr>
          <w:rFonts w:hint="eastAsia" w:hAnsi="宋体"/>
          <w:b/>
          <w:bCs/>
          <w:color w:val="auto"/>
          <w:sz w:val="36"/>
          <w:szCs w:val="36"/>
          <w:highlight w:val="none"/>
        </w:rPr>
        <w:t>第三部分  专用合同条款</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一、词语定义及合同文件</w:t>
      </w:r>
    </w:p>
    <w:p>
      <w:pPr>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u w:val="single"/>
        </w:rPr>
        <w:t>专用合同条款是对通用条款中相应条款内容的解释、补充、删除或修改，其序号与通用条款中条款一一对应，未作改动的条款按通用条款执行。</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2、合同文件及解释顺序</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合同文件组成及解释顺序：</w:t>
      </w:r>
      <w:r>
        <w:rPr>
          <w:rFonts w:hint="eastAsia" w:ascii="宋体" w:hAnsi="宋体" w:eastAsia="宋体" w:cs="宋体"/>
          <w:color w:val="auto"/>
          <w:sz w:val="24"/>
          <w:szCs w:val="24"/>
          <w:highlight w:val="none"/>
          <w:u w:val="single"/>
        </w:rPr>
        <w:t>﹙1﹚本合同协议书；﹙2﹚本合同专用条款；﹙3﹚</w:t>
      </w:r>
      <w:r>
        <w:rPr>
          <w:rFonts w:hint="eastAsia" w:ascii="宋体" w:hAnsi="宋体" w:eastAsia="宋体" w:cs="宋体"/>
          <w:color w:val="auto"/>
          <w:sz w:val="24"/>
          <w:szCs w:val="24"/>
          <w:highlight w:val="none"/>
          <w:u w:val="single"/>
          <w:lang w:eastAsia="zh-CN"/>
        </w:rPr>
        <w:t>中标</w:t>
      </w:r>
      <w:r>
        <w:rPr>
          <w:rFonts w:hint="eastAsia" w:ascii="宋体" w:hAnsi="宋体" w:eastAsia="宋体" w:cs="宋体"/>
          <w:color w:val="auto"/>
          <w:sz w:val="24"/>
          <w:szCs w:val="24"/>
          <w:highlight w:val="none"/>
          <w:u w:val="single"/>
        </w:rPr>
        <w:t>通知书；﹙4﹚</w:t>
      </w:r>
      <w:r>
        <w:rPr>
          <w:rFonts w:hint="eastAsia" w:ascii="宋体" w:hAnsi="宋体" w:eastAsia="宋体" w:cs="宋体"/>
          <w:color w:val="auto"/>
          <w:sz w:val="24"/>
          <w:szCs w:val="24"/>
          <w:highlight w:val="none"/>
          <w:u w:val="single"/>
          <w:lang w:eastAsia="zh-CN"/>
        </w:rPr>
        <w:t>招标</w:t>
      </w:r>
      <w:r>
        <w:rPr>
          <w:rFonts w:hint="eastAsia" w:ascii="宋体" w:hAnsi="宋体" w:eastAsia="宋体" w:cs="宋体"/>
          <w:color w:val="auto"/>
          <w:sz w:val="24"/>
          <w:szCs w:val="24"/>
          <w:highlight w:val="none"/>
          <w:u w:val="single"/>
        </w:rPr>
        <w:t>文件答疑纪要；﹙5﹚本合同通用条款；﹙6﹚标准规范及有关技术文件；（7）其他。</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3、语言文字和适用法律语言文字和适用法律、标准及规范</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本合同除使用汉语外，还使用_________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__________语言文字。</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  适用法律和法规需要明示的法律、行政法规：</w:t>
      </w:r>
      <w:r>
        <w:rPr>
          <w:rFonts w:hint="eastAsia" w:ascii="宋体" w:hAnsi="宋体" w:eastAsia="宋体" w:cs="宋体"/>
          <w:color w:val="auto"/>
          <w:sz w:val="24"/>
          <w:szCs w:val="24"/>
          <w:highlight w:val="none"/>
          <w:u w:val="single"/>
        </w:rPr>
        <w:t>本合同适用于中华人民共和国法律，行政法规、陕西省地方法规。</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适用标准、规范 </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适用标准、规范的名称：</w:t>
      </w:r>
      <w:r>
        <w:rPr>
          <w:rFonts w:hint="eastAsia" w:ascii="宋体" w:hAnsi="宋体" w:eastAsia="宋体" w:cs="宋体"/>
          <w:color w:val="auto"/>
          <w:sz w:val="24"/>
          <w:szCs w:val="24"/>
          <w:highlight w:val="none"/>
          <w:u w:val="single"/>
        </w:rPr>
        <w:t>﹙1﹚国家现行和相关技术规程；﹙2﹚工程所在地建设主管部门的标准、规范；﹙3﹚工程所在地行业的标准、规范。</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发包人提供标准、规范的时间：</w:t>
      </w:r>
      <w:r>
        <w:rPr>
          <w:rFonts w:hint="eastAsia" w:ascii="宋体" w:hAnsi="宋体" w:eastAsia="宋体" w:cs="宋体"/>
          <w:color w:val="auto"/>
          <w:sz w:val="24"/>
          <w:szCs w:val="24"/>
          <w:highlight w:val="none"/>
          <w:u w:val="single"/>
        </w:rPr>
        <w:t xml:space="preserve">               /                    _</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国内没有相应标准、规范时的约定：</w:t>
      </w:r>
      <w:r>
        <w:rPr>
          <w:rFonts w:hint="eastAsia" w:ascii="宋体" w:hAnsi="宋体" w:eastAsia="宋体" w:cs="宋体"/>
          <w:color w:val="auto"/>
          <w:sz w:val="24"/>
          <w:szCs w:val="24"/>
          <w:highlight w:val="none"/>
          <w:u w:val="single"/>
        </w:rPr>
        <w:t xml:space="preserve">                              。</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4、图纸</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4.1发包人向承包人提供图纸日期和套数</w:t>
      </w:r>
      <w:r>
        <w:rPr>
          <w:rFonts w:hint="eastAsia" w:ascii="宋体" w:hAnsi="宋体" w:eastAsia="宋体" w:cs="宋体"/>
          <w:color w:val="auto"/>
          <w:sz w:val="24"/>
          <w:szCs w:val="24"/>
          <w:highlight w:val="none"/>
          <w:u w:val="single"/>
        </w:rPr>
        <w:t>：    /                       。</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发包人对图纸的保密要求</w:t>
      </w:r>
      <w:r>
        <w:rPr>
          <w:rFonts w:hint="eastAsia" w:ascii="宋体" w:hAnsi="宋体" w:eastAsia="宋体" w:cs="宋体"/>
          <w:color w:val="auto"/>
          <w:sz w:val="24"/>
          <w:szCs w:val="24"/>
          <w:highlight w:val="none"/>
          <w:u w:val="single"/>
        </w:rPr>
        <w:t>：         /           。</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使用国外图纸的要求及费用承担：</w:t>
      </w:r>
      <w:r>
        <w:rPr>
          <w:rFonts w:hint="eastAsia" w:ascii="宋体" w:hAnsi="宋体" w:eastAsia="宋体" w:cs="宋体"/>
          <w:color w:val="auto"/>
          <w:sz w:val="24"/>
          <w:szCs w:val="24"/>
          <w:highlight w:val="none"/>
          <w:u w:val="single"/>
        </w:rPr>
        <w:t>____无_____</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二、双方一般权利和义务</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5、工程师</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5.2监理单位委派的工程师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姓名：______/_________职务：______/________</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发包人委托的职权：</w:t>
      </w:r>
      <w:r>
        <w:rPr>
          <w:rFonts w:hint="eastAsia" w:ascii="宋体" w:hAnsi="宋体" w:eastAsia="宋体" w:cs="宋体"/>
          <w:color w:val="auto"/>
          <w:sz w:val="24"/>
          <w:szCs w:val="24"/>
          <w:highlight w:val="none"/>
          <w:u w:val="single"/>
        </w:rPr>
        <w:t xml:space="preserve">               /                   </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需要取得发包人批准才能行使的职权：</w:t>
      </w:r>
      <w:r>
        <w:rPr>
          <w:rFonts w:hint="eastAsia" w:ascii="宋体" w:hAnsi="宋体" w:eastAsia="宋体" w:cs="宋体"/>
          <w:color w:val="auto"/>
          <w:sz w:val="24"/>
          <w:szCs w:val="24"/>
          <w:highlight w:val="none"/>
          <w:u w:val="single"/>
        </w:rPr>
        <w:t xml:space="preserve">         /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5.4发包人派驻的工程师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姓名：____________________职务：________________________________</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职权：</w:t>
      </w:r>
      <w:r>
        <w:rPr>
          <w:rFonts w:hint="eastAsia" w:ascii="宋体" w:hAnsi="宋体" w:eastAsia="宋体" w:cs="宋体"/>
          <w:color w:val="auto"/>
          <w:sz w:val="24"/>
          <w:szCs w:val="24"/>
          <w:highlight w:val="none"/>
          <w:u w:val="single"/>
        </w:rPr>
        <w:t xml:space="preserve">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5.6不实行监理的，工程师的职权：________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____________________</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6、项目经理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姓名：___________职务：___________________</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7、发包人工作</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7.1发包人应按约定的时间和要求完成以下工作：</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（1）施工场地具备施工条件的要求及完成的时间：</w:t>
      </w:r>
      <w:r>
        <w:rPr>
          <w:rFonts w:hint="eastAsia" w:ascii="宋体" w:hAnsi="宋体" w:eastAsia="宋体" w:cs="宋体"/>
          <w:color w:val="auto"/>
          <w:sz w:val="24"/>
          <w:szCs w:val="24"/>
          <w:highlight w:val="none"/>
          <w:u w:val="single"/>
        </w:rPr>
        <w:t>工程开工前五日内完成。</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（2）将施工所需的水、电、电讯线路接至施工场地的时间、地点和供应要求：</w:t>
      </w:r>
      <w:r>
        <w:rPr>
          <w:rFonts w:hint="eastAsia" w:ascii="宋体" w:hAnsi="宋体" w:eastAsia="宋体" w:cs="宋体"/>
          <w:color w:val="auto"/>
          <w:sz w:val="24"/>
          <w:szCs w:val="24"/>
          <w:highlight w:val="none"/>
          <w:u w:val="single"/>
        </w:rPr>
        <w:t>本工程施工水源、电源、电讯均由承包人自行解决并承担费用。</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其计量和计价方法为：</w:t>
      </w:r>
      <w:r>
        <w:rPr>
          <w:rFonts w:hint="eastAsia" w:ascii="宋体" w:hAnsi="宋体" w:eastAsia="宋体" w:cs="宋体"/>
          <w:color w:val="auto"/>
          <w:sz w:val="24"/>
          <w:szCs w:val="24"/>
          <w:highlight w:val="none"/>
          <w:u w:val="single"/>
        </w:rPr>
        <w:t>由承包人承担费用，按不同来源在投标时自主报价，结算时不再调整。</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（3）施工场地与公共道路的通道开通时间和要求：</w:t>
      </w:r>
      <w:r>
        <w:rPr>
          <w:rFonts w:hint="eastAsia" w:ascii="宋体" w:hAnsi="宋体" w:eastAsia="宋体" w:cs="宋体"/>
          <w:color w:val="auto"/>
          <w:sz w:val="24"/>
          <w:szCs w:val="24"/>
          <w:highlight w:val="none"/>
          <w:u w:val="single"/>
        </w:rPr>
        <w:t xml:space="preserve">             </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（4）工程地质和地下管线资料的提供时间：</w:t>
      </w:r>
      <w:r>
        <w:rPr>
          <w:rFonts w:hint="eastAsia" w:ascii="宋体" w:hAnsi="宋体" w:eastAsia="宋体" w:cs="宋体"/>
          <w:color w:val="auto"/>
          <w:sz w:val="24"/>
          <w:szCs w:val="24"/>
          <w:highlight w:val="none"/>
          <w:u w:val="single"/>
        </w:rPr>
        <w:t>合同签订七日内提供发包人已知的情况，其它由承包人自行勘测和解决。</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（5）由发包人办理的施工所需证件、批件的名称和完成时间：</w:t>
      </w:r>
      <w:r>
        <w:rPr>
          <w:rFonts w:hint="eastAsia" w:ascii="宋体" w:hAnsi="宋体" w:eastAsia="宋体" w:cs="宋体"/>
          <w:color w:val="auto"/>
          <w:sz w:val="24"/>
          <w:szCs w:val="24"/>
          <w:highlight w:val="none"/>
          <w:u w:val="single"/>
        </w:rPr>
        <w:t>合同签订后发包人积极办理，需要承包人配合的承包人必须积极配合在开工前完成</w:t>
      </w:r>
      <w:r>
        <w:rPr>
          <w:rFonts w:hint="eastAsia" w:ascii="宋体" w:hAnsi="宋体" w:eastAsia="宋体" w:cs="宋体"/>
          <w:color w:val="auto"/>
          <w:sz w:val="24"/>
          <w:szCs w:val="24"/>
          <w:highlight w:val="none"/>
        </w:rPr>
        <w:t>。</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（6）水准点与座标控制点交验要求：</w:t>
      </w:r>
      <w:r>
        <w:rPr>
          <w:rFonts w:hint="eastAsia" w:ascii="宋体" w:hAnsi="宋体" w:eastAsia="宋体" w:cs="宋体"/>
          <w:color w:val="auto"/>
          <w:sz w:val="24"/>
          <w:szCs w:val="24"/>
          <w:highlight w:val="none"/>
          <w:u w:val="single"/>
        </w:rPr>
        <w:t>/。</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（7）施工交底时间：</w:t>
      </w:r>
      <w:r>
        <w:rPr>
          <w:rFonts w:hint="eastAsia" w:ascii="宋体" w:hAnsi="宋体" w:eastAsia="宋体" w:cs="宋体"/>
          <w:color w:val="auto"/>
          <w:sz w:val="24"/>
          <w:szCs w:val="24"/>
          <w:highlight w:val="none"/>
          <w:u w:val="single"/>
        </w:rPr>
        <w:t xml:space="preserve">       。</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（8）协调处理施工场地周围地下管线和邻近建筑物、构筑物（含文物保护建筑）、古树名木的保护工作：</w:t>
      </w:r>
      <w:r>
        <w:rPr>
          <w:rFonts w:hint="eastAsia" w:ascii="宋体" w:hAnsi="宋体" w:eastAsia="宋体" w:cs="宋体"/>
          <w:color w:val="auto"/>
          <w:sz w:val="24"/>
          <w:szCs w:val="24"/>
          <w:highlight w:val="none"/>
          <w:u w:val="single"/>
        </w:rPr>
        <w:t>由发包人和承包人协商确定。</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（9）双方约定发包人应做的其他工作：</w:t>
      </w:r>
      <w:r>
        <w:rPr>
          <w:rFonts w:hint="eastAsia" w:ascii="宋体" w:hAnsi="宋体" w:eastAsia="宋体" w:cs="宋体"/>
          <w:color w:val="auto"/>
          <w:sz w:val="24"/>
          <w:szCs w:val="24"/>
          <w:highlight w:val="none"/>
          <w:u w:val="single"/>
        </w:rPr>
        <w:t>施工中的协调配合工作。</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7.2发包人委托承包人办理的工作：</w:t>
      </w:r>
      <w:r>
        <w:rPr>
          <w:rFonts w:hint="eastAsia" w:ascii="宋体" w:hAnsi="宋体" w:eastAsia="宋体" w:cs="宋体"/>
          <w:color w:val="auto"/>
          <w:sz w:val="24"/>
          <w:szCs w:val="24"/>
          <w:highlight w:val="none"/>
          <w:u w:val="single"/>
        </w:rPr>
        <w:t>配合发包人办理施工许可证、质量监督备案手续。</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8、承包人工作</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8.1承包人应按约定时间和要求，完成以下工作：</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（1）需由设计资质等级和业务范围允许的承包人完成的设计文件提交时间：</w:t>
      </w:r>
      <w:r>
        <w:rPr>
          <w:rFonts w:hint="eastAsia" w:ascii="宋体" w:hAnsi="宋体" w:eastAsia="宋体" w:cs="宋体"/>
          <w:color w:val="auto"/>
          <w:sz w:val="24"/>
          <w:szCs w:val="24"/>
          <w:highlight w:val="none"/>
          <w:u w:val="single"/>
        </w:rPr>
        <w:t>按发包人的要求提供。</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（2）应提供计划、报表的名称及完成时间：</w:t>
      </w:r>
      <w:r>
        <w:rPr>
          <w:rFonts w:hint="eastAsia" w:ascii="宋体" w:hAnsi="宋体" w:eastAsia="宋体" w:cs="宋体"/>
          <w:color w:val="auto"/>
          <w:sz w:val="24"/>
          <w:szCs w:val="24"/>
          <w:highlight w:val="none"/>
          <w:u w:val="single"/>
        </w:rPr>
        <w:t xml:space="preserve">        /          。</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（3）承担施工安全保卫工作及非夜间施工照明的责任和要求：</w:t>
      </w:r>
      <w:r>
        <w:rPr>
          <w:rFonts w:hint="eastAsia" w:ascii="宋体" w:hAnsi="宋体" w:eastAsia="宋体" w:cs="宋体"/>
          <w:color w:val="auto"/>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（4）向发包人提供的办公和生活房屋及设施的要求：</w:t>
      </w:r>
      <w:r>
        <w:rPr>
          <w:rFonts w:hint="eastAsia" w:ascii="宋体" w:hAnsi="宋体" w:eastAsia="宋体" w:cs="宋体"/>
          <w:color w:val="auto"/>
          <w:sz w:val="24"/>
          <w:szCs w:val="24"/>
          <w:highlight w:val="none"/>
          <w:u w:val="single"/>
        </w:rPr>
        <w:t>/</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（5）需承包人办理的有关施工场地交通、环卫和施工噪音管理等手续：</w:t>
      </w:r>
      <w:r>
        <w:rPr>
          <w:rFonts w:hint="eastAsia" w:ascii="宋体" w:hAnsi="宋体" w:eastAsia="宋体" w:cs="宋体"/>
          <w:color w:val="auto"/>
          <w:sz w:val="24"/>
          <w:szCs w:val="24"/>
          <w:highlight w:val="none"/>
          <w:u w:val="single"/>
        </w:rPr>
        <w:t>由承包人负责各项手续的办理并承担费用。</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（6）已完工程成品保护的特殊要求及费用承担：</w:t>
      </w:r>
      <w:r>
        <w:rPr>
          <w:rFonts w:hint="eastAsia" w:ascii="宋体" w:hAnsi="宋体" w:eastAsia="宋体" w:cs="宋体"/>
          <w:color w:val="auto"/>
          <w:sz w:val="24"/>
          <w:szCs w:val="24"/>
          <w:highlight w:val="none"/>
          <w:u w:val="single"/>
        </w:rPr>
        <w:t>承包人负责，费用由承包人承担。</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（7）施工场地周围地下管线和邻近建筑物、构筑物（含文物保护建筑）、古树名木的保护要求及费用承担：</w:t>
      </w:r>
      <w:r>
        <w:rPr>
          <w:rFonts w:hint="eastAsia" w:ascii="宋体" w:hAnsi="宋体" w:eastAsia="宋体" w:cs="宋体"/>
          <w:color w:val="auto"/>
          <w:sz w:val="24"/>
          <w:szCs w:val="24"/>
          <w:highlight w:val="none"/>
          <w:u w:val="single"/>
        </w:rPr>
        <w:t>由发包人和承包人负责协商确定。</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（8）施工场地清洁卫生的要求：</w:t>
      </w:r>
      <w:r>
        <w:rPr>
          <w:rFonts w:hint="eastAsia" w:ascii="宋体" w:hAnsi="宋体" w:eastAsia="宋体" w:cs="宋体"/>
          <w:color w:val="auto"/>
          <w:sz w:val="24"/>
          <w:szCs w:val="24"/>
          <w:highlight w:val="none"/>
          <w:u w:val="single"/>
        </w:rPr>
        <w:t>由承包人负责。</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（9）双方约定承包人应做的其他工作：</w:t>
      </w:r>
      <w:r>
        <w:rPr>
          <w:rFonts w:hint="eastAsia" w:ascii="宋体" w:hAnsi="宋体" w:eastAsia="宋体" w:cs="宋体"/>
          <w:color w:val="auto"/>
          <w:sz w:val="24"/>
          <w:szCs w:val="24"/>
          <w:highlight w:val="none"/>
          <w:u w:val="single"/>
        </w:rPr>
        <w:t>相关的对外协调工作。</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三、施工组织设计和工期</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9、进度计划</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9.1承包人提供施工组织设计（施工方案）和进度计划的时间：</w:t>
      </w:r>
      <w:r>
        <w:rPr>
          <w:rFonts w:hint="eastAsia" w:ascii="宋体" w:hAnsi="宋体" w:eastAsia="宋体" w:cs="宋体"/>
          <w:color w:val="auto"/>
          <w:sz w:val="24"/>
          <w:szCs w:val="24"/>
          <w:highlight w:val="none"/>
          <w:u w:val="single"/>
        </w:rPr>
        <w:t>合同签订后</w:t>
      </w:r>
      <w:r>
        <w:rPr>
          <w:rFonts w:hint="eastAsia"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日内。</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工程师确认的时间：</w:t>
      </w:r>
      <w:r>
        <w:rPr>
          <w:rFonts w:hint="eastAsia" w:ascii="宋体" w:hAnsi="宋体" w:eastAsia="宋体" w:cs="宋体"/>
          <w:color w:val="auto"/>
          <w:sz w:val="24"/>
          <w:szCs w:val="24"/>
          <w:highlight w:val="none"/>
          <w:u w:val="single"/>
        </w:rPr>
        <w:t>承包人接交之日起七日内。</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9.2群体工程中有关进度计划的要求：</w:t>
      </w:r>
      <w:r>
        <w:rPr>
          <w:rFonts w:hint="eastAsia" w:ascii="宋体" w:hAnsi="宋体" w:eastAsia="宋体" w:cs="宋体"/>
          <w:color w:val="auto"/>
          <w:sz w:val="24"/>
          <w:szCs w:val="24"/>
          <w:highlight w:val="none"/>
          <w:u w:val="single"/>
        </w:rPr>
        <w:t>以发包人的要求为准。</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10、工期延误</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10.1双方约定工期顺延的其他情况：</w:t>
      </w:r>
      <w:r>
        <w:rPr>
          <w:rFonts w:hint="eastAsia" w:ascii="宋体" w:hAnsi="宋体" w:eastAsia="宋体" w:cs="宋体"/>
          <w:color w:val="auto"/>
          <w:sz w:val="24"/>
          <w:szCs w:val="24"/>
          <w:highlight w:val="none"/>
          <w:u w:val="single"/>
        </w:rPr>
        <w:t>执行《通用条款》。</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四、质量与检验</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11、隐蔽工程和中间验收 </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11.1双方约定中间验收部位：</w:t>
      </w:r>
      <w:r>
        <w:rPr>
          <w:rFonts w:hint="eastAsia" w:ascii="宋体" w:hAnsi="宋体" w:eastAsia="宋体" w:cs="宋体"/>
          <w:color w:val="auto"/>
          <w:sz w:val="24"/>
          <w:szCs w:val="24"/>
          <w:highlight w:val="none"/>
          <w:u w:val="single"/>
        </w:rPr>
        <w:t>执行《通用条款》。</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12、工程试车 </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12.1试车费用的承担：</w:t>
      </w:r>
      <w:r>
        <w:rPr>
          <w:rFonts w:hint="eastAsia" w:ascii="宋体" w:hAnsi="宋体" w:eastAsia="宋体" w:cs="宋体"/>
          <w:color w:val="auto"/>
          <w:sz w:val="24"/>
          <w:szCs w:val="24"/>
          <w:highlight w:val="none"/>
          <w:u w:val="single"/>
        </w:rPr>
        <w:t>由承包人承担。</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五、安全生产</w:t>
      </w:r>
    </w:p>
    <w:p>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13、项目实施单位履行安全生产监管责任，项目施工单位履行安全生产主体责任。（详见作业设计说明书）</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六、合同价款</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13、合同价款约定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13.1本合同价款采用</w:t>
      </w:r>
      <w:r>
        <w:rPr>
          <w:rFonts w:hint="eastAsia" w:ascii="宋体" w:hAnsi="宋体" w:eastAsia="宋体" w:cs="宋体"/>
          <w:color w:val="auto"/>
          <w:sz w:val="24"/>
          <w:szCs w:val="24"/>
          <w:highlight w:val="none"/>
          <w:u w:val="single"/>
        </w:rPr>
        <w:t xml:space="preserve">  （1）_</w:t>
      </w:r>
      <w:r>
        <w:rPr>
          <w:rFonts w:hint="eastAsia" w:ascii="宋体" w:hAnsi="宋体" w:eastAsia="宋体" w:cs="宋体"/>
          <w:color w:val="auto"/>
          <w:sz w:val="24"/>
          <w:szCs w:val="24"/>
          <w:highlight w:val="none"/>
        </w:rPr>
        <w:t>方式确定。</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（1）采用固定总价合同：</w:t>
      </w:r>
    </w:p>
    <w:p>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（2）采用固定综合单价合同，综合单价中包括的风险范围：</w:t>
      </w:r>
      <w:r>
        <w:rPr>
          <w:rFonts w:hint="eastAsia" w:ascii="宋体" w:hAnsi="宋体" w:eastAsia="宋体" w:cs="宋体"/>
          <w:color w:val="auto"/>
          <w:sz w:val="24"/>
          <w:szCs w:val="24"/>
          <w:highlight w:val="none"/>
          <w:u w:val="single"/>
        </w:rPr>
        <w:t xml:space="preserve">  /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（3）采用可调价格合同，合同价款调整方法：_______</w:t>
      </w:r>
      <w:r>
        <w:rPr>
          <w:rFonts w:hint="eastAsia" w:ascii="宋体" w:hAnsi="宋体" w:eastAsia="宋体" w:cs="宋体"/>
          <w:color w:val="auto"/>
          <w:sz w:val="24"/>
          <w:szCs w:val="24"/>
          <w:highlight w:val="none"/>
          <w:u w:val="single"/>
        </w:rPr>
        <w:t>__/__</w:t>
      </w:r>
      <w:r>
        <w:rPr>
          <w:rFonts w:hint="eastAsia" w:ascii="宋体" w:hAnsi="宋体" w:eastAsia="宋体" w:cs="宋体"/>
          <w:color w:val="auto"/>
          <w:sz w:val="24"/>
          <w:szCs w:val="24"/>
          <w:highlight w:val="none"/>
        </w:rPr>
        <w:t>___________</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14、合同价款调整</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14.1双方约定合同价款的其他调整因素：__________</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_______________</w:t>
      </w:r>
    </w:p>
    <w:p>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15、工程预付款</w:t>
      </w:r>
    </w:p>
    <w:p>
      <w:pPr>
        <w:spacing w:line="360" w:lineRule="auto"/>
        <w:ind w:firstLine="480" w:firstLineChars="200"/>
        <w:jc w:val="left"/>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发包人向承包人预付工程款的时间和金额或占合同价款总额的比例：</w:t>
      </w:r>
      <w:r>
        <w:rPr>
          <w:rFonts w:hint="eastAsia" w:ascii="宋体" w:hAnsi="宋体" w:eastAsia="宋体" w:cs="宋体"/>
          <w:color w:val="auto"/>
          <w:sz w:val="24"/>
          <w:szCs w:val="24"/>
          <w:highlight w:val="none"/>
          <w:u w:val="single"/>
        </w:rPr>
        <w:t xml:space="preserve"> / </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预付安全防护、文明施工措施费用的比例和时间：</w:t>
      </w:r>
      <w:r>
        <w:rPr>
          <w:rFonts w:hint="eastAsia" w:ascii="宋体" w:hAnsi="宋体" w:eastAsia="宋体" w:cs="宋体"/>
          <w:color w:val="auto"/>
          <w:sz w:val="24"/>
          <w:szCs w:val="24"/>
          <w:highlight w:val="none"/>
          <w:u w:val="single"/>
        </w:rPr>
        <w:t xml:space="preserve"> / </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16、工程量确认</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16.1承包人向工程师提交已完工程量报告的时间：</w:t>
      </w:r>
      <w:r>
        <w:rPr>
          <w:rFonts w:hint="eastAsia" w:ascii="宋体" w:hAnsi="宋体" w:eastAsia="宋体" w:cs="宋体"/>
          <w:color w:val="auto"/>
          <w:sz w:val="24"/>
          <w:szCs w:val="24"/>
          <w:highlight w:val="none"/>
          <w:u w:val="single"/>
        </w:rPr>
        <w:t>每月的26日承包人向发包人提交25日以前已完工程量报告。</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17、工程进度款结算与支付</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双方约定的工程进度款支付的方式、时间和比例是：详见合同条款及格式前附表</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七、材料设备供应</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31发包人供应材料设备，承包人应按计划领取使用，在结算时发包人按暂定价从工程款中扣除。</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31.4发包人供应的材料设备与一览表不符时，双方约定发包人承担责任如下：</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执行《通用条款》31.4.（1）款。</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执行《通用条款》31.4(2)款。</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（3）承包人可代为调剂串换的材料：</w:t>
      </w:r>
      <w:r>
        <w:rPr>
          <w:rFonts w:hint="eastAsia" w:ascii="宋体" w:hAnsi="宋体" w:eastAsia="宋体" w:cs="宋体"/>
          <w:color w:val="auto"/>
          <w:sz w:val="24"/>
          <w:szCs w:val="24"/>
          <w:highlight w:val="none"/>
          <w:u w:val="single"/>
        </w:rPr>
        <w:t>执行《通用条款》31.4.（3）款。</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执行《通用条款》31.4.（4）款。</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执行《通用条款》31.4.（5）款。</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执行《通用条款》31.4.（6）款。</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31.6发包人供应材料设备的结算方法：</w:t>
      </w:r>
      <w:r>
        <w:rPr>
          <w:rFonts w:hint="eastAsia" w:ascii="宋体" w:hAnsi="宋体" w:eastAsia="宋体" w:cs="宋体"/>
          <w:color w:val="auto"/>
          <w:sz w:val="24"/>
          <w:szCs w:val="24"/>
          <w:highlight w:val="none"/>
          <w:u w:val="single"/>
        </w:rPr>
        <w:t xml:space="preserve">  无 </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32、承包人采购材料设备</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32.1承包人采购材料设备的约定：</w:t>
      </w:r>
      <w:r>
        <w:rPr>
          <w:rFonts w:hint="eastAsia" w:ascii="宋体" w:hAnsi="宋体" w:eastAsia="宋体" w:cs="宋体"/>
          <w:color w:val="auto"/>
          <w:sz w:val="24"/>
          <w:szCs w:val="24"/>
          <w:highlight w:val="none"/>
          <w:u w:val="single"/>
        </w:rPr>
        <w:t>乙方自行采购的材料规格型号应与施工图设计相符，质量等级必须合格。</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八、工程变更</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33、在本工程实施过程中若发生变更，按下列各项执行：</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r>
        <w:rPr>
          <w:rFonts w:hint="eastAsia" w:ascii="宋体" w:hAnsi="宋体" w:eastAsia="宋体" w:cs="宋体"/>
          <w:color w:val="auto"/>
          <w:sz w:val="24"/>
          <w:szCs w:val="24"/>
          <w:highlight w:val="none"/>
          <w:u w:val="single"/>
        </w:rPr>
        <w:t>合同中已有适用综合单价的，可参照类似综合单价调整；</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w:t>
      </w:r>
      <w:r>
        <w:rPr>
          <w:rFonts w:hint="eastAsia" w:ascii="宋体" w:hAnsi="宋体" w:eastAsia="宋体" w:cs="宋体"/>
          <w:color w:val="auto"/>
          <w:sz w:val="24"/>
          <w:szCs w:val="24"/>
          <w:highlight w:val="none"/>
          <w:u w:val="single"/>
        </w:rPr>
        <w:t>合同中有类似综合单价的，可参照类似综合单价调整；</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33.3</w:t>
      </w:r>
      <w:r>
        <w:rPr>
          <w:rFonts w:hint="eastAsia" w:ascii="宋体" w:hAnsi="宋体" w:eastAsia="宋体" w:cs="宋体"/>
          <w:color w:val="auto"/>
          <w:sz w:val="24"/>
          <w:szCs w:val="24"/>
          <w:highlight w:val="none"/>
          <w:u w:val="single"/>
        </w:rPr>
        <w:t>合同中没有适用或类似综合单价的承包人按照投标书人工工日、材料、机械台班单价进行组价，报发包人审核认可。</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九、竣工验收与结算</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36、竣工验收</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36.1承包人提供竣工图的约定：</w:t>
      </w:r>
      <w:r>
        <w:rPr>
          <w:rFonts w:hint="eastAsia" w:ascii="宋体" w:hAnsi="宋体" w:eastAsia="宋体" w:cs="宋体"/>
          <w:color w:val="auto"/>
          <w:sz w:val="24"/>
          <w:szCs w:val="24"/>
          <w:highlight w:val="none"/>
          <w:u w:val="single"/>
        </w:rPr>
        <w:t>完整资料文件两套。</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36.6中间交工工程的范围和竣工时间：_______________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_______________</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37、竣工结算</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结算审查期限： </w:t>
      </w:r>
      <w:r>
        <w:rPr>
          <w:rFonts w:hint="eastAsia" w:ascii="宋体" w:hAnsi="宋体" w:eastAsia="宋体" w:cs="宋体"/>
          <w:color w:val="auto"/>
          <w:sz w:val="24"/>
          <w:szCs w:val="24"/>
          <w:highlight w:val="none"/>
          <w:u w:val="single"/>
        </w:rPr>
        <w:t xml:space="preserve">  /   </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十、违约、索赔和争议</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39、违约</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39.1  本合同中关于发包人违约的具体责任如下： </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本合同通用条款第28.1条约定发包人违约应承担的违约责任：</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/_</w:t>
      </w:r>
      <w:r>
        <w:rPr>
          <w:rFonts w:hint="eastAsia" w:ascii="宋体" w:hAnsi="宋体" w:eastAsia="宋体" w:cs="宋体"/>
          <w:color w:val="auto"/>
          <w:sz w:val="24"/>
          <w:szCs w:val="24"/>
          <w:highlight w:val="none"/>
          <w:u w:val="single"/>
        </w:rPr>
        <w:t xml:space="preserve">_   </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本合同通用条款第30.5款约定发包人违约应承担的违约责任：</w:t>
      </w:r>
      <w:r>
        <w:rPr>
          <w:rFonts w:hint="eastAsia" w:ascii="宋体" w:hAnsi="宋体" w:eastAsia="宋体" w:cs="宋体"/>
          <w:color w:val="auto"/>
          <w:sz w:val="24"/>
          <w:szCs w:val="24"/>
          <w:highlight w:val="none"/>
          <w:u w:val="single"/>
        </w:rPr>
        <w:t>执行《通用条款》30.5款。</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本合同通用条款第37.6款约定发包人违约应承担的违约责任：</w:t>
      </w:r>
      <w:r>
        <w:rPr>
          <w:rFonts w:hint="eastAsia" w:ascii="宋体" w:hAnsi="宋体" w:eastAsia="宋体" w:cs="宋体"/>
          <w:color w:val="auto"/>
          <w:sz w:val="24"/>
          <w:szCs w:val="24"/>
          <w:highlight w:val="none"/>
          <w:u w:val="single"/>
        </w:rPr>
        <w:t>执行《通用条款》37.6款。</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双方约定的发包人其他违约责任：__________/_________</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39.2  本合同中关于承包人违约的具体责任如下：本合同通用条款第14.2款约定承包人违约承担的违约责任：</w:t>
      </w:r>
      <w:r>
        <w:rPr>
          <w:rFonts w:hint="eastAsia" w:ascii="宋体" w:hAnsi="宋体" w:eastAsia="宋体" w:cs="宋体"/>
          <w:color w:val="auto"/>
          <w:sz w:val="24"/>
          <w:szCs w:val="24"/>
          <w:highlight w:val="none"/>
          <w:u w:val="single"/>
        </w:rPr>
        <w:t>承包人工期每推迟一天罚款1000元，若影响到发包人使用另行赔偿给甲方造成的损失。</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本合同通用条款第15.1款约定承包人违约应承担的违约责任：</w:t>
      </w:r>
      <w:r>
        <w:rPr>
          <w:rFonts w:hint="eastAsia" w:ascii="宋体" w:hAnsi="宋体" w:eastAsia="宋体" w:cs="宋体"/>
          <w:color w:val="auto"/>
          <w:sz w:val="24"/>
          <w:szCs w:val="24"/>
          <w:highlight w:val="none"/>
          <w:u w:val="single"/>
        </w:rPr>
        <w:t>承包方除按合同价款的2%承担违约金外，另按国务院279号令有关规定执行。</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双方约定的承包人其他违约责任：______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41、争议</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41.1双方当事人约定，在履行合同过程中产生争议时：</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（1）请_</w:t>
      </w:r>
      <w:r>
        <w:rPr>
          <w:rFonts w:hint="eastAsia" w:ascii="宋体" w:hAnsi="宋体" w:eastAsia="宋体" w:cs="宋体"/>
          <w:color w:val="auto"/>
          <w:sz w:val="24"/>
          <w:szCs w:val="24"/>
          <w:highlight w:val="none"/>
          <w:u w:val="single"/>
        </w:rPr>
        <w:t>合同管理部门和其他有关部门</w:t>
      </w:r>
      <w:r>
        <w:rPr>
          <w:rFonts w:hint="eastAsia" w:ascii="宋体" w:hAnsi="宋体" w:eastAsia="宋体" w:cs="宋体"/>
          <w:color w:val="auto"/>
          <w:sz w:val="24"/>
          <w:szCs w:val="24"/>
          <w:highlight w:val="none"/>
        </w:rPr>
        <w:t>_调解；</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（2）合同争议调解不成的，按下列第_</w:t>
      </w:r>
      <w:r>
        <w:rPr>
          <w:rFonts w:hint="eastAsia"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_种方式解决：</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柞水</w:t>
      </w:r>
      <w:r>
        <w:rPr>
          <w:rFonts w:hint="eastAsia" w:ascii="宋体" w:hAnsi="宋体" w:eastAsia="宋体" w:cs="宋体"/>
          <w:color w:val="auto"/>
          <w:sz w:val="24"/>
          <w:szCs w:val="24"/>
          <w:highlight w:val="none"/>
          <w:u w:val="single"/>
          <w:lang w:eastAsia="zh-CN"/>
        </w:rPr>
        <w:t>县</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仲裁委员会申请仲裁； </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2）依法</w:t>
      </w:r>
      <w:r>
        <w:rPr>
          <w:rFonts w:hint="eastAsia" w:ascii="宋体" w:hAnsi="宋体" w:eastAsia="宋体" w:cs="宋体"/>
          <w:color w:val="auto"/>
          <w:sz w:val="24"/>
          <w:szCs w:val="24"/>
          <w:highlight w:val="none"/>
          <w:u w:val="single"/>
        </w:rPr>
        <w:t xml:space="preserve">向     </w:t>
      </w:r>
      <w:r>
        <w:rPr>
          <w:rFonts w:hint="eastAsia" w:ascii="宋体" w:hAnsi="宋体" w:eastAsia="宋体" w:cs="宋体"/>
          <w:color w:val="auto"/>
          <w:sz w:val="24"/>
          <w:szCs w:val="24"/>
          <w:highlight w:val="none"/>
        </w:rPr>
        <w:t xml:space="preserve">人民法院提起诉讼。 </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十一、其他</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42、工程分包</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42.1本工程发包人同意承包人分包的专业工程：</w:t>
      </w:r>
      <w:r>
        <w:rPr>
          <w:rFonts w:hint="eastAsia" w:ascii="宋体" w:hAnsi="宋体" w:eastAsia="宋体" w:cs="宋体"/>
          <w:color w:val="auto"/>
          <w:sz w:val="24"/>
          <w:szCs w:val="24"/>
          <w:highlight w:val="none"/>
          <w:u w:val="single"/>
        </w:rPr>
        <w:t xml:space="preserve">   无  </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分包施工单位为：___________</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_____________</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43、不可抗力</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 xml:space="preserve">43.1双方关于不可抗力的约定： </w:t>
      </w:r>
      <w:r>
        <w:rPr>
          <w:rFonts w:hint="eastAsia" w:ascii="宋体" w:hAnsi="宋体" w:eastAsia="宋体" w:cs="宋体"/>
          <w:color w:val="auto"/>
          <w:sz w:val="24"/>
          <w:szCs w:val="24"/>
          <w:highlight w:val="none"/>
          <w:u w:val="single"/>
        </w:rPr>
        <w:t>_根据国家的法律规定执行。</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44、保险</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44.6本工程双方约定投保内容如下：</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（1）发包人投保内容：</w:t>
      </w:r>
      <w:r>
        <w:rPr>
          <w:rFonts w:hint="eastAsia" w:ascii="宋体" w:hAnsi="宋体" w:eastAsia="宋体" w:cs="宋体"/>
          <w:color w:val="auto"/>
          <w:sz w:val="24"/>
          <w:szCs w:val="24"/>
          <w:highlight w:val="none"/>
          <w:u w:val="single"/>
        </w:rPr>
        <w:t>执行《通用条款》44.1款，费用由发包人承担。</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发包人委托承包人办理的保险事项：____________/________________</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（2）承包人投保内容：</w:t>
      </w:r>
      <w:r>
        <w:rPr>
          <w:rFonts w:hint="eastAsia" w:ascii="宋体" w:hAnsi="宋体" w:eastAsia="宋体" w:cs="宋体"/>
          <w:color w:val="auto"/>
          <w:sz w:val="24"/>
          <w:szCs w:val="24"/>
          <w:highlight w:val="none"/>
          <w:u w:val="single"/>
        </w:rPr>
        <w:t>执行《通用条款》44.4款，费用由承包人承担。</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45、担保</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45.3本工程双方约定担保事项如下： </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（1）发包人向承包人提供支付担保，担保方式为：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 xml:space="preserve">    _</w:t>
      </w:r>
      <w:r>
        <w:rPr>
          <w:rFonts w:hint="eastAsia" w:ascii="宋体" w:hAnsi="宋体" w:eastAsia="宋体" w:cs="宋体"/>
          <w:color w:val="auto"/>
          <w:sz w:val="24"/>
          <w:szCs w:val="24"/>
          <w:highlight w:val="none"/>
        </w:rPr>
        <w:t>。</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（2）承包人向发包人提供履约担保，担保方式为：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，担保金额：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，担保有效期：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（3）双方约定的其他担保事项：_______________/________________</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50、合同份数</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50.2双方约定合同副本份数：</w:t>
      </w:r>
      <w:r>
        <w:rPr>
          <w:rFonts w:hint="eastAsia" w:ascii="宋体" w:hAnsi="宋体" w:eastAsia="宋体" w:cs="宋体"/>
          <w:color w:val="auto"/>
          <w:sz w:val="24"/>
          <w:szCs w:val="24"/>
          <w:highlight w:val="none"/>
          <w:u w:val="thick"/>
        </w:rPr>
        <w:t>捌份。</w:t>
      </w:r>
    </w:p>
    <w:p>
      <w:pPr>
        <w:widowControl/>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51、补充条款</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51.1</w:t>
      </w:r>
      <w:r>
        <w:rPr>
          <w:rFonts w:hint="eastAsia" w:ascii="宋体" w:hAnsi="宋体" w:eastAsia="宋体" w:cs="宋体"/>
          <w:color w:val="auto"/>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51.2</w:t>
      </w:r>
      <w:r>
        <w:rPr>
          <w:rFonts w:hint="eastAsia" w:ascii="宋体" w:hAnsi="宋体" w:eastAsia="宋体" w:cs="宋体"/>
          <w:color w:val="auto"/>
          <w:sz w:val="24"/>
          <w:szCs w:val="24"/>
          <w:highlight w:val="none"/>
          <w:u w:val="single"/>
        </w:rPr>
        <w:t>施工企业须承诺按国务院及当地政府的规定按时、足额、实名方式支付农民工工资，否则发包人在工程款中代扣支付，并在工程结算时扣除。</w:t>
      </w:r>
    </w:p>
    <w:p>
      <w:pPr>
        <w:widowControl/>
        <w:spacing w:line="360" w:lineRule="auto"/>
        <w:ind w:firstLine="480" w:firstLineChars="200"/>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51.3</w:t>
      </w:r>
      <w:r>
        <w:rPr>
          <w:rFonts w:hint="eastAsia" w:ascii="宋体" w:hAnsi="宋体" w:eastAsia="宋体" w:cs="宋体"/>
          <w:color w:val="auto"/>
          <w:sz w:val="24"/>
          <w:szCs w:val="24"/>
          <w:highlight w:val="none"/>
          <w:u w:val="single"/>
        </w:rPr>
        <w:t>本工程竣工后，应免费将建筑物周围和施工单位生活区周围内施工现场清除干净；无建筑材料、无建筑设备、无建筑垃圾、和施工垃圾，做到场地整洁。</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51.4</w:t>
      </w:r>
      <w:r>
        <w:rPr>
          <w:rFonts w:hint="eastAsia" w:ascii="宋体" w:hAnsi="宋体" w:eastAsia="宋体" w:cs="宋体"/>
          <w:color w:val="auto"/>
          <w:sz w:val="24"/>
          <w:szCs w:val="24"/>
          <w:highlight w:val="none"/>
          <w:u w:val="single"/>
        </w:rPr>
        <w:t>承包人在施工过程中应服从、遵守发包人和当地政府职能部门的管理制度。关于安全防护、文明施工措施费用的其他约定如下：</w:t>
      </w:r>
    </w:p>
    <w:p>
      <w:pPr>
        <w:numPr>
          <w:ilvl w:val="0"/>
          <w:numId w:val="4"/>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承包人需提供安全防护、文明施工措施费用的支付计划落实情况；</w:t>
      </w:r>
    </w:p>
    <w:p>
      <w:pPr>
        <w:numPr>
          <w:ilvl w:val="0"/>
          <w:numId w:val="4"/>
        </w:num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工程师对承包人落实安全防护、文明施工措施分情况进行现场监理，若发现承包人为落实安全防护、文明施工措施的，有权责令其立即整改；</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发包人和承包人应在财务管理中单独列支安全防护、文明施工措施项目费用的支付情况。</w:t>
      </w:r>
    </w:p>
    <w:p>
      <w:pPr>
        <w:spacing w:line="360" w:lineRule="auto"/>
        <w:rPr>
          <w:rFonts w:hint="eastAsia" w:hAnsi="宋体"/>
          <w:color w:val="auto"/>
          <w:szCs w:val="24"/>
          <w:highlight w:val="none"/>
        </w:rPr>
      </w:pPr>
      <w:r>
        <w:rPr>
          <w:rFonts w:hint="eastAsia" w:ascii="宋体" w:hAnsi="宋体" w:eastAsia="宋体" w:cs="宋体"/>
          <w:color w:val="auto"/>
          <w:sz w:val="24"/>
          <w:szCs w:val="24"/>
          <w:highlight w:val="none"/>
        </w:rPr>
        <w:t>51.5</w:t>
      </w:r>
      <w:r>
        <w:rPr>
          <w:rFonts w:hint="eastAsia" w:ascii="宋体" w:hAnsi="宋体" w:eastAsia="宋体" w:cs="宋体"/>
          <w:color w:val="auto"/>
          <w:sz w:val="24"/>
          <w:szCs w:val="24"/>
          <w:highlight w:val="none"/>
          <w:u w:val="single"/>
        </w:rPr>
        <w:t>以上未尽事宜，双方协商解决或另行签署补充协议并到建设行政主管部门备案。</w:t>
      </w:r>
    </w:p>
    <w:p>
      <w:pPr>
        <w:ind w:firstLine="600" w:firstLineChars="200"/>
        <w:rPr>
          <w:rFonts w:hint="eastAsia" w:ascii="仿宋_GB2312" w:eastAsia="仿宋_GB2312"/>
          <w:sz w:val="30"/>
          <w:szCs w:val="30"/>
          <w:highlight w:val="none"/>
        </w:rPr>
        <w:sectPr>
          <w:footerReference r:id="rId12" w:type="first"/>
          <w:footerReference r:id="rId11" w:type="default"/>
          <w:pgSz w:w="11906" w:h="16838"/>
          <w:pgMar w:top="1418" w:right="1555" w:bottom="1418" w:left="1531" w:header="851" w:footer="992" w:gutter="0"/>
          <w:pgNumType w:fmt="decimal"/>
          <w:cols w:space="720" w:num="1"/>
          <w:titlePg/>
          <w:docGrid w:type="lines" w:linePitch="312" w:charSpace="0"/>
        </w:sectPr>
      </w:pPr>
    </w:p>
    <w:bookmarkEnd w:id="55"/>
    <w:bookmarkEnd w:id="56"/>
    <w:bookmarkEnd w:id="57"/>
    <w:bookmarkEnd w:id="58"/>
    <w:bookmarkEnd w:id="59"/>
    <w:bookmarkEnd w:id="60"/>
    <w:bookmarkEnd w:id="61"/>
    <w:bookmarkEnd w:id="62"/>
    <w:bookmarkEnd w:id="63"/>
    <w:p>
      <w:pPr>
        <w:pStyle w:val="3"/>
        <w:keepNext w:val="0"/>
        <w:numPr>
          <w:ilvl w:val="0"/>
          <w:numId w:val="0"/>
        </w:numPr>
        <w:spacing w:after="156" w:afterLines="50" w:line="360" w:lineRule="auto"/>
        <w:jc w:val="center"/>
        <w:rPr>
          <w:rFonts w:hint="eastAsia" w:ascii="宋体" w:eastAsia="宋体"/>
          <w:bCs/>
          <w:szCs w:val="32"/>
          <w:highlight w:val="none"/>
        </w:rPr>
      </w:pPr>
      <w:bookmarkStart w:id="69" w:name="_Toc15292"/>
      <w:bookmarkStart w:id="70" w:name="_Toc26957"/>
      <w:bookmarkStart w:id="71" w:name="_Toc64"/>
      <w:r>
        <w:rPr>
          <w:rFonts w:hint="eastAsia" w:ascii="宋体" w:eastAsia="宋体"/>
          <w:bCs/>
          <w:szCs w:val="32"/>
          <w:highlight w:val="none"/>
          <w:lang w:val="en-US" w:eastAsia="zh-CN"/>
        </w:rPr>
        <w:t xml:space="preserve">第四章  </w:t>
      </w:r>
      <w:r>
        <w:rPr>
          <w:rFonts w:hint="eastAsia" w:ascii="宋体" w:eastAsia="宋体"/>
          <w:bCs/>
          <w:szCs w:val="32"/>
          <w:highlight w:val="none"/>
        </w:rPr>
        <w:t>项目概况及技术要求</w:t>
      </w:r>
      <w:bookmarkEnd w:id="69"/>
      <w:bookmarkEnd w:id="70"/>
      <w:bookmarkEnd w:id="7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highlight w:val="none"/>
          <w:lang w:val="en-US" w:eastAsia="zh-CN"/>
        </w:rPr>
      </w:pPr>
      <w:bookmarkStart w:id="72" w:name="_Toc25633"/>
      <w:bookmarkStart w:id="73" w:name="_Toc2711"/>
      <w:bookmarkStart w:id="74" w:name="_Toc20481"/>
      <w:bookmarkStart w:id="75" w:name="_Toc11450"/>
      <w:bookmarkStart w:id="76" w:name="_Toc389582038"/>
      <w:bookmarkStart w:id="77" w:name="_Toc23856"/>
      <w:bookmarkStart w:id="78" w:name="_Toc4053"/>
      <w:bookmarkStart w:id="79" w:name="_Toc1025"/>
      <w:r>
        <w:rPr>
          <w:rFonts w:hint="eastAsia" w:ascii="仿宋" w:hAnsi="仿宋" w:eastAsia="仿宋" w:cs="仿宋"/>
          <w:b/>
          <w:bCs/>
          <w:sz w:val="28"/>
          <w:szCs w:val="28"/>
          <w:highlight w:val="none"/>
          <w:lang w:val="en-US" w:eastAsia="zh-CN"/>
        </w:rPr>
        <w:t>一、项目建设主要内容与规模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柞水县乾佑河国有林场 2022 年栎类大径木培育基地项目总面积1667亩；根据项目区栎类林分状况和矛盾的主次，采取综合抚育（疏伐+割灌+补植）方式进行培育。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第一包：西川作业区1、2、5小班（820亩）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第二包：西川作业区3、4小班（847亩）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二、指导思想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坚持以习近平新时代生态文明思想为指导，以森林可持续健康经营和近自然森林经营理论为理念，遵循森林生长发育和演替规律，通过对森林合理抚育，优化森林结构，增强森林生态系统的抗逆能力，维持森林生态系统的生物多样性和各种生态过程，提高森林生产效能和生态服务功能，促进人类社会与生态环境建设可持续协调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三、编制原则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（1）坚持近自然森林经营的原则：按照森林自然生长发育和演替规律，进行栎类森林管理和培育，促使其逐步形成结构合理、生物多样性丰富、群落稳定、功能高效的森林生态系统。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坚持可持续发展和生态优先的原则：以森林可持续经营为理念，通过对栎类森林管理和培育，长期维持森林生态系统的完整性和物种多样性，不断增强森林在经济社会发展过程中对林产品和生态服务功能需求的供给能力，保障社会、经济和生态环境的可持续协调发展。不断提高森林生态系统的稳定性和抗逆性，最大限度的发挥森林在维持生态平衡过程中的调节器作用，提高森林生态系统在保持水土、涵养水源、防灾减灾、增加森林碳汇等方面的生态作用和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坚持因地制宜和经济节约的原则：根据森林树种的生态学特性、林分密度、林龄和立地条件等因素，合理确定森林培育方式、方法，抚育间隔期和抚育强度，通过培育，改善林内生态环境，加快地被物分解，提高土壤肥力，促进天然更新和林木生长。还应本着节约资金和人力的原则，对不影响主要树种生长和更新的伴生树种、灌木、草本应予以保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坚持目标树种经营的原则：根据目标树经营理念，为提高森林的木材产出，要在林分中选择生活力强、干形好、无机械损伤的个体作为目标树进行重点培养，一切经营措施围绕目标树和后备目标树展开，实现投入产出最大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四、编制依据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1、《陕西省林业局、陕西省财政厅关于提前下达 2022 年中央财政衔接推进乡村振兴补助资金(欠发达国有林场巩固提升任务）预算的通知》（陕林财发〔2021〕171 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2、商洛市林业局、商洛市财政局《关于提前下达 2022 年中央财政衔接推进乡村振兴补助资金支持欠发达国有林场巩固提升项目计划的通知》（商政林发〔2021〕183 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3、柞水县林业局、柞水县财政局《关于下达 2022 年中央财政衔接推进乡村振兴补助资金支持欠发达国有林场巩固提升项目计划的通知》（柞林发〔2022〕4 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4、国家林业局《关于印发〈森林抚育作业设计规定〉和〈森林抚育检查验收办法〉的通知》（林造发〔2014〕140 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5、《陕西省造林技术标准》、《造林作业设计办法》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6、《陕西省造林规程》(GB-T15776-2016)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7、《森林抚育规程》GB/T15781− 2015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8、《生态公益林建设标准》GB/T 18337.1∼ 3− 2001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9、《国有林场管理办法》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10、财政部、国家林草局关于印发《林业改革发展资金管理办法》（财资环〔2020〕36 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11、柞水县森林资源规划设计调查报告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12、当地现行林业技术经济指标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五、项目建设目的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通过中央财政衔接推进乡村振兴补助资金，建成项目区栎类大径木培育基地，分析栎类大径木经营过程中存在的主要问题，总结取得的成功经验，建立健全栎类大径木培育经营相关标准、技术规程和制度，完善政策措施和管理机制，为全面建立适合我省秦巴山区栎类大径木培育经营模式积累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val="0"/>
          <w:bCs w:val="0"/>
          <w:sz w:val="28"/>
          <w:szCs w:val="28"/>
          <w:highlight w:val="none"/>
          <w:lang w:val="en-US" w:eastAsia="zh-CN"/>
        </w:rPr>
        <w:t>（2）通过对现有栎类天然林实施综合抚育，调整林分密度，改善林分卫生状况，提高林分抗逆能力；调整林分空间结构，形成复层异龄林；通过割灌增加林内种子与地面接触，提高发芽率，提高实生个体比例；通过补植方式增加林内实生个体比例；逐步将矮林改造成中林，形成防护、大径用材、耳料相结合的多功能林；增加森林单位面积蓄积量，提高林地生产力，提高森林碳汇能力；增强森林保持水土、涵养水源、改善区域气候和美化生态环境能力；全面提升森林的多种功能，满足社会的多样化需求。</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六、栎类大径木培育基地林分发育阶段及目标定位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（1）发育阶段：根据标准地调查结果，所选栎类大径木培育基地林龄在 24-26 年之间，树高 9-11 米，处于林分发育的第二阶段——竞争生长阶段。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（2）目标林相：栎类大径木培育基地培育的目标林相是以栓皮栎实生个体为优势树种的阔叶纯林（栓皮栎比例达到 80% 以上），保留现有林中有生长潜力的锐齿栎、槲栎及油松等树种，保持生物多样性。将林下灌木盖度控制在 20-30%，以便给天然更新幼树及人工补播幼树形成庇护，形成比较完整的森林结构。形成目标林相之前，在培育珍贵树种大径材的同时，兼顾耳林经营，萌生株采伐后主要用于培育食用菌，与当地的林业产业发展相结合，多功能森林经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（3）目标直径：根据区域林木生长情况及培育基地的立地条件，栓皮栎的目标直径确定为 50cm。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七、技术路线及全周期经营设计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（1）技术路线：鉴于目前基地内林木多数为萌生起源，可培育为目标树的个体较少，且林木年龄小，结实能力严重不足，故采取补植方式增加实生个体数量，逐渐将萌生林改造成中林，使实生个体比例达到 50%以上。选取目标树进行重点培育，通过采取疏伐措施，减少干扰树对目标树生长的影响，同时减低林分密度，减少林木株间竞争。降低林分郁闭度，增加林内光照，促进天然更新及补植苗的生长。对目标树进行修枝，培育目标树高大通直的树干，以便达到预定的培育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（2）全周期经营措施设计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1）本次抚育措施：采取疏伐-割灌-补植措施。降低林分密度、伐除对目标树生长有影响的干扰树；对目标树进行修枝；采取补植措施增加更新层实生幼树数量。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2）林下幼树培育期：在第一次抚育后的 5-10 年进行 2 次。对补植的幼树进行培育，同时继续伐除干扰树和对幼树生长有影响的高达灌木等。根据木耳培育的需要，对伐根上萌生的幼树进行平差，使其能持续地提供耳料。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3）生长伐阶段：在第一次抚育的 15-20 年后进行，上层目标树的年龄达到 40-45 年，胸径达到 18cm 以上时，树高生长减缓，进入直径生长阶段，树木之间生长竞争加剧，此阶段要确保目标树的生长环境，使其具有自由树冠，保证具有较高的生长量。在伐除干扰树的同时，对目标树修枝，确保干材质量。同时对播种的实生幼树进行培育，此时幼树之间的分化已开始出现，要保证幼树之间的辅助作用，当出现相互排斥时，就要对同穴幼树进行定株，保留生长健壮，树干通直的个体作为后备目标树进行培育，伐除对其高生长有影响的上层的干扰树。干扰树伐除株数根据目标树培育的需要确定。伐除的树木作为耳料使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4）近自然林阶段：第一次抚育 30 年以后，下层培育的更新层幼树进入主林层，目标树的结实能力增强，林下出现较多的天然更新的栓皮栎实生幼树，其他树种的比例提高，林分进入良性自然演替阶段，由中林向乔林演化。通过疏伐、割灌和补植等作业，持续不断提供培植用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5）恒续林阶段：第一次抚育 50 年以后，林分林层结构合理，到达目标直径的目标树出现，开始对目标树进行采伐。补播的树木逐渐成长为目标树。目标树采伐后留下的林隙内，天然更新随之大量出现。在天然更新幼树内选择后备目标树进行培育，是该阶段的主要抚育措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八、栎类大径木培育基地抚育方式确定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依据国家《森林抚育规程》和《森林抚育作业设计规定》，针对培育基地现有幼、中龄林的生长和分布状况，在小班全面调查的基础上，根据抚育目的、立地条件、主要目的树种、起源、林龄、林分密度、灌木盖度、萌蘖分蘖枝条等情况，确定抚育方式为综合抚育（疏伐+割灌+补植），以便取得较为理想的抚育效果。根据主次矛盾，本次综合抚育采用疏伐-割灌-补植方式进行抚育。 </w:t>
      </w:r>
    </w:p>
    <w:p>
      <w:pPr>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九、栎类大径木培育基地规模及作业范围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栎类大径木培育基地作业总面积 1667 亩。涉及 1 个镇 1 个村1 个作业区，5 个作业小班。作业区东起磨沟东梁，南至财神庙坡角，西到坡角地，北至板栗沟口对面小梁，交通条件比较便利。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十、栎类大径木培育基地面积统计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（1）按抚育方式统计：综合抚育面积 1667 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（2）按龄组统计：中龄林 1667 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（3）按起源统计：天然林 1667 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（4）按林种统计：防护林 1667 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（5）按树种统计：栓皮栎 1667 亩。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十一、栎类大径木培育基地间伐强度与出材率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11.1栎类大径木培育基地间伐强度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森林抚育间伐强度用间伐木的蓄积量（或株数）占小班总蓄积（或总株数）的百分率表示。合理的间伐强度取决于经营目的和树种的生物学特性；一般根据森林的生长与立木之间的数量关系，在不同的生长阶段按照合理的密度确定。确定合理的间伐强度可根据蓄积、最适株数、郁闭度等方法进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根据《陕西省森林抚育规程》（试行），生长伐一次性采伐强度为株数的 15%—35%，疏伐为 5%—20%，且郁闭度不得降低 0.2；抚育间伐后平均胸径不小于伐前平均胸径；人工林郁闭度不得低于0.6，天然林郁闭度不得低于 0.5，不得造成天窗；被伐木应选择林分内影响目标树生长，生长不良、感染病虫害、枯死及濒死或过密的林木。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根据小班调查和标准地调查，现地确定采伐木和保留木，统计分析作业区内株数间伐强度和蓄积间伐强度。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（1）采伐强度：主要是伐除过密、断头、弯曲、纤细、病虫和影响目标树生长的 10cm 以下及 5cm 以上的小树和干扰树，每亩伐除 5cm 以上检尺林木株数 6.3 %-8.4%，以初步降低林分密度，促进林分蓄积增长。采伐蓄积强度 4.9%-5.6%。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（2）修枝强度：主要针对目标树和影响目标树生长且不实施采伐的干扰树进行修枝。采伐时，要严格控制间伐强度，采伐木要做明显标记，杜绝一切利用抚育间伐而纯粹取材的行为。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11.2出材率与出材量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本次根据林分实际，采伐部分 5cm 以上的干扰树，按 50%出材率计算，本次共消耗森林蓄积 513.14 立方米，出材量 230.91 立方米。属于非商品材，全部用于当地木耳培育，禁止外运。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十二、栎类大径木培育基地抚育内容及技术措施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12.1栎类大径木培育基地抚育作业内容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（1）清除影响目的树种和生态有益木生长的干扰木；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（2）清除林内的枯立木、濒死木、病虫木和风倒木以及胸径在5cm 以下的有害木；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（3）清除丛生林木中生长落后、杆形较差的不良林木个体；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（4）清除密度过大、生长不良、杆形较差、无培育前途的目的树种林木个体；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（5）清除密度过大、生长不良的生态有益木林木个体。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（6）清除林下影响天然更新幼树幼苗生长的灌木、蔓藤和高大草本物；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（7）在林隙和缺乏实生个体的区域进行补植。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12.2疏伐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采用选取目标树重点培育法，即每亩选取目标树作为重点培养对象，包括有价值的阔叶幼树幼苗以及珍贵树种，对重点培养林木对象周围有干扰、有竞争关系的干扰木进行疏伐，对重点培养针阔叶幼树幼苗，割除其周围灌木杂草，改善其生长环境，促进其生长。局部，灌木和藤蔓暂不割除，以免造成水土流失。伐除重点培养目标树周围 1～1.5m 范围内的应伐木，清除影响目标幼树幼苗的灌木、杂草。对于小班中极个别区域林分密度低于60 株/亩的，应伐木的伐除不限于 1～1.5m 范围。应伐木指过密的、生长弱、干扰树等（见附表 1 中的林木分类）。设计伐除消耗蓄积立方米，出材量立方米,出材率为 50%。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12.3割灌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根据小班调查情况，小班内杂灌杂草和藤本植物生长旺盛，目的树种幼树高度低于周边杂灌杂草、藤本植物，生长发育受到显著影响，对影响目的树种幼苗幼树生长的杂灌杂草和藤本植物全部割除;提倡围绕目的树种幼苗幼树进行局部割灌,避免全面割灌，要求在目的树种周围 1*1 米割除影响目的树种的杂灌杂草和藤本植物。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12.4补植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在林隙和缺乏实生个体的区域进行补植，树种选择，按照适地适树的原则，选择栓皮栎作为补植树种。整地方式为穴状整地，规格50cm×50cm×40cm，栽植密度 40 株/亩，株行距 4*5 米；整地 时间提前一个季度进行或随整地随栽植；补植造林时间以春、秋季为主；对补植小班，进行松土、除草、扩穴等抚育措施；补植时采用栓皮栎苗为营养钵苗，地径＞0.6 ㎝ ，苗高 0.8 米，苗木质量等级I-II级。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十三、林地清理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栎类大径木培育基地抚育作业完成后，对采伐后的树干及枝桠梢头、胸径小于 5 厘米的幼树、修枝的枝条应进行彻底的清理。全部运出林外的木耳生产基地加以利用；不能利用的灌木、藤蔓等适当截短，坡度平缓处顺山坡进行归堆，在陡坡可沿等高线堆集。在不影响天然更新的情况下，也可以就地压实散铺，利于分解，增加土壤有机质。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highlight w:val="none"/>
        </w:rPr>
      </w:pPr>
      <w:r>
        <w:rPr>
          <w:rFonts w:hint="eastAsia" w:ascii="仿宋" w:hAnsi="仿宋" w:eastAsia="仿宋" w:cs="仿宋"/>
          <w:b/>
          <w:bCs/>
          <w:color w:val="000000"/>
          <w:kern w:val="0"/>
          <w:sz w:val="28"/>
          <w:szCs w:val="28"/>
          <w:highlight w:val="none"/>
          <w:lang w:val="en-US" w:eastAsia="zh-CN" w:bidi="ar"/>
        </w:rPr>
        <w:t xml:space="preserve">十四、附属工程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000000"/>
          <w:kern w:val="0"/>
          <w:sz w:val="28"/>
          <w:szCs w:val="28"/>
          <w:highlight w:val="none"/>
          <w:lang w:val="en-US" w:eastAsia="zh-CN" w:bidi="ar"/>
        </w:rPr>
        <w:t xml:space="preserve">14.1辅助设施：本作业区交通条件基本能满足需要，以及成本资金不足，不需要维修道路、修建简易集材道。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000000"/>
          <w:kern w:val="0"/>
          <w:sz w:val="28"/>
          <w:szCs w:val="28"/>
          <w:highlight w:val="none"/>
          <w:lang w:val="en-US" w:eastAsia="zh-CN" w:bidi="ar"/>
        </w:rPr>
        <w:t xml:space="preserve">14.2根据生产需要在栎类大径木培育作业区搭建临时简易工棚，实际搭建数量和位置可以灵活设置，费用包含在施工作业费中。工棚要搭在作业区附近以方便施工，建在地势较高的安全地方，同时要注意森林防火。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14.3工器具、材料：本项目施工作业需购买弯把锯、砍刀、油锯、锄头等工器具及材料。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color w:val="000000"/>
          <w:kern w:val="0"/>
          <w:sz w:val="28"/>
          <w:szCs w:val="28"/>
          <w:highlight w:val="none"/>
          <w:lang w:val="en-US" w:eastAsia="zh-CN" w:bidi="ar"/>
        </w:rPr>
        <w:t xml:space="preserve">14.4为了确保栎类大径木培育基地工程顺利开展，在人员进入现地后能够正常生产，主管部门必须做好后勤保障工作；并做好 岗前培训工作，让一线施工人员熟练掌握作业技术规程，安全生产有关事项，做到安全生产，人人有责。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十五、安全生产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培育作业首先要做到“安全第一”，保证作业人员的安全与健康，避免发生伤亡事故。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（1）安全管理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①主管部门和施工单位必须建立相应的安全管理、监督、检查机构，明确相应的工作职责，制定严格的安全生产管理制度，与有关施工单位和个人签订安全生产责任书，并对安全生产和劳动安全实施有效的管理、监督和检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②当劳动保护设施不完备、作业场地不安全、作业环境不适宜时，施工单位应及时采取相应的措施。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③施工单位要组织开展有关安全生产和劳动安全的教育，增强作业人员的安全意识。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（2）安全操作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①作业人员或施工单位必须严格执行相关的安全生产技术操作规程。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②凡违反相关的安全生产技术操作规程造成事故的，必须追究当事人、生产单位和主管部门的责任。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③培育作业时应使用专用的作业工具。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（3）劳动保护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① 施工单位必须为作业工人提供安全、健康的工作环境。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② 必须为作业人员提供足够的、符合饮用标准的生活用水。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③ 必须为作业人员配备安全设备和劳动保护用品。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④ 作业点或作业点附近要有常用的急救药品和器具。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bCs/>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⑤ 作业人员在作业现场必须佩戴所要求的防护用品。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十六、</w:t>
      </w:r>
      <w:r>
        <w:rPr>
          <w:rFonts w:hint="default" w:ascii="仿宋" w:hAnsi="仿宋" w:eastAsia="仿宋" w:cs="仿宋"/>
          <w:b/>
          <w:bCs/>
          <w:color w:val="000000"/>
          <w:kern w:val="0"/>
          <w:sz w:val="28"/>
          <w:szCs w:val="28"/>
          <w:highlight w:val="none"/>
          <w:lang w:val="en-US" w:eastAsia="zh-CN" w:bidi="ar"/>
        </w:rPr>
        <w:t xml:space="preserve">森林防火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森林防火要以预防为主，积极消灭为原则。在中幼龄林抚育作业的全部活动中，都要严格执行当地有关的防火规定，避免发生森林火灾和居住场地火灾。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（1）防火、灭火教育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对于所有参与中幼龄林抚育作业的工作人员，都要进行防火、灭火的教育与培训。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（2）临时居住场地防火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①为作业人员休息、吃饭所搭建的帐蓬、简易房屋、工棚或其附近的活动场地，都要设置防火隔离带，清除隔离带中的杂草、灌木、枯木、倒木。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② 居住场地必须配备消防器材。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③ 用于取暖、做饭、照明的火源，必须有专人看管，火源周围不得有可燃物质。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④吸烟必须在特定的地点，吸剩的烟头要马上熄灭，不得乱扔。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⑤工棚、房屋外的烟囱必须安装防火罩，并防止风向改变造成一氧化碳中毒。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⑥及时清除容易引起火灾的油料、燃料、各种废弃物。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（3）作业区防火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在作业区内不得用火。如遇特殊情况必须用火时，要清理出场地，火源半径 3m 内不得有任何可燃物质，作业人员离开火源时，必须彻底将火熄灭。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（4）机械设备防火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①清除机械设备表面多余的油污，以防高温或遇明火而引起火灾。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②机械加油时，应保证加油点 3m 内无任何可燃物质。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③机械的排气、点火或产生高温的系统，要安装防火装置或采取必要的防火措施。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 xml:space="preserve">（5）火情处理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kern w:val="0"/>
          <w:sz w:val="28"/>
          <w:szCs w:val="28"/>
          <w:highlight w:val="none"/>
          <w:lang w:val="en-US" w:eastAsia="zh-CN" w:bidi="ar"/>
        </w:rPr>
      </w:pPr>
      <w:r>
        <w:rPr>
          <w:rFonts w:hint="default" w:ascii="仿宋" w:hAnsi="仿宋" w:eastAsia="仿宋" w:cs="仿宋"/>
          <w:b w:val="0"/>
          <w:bCs w:val="0"/>
          <w:color w:val="000000"/>
          <w:kern w:val="0"/>
          <w:sz w:val="28"/>
          <w:szCs w:val="28"/>
          <w:highlight w:val="none"/>
          <w:lang w:val="en-US" w:eastAsia="zh-CN" w:bidi="ar"/>
        </w:rPr>
        <w:t>一旦发生火情，必须立即停止作业，采取必要的灭火措施，并向有关部门报告。火情处理时，要对火情进行危险性估计，以保证人身安全。</w:t>
      </w:r>
    </w:p>
    <w:p>
      <w:pPr>
        <w:numPr>
          <w:ilvl w:val="0"/>
          <w:numId w:val="0"/>
        </w:numPr>
        <w:bidi w:val="0"/>
        <w:rPr>
          <w:rFonts w:hint="eastAsia" w:ascii="宋体" w:eastAsia="宋体" w:cs="Times New Roman"/>
          <w:b/>
          <w:bCs/>
          <w:szCs w:val="32"/>
          <w:highlight w:val="none"/>
          <w:lang w:val="en-US" w:eastAsia="zh-CN"/>
        </w:rPr>
      </w:pPr>
      <w:r>
        <w:rPr>
          <w:rFonts w:hint="eastAsia" w:ascii="宋体" w:eastAsia="宋体" w:cs="Times New Roman"/>
          <w:b/>
          <w:bCs/>
          <w:szCs w:val="32"/>
          <w:highlight w:val="none"/>
          <w:lang w:val="en-US" w:eastAsia="zh-CN"/>
        </w:rPr>
        <w:br w:type="page"/>
      </w:r>
    </w:p>
    <w:p>
      <w:pPr>
        <w:pStyle w:val="3"/>
        <w:bidi w:val="0"/>
        <w:jc w:val="center"/>
        <w:rPr>
          <w:rFonts w:hint="eastAsia" w:ascii="宋体" w:hAnsi="宋体" w:eastAsia="宋体" w:cs="宋体"/>
          <w:highlight w:val="none"/>
          <w:lang w:val="en-US" w:eastAsia="zh-CN"/>
        </w:rPr>
      </w:pPr>
      <w:bookmarkStart w:id="80" w:name="_Toc19027"/>
      <w:r>
        <w:rPr>
          <w:rFonts w:hint="eastAsia" w:ascii="宋体" w:hAnsi="宋体" w:eastAsia="宋体" w:cs="宋体"/>
          <w:highlight w:val="none"/>
          <w:lang w:val="en-US" w:eastAsia="zh-CN"/>
        </w:rPr>
        <w:t>第五章  评审办法</w:t>
      </w:r>
      <w:bookmarkEnd w:id="72"/>
      <w:bookmarkEnd w:id="80"/>
    </w:p>
    <w:p>
      <w:pPr>
        <w:spacing w:line="360" w:lineRule="auto"/>
        <w:rPr>
          <w:rFonts w:hint="eastAsia" w:hAnsi="宋体" w:cs="宋体"/>
          <w:b/>
          <w:szCs w:val="24"/>
          <w:highlight w:val="none"/>
        </w:rPr>
      </w:pPr>
      <w:r>
        <w:rPr>
          <w:rFonts w:hint="eastAsia"/>
          <w:b/>
          <w:szCs w:val="24"/>
          <w:highlight w:val="none"/>
        </w:rPr>
        <w:t>一</w:t>
      </w:r>
      <w:r>
        <w:rPr>
          <w:rFonts w:hint="eastAsia" w:hAnsi="宋体" w:cs="宋体"/>
          <w:b/>
          <w:szCs w:val="24"/>
          <w:highlight w:val="none"/>
        </w:rPr>
        <w:t>．评审方法：</w:t>
      </w:r>
    </w:p>
    <w:p>
      <w:pPr>
        <w:spacing w:line="500" w:lineRule="exact"/>
        <w:ind w:firstLine="538" w:firstLineChars="217"/>
        <w:rPr>
          <w:rFonts w:hint="eastAsia" w:hAnsi="宋体" w:cs="宋体"/>
          <w:spacing w:val="4"/>
          <w:szCs w:val="24"/>
          <w:highlight w:val="none"/>
        </w:rPr>
      </w:pPr>
      <w:r>
        <w:rPr>
          <w:rFonts w:hint="eastAsia" w:hAnsi="宋体" w:cs="宋体"/>
          <w:spacing w:val="4"/>
          <w:szCs w:val="24"/>
          <w:highlight w:val="none"/>
        </w:rPr>
        <w:t>按照</w:t>
      </w: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int="eastAsia" w:hAnsi="宋体" w:cs="宋体"/>
          <w:b/>
          <w:spacing w:val="4"/>
          <w:szCs w:val="24"/>
          <w:highlight w:val="none"/>
        </w:rPr>
      </w:pPr>
      <w:r>
        <w:rPr>
          <w:rFonts w:hint="eastAsia" w:hAnsi="宋体" w:cs="宋体"/>
          <w:b/>
          <w:spacing w:val="4"/>
          <w:szCs w:val="24"/>
          <w:highlight w:val="none"/>
        </w:rPr>
        <w:t>二、评审程序：</w:t>
      </w:r>
    </w:p>
    <w:p>
      <w:pPr>
        <w:pStyle w:val="15"/>
        <w:spacing w:line="500" w:lineRule="exact"/>
        <w:ind w:left="0" w:leftChars="0" w:firstLine="496" w:firstLineChars="200"/>
        <w:rPr>
          <w:rFonts w:hint="eastAsia" w:cs="宋体"/>
          <w:sz w:val="24"/>
          <w:szCs w:val="24"/>
          <w:highlight w:val="none"/>
        </w:rPr>
      </w:pPr>
      <w:r>
        <w:rPr>
          <w:rFonts w:hint="eastAsia" w:cs="宋体"/>
          <w:sz w:val="24"/>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5"/>
        </w:numPr>
        <w:spacing w:line="500" w:lineRule="exact"/>
        <w:ind w:firstLine="498" w:firstLineChars="200"/>
        <w:rPr>
          <w:rFonts w:hint="eastAsia"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int="eastAsia" w:hAnsi="宋体" w:cs="宋体"/>
          <w:color w:val="000000"/>
          <w:highlight w:val="none"/>
        </w:rPr>
      </w:pPr>
      <w:r>
        <w:rPr>
          <w:rFonts w:hint="eastAsia" w:hAnsi="宋体" w:cs="宋体"/>
          <w:b/>
          <w:bCs/>
          <w:color w:val="000000"/>
          <w:highlight w:val="none"/>
        </w:rPr>
        <w:t>1.1资格性审查。</w:t>
      </w:r>
      <w:r>
        <w:rPr>
          <w:rFonts w:hint="eastAsia" w:hAnsi="宋体" w:cs="宋体"/>
          <w:highlight w:val="none"/>
        </w:rPr>
        <w:t>磋商小组</w:t>
      </w:r>
      <w:r>
        <w:rPr>
          <w:rFonts w:hint="eastAsia" w:hAnsi="宋体" w:cs="宋体"/>
          <w:color w:val="000000"/>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hAnsi="宋体" w:cs="宋体"/>
          <w:color w:val="000000"/>
          <w:highlight w:val="none"/>
        </w:rPr>
      </w:pPr>
      <w:r>
        <w:rPr>
          <w:rFonts w:hint="eastAsia" w:hAnsi="宋体" w:cs="宋体"/>
          <w:b/>
          <w:bCs/>
          <w:color w:val="000000"/>
          <w:highlight w:val="none"/>
        </w:rPr>
        <w:t>1.2符合性审查。</w:t>
      </w:r>
      <w:r>
        <w:rPr>
          <w:rFonts w:hint="eastAsia" w:hAnsi="宋体" w:cs="宋体"/>
          <w:color w:val="000000"/>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2.4报价是否超过采购预算。</w:t>
      </w:r>
    </w:p>
    <w:p>
      <w:pPr>
        <w:spacing w:line="500" w:lineRule="exact"/>
        <w:ind w:firstLine="480" w:firstLineChars="200"/>
        <w:rPr>
          <w:rFonts w:hint="eastAsia"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int="eastAsia" w:hAnsi="宋体" w:cs="宋体"/>
          <w:b/>
          <w:color w:val="000000"/>
          <w:highlight w:val="none"/>
        </w:rPr>
      </w:pPr>
      <w:r>
        <w:rPr>
          <w:rFonts w:hint="eastAsia" w:hAnsi="宋体" w:cs="宋体"/>
          <w:b/>
          <w:color w:val="000000"/>
          <w:highlight w:val="none"/>
        </w:rPr>
        <w:t>2、磋商响应文件的澄清</w:t>
      </w:r>
    </w:p>
    <w:p>
      <w:pPr>
        <w:spacing w:line="500" w:lineRule="exact"/>
        <w:ind w:firstLine="496" w:firstLineChars="200"/>
        <w:rPr>
          <w:rFonts w:hint="eastAsia"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hAnsi="宋体" w:cs="宋体"/>
          <w:bCs/>
          <w:spacing w:val="4"/>
          <w:szCs w:val="24"/>
          <w:highlight w:val="none"/>
        </w:rPr>
      </w:pPr>
      <w:r>
        <w:rPr>
          <w:rFonts w:hint="eastAsia" w:hAnsi="宋体" w:cs="宋体"/>
          <w:color w:val="000000"/>
          <w:szCs w:val="24"/>
          <w:highlight w:val="none"/>
        </w:rPr>
        <w:t>1.3.2有效的书面澄清材料，是磋商响应文件的补充材料，成为磋商响应文件的组成部分。</w:t>
      </w:r>
    </w:p>
    <w:p>
      <w:pPr>
        <w:spacing w:line="500" w:lineRule="exact"/>
        <w:ind w:firstLine="482" w:firstLineChars="200"/>
        <w:rPr>
          <w:rFonts w:hint="eastAsia"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spacing w:line="500" w:lineRule="exact"/>
        <w:ind w:firstLine="602" w:firstLineChars="250"/>
        <w:rPr>
          <w:rFonts w:hint="eastAsia" w:hAnsi="宋体" w:cs="宋体"/>
          <w:szCs w:val="24"/>
          <w:highlight w:val="none"/>
        </w:rPr>
      </w:pPr>
      <w:r>
        <w:rPr>
          <w:rFonts w:hint="eastAsia" w:hAnsi="宋体" w:cs="宋体"/>
          <w:b/>
          <w:bCs/>
          <w:szCs w:val="24"/>
          <w:highlight w:val="none"/>
        </w:rPr>
        <w:t>4、综合评审：</w:t>
      </w:r>
      <w:r>
        <w:rPr>
          <w:rFonts w:hint="eastAsia" w:hAnsi="宋体" w:cs="宋体"/>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int="eastAsia" w:hAnsi="宋体" w:cs="宋体"/>
          <w:b/>
          <w:szCs w:val="24"/>
          <w:highlight w:val="none"/>
        </w:rPr>
      </w:pPr>
      <w:r>
        <w:rPr>
          <w:rFonts w:hint="eastAsia" w:hAnsi="宋体" w:cs="宋体"/>
          <w:b/>
          <w:szCs w:val="24"/>
          <w:highlight w:val="none"/>
        </w:rPr>
        <w:t>三、政策性扣减</w:t>
      </w:r>
    </w:p>
    <w:p>
      <w:pPr>
        <w:spacing w:line="500" w:lineRule="exact"/>
        <w:ind w:firstLine="482" w:firstLineChars="200"/>
        <w:jc w:val="left"/>
        <w:rPr>
          <w:rFonts w:hint="eastAsia" w:hAnsi="宋体" w:cs="宋体"/>
          <w:b/>
          <w:bCs/>
          <w:szCs w:val="24"/>
          <w:highlight w:val="none"/>
        </w:rPr>
      </w:pPr>
      <w:r>
        <w:rPr>
          <w:rFonts w:hint="eastAsia" w:hAnsi="宋体" w:cs="宋体"/>
          <w:b/>
          <w:bCs/>
          <w:szCs w:val="24"/>
          <w:highlight w:val="none"/>
        </w:rPr>
        <w:t>1政策性扣减范围</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1.2依照&lt;关于印发《政府采购促进中小企业发展管理办法》（财库〔2020〕46号））的规定，小型、微型企业应当同时符合以下条件：</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hAnsi="宋体" w:cs="宋体"/>
          <w:szCs w:val="24"/>
          <w:highlight w:val="none"/>
        </w:rPr>
        <w:fldChar w:fldCharType="begin"/>
      </w:r>
      <w:r>
        <w:rPr>
          <w:rFonts w:hint="eastAsia" w:hAnsi="宋体" w:cs="宋体"/>
          <w:szCs w:val="24"/>
          <w:highlight w:val="none"/>
        </w:rPr>
        <w:instrText xml:space="preserve"> HYPERLINK "http://www.ccgp.gov.cn/" </w:instrText>
      </w:r>
      <w:r>
        <w:rPr>
          <w:rFonts w:hint="eastAsia" w:hAnsi="宋体" w:cs="宋体"/>
          <w:szCs w:val="24"/>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hAnsi="宋体" w:cs="宋体"/>
          <w:szCs w:val="24"/>
          <w:highlight w:val="none"/>
        </w:rPr>
        <w:fldChar w:fldCharType="begin"/>
      </w:r>
      <w:r>
        <w:rPr>
          <w:rFonts w:hint="eastAsia" w:hAnsi="宋体" w:cs="宋体"/>
          <w:szCs w:val="24"/>
          <w:highlight w:val="none"/>
        </w:rPr>
        <w:instrText xml:space="preserve"> HYPERLINK "http://www.ccgp.gov.cn/" </w:instrText>
      </w:r>
      <w:r>
        <w:rPr>
          <w:rFonts w:hint="eastAsia" w:hAnsi="宋体" w:cs="宋体"/>
          <w:szCs w:val="24"/>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hAnsi="宋体" w:cs="宋体"/>
          <w:b/>
          <w:bCs/>
          <w:szCs w:val="24"/>
          <w:highlight w:val="none"/>
        </w:rPr>
      </w:pPr>
      <w:r>
        <w:rPr>
          <w:rFonts w:hint="eastAsia" w:hAnsi="宋体" w:cs="宋体"/>
          <w:b/>
          <w:bCs/>
          <w:szCs w:val="24"/>
          <w:highlight w:val="none"/>
        </w:rPr>
        <w:t>2、政策性扣减方式：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2.1供应商为非联合体参与磋商的情况：</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hAnsi="宋体" w:cs="宋体"/>
          <w:szCs w:val="24"/>
          <w:highlight w:val="none"/>
        </w:rPr>
      </w:pPr>
      <w:r>
        <w:rPr>
          <w:rFonts w:hint="eastAsia" w:hAnsi="宋体" w:cs="宋体"/>
          <w:szCs w:val="24"/>
          <w:highlight w:val="none"/>
        </w:rPr>
        <w:t>3、成交价格=成交供应商的有效磋商报价。</w:t>
      </w:r>
    </w:p>
    <w:p>
      <w:pPr>
        <w:spacing w:line="360" w:lineRule="auto"/>
        <w:ind w:firstLine="498" w:firstLineChars="200"/>
        <w:jc w:val="center"/>
        <w:rPr>
          <w:rFonts w:hint="eastAsia" w:hAnsi="宋体" w:cs="宋体"/>
          <w:b/>
          <w:spacing w:val="4"/>
          <w:szCs w:val="24"/>
          <w:highlight w:val="none"/>
        </w:rPr>
      </w:pPr>
      <w:r>
        <w:rPr>
          <w:rFonts w:hint="eastAsia" w:hAnsi="宋体" w:cs="宋体"/>
          <w:b/>
          <w:spacing w:val="4"/>
          <w:szCs w:val="24"/>
          <w:highlight w:val="none"/>
        </w:rPr>
        <w:br w:type="page"/>
      </w:r>
    </w:p>
    <w:p>
      <w:pPr>
        <w:pStyle w:val="4"/>
        <w:bidi w:val="0"/>
        <w:jc w:val="center"/>
        <w:rPr>
          <w:rFonts w:hint="eastAsia"/>
          <w:highlight w:val="none"/>
        </w:rPr>
      </w:pPr>
      <w:bookmarkStart w:id="81" w:name="_Toc18565"/>
      <w:bookmarkStart w:id="82" w:name="_Toc18834"/>
      <w:r>
        <w:rPr>
          <w:rFonts w:hint="eastAsia"/>
          <w:highlight w:val="none"/>
        </w:rPr>
        <w:t>评审要素和分值分解表</w:t>
      </w:r>
      <w:bookmarkEnd w:id="81"/>
      <w:bookmarkEnd w:id="82"/>
    </w:p>
    <w:p>
      <w:pPr>
        <w:spacing w:line="360" w:lineRule="auto"/>
        <w:ind w:firstLine="480" w:firstLineChars="200"/>
        <w:jc w:val="left"/>
        <w:rPr>
          <w:rFonts w:hint="eastAsia" w:hAnsi="宋体" w:cs="宋体"/>
          <w:highlight w:val="none"/>
        </w:rPr>
      </w:pPr>
      <w:r>
        <w:rPr>
          <w:rFonts w:hint="eastAsia" w:hAnsi="宋体" w:cs="宋体"/>
          <w:szCs w:val="24"/>
          <w:highlight w:val="none"/>
        </w:rPr>
        <w:t>评价和比较以磋商响应文件为依据，从“</w:t>
      </w:r>
      <w:r>
        <w:rPr>
          <w:rFonts w:hint="eastAsia" w:hAnsi="宋体" w:cs="宋体"/>
          <w:szCs w:val="24"/>
          <w:highlight w:val="none"/>
          <w:lang w:eastAsia="zh-CN"/>
        </w:rPr>
        <w:t>商务报价</w:t>
      </w:r>
      <w:r>
        <w:rPr>
          <w:rFonts w:hint="eastAsia" w:hAnsi="宋体" w:cs="宋体"/>
          <w:szCs w:val="24"/>
          <w:highlight w:val="none"/>
        </w:rPr>
        <w:t>”、“技术”“履约能力”</w:t>
      </w:r>
      <w:r>
        <w:rPr>
          <w:rFonts w:hint="eastAsia" w:hAnsi="宋体" w:cs="宋体"/>
          <w:szCs w:val="24"/>
          <w:highlight w:val="none"/>
          <w:lang w:eastAsia="zh-CN"/>
        </w:rPr>
        <w:t>等</w:t>
      </w:r>
      <w:r>
        <w:rPr>
          <w:rFonts w:hint="eastAsia" w:hAnsi="宋体" w:cs="宋体"/>
          <w:szCs w:val="24"/>
          <w:highlight w:val="none"/>
        </w:rPr>
        <w:t>方面进行评审并按照百分制进行赋分。</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224"/>
        <w:gridCol w:w="2455"/>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6" w:type="pct"/>
            <w:noWrap w:val="0"/>
            <w:vAlign w:val="center"/>
          </w:tcPr>
          <w:p>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80" w:type="pct"/>
            <w:noWrap w:val="0"/>
            <w:vAlign w:val="center"/>
          </w:tcPr>
          <w:p>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p>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1364" w:type="pct"/>
            <w:noWrap w:val="0"/>
            <w:vAlign w:val="center"/>
          </w:tcPr>
          <w:p>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2509" w:type="pct"/>
            <w:noWrap w:val="0"/>
            <w:vAlign w:val="center"/>
          </w:tcPr>
          <w:p>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46" w:type="pct"/>
            <w:vMerge w:val="restart"/>
            <w:noWrap w:val="0"/>
            <w:vAlign w:val="center"/>
          </w:tcPr>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技术评审</w:t>
            </w:r>
          </w:p>
        </w:tc>
        <w:tc>
          <w:tcPr>
            <w:tcW w:w="680" w:type="pct"/>
            <w:vMerge w:val="restart"/>
            <w:noWrap w:val="0"/>
            <w:vAlign w:val="center"/>
          </w:tcPr>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46分</w:t>
            </w:r>
            <w:r>
              <w:rPr>
                <w:rFonts w:hint="eastAsia" w:ascii="宋体" w:hAnsi="宋体" w:cs="宋体"/>
                <w:color w:val="auto"/>
                <w:sz w:val="24"/>
                <w:szCs w:val="24"/>
                <w:highlight w:val="none"/>
                <w:lang w:eastAsia="zh-CN"/>
              </w:rPr>
              <w:t>）</w:t>
            </w:r>
          </w:p>
        </w:tc>
        <w:tc>
          <w:tcPr>
            <w:tcW w:w="1364" w:type="pct"/>
            <w:noWrap w:val="0"/>
            <w:vAlign w:val="center"/>
          </w:tcPr>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项目管理及力量配备</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2509" w:type="pct"/>
            <w:noWrap w:val="0"/>
            <w:vAlign w:val="center"/>
          </w:tcPr>
          <w:p>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项目团队技术人员配备合理，满足本项目需求，依据配备情况得</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446"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680"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1364" w:type="pct"/>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实施</w:t>
            </w:r>
            <w:r>
              <w:rPr>
                <w:rFonts w:hint="eastAsia" w:ascii="宋体" w:hAnsi="宋体" w:eastAsia="宋体" w:cs="宋体"/>
                <w:color w:val="auto"/>
                <w:sz w:val="24"/>
                <w:szCs w:val="24"/>
                <w:highlight w:val="none"/>
              </w:rPr>
              <w:t>方案</w:t>
            </w:r>
          </w:p>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2509" w:type="pct"/>
            <w:noWrap w:val="0"/>
            <w:vAlign w:val="center"/>
          </w:tcPr>
          <w:p>
            <w:pPr>
              <w:spacing w:line="480" w:lineRule="exact"/>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综合抚育</w:t>
            </w:r>
            <w:r>
              <w:rPr>
                <w:rFonts w:hint="eastAsia" w:ascii="宋体" w:hAnsi="宋体" w:cs="宋体"/>
                <w:color w:val="auto"/>
                <w:sz w:val="24"/>
                <w:szCs w:val="24"/>
                <w:highlight w:val="none"/>
                <w:lang w:eastAsia="zh-CN"/>
              </w:rPr>
              <w:t>实施方案</w:t>
            </w:r>
            <w:r>
              <w:rPr>
                <w:rFonts w:hint="eastAsia" w:ascii="宋体" w:hAnsi="宋体" w:eastAsia="宋体" w:cs="宋体"/>
                <w:color w:val="auto"/>
                <w:sz w:val="24"/>
                <w:szCs w:val="24"/>
                <w:highlight w:val="none"/>
              </w:rPr>
              <w:t>所述内容条理清晰，方案切实可行，响应并优于工程要求得</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分；完全满足得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分；一般得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446"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680"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1364" w:type="pct"/>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确保工程质量和工期的技术组织措施</w:t>
            </w:r>
          </w:p>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2509" w:type="pct"/>
            <w:noWrap w:val="0"/>
            <w:vAlign w:val="center"/>
          </w:tcPr>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所述内容切合工程实际，措施切实可行，优于工程要求得4-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分；完全满足得2-3分；一般得0-1分；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446"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680"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1364" w:type="pct"/>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主要机具、设备和劳动力配备情况</w:t>
            </w:r>
          </w:p>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2509" w:type="pct"/>
            <w:noWrap w:val="0"/>
            <w:vAlign w:val="center"/>
          </w:tcPr>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进度计划合理，工期目标明确，投入的主要机具、设备先进，劳动力配备充足4-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分，完全满足得2-3分，一般得0-1分；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446"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680"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1364" w:type="pct"/>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确保工程</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文明</w:t>
            </w:r>
            <w:r>
              <w:rPr>
                <w:rFonts w:hint="eastAsia" w:ascii="宋体" w:hAnsi="宋体" w:eastAsia="宋体" w:cs="宋体"/>
                <w:color w:val="auto"/>
                <w:sz w:val="24"/>
                <w:szCs w:val="24"/>
                <w:highlight w:val="none"/>
              </w:rPr>
              <w:t>的技术组织措施</w:t>
            </w:r>
          </w:p>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2509" w:type="pct"/>
            <w:noWrap w:val="0"/>
            <w:vAlign w:val="center"/>
          </w:tcPr>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所述措施明确切切实可行，优于工程要求得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分，完全满足得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446"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680"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1364" w:type="pct"/>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消防安全保障方案及应急措施</w:t>
            </w:r>
          </w:p>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2509" w:type="pct"/>
            <w:noWrap w:val="0"/>
            <w:vAlign w:val="center"/>
          </w:tcPr>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保障方案、措施合理、完善，</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～10分</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保障方案、措施基本合理、比较完善，</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保障方案、措施一般，0～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 w:type="pct"/>
            <w:vMerge w:val="restart"/>
            <w:noWrap w:val="0"/>
            <w:vAlign w:val="center"/>
          </w:tcPr>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履约能力</w:t>
            </w:r>
          </w:p>
        </w:tc>
        <w:tc>
          <w:tcPr>
            <w:tcW w:w="680" w:type="pct"/>
            <w:vMerge w:val="restart"/>
            <w:noWrap w:val="0"/>
            <w:vAlign w:val="center"/>
          </w:tcPr>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1364" w:type="pct"/>
            <w:noWrap w:val="0"/>
            <w:vAlign w:val="center"/>
          </w:tcPr>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施工承诺</w:t>
            </w:r>
          </w:p>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2509" w:type="pct"/>
            <w:noWrap w:val="0"/>
            <w:vAlign w:val="center"/>
          </w:tcPr>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针对本项目</w:t>
            </w:r>
            <w:r>
              <w:rPr>
                <w:rFonts w:hint="eastAsia" w:hAnsi="宋体" w:cs="宋体"/>
                <w:color w:val="auto"/>
                <w:sz w:val="24"/>
                <w:szCs w:val="24"/>
                <w:highlight w:val="none"/>
                <w:lang w:eastAsia="zh-CN"/>
              </w:rPr>
              <w:t>抚育</w:t>
            </w:r>
            <w:r>
              <w:rPr>
                <w:rFonts w:hint="eastAsia" w:ascii="宋体" w:hAnsi="宋体" w:eastAsia="宋体" w:cs="宋体"/>
                <w:color w:val="auto"/>
                <w:sz w:val="24"/>
                <w:szCs w:val="24"/>
                <w:highlight w:val="none"/>
                <w:lang w:eastAsia="zh-CN"/>
              </w:rPr>
              <w:t>施工进行技术、质量、安全等的响应</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eastAsia="zh-CN"/>
              </w:rPr>
              <w:t>书；依据</w:t>
            </w:r>
            <w:r>
              <w:rPr>
                <w:rFonts w:hint="eastAsia" w:ascii="宋体" w:hAnsi="宋体" w:eastAsia="宋体" w:cs="宋体"/>
                <w:color w:val="auto"/>
                <w:sz w:val="24"/>
                <w:szCs w:val="24"/>
                <w:highlight w:val="none"/>
              </w:rPr>
              <w:t>承诺</w:t>
            </w:r>
            <w:r>
              <w:rPr>
                <w:rFonts w:hint="eastAsia" w:ascii="宋体" w:hAnsi="宋体" w:eastAsia="宋体" w:cs="宋体"/>
                <w:color w:val="auto"/>
                <w:sz w:val="24"/>
                <w:szCs w:val="24"/>
                <w:highlight w:val="none"/>
                <w:lang w:eastAsia="zh-CN"/>
              </w:rPr>
              <w:t>书的实质性条件进行综合赋分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6"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680" w:type="pct"/>
            <w:vMerge w:val="continue"/>
            <w:noWrap w:val="0"/>
            <w:vAlign w:val="center"/>
          </w:tcPr>
          <w:p>
            <w:pPr>
              <w:spacing w:line="480" w:lineRule="exact"/>
              <w:jc w:val="center"/>
              <w:rPr>
                <w:rFonts w:hint="eastAsia" w:ascii="宋体" w:hAnsi="宋体" w:eastAsia="宋体" w:cs="宋体"/>
                <w:color w:val="auto"/>
                <w:sz w:val="24"/>
                <w:szCs w:val="24"/>
                <w:highlight w:val="none"/>
              </w:rPr>
            </w:pPr>
          </w:p>
        </w:tc>
        <w:tc>
          <w:tcPr>
            <w:tcW w:w="1364" w:type="pct"/>
            <w:noWrap w:val="0"/>
            <w:vAlign w:val="center"/>
          </w:tcPr>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p>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2509" w:type="pct"/>
            <w:noWrap w:val="0"/>
            <w:vAlign w:val="center"/>
          </w:tcPr>
          <w:p>
            <w:pPr>
              <w:spacing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投标人提供</w:t>
            </w:r>
            <w:r>
              <w:rPr>
                <w:rFonts w:hint="eastAsia" w:ascii="宋体" w:hAnsi="宋体" w:eastAsia="宋体" w:cs="宋体"/>
                <w:color w:val="auto"/>
                <w:sz w:val="24"/>
                <w:szCs w:val="24"/>
                <w:highlight w:val="none"/>
                <w:lang w:eastAsia="zh-CN"/>
              </w:rPr>
              <w:t>类似</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lang w:eastAsia="zh-CN"/>
              </w:rPr>
              <w:t>业绩，响应文件中附有说明其业绩证明材料（业绩以合同复印件</w:t>
            </w:r>
            <w:r>
              <w:rPr>
                <w:rFonts w:hint="eastAsia" w:hAnsi="宋体" w:cs="宋体"/>
                <w:color w:val="auto"/>
                <w:sz w:val="24"/>
                <w:szCs w:val="24"/>
                <w:highlight w:val="none"/>
                <w:lang w:eastAsia="zh-CN"/>
              </w:rPr>
              <w:t>或中标通知书</w:t>
            </w:r>
            <w:r>
              <w:rPr>
                <w:rFonts w:hint="eastAsia" w:ascii="宋体" w:hAnsi="宋体" w:eastAsia="宋体" w:cs="宋体"/>
                <w:color w:val="auto"/>
                <w:sz w:val="24"/>
                <w:szCs w:val="24"/>
                <w:highlight w:val="none"/>
                <w:lang w:eastAsia="zh-CN"/>
              </w:rPr>
              <w:t>为依据）。每个业绩计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个以上（含</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个）计</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446" w:type="pct"/>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评分标准</w:t>
            </w:r>
          </w:p>
          <w:p>
            <w:pPr>
              <w:spacing w:line="480" w:lineRule="exact"/>
              <w:jc w:val="center"/>
              <w:rPr>
                <w:rFonts w:hint="eastAsia" w:ascii="宋体" w:hAnsi="宋体" w:eastAsia="宋体" w:cs="宋体"/>
                <w:color w:val="auto"/>
                <w:sz w:val="24"/>
                <w:szCs w:val="24"/>
                <w:highlight w:val="none"/>
              </w:rPr>
            </w:pPr>
          </w:p>
        </w:tc>
        <w:tc>
          <w:tcPr>
            <w:tcW w:w="680" w:type="pct"/>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364" w:type="pct"/>
            <w:noWrap w:val="0"/>
            <w:vAlign w:val="center"/>
          </w:tcPr>
          <w:p>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报价评分标准</w:t>
            </w:r>
          </w:p>
        </w:tc>
        <w:tc>
          <w:tcPr>
            <w:tcW w:w="2509" w:type="pct"/>
            <w:noWrap w:val="0"/>
            <w:vAlign w:val="center"/>
          </w:tcPr>
          <w:p>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满足磋商文件商务及技术要求且最后报价最低的供应商的价格为磋商基准价，其价格分为满分。</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报价得分=（磋商基准价/最后磋商报价）*价格分值</w:t>
            </w:r>
          </w:p>
        </w:tc>
      </w:tr>
    </w:tbl>
    <w:p>
      <w:pPr>
        <w:spacing w:line="360" w:lineRule="auto"/>
        <w:ind w:firstLine="496" w:firstLineChars="200"/>
        <w:rPr>
          <w:rFonts w:hint="eastAsia" w:hAnsi="宋体" w:cs="宋体"/>
          <w:spacing w:val="4"/>
          <w:szCs w:val="24"/>
          <w:highlight w:val="none"/>
        </w:rPr>
      </w:pPr>
    </w:p>
    <w:p>
      <w:pPr>
        <w:spacing w:line="360" w:lineRule="auto"/>
        <w:ind w:firstLine="496" w:firstLineChars="200"/>
        <w:rPr>
          <w:rFonts w:hint="eastAsia" w:hAnsi="宋体" w:cs="宋体"/>
          <w:b/>
          <w:spacing w:val="4"/>
          <w:szCs w:val="24"/>
          <w:highlight w:val="none"/>
        </w:rPr>
      </w:pPr>
      <w:r>
        <w:rPr>
          <w:rFonts w:hint="eastAsia" w:hAnsi="宋体" w:cs="宋体"/>
          <w:spacing w:val="4"/>
          <w:szCs w:val="24"/>
          <w:highlight w:val="none"/>
        </w:rPr>
        <w:t>磋商小组根据以上内容进行综合打分，按照评审得分由高到低进行汇总排序，推荐出三名成交候选供应商。评审得分相同的，按照最后报价由低到高的顺序推荐。评审得分且最后报价相同的，按照技术指标优劣顺序推荐。</w:t>
      </w:r>
      <w:r>
        <w:rPr>
          <w:rFonts w:hint="eastAsia" w:hAnsi="宋体" w:cs="宋体"/>
          <w:spacing w:val="4"/>
          <w:szCs w:val="24"/>
          <w:highlight w:val="none"/>
        </w:rPr>
        <w:br w:type="textWrapping"/>
      </w:r>
      <w:r>
        <w:rPr>
          <w:rFonts w:hint="eastAsia" w:hAnsi="宋体" w:cs="宋体"/>
          <w:b/>
          <w:spacing w:val="4"/>
          <w:szCs w:val="24"/>
          <w:highlight w:val="none"/>
        </w:rPr>
        <w:t>五、成交：</w:t>
      </w:r>
    </w:p>
    <w:p>
      <w:pPr>
        <w:spacing w:line="360" w:lineRule="auto"/>
        <w:ind w:firstLine="496" w:firstLineChars="200"/>
        <w:rPr>
          <w:rFonts w:hint="eastAsia" w:hAnsi="宋体" w:cs="宋体"/>
          <w:spacing w:val="4"/>
          <w:szCs w:val="24"/>
          <w:highlight w:val="none"/>
        </w:rPr>
      </w:pPr>
      <w:r>
        <w:rPr>
          <w:rFonts w:hint="eastAsia" w:hAnsi="宋体" w:cs="宋体"/>
          <w:spacing w:val="4"/>
          <w:szCs w:val="24"/>
          <w:highlight w:val="none"/>
        </w:rPr>
        <w:t>1、磋商结果报告由磋商小组全体成员签字确认。</w:t>
      </w:r>
    </w:p>
    <w:p>
      <w:pPr>
        <w:spacing w:line="360" w:lineRule="auto"/>
        <w:ind w:firstLine="496" w:firstLineChars="200"/>
        <w:rPr>
          <w:rFonts w:hint="eastAsia" w:hAnsi="宋体" w:cs="宋体"/>
          <w:spacing w:val="4"/>
          <w:szCs w:val="24"/>
          <w:highlight w:val="none"/>
        </w:rPr>
      </w:pPr>
      <w:r>
        <w:rPr>
          <w:rFonts w:hint="eastAsia" w:hAnsi="宋体" w:cs="宋体"/>
          <w:spacing w:val="4"/>
          <w:szCs w:val="24"/>
          <w:highlight w:val="none"/>
        </w:rPr>
        <w:t>2、采购人根据磋商结果报告中推荐的成交候选人确定成交供应商，以复函通知采购代理机构。</w:t>
      </w:r>
    </w:p>
    <w:p>
      <w:pPr>
        <w:pStyle w:val="3"/>
        <w:bidi w:val="0"/>
        <w:jc w:val="center"/>
        <w:rPr>
          <w:rFonts w:hint="default" w:eastAsia="仿宋_GB2312"/>
          <w:highlight w:val="none"/>
          <w:lang w:val="en-US" w:eastAsia="zh-CN"/>
        </w:rPr>
      </w:pPr>
      <w:r>
        <w:rPr>
          <w:highlight w:val="none"/>
        </w:rPr>
        <w:br w:type="page"/>
      </w:r>
      <w:bookmarkEnd w:id="45"/>
      <w:bookmarkEnd w:id="73"/>
      <w:bookmarkEnd w:id="74"/>
      <w:bookmarkEnd w:id="75"/>
      <w:bookmarkEnd w:id="76"/>
      <w:bookmarkEnd w:id="77"/>
      <w:bookmarkEnd w:id="78"/>
      <w:bookmarkEnd w:id="79"/>
      <w:bookmarkStart w:id="83" w:name="_Toc14849"/>
      <w:bookmarkStart w:id="84" w:name="_Toc9637"/>
      <w:bookmarkStart w:id="85" w:name="_Toc15391"/>
      <w:r>
        <w:rPr>
          <w:rFonts w:hint="eastAsia" w:ascii="宋体" w:hAnsi="宋体" w:eastAsia="宋体" w:cs="宋体"/>
          <w:highlight w:val="none"/>
          <w:lang w:eastAsia="zh-CN"/>
        </w:rPr>
        <w:t>第六章</w:t>
      </w:r>
      <w:r>
        <w:rPr>
          <w:rFonts w:hint="eastAsia" w:ascii="宋体" w:hAnsi="宋体" w:eastAsia="宋体" w:cs="宋体"/>
          <w:highlight w:val="none"/>
          <w:lang w:val="en-US" w:eastAsia="zh-CN"/>
        </w:rPr>
        <w:t xml:space="preserve"> </w:t>
      </w:r>
      <w:r>
        <w:rPr>
          <w:rFonts w:hint="eastAsia" w:ascii="宋体" w:eastAsia="宋体" w:cs="宋体"/>
          <w:highlight w:val="none"/>
          <w:lang w:val="en-US" w:eastAsia="zh-CN"/>
        </w:rPr>
        <w:t xml:space="preserve"> </w:t>
      </w:r>
      <w:r>
        <w:rPr>
          <w:rFonts w:hint="eastAsia" w:ascii="宋体" w:hAnsi="宋体" w:eastAsia="宋体" w:cs="宋体"/>
          <w:highlight w:val="none"/>
          <w:lang w:val="en-US" w:eastAsia="zh-CN"/>
        </w:rPr>
        <w:t>竞争性磋商文件构成及格式</w:t>
      </w:r>
      <w:bookmarkEnd w:id="83"/>
      <w:bookmarkEnd w:id="84"/>
      <w:bookmarkEnd w:id="85"/>
    </w:p>
    <w:p>
      <w:pPr>
        <w:rPr>
          <w:rFonts w:hint="eastAsia" w:hAnsi="宋体" w:cs="宋体"/>
          <w:highlight w:val="none"/>
        </w:rPr>
      </w:pPr>
    </w:p>
    <w:p>
      <w:pPr>
        <w:rPr>
          <w:rFonts w:hint="eastAsia" w:hAnsi="宋体" w:cs="宋体"/>
          <w:highlight w:val="none"/>
        </w:rPr>
      </w:pPr>
    </w:p>
    <w:p>
      <w:pPr>
        <w:framePr w:hSpace="180" w:wrap="around" w:vAnchor="text" w:hAnchor="page" w:x="1473" w:y="19"/>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SXZCZB2022-ZCCS-0520</w:t>
      </w:r>
    </w:p>
    <w:p>
      <w:pPr>
        <w:ind w:firstLine="4343" w:firstLineChars="1352"/>
        <w:jc w:val="right"/>
        <w:rPr>
          <w:rFonts w:hint="eastAsia" w:hAnsi="宋体" w:cs="宋体"/>
          <w:b/>
          <w:bCs/>
          <w:sz w:val="32"/>
          <w:szCs w:val="32"/>
          <w:highlight w:val="none"/>
        </w:rPr>
      </w:pPr>
    </w:p>
    <w:p>
      <w:pPr>
        <w:ind w:firstLine="4343" w:firstLineChars="1352"/>
        <w:jc w:val="right"/>
        <w:rPr>
          <w:rFonts w:hint="eastAsia"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pPr>
        <w:jc w:val="right"/>
        <w:rPr>
          <w:rFonts w:hint="eastAsia" w:hAnsi="宋体" w:cs="宋体"/>
          <w:b/>
          <w:sz w:val="32"/>
          <w:szCs w:val="32"/>
          <w:highlight w:val="none"/>
        </w:rPr>
      </w:pPr>
    </w:p>
    <w:p>
      <w:pPr>
        <w:jc w:val="right"/>
        <w:rPr>
          <w:rFonts w:hint="eastAsia" w:hAnsi="宋体" w:cs="宋体"/>
          <w:b/>
          <w:sz w:val="32"/>
          <w:szCs w:val="32"/>
          <w:highlight w:val="none"/>
        </w:rPr>
      </w:pPr>
    </w:p>
    <w:p>
      <w:pPr>
        <w:jc w:val="center"/>
        <w:rPr>
          <w:rFonts w:hint="eastAsia" w:hAnsi="宋体" w:cs="宋体"/>
          <w:b/>
          <w:sz w:val="52"/>
          <w:szCs w:val="52"/>
          <w:highlight w:val="none"/>
          <w:lang w:eastAsia="zh-CN"/>
        </w:rPr>
      </w:pPr>
      <w:r>
        <w:rPr>
          <w:rFonts w:hint="eastAsia" w:hAnsi="宋体" w:cs="宋体"/>
          <w:b/>
          <w:sz w:val="48"/>
          <w:szCs w:val="48"/>
          <w:highlight w:val="none"/>
          <w:lang w:eastAsia="zh-CN"/>
        </w:rPr>
        <w:t>柞水县2022年栎类大径木培育基地项目</w:t>
      </w:r>
    </w:p>
    <w:p>
      <w:pPr>
        <w:jc w:val="center"/>
        <w:rPr>
          <w:rFonts w:hint="eastAsia"/>
          <w:highlight w:val="none"/>
          <w:lang w:eastAsia="zh-CN"/>
        </w:rPr>
      </w:pPr>
      <w:r>
        <w:rPr>
          <w:rFonts w:hint="eastAsia" w:asciiTheme="minorEastAsia" w:hAnsiTheme="minorEastAsia" w:eastAsiaTheme="minorEastAsia" w:cstheme="minorEastAsia"/>
          <w:b/>
          <w:color w:val="auto"/>
          <w:sz w:val="52"/>
          <w:szCs w:val="52"/>
          <w:highlight w:val="none"/>
          <w:lang w:val="en-US" w:eastAsia="zh-CN"/>
        </w:rPr>
        <w:t>第</w:t>
      </w:r>
      <w:r>
        <w:rPr>
          <w:rFonts w:hint="eastAsia" w:asciiTheme="minorEastAsia" w:hAnsiTheme="minorEastAsia" w:eastAsiaTheme="minorEastAsia" w:cstheme="minorEastAsia"/>
          <w:b/>
          <w:color w:val="auto"/>
          <w:sz w:val="52"/>
          <w:szCs w:val="52"/>
          <w:highlight w:val="none"/>
          <w:u w:val="single"/>
          <w:lang w:val="en-US" w:eastAsia="zh-CN"/>
        </w:rPr>
        <w:t xml:space="preserve">     </w:t>
      </w:r>
      <w:r>
        <w:rPr>
          <w:rFonts w:hint="eastAsia" w:asciiTheme="minorEastAsia" w:hAnsiTheme="minorEastAsia" w:eastAsiaTheme="minorEastAsia" w:cstheme="minorEastAsia"/>
          <w:b/>
          <w:color w:val="auto"/>
          <w:sz w:val="52"/>
          <w:szCs w:val="52"/>
          <w:highlight w:val="none"/>
          <w:lang w:val="en-US" w:eastAsia="zh-CN"/>
        </w:rPr>
        <w:t>包</w:t>
      </w:r>
    </w:p>
    <w:p>
      <w:pPr>
        <w:jc w:val="center"/>
        <w:rPr>
          <w:rFonts w:hint="eastAsia" w:hAnsi="宋体" w:cs="宋体"/>
          <w:b/>
          <w:sz w:val="72"/>
          <w:szCs w:val="72"/>
          <w:highlight w:val="none"/>
        </w:rPr>
      </w:pPr>
    </w:p>
    <w:p>
      <w:pPr>
        <w:jc w:val="center"/>
        <w:rPr>
          <w:rFonts w:hint="eastAsia" w:hAnsi="宋体" w:cs="宋体"/>
          <w:b/>
          <w:sz w:val="56"/>
          <w:szCs w:val="56"/>
          <w:highlight w:val="none"/>
        </w:rPr>
      </w:pPr>
    </w:p>
    <w:p>
      <w:pPr>
        <w:jc w:val="center"/>
        <w:rPr>
          <w:rFonts w:hint="eastAsia" w:hAnsi="宋体" w:cs="宋体"/>
          <w:b/>
          <w:sz w:val="56"/>
          <w:szCs w:val="56"/>
          <w:highlight w:val="none"/>
        </w:rPr>
      </w:pPr>
      <w:r>
        <w:rPr>
          <w:rFonts w:hint="eastAsia" w:hAnsi="宋体" w:cs="宋体"/>
          <w:b/>
          <w:sz w:val="56"/>
          <w:szCs w:val="56"/>
          <w:highlight w:val="none"/>
        </w:rPr>
        <w:t>竞争性磋商响应文件</w:t>
      </w:r>
    </w:p>
    <w:p>
      <w:pPr>
        <w:rPr>
          <w:rFonts w:hint="eastAsia" w:hAnsi="宋体" w:cs="宋体"/>
          <w:b/>
          <w:sz w:val="36"/>
          <w:szCs w:val="36"/>
          <w:highlight w:val="none"/>
        </w:rPr>
      </w:pPr>
      <w:r>
        <w:rPr>
          <w:rFonts w:hint="eastAsia" w:hAnsi="宋体" w:cs="宋体"/>
          <w:b/>
          <w:sz w:val="36"/>
          <w:szCs w:val="36"/>
          <w:highlight w:val="none"/>
        </w:rPr>
        <w:t xml:space="preserve">               </w:t>
      </w:r>
    </w:p>
    <w:p>
      <w:pPr>
        <w:jc w:val="center"/>
        <w:rPr>
          <w:rFonts w:hint="eastAsia" w:hAnsi="宋体" w:cs="宋体"/>
          <w:b/>
          <w:sz w:val="36"/>
          <w:szCs w:val="36"/>
          <w:highlight w:val="none"/>
        </w:rPr>
      </w:pPr>
    </w:p>
    <w:p>
      <w:pPr>
        <w:rPr>
          <w:rFonts w:hint="eastAsia" w:hAnsi="宋体" w:cs="宋体"/>
          <w:b/>
          <w:sz w:val="36"/>
          <w:szCs w:val="36"/>
          <w:highlight w:val="none"/>
        </w:rPr>
      </w:pPr>
    </w:p>
    <w:p>
      <w:pPr>
        <w:spacing w:line="360" w:lineRule="auto"/>
        <w:ind w:firstLine="562" w:firstLineChars="200"/>
        <w:jc w:val="both"/>
        <w:rPr>
          <w:rFonts w:hint="eastAsia" w:ascii="宋体" w:hAnsi="宋体" w:eastAsia="宋体" w:cs="宋体"/>
          <w:b/>
          <w:bCs/>
          <w:color w:val="auto"/>
          <w:sz w:val="28"/>
          <w:szCs w:val="28"/>
          <w:highlight w:val="none"/>
          <w:u w:val="single"/>
          <w:lang w:val="en-US" w:eastAsia="zh-CN"/>
        </w:rPr>
      </w:pPr>
      <w:r>
        <w:rPr>
          <w:rFonts w:hint="eastAsia"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lang w:eastAsia="zh-CN"/>
        </w:rPr>
        <w:t>名称</w:t>
      </w:r>
      <w:r>
        <w:rPr>
          <w:rFonts w:hint="eastAsia" w:ascii="宋体" w:hAnsi="宋体" w:eastAsia="宋体" w:cs="宋体"/>
          <w:b/>
          <w:bCs/>
          <w:color w:val="auto"/>
          <w:sz w:val="28"/>
          <w:szCs w:val="28"/>
          <w:highlight w:val="none"/>
        </w:rPr>
        <w:t>：（盖章）</w:t>
      </w:r>
      <w:r>
        <w:rPr>
          <w:rFonts w:hint="eastAsia" w:ascii="宋体" w:hAnsi="宋体" w:eastAsia="宋体" w:cs="宋体"/>
          <w:b/>
          <w:bCs/>
          <w:color w:val="auto"/>
          <w:sz w:val="28"/>
          <w:szCs w:val="28"/>
          <w:highlight w:val="none"/>
          <w:u w:val="single"/>
          <w:lang w:val="en-US" w:eastAsia="zh-CN"/>
        </w:rPr>
        <w:t xml:space="preserve">                     </w:t>
      </w:r>
    </w:p>
    <w:p>
      <w:pPr>
        <w:spacing w:line="360" w:lineRule="auto"/>
        <w:ind w:firstLine="562" w:firstLineChars="2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法定代表人或其委托代理人：（签字</w:t>
      </w:r>
      <w:r>
        <w:rPr>
          <w:rFonts w:hint="eastAsia" w:ascii="宋体" w:hAnsi="宋体" w:eastAsia="宋体" w:cs="宋体"/>
          <w:b/>
          <w:bCs/>
          <w:color w:val="auto"/>
          <w:sz w:val="28"/>
          <w:szCs w:val="28"/>
          <w:highlight w:val="none"/>
          <w:lang w:eastAsia="zh-CN"/>
        </w:rPr>
        <w:t>或</w:t>
      </w:r>
      <w:r>
        <w:rPr>
          <w:rFonts w:hint="eastAsia" w:ascii="宋体" w:hAnsi="宋体" w:eastAsia="宋体" w:cs="宋体"/>
          <w:b/>
          <w:bCs/>
          <w:color w:val="auto"/>
          <w:sz w:val="28"/>
          <w:szCs w:val="28"/>
          <w:highlight w:val="none"/>
        </w:rPr>
        <w:t>盖章）</w:t>
      </w:r>
    </w:p>
    <w:p>
      <w:pPr>
        <w:spacing w:line="360" w:lineRule="auto"/>
        <w:jc w:val="both"/>
        <w:rPr>
          <w:rFonts w:hint="eastAsia" w:ascii="宋体" w:hAnsi="宋体" w:eastAsia="宋体" w:cs="宋体"/>
          <w:color w:val="auto"/>
          <w:highlight w:val="none"/>
        </w:rPr>
        <w:sectPr>
          <w:footerReference r:id="rId13" w:type="default"/>
          <w:pgSz w:w="11906" w:h="16838"/>
          <w:pgMar w:top="1417" w:right="1417" w:bottom="1417" w:left="1701" w:header="851" w:footer="992" w:gutter="0"/>
          <w:pgNumType w:fmt="decimal"/>
          <w:cols w:space="720" w:num="1"/>
          <w:rtlGutter w:val="0"/>
          <w:docGrid w:type="lines" w:linePitch="312" w:charSpace="0"/>
        </w:sectPr>
      </w:pP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日</w:t>
      </w:r>
    </w:p>
    <w:p>
      <w:pPr>
        <w:jc w:val="center"/>
        <w:rPr>
          <w:rFonts w:hint="eastAsia" w:hAnsi="宋体" w:cs="宋体"/>
          <w:b/>
          <w:sz w:val="44"/>
          <w:highlight w:val="none"/>
        </w:rPr>
      </w:pPr>
      <w:bookmarkStart w:id="86" w:name="_Toc344572156"/>
      <w:r>
        <w:rPr>
          <w:rFonts w:hint="eastAsia" w:hAnsi="宋体" w:cs="宋体"/>
          <w:b/>
          <w:sz w:val="44"/>
          <w:highlight w:val="none"/>
        </w:rPr>
        <w:t>目  录</w:t>
      </w:r>
    </w:p>
    <w:p>
      <w:pPr>
        <w:spacing w:line="360" w:lineRule="auto"/>
        <w:ind w:firstLine="496" w:firstLineChars="200"/>
        <w:jc w:val="left"/>
        <w:rPr>
          <w:rFonts w:hint="eastAsia" w:hAnsi="宋体" w:cs="宋体"/>
          <w:spacing w:val="4"/>
          <w:szCs w:val="24"/>
          <w:highlight w:val="none"/>
        </w:rPr>
      </w:pPr>
    </w:p>
    <w:p>
      <w:pPr>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rPr>
        <w:t>一、磋商响应函</w:t>
      </w:r>
    </w:p>
    <w:p>
      <w:pPr>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lang w:eastAsia="zh-CN"/>
        </w:rPr>
        <w:t>二</w:t>
      </w:r>
      <w:r>
        <w:rPr>
          <w:rFonts w:hint="eastAsia" w:hAnsi="宋体" w:cs="宋体"/>
          <w:spacing w:val="4"/>
          <w:szCs w:val="24"/>
          <w:highlight w:val="none"/>
        </w:rPr>
        <w:t>、磋商报价表</w:t>
      </w:r>
    </w:p>
    <w:p>
      <w:pPr>
        <w:spacing w:line="360" w:lineRule="auto"/>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lang w:eastAsia="zh-CN"/>
        </w:rPr>
        <w:t>三</w:t>
      </w:r>
      <w:r>
        <w:rPr>
          <w:rFonts w:hint="eastAsia" w:hAnsi="宋体" w:cs="宋体"/>
          <w:spacing w:val="4"/>
          <w:szCs w:val="24"/>
          <w:highlight w:val="none"/>
        </w:rPr>
        <w:t>、商务响应</w:t>
      </w:r>
      <w:r>
        <w:rPr>
          <w:rFonts w:hint="eastAsia" w:hAnsi="宋体" w:cs="宋体"/>
          <w:spacing w:val="4"/>
          <w:szCs w:val="24"/>
          <w:highlight w:val="none"/>
          <w:lang w:eastAsia="zh-CN"/>
        </w:rPr>
        <w:t>表</w:t>
      </w:r>
    </w:p>
    <w:p>
      <w:pPr>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lang w:eastAsia="zh-CN"/>
        </w:rPr>
        <w:t>四</w:t>
      </w:r>
      <w:r>
        <w:rPr>
          <w:rFonts w:hint="eastAsia" w:hAnsi="宋体" w:cs="宋体"/>
          <w:spacing w:val="4"/>
          <w:szCs w:val="24"/>
          <w:highlight w:val="none"/>
        </w:rPr>
        <w:t>、磋商技术响应方案</w:t>
      </w:r>
    </w:p>
    <w:p>
      <w:pPr>
        <w:spacing w:line="360" w:lineRule="auto"/>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lang w:eastAsia="zh-CN"/>
        </w:rPr>
        <w:t>五</w:t>
      </w:r>
      <w:r>
        <w:rPr>
          <w:rFonts w:hint="eastAsia" w:hAnsi="宋体" w:cs="宋体"/>
          <w:spacing w:val="4"/>
          <w:szCs w:val="24"/>
          <w:highlight w:val="none"/>
        </w:rPr>
        <w:t>、</w:t>
      </w:r>
      <w:r>
        <w:rPr>
          <w:rFonts w:hint="eastAsia" w:hAnsi="宋体" w:cs="宋体"/>
          <w:spacing w:val="4"/>
          <w:szCs w:val="24"/>
          <w:highlight w:val="none"/>
          <w:lang w:val="en-US" w:eastAsia="zh-CN"/>
        </w:rPr>
        <w:t>企业类似业绩</w:t>
      </w:r>
    </w:p>
    <w:p>
      <w:pPr>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lang w:val="en-US" w:eastAsia="zh-CN"/>
        </w:rPr>
        <w:t>六</w:t>
      </w:r>
      <w:r>
        <w:rPr>
          <w:rFonts w:hint="eastAsia" w:hAnsi="宋体" w:cs="宋体"/>
          <w:spacing w:val="4"/>
          <w:szCs w:val="24"/>
          <w:highlight w:val="none"/>
        </w:rPr>
        <w:t>、陕西省政府采购供应商拒绝政府采购领域商业贿赂承诺书</w:t>
      </w:r>
    </w:p>
    <w:p>
      <w:pPr>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lang w:val="en-US" w:eastAsia="zh-CN"/>
        </w:rPr>
        <w:t>七</w:t>
      </w:r>
      <w:r>
        <w:rPr>
          <w:rFonts w:hint="eastAsia" w:hAnsi="宋体" w:cs="宋体"/>
          <w:spacing w:val="4"/>
          <w:szCs w:val="24"/>
          <w:highlight w:val="none"/>
        </w:rPr>
        <w:t>、资格证明文件</w:t>
      </w:r>
    </w:p>
    <w:p>
      <w:pPr>
        <w:rPr>
          <w:rFonts w:hint="eastAsia" w:hAnsi="宋体" w:cs="宋体"/>
          <w:highlight w:val="none"/>
        </w:rPr>
      </w:pPr>
    </w:p>
    <w:p>
      <w:pPr>
        <w:rPr>
          <w:rFonts w:hint="eastAsia" w:hAnsi="宋体" w:cs="宋体"/>
          <w:highlight w:val="none"/>
        </w:rPr>
      </w:pPr>
    </w:p>
    <w:p>
      <w:pPr>
        <w:rPr>
          <w:rFonts w:hint="eastAsia" w:hAnsi="宋体" w:cs="宋体"/>
          <w:highlight w:val="none"/>
        </w:rPr>
      </w:pPr>
    </w:p>
    <w:p>
      <w:pPr>
        <w:rPr>
          <w:rFonts w:hint="eastAsia" w:hAnsi="宋体" w:cs="宋体"/>
          <w:bCs/>
          <w:sz w:val="44"/>
          <w:highlight w:val="none"/>
        </w:rPr>
      </w:pPr>
    </w:p>
    <w:p>
      <w:pPr>
        <w:rPr>
          <w:rFonts w:hint="eastAsia" w:hAnsi="宋体" w:cs="宋体"/>
          <w:bCs/>
          <w:sz w:val="44"/>
          <w:highlight w:val="none"/>
        </w:rPr>
      </w:pPr>
    </w:p>
    <w:p>
      <w:pPr>
        <w:rPr>
          <w:rFonts w:hint="eastAsia" w:hAnsi="宋体" w:cs="宋体"/>
          <w:bCs/>
          <w:sz w:val="44"/>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p>
      <w:pPr>
        <w:pStyle w:val="7"/>
        <w:rPr>
          <w:rFonts w:hint="eastAsia" w:ascii="宋体" w:hAnsi="宋体" w:cs="宋体"/>
          <w:highlight w:val="none"/>
        </w:rPr>
      </w:pPr>
    </w:p>
    <w:bookmarkEnd w:id="86"/>
    <w:p>
      <w:pPr>
        <w:pStyle w:val="5"/>
        <w:bidi w:val="0"/>
        <w:rPr>
          <w:rFonts w:hint="eastAsia"/>
          <w:sz w:val="32"/>
          <w:szCs w:val="32"/>
          <w:highlight w:val="none"/>
          <w:lang w:val="en-US" w:eastAsia="zh-CN"/>
        </w:rPr>
      </w:pPr>
      <w:bookmarkStart w:id="87" w:name="_Toc363474027"/>
      <w:bookmarkStart w:id="88" w:name="_Toc403077648"/>
      <w:bookmarkStart w:id="89" w:name="_Toc425"/>
      <w:bookmarkStart w:id="90" w:name="_Toc19565"/>
      <w:bookmarkStart w:id="91" w:name="_Toc204524343"/>
      <w:r>
        <w:rPr>
          <w:rFonts w:hint="eastAsia"/>
          <w:sz w:val="32"/>
          <w:szCs w:val="32"/>
          <w:highlight w:val="none"/>
          <w:lang w:val="en-US" w:eastAsia="zh-CN"/>
        </w:rPr>
        <w:t>一、磋商</w:t>
      </w:r>
      <w:bookmarkEnd w:id="87"/>
      <w:bookmarkEnd w:id="88"/>
      <w:r>
        <w:rPr>
          <w:rFonts w:hint="eastAsia"/>
          <w:sz w:val="32"/>
          <w:szCs w:val="32"/>
          <w:highlight w:val="none"/>
          <w:lang w:val="en-US" w:eastAsia="zh-CN"/>
        </w:rPr>
        <w:t>响应函</w:t>
      </w:r>
      <w:bookmarkEnd w:id="89"/>
      <w:bookmarkEnd w:id="90"/>
    </w:p>
    <w:p>
      <w:pPr>
        <w:spacing w:line="360" w:lineRule="auto"/>
        <w:jc w:val="left"/>
        <w:rPr>
          <w:rFonts w:hint="eastAsia" w:hAnsi="宋体" w:cs="宋体"/>
          <w:spacing w:val="4"/>
          <w:szCs w:val="24"/>
          <w:highlight w:val="none"/>
        </w:rPr>
      </w:pPr>
    </w:p>
    <w:p>
      <w:pPr>
        <w:spacing w:line="360" w:lineRule="auto"/>
        <w:jc w:val="left"/>
        <w:rPr>
          <w:rFonts w:hint="eastAsia"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lang w:eastAsia="zh-CN"/>
        </w:rPr>
        <w:t>陕西至诚招标咨询有限公司</w:t>
      </w:r>
      <w:r>
        <w:rPr>
          <w:rFonts w:hint="eastAsia" w:hAnsi="宋体" w:cs="宋体"/>
          <w:spacing w:val="4"/>
          <w:szCs w:val="24"/>
          <w:highlight w:val="none"/>
          <w:u w:val="single"/>
        </w:rPr>
        <w:t xml:space="preserve"> </w:t>
      </w:r>
    </w:p>
    <w:p>
      <w:pPr>
        <w:spacing w:line="360" w:lineRule="auto"/>
        <w:ind w:firstLine="496" w:firstLineChars="200"/>
        <w:rPr>
          <w:rFonts w:hint="eastAsia"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w:t>
      </w:r>
      <w:r>
        <w:rPr>
          <w:rFonts w:hint="eastAsia" w:hAnsi="宋体" w:cs="宋体"/>
          <w:spacing w:val="4"/>
          <w:szCs w:val="24"/>
          <w:highlight w:val="none"/>
          <w:u w:val="single"/>
          <w:lang w:eastAsia="zh-CN"/>
        </w:rPr>
        <w:t>、包号</w:t>
      </w:r>
      <w:r>
        <w:rPr>
          <w:rFonts w:hint="eastAsia" w:hAnsi="宋体" w:cs="宋体"/>
          <w:spacing w:val="4"/>
          <w:szCs w:val="24"/>
          <w:highlight w:val="none"/>
          <w:u w:val="single"/>
        </w:rPr>
        <w:t>：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份。并提交磋商保证金，金额为</w:t>
      </w:r>
      <w:r>
        <w:rPr>
          <w:rFonts w:hint="eastAsia" w:hAnsi="宋体" w:cs="宋体"/>
          <w:spacing w:val="4"/>
          <w:szCs w:val="24"/>
          <w:highlight w:val="none"/>
          <w:u w:val="single"/>
        </w:rPr>
        <w:t xml:space="preserve">            </w:t>
      </w:r>
      <w:r>
        <w:rPr>
          <w:rFonts w:hint="eastAsia" w:hAnsi="宋体" w:cs="宋体"/>
          <w:spacing w:val="4"/>
          <w:szCs w:val="24"/>
          <w:highlight w:val="none"/>
        </w:rPr>
        <w:t>。</w:t>
      </w:r>
    </w:p>
    <w:p>
      <w:pPr>
        <w:spacing w:line="360" w:lineRule="auto"/>
        <w:ind w:left="624" w:leftChars="251" w:hanging="22" w:hangingChars="9"/>
        <w:jc w:val="left"/>
        <w:rPr>
          <w:rFonts w:hint="eastAsia" w:hAnsi="宋体" w:cs="宋体"/>
          <w:spacing w:val="4"/>
          <w:szCs w:val="24"/>
          <w:highlight w:val="none"/>
        </w:rPr>
      </w:pPr>
      <w:r>
        <w:rPr>
          <w:rFonts w:hint="eastAsia" w:hAnsi="宋体" w:cs="宋体"/>
          <w:spacing w:val="4"/>
          <w:szCs w:val="24"/>
          <w:highlight w:val="none"/>
        </w:rPr>
        <w:t>我方承诺如下：</w:t>
      </w:r>
    </w:p>
    <w:p>
      <w:pPr>
        <w:tabs>
          <w:tab w:val="left" w:pos="2160"/>
        </w:tabs>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rPr>
        <w:t>1）磋商报价为</w:t>
      </w:r>
      <w:r>
        <w:rPr>
          <w:rFonts w:hint="eastAsia" w:hAnsi="宋体" w:cs="宋体"/>
          <w:spacing w:val="4"/>
          <w:szCs w:val="24"/>
          <w:highlight w:val="none"/>
          <w:u w:val="single"/>
        </w:rPr>
        <w:t xml:space="preserve">         </w:t>
      </w:r>
      <w:r>
        <w:rPr>
          <w:rFonts w:hint="eastAsia" w:hAnsi="宋体" w:cs="宋体"/>
          <w:spacing w:val="4"/>
          <w:szCs w:val="24"/>
          <w:highlight w:val="none"/>
        </w:rPr>
        <w:t>（人民币）（用文字和数字表示的磋商总价）。</w:t>
      </w:r>
    </w:p>
    <w:p>
      <w:pPr>
        <w:tabs>
          <w:tab w:val="left" w:pos="2160"/>
        </w:tabs>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rPr>
        <w:t>2）如果成交，我们根据竞争性磋商文件的规定，履行合同的责任和义务。</w:t>
      </w:r>
    </w:p>
    <w:p>
      <w:pPr>
        <w:tabs>
          <w:tab w:val="left" w:pos="2160"/>
        </w:tabs>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自磋商之日起90天内</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hAnsi="宋体" w:cs="宋体"/>
          <w:spacing w:val="4"/>
          <w:szCs w:val="24"/>
          <w:highlight w:val="none"/>
        </w:rPr>
      </w:pPr>
      <w:r>
        <w:rPr>
          <w:rFonts w:hint="eastAsia" w:hAnsi="宋体" w:cs="宋体"/>
          <w:spacing w:val="4"/>
          <w:szCs w:val="24"/>
          <w:highlight w:val="none"/>
          <w:lang w:val="en-US" w:eastAsia="zh-CN"/>
        </w:rPr>
        <w:t>7</w:t>
      </w:r>
      <w:r>
        <w:rPr>
          <w:rFonts w:hint="eastAsia" w:hAnsi="宋体" w:cs="宋体"/>
          <w:spacing w:val="4"/>
          <w:szCs w:val="24"/>
          <w:highlight w:val="none"/>
        </w:rPr>
        <w:t>）与本磋商有关的一切正式往来通讯为：</w:t>
      </w:r>
    </w:p>
    <w:p>
      <w:pPr>
        <w:spacing w:line="360" w:lineRule="auto"/>
        <w:ind w:firstLine="1240" w:firstLineChars="500"/>
        <w:jc w:val="left"/>
        <w:rPr>
          <w:rFonts w:hint="eastAsia" w:hAnsi="宋体" w:cs="宋体"/>
          <w:spacing w:val="4"/>
          <w:szCs w:val="24"/>
          <w:highlight w:val="none"/>
        </w:rPr>
      </w:pPr>
      <w:r>
        <w:rPr>
          <w:rFonts w:hint="eastAsia" w:hAnsi="宋体" w:cs="宋体"/>
          <w:spacing w:val="4"/>
          <w:szCs w:val="24"/>
          <w:highlight w:val="none"/>
        </w:rPr>
        <w:t>联系地址：</w:t>
      </w:r>
      <w:r>
        <w:rPr>
          <w:rFonts w:hint="eastAsia" w:hAnsi="宋体" w:cs="宋体"/>
          <w:spacing w:val="4"/>
          <w:szCs w:val="24"/>
          <w:highlight w:val="none"/>
          <w:u w:val="single"/>
        </w:rPr>
        <w:t xml:space="preserve">                          </w:t>
      </w:r>
    </w:p>
    <w:p>
      <w:pPr>
        <w:spacing w:line="360" w:lineRule="auto"/>
        <w:ind w:firstLine="1240" w:firstLineChars="500"/>
        <w:jc w:val="left"/>
        <w:rPr>
          <w:rFonts w:hint="eastAsia" w:hAnsi="宋体" w:cs="宋体"/>
          <w:spacing w:val="4"/>
          <w:szCs w:val="24"/>
          <w:highlight w:val="none"/>
        </w:rPr>
      </w:pPr>
      <w:r>
        <w:rPr>
          <w:rFonts w:hint="eastAsia" w:hAnsi="宋体" w:cs="宋体"/>
          <w:spacing w:val="4"/>
          <w:szCs w:val="24"/>
          <w:highlight w:val="none"/>
        </w:rPr>
        <w:t>邮政编码：</w:t>
      </w:r>
      <w:r>
        <w:rPr>
          <w:rFonts w:hint="eastAsia" w:hAnsi="宋体" w:cs="宋体"/>
          <w:spacing w:val="4"/>
          <w:szCs w:val="24"/>
          <w:highlight w:val="none"/>
          <w:u w:val="single"/>
        </w:rPr>
        <w:t xml:space="preserve">                          </w:t>
      </w:r>
    </w:p>
    <w:p>
      <w:pPr>
        <w:spacing w:line="360" w:lineRule="auto"/>
        <w:ind w:firstLine="1240" w:firstLineChars="500"/>
        <w:jc w:val="left"/>
        <w:rPr>
          <w:rFonts w:hint="eastAsia" w:hAnsi="宋体" w:cs="宋体"/>
          <w:spacing w:val="4"/>
          <w:szCs w:val="24"/>
          <w:highlight w:val="none"/>
        </w:rPr>
      </w:pPr>
      <w:r>
        <w:rPr>
          <w:rFonts w:hint="eastAsia" w:hAnsi="宋体" w:cs="宋体"/>
          <w:spacing w:val="4"/>
          <w:szCs w:val="24"/>
          <w:highlight w:val="none"/>
        </w:rPr>
        <w:t>电    话：</w:t>
      </w:r>
      <w:r>
        <w:rPr>
          <w:rFonts w:hint="eastAsia" w:hAnsi="宋体" w:cs="宋体"/>
          <w:spacing w:val="4"/>
          <w:szCs w:val="24"/>
          <w:highlight w:val="none"/>
          <w:u w:val="single"/>
        </w:rPr>
        <w:t xml:space="preserve">                          </w:t>
      </w:r>
    </w:p>
    <w:p>
      <w:pPr>
        <w:spacing w:line="360" w:lineRule="auto"/>
        <w:ind w:firstLine="1240" w:firstLineChars="500"/>
        <w:jc w:val="left"/>
        <w:rPr>
          <w:rFonts w:hint="eastAsia" w:hAnsi="宋体" w:cs="宋体"/>
          <w:spacing w:val="4"/>
          <w:szCs w:val="24"/>
          <w:highlight w:val="none"/>
        </w:rPr>
      </w:pPr>
      <w:r>
        <w:rPr>
          <w:rFonts w:hint="eastAsia" w:hAnsi="宋体" w:cs="宋体"/>
          <w:spacing w:val="4"/>
          <w:szCs w:val="24"/>
          <w:highlight w:val="none"/>
        </w:rPr>
        <w:t>传    真：</w:t>
      </w:r>
      <w:r>
        <w:rPr>
          <w:rFonts w:hint="eastAsia" w:hAnsi="宋体" w:cs="宋体"/>
          <w:spacing w:val="4"/>
          <w:szCs w:val="24"/>
          <w:highlight w:val="none"/>
          <w:u w:val="single"/>
        </w:rPr>
        <w:t xml:space="preserve">                          </w:t>
      </w:r>
    </w:p>
    <w:p>
      <w:pPr>
        <w:spacing w:line="360" w:lineRule="auto"/>
        <w:ind w:firstLine="1240" w:firstLineChars="500"/>
        <w:jc w:val="left"/>
        <w:rPr>
          <w:rFonts w:hint="eastAsia" w:hAnsi="宋体" w:cs="宋体"/>
          <w:spacing w:val="4"/>
          <w:szCs w:val="24"/>
          <w:highlight w:val="none"/>
        </w:rPr>
      </w:pPr>
      <w:r>
        <w:rPr>
          <w:rFonts w:hint="eastAsia" w:hAnsi="宋体" w:cs="宋体"/>
          <w:spacing w:val="4"/>
          <w:szCs w:val="24"/>
          <w:highlight w:val="none"/>
        </w:rPr>
        <w:t>供应商名称（盖章）：</w:t>
      </w:r>
      <w:r>
        <w:rPr>
          <w:rFonts w:hint="eastAsia" w:hAnsi="宋体" w:cs="宋体"/>
          <w:spacing w:val="4"/>
          <w:szCs w:val="24"/>
          <w:highlight w:val="none"/>
          <w:u w:val="single"/>
        </w:rPr>
        <w:t xml:space="preserve">                          </w:t>
      </w:r>
    </w:p>
    <w:p>
      <w:pPr>
        <w:spacing w:line="360" w:lineRule="auto"/>
        <w:ind w:firstLine="1240" w:firstLineChars="500"/>
        <w:jc w:val="left"/>
        <w:rPr>
          <w:rFonts w:hint="eastAsia" w:hAnsi="宋体" w:cs="宋体"/>
          <w:spacing w:val="4"/>
          <w:szCs w:val="24"/>
          <w:highlight w:val="none"/>
          <w:u w:val="single"/>
        </w:rPr>
      </w:pPr>
      <w:r>
        <w:rPr>
          <w:rFonts w:hint="eastAsia" w:hAnsi="宋体" w:cs="宋体"/>
          <w:spacing w:val="4"/>
          <w:szCs w:val="24"/>
          <w:highlight w:val="none"/>
        </w:rPr>
        <w:t>供应商法定代表人签字或盖章：</w:t>
      </w:r>
      <w:r>
        <w:rPr>
          <w:rFonts w:hint="eastAsia" w:hAnsi="宋体" w:cs="宋体"/>
          <w:spacing w:val="4"/>
          <w:szCs w:val="24"/>
          <w:highlight w:val="none"/>
          <w:u w:val="single"/>
        </w:rPr>
        <w:t xml:space="preserve">                          </w:t>
      </w:r>
    </w:p>
    <w:p>
      <w:pPr>
        <w:spacing w:line="360" w:lineRule="auto"/>
        <w:ind w:firstLine="1240" w:firstLineChars="500"/>
        <w:jc w:val="left"/>
        <w:rPr>
          <w:rFonts w:hint="eastAsia" w:hAnsi="宋体" w:cs="宋体"/>
          <w:spacing w:val="4"/>
          <w:szCs w:val="24"/>
          <w:highlight w:val="none"/>
        </w:rPr>
      </w:pPr>
      <w:r>
        <w:rPr>
          <w:rFonts w:hint="eastAsia" w:hAnsi="宋体" w:cs="宋体"/>
          <w:spacing w:val="4"/>
          <w:szCs w:val="24"/>
          <w:highlight w:val="none"/>
        </w:rPr>
        <w:t>日    期：</w:t>
      </w:r>
      <w:r>
        <w:rPr>
          <w:rFonts w:hint="eastAsia" w:hAnsi="宋体" w:cs="宋体"/>
          <w:spacing w:val="4"/>
          <w:szCs w:val="24"/>
          <w:highlight w:val="none"/>
          <w:u w:val="single"/>
        </w:rPr>
        <w:t xml:space="preserve">                          </w:t>
      </w:r>
    </w:p>
    <w:p>
      <w:pPr>
        <w:pStyle w:val="5"/>
        <w:spacing w:before="312" w:beforeLines="100" w:line="360" w:lineRule="auto"/>
        <w:rPr>
          <w:rFonts w:hint="eastAsia" w:ascii="宋体" w:hAnsi="宋体" w:cs="宋体"/>
          <w:highlight w:val="none"/>
        </w:rPr>
      </w:pPr>
      <w:r>
        <w:rPr>
          <w:rFonts w:hint="eastAsia" w:ascii="宋体" w:hAnsi="宋体" w:cs="宋体"/>
          <w:highlight w:val="none"/>
        </w:rPr>
        <w:br w:type="page"/>
      </w:r>
      <w:bookmarkStart w:id="92" w:name="_Toc403077651"/>
      <w:bookmarkStart w:id="93" w:name="_Toc7320"/>
      <w:bookmarkStart w:id="94" w:name="_Toc363474030"/>
      <w:bookmarkStart w:id="95" w:name="_Toc31010"/>
      <w:r>
        <w:rPr>
          <w:rFonts w:hint="eastAsia" w:ascii="宋体" w:hAnsi="宋体" w:cs="宋体"/>
          <w:sz w:val="32"/>
          <w:szCs w:val="32"/>
          <w:highlight w:val="none"/>
          <w:lang w:eastAsia="zh-CN"/>
        </w:rPr>
        <w:t>二</w:t>
      </w:r>
      <w:r>
        <w:rPr>
          <w:rFonts w:hint="eastAsia" w:ascii="宋体" w:hAnsi="宋体" w:cs="宋体"/>
          <w:sz w:val="32"/>
          <w:szCs w:val="32"/>
          <w:highlight w:val="none"/>
        </w:rPr>
        <w:t>、磋商报价表</w:t>
      </w:r>
      <w:bookmarkEnd w:id="92"/>
      <w:bookmarkEnd w:id="93"/>
      <w:bookmarkEnd w:id="94"/>
      <w:bookmarkEnd w:id="95"/>
    </w:p>
    <w:p>
      <w:pPr>
        <w:jc w:val="center"/>
        <w:rPr>
          <w:rFonts w:hint="eastAsia" w:hAnsi="宋体" w:cs="宋体"/>
          <w:szCs w:val="24"/>
          <w:highlight w:val="none"/>
        </w:rPr>
      </w:pPr>
    </w:p>
    <w:p>
      <w:pPr>
        <w:spacing w:line="440" w:lineRule="exact"/>
        <w:jc w:val="center"/>
        <w:rPr>
          <w:rFonts w:hint="eastAsia" w:hAnsi="宋体" w:cs="宋体"/>
          <w:b/>
          <w:sz w:val="30"/>
          <w:szCs w:val="30"/>
          <w:highlight w:val="none"/>
        </w:rPr>
      </w:pPr>
      <w:r>
        <w:rPr>
          <w:rFonts w:hint="eastAsia" w:hAnsi="宋体" w:cs="宋体"/>
          <w:b/>
          <w:sz w:val="30"/>
          <w:szCs w:val="30"/>
          <w:highlight w:val="none"/>
          <w:lang w:val="en-US" w:eastAsia="zh-CN"/>
        </w:rPr>
        <w:t>2</w:t>
      </w:r>
      <w:r>
        <w:rPr>
          <w:rFonts w:hint="eastAsia" w:hAnsi="宋体" w:cs="宋体"/>
          <w:b/>
          <w:sz w:val="30"/>
          <w:szCs w:val="30"/>
          <w:highlight w:val="none"/>
        </w:rPr>
        <w:t>.1报价一览表</w:t>
      </w:r>
    </w:p>
    <w:p>
      <w:pPr>
        <w:spacing w:line="360" w:lineRule="auto"/>
        <w:ind w:firstLine="240" w:firstLineChars="100"/>
        <w:jc w:val="left"/>
        <w:rPr>
          <w:rFonts w:hint="eastAsia" w:hAnsi="宋体" w:cs="宋体"/>
          <w:highlight w:val="none"/>
        </w:rPr>
      </w:pPr>
      <w:r>
        <w:rPr>
          <w:rFonts w:hint="eastAsia" w:hAnsi="宋体" w:cs="宋体"/>
          <w:highlight w:val="none"/>
        </w:rPr>
        <w:t>项目名称：</w:t>
      </w:r>
    </w:p>
    <w:p>
      <w:pPr>
        <w:spacing w:line="360" w:lineRule="auto"/>
        <w:ind w:firstLine="240" w:firstLineChars="100"/>
        <w:jc w:val="left"/>
        <w:rPr>
          <w:rFonts w:hint="eastAsia" w:hAnsi="宋体" w:cs="宋体"/>
          <w:highlight w:val="none"/>
        </w:rPr>
      </w:pPr>
      <w:r>
        <w:rPr>
          <w:rFonts w:hint="eastAsia" w:hAnsi="宋体" w:cs="宋体"/>
          <w:highlight w:val="none"/>
        </w:rPr>
        <w:t>项目编号</w:t>
      </w:r>
      <w:r>
        <w:rPr>
          <w:rFonts w:hint="eastAsia" w:hAnsi="宋体" w:cs="宋体"/>
          <w:highlight w:val="none"/>
          <w:lang w:eastAsia="zh-CN"/>
        </w:rPr>
        <w:t>、包号</w:t>
      </w:r>
      <w:r>
        <w:rPr>
          <w:rFonts w:hint="eastAsia" w:hAnsi="宋体" w:cs="宋体"/>
          <w:highlight w:val="none"/>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9"/>
        <w:gridCol w:w="5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Merge w:val="restart"/>
            <w:noWrap w:val="0"/>
            <w:vAlign w:val="center"/>
          </w:tcPr>
          <w:p>
            <w:pPr>
              <w:jc w:val="center"/>
              <w:rPr>
                <w:szCs w:val="24"/>
                <w:highlight w:val="none"/>
              </w:rPr>
            </w:pPr>
            <w:r>
              <w:rPr>
                <w:rFonts w:hint="eastAsia" w:hAnsi="宋体" w:cs="宋体"/>
                <w:szCs w:val="24"/>
                <w:highlight w:val="none"/>
              </w:rPr>
              <w:t>磋商总报价（元）</w:t>
            </w:r>
          </w:p>
        </w:tc>
        <w:tc>
          <w:tcPr>
            <w:tcW w:w="5881" w:type="dxa"/>
            <w:noWrap w:val="0"/>
            <w:vAlign w:val="center"/>
          </w:tcPr>
          <w:p>
            <w:pPr>
              <w:rPr>
                <w:szCs w:val="24"/>
                <w:highlight w:val="none"/>
              </w:rPr>
            </w:pPr>
            <w:r>
              <w:rPr>
                <w:rFonts w:hint="eastAsia" w:hAnsi="宋体" w:cs="宋体"/>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vMerge w:val="continue"/>
            <w:noWrap w:val="0"/>
            <w:vAlign w:val="center"/>
          </w:tcPr>
          <w:p>
            <w:pPr>
              <w:rPr>
                <w:highlight w:val="none"/>
              </w:rPr>
            </w:pPr>
          </w:p>
        </w:tc>
        <w:tc>
          <w:tcPr>
            <w:tcW w:w="5881" w:type="dxa"/>
            <w:noWrap w:val="0"/>
            <w:vAlign w:val="center"/>
          </w:tcPr>
          <w:p>
            <w:pPr>
              <w:rPr>
                <w:szCs w:val="24"/>
                <w:highlight w:val="none"/>
              </w:rPr>
            </w:pPr>
            <w:r>
              <w:rPr>
                <w:rFonts w:hint="eastAsia" w:hAnsi="宋体" w:cs="宋体"/>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noWrap w:val="0"/>
            <w:vAlign w:val="center"/>
          </w:tcPr>
          <w:p>
            <w:pPr>
              <w:jc w:val="center"/>
              <w:rPr>
                <w:rFonts w:hint="eastAsia" w:hAnsi="宋体" w:cs="宋体"/>
                <w:szCs w:val="24"/>
                <w:highlight w:val="none"/>
              </w:rPr>
            </w:pPr>
            <w:r>
              <w:rPr>
                <w:rFonts w:hint="eastAsia" w:hAnsi="宋体" w:cs="宋体"/>
                <w:szCs w:val="24"/>
                <w:highlight w:val="none"/>
              </w:rPr>
              <w:t>质量标准</w:t>
            </w:r>
          </w:p>
        </w:tc>
        <w:tc>
          <w:tcPr>
            <w:tcW w:w="5881" w:type="dxa"/>
            <w:noWrap w:val="0"/>
            <w:vAlign w:val="center"/>
          </w:tcPr>
          <w:p>
            <w:pPr>
              <w:rPr>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noWrap w:val="0"/>
            <w:vAlign w:val="center"/>
          </w:tcPr>
          <w:p>
            <w:pPr>
              <w:jc w:val="center"/>
              <w:rPr>
                <w:rFonts w:hint="eastAsia" w:hAnsi="宋体" w:eastAsia="宋体" w:cs="宋体"/>
                <w:szCs w:val="24"/>
                <w:highlight w:val="none"/>
                <w:lang w:eastAsia="zh-CN"/>
              </w:rPr>
            </w:pPr>
            <w:r>
              <w:rPr>
                <w:rFonts w:hint="eastAsia"/>
                <w:szCs w:val="22"/>
                <w:highlight w:val="none"/>
                <w:lang w:eastAsia="zh-CN"/>
              </w:rPr>
              <w:t>工期</w:t>
            </w:r>
          </w:p>
        </w:tc>
        <w:tc>
          <w:tcPr>
            <w:tcW w:w="5881" w:type="dxa"/>
            <w:noWrap w:val="0"/>
            <w:vAlign w:val="center"/>
          </w:tcPr>
          <w:p>
            <w:pPr>
              <w:rPr>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759" w:type="dxa"/>
            <w:noWrap w:val="0"/>
            <w:vAlign w:val="center"/>
          </w:tcPr>
          <w:p>
            <w:pPr>
              <w:jc w:val="center"/>
              <w:rPr>
                <w:szCs w:val="24"/>
                <w:highlight w:val="none"/>
              </w:rPr>
            </w:pPr>
            <w:r>
              <w:rPr>
                <w:rFonts w:hint="eastAsia" w:hAnsi="宋体" w:cs="宋体"/>
                <w:szCs w:val="24"/>
                <w:highlight w:val="none"/>
              </w:rPr>
              <w:t>备注</w:t>
            </w:r>
          </w:p>
        </w:tc>
        <w:tc>
          <w:tcPr>
            <w:tcW w:w="5881" w:type="dxa"/>
            <w:noWrap w:val="0"/>
            <w:vAlign w:val="center"/>
          </w:tcPr>
          <w:p>
            <w:pPr>
              <w:rPr>
                <w:szCs w:val="24"/>
                <w:highlight w:val="none"/>
              </w:rPr>
            </w:pPr>
          </w:p>
        </w:tc>
      </w:tr>
    </w:tbl>
    <w:p>
      <w:pPr>
        <w:spacing w:line="120" w:lineRule="exact"/>
        <w:rPr>
          <w:rFonts w:hint="eastAsia" w:hAnsi="宋体" w:cs="宋体"/>
          <w:highlight w:val="none"/>
        </w:rPr>
      </w:pPr>
    </w:p>
    <w:p>
      <w:pPr>
        <w:spacing w:line="360" w:lineRule="auto"/>
        <w:rPr>
          <w:rFonts w:hint="eastAsia" w:hAnsi="宋体" w:cs="宋体"/>
          <w:highlight w:val="none"/>
        </w:rPr>
      </w:pPr>
      <w:r>
        <w:rPr>
          <w:rFonts w:hint="eastAsia" w:hAnsi="宋体" w:cs="宋体"/>
          <w:highlight w:val="none"/>
        </w:rPr>
        <w:t>注：本表应按“供应商须知”的规定密封单独提交。若有折扣声明，请与本表一并装订和密封。严格按照表格格式报价。</w:t>
      </w:r>
    </w:p>
    <w:p>
      <w:pPr>
        <w:spacing w:line="360" w:lineRule="auto"/>
        <w:rPr>
          <w:rFonts w:hint="eastAsia" w:hAnsi="宋体" w:cs="宋体"/>
          <w:highlight w:val="none"/>
        </w:rPr>
      </w:pPr>
    </w:p>
    <w:p>
      <w:pPr>
        <w:spacing w:line="480" w:lineRule="auto"/>
        <w:ind w:right="617" w:rightChars="257"/>
        <w:jc w:val="left"/>
        <w:rPr>
          <w:rFonts w:hint="eastAsia" w:hAnsi="宋体" w:cs="宋体"/>
          <w:highlight w:val="none"/>
        </w:rPr>
      </w:pPr>
    </w:p>
    <w:p>
      <w:pPr>
        <w:spacing w:line="480" w:lineRule="auto"/>
        <w:ind w:right="617" w:rightChars="257"/>
        <w:jc w:val="left"/>
        <w:rPr>
          <w:rFonts w:hint="eastAsia" w:hAnsi="宋体" w:cs="宋体"/>
          <w:highlight w:val="none"/>
        </w:rPr>
      </w:pPr>
      <w:r>
        <w:rPr>
          <w:rFonts w:hint="eastAsia" w:hAnsi="宋体" w:cs="宋体"/>
          <w:highlight w:val="none"/>
        </w:rPr>
        <w:t>磋商响应单位名称：</w:t>
      </w:r>
      <w:r>
        <w:rPr>
          <w:rFonts w:hint="eastAsia" w:hAnsi="宋体" w:cs="宋体"/>
          <w:highlight w:val="none"/>
          <w:u w:val="single"/>
        </w:rPr>
        <w:t xml:space="preserve">      （加盖单位公章）      </w:t>
      </w:r>
    </w:p>
    <w:p>
      <w:pPr>
        <w:spacing w:line="480" w:lineRule="auto"/>
        <w:ind w:right="617" w:rightChars="257"/>
        <w:jc w:val="left"/>
        <w:rPr>
          <w:rFonts w:hint="eastAsia" w:hAnsi="宋体" w:cs="宋体"/>
          <w:highlight w:val="none"/>
        </w:rPr>
      </w:pPr>
      <w:r>
        <w:rPr>
          <w:rFonts w:hint="eastAsia" w:hAnsi="宋体" w:cs="宋体"/>
          <w:highlight w:val="none"/>
        </w:rPr>
        <w:t>法定代表人/被授权人签字</w:t>
      </w:r>
      <w:r>
        <w:rPr>
          <w:rFonts w:hint="eastAsia" w:hAnsi="宋体" w:cs="宋体"/>
          <w:highlight w:val="none"/>
          <w:lang w:eastAsia="zh-CN"/>
        </w:rPr>
        <w:t>或盖章</w:t>
      </w:r>
      <w:r>
        <w:rPr>
          <w:rFonts w:hint="eastAsia" w:hAnsi="宋体" w:cs="宋体"/>
          <w:highlight w:val="none"/>
        </w:rPr>
        <w:t>：</w:t>
      </w:r>
      <w:r>
        <w:rPr>
          <w:rFonts w:hint="eastAsia" w:hAnsi="宋体" w:cs="宋体"/>
          <w:spacing w:val="4"/>
          <w:szCs w:val="24"/>
          <w:highlight w:val="none"/>
          <w:u w:val="single"/>
        </w:rPr>
        <w:t xml:space="preserve">                          </w:t>
      </w:r>
    </w:p>
    <w:p>
      <w:pPr>
        <w:spacing w:line="480" w:lineRule="auto"/>
        <w:ind w:right="617" w:rightChars="257"/>
        <w:jc w:val="left"/>
        <w:rPr>
          <w:rFonts w:hint="eastAsia" w:hAnsi="宋体" w:cs="宋体"/>
          <w:highlight w:val="none"/>
        </w:rPr>
        <w:sectPr>
          <w:headerReference r:id="rId14" w:type="default"/>
          <w:footerReference r:id="rId16" w:type="default"/>
          <w:headerReference r:id="rId15" w:type="even"/>
          <w:footerReference r:id="rId17" w:type="even"/>
          <w:pgSz w:w="11906" w:h="16838"/>
          <w:pgMar w:top="1417" w:right="1417" w:bottom="1417" w:left="1701" w:header="851" w:footer="992" w:gutter="0"/>
          <w:pgNumType w:fmt="decimal"/>
          <w:cols w:space="720" w:num="1"/>
          <w:docGrid w:type="lines" w:linePitch="312" w:charSpace="0"/>
        </w:sectPr>
      </w:pPr>
      <w:r>
        <w:rPr>
          <w:rFonts w:hint="eastAsia" w:hAnsi="宋体" w:cs="宋体"/>
          <w:highlight w:val="none"/>
        </w:rPr>
        <w:t>日期：</w:t>
      </w:r>
      <w:r>
        <w:rPr>
          <w:rFonts w:hint="eastAsia" w:hAnsi="宋体" w:cs="宋体"/>
          <w:spacing w:val="4"/>
          <w:szCs w:val="24"/>
          <w:highlight w:val="none"/>
          <w:u w:val="single"/>
        </w:rPr>
        <w:t xml:space="preserve">                        </w:t>
      </w:r>
    </w:p>
    <w:p>
      <w:pPr>
        <w:jc w:val="center"/>
        <w:rPr>
          <w:sz w:val="24"/>
          <w:highlight w:val="none"/>
        </w:rPr>
      </w:pPr>
      <w:bookmarkStart w:id="96" w:name="_Toc363474031"/>
      <w:bookmarkStart w:id="97" w:name="_Toc432524297"/>
      <w:r>
        <w:rPr>
          <w:rFonts w:hint="eastAsia"/>
          <w:b/>
          <w:sz w:val="30"/>
          <w:szCs w:val="30"/>
          <w:highlight w:val="none"/>
        </w:rPr>
        <w:t>2</w:t>
      </w:r>
      <w:r>
        <w:rPr>
          <w:b/>
          <w:sz w:val="30"/>
          <w:szCs w:val="30"/>
          <w:highlight w:val="none"/>
        </w:rPr>
        <w:t>.2</w:t>
      </w:r>
      <w:r>
        <w:rPr>
          <w:rFonts w:hint="eastAsia"/>
          <w:b/>
          <w:sz w:val="30"/>
          <w:szCs w:val="30"/>
          <w:highlight w:val="none"/>
          <w:lang w:eastAsia="zh-CN"/>
        </w:rPr>
        <w:t>分项报价表</w:t>
      </w:r>
    </w:p>
    <w:p>
      <w:pPr>
        <w:spacing w:line="360" w:lineRule="auto"/>
        <w:ind w:firstLine="240" w:firstLineChars="100"/>
        <w:jc w:val="left"/>
        <w:rPr>
          <w:rFonts w:hint="eastAsia" w:ascii="宋体" w:hAnsi="宋体" w:eastAsia="宋体" w:cs="宋体"/>
          <w:highlight w:val="none"/>
        </w:rPr>
      </w:pPr>
      <w:r>
        <w:rPr>
          <w:rFonts w:hint="eastAsia" w:ascii="宋体" w:hAnsi="宋体" w:eastAsia="宋体" w:cs="宋体"/>
          <w:highlight w:val="none"/>
        </w:rPr>
        <w:t>项目名称：</w:t>
      </w:r>
    </w:p>
    <w:p>
      <w:pPr>
        <w:spacing w:line="360" w:lineRule="auto"/>
        <w:ind w:firstLine="240" w:firstLineChars="100"/>
        <w:jc w:val="left"/>
        <w:rPr>
          <w:rFonts w:hint="eastAsia" w:ascii="宋体" w:hAnsi="宋体" w:eastAsia="宋体" w:cs="宋体"/>
          <w:highlight w:val="none"/>
          <w:lang w:val="en-US" w:eastAsia="zh-CN"/>
        </w:rPr>
      </w:pPr>
      <w:r>
        <w:rPr>
          <w:rFonts w:hint="eastAsia" w:ascii="宋体" w:hAnsi="宋体" w:eastAsia="宋体" w:cs="宋体"/>
          <w:highlight w:val="none"/>
        </w:rPr>
        <w:t>项目编号：</w:t>
      </w:r>
    </w:p>
    <w:p>
      <w:pPr>
        <w:rPr>
          <w:rFonts w:hint="eastAsia" w:ascii="宋体" w:hAnsi="宋体" w:eastAsia="宋体" w:cs="宋体"/>
        </w:rPr>
      </w:pPr>
    </w:p>
    <w:tbl>
      <w:tblPr>
        <w:tblStyle w:val="19"/>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1896"/>
        <w:gridCol w:w="2279"/>
        <w:gridCol w:w="2072"/>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2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54"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c>
          <w:tcPr>
            <w:tcW w:w="1267"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数量（亩）</w:t>
            </w:r>
          </w:p>
        </w:tc>
        <w:tc>
          <w:tcPr>
            <w:tcW w:w="1152"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1100" w:type="pc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2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抚育作业用工费</w:t>
            </w:r>
          </w:p>
        </w:tc>
        <w:tc>
          <w:tcPr>
            <w:tcW w:w="12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15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100" w:type="pc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2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2</w:t>
            </w:r>
          </w:p>
        </w:tc>
        <w:tc>
          <w:tcPr>
            <w:tcW w:w="105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工具、材料费</w:t>
            </w:r>
          </w:p>
        </w:tc>
        <w:tc>
          <w:tcPr>
            <w:tcW w:w="12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15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100" w:type="pc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2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3</w:t>
            </w:r>
          </w:p>
        </w:tc>
        <w:tc>
          <w:tcPr>
            <w:tcW w:w="105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补植苗木费</w:t>
            </w:r>
          </w:p>
        </w:tc>
        <w:tc>
          <w:tcPr>
            <w:tcW w:w="12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15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100" w:type="pc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25" w:type="pc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hAnsi="宋体" w:cs="宋体"/>
                <w:i w:val="0"/>
                <w:iCs w:val="0"/>
                <w:color w:val="000000"/>
                <w:kern w:val="0"/>
                <w:sz w:val="24"/>
                <w:szCs w:val="24"/>
                <w:u w:val="none"/>
                <w:lang w:val="en-US" w:eastAsia="zh-CN" w:bidi="ar"/>
              </w:rPr>
              <w:t>4</w:t>
            </w:r>
          </w:p>
        </w:tc>
        <w:tc>
          <w:tcPr>
            <w:tcW w:w="105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管理费</w:t>
            </w:r>
          </w:p>
        </w:tc>
        <w:tc>
          <w:tcPr>
            <w:tcW w:w="126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15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100" w:type="pct"/>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479" w:type="pct"/>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520" w:type="pct"/>
            <w:gridSpan w:val="3"/>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ascii="宋体" w:hAnsi="宋体" w:eastAsia="宋体" w:cs="宋体"/>
          <w:b/>
          <w:sz w:val="28"/>
          <w:szCs w:val="28"/>
          <w:highlight w:val="none"/>
          <w:lang w:eastAsia="zh-CN"/>
        </w:rPr>
      </w:pPr>
      <w:r>
        <w:rPr>
          <w:rFonts w:hint="eastAsia" w:hAnsi="宋体" w:cs="宋体"/>
          <w:b/>
          <w:sz w:val="28"/>
          <w:szCs w:val="28"/>
          <w:highlight w:val="none"/>
          <w:lang w:eastAsia="zh-CN"/>
        </w:rPr>
        <w:t>备注：供应商可根据项目实际情况自行调整表格</w:t>
      </w:r>
    </w:p>
    <w:p>
      <w:pPr>
        <w:pStyle w:val="2"/>
        <w:rPr>
          <w:rFonts w:hint="eastAsia"/>
        </w:rPr>
      </w:pPr>
    </w:p>
    <w:p>
      <w:pPr>
        <w:pStyle w:val="2"/>
        <w:rPr>
          <w:rFonts w:hint="eastAsia"/>
        </w:rPr>
      </w:pPr>
    </w:p>
    <w:p>
      <w:pPr>
        <w:pStyle w:val="5"/>
        <w:tabs>
          <w:tab w:val="left" w:pos="4860"/>
        </w:tabs>
        <w:spacing w:before="0" w:beforeLines="0" w:after="156" w:afterLines="50"/>
        <w:rPr>
          <w:rFonts w:hint="eastAsia" w:ascii="宋体" w:hAnsi="宋体" w:eastAsia="宋体" w:cs="宋体"/>
          <w:sz w:val="32"/>
          <w:szCs w:val="32"/>
          <w:highlight w:val="none"/>
          <w:lang w:eastAsia="zh-CN"/>
        </w:rPr>
      </w:pPr>
      <w:r>
        <w:rPr>
          <w:rFonts w:hint="eastAsia" w:ascii="宋体" w:hAnsi="宋体" w:cs="宋体"/>
          <w:sz w:val="32"/>
          <w:szCs w:val="32"/>
          <w:highlight w:val="none"/>
        </w:rPr>
        <w:br w:type="page"/>
      </w:r>
      <w:bookmarkStart w:id="98" w:name="_Toc32713"/>
      <w:bookmarkStart w:id="99" w:name="_Toc15701"/>
      <w:r>
        <w:rPr>
          <w:rFonts w:hint="eastAsia"/>
          <w:b/>
          <w:bCs/>
          <w:sz w:val="30"/>
          <w:szCs w:val="30"/>
          <w:highlight w:val="none"/>
        </w:rPr>
        <w:t>三、</w:t>
      </w:r>
      <w:r>
        <w:rPr>
          <w:rFonts w:hint="eastAsia" w:ascii="宋体" w:hAnsi="宋体" w:eastAsia="宋体" w:cs="宋体"/>
          <w:sz w:val="32"/>
          <w:szCs w:val="32"/>
          <w:highlight w:val="none"/>
        </w:rPr>
        <w:t>商务响应</w:t>
      </w:r>
      <w:r>
        <w:rPr>
          <w:rFonts w:hint="eastAsia" w:ascii="宋体" w:hAnsi="宋体" w:eastAsia="宋体" w:cs="宋体"/>
          <w:sz w:val="32"/>
          <w:szCs w:val="32"/>
          <w:highlight w:val="none"/>
          <w:lang w:eastAsia="zh-CN"/>
        </w:rPr>
        <w:t>表</w:t>
      </w:r>
      <w:bookmarkEnd w:id="98"/>
      <w:bookmarkEnd w:id="99"/>
    </w:p>
    <w:p>
      <w:pPr>
        <w:spacing w:after="120" w:line="276" w:lineRule="auto"/>
        <w:rPr>
          <w:rFonts w:hint="eastAsia" w:hAnsi="宋体" w:eastAsia="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w:t>
      </w:r>
    </w:p>
    <w:p>
      <w:pPr>
        <w:spacing w:after="120" w:line="276" w:lineRule="auto"/>
        <w:rPr>
          <w:rFonts w:hint="eastAsia" w:hAnsi="宋体" w:cs="宋体"/>
          <w:szCs w:val="24"/>
          <w:highlight w:val="none"/>
        </w:rPr>
      </w:pPr>
      <w:r>
        <w:rPr>
          <w:rFonts w:hint="eastAsia" w:hAnsi="宋体" w:cs="宋体"/>
          <w:szCs w:val="24"/>
          <w:highlight w:val="none"/>
        </w:rPr>
        <w:t>项目编号</w:t>
      </w:r>
      <w:r>
        <w:rPr>
          <w:rFonts w:hint="eastAsia" w:hAnsi="宋体" w:cs="宋体"/>
          <w:szCs w:val="24"/>
          <w:highlight w:val="none"/>
          <w:lang w:eastAsia="zh-CN"/>
        </w:rPr>
        <w:t>、包号</w:t>
      </w:r>
      <w:r>
        <w:rPr>
          <w:rFonts w:hint="eastAsia" w:hAnsi="宋体" w:cs="宋体"/>
          <w:szCs w:val="24"/>
          <w:highlight w:val="none"/>
        </w:rPr>
        <w:t>：</w:t>
      </w:r>
    </w:p>
    <w:tbl>
      <w:tblPr>
        <w:tblStyle w:val="1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名称</w:t>
            </w:r>
          </w:p>
        </w:tc>
        <w:tc>
          <w:tcPr>
            <w:tcW w:w="1995"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磋商文件商务要求</w:t>
            </w:r>
          </w:p>
        </w:tc>
        <w:tc>
          <w:tcPr>
            <w:tcW w:w="2688"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磋商响应文件商务响应</w:t>
            </w:r>
          </w:p>
        </w:tc>
        <w:tc>
          <w:tcPr>
            <w:tcW w:w="1212"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偏离</w:t>
            </w:r>
          </w:p>
        </w:tc>
        <w:tc>
          <w:tcPr>
            <w:tcW w:w="1007" w:type="dxa"/>
            <w:noWrap w:val="0"/>
            <w:vAlign w:val="center"/>
          </w:tcPr>
          <w:p>
            <w:pPr>
              <w:spacing w:line="360" w:lineRule="auto"/>
              <w:jc w:val="center"/>
              <w:rPr>
                <w:rFonts w:hint="eastAsia" w:hAnsi="宋体" w:cs="宋体"/>
                <w:szCs w:val="24"/>
                <w:highlight w:val="none"/>
              </w:rPr>
            </w:pPr>
            <w:r>
              <w:rPr>
                <w:rFonts w:hint="eastAsia" w:hAnsi="宋体" w:cs="宋体"/>
                <w:szCs w:val="24"/>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360" w:lineRule="auto"/>
              <w:jc w:val="center"/>
              <w:rPr>
                <w:rFonts w:hint="eastAsia" w:hAnsi="宋体" w:cs="宋体"/>
                <w:szCs w:val="24"/>
                <w:highlight w:val="none"/>
              </w:rPr>
            </w:pPr>
          </w:p>
        </w:tc>
        <w:tc>
          <w:tcPr>
            <w:tcW w:w="1995" w:type="dxa"/>
            <w:noWrap w:val="0"/>
            <w:vAlign w:val="top"/>
          </w:tcPr>
          <w:p>
            <w:pPr>
              <w:spacing w:line="360" w:lineRule="auto"/>
              <w:jc w:val="center"/>
              <w:rPr>
                <w:rFonts w:hint="eastAsia" w:hAnsi="宋体" w:cs="宋体"/>
                <w:szCs w:val="24"/>
                <w:highlight w:val="none"/>
              </w:rPr>
            </w:pPr>
          </w:p>
        </w:tc>
        <w:tc>
          <w:tcPr>
            <w:tcW w:w="2688" w:type="dxa"/>
            <w:noWrap w:val="0"/>
            <w:vAlign w:val="top"/>
          </w:tcPr>
          <w:p>
            <w:pPr>
              <w:spacing w:line="360" w:lineRule="auto"/>
              <w:jc w:val="center"/>
              <w:rPr>
                <w:rFonts w:hint="eastAsia" w:hAnsi="宋体" w:cs="宋体"/>
                <w:szCs w:val="24"/>
                <w:highlight w:val="none"/>
              </w:rPr>
            </w:pPr>
          </w:p>
        </w:tc>
        <w:tc>
          <w:tcPr>
            <w:tcW w:w="1212" w:type="dxa"/>
            <w:noWrap w:val="0"/>
            <w:vAlign w:val="top"/>
          </w:tcPr>
          <w:p>
            <w:pPr>
              <w:spacing w:line="360" w:lineRule="auto"/>
              <w:jc w:val="center"/>
              <w:rPr>
                <w:rFonts w:hint="eastAsia" w:hAnsi="宋体" w:cs="宋体"/>
                <w:szCs w:val="24"/>
                <w:highlight w:val="none"/>
              </w:rPr>
            </w:pPr>
          </w:p>
        </w:tc>
        <w:tc>
          <w:tcPr>
            <w:tcW w:w="1007" w:type="dxa"/>
            <w:noWrap w:val="0"/>
            <w:vAlign w:val="top"/>
          </w:tcPr>
          <w:p>
            <w:pPr>
              <w:spacing w:line="360" w:lineRule="auto"/>
              <w:jc w:val="center"/>
              <w:rPr>
                <w:rFonts w:hint="eastAsia" w:hAnsi="宋体" w:cs="宋体"/>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360" w:lineRule="auto"/>
              <w:jc w:val="center"/>
              <w:rPr>
                <w:rFonts w:hint="eastAsia" w:hAnsi="宋体" w:cs="宋体"/>
                <w:szCs w:val="24"/>
                <w:highlight w:val="none"/>
              </w:rPr>
            </w:pPr>
          </w:p>
        </w:tc>
        <w:tc>
          <w:tcPr>
            <w:tcW w:w="1995" w:type="dxa"/>
            <w:noWrap w:val="0"/>
            <w:vAlign w:val="top"/>
          </w:tcPr>
          <w:p>
            <w:pPr>
              <w:spacing w:line="360" w:lineRule="auto"/>
              <w:jc w:val="center"/>
              <w:rPr>
                <w:rFonts w:hint="eastAsia" w:hAnsi="宋体" w:cs="宋体"/>
                <w:szCs w:val="24"/>
                <w:highlight w:val="none"/>
              </w:rPr>
            </w:pPr>
          </w:p>
        </w:tc>
        <w:tc>
          <w:tcPr>
            <w:tcW w:w="2688" w:type="dxa"/>
            <w:noWrap w:val="0"/>
            <w:vAlign w:val="top"/>
          </w:tcPr>
          <w:p>
            <w:pPr>
              <w:spacing w:line="360" w:lineRule="auto"/>
              <w:jc w:val="center"/>
              <w:rPr>
                <w:rFonts w:hint="eastAsia" w:hAnsi="宋体" w:cs="宋体"/>
                <w:szCs w:val="24"/>
                <w:highlight w:val="none"/>
              </w:rPr>
            </w:pPr>
          </w:p>
        </w:tc>
        <w:tc>
          <w:tcPr>
            <w:tcW w:w="1212" w:type="dxa"/>
            <w:noWrap w:val="0"/>
            <w:vAlign w:val="top"/>
          </w:tcPr>
          <w:p>
            <w:pPr>
              <w:spacing w:line="360" w:lineRule="auto"/>
              <w:jc w:val="center"/>
              <w:rPr>
                <w:rFonts w:hint="eastAsia" w:hAnsi="宋体" w:cs="宋体"/>
                <w:szCs w:val="24"/>
                <w:highlight w:val="none"/>
              </w:rPr>
            </w:pPr>
          </w:p>
        </w:tc>
        <w:tc>
          <w:tcPr>
            <w:tcW w:w="1007" w:type="dxa"/>
            <w:noWrap w:val="0"/>
            <w:vAlign w:val="top"/>
          </w:tcPr>
          <w:p>
            <w:pPr>
              <w:spacing w:line="360" w:lineRule="auto"/>
              <w:jc w:val="center"/>
              <w:rPr>
                <w:rFonts w:hint="eastAsia" w:hAnsi="宋体" w:cs="宋体"/>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360" w:lineRule="auto"/>
              <w:jc w:val="center"/>
              <w:rPr>
                <w:rFonts w:hint="eastAsia" w:hAnsi="宋体" w:cs="宋体"/>
                <w:szCs w:val="24"/>
                <w:highlight w:val="none"/>
              </w:rPr>
            </w:pPr>
            <w:r>
              <w:rPr>
                <w:rFonts w:hint="eastAsia" w:hAnsi="宋体" w:cs="宋体"/>
                <w:szCs w:val="24"/>
                <w:highlight w:val="none"/>
              </w:rPr>
              <w:t>...</w:t>
            </w:r>
          </w:p>
        </w:tc>
        <w:tc>
          <w:tcPr>
            <w:tcW w:w="1995" w:type="dxa"/>
            <w:noWrap w:val="0"/>
            <w:vAlign w:val="top"/>
          </w:tcPr>
          <w:p>
            <w:pPr>
              <w:spacing w:line="360" w:lineRule="auto"/>
              <w:jc w:val="center"/>
              <w:rPr>
                <w:rFonts w:hint="eastAsia" w:hAnsi="宋体" w:cs="宋体"/>
                <w:szCs w:val="24"/>
                <w:highlight w:val="none"/>
              </w:rPr>
            </w:pPr>
          </w:p>
        </w:tc>
        <w:tc>
          <w:tcPr>
            <w:tcW w:w="2688" w:type="dxa"/>
            <w:noWrap w:val="0"/>
            <w:vAlign w:val="top"/>
          </w:tcPr>
          <w:p>
            <w:pPr>
              <w:spacing w:line="360" w:lineRule="auto"/>
              <w:jc w:val="center"/>
              <w:rPr>
                <w:rFonts w:hint="eastAsia" w:hAnsi="宋体" w:cs="宋体"/>
                <w:szCs w:val="24"/>
                <w:highlight w:val="none"/>
              </w:rPr>
            </w:pPr>
          </w:p>
        </w:tc>
        <w:tc>
          <w:tcPr>
            <w:tcW w:w="1212" w:type="dxa"/>
            <w:noWrap w:val="0"/>
            <w:vAlign w:val="top"/>
          </w:tcPr>
          <w:p>
            <w:pPr>
              <w:spacing w:line="360" w:lineRule="auto"/>
              <w:jc w:val="center"/>
              <w:rPr>
                <w:rFonts w:hint="eastAsia" w:hAnsi="宋体" w:cs="宋体"/>
                <w:szCs w:val="24"/>
                <w:highlight w:val="none"/>
              </w:rPr>
            </w:pPr>
          </w:p>
        </w:tc>
        <w:tc>
          <w:tcPr>
            <w:tcW w:w="1007" w:type="dxa"/>
            <w:noWrap w:val="0"/>
            <w:vAlign w:val="top"/>
          </w:tcPr>
          <w:p>
            <w:pPr>
              <w:spacing w:line="360" w:lineRule="auto"/>
              <w:jc w:val="center"/>
              <w:rPr>
                <w:rFonts w:hint="eastAsia" w:hAnsi="宋体" w:cs="宋体"/>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360" w:lineRule="auto"/>
              <w:jc w:val="center"/>
              <w:rPr>
                <w:rFonts w:hint="eastAsia" w:hAnsi="宋体" w:cs="宋体"/>
                <w:szCs w:val="24"/>
                <w:highlight w:val="none"/>
              </w:rPr>
            </w:pPr>
          </w:p>
        </w:tc>
        <w:tc>
          <w:tcPr>
            <w:tcW w:w="1995" w:type="dxa"/>
            <w:noWrap w:val="0"/>
            <w:vAlign w:val="top"/>
          </w:tcPr>
          <w:p>
            <w:pPr>
              <w:spacing w:line="360" w:lineRule="auto"/>
              <w:jc w:val="center"/>
              <w:rPr>
                <w:rFonts w:hint="eastAsia" w:hAnsi="宋体" w:cs="宋体"/>
                <w:szCs w:val="24"/>
                <w:highlight w:val="none"/>
              </w:rPr>
            </w:pPr>
          </w:p>
        </w:tc>
        <w:tc>
          <w:tcPr>
            <w:tcW w:w="2688" w:type="dxa"/>
            <w:noWrap w:val="0"/>
            <w:vAlign w:val="top"/>
          </w:tcPr>
          <w:p>
            <w:pPr>
              <w:spacing w:line="360" w:lineRule="auto"/>
              <w:jc w:val="center"/>
              <w:rPr>
                <w:rFonts w:hint="eastAsia" w:hAnsi="宋体" w:cs="宋体"/>
                <w:szCs w:val="24"/>
                <w:highlight w:val="none"/>
              </w:rPr>
            </w:pPr>
          </w:p>
        </w:tc>
        <w:tc>
          <w:tcPr>
            <w:tcW w:w="1212" w:type="dxa"/>
            <w:noWrap w:val="0"/>
            <w:vAlign w:val="top"/>
          </w:tcPr>
          <w:p>
            <w:pPr>
              <w:spacing w:line="360" w:lineRule="auto"/>
              <w:jc w:val="center"/>
              <w:rPr>
                <w:rFonts w:hint="eastAsia" w:hAnsi="宋体" w:cs="宋体"/>
                <w:szCs w:val="24"/>
                <w:highlight w:val="none"/>
              </w:rPr>
            </w:pPr>
          </w:p>
        </w:tc>
        <w:tc>
          <w:tcPr>
            <w:tcW w:w="1007" w:type="dxa"/>
            <w:noWrap w:val="0"/>
            <w:vAlign w:val="top"/>
          </w:tcPr>
          <w:p>
            <w:pPr>
              <w:spacing w:line="360" w:lineRule="auto"/>
              <w:jc w:val="center"/>
              <w:rPr>
                <w:rFonts w:hint="eastAsia" w:hAnsi="宋体" w:cs="宋体"/>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360" w:lineRule="auto"/>
              <w:jc w:val="center"/>
              <w:rPr>
                <w:rFonts w:hint="eastAsia" w:hAnsi="宋体" w:cs="宋体"/>
                <w:szCs w:val="24"/>
                <w:highlight w:val="none"/>
              </w:rPr>
            </w:pPr>
          </w:p>
        </w:tc>
        <w:tc>
          <w:tcPr>
            <w:tcW w:w="1995" w:type="dxa"/>
            <w:noWrap w:val="0"/>
            <w:vAlign w:val="top"/>
          </w:tcPr>
          <w:p>
            <w:pPr>
              <w:spacing w:line="360" w:lineRule="auto"/>
              <w:jc w:val="center"/>
              <w:rPr>
                <w:rFonts w:hint="eastAsia" w:hAnsi="宋体" w:cs="宋体"/>
                <w:szCs w:val="24"/>
                <w:highlight w:val="none"/>
              </w:rPr>
            </w:pPr>
          </w:p>
        </w:tc>
        <w:tc>
          <w:tcPr>
            <w:tcW w:w="2688" w:type="dxa"/>
            <w:noWrap w:val="0"/>
            <w:vAlign w:val="top"/>
          </w:tcPr>
          <w:p>
            <w:pPr>
              <w:spacing w:line="360" w:lineRule="auto"/>
              <w:jc w:val="center"/>
              <w:rPr>
                <w:rFonts w:hint="eastAsia" w:hAnsi="宋体" w:cs="宋体"/>
                <w:szCs w:val="24"/>
                <w:highlight w:val="none"/>
              </w:rPr>
            </w:pPr>
          </w:p>
        </w:tc>
        <w:tc>
          <w:tcPr>
            <w:tcW w:w="1212" w:type="dxa"/>
            <w:noWrap w:val="0"/>
            <w:vAlign w:val="top"/>
          </w:tcPr>
          <w:p>
            <w:pPr>
              <w:spacing w:line="360" w:lineRule="auto"/>
              <w:jc w:val="center"/>
              <w:rPr>
                <w:rFonts w:hint="eastAsia" w:hAnsi="宋体" w:cs="宋体"/>
                <w:szCs w:val="24"/>
                <w:highlight w:val="none"/>
              </w:rPr>
            </w:pPr>
          </w:p>
        </w:tc>
        <w:tc>
          <w:tcPr>
            <w:tcW w:w="1007" w:type="dxa"/>
            <w:noWrap w:val="0"/>
            <w:vAlign w:val="top"/>
          </w:tcPr>
          <w:p>
            <w:pPr>
              <w:spacing w:line="360" w:lineRule="auto"/>
              <w:jc w:val="center"/>
              <w:rPr>
                <w:rFonts w:hint="eastAsia" w:hAnsi="宋体" w:cs="宋体"/>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360" w:lineRule="auto"/>
              <w:jc w:val="center"/>
              <w:rPr>
                <w:rFonts w:hint="eastAsia" w:hAnsi="宋体" w:cs="宋体"/>
                <w:szCs w:val="24"/>
                <w:highlight w:val="none"/>
              </w:rPr>
            </w:pPr>
          </w:p>
        </w:tc>
        <w:tc>
          <w:tcPr>
            <w:tcW w:w="1995" w:type="dxa"/>
            <w:noWrap w:val="0"/>
            <w:vAlign w:val="top"/>
          </w:tcPr>
          <w:p>
            <w:pPr>
              <w:spacing w:line="360" w:lineRule="auto"/>
              <w:jc w:val="center"/>
              <w:rPr>
                <w:rFonts w:hint="eastAsia" w:hAnsi="宋体" w:cs="宋体"/>
                <w:szCs w:val="24"/>
                <w:highlight w:val="none"/>
              </w:rPr>
            </w:pPr>
          </w:p>
        </w:tc>
        <w:tc>
          <w:tcPr>
            <w:tcW w:w="2688" w:type="dxa"/>
            <w:noWrap w:val="0"/>
            <w:vAlign w:val="top"/>
          </w:tcPr>
          <w:p>
            <w:pPr>
              <w:spacing w:line="360" w:lineRule="auto"/>
              <w:jc w:val="center"/>
              <w:rPr>
                <w:rFonts w:hint="eastAsia" w:hAnsi="宋体" w:cs="宋体"/>
                <w:szCs w:val="24"/>
                <w:highlight w:val="none"/>
              </w:rPr>
            </w:pPr>
          </w:p>
        </w:tc>
        <w:tc>
          <w:tcPr>
            <w:tcW w:w="1212" w:type="dxa"/>
            <w:noWrap w:val="0"/>
            <w:vAlign w:val="top"/>
          </w:tcPr>
          <w:p>
            <w:pPr>
              <w:spacing w:line="360" w:lineRule="auto"/>
              <w:jc w:val="center"/>
              <w:rPr>
                <w:rFonts w:hint="eastAsia" w:hAnsi="宋体" w:cs="宋体"/>
                <w:szCs w:val="24"/>
                <w:highlight w:val="none"/>
              </w:rPr>
            </w:pPr>
          </w:p>
        </w:tc>
        <w:tc>
          <w:tcPr>
            <w:tcW w:w="1007" w:type="dxa"/>
            <w:noWrap w:val="0"/>
            <w:vAlign w:val="top"/>
          </w:tcPr>
          <w:p>
            <w:pPr>
              <w:spacing w:line="360" w:lineRule="auto"/>
              <w:jc w:val="center"/>
              <w:rPr>
                <w:rFonts w:hint="eastAsia" w:hAnsi="宋体" w:cs="宋体"/>
                <w:szCs w:val="24"/>
                <w:highlight w:val="none"/>
              </w:rPr>
            </w:pPr>
          </w:p>
        </w:tc>
      </w:tr>
    </w:tbl>
    <w:p>
      <w:pPr>
        <w:spacing w:line="360" w:lineRule="auto"/>
        <w:ind w:firstLine="480"/>
        <w:rPr>
          <w:rFonts w:hint="eastAsia" w:hAnsi="宋体" w:cs="宋体"/>
          <w:szCs w:val="24"/>
          <w:highlight w:val="none"/>
        </w:rPr>
      </w:pPr>
      <w:r>
        <w:rPr>
          <w:rFonts w:hint="eastAsia" w:hAnsi="宋体" w:cs="宋体"/>
          <w:szCs w:val="24"/>
          <w:highlight w:val="none"/>
        </w:rPr>
        <w:t>声明：除本商务偏离表中所列的偏离项目外，其它所有商务均完全响应“磋商文件”中的要求。</w:t>
      </w:r>
    </w:p>
    <w:p>
      <w:pPr>
        <w:pStyle w:val="8"/>
        <w:ind w:firstLine="480"/>
        <w:rPr>
          <w:rFonts w:hint="eastAsia" w:ascii="宋体" w:hAnsi="宋体" w:cs="宋体"/>
          <w:highlight w:val="none"/>
        </w:rPr>
      </w:pPr>
    </w:p>
    <w:p>
      <w:pPr>
        <w:spacing w:line="480" w:lineRule="auto"/>
        <w:ind w:right="617" w:rightChars="257"/>
        <w:rPr>
          <w:rFonts w:hint="eastAsia" w:hAnsi="宋体" w:cs="宋体"/>
          <w:highlight w:val="none"/>
          <w:u w:val="single"/>
        </w:rPr>
      </w:pPr>
      <w:r>
        <w:rPr>
          <w:rFonts w:hint="eastAsia" w:hAnsi="宋体" w:cs="宋体"/>
          <w:highlight w:val="none"/>
        </w:rPr>
        <w:t>磋商响应单位名称：</w:t>
      </w:r>
      <w:r>
        <w:rPr>
          <w:rFonts w:hint="eastAsia" w:hAnsi="宋体" w:cs="宋体"/>
          <w:highlight w:val="none"/>
          <w:u w:val="single"/>
        </w:rPr>
        <w:t xml:space="preserve">      （加盖单位公章）     </w:t>
      </w:r>
    </w:p>
    <w:p>
      <w:pPr>
        <w:spacing w:line="480" w:lineRule="auto"/>
        <w:ind w:right="617" w:rightChars="257"/>
        <w:jc w:val="left"/>
        <w:rPr>
          <w:rFonts w:hint="eastAsia" w:hAnsi="宋体" w:cs="宋体"/>
          <w:highlight w:val="none"/>
        </w:rPr>
      </w:pPr>
      <w:r>
        <w:rPr>
          <w:rFonts w:hint="eastAsia" w:hAnsi="宋体" w:cs="宋体"/>
          <w:highlight w:val="none"/>
        </w:rPr>
        <w:t>法定代表人/被授权人签字</w:t>
      </w:r>
      <w:r>
        <w:rPr>
          <w:rFonts w:hint="eastAsia" w:hAnsi="宋体" w:cs="宋体"/>
          <w:highlight w:val="none"/>
          <w:lang w:eastAsia="zh-CN"/>
        </w:rPr>
        <w:t>或盖章</w:t>
      </w:r>
      <w:r>
        <w:rPr>
          <w:rFonts w:hint="eastAsia" w:hAnsi="宋体" w:cs="宋体"/>
          <w:highlight w:val="none"/>
        </w:rPr>
        <w:t>：</w:t>
      </w:r>
      <w:r>
        <w:rPr>
          <w:rFonts w:hint="eastAsia" w:hAnsi="宋体" w:cs="宋体"/>
          <w:highlight w:val="none"/>
          <w:u w:val="single"/>
        </w:rPr>
        <w:t xml:space="preserve">                                     </w:t>
      </w:r>
    </w:p>
    <w:p>
      <w:pPr>
        <w:spacing w:line="480" w:lineRule="auto"/>
        <w:ind w:right="617" w:rightChars="257"/>
        <w:rPr>
          <w:rFonts w:hint="eastAsia" w:hAnsi="宋体" w:cs="宋体"/>
          <w:highlight w:val="none"/>
          <w:u w:val="single"/>
        </w:rPr>
      </w:pPr>
      <w:r>
        <w:rPr>
          <w:rFonts w:hint="eastAsia" w:hAnsi="宋体" w:cs="宋体"/>
          <w:highlight w:val="none"/>
        </w:rPr>
        <w:t>日    期：</w:t>
      </w:r>
      <w:r>
        <w:rPr>
          <w:rFonts w:hint="eastAsia" w:hAnsi="宋体" w:cs="宋体"/>
          <w:highlight w:val="none"/>
          <w:u w:val="single"/>
        </w:rPr>
        <w:t xml:space="preserve">                                   </w:t>
      </w:r>
    </w:p>
    <w:p>
      <w:pPr>
        <w:pStyle w:val="17"/>
        <w:widowControl w:val="0"/>
        <w:spacing w:before="0" w:beforeAutospacing="0" w:after="0" w:afterAutospacing="0"/>
        <w:rPr>
          <w:rFonts w:hint="eastAsia" w:cs="宋体"/>
          <w:highlight w:val="none"/>
        </w:rPr>
      </w:pPr>
      <w:r>
        <w:rPr>
          <w:rFonts w:hint="eastAsia" w:cs="宋体"/>
          <w:highlight w:val="none"/>
        </w:rPr>
        <w:t>说明：</w:t>
      </w:r>
    </w:p>
    <w:p>
      <w:pPr>
        <w:pStyle w:val="17"/>
        <w:widowControl w:val="0"/>
        <w:spacing w:before="0" w:beforeAutospacing="0" w:after="0" w:afterAutospacing="0"/>
        <w:ind w:firstLine="480" w:firstLineChars="200"/>
        <w:jc w:val="both"/>
        <w:rPr>
          <w:rFonts w:hint="eastAsia" w:cs="宋体"/>
          <w:highlight w:val="none"/>
        </w:rPr>
      </w:pPr>
      <w:r>
        <w:rPr>
          <w:rFonts w:hint="eastAsia" w:cs="宋体"/>
          <w:highlight w:val="none"/>
        </w:rPr>
        <w:t>1.本表只填写磋商响应文件中与磋商文件有偏离（包括正偏离和负偏离）的内容，磋商响应文件中商务响应与磋商文件要求完全一致的，不用在此表中列出，但必须提交空白表。</w:t>
      </w:r>
    </w:p>
    <w:p>
      <w:pPr>
        <w:pStyle w:val="17"/>
        <w:widowControl w:val="0"/>
        <w:spacing w:before="0" w:beforeAutospacing="0" w:after="0" w:afterAutospacing="0"/>
        <w:ind w:firstLine="480" w:firstLineChars="200"/>
        <w:rPr>
          <w:rFonts w:hint="eastAsia" w:cs="宋体"/>
          <w:highlight w:val="none"/>
        </w:rPr>
      </w:pPr>
      <w:r>
        <w:rPr>
          <w:rFonts w:hint="eastAsia" w:cs="宋体"/>
          <w:highlight w:val="none"/>
        </w:rPr>
        <w:t>2.供应商必须据实填写，不得虚假响应，否则将取消其投标或中标资格，并按有关规定进处罚。</w:t>
      </w:r>
    </w:p>
    <w:p>
      <w:pPr>
        <w:pStyle w:val="17"/>
        <w:widowControl w:val="0"/>
        <w:spacing w:before="0" w:beforeAutospacing="0" w:after="0" w:afterAutospacing="0"/>
        <w:rPr>
          <w:rFonts w:hint="eastAsia" w:cs="宋体"/>
          <w:highlight w:val="none"/>
        </w:rPr>
      </w:pPr>
    </w:p>
    <w:p>
      <w:pPr>
        <w:rPr>
          <w:sz w:val="24"/>
          <w:highlight w:val="none"/>
        </w:rPr>
      </w:pPr>
    </w:p>
    <w:p>
      <w:pPr>
        <w:pStyle w:val="5"/>
        <w:spacing w:line="360" w:lineRule="auto"/>
        <w:rPr>
          <w:rFonts w:hint="eastAsia" w:ascii="宋体" w:hAnsi="宋体" w:cs="宋体"/>
          <w:sz w:val="32"/>
          <w:szCs w:val="32"/>
          <w:highlight w:val="none"/>
        </w:rPr>
      </w:pPr>
      <w:r>
        <w:rPr>
          <w:rFonts w:hint="eastAsia" w:ascii="宋体" w:hAnsi="宋体" w:cs="宋体"/>
          <w:sz w:val="32"/>
          <w:szCs w:val="32"/>
          <w:highlight w:val="none"/>
        </w:rPr>
        <w:br w:type="page"/>
      </w:r>
      <w:bookmarkStart w:id="100" w:name="_Toc10292"/>
      <w:bookmarkStart w:id="101" w:name="_Toc14190"/>
      <w:r>
        <w:rPr>
          <w:rFonts w:hint="eastAsia" w:ascii="宋体" w:hAnsi="宋体" w:cs="宋体"/>
          <w:sz w:val="32"/>
          <w:szCs w:val="32"/>
          <w:highlight w:val="none"/>
          <w:lang w:eastAsia="zh-CN"/>
        </w:rPr>
        <w:t>四</w:t>
      </w:r>
      <w:r>
        <w:rPr>
          <w:rFonts w:hint="eastAsia" w:ascii="宋体" w:hAnsi="宋体" w:cs="宋体"/>
          <w:sz w:val="32"/>
          <w:szCs w:val="32"/>
          <w:highlight w:val="none"/>
        </w:rPr>
        <w:t>、磋商</w:t>
      </w:r>
      <w:r>
        <w:rPr>
          <w:rFonts w:hint="eastAsia" w:ascii="宋体" w:hAnsi="宋体" w:cs="宋体"/>
          <w:sz w:val="32"/>
          <w:szCs w:val="32"/>
          <w:highlight w:val="none"/>
          <w:lang w:eastAsia="zh-CN"/>
        </w:rPr>
        <w:t>技术</w:t>
      </w:r>
      <w:r>
        <w:rPr>
          <w:rFonts w:hint="eastAsia" w:ascii="宋体" w:hAnsi="宋体" w:cs="宋体"/>
          <w:sz w:val="32"/>
          <w:szCs w:val="32"/>
          <w:highlight w:val="none"/>
        </w:rPr>
        <w:t>响应方案</w:t>
      </w:r>
      <w:bookmarkEnd w:id="96"/>
      <w:bookmarkEnd w:id="97"/>
      <w:bookmarkEnd w:id="100"/>
      <w:bookmarkEnd w:id="101"/>
    </w:p>
    <w:p>
      <w:pPr>
        <w:adjustRightInd w:val="0"/>
        <w:spacing w:after="120" w:line="48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按照招标文件的要求编制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主要内容包含如下：</w:t>
      </w:r>
    </w:p>
    <w:p>
      <w:pPr>
        <w:spacing w:line="48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①项目管理</w:t>
      </w:r>
      <w:r>
        <w:rPr>
          <w:rFonts w:hint="eastAsia" w:ascii="宋体" w:hAnsi="宋体" w:eastAsia="宋体" w:cs="宋体"/>
          <w:sz w:val="24"/>
          <w:szCs w:val="24"/>
          <w:highlight w:val="none"/>
          <w:lang w:eastAsia="zh-CN"/>
        </w:rPr>
        <w:t>部门及人员</w:t>
      </w:r>
      <w:r>
        <w:rPr>
          <w:rFonts w:hint="eastAsia" w:ascii="宋体" w:hAnsi="宋体" w:eastAsia="宋体" w:cs="宋体"/>
          <w:sz w:val="24"/>
          <w:szCs w:val="24"/>
          <w:highlight w:val="none"/>
        </w:rPr>
        <w:t>配备</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②项目</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方案</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③工程进度计划与保障措施</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④确保工程质量</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组织措施</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⑤文明施工、环境保护管理体系与措施</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⑥主要机具、设备和劳动力配备情况</w:t>
      </w:r>
    </w:p>
    <w:p>
      <w:pPr>
        <w:kinsoku w:val="0"/>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⑦业绩及质量承诺</w:t>
      </w:r>
    </w:p>
    <w:p>
      <w:pPr>
        <w:kinsoku w:val="0"/>
        <w:spacing w:line="580" w:lineRule="exact"/>
        <w:rPr>
          <w:rFonts w:hint="eastAsia" w:hAnsi="宋体" w:cs="宋体"/>
          <w:b/>
          <w:bCs/>
          <w:szCs w:val="24"/>
          <w:highlight w:val="none"/>
        </w:rPr>
      </w:pPr>
      <w:r>
        <w:rPr>
          <w:rFonts w:hint="eastAsia" w:hAnsi="宋体" w:cs="宋体"/>
          <w:b/>
          <w:bCs/>
          <w:szCs w:val="24"/>
          <w:highlight w:val="none"/>
        </w:rPr>
        <w:t>注：</w:t>
      </w:r>
      <w:r>
        <w:rPr>
          <w:rFonts w:hint="eastAsia" w:hAnsi="宋体" w:cs="宋体"/>
          <w:b/>
          <w:bCs/>
          <w:szCs w:val="24"/>
          <w:highlight w:val="none"/>
          <w:lang w:eastAsia="zh-CN"/>
        </w:rPr>
        <w:t>包括但不限于以上要求的内容，</w:t>
      </w:r>
      <w:r>
        <w:rPr>
          <w:rFonts w:hint="eastAsia" w:hAnsi="宋体" w:cs="宋体"/>
          <w:b/>
          <w:bCs/>
          <w:szCs w:val="24"/>
          <w:highlight w:val="none"/>
        </w:rPr>
        <w:t>可参照第</w:t>
      </w:r>
      <w:r>
        <w:rPr>
          <w:rFonts w:hint="eastAsia" w:hAnsi="宋体" w:cs="宋体"/>
          <w:b/>
          <w:bCs/>
          <w:szCs w:val="24"/>
          <w:highlight w:val="none"/>
          <w:lang w:eastAsia="zh-CN"/>
        </w:rPr>
        <w:t>五</w:t>
      </w:r>
      <w:r>
        <w:rPr>
          <w:rFonts w:hint="eastAsia" w:hAnsi="宋体" w:cs="宋体"/>
          <w:b/>
          <w:bCs/>
          <w:szCs w:val="24"/>
          <w:highlight w:val="none"/>
        </w:rPr>
        <w:t>章评标办法进行编制方案要求。</w:t>
      </w:r>
    </w:p>
    <w:p>
      <w:pPr>
        <w:kinsoku w:val="0"/>
        <w:spacing w:line="580" w:lineRule="exact"/>
        <w:rPr>
          <w:rFonts w:hint="eastAsia" w:hAnsi="宋体" w:cs="宋体"/>
          <w:szCs w:val="24"/>
          <w:highlight w:val="none"/>
        </w:rPr>
      </w:pPr>
    </w:p>
    <w:p>
      <w:pPr>
        <w:spacing w:line="440" w:lineRule="exact"/>
        <w:ind w:left="3725" w:leftChars="1552"/>
        <w:rPr>
          <w:rFonts w:hint="eastAsia" w:hAnsi="宋体" w:cs="宋体"/>
          <w:szCs w:val="24"/>
          <w:highlight w:val="none"/>
        </w:rPr>
      </w:pPr>
    </w:p>
    <w:p>
      <w:pPr>
        <w:spacing w:line="440" w:lineRule="exact"/>
        <w:ind w:left="3725" w:leftChars="1552"/>
        <w:rPr>
          <w:rFonts w:hint="eastAsia" w:hAnsi="宋体" w:cs="宋体"/>
          <w:szCs w:val="24"/>
          <w:highlight w:val="none"/>
        </w:rPr>
      </w:pPr>
    </w:p>
    <w:p>
      <w:pPr>
        <w:spacing w:line="440" w:lineRule="exact"/>
        <w:ind w:left="3725" w:leftChars="1552"/>
        <w:rPr>
          <w:rFonts w:hint="eastAsia" w:hAnsi="宋体" w:cs="宋体"/>
          <w:szCs w:val="24"/>
          <w:highlight w:val="none"/>
        </w:rPr>
      </w:pPr>
    </w:p>
    <w:p>
      <w:pPr>
        <w:spacing w:line="440" w:lineRule="exact"/>
        <w:ind w:left="3725" w:leftChars="1552"/>
        <w:rPr>
          <w:rFonts w:hint="eastAsia" w:hAnsi="宋体" w:cs="宋体"/>
          <w:szCs w:val="24"/>
          <w:highlight w:val="none"/>
        </w:rPr>
      </w:pPr>
    </w:p>
    <w:p>
      <w:pPr>
        <w:spacing w:line="440" w:lineRule="exact"/>
        <w:ind w:left="3725" w:leftChars="1552"/>
        <w:rPr>
          <w:rFonts w:hint="eastAsia" w:hAnsi="宋体" w:cs="宋体"/>
          <w:szCs w:val="24"/>
          <w:highlight w:val="none"/>
        </w:rPr>
      </w:pPr>
    </w:p>
    <w:p>
      <w:pPr>
        <w:spacing w:line="440" w:lineRule="exact"/>
        <w:ind w:left="3725" w:leftChars="1552"/>
        <w:rPr>
          <w:rFonts w:hint="eastAsia" w:hAnsi="宋体" w:cs="宋体"/>
          <w:szCs w:val="24"/>
          <w:highlight w:val="none"/>
        </w:rPr>
      </w:pPr>
    </w:p>
    <w:p>
      <w:pPr>
        <w:spacing w:line="440" w:lineRule="exact"/>
        <w:ind w:left="3725" w:leftChars="1552" w:firstLine="960" w:firstLineChars="400"/>
        <w:rPr>
          <w:rFonts w:hint="eastAsia" w:hAnsi="宋体" w:cs="宋体"/>
          <w:szCs w:val="24"/>
          <w:highlight w:val="none"/>
        </w:rPr>
      </w:pPr>
      <w:r>
        <w:rPr>
          <w:rFonts w:hint="eastAsia" w:hAnsi="宋体" w:cs="宋体"/>
          <w:szCs w:val="24"/>
          <w:highlight w:val="none"/>
        </w:rPr>
        <w:t>被授权人签字或盖章：</w:t>
      </w:r>
    </w:p>
    <w:p>
      <w:pPr>
        <w:spacing w:line="440" w:lineRule="exact"/>
        <w:ind w:left="3725" w:leftChars="1552" w:firstLine="960" w:firstLineChars="400"/>
        <w:rPr>
          <w:rFonts w:hint="eastAsia" w:hAnsi="宋体" w:cs="宋体"/>
          <w:szCs w:val="24"/>
          <w:highlight w:val="none"/>
        </w:rPr>
      </w:pPr>
      <w:r>
        <w:rPr>
          <w:rFonts w:hint="eastAsia" w:hAnsi="宋体" w:cs="宋体"/>
          <w:szCs w:val="24"/>
          <w:highlight w:val="none"/>
        </w:rPr>
        <w:t>公      章：</w:t>
      </w:r>
    </w:p>
    <w:p>
      <w:pPr>
        <w:spacing w:line="440" w:lineRule="exact"/>
        <w:ind w:firstLine="4689" w:firstLineChars="1954"/>
        <w:rPr>
          <w:rFonts w:hint="eastAsia" w:hAnsi="宋体" w:cs="宋体"/>
          <w:szCs w:val="24"/>
          <w:highlight w:val="none"/>
        </w:rPr>
      </w:pPr>
      <w:r>
        <w:rPr>
          <w:rFonts w:hint="eastAsia" w:hAnsi="宋体" w:cs="宋体"/>
          <w:szCs w:val="24"/>
          <w:highlight w:val="none"/>
        </w:rPr>
        <w:t>日      期：</w:t>
      </w:r>
    </w:p>
    <w:p>
      <w:pPr>
        <w:pStyle w:val="6"/>
        <w:ind w:left="0" w:firstLine="0"/>
        <w:rPr>
          <w:rFonts w:hint="eastAsia" w:ascii="宋体" w:hAnsi="宋体" w:cs="宋体"/>
          <w:highlight w:val="none"/>
        </w:rPr>
        <w:sectPr>
          <w:headerReference r:id="rId18" w:type="default"/>
          <w:headerReference r:id="rId19" w:type="even"/>
          <w:pgSz w:w="11906" w:h="16838"/>
          <w:pgMar w:top="1417" w:right="1417" w:bottom="1417" w:left="1701" w:header="851" w:footer="992" w:gutter="0"/>
          <w:pgNumType w:fmt="decimal"/>
          <w:cols w:space="720" w:num="1"/>
          <w:docGrid w:type="lines" w:linePitch="312" w:charSpace="0"/>
        </w:sectPr>
      </w:pPr>
    </w:p>
    <w:bookmarkEnd w:id="91"/>
    <w:p>
      <w:pPr>
        <w:pStyle w:val="5"/>
        <w:bidi w:val="0"/>
        <w:rPr>
          <w:rFonts w:hint="eastAsia" w:eastAsia="宋体"/>
          <w:highlight w:val="none"/>
          <w:lang w:val="en-US" w:eastAsia="zh-CN"/>
        </w:rPr>
      </w:pPr>
      <w:bookmarkStart w:id="102" w:name="_Toc15840"/>
      <w:bookmarkStart w:id="103" w:name="_Toc13641"/>
      <w:r>
        <w:rPr>
          <w:rFonts w:hint="eastAsia"/>
          <w:sz w:val="32"/>
          <w:szCs w:val="32"/>
          <w:highlight w:val="none"/>
          <w:lang w:eastAsia="zh-CN"/>
        </w:rPr>
        <w:t>五、企业类似业绩</w:t>
      </w:r>
      <w:bookmarkEnd w:id="102"/>
      <w:bookmarkEnd w:id="103"/>
    </w:p>
    <w:p>
      <w:pPr>
        <w:spacing w:line="440" w:lineRule="exact"/>
        <w:jc w:val="center"/>
        <w:rPr>
          <w:b/>
          <w:bCs/>
          <w:spacing w:val="4"/>
          <w:sz w:val="32"/>
          <w:szCs w:val="32"/>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62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bottom w:val="single" w:color="auto" w:sz="4" w:space="0"/>
              <w:right w:val="single" w:color="auto" w:sz="4" w:space="0"/>
            </w:tcBorders>
            <w:noWrap w:val="0"/>
            <w:vAlign w:val="center"/>
          </w:tcPr>
          <w:p>
            <w:pPr>
              <w:spacing w:line="360" w:lineRule="exact"/>
              <w:jc w:val="center"/>
              <w:rPr>
                <w:szCs w:val="24"/>
                <w:highlight w:val="none"/>
              </w:rPr>
            </w:pPr>
            <w:r>
              <w:rPr>
                <w:rFonts w:hint="eastAsia" w:hAnsi="宋体" w:cs="宋体"/>
                <w:szCs w:val="24"/>
                <w:highlight w:val="none"/>
              </w:rPr>
              <w:t>项目名称</w:t>
            </w:r>
          </w:p>
        </w:tc>
        <w:tc>
          <w:tcPr>
            <w:tcW w:w="6254" w:type="dxa"/>
            <w:tcBorders>
              <w:top w:val="single" w:color="auto" w:sz="4" w:space="0"/>
              <w:left w:val="single" w:color="auto" w:sz="4" w:space="0"/>
              <w:bottom w:val="single" w:color="auto" w:sz="4" w:space="0"/>
            </w:tcBorders>
            <w:noWrap w:val="0"/>
            <w:vAlign w:val="center"/>
          </w:tcPr>
          <w:p>
            <w:pPr>
              <w:spacing w:line="360" w:lineRule="exact"/>
              <w:jc w:val="center"/>
              <w:rPr>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bottom w:val="single" w:color="auto" w:sz="4" w:space="0"/>
              <w:right w:val="single" w:color="auto" w:sz="4" w:space="0"/>
            </w:tcBorders>
            <w:noWrap w:val="0"/>
            <w:vAlign w:val="center"/>
          </w:tcPr>
          <w:p>
            <w:pPr>
              <w:spacing w:line="360" w:lineRule="exact"/>
              <w:jc w:val="center"/>
              <w:rPr>
                <w:szCs w:val="24"/>
                <w:highlight w:val="none"/>
              </w:rPr>
            </w:pPr>
            <w:r>
              <w:rPr>
                <w:rFonts w:hint="eastAsia" w:hAnsi="宋体" w:cs="宋体"/>
                <w:szCs w:val="24"/>
                <w:highlight w:val="none"/>
              </w:rPr>
              <w:t>项目所在地</w:t>
            </w:r>
          </w:p>
        </w:tc>
        <w:tc>
          <w:tcPr>
            <w:tcW w:w="6254" w:type="dxa"/>
            <w:tcBorders>
              <w:top w:val="single" w:color="auto" w:sz="4" w:space="0"/>
              <w:left w:val="single" w:color="auto" w:sz="4" w:space="0"/>
              <w:bottom w:val="single" w:color="auto" w:sz="4" w:space="0"/>
            </w:tcBorders>
            <w:noWrap w:val="0"/>
            <w:vAlign w:val="center"/>
          </w:tcPr>
          <w:p>
            <w:pPr>
              <w:spacing w:line="360" w:lineRule="exact"/>
              <w:jc w:val="center"/>
              <w:rPr>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bottom w:val="single" w:color="auto" w:sz="4" w:space="0"/>
              <w:right w:val="single" w:color="auto" w:sz="4" w:space="0"/>
            </w:tcBorders>
            <w:noWrap w:val="0"/>
            <w:vAlign w:val="center"/>
          </w:tcPr>
          <w:p>
            <w:pPr>
              <w:spacing w:line="360" w:lineRule="exact"/>
              <w:jc w:val="center"/>
              <w:rPr>
                <w:szCs w:val="24"/>
                <w:highlight w:val="none"/>
              </w:rPr>
            </w:pPr>
            <w:r>
              <w:rPr>
                <w:rFonts w:hint="eastAsia" w:hAnsi="宋体" w:cs="宋体"/>
                <w:szCs w:val="24"/>
                <w:highlight w:val="none"/>
              </w:rPr>
              <w:t>发包人名称</w:t>
            </w:r>
          </w:p>
        </w:tc>
        <w:tc>
          <w:tcPr>
            <w:tcW w:w="6254" w:type="dxa"/>
            <w:tcBorders>
              <w:top w:val="single" w:color="auto" w:sz="4" w:space="0"/>
              <w:left w:val="single" w:color="auto" w:sz="4" w:space="0"/>
              <w:bottom w:val="single" w:color="auto" w:sz="4" w:space="0"/>
            </w:tcBorders>
            <w:noWrap w:val="0"/>
            <w:vAlign w:val="center"/>
          </w:tcPr>
          <w:p>
            <w:pPr>
              <w:spacing w:line="360" w:lineRule="exact"/>
              <w:jc w:val="center"/>
              <w:rPr>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bottom w:val="single" w:color="auto" w:sz="4" w:space="0"/>
              <w:right w:val="single" w:color="auto" w:sz="4" w:space="0"/>
            </w:tcBorders>
            <w:noWrap w:val="0"/>
            <w:vAlign w:val="center"/>
          </w:tcPr>
          <w:p>
            <w:pPr>
              <w:spacing w:line="360" w:lineRule="exact"/>
              <w:jc w:val="center"/>
              <w:rPr>
                <w:szCs w:val="24"/>
                <w:highlight w:val="none"/>
              </w:rPr>
            </w:pPr>
            <w:r>
              <w:rPr>
                <w:rFonts w:hint="eastAsia" w:hAnsi="宋体" w:cs="宋体"/>
                <w:szCs w:val="24"/>
                <w:highlight w:val="none"/>
              </w:rPr>
              <w:t>发包人地址</w:t>
            </w:r>
          </w:p>
        </w:tc>
        <w:tc>
          <w:tcPr>
            <w:tcW w:w="6254" w:type="dxa"/>
            <w:tcBorders>
              <w:top w:val="single" w:color="auto" w:sz="4" w:space="0"/>
              <w:left w:val="single" w:color="auto" w:sz="4" w:space="0"/>
              <w:bottom w:val="single" w:color="auto" w:sz="4" w:space="0"/>
            </w:tcBorders>
            <w:noWrap w:val="0"/>
            <w:vAlign w:val="center"/>
          </w:tcPr>
          <w:p>
            <w:pPr>
              <w:spacing w:line="360" w:lineRule="exact"/>
              <w:jc w:val="center"/>
              <w:rPr>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bottom w:val="single" w:color="auto" w:sz="4" w:space="0"/>
              <w:right w:val="single" w:color="auto" w:sz="4" w:space="0"/>
            </w:tcBorders>
            <w:noWrap w:val="0"/>
            <w:vAlign w:val="center"/>
          </w:tcPr>
          <w:p>
            <w:pPr>
              <w:spacing w:line="360" w:lineRule="exact"/>
              <w:jc w:val="center"/>
              <w:rPr>
                <w:szCs w:val="24"/>
                <w:highlight w:val="none"/>
              </w:rPr>
            </w:pPr>
            <w:r>
              <w:rPr>
                <w:rFonts w:hint="eastAsia" w:hAnsi="宋体" w:cs="宋体"/>
                <w:szCs w:val="24"/>
                <w:highlight w:val="none"/>
              </w:rPr>
              <w:t>中标日期</w:t>
            </w:r>
          </w:p>
        </w:tc>
        <w:tc>
          <w:tcPr>
            <w:tcW w:w="6254" w:type="dxa"/>
            <w:tcBorders>
              <w:top w:val="single" w:color="auto" w:sz="4" w:space="0"/>
              <w:left w:val="single" w:color="auto" w:sz="4" w:space="0"/>
              <w:bottom w:val="single" w:color="auto" w:sz="4" w:space="0"/>
            </w:tcBorders>
            <w:noWrap w:val="0"/>
            <w:vAlign w:val="center"/>
          </w:tcPr>
          <w:p>
            <w:pPr>
              <w:spacing w:line="360" w:lineRule="exact"/>
              <w:jc w:val="center"/>
              <w:rPr>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bottom w:val="single" w:color="auto" w:sz="4" w:space="0"/>
              <w:right w:val="single" w:color="auto" w:sz="4" w:space="0"/>
            </w:tcBorders>
            <w:noWrap w:val="0"/>
            <w:vAlign w:val="center"/>
          </w:tcPr>
          <w:p>
            <w:pPr>
              <w:spacing w:line="360" w:lineRule="exact"/>
              <w:jc w:val="center"/>
              <w:rPr>
                <w:szCs w:val="24"/>
                <w:highlight w:val="none"/>
              </w:rPr>
            </w:pPr>
            <w:r>
              <w:rPr>
                <w:rFonts w:hint="eastAsia" w:hAnsi="宋体" w:cs="宋体"/>
                <w:szCs w:val="24"/>
                <w:highlight w:val="none"/>
              </w:rPr>
              <w:t>中标金额</w:t>
            </w:r>
          </w:p>
        </w:tc>
        <w:tc>
          <w:tcPr>
            <w:tcW w:w="6254" w:type="dxa"/>
            <w:tcBorders>
              <w:top w:val="single" w:color="auto" w:sz="4" w:space="0"/>
              <w:left w:val="single" w:color="auto" w:sz="4" w:space="0"/>
              <w:bottom w:val="single" w:color="auto" w:sz="4" w:space="0"/>
            </w:tcBorders>
            <w:noWrap w:val="0"/>
            <w:vAlign w:val="center"/>
          </w:tcPr>
          <w:p>
            <w:pPr>
              <w:spacing w:line="360" w:lineRule="exact"/>
              <w:jc w:val="center"/>
              <w:rPr>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2268" w:type="dxa"/>
            <w:tcBorders>
              <w:top w:val="single" w:color="auto" w:sz="4" w:space="0"/>
              <w:bottom w:val="single" w:color="auto" w:sz="4" w:space="0"/>
              <w:right w:val="single" w:color="auto" w:sz="4" w:space="0"/>
            </w:tcBorders>
            <w:noWrap w:val="0"/>
            <w:vAlign w:val="center"/>
          </w:tcPr>
          <w:p>
            <w:pPr>
              <w:spacing w:line="360" w:lineRule="exact"/>
              <w:jc w:val="center"/>
              <w:rPr>
                <w:szCs w:val="24"/>
                <w:highlight w:val="none"/>
              </w:rPr>
            </w:pPr>
            <w:r>
              <w:rPr>
                <w:rFonts w:hint="eastAsia" w:hAnsi="宋体" w:cs="宋体"/>
                <w:szCs w:val="24"/>
                <w:highlight w:val="none"/>
              </w:rPr>
              <w:t>项目描述</w:t>
            </w:r>
          </w:p>
        </w:tc>
        <w:tc>
          <w:tcPr>
            <w:tcW w:w="6254" w:type="dxa"/>
            <w:tcBorders>
              <w:top w:val="single" w:color="auto" w:sz="4" w:space="0"/>
              <w:left w:val="single" w:color="auto" w:sz="4" w:space="0"/>
              <w:bottom w:val="single" w:color="auto" w:sz="4" w:space="0"/>
            </w:tcBorders>
            <w:noWrap w:val="0"/>
            <w:vAlign w:val="center"/>
          </w:tcPr>
          <w:p>
            <w:pPr>
              <w:spacing w:line="360" w:lineRule="exact"/>
              <w:jc w:val="center"/>
              <w:rPr>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268" w:type="dxa"/>
            <w:tcBorders>
              <w:top w:val="single" w:color="auto" w:sz="4" w:space="0"/>
              <w:bottom w:val="single" w:color="auto" w:sz="4" w:space="0"/>
              <w:right w:val="single" w:color="auto" w:sz="4" w:space="0"/>
            </w:tcBorders>
            <w:noWrap w:val="0"/>
            <w:vAlign w:val="center"/>
          </w:tcPr>
          <w:p>
            <w:pPr>
              <w:spacing w:line="360" w:lineRule="exact"/>
              <w:jc w:val="center"/>
              <w:rPr>
                <w:szCs w:val="24"/>
                <w:highlight w:val="none"/>
              </w:rPr>
            </w:pPr>
            <w:r>
              <w:rPr>
                <w:rFonts w:hint="eastAsia" w:hAnsi="宋体" w:cs="宋体"/>
                <w:szCs w:val="24"/>
                <w:highlight w:val="none"/>
              </w:rPr>
              <w:t>备注</w:t>
            </w:r>
          </w:p>
        </w:tc>
        <w:tc>
          <w:tcPr>
            <w:tcW w:w="6254" w:type="dxa"/>
            <w:tcBorders>
              <w:top w:val="single" w:color="auto" w:sz="4" w:space="0"/>
              <w:left w:val="single" w:color="auto" w:sz="4" w:space="0"/>
              <w:bottom w:val="single" w:color="auto" w:sz="4" w:space="0"/>
            </w:tcBorders>
            <w:noWrap w:val="0"/>
            <w:vAlign w:val="center"/>
          </w:tcPr>
          <w:p>
            <w:pPr>
              <w:spacing w:line="360" w:lineRule="exact"/>
              <w:jc w:val="center"/>
              <w:rPr>
                <w:szCs w:val="24"/>
                <w:highlight w:val="none"/>
              </w:rPr>
            </w:pPr>
          </w:p>
        </w:tc>
      </w:tr>
    </w:tbl>
    <w:p>
      <w:pPr>
        <w:spacing w:line="360" w:lineRule="exact"/>
        <w:ind w:firstLine="479" w:firstLineChars="199"/>
        <w:rPr>
          <w:b/>
          <w:bCs/>
          <w:szCs w:val="24"/>
          <w:highlight w:val="none"/>
        </w:rPr>
      </w:pPr>
    </w:p>
    <w:p>
      <w:pPr>
        <w:spacing w:line="360" w:lineRule="exact"/>
        <w:ind w:firstLine="479" w:firstLineChars="199"/>
        <w:rPr>
          <w:b/>
          <w:bCs/>
          <w:szCs w:val="24"/>
          <w:highlight w:val="none"/>
        </w:rPr>
      </w:pPr>
      <w:r>
        <w:rPr>
          <w:rFonts w:hint="eastAsia" w:hAnsi="宋体" w:cs="宋体"/>
          <w:b/>
          <w:bCs/>
          <w:szCs w:val="24"/>
          <w:highlight w:val="none"/>
        </w:rPr>
        <w:t>备注：</w:t>
      </w:r>
    </w:p>
    <w:p>
      <w:pPr>
        <w:spacing w:line="360" w:lineRule="exact"/>
        <w:ind w:firstLine="477" w:firstLineChars="199"/>
        <w:rPr>
          <w:szCs w:val="24"/>
          <w:highlight w:val="none"/>
        </w:rPr>
      </w:pPr>
      <w:r>
        <w:rPr>
          <w:rFonts w:hAnsi="宋体" w:cs="宋体"/>
          <w:szCs w:val="24"/>
          <w:highlight w:val="none"/>
        </w:rPr>
        <w:t>1</w:t>
      </w:r>
      <w:r>
        <w:rPr>
          <w:rFonts w:hint="eastAsia" w:hAnsi="宋体" w:cs="宋体"/>
          <w:szCs w:val="24"/>
          <w:highlight w:val="none"/>
        </w:rPr>
        <w:t>、如有多个项目，每个项目填一张此表，附后。</w:t>
      </w:r>
    </w:p>
    <w:p>
      <w:pPr>
        <w:autoSpaceDE w:val="0"/>
        <w:autoSpaceDN w:val="0"/>
        <w:adjustRightInd w:val="0"/>
        <w:snapToGrid w:val="0"/>
        <w:spacing w:line="360" w:lineRule="exact"/>
        <w:ind w:firstLine="720" w:firstLineChars="300"/>
        <w:rPr>
          <w:szCs w:val="24"/>
          <w:highlight w:val="none"/>
        </w:rPr>
      </w:pPr>
    </w:p>
    <w:p>
      <w:pPr>
        <w:autoSpaceDE w:val="0"/>
        <w:autoSpaceDN w:val="0"/>
        <w:adjustRightInd w:val="0"/>
        <w:snapToGrid w:val="0"/>
        <w:spacing w:line="360" w:lineRule="exact"/>
        <w:ind w:firstLine="720" w:firstLineChars="300"/>
        <w:rPr>
          <w:szCs w:val="24"/>
          <w:highlight w:val="none"/>
        </w:rPr>
      </w:pPr>
    </w:p>
    <w:p>
      <w:pPr>
        <w:autoSpaceDE w:val="0"/>
        <w:autoSpaceDN w:val="0"/>
        <w:adjustRightInd w:val="0"/>
        <w:snapToGrid w:val="0"/>
        <w:spacing w:line="360" w:lineRule="exact"/>
        <w:ind w:firstLine="720" w:firstLineChars="300"/>
        <w:rPr>
          <w:szCs w:val="24"/>
          <w:highlight w:val="none"/>
        </w:rPr>
      </w:pPr>
    </w:p>
    <w:p>
      <w:pPr>
        <w:spacing w:line="480" w:lineRule="exact"/>
        <w:ind w:firstLine="480" w:firstLineChars="200"/>
        <w:rPr>
          <w:b/>
          <w:bCs/>
          <w:szCs w:val="24"/>
          <w:highlight w:val="none"/>
          <w:u w:val="single"/>
        </w:rPr>
      </w:pPr>
      <w:r>
        <w:rPr>
          <w:rFonts w:hint="eastAsia" w:hAnsi="宋体" w:cs="宋体"/>
          <w:szCs w:val="24"/>
          <w:highlight w:val="none"/>
          <w:lang w:eastAsia="zh-CN"/>
        </w:rPr>
        <w:t>供应商</w:t>
      </w:r>
      <w:r>
        <w:rPr>
          <w:rFonts w:hint="eastAsia" w:hAnsi="宋体" w:cs="宋体"/>
          <w:szCs w:val="24"/>
          <w:highlight w:val="none"/>
        </w:rPr>
        <w:t>：（单位公章）</w:t>
      </w:r>
    </w:p>
    <w:p>
      <w:pPr>
        <w:spacing w:line="480" w:lineRule="exact"/>
        <w:ind w:firstLine="480" w:firstLineChars="200"/>
        <w:rPr>
          <w:szCs w:val="24"/>
          <w:highlight w:val="none"/>
          <w:u w:val="single"/>
        </w:rPr>
      </w:pPr>
      <w:r>
        <w:rPr>
          <w:rFonts w:hint="eastAsia" w:hAnsi="宋体" w:cs="宋体"/>
          <w:szCs w:val="24"/>
          <w:highlight w:val="none"/>
        </w:rPr>
        <w:t>法人代表或委托代理人（签字</w:t>
      </w:r>
      <w:r>
        <w:rPr>
          <w:rFonts w:hint="eastAsia" w:hAnsi="宋体" w:cs="宋体"/>
          <w:szCs w:val="24"/>
          <w:highlight w:val="none"/>
          <w:lang w:eastAsia="zh-CN"/>
        </w:rPr>
        <w:t>或盖章</w:t>
      </w:r>
      <w:r>
        <w:rPr>
          <w:rFonts w:hint="eastAsia" w:hAnsi="宋体" w:cs="宋体"/>
          <w:szCs w:val="24"/>
          <w:highlight w:val="none"/>
        </w:rPr>
        <w:t>）：</w:t>
      </w:r>
    </w:p>
    <w:p>
      <w:pPr>
        <w:spacing w:line="600" w:lineRule="exact"/>
        <w:ind w:firstLine="480" w:firstLineChars="200"/>
        <w:rPr>
          <w:b/>
          <w:bCs/>
          <w:szCs w:val="24"/>
          <w:highlight w:val="none"/>
        </w:rPr>
      </w:pPr>
      <w:r>
        <w:rPr>
          <w:rFonts w:hint="eastAsia" w:hAnsi="宋体" w:cs="宋体"/>
          <w:szCs w:val="24"/>
          <w:highlight w:val="none"/>
        </w:rPr>
        <w:t>日期：</w:t>
      </w:r>
      <w:r>
        <w:rPr>
          <w:rFonts w:hint="eastAsia" w:hAnsi="宋体" w:cs="宋体"/>
          <w:szCs w:val="24"/>
          <w:highlight w:val="none"/>
          <w:lang w:val="en-US" w:eastAsia="zh-CN"/>
        </w:rPr>
        <w:t xml:space="preserve">  </w:t>
      </w:r>
      <w:r>
        <w:rPr>
          <w:rFonts w:hint="eastAsia" w:hAnsi="宋体" w:cs="宋体"/>
          <w:szCs w:val="24"/>
          <w:highlight w:val="none"/>
        </w:rPr>
        <w:t>年</w:t>
      </w:r>
      <w:r>
        <w:rPr>
          <w:rFonts w:hint="eastAsia" w:hAnsi="宋体" w:cs="宋体"/>
          <w:szCs w:val="24"/>
          <w:highlight w:val="none"/>
          <w:lang w:val="en-US" w:eastAsia="zh-CN"/>
        </w:rPr>
        <w:t xml:space="preserve">   </w:t>
      </w:r>
      <w:r>
        <w:rPr>
          <w:rFonts w:hint="eastAsia" w:hAnsi="宋体" w:cs="宋体"/>
          <w:szCs w:val="24"/>
          <w:highlight w:val="none"/>
        </w:rPr>
        <w:t>月</w:t>
      </w:r>
      <w:r>
        <w:rPr>
          <w:rFonts w:hint="eastAsia" w:hAnsi="宋体" w:cs="宋体"/>
          <w:szCs w:val="24"/>
          <w:highlight w:val="none"/>
          <w:lang w:val="en-US" w:eastAsia="zh-CN"/>
        </w:rPr>
        <w:t xml:space="preserve">   </w:t>
      </w:r>
      <w:r>
        <w:rPr>
          <w:rFonts w:hint="eastAsia" w:hAnsi="宋体" w:cs="宋体"/>
          <w:szCs w:val="24"/>
          <w:highlight w:val="none"/>
        </w:rPr>
        <w:t>日</w:t>
      </w:r>
    </w:p>
    <w:p>
      <w:pPr>
        <w:pStyle w:val="5"/>
        <w:bidi w:val="0"/>
        <w:jc w:val="both"/>
        <w:rPr>
          <w:rFonts w:hint="eastAsia" w:ascii="Times New Roman" w:hAnsi="宋体" w:cs="宋体"/>
          <w:b/>
          <w:bCs/>
          <w:sz w:val="32"/>
          <w:szCs w:val="32"/>
          <w:highlight w:val="none"/>
        </w:rPr>
      </w:pPr>
      <w:bookmarkStart w:id="104" w:name="_Toc13322"/>
      <w:bookmarkStart w:id="105" w:name="_Toc363474033"/>
      <w:bookmarkStart w:id="106" w:name="_Toc403077656"/>
      <w:r>
        <w:rPr>
          <w:rFonts w:hint="eastAsia" w:ascii="Times New Roman" w:hAnsi="宋体" w:cs="宋体"/>
          <w:b/>
          <w:bCs/>
          <w:sz w:val="32"/>
          <w:szCs w:val="32"/>
          <w:highlight w:val="none"/>
          <w:lang w:eastAsia="zh-CN"/>
        </w:rPr>
        <w:br w:type="page"/>
      </w:r>
      <w:bookmarkStart w:id="107" w:name="_Toc17391"/>
      <w:r>
        <w:rPr>
          <w:rFonts w:hint="eastAsia" w:ascii="Times New Roman" w:hAnsi="宋体" w:cs="宋体"/>
          <w:b/>
          <w:bCs/>
          <w:sz w:val="32"/>
          <w:szCs w:val="32"/>
          <w:highlight w:val="none"/>
          <w:lang w:eastAsia="zh-CN"/>
        </w:rPr>
        <w:t>六</w:t>
      </w:r>
      <w:r>
        <w:rPr>
          <w:rFonts w:hint="eastAsia" w:ascii="Times New Roman" w:hAnsi="宋体" w:cs="宋体"/>
          <w:b/>
          <w:bCs/>
          <w:sz w:val="32"/>
          <w:szCs w:val="32"/>
          <w:highlight w:val="none"/>
        </w:rPr>
        <w:t>、陕西省政府采购供应商拒绝政府采购领域商业贿赂承诺书</w:t>
      </w:r>
      <w:bookmarkEnd w:id="104"/>
      <w:bookmarkEnd w:id="105"/>
      <w:bookmarkEnd w:id="106"/>
      <w:bookmarkEnd w:id="107"/>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hAnsi="宋体" w:cs="宋体"/>
          <w:szCs w:val="24"/>
          <w:highlight w:val="none"/>
        </w:rPr>
      </w:pPr>
      <w:r>
        <w:rPr>
          <w:rFonts w:hint="eastAsia" w:hAnsi="宋体" w:cs="宋体"/>
          <w:szCs w:val="24"/>
          <w:highlight w:val="none"/>
        </w:rPr>
        <w:t>9、不发生其他有悖于政府采购公开、公平、公正和诚信原则的行为。</w:t>
      </w:r>
      <w:r>
        <w:rPr>
          <w:rFonts w:hint="eastAsia" w:hAnsi="宋体" w:cs="宋体"/>
          <w:szCs w:val="24"/>
          <w:highlight w:val="none"/>
        </w:rPr>
        <w:br w:type="textWrapping"/>
      </w:r>
      <w:r>
        <w:rPr>
          <w:rFonts w:hint="eastAsia" w:hAnsi="宋体" w:cs="宋体"/>
          <w:szCs w:val="24"/>
          <w:highlight w:val="none"/>
        </w:rPr>
        <w:t>承诺单位（盖章）：</w:t>
      </w:r>
      <w:r>
        <w:rPr>
          <w:rFonts w:hint="eastAsia" w:hAnsi="宋体" w:cs="宋体"/>
          <w:highlight w:val="none"/>
          <w:u w:val="single"/>
        </w:rPr>
        <w:t xml:space="preserve">                                   </w:t>
      </w:r>
    </w:p>
    <w:p>
      <w:pPr>
        <w:spacing w:line="600" w:lineRule="exact"/>
        <w:ind w:left="802" w:leftChars="334"/>
        <w:jc w:val="left"/>
        <w:rPr>
          <w:rFonts w:hint="eastAsia" w:hAnsi="宋体" w:cs="宋体"/>
          <w:szCs w:val="24"/>
          <w:highlight w:val="none"/>
        </w:rPr>
      </w:pPr>
      <w:r>
        <w:rPr>
          <w:rFonts w:hint="eastAsia" w:hAnsi="宋体" w:cs="宋体"/>
          <w:szCs w:val="24"/>
          <w:highlight w:val="none"/>
          <w:lang w:eastAsia="zh-CN"/>
        </w:rPr>
        <w:t>法定代表人</w:t>
      </w:r>
      <w:r>
        <w:rPr>
          <w:rFonts w:hint="eastAsia" w:hAnsi="宋体" w:cs="宋体"/>
          <w:szCs w:val="24"/>
          <w:highlight w:val="none"/>
          <w:lang w:val="en-US" w:eastAsia="zh-CN"/>
        </w:rPr>
        <w:t>/</w:t>
      </w:r>
      <w:r>
        <w:rPr>
          <w:rFonts w:hint="eastAsia" w:hAnsi="宋体" w:cs="宋体"/>
          <w:szCs w:val="24"/>
          <w:highlight w:val="none"/>
          <w:lang w:eastAsia="zh-CN"/>
        </w:rPr>
        <w:t>被授权</w:t>
      </w:r>
      <w:r>
        <w:rPr>
          <w:rFonts w:hint="eastAsia" w:hAnsi="宋体" w:cs="宋体"/>
          <w:szCs w:val="24"/>
          <w:highlight w:val="none"/>
        </w:rPr>
        <w:t>代表（签字）：</w:t>
      </w:r>
      <w:r>
        <w:rPr>
          <w:rFonts w:hint="eastAsia" w:hAnsi="宋体" w:cs="宋体"/>
          <w:highlight w:val="none"/>
          <w:u w:val="single"/>
        </w:rPr>
        <w:t xml:space="preserve">                                   </w:t>
      </w:r>
    </w:p>
    <w:p>
      <w:pPr>
        <w:spacing w:line="600" w:lineRule="exact"/>
        <w:ind w:left="802" w:leftChars="334"/>
        <w:jc w:val="left"/>
        <w:rPr>
          <w:rFonts w:hint="eastAsia" w:hAnsi="宋体" w:cs="宋体"/>
          <w:szCs w:val="24"/>
          <w:highlight w:val="none"/>
        </w:rPr>
      </w:pPr>
      <w:r>
        <w:rPr>
          <w:rFonts w:hint="eastAsia" w:hAnsi="宋体" w:cs="宋体"/>
          <w:szCs w:val="24"/>
          <w:highlight w:val="none"/>
        </w:rPr>
        <w:t xml:space="preserve">地    址： </w:t>
      </w:r>
      <w:r>
        <w:rPr>
          <w:rFonts w:hint="eastAsia" w:hAnsi="宋体" w:cs="宋体"/>
          <w:highlight w:val="none"/>
          <w:u w:val="single"/>
        </w:rPr>
        <w:t xml:space="preserve">                                   </w:t>
      </w:r>
    </w:p>
    <w:p>
      <w:pPr>
        <w:spacing w:line="600" w:lineRule="exact"/>
        <w:ind w:left="802" w:leftChars="334"/>
        <w:jc w:val="left"/>
        <w:rPr>
          <w:rFonts w:hint="eastAsia" w:hAnsi="宋体" w:cs="宋体"/>
          <w:szCs w:val="24"/>
          <w:highlight w:val="none"/>
        </w:rPr>
      </w:pPr>
      <w:r>
        <w:rPr>
          <w:rFonts w:hint="eastAsia" w:hAnsi="宋体" w:cs="宋体"/>
          <w:szCs w:val="24"/>
          <w:highlight w:val="none"/>
        </w:rPr>
        <w:t>邮    编：</w:t>
      </w:r>
      <w:r>
        <w:rPr>
          <w:rFonts w:hint="eastAsia" w:hAnsi="宋体" w:cs="宋体"/>
          <w:highlight w:val="none"/>
          <w:u w:val="single"/>
        </w:rPr>
        <w:t xml:space="preserve">                                   </w:t>
      </w:r>
    </w:p>
    <w:p>
      <w:pPr>
        <w:spacing w:line="600" w:lineRule="exact"/>
        <w:ind w:left="802" w:leftChars="334"/>
        <w:jc w:val="left"/>
        <w:rPr>
          <w:rFonts w:hint="eastAsia" w:hAnsi="宋体" w:cs="宋体"/>
          <w:szCs w:val="24"/>
          <w:highlight w:val="none"/>
        </w:rPr>
      </w:pPr>
      <w:r>
        <w:rPr>
          <w:rFonts w:hint="eastAsia" w:hAnsi="宋体" w:cs="宋体"/>
          <w:szCs w:val="24"/>
          <w:highlight w:val="none"/>
        </w:rPr>
        <w:t>电    话：</w:t>
      </w:r>
      <w:r>
        <w:rPr>
          <w:rFonts w:hint="eastAsia" w:hAnsi="宋体" w:cs="宋体"/>
          <w:highlight w:val="none"/>
          <w:u w:val="single"/>
        </w:rPr>
        <w:t xml:space="preserve">                                   </w:t>
      </w:r>
    </w:p>
    <w:p>
      <w:pPr>
        <w:spacing w:line="600" w:lineRule="exact"/>
        <w:ind w:left="802" w:leftChars="334"/>
        <w:jc w:val="center"/>
        <w:rPr>
          <w:rFonts w:hint="eastAsia" w:hAnsi="宋体" w:cs="宋体"/>
          <w:szCs w:val="24"/>
          <w:highlight w:val="none"/>
        </w:rPr>
      </w:pPr>
      <w:r>
        <w:rPr>
          <w:rFonts w:hint="eastAsia" w:hAnsi="宋体" w:cs="宋体"/>
          <w:szCs w:val="24"/>
          <w:highlight w:val="none"/>
        </w:rPr>
        <w:t xml:space="preserve">                    年    月    日</w:t>
      </w:r>
    </w:p>
    <w:p>
      <w:pPr>
        <w:pStyle w:val="5"/>
        <w:bidi w:val="0"/>
        <w:rPr>
          <w:rFonts w:hint="eastAsia" w:hAnsi="宋体" w:cs="宋体"/>
          <w:szCs w:val="24"/>
          <w:highlight w:val="none"/>
        </w:rPr>
      </w:pPr>
      <w:r>
        <w:rPr>
          <w:rFonts w:hint="eastAsia" w:hAnsi="宋体" w:cs="宋体"/>
          <w:szCs w:val="24"/>
          <w:highlight w:val="none"/>
        </w:rPr>
        <w:br w:type="page"/>
      </w:r>
      <w:bookmarkStart w:id="108" w:name="_Toc403077657"/>
      <w:bookmarkStart w:id="109" w:name="_Toc363474034"/>
      <w:bookmarkStart w:id="110" w:name="_Toc23232"/>
      <w:bookmarkStart w:id="111" w:name="_Toc16060"/>
      <w:r>
        <w:rPr>
          <w:rFonts w:hint="eastAsia" w:ascii="Times New Roman" w:hAnsi="宋体" w:cs="宋体"/>
          <w:b/>
          <w:bCs/>
          <w:sz w:val="32"/>
          <w:szCs w:val="32"/>
          <w:highlight w:val="none"/>
          <w:lang w:eastAsia="zh-CN"/>
        </w:rPr>
        <w:t>七</w:t>
      </w:r>
      <w:r>
        <w:rPr>
          <w:rFonts w:hint="eastAsia" w:ascii="Times New Roman" w:hAnsi="宋体" w:cs="宋体"/>
          <w:b/>
          <w:bCs/>
          <w:sz w:val="32"/>
          <w:szCs w:val="32"/>
          <w:highlight w:val="none"/>
        </w:rPr>
        <w:t>、</w:t>
      </w:r>
      <w:r>
        <w:rPr>
          <w:rFonts w:hint="eastAsia" w:hAnsi="宋体" w:cs="宋体"/>
          <w:b/>
          <w:bCs/>
          <w:sz w:val="32"/>
          <w:szCs w:val="32"/>
          <w:highlight w:val="none"/>
        </w:rPr>
        <w:t>资格证明文件</w:t>
      </w:r>
      <w:bookmarkEnd w:id="108"/>
      <w:bookmarkEnd w:id="109"/>
      <w:bookmarkEnd w:id="110"/>
      <w:bookmarkEnd w:id="111"/>
    </w:p>
    <w:p>
      <w:pPr>
        <w:rPr>
          <w:rFonts w:hint="eastAsia" w:hAnsi="宋体" w:cs="宋体"/>
          <w:szCs w:val="24"/>
          <w:highlight w:val="none"/>
        </w:rPr>
      </w:pP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1、提供合格有效的法人或者其他组织的营业执照等证明文件，自然人的身份证明；</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2、提供法定代表人授权书（附法定代表人、被授权人身份证复印件）及被授权人身份证原件（法定代表人直接参加磋商，须提供法定代表人身份证明及身份证原件）；</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4、税收缴纳证明：提供磋商截止日前一年内已缴纳的至少一个月的纳税证明或完税证明（任意税种），依法免税的单位应提供相关证明材料；</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 xml:space="preserve">6、提供具有履行本合同所必需的设备和专业技术能力的说明及承诺书； </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7、供应商应通过“信用中国”网站(www.creditchina.gov.cn)、中国政府采购网(www.ccgp.gov.cn) 查询相关主体信用记录；</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8、参加政府采购活动前3年内，在经营活动中没有重大违法记录的书面声明；</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9、提供磋商保证金缴纳凭证或担保机构出具的保函；</w:t>
      </w:r>
    </w:p>
    <w:p>
      <w:pPr>
        <w:pStyle w:val="17"/>
        <w:shd w:val="clear" w:color="auto" w:fill="FFFFFF"/>
        <w:spacing w:before="0" w:beforeAutospacing="0" w:after="0" w:afterAutospacing="0" w:line="510" w:lineRule="atLeast"/>
        <w:ind w:firstLine="420"/>
        <w:rPr>
          <w:rFonts w:hint="eastAsia" w:ascii="新宋体" w:hAnsi="新宋体" w:eastAsia="新宋体" w:cs="新宋体"/>
          <w:color w:val="333333"/>
          <w:highlight w:val="none"/>
          <w:shd w:val="clear" w:color="auto" w:fill="FFFFFF"/>
        </w:rPr>
      </w:pPr>
      <w:r>
        <w:rPr>
          <w:rFonts w:hint="eastAsia" w:ascii="新宋体" w:hAnsi="新宋体" w:eastAsia="新宋体" w:cs="新宋体"/>
          <w:color w:val="333333"/>
          <w:highlight w:val="none"/>
          <w:shd w:val="clear" w:color="auto" w:fill="FFFFFF"/>
        </w:rPr>
        <w:t>10、本项目各包不接受联合体磋商。</w:t>
      </w:r>
    </w:p>
    <w:p>
      <w:pPr>
        <w:pStyle w:val="8"/>
        <w:rPr>
          <w:rFonts w:ascii="宋体" w:hAnsi="宋体" w:cs="宋体"/>
          <w:b/>
          <w:bCs/>
          <w:sz w:val="30"/>
          <w:szCs w:val="30"/>
          <w:highlight w:val="none"/>
        </w:rPr>
      </w:pPr>
      <w:r>
        <w:rPr>
          <w:rFonts w:hint="eastAsia" w:hAnsi="宋体" w:cs="宋体"/>
          <w:b/>
          <w:sz w:val="30"/>
          <w:szCs w:val="30"/>
          <w:highlight w:val="none"/>
        </w:rPr>
        <w:br w:type="page"/>
      </w:r>
      <w:r>
        <w:rPr>
          <w:rFonts w:hint="eastAsia" w:ascii="宋体" w:hAnsi="宋体" w:cs="宋体"/>
          <w:b/>
          <w:bCs/>
          <w:sz w:val="30"/>
          <w:szCs w:val="30"/>
          <w:highlight w:val="none"/>
        </w:rPr>
        <w:t>附件1：</w:t>
      </w:r>
    </w:p>
    <w:p>
      <w:pPr>
        <w:spacing w:before="333" w:beforeLines="100"/>
        <w:jc w:val="center"/>
        <w:rPr>
          <w:rFonts w:hAnsi="宋体" w:cs="宋体"/>
          <w:sz w:val="30"/>
          <w:szCs w:val="30"/>
          <w:highlight w:val="none"/>
        </w:rPr>
      </w:pPr>
      <w:r>
        <w:rPr>
          <w:rFonts w:hint="eastAsia" w:hAnsi="宋体" w:cs="宋体"/>
          <w:sz w:val="30"/>
          <w:szCs w:val="30"/>
          <w:highlight w:val="none"/>
        </w:rPr>
        <w:t>法定代表人身份证明/法定代表人授权书</w:t>
      </w:r>
    </w:p>
    <w:p>
      <w:pPr>
        <w:pStyle w:val="8"/>
        <w:spacing w:before="166" w:beforeLines="5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6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（投标人名称）的法定代表人。</w:t>
      </w:r>
    </w:p>
    <w:p>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6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5" w:hRule="atLeast"/>
        </w:trPr>
        <w:tc>
          <w:tcPr>
            <w:tcW w:w="5868" w:type="dxa"/>
            <w:noWrap w:val="0"/>
            <w:vAlign w:val="center"/>
          </w:tcPr>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p>
            <w:pPr>
              <w:autoSpaceDE w:val="0"/>
              <w:autoSpaceDN w:val="0"/>
              <w:adjustRightInd w:val="0"/>
              <w:snapToGrid w:val="0"/>
              <w:spacing w:before="16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pPr>
              <w:pStyle w:val="8"/>
              <w:jc w:val="center"/>
              <w:rPr>
                <w:rFonts w:ascii="宋体" w:hAnsi="宋体" w:cs="宋体"/>
                <w:highlight w:val="none"/>
              </w:rPr>
            </w:pPr>
            <w:r>
              <w:rPr>
                <w:rFonts w:hint="eastAsia" w:ascii="宋体" w:hAnsi="宋体" w:cs="宋体"/>
                <w:szCs w:val="21"/>
                <w:highlight w:val="none"/>
              </w:rPr>
              <w:t>（正反面）</w:t>
            </w:r>
          </w:p>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tc>
      </w:tr>
    </w:tbl>
    <w:p>
      <w:pPr>
        <w:snapToGrid w:val="0"/>
        <w:spacing w:line="480" w:lineRule="auto"/>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adjustRightInd w:val="0"/>
        <w:snapToGrid w:val="0"/>
        <w:spacing w:line="360" w:lineRule="auto"/>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r>
        <w:rPr>
          <w:rFonts w:hint="eastAsia" w:hAnsi="宋体" w:cs="宋体"/>
          <w:highlight w:val="none"/>
        </w:rPr>
        <w:t>投标人名称（公章）：</w:t>
      </w:r>
    </w:p>
    <w:p>
      <w:pPr>
        <w:adjustRightInd w:val="0"/>
        <w:snapToGrid w:val="0"/>
        <w:spacing w:line="360" w:lineRule="auto"/>
        <w:ind w:right="420"/>
        <w:rPr>
          <w:rFonts w:hAnsi="宋体" w:cs="宋体"/>
          <w:highlight w:val="none"/>
        </w:rPr>
      </w:pPr>
      <w:r>
        <w:rPr>
          <w:rFonts w:hint="eastAsia" w:hAnsi="宋体" w:cs="宋体"/>
          <w:highlight w:val="none"/>
        </w:rPr>
        <w:t>日期：    年  月  日</w:t>
      </w:r>
    </w:p>
    <w:p>
      <w:pPr>
        <w:adjustRightInd w:val="0"/>
        <w:snapToGrid w:val="0"/>
        <w:spacing w:line="360" w:lineRule="auto"/>
        <w:ind w:right="420"/>
        <w:rPr>
          <w:rFonts w:hAnsi="宋体" w:cs="宋体"/>
          <w:highlight w:val="none"/>
        </w:rPr>
      </w:pPr>
    </w:p>
    <w:p>
      <w:pPr>
        <w:rPr>
          <w:rFonts w:hint="eastAsia" w:hAnsi="宋体" w:cs="宋体"/>
          <w:sz w:val="32"/>
          <w:szCs w:val="32"/>
          <w:highlight w:val="none"/>
        </w:rPr>
      </w:pPr>
    </w:p>
    <w:p>
      <w:pPr>
        <w:keepNext/>
        <w:spacing w:before="333" w:beforeLines="100"/>
        <w:jc w:val="center"/>
        <w:rPr>
          <w:rFonts w:hAnsi="宋体" w:cs="宋体"/>
          <w:sz w:val="32"/>
          <w:szCs w:val="32"/>
          <w:highlight w:val="none"/>
        </w:rPr>
      </w:pPr>
      <w:r>
        <w:rPr>
          <w:rFonts w:hint="eastAsia" w:hAnsi="宋体" w:cs="宋体"/>
          <w:sz w:val="32"/>
          <w:szCs w:val="32"/>
          <w:highlight w:val="none"/>
        </w:rPr>
        <w:t>法定代表人授权书</w:t>
      </w:r>
    </w:p>
    <w:p>
      <w:pPr>
        <w:spacing w:line="560" w:lineRule="exact"/>
        <w:jc w:val="left"/>
        <w:rPr>
          <w:rFonts w:hint="eastAsia" w:hAnsi="宋体" w:eastAsia="宋体" w:cs="宋体"/>
          <w:spacing w:val="4"/>
          <w:szCs w:val="24"/>
          <w:highlight w:val="none"/>
          <w:lang w:eastAsia="zh-CN"/>
        </w:rPr>
      </w:pPr>
      <w:r>
        <w:rPr>
          <w:rFonts w:hint="eastAsia" w:hAnsi="宋体" w:cs="宋体"/>
          <w:b/>
          <w:spacing w:val="4"/>
          <w:szCs w:val="24"/>
          <w:highlight w:val="none"/>
        </w:rPr>
        <w:t>致：</w:t>
      </w:r>
      <w:r>
        <w:rPr>
          <w:rFonts w:hint="eastAsia" w:hAnsi="宋体" w:cs="宋体"/>
          <w:b/>
          <w:spacing w:val="4"/>
          <w:szCs w:val="24"/>
          <w:highlight w:val="none"/>
          <w:u w:val="single"/>
          <w:lang w:eastAsia="zh-CN"/>
        </w:rPr>
        <w:t>陕西至诚招标咨询有限公司</w:t>
      </w:r>
    </w:p>
    <w:p>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 xml:space="preserve">(投标人名称)   </w:t>
      </w:r>
      <w:r>
        <w:rPr>
          <w:rFonts w:hint="eastAsia" w:hAnsi="宋体" w:cs="宋体"/>
          <w:spacing w:val="4"/>
          <w:szCs w:val="24"/>
          <w:highlight w:val="none"/>
        </w:rPr>
        <w:t>按中华人民共和国法律于</w:t>
      </w:r>
      <w:r>
        <w:rPr>
          <w:rFonts w:hint="eastAsia" w:hAnsi="宋体" w:cs="宋体"/>
          <w:spacing w:val="4"/>
          <w:szCs w:val="24"/>
          <w:highlight w:val="none"/>
          <w:u w:val="single"/>
        </w:rPr>
        <w:t xml:space="preserve">（  年  月  日 ）  </w:t>
      </w:r>
      <w:r>
        <w:rPr>
          <w:rFonts w:hint="eastAsia" w:hAnsi="宋体" w:cs="宋体"/>
          <w:spacing w:val="4"/>
          <w:szCs w:val="24"/>
          <w:highlight w:val="none"/>
        </w:rPr>
        <w:t>成立。</w:t>
      </w:r>
      <w:r>
        <w:rPr>
          <w:rFonts w:hint="eastAsia" w:hAnsi="宋体" w:cs="宋体"/>
          <w:spacing w:val="4"/>
          <w:szCs w:val="24"/>
          <w:highlight w:val="none"/>
          <w:u w:val="single"/>
        </w:rPr>
        <w:t>(</w:t>
      </w:r>
      <w:r>
        <w:rPr>
          <w:rFonts w:hint="eastAsia" w:hAnsi="宋体" w:cs="宋体"/>
          <w:szCs w:val="24"/>
          <w:highlight w:val="none"/>
          <w:u w:val="single"/>
        </w:rPr>
        <w:t>法定代表人</w:t>
      </w:r>
      <w:r>
        <w:rPr>
          <w:rFonts w:hint="eastAsia" w:hAnsi="宋体" w:cs="宋体"/>
          <w:spacing w:val="4"/>
          <w:szCs w:val="24"/>
          <w:highlight w:val="none"/>
          <w:u w:val="single"/>
        </w:rPr>
        <w:t>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（项目名称、项目编号</w:t>
      </w:r>
      <w:r>
        <w:rPr>
          <w:rFonts w:hint="eastAsia" w:hAnsi="宋体" w:cs="宋体"/>
          <w:spacing w:val="4"/>
          <w:szCs w:val="24"/>
          <w:highlight w:val="none"/>
          <w:u w:val="single"/>
          <w:lang w:eastAsia="zh-CN"/>
        </w:rPr>
        <w:t>、包号</w:t>
      </w:r>
      <w:r>
        <w:rPr>
          <w:rFonts w:hint="eastAsia" w:hAnsi="宋体" w:cs="宋体"/>
          <w:spacing w:val="4"/>
          <w:szCs w:val="24"/>
          <w:highlight w:val="none"/>
          <w:u w:val="single"/>
        </w:rPr>
        <w:t xml:space="preserve">）    </w:t>
      </w:r>
      <w:r>
        <w:rPr>
          <w:rFonts w:hint="eastAsia" w:hAnsi="宋体" w:cs="宋体"/>
          <w:spacing w:val="4"/>
          <w:szCs w:val="24"/>
          <w:highlight w:val="none"/>
        </w:rPr>
        <w:t>投标、谈判、签约等具体工作，并签署全部有关的文件、协议及合同。</w:t>
      </w:r>
    </w:p>
    <w:p>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6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highlight w:val="none"/>
          <w:lang w:val="zh-CN"/>
        </w:rPr>
        <w:t>自开标之日起</w:t>
      </w:r>
      <w:r>
        <w:rPr>
          <w:rFonts w:hint="eastAsia" w:hAnsi="宋体" w:cs="宋体"/>
          <w:highlight w:val="none"/>
        </w:rPr>
        <w:t>90</w:t>
      </w:r>
      <w:r>
        <w:rPr>
          <w:rFonts w:hint="eastAsia" w:hAnsi="宋体" w:cs="宋体"/>
          <w:highlight w:val="none"/>
          <w:lang w:val="zh-CN"/>
        </w:rPr>
        <w:t>天。</w:t>
      </w:r>
    </w:p>
    <w:tbl>
      <w:tblPr>
        <w:tblStyle w:val="19"/>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noWrap w:val="0"/>
            <w:vAlign w:val="top"/>
          </w:tcPr>
          <w:p>
            <w:pPr>
              <w:spacing w:line="520" w:lineRule="exact"/>
              <w:jc w:val="left"/>
              <w:rPr>
                <w:rFonts w:hAnsi="宋体" w:cs="宋体"/>
                <w:spacing w:val="4"/>
                <w:szCs w:val="24"/>
                <w:highlight w:val="none"/>
              </w:rPr>
            </w:pPr>
            <w:r>
              <w:rPr>
                <w:rFonts w:hint="eastAsia" w:hAnsi="宋体" w:cs="宋体"/>
                <w:szCs w:val="24"/>
                <w:highlight w:val="none"/>
              </w:rPr>
              <w:t>法定代表人</w:t>
            </w:r>
            <w:r>
              <w:rPr>
                <w:rFonts w:hint="eastAsia" w:hAnsi="宋体" w:cs="宋体"/>
                <w:spacing w:val="4"/>
                <w:szCs w:val="24"/>
                <w:highlight w:val="none"/>
              </w:rPr>
              <w:t>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Ansi="宋体" w:cs="宋体"/>
                <w:spacing w:val="4"/>
                <w:szCs w:val="24"/>
                <w:highlight w:val="none"/>
              </w:rPr>
            </w:pPr>
            <w:r>
              <w:rPr>
                <w:rFonts w:hint="eastAsia" w:hAnsi="宋体" w:cs="宋体"/>
                <w:spacing w:val="4"/>
                <w:szCs w:val="24"/>
                <w:highlight w:val="none"/>
              </w:rPr>
              <w:t>职务：</w:t>
            </w:r>
          </w:p>
        </w:tc>
        <w:tc>
          <w:tcPr>
            <w:tcW w:w="3990" w:type="dxa"/>
            <w:noWrap w:val="0"/>
            <w:vAlign w:val="top"/>
          </w:tcPr>
          <w:p>
            <w:pPr>
              <w:spacing w:line="520" w:lineRule="exact"/>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c>
          <w:tcPr>
            <w:tcW w:w="3990" w:type="dxa"/>
            <w:noWrap w:val="0"/>
            <w:vAlign w:val="top"/>
          </w:tcPr>
          <w:p>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Ansi="宋体" w:cs="宋体"/>
                <w:spacing w:val="4"/>
                <w:szCs w:val="24"/>
                <w:highlight w:val="none"/>
              </w:rPr>
            </w:pPr>
            <w:r>
              <w:rPr>
                <w:rFonts w:hint="eastAsia" w:hAnsi="宋体" w:cs="宋体"/>
                <w:spacing w:val="4"/>
                <w:szCs w:val="24"/>
                <w:highlight w:val="none"/>
              </w:rPr>
              <w:t>所在部门：</w:t>
            </w:r>
          </w:p>
        </w:tc>
        <w:tc>
          <w:tcPr>
            <w:tcW w:w="3990" w:type="dxa"/>
            <w:noWrap w:val="0"/>
            <w:vAlign w:val="top"/>
          </w:tcPr>
          <w:p>
            <w:pPr>
              <w:spacing w:line="520" w:lineRule="exact"/>
              <w:jc w:val="left"/>
              <w:rPr>
                <w:rFonts w:hAnsi="宋体" w:cs="宋体"/>
                <w:spacing w:val="4"/>
                <w:szCs w:val="24"/>
                <w:highlight w:val="none"/>
              </w:rPr>
            </w:pPr>
          </w:p>
        </w:tc>
      </w:tr>
    </w:tbl>
    <w:p>
      <w:pPr>
        <w:spacing w:line="520" w:lineRule="exact"/>
        <w:ind w:firstLine="496" w:firstLineChars="200"/>
        <w:jc w:val="left"/>
        <w:rPr>
          <w:rFonts w:hAnsi="宋体" w:cs="宋体"/>
          <w:spacing w:val="4"/>
          <w:szCs w:val="24"/>
          <w:highlight w:val="none"/>
        </w:rPr>
      </w:pPr>
    </w:p>
    <w:p>
      <w:pPr>
        <w:spacing w:before="240" w:line="360" w:lineRule="auto"/>
        <w:ind w:firstLine="960" w:firstLineChars="400"/>
        <w:rPr>
          <w:rFonts w:hAnsi="宋体" w:cs="宋体"/>
          <w:color w:val="000000"/>
          <w:highlight w:val="none"/>
          <w:u w:val="single"/>
        </w:rPr>
      </w:pPr>
      <w:r>
        <w:rPr>
          <w:rFonts w:hint="eastAsia" w:hAnsi="宋体" w:cs="宋体"/>
          <w:color w:val="000000"/>
          <w:highlight w:val="none"/>
          <w:lang w:val="zh-CN"/>
        </w:rPr>
        <w:t>附法定代表人</w:t>
      </w:r>
      <w:r>
        <w:rPr>
          <w:rFonts w:hint="eastAsia" w:hAnsi="宋体" w:cs="宋体"/>
          <w:color w:val="000000"/>
          <w:highlight w:val="none"/>
        </w:rPr>
        <w:t>、</w:t>
      </w:r>
      <w:r>
        <w:rPr>
          <w:rFonts w:hint="eastAsia" w:hAnsi="宋体" w:cs="宋体"/>
          <w:color w:val="000000"/>
          <w:highlight w:val="none"/>
          <w:lang w:val="zh-CN"/>
        </w:rPr>
        <w:t>授权代表身份证复印件</w:t>
      </w:r>
    </w:p>
    <w:tbl>
      <w:tblPr>
        <w:tblStyle w:val="19"/>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Ansi="宋体" w:cs="宋体"/>
                <w:color w:val="000000"/>
                <w:szCs w:val="21"/>
                <w:highlight w:val="none"/>
                <w:lang w:val="zh-CN"/>
              </w:rPr>
            </w:pPr>
            <w:r>
              <w:rPr>
                <w:rFonts w:hint="eastAsia" w:hAnsi="宋体" w:cs="宋体"/>
                <w:color w:val="000000"/>
                <w:szCs w:val="21"/>
                <w:highlight w:val="none"/>
                <w:lang w:val="zh-CN"/>
              </w:rPr>
              <w:t>法定代表人身份证复印件粘贴处</w:t>
            </w:r>
          </w:p>
          <w:p>
            <w:pPr>
              <w:spacing w:line="360" w:lineRule="auto"/>
              <w:jc w:val="center"/>
              <w:rPr>
                <w:rFonts w:hAnsi="宋体" w:cs="宋体"/>
                <w:color w:val="000000"/>
                <w:szCs w:val="21"/>
                <w:highlight w:val="none"/>
                <w:u w:val="single"/>
              </w:rPr>
            </w:pPr>
            <w:r>
              <w:rPr>
                <w:rFonts w:hint="eastAsia" w:hAnsi="宋体" w:cs="宋体"/>
                <w:color w:val="000000"/>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before="166" w:beforeLines="50" w:line="360" w:lineRule="auto"/>
              <w:jc w:val="center"/>
              <w:rPr>
                <w:rFonts w:hAnsi="宋体" w:cs="宋体"/>
                <w:color w:val="000000"/>
                <w:szCs w:val="21"/>
                <w:highlight w:val="none"/>
              </w:rPr>
            </w:pPr>
            <w:r>
              <w:rPr>
                <w:rFonts w:hint="eastAsia" w:hAnsi="宋体" w:cs="宋体"/>
                <w:szCs w:val="24"/>
                <w:highlight w:val="none"/>
              </w:rPr>
              <w:t>授权代表</w:t>
            </w:r>
            <w:r>
              <w:rPr>
                <w:rFonts w:hint="eastAsia" w:hAnsi="宋体" w:cs="宋体"/>
                <w:color w:val="000000"/>
                <w:szCs w:val="21"/>
                <w:highlight w:val="none"/>
              </w:rPr>
              <w:t>身份证复印件粘贴处</w:t>
            </w:r>
          </w:p>
          <w:p>
            <w:pPr>
              <w:autoSpaceDE w:val="0"/>
              <w:autoSpaceDN w:val="0"/>
              <w:adjustRightInd w:val="0"/>
              <w:snapToGrid w:val="0"/>
              <w:spacing w:before="166" w:beforeLines="50" w:line="360" w:lineRule="auto"/>
              <w:jc w:val="center"/>
              <w:rPr>
                <w:rFonts w:hAnsi="宋体" w:cs="宋体"/>
                <w:color w:val="000000"/>
                <w:highlight w:val="none"/>
                <w:u w:val="single"/>
              </w:rPr>
            </w:pPr>
            <w:r>
              <w:rPr>
                <w:rFonts w:hint="eastAsia" w:hAnsi="宋体" w:cs="宋体"/>
                <w:color w:val="000000"/>
                <w:szCs w:val="21"/>
                <w:highlight w:val="none"/>
              </w:rPr>
              <w:t>（正反面）</w:t>
            </w:r>
          </w:p>
        </w:tc>
      </w:tr>
    </w:tbl>
    <w:p>
      <w:pPr>
        <w:spacing w:line="480" w:lineRule="auto"/>
        <w:ind w:left="485" w:leftChars="202" w:right="617" w:rightChars="257"/>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（加盖单位公章）      </w:t>
      </w:r>
    </w:p>
    <w:p>
      <w:pPr>
        <w:spacing w:line="440" w:lineRule="exact"/>
        <w:ind w:left="485" w:leftChars="202"/>
        <w:rPr>
          <w:rFonts w:hAnsi="宋体" w:cs="宋体"/>
          <w:spacing w:val="4"/>
          <w:szCs w:val="30"/>
          <w:highlight w:val="none"/>
        </w:rPr>
      </w:pPr>
      <w:r>
        <w:rPr>
          <w:rFonts w:hint="eastAsia" w:hAnsi="宋体" w:cs="宋体"/>
          <w:spacing w:val="4"/>
          <w:szCs w:val="30"/>
          <w:highlight w:val="none"/>
        </w:rPr>
        <w:t>日   期：</w:t>
      </w:r>
    </w:p>
    <w:p>
      <w:pPr>
        <w:ind w:firstLine="482" w:firstLineChars="200"/>
        <w:rPr>
          <w:rFonts w:hAnsi="宋体" w:cs="宋体"/>
          <w:b/>
          <w:bCs/>
          <w:highlight w:val="none"/>
          <w:lang w:val="zh-CN"/>
        </w:rPr>
      </w:pP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r>
        <w:rPr>
          <w:rFonts w:hint="eastAsia" w:hAnsi="宋体" w:cs="宋体"/>
          <w:spacing w:val="4"/>
          <w:szCs w:val="30"/>
          <w:highlight w:val="none"/>
        </w:rPr>
        <w:br w:type="page"/>
      </w:r>
      <w:r>
        <w:rPr>
          <w:rFonts w:hint="eastAsia" w:ascii="宋体" w:hAnsi="宋体" w:eastAsia="宋体" w:cs="宋体"/>
          <w:b/>
          <w:bCs/>
          <w:i w:val="0"/>
          <w:iCs w:val="0"/>
          <w:caps w:val="0"/>
          <w:color w:val="333333"/>
          <w:spacing w:val="0"/>
          <w:sz w:val="32"/>
          <w:szCs w:val="32"/>
          <w:highlight w:val="none"/>
          <w:shd w:val="clear" w:fill="FFFFFF"/>
        </w:rPr>
        <w:t>保证金缴纳凭证</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p>
    <w:tbl>
      <w:tblPr>
        <w:tblStyle w:val="19"/>
        <w:tblW w:w="8700" w:type="dxa"/>
        <w:tblInd w:w="96" w:type="dxa"/>
        <w:shd w:val="clear" w:color="auto" w:fill="auto"/>
        <w:tblLayout w:type="fixed"/>
        <w:tblCellMar>
          <w:top w:w="0" w:type="dxa"/>
          <w:left w:w="108" w:type="dxa"/>
          <w:bottom w:w="0" w:type="dxa"/>
          <w:right w:w="108" w:type="dxa"/>
        </w:tblCellMar>
      </w:tblPr>
      <w:tblGrid>
        <w:gridCol w:w="2055"/>
        <w:gridCol w:w="6645"/>
      </w:tblGrid>
      <w:tr>
        <w:tblPrEx>
          <w:shd w:val="clear" w:color="auto" w:fill="auto"/>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投标保证金</w:t>
            </w:r>
          </w:p>
        </w:tc>
      </w:tr>
      <w:tr>
        <w:tblPrEx>
          <w:shd w:val="clear" w:color="auto" w:fill="auto"/>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项目名称：</w:t>
            </w:r>
          </w:p>
        </w:tc>
      </w:tr>
      <w:tr>
        <w:tblPrEx>
          <w:shd w:val="clear" w:color="auto" w:fill="auto"/>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项目编号：</w:t>
            </w:r>
          </w:p>
        </w:tc>
      </w:tr>
      <w:tr>
        <w:tblPrEx>
          <w:shd w:val="clear" w:color="auto" w:fill="auto"/>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shd w:val="clear" w:color="auto" w:fill="auto"/>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51"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附件：保证金缴纳凭证</w:t>
            </w:r>
          </w:p>
        </w:tc>
      </w:tr>
      <w:tr>
        <w:tblPrEx>
          <w:tblCellMar>
            <w:top w:w="0" w:type="dxa"/>
            <w:left w:w="108" w:type="dxa"/>
            <w:bottom w:w="0" w:type="dxa"/>
            <w:right w:w="108" w:type="dxa"/>
          </w:tblCellMar>
        </w:tblPrEx>
        <w:trPr>
          <w:trHeight w:val="806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rPr>
          <w:rFonts w:hint="eastAsia" w:hAnsi="宋体" w:cs="宋体"/>
          <w:color w:val="auto"/>
          <w:spacing w:val="4"/>
          <w:szCs w:val="30"/>
          <w:highlight w:val="none"/>
        </w:rPr>
      </w:pPr>
      <w:r>
        <w:rPr>
          <w:rFonts w:hint="eastAsia" w:hAnsi="宋体" w:cs="宋体"/>
          <w:color w:val="auto"/>
          <w:spacing w:val="4"/>
          <w:szCs w:val="30"/>
          <w:highlight w:val="none"/>
        </w:rPr>
        <w:br w:type="page"/>
      </w:r>
    </w:p>
    <w:p>
      <w:pPr>
        <w:widowControl/>
        <w:spacing w:line="360" w:lineRule="auto"/>
        <w:ind w:left="1" w:firstLine="281" w:firstLineChars="100"/>
        <w:rPr>
          <w:rFonts w:hint="eastAsia" w:ascii="宋体" w:hAnsi="宋体" w:eastAsia="宋体" w:cs="宋体"/>
          <w:b/>
          <w:kern w:val="0"/>
          <w:sz w:val="28"/>
          <w:szCs w:val="28"/>
          <w:highlight w:val="none"/>
        </w:rPr>
      </w:pPr>
    </w:p>
    <w:p>
      <w:pPr>
        <w:widowControl/>
        <w:spacing w:line="360" w:lineRule="auto"/>
        <w:ind w:left="1" w:firstLine="281" w:firstLineChars="1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7"/>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7"/>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7"/>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7"/>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7"/>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7"/>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ascii="宋体" w:hAnsi="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11"/>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11"/>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11"/>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11"/>
        <w:adjustRightInd w:val="0"/>
        <w:snapToGrid w:val="0"/>
        <w:spacing w:line="720" w:lineRule="exact"/>
        <w:rPr>
          <w:rFonts w:hint="eastAsia" w:ascii="宋体" w:hAnsi="宋体" w:eastAsia="宋体" w:cs="宋体"/>
          <w:spacing w:val="4"/>
          <w:sz w:val="24"/>
          <w:szCs w:val="24"/>
          <w:highlight w:val="none"/>
        </w:rPr>
      </w:pPr>
    </w:p>
    <w:p>
      <w:pPr>
        <w:pStyle w:val="11"/>
        <w:adjustRightInd w:val="0"/>
        <w:snapToGrid w:val="0"/>
        <w:spacing w:line="720" w:lineRule="exact"/>
        <w:rPr>
          <w:rFonts w:hint="eastAsia" w:ascii="宋体" w:hAnsi="宋体" w:eastAsia="宋体" w:cs="宋体"/>
          <w:spacing w:val="4"/>
          <w:sz w:val="24"/>
          <w:szCs w:val="24"/>
          <w:highlight w:val="none"/>
        </w:rPr>
      </w:pPr>
    </w:p>
    <w:p>
      <w:pPr>
        <w:pStyle w:val="11"/>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6"/>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hAnsi="宋体" w:cs="宋体"/>
          <w:spacing w:val="4"/>
          <w:szCs w:val="30"/>
          <w:highlight w:val="none"/>
        </w:rPr>
      </w:pPr>
      <w:r>
        <w:rPr>
          <w:rFonts w:hint="eastAsia" w:hAnsi="宋体" w:cs="宋体"/>
          <w:spacing w:val="4"/>
          <w:szCs w:val="30"/>
          <w:highlight w:val="none"/>
        </w:rPr>
        <w:br w:type="page"/>
      </w:r>
    </w:p>
    <w:p>
      <w:pPr>
        <w:spacing w:line="360" w:lineRule="auto"/>
        <w:rPr>
          <w:rFonts w:hint="eastAsia" w:hAnsi="宋体" w:cs="宋体"/>
          <w:b/>
          <w:szCs w:val="24"/>
          <w:highlight w:val="none"/>
        </w:rPr>
      </w:pPr>
      <w:r>
        <w:rPr>
          <w:rFonts w:hint="eastAsia" w:hAnsi="宋体" w:cs="宋体"/>
          <w:b/>
          <w:szCs w:val="24"/>
          <w:highlight w:val="none"/>
        </w:rPr>
        <w:t>附件</w:t>
      </w:r>
      <w:r>
        <w:rPr>
          <w:rFonts w:hint="eastAsia" w:hAnsi="宋体" w:cs="宋体"/>
          <w:b/>
          <w:szCs w:val="24"/>
          <w:highlight w:val="none"/>
          <w:lang w:val="en-US" w:eastAsia="zh-CN"/>
        </w:rPr>
        <w:t>2</w:t>
      </w:r>
      <w:r>
        <w:rPr>
          <w:rFonts w:hint="eastAsia" w:hAnsi="宋体" w:cs="宋体"/>
          <w:b/>
          <w:szCs w:val="24"/>
          <w:highlight w:val="none"/>
        </w:rPr>
        <w:t>（如用）：</w:t>
      </w:r>
    </w:p>
    <w:p>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pPr>
        <w:tabs>
          <w:tab w:val="left" w:pos="1620"/>
          <w:tab w:val="left" w:pos="1800"/>
        </w:tabs>
        <w:spacing w:line="500" w:lineRule="exact"/>
        <w:rPr>
          <w:rFonts w:hint="eastAsia" w:hAnsi="宋体" w:cs="宋体"/>
          <w:sz w:val="21"/>
          <w:szCs w:val="21"/>
          <w:highlight w:val="none"/>
        </w:rPr>
      </w:pPr>
      <w:r>
        <w:rPr>
          <w:rFonts w:hint="eastAsia" w:hAnsi="宋体" w:cs="宋体"/>
          <w:sz w:val="21"/>
          <w:szCs w:val="21"/>
          <w:highlight w:val="none"/>
        </w:rPr>
        <w:t>备注：</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lang w:val="en-US" w:eastAsia="zh-CN"/>
        </w:rPr>
        <w:t>1.</w:t>
      </w:r>
      <w:r>
        <w:rPr>
          <w:rFonts w:hint="eastAsia" w:hAnsi="宋体" w:cs="宋体"/>
          <w:szCs w:val="24"/>
          <w:highlight w:val="none"/>
          <w:lang w:eastAsia="zh-CN"/>
        </w:rPr>
        <w:t>资产总额：</w:t>
      </w:r>
      <w:r>
        <w:rPr>
          <w:rFonts w:hint="eastAsia" w:hAnsi="宋体" w:cs="宋体"/>
          <w:szCs w:val="24"/>
          <w:highlight w:val="none"/>
        </w:rPr>
        <w:t>从业人员、营业收入、资产总额填报上一年度数据，无上一年度数据的新成立企业可不填报。</w:t>
      </w:r>
    </w:p>
    <w:p>
      <w:pPr>
        <w:spacing w:before="100" w:beforeAutospacing="1" w:after="156" w:afterLines="50" w:line="360" w:lineRule="auto"/>
        <w:rPr>
          <w:rFonts w:hint="eastAsia" w:hAnsi="宋体" w:cs="宋体"/>
          <w:b/>
          <w:bCs/>
          <w:spacing w:val="6"/>
          <w:sz w:val="30"/>
          <w:szCs w:val="30"/>
          <w:highlight w:val="none"/>
        </w:rPr>
      </w:pPr>
    </w:p>
    <w:p>
      <w:pPr>
        <w:spacing w:before="100" w:beforeAutospacing="1" w:after="156" w:afterLines="50" w:line="360" w:lineRule="auto"/>
        <w:rPr>
          <w:rFonts w:hint="eastAsia" w:hAnsi="宋体" w:cs="宋体"/>
          <w:b/>
          <w:bCs/>
          <w:spacing w:val="6"/>
          <w:szCs w:val="24"/>
          <w:highlight w:val="none"/>
        </w:rPr>
      </w:pPr>
    </w:p>
    <w:p>
      <w:pPr>
        <w:spacing w:before="100" w:beforeAutospacing="1" w:after="156" w:afterLines="50" w:line="360" w:lineRule="auto"/>
        <w:rPr>
          <w:rFonts w:hint="eastAsia" w:hAnsi="宋体" w:cs="宋体"/>
          <w:b/>
          <w:bCs/>
          <w:spacing w:val="6"/>
          <w:szCs w:val="24"/>
          <w:highlight w:val="none"/>
        </w:rPr>
      </w:pPr>
      <w:r>
        <w:rPr>
          <w:rFonts w:hint="eastAsia" w:hAnsi="宋体" w:cs="宋体"/>
          <w:b/>
          <w:bCs/>
          <w:spacing w:val="6"/>
          <w:szCs w:val="24"/>
          <w:highlight w:val="none"/>
        </w:rPr>
        <w:t>附件</w:t>
      </w:r>
      <w:r>
        <w:rPr>
          <w:rFonts w:hint="eastAsia" w:hAnsi="宋体" w:cs="宋体"/>
          <w:b/>
          <w:bCs/>
          <w:spacing w:val="6"/>
          <w:szCs w:val="24"/>
          <w:highlight w:val="none"/>
          <w:lang w:val="en-US" w:eastAsia="zh-CN"/>
        </w:rPr>
        <w:t>3</w:t>
      </w:r>
      <w:r>
        <w:rPr>
          <w:rFonts w:hint="eastAsia" w:hAnsi="宋体" w:cs="宋体"/>
          <w:b/>
          <w:bCs/>
          <w:spacing w:val="6"/>
          <w:szCs w:val="24"/>
          <w:highlight w:val="none"/>
        </w:rPr>
        <w:t>（如用）：</w:t>
      </w:r>
    </w:p>
    <w:p>
      <w:pPr>
        <w:spacing w:before="156" w:beforeLines="50" w:after="156" w:afterLines="50" w:line="588" w:lineRule="exact"/>
        <w:jc w:val="center"/>
        <w:rPr>
          <w:rFonts w:hint="eastAsia" w:hAnsi="宋体" w:cs="宋体"/>
          <w:b/>
          <w:spacing w:val="6"/>
          <w:sz w:val="32"/>
          <w:szCs w:val="32"/>
          <w:highlight w:val="none"/>
        </w:rPr>
      </w:pPr>
      <w:bookmarkStart w:id="112" w:name="OLE_LINK13"/>
      <w:bookmarkStart w:id="113" w:name="OLE_LINK14"/>
      <w:r>
        <w:rPr>
          <w:rFonts w:hint="eastAsia" w:hAnsi="宋体" w:cs="宋体"/>
          <w:b/>
          <w:spacing w:val="6"/>
          <w:sz w:val="32"/>
          <w:szCs w:val="32"/>
          <w:highlight w:val="none"/>
        </w:rPr>
        <w:t>残疾人福利性单位声明函</w:t>
      </w:r>
      <w:bookmarkEnd w:id="112"/>
      <w:bookmarkEnd w:id="113"/>
    </w:p>
    <w:p>
      <w:pPr>
        <w:spacing w:line="588" w:lineRule="exact"/>
        <w:ind w:firstLine="504" w:firstLineChars="200"/>
        <w:rPr>
          <w:rFonts w:hint="eastAsia"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int="eastAsia" w:hAnsi="宋体" w:cs="宋体"/>
          <w:spacing w:val="6"/>
          <w:szCs w:val="24"/>
          <w:highlight w:val="none"/>
        </w:rPr>
      </w:pPr>
    </w:p>
    <w:p>
      <w:pPr>
        <w:spacing w:line="588" w:lineRule="exact"/>
        <w:ind w:firstLine="504" w:firstLineChars="200"/>
        <w:rPr>
          <w:rFonts w:hint="eastAsia" w:hAnsi="宋体" w:cs="宋体"/>
          <w:spacing w:val="6"/>
          <w:szCs w:val="24"/>
          <w:highlight w:val="none"/>
        </w:rPr>
      </w:pPr>
    </w:p>
    <w:p>
      <w:pPr>
        <w:spacing w:line="588" w:lineRule="exact"/>
        <w:ind w:firstLine="504" w:firstLineChars="200"/>
        <w:rPr>
          <w:rFonts w:hint="eastAsia" w:hAnsi="宋体" w:cs="宋体"/>
          <w:spacing w:val="6"/>
          <w:szCs w:val="24"/>
          <w:highlight w:val="none"/>
        </w:rPr>
      </w:pPr>
    </w:p>
    <w:p>
      <w:pPr>
        <w:tabs>
          <w:tab w:val="left" w:pos="1620"/>
          <w:tab w:val="left" w:pos="1800"/>
        </w:tabs>
        <w:spacing w:line="500" w:lineRule="exact"/>
        <w:rPr>
          <w:rFonts w:hint="eastAsia" w:hAnsi="宋体" w:cs="宋体"/>
          <w:szCs w:val="24"/>
          <w:highlight w:val="none"/>
        </w:rPr>
      </w:pPr>
      <w:r>
        <w:rPr>
          <w:rFonts w:hint="eastAsia" w:hAnsi="宋体" w:cs="宋体"/>
          <w:spacing w:val="6"/>
          <w:szCs w:val="24"/>
          <w:highlight w:val="none"/>
        </w:rPr>
        <w:t xml:space="preserve">                                       </w:t>
      </w:r>
      <w:r>
        <w:rPr>
          <w:rFonts w:hint="eastAsia" w:hAnsi="宋体" w:cs="宋体"/>
          <w:szCs w:val="24"/>
          <w:highlight w:val="none"/>
        </w:rPr>
        <w:t>单位名称（公章）：</w:t>
      </w:r>
      <w:r>
        <w:rPr>
          <w:rFonts w:hint="eastAsia" w:hAnsi="宋体" w:cs="宋体"/>
          <w:szCs w:val="24"/>
          <w:highlight w:val="none"/>
          <w:u w:val="single"/>
        </w:rPr>
        <w:t xml:space="preserve">                </w:t>
      </w:r>
    </w:p>
    <w:p>
      <w:pPr>
        <w:tabs>
          <w:tab w:val="left" w:pos="1620"/>
          <w:tab w:val="left" w:pos="1800"/>
        </w:tabs>
        <w:spacing w:line="500" w:lineRule="exact"/>
        <w:rPr>
          <w:rFonts w:hint="eastAsia" w:hAnsi="宋体" w:cs="宋体"/>
          <w:szCs w:val="24"/>
          <w:highlight w:val="none"/>
          <w:u w:val="single"/>
        </w:rPr>
      </w:pPr>
      <w:r>
        <w:rPr>
          <w:rFonts w:hint="eastAsia" w:hAnsi="宋体" w:cs="宋体"/>
          <w:szCs w:val="24"/>
          <w:highlight w:val="none"/>
        </w:rPr>
        <w:t xml:space="preserve">                                           日   期：</w:t>
      </w:r>
      <w:r>
        <w:rPr>
          <w:rFonts w:hint="eastAsia" w:hAnsi="宋体" w:cs="宋体"/>
          <w:szCs w:val="24"/>
          <w:highlight w:val="none"/>
          <w:u w:val="single"/>
        </w:rPr>
        <w:t xml:space="preserve">                        </w:t>
      </w:r>
    </w:p>
    <w:p>
      <w:pPr>
        <w:tabs>
          <w:tab w:val="left" w:pos="4860"/>
        </w:tabs>
        <w:spacing w:line="588" w:lineRule="exact"/>
        <w:ind w:right="1560" w:firstLine="480" w:firstLineChars="200"/>
        <w:jc w:val="center"/>
        <w:rPr>
          <w:rFonts w:hint="eastAsia" w:hAnsi="宋体" w:cs="宋体"/>
          <w:highlight w:val="none"/>
        </w:rPr>
      </w:pPr>
    </w:p>
    <w:p>
      <w:pPr>
        <w:rPr>
          <w:rFonts w:hint="eastAsia" w:hAnsi="宋体" w:cs="宋体"/>
          <w:szCs w:val="24"/>
          <w:highlight w:val="none"/>
        </w:rPr>
      </w:pPr>
    </w:p>
    <w:p>
      <w:pPr>
        <w:rPr>
          <w:rFonts w:hint="eastAsia" w:hAnsi="宋体" w:cs="宋体"/>
          <w:szCs w:val="24"/>
          <w:highlight w:val="none"/>
        </w:rPr>
      </w:pPr>
    </w:p>
    <w:p>
      <w:pPr>
        <w:tabs>
          <w:tab w:val="left" w:pos="1620"/>
          <w:tab w:val="left" w:pos="1800"/>
        </w:tabs>
        <w:spacing w:line="500" w:lineRule="exact"/>
        <w:rPr>
          <w:rFonts w:hint="eastAsia" w:hAnsi="宋体" w:cs="宋体"/>
          <w:sz w:val="21"/>
          <w:szCs w:val="21"/>
          <w:highlight w:val="none"/>
        </w:rPr>
      </w:pPr>
      <w:r>
        <w:rPr>
          <w:rFonts w:hint="eastAsia" w:hAnsi="宋体" w:cs="宋体"/>
          <w:sz w:val="21"/>
          <w:szCs w:val="21"/>
          <w:highlight w:val="none"/>
        </w:rPr>
        <w:t>备注：</w:t>
      </w:r>
    </w:p>
    <w:p>
      <w:pPr>
        <w:tabs>
          <w:tab w:val="left" w:pos="1620"/>
          <w:tab w:val="left" w:pos="1800"/>
        </w:tabs>
        <w:spacing w:line="500" w:lineRule="exact"/>
        <w:rPr>
          <w:rFonts w:hint="eastAsia" w:hAnsi="宋体" w:cs="宋体"/>
          <w:sz w:val="21"/>
          <w:szCs w:val="21"/>
          <w:highlight w:val="none"/>
        </w:rPr>
      </w:pPr>
      <w:r>
        <w:rPr>
          <w:rFonts w:hint="eastAsia" w:hAnsi="宋体" w:cs="宋体"/>
          <w:sz w:val="21"/>
          <w:szCs w:val="21"/>
          <w:highlight w:val="none"/>
        </w:rPr>
        <w:t xml:space="preserve">    1、填写前请认真阅读《财政部  关于促进残疾人就业政府采购政策的通知》（财库【2017】141号）相关规定。</w:t>
      </w:r>
    </w:p>
    <w:p>
      <w:pPr>
        <w:keepLines/>
        <w:pageBreakBefore/>
        <w:spacing w:line="360" w:lineRule="auto"/>
        <w:rPr>
          <w:rFonts w:hint="eastAsia" w:hAnsi="宋体" w:cs="宋体"/>
          <w:b/>
          <w:sz w:val="24"/>
          <w:szCs w:val="24"/>
          <w:highlight w:val="none"/>
        </w:rPr>
      </w:pPr>
      <w:r>
        <w:rPr>
          <w:rFonts w:hint="eastAsia" w:hAnsi="宋体" w:cs="宋体"/>
          <w:b/>
          <w:sz w:val="24"/>
          <w:szCs w:val="24"/>
          <w:highlight w:val="none"/>
        </w:rPr>
        <w:t>附件</w:t>
      </w:r>
      <w:r>
        <w:rPr>
          <w:rFonts w:hint="eastAsia" w:hAnsi="宋体" w:cs="宋体"/>
          <w:b/>
          <w:sz w:val="24"/>
          <w:szCs w:val="24"/>
          <w:highlight w:val="none"/>
          <w:lang w:val="en-US" w:eastAsia="zh-CN"/>
        </w:rPr>
        <w:t>4</w:t>
      </w:r>
      <w:r>
        <w:rPr>
          <w:rFonts w:hint="eastAsia" w:hAnsi="宋体" w:cs="宋体"/>
          <w:b/>
          <w:sz w:val="24"/>
          <w:szCs w:val="24"/>
          <w:highlight w:val="none"/>
        </w:rPr>
        <w:t>：</w:t>
      </w:r>
    </w:p>
    <w:p>
      <w:pPr>
        <w:spacing w:line="360" w:lineRule="auto"/>
        <w:jc w:val="center"/>
        <w:rPr>
          <w:rFonts w:hint="eastAsia" w:hAnsi="宋体" w:cs="宋体"/>
          <w:b/>
          <w:sz w:val="30"/>
          <w:szCs w:val="30"/>
          <w:highlight w:val="none"/>
        </w:rPr>
      </w:pPr>
      <w:r>
        <w:rPr>
          <w:rFonts w:hint="eastAsia" w:hAnsi="宋体" w:cs="宋体"/>
          <w:b/>
          <w:sz w:val="30"/>
          <w:szCs w:val="30"/>
          <w:highlight w:val="none"/>
        </w:rPr>
        <w:t>磋商担保函</w:t>
      </w:r>
      <w:r>
        <w:rPr>
          <w:rFonts w:hint="eastAsia" w:hAnsi="宋体" w:cs="宋体"/>
          <w:b/>
          <w:bCs/>
          <w:sz w:val="30"/>
          <w:szCs w:val="30"/>
          <w:highlight w:val="none"/>
        </w:rPr>
        <w:t>（如有）</w:t>
      </w:r>
    </w:p>
    <w:p>
      <w:pPr>
        <w:spacing w:line="360" w:lineRule="auto"/>
        <w:jc w:val="center"/>
        <w:rPr>
          <w:rFonts w:hint="eastAsia" w:hAnsi="宋体" w:cs="宋体"/>
          <w:szCs w:val="32"/>
          <w:highlight w:val="none"/>
        </w:rPr>
      </w:pPr>
      <w:r>
        <w:rPr>
          <w:rFonts w:hint="eastAsia" w:hAnsi="宋体" w:cs="宋体"/>
          <w:szCs w:val="32"/>
          <w:highlight w:val="none"/>
        </w:rPr>
        <w:t xml:space="preserve">                     </w:t>
      </w:r>
      <w:r>
        <w:rPr>
          <w:rFonts w:hint="eastAsia" w:hAnsi="宋体" w:cs="宋体"/>
          <w:szCs w:val="24"/>
          <w:highlight w:val="none"/>
        </w:rPr>
        <w:t xml:space="preserve">         编号： </w:t>
      </w:r>
    </w:p>
    <w:p>
      <w:pPr>
        <w:spacing w:line="360" w:lineRule="auto"/>
        <w:rPr>
          <w:rFonts w:hint="eastAsia" w:hAnsi="宋体" w:cs="宋体"/>
          <w:szCs w:val="32"/>
          <w:highlight w:val="none"/>
          <w:u w:val="single"/>
        </w:rPr>
      </w:pPr>
    </w:p>
    <w:p>
      <w:pPr>
        <w:spacing w:line="360" w:lineRule="auto"/>
        <w:rPr>
          <w:rFonts w:hint="eastAsia" w:hAnsi="宋体" w:cs="宋体"/>
          <w:szCs w:val="24"/>
          <w:highlight w:val="none"/>
        </w:rPr>
      </w:pPr>
      <w:r>
        <w:rPr>
          <w:rFonts w:hint="eastAsia" w:hAnsi="宋体" w:cs="宋体"/>
          <w:szCs w:val="24"/>
          <w:highlight w:val="none"/>
        </w:rPr>
        <w:t xml:space="preserve">___________________（采购人或招标代理机构）： </w:t>
      </w:r>
    </w:p>
    <w:p>
      <w:pPr>
        <w:spacing w:line="360" w:lineRule="auto"/>
        <w:jc w:val="left"/>
        <w:rPr>
          <w:rFonts w:hint="eastAsia" w:hAnsi="宋体" w:cs="宋体"/>
          <w:szCs w:val="24"/>
          <w:highlight w:val="none"/>
        </w:rPr>
      </w:pPr>
      <w:r>
        <w:rPr>
          <w:rFonts w:hint="eastAsia" w:hAnsi="宋体" w:cs="宋体"/>
          <w:szCs w:val="24"/>
          <w:highlight w:val="none"/>
        </w:rPr>
        <w:t xml:space="preserve">    鉴于_______________（以下简称“供应商”）拟参加编号为___________的_______项目</w:t>
      </w:r>
      <w:r>
        <w:rPr>
          <w:rFonts w:hint="eastAsia" w:hAnsi="宋体" w:cs="宋体"/>
          <w:szCs w:val="24"/>
          <w:highlight w:val="none"/>
          <w:u w:val="single"/>
        </w:rPr>
        <w:t xml:space="preserve">      </w:t>
      </w:r>
      <w:r>
        <w:rPr>
          <w:rFonts w:hint="eastAsia" w:hAnsi="宋体" w:cs="宋体"/>
          <w:szCs w:val="24"/>
          <w:highlight w:val="none"/>
        </w:rPr>
        <w:t xml:space="preserve">标段（以下简称“本项目”）投标，根据本项目磋商文件，供应商参加投标时应向你方交纳投标保证金，且可以投标担保函的形式交纳投标保证金。应供应商的申请，我方以保证的方式向你方提供如下投标保证金担保： </w:t>
      </w:r>
    </w:p>
    <w:p>
      <w:pPr>
        <w:spacing w:line="360" w:lineRule="auto"/>
        <w:jc w:val="left"/>
        <w:rPr>
          <w:rFonts w:hint="eastAsia" w:hAnsi="宋体" w:cs="宋体"/>
          <w:b/>
          <w:szCs w:val="24"/>
          <w:highlight w:val="none"/>
        </w:rPr>
      </w:pPr>
      <w:r>
        <w:rPr>
          <w:rFonts w:hint="eastAsia" w:hAnsi="宋体" w:cs="宋体"/>
          <w:b/>
          <w:szCs w:val="24"/>
          <w:highlight w:val="none"/>
        </w:rPr>
        <w:t xml:space="preserve">一、保证责任的情形及保证金额 </w:t>
      </w:r>
    </w:p>
    <w:p>
      <w:pPr>
        <w:spacing w:line="360" w:lineRule="auto"/>
        <w:ind w:firstLine="480" w:firstLineChars="200"/>
        <w:rPr>
          <w:rFonts w:hint="eastAsia" w:hAnsi="宋体" w:cs="宋体"/>
          <w:szCs w:val="24"/>
          <w:highlight w:val="none"/>
        </w:rPr>
      </w:pPr>
      <w:r>
        <w:rPr>
          <w:rFonts w:hint="eastAsia" w:hAnsi="宋体" w:cs="宋体"/>
          <w:szCs w:val="24"/>
          <w:highlight w:val="none"/>
        </w:rPr>
        <w:t xml:space="preserve">在供应商出现下列情形之一时，我方承担保证责任： </w:t>
      </w:r>
    </w:p>
    <w:p>
      <w:pPr>
        <w:spacing w:line="360" w:lineRule="auto"/>
        <w:rPr>
          <w:rFonts w:hint="eastAsia" w:hAnsi="宋体" w:cs="宋体"/>
          <w:szCs w:val="24"/>
          <w:highlight w:val="none"/>
        </w:rPr>
      </w:pPr>
      <w:r>
        <w:rPr>
          <w:rFonts w:hint="eastAsia" w:hAnsi="宋体" w:cs="宋体"/>
          <w:szCs w:val="24"/>
          <w:highlight w:val="none"/>
        </w:rPr>
        <w:t xml:space="preserve">    1．中标后供应商无正当理由不与采购人或者招标代理机构签订《政府采购合同》； </w:t>
      </w:r>
    </w:p>
    <w:p>
      <w:pPr>
        <w:spacing w:line="360" w:lineRule="auto"/>
        <w:rPr>
          <w:rFonts w:hint="eastAsia" w:hAnsi="宋体" w:cs="宋体"/>
          <w:szCs w:val="24"/>
          <w:highlight w:val="none"/>
        </w:rPr>
      </w:pPr>
      <w:r>
        <w:rPr>
          <w:rFonts w:hint="eastAsia" w:hAnsi="宋体" w:cs="宋体"/>
          <w:szCs w:val="24"/>
          <w:highlight w:val="none"/>
        </w:rPr>
        <w:t xml:space="preserve">    2．磋商文件规定的供应商应当交纳保证金的其他情形。 </w:t>
      </w:r>
    </w:p>
    <w:p>
      <w:pPr>
        <w:spacing w:line="360" w:lineRule="auto"/>
        <w:ind w:firstLine="480" w:firstLineChars="200"/>
        <w:rPr>
          <w:rFonts w:hint="eastAsia" w:hAnsi="宋体" w:cs="宋体"/>
          <w:szCs w:val="24"/>
          <w:highlight w:val="none"/>
        </w:rPr>
      </w:pPr>
      <w:r>
        <w:rPr>
          <w:rFonts w:hint="eastAsia" w:hAnsi="宋体" w:cs="宋体"/>
          <w:szCs w:val="24"/>
          <w:highlight w:val="none"/>
        </w:rPr>
        <w:t>3.我方承担保证责任的最高金额为人民币______元（大写_________________），即本项目</w:t>
      </w:r>
      <w:r>
        <w:rPr>
          <w:rFonts w:hint="eastAsia" w:hAnsi="宋体" w:cs="宋体"/>
          <w:szCs w:val="24"/>
          <w:highlight w:val="none"/>
          <w:u w:val="single"/>
        </w:rPr>
        <w:t xml:space="preserve">     </w:t>
      </w:r>
      <w:r>
        <w:rPr>
          <w:rFonts w:hint="eastAsia" w:hAnsi="宋体" w:cs="宋体"/>
          <w:szCs w:val="24"/>
          <w:highlight w:val="none"/>
        </w:rPr>
        <w:t xml:space="preserve">标段的投标保证金金额。 </w:t>
      </w:r>
    </w:p>
    <w:p>
      <w:pPr>
        <w:spacing w:line="360" w:lineRule="auto"/>
        <w:jc w:val="left"/>
        <w:rPr>
          <w:rFonts w:hint="eastAsia" w:hAnsi="宋体" w:cs="宋体"/>
          <w:b/>
          <w:szCs w:val="24"/>
          <w:highlight w:val="none"/>
        </w:rPr>
      </w:pPr>
      <w:r>
        <w:rPr>
          <w:rFonts w:hint="eastAsia" w:hAnsi="宋体" w:cs="宋体"/>
          <w:b/>
          <w:szCs w:val="24"/>
          <w:highlight w:val="none"/>
        </w:rPr>
        <w:t xml:space="preserve">二、保证的方式及保证期间 </w:t>
      </w:r>
    </w:p>
    <w:p>
      <w:pPr>
        <w:spacing w:line="360" w:lineRule="auto"/>
        <w:rPr>
          <w:rFonts w:hint="eastAsia" w:hAnsi="宋体" w:cs="宋体"/>
          <w:szCs w:val="24"/>
          <w:highlight w:val="none"/>
        </w:rPr>
      </w:pPr>
      <w:r>
        <w:rPr>
          <w:rFonts w:hint="eastAsia" w:hAnsi="宋体" w:cs="宋体"/>
          <w:szCs w:val="24"/>
          <w:highlight w:val="none"/>
        </w:rPr>
        <w:t xml:space="preserve">    1.我方保证的方式为：连带责任保证。 </w:t>
      </w:r>
    </w:p>
    <w:p>
      <w:pPr>
        <w:spacing w:line="360" w:lineRule="auto"/>
        <w:rPr>
          <w:rFonts w:hint="eastAsia" w:hAnsi="宋体" w:cs="宋体"/>
          <w:szCs w:val="24"/>
          <w:highlight w:val="none"/>
        </w:rPr>
      </w:pPr>
      <w:r>
        <w:rPr>
          <w:rFonts w:hint="eastAsia" w:hAnsi="宋体" w:cs="宋体"/>
          <w:szCs w:val="24"/>
          <w:highlight w:val="none"/>
        </w:rPr>
        <w:t xml:space="preserve">    2.我方的保证期间为：自本保函生效之日起______个月止。 </w:t>
      </w:r>
    </w:p>
    <w:p>
      <w:pPr>
        <w:spacing w:line="360" w:lineRule="auto"/>
        <w:rPr>
          <w:rFonts w:hint="eastAsia" w:hAnsi="宋体" w:cs="宋体"/>
          <w:b/>
          <w:szCs w:val="24"/>
          <w:highlight w:val="none"/>
        </w:rPr>
      </w:pPr>
      <w:r>
        <w:rPr>
          <w:rFonts w:hint="eastAsia" w:hAnsi="宋体" w:cs="宋体"/>
          <w:b/>
          <w:szCs w:val="24"/>
          <w:highlight w:val="none"/>
        </w:rPr>
        <w:t xml:space="preserve">三、承担保证责任的程序 </w:t>
      </w:r>
    </w:p>
    <w:p>
      <w:pPr>
        <w:spacing w:line="360" w:lineRule="auto"/>
        <w:rPr>
          <w:rFonts w:hint="eastAsia"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2．我方在收到索赔通知及相关证明材料后，在_____个工作日内进行审查，符合应承担保证责任情形的，我方应按照你方的要求代供应商向你方支付投标保证金。 </w:t>
      </w:r>
    </w:p>
    <w:p>
      <w:pPr>
        <w:spacing w:line="360" w:lineRule="auto"/>
        <w:rPr>
          <w:rFonts w:hint="eastAsia" w:hAnsi="宋体" w:cs="宋体"/>
          <w:b/>
          <w:szCs w:val="24"/>
          <w:highlight w:val="none"/>
        </w:rPr>
      </w:pPr>
      <w:r>
        <w:rPr>
          <w:rFonts w:hint="eastAsia" w:hAnsi="宋体" w:cs="宋体"/>
          <w:b/>
          <w:szCs w:val="24"/>
          <w:highlight w:val="none"/>
        </w:rPr>
        <w:t xml:space="preserve">四、保证责任的终止 </w:t>
      </w:r>
    </w:p>
    <w:p>
      <w:pPr>
        <w:spacing w:line="360" w:lineRule="auto"/>
        <w:rPr>
          <w:rFonts w:hint="eastAsia"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int="eastAsia"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int="eastAsia" w:hAnsi="宋体" w:cs="宋体"/>
          <w:b/>
          <w:szCs w:val="24"/>
          <w:highlight w:val="none"/>
        </w:rPr>
      </w:pPr>
      <w:r>
        <w:rPr>
          <w:rFonts w:hint="eastAsia" w:hAnsi="宋体" w:cs="宋体"/>
          <w:b/>
          <w:szCs w:val="24"/>
          <w:highlight w:val="none"/>
        </w:rPr>
        <w:t xml:space="preserve">五、免责条款 </w:t>
      </w:r>
    </w:p>
    <w:p>
      <w:pPr>
        <w:spacing w:line="360" w:lineRule="auto"/>
        <w:rPr>
          <w:rFonts w:hint="eastAsia" w:hAnsi="宋体" w:cs="宋体"/>
          <w:szCs w:val="24"/>
          <w:highlight w:val="none"/>
        </w:rPr>
      </w:pPr>
      <w:r>
        <w:rPr>
          <w:rFonts w:hint="eastAsia" w:hAnsi="宋体" w:cs="宋体"/>
          <w:szCs w:val="24"/>
          <w:highlight w:val="none"/>
        </w:rPr>
        <w:t xml:space="preserve">    1．依照法律规定或你方与供应商的另行约定，全部或者部分免除供应商投标保证金义务时，我方亦免除相应的保证责任。 </w:t>
      </w:r>
    </w:p>
    <w:p>
      <w:pPr>
        <w:spacing w:line="360" w:lineRule="auto"/>
        <w:rPr>
          <w:rFonts w:hint="eastAsia"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int="eastAsia"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int="eastAsia" w:hAnsi="宋体" w:cs="宋体"/>
          <w:szCs w:val="24"/>
          <w:highlight w:val="none"/>
        </w:rPr>
      </w:pPr>
      <w:r>
        <w:rPr>
          <w:rFonts w:hint="eastAsia" w:hAnsi="宋体" w:cs="宋体"/>
          <w:szCs w:val="24"/>
          <w:highlight w:val="none"/>
        </w:rPr>
        <w:t xml:space="preserve">    4．你方或其他有权机关对磋商文件进行任何澄清或修改，加重我方保证责任的，我方对加重部分不承担保证责任，但该澄清或修改经我方事先书面同意的除外。 </w:t>
      </w:r>
    </w:p>
    <w:p>
      <w:pPr>
        <w:spacing w:line="360" w:lineRule="auto"/>
        <w:rPr>
          <w:rFonts w:hint="eastAsia" w:hAnsi="宋体" w:cs="宋体"/>
          <w:b/>
          <w:szCs w:val="24"/>
          <w:highlight w:val="none"/>
        </w:rPr>
      </w:pPr>
      <w:r>
        <w:rPr>
          <w:rFonts w:hint="eastAsia" w:hAnsi="宋体" w:cs="宋体"/>
          <w:b/>
          <w:szCs w:val="24"/>
          <w:highlight w:val="none"/>
        </w:rPr>
        <w:t xml:space="preserve">六、争议的解决 </w:t>
      </w:r>
    </w:p>
    <w:p>
      <w:pPr>
        <w:spacing w:line="360" w:lineRule="auto"/>
        <w:rPr>
          <w:rFonts w:hint="eastAsia"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int="eastAsia" w:hAnsi="宋体" w:cs="宋体"/>
          <w:b/>
          <w:szCs w:val="24"/>
          <w:highlight w:val="none"/>
        </w:rPr>
      </w:pPr>
      <w:r>
        <w:rPr>
          <w:rFonts w:hint="eastAsia" w:hAnsi="宋体" w:cs="宋体"/>
          <w:b/>
          <w:szCs w:val="24"/>
          <w:highlight w:val="none"/>
        </w:rPr>
        <w:t xml:space="preserve">七、保函的生效 </w:t>
      </w:r>
    </w:p>
    <w:p>
      <w:pPr>
        <w:spacing w:line="360" w:lineRule="auto"/>
        <w:rPr>
          <w:rFonts w:hint="eastAsia"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int="eastAsia" w:hAnsi="宋体" w:cs="宋体"/>
          <w:szCs w:val="24"/>
          <w:highlight w:val="none"/>
        </w:rPr>
      </w:pPr>
      <w:r>
        <w:rPr>
          <w:rFonts w:hint="eastAsia" w:hAnsi="宋体" w:cs="宋体"/>
          <w:szCs w:val="24"/>
          <w:highlight w:val="none"/>
        </w:rPr>
        <w:t xml:space="preserve">                             </w:t>
      </w:r>
    </w:p>
    <w:p>
      <w:pPr>
        <w:spacing w:line="360" w:lineRule="auto"/>
        <w:rPr>
          <w:rFonts w:hint="eastAsia" w:hAnsi="宋体" w:cs="宋体"/>
          <w:szCs w:val="24"/>
          <w:highlight w:val="none"/>
        </w:rPr>
      </w:pPr>
    </w:p>
    <w:p>
      <w:pPr>
        <w:spacing w:line="360" w:lineRule="auto"/>
        <w:rPr>
          <w:rFonts w:hint="eastAsia" w:hAnsi="宋体" w:cs="宋体"/>
          <w:szCs w:val="24"/>
          <w:highlight w:val="none"/>
        </w:rPr>
      </w:pPr>
      <w:r>
        <w:rPr>
          <w:rFonts w:hint="eastAsia" w:hAnsi="宋体" w:cs="宋体"/>
          <w:szCs w:val="24"/>
          <w:highlight w:val="none"/>
        </w:rPr>
        <w:t xml:space="preserve">                                </w:t>
      </w:r>
    </w:p>
    <w:p>
      <w:pPr>
        <w:spacing w:line="360" w:lineRule="auto"/>
        <w:rPr>
          <w:rFonts w:hint="eastAsia" w:hAnsi="宋体" w:cs="宋体"/>
          <w:szCs w:val="24"/>
          <w:highlight w:val="none"/>
        </w:rPr>
      </w:pPr>
    </w:p>
    <w:p>
      <w:pPr>
        <w:spacing w:line="360" w:lineRule="auto"/>
        <w:ind w:firstLine="3840" w:firstLineChars="1600"/>
        <w:rPr>
          <w:rFonts w:hint="eastAsia" w:hAnsi="宋体" w:cs="宋体"/>
          <w:szCs w:val="24"/>
          <w:highlight w:val="none"/>
        </w:rPr>
      </w:pPr>
      <w:r>
        <w:rPr>
          <w:rFonts w:hint="eastAsia" w:hAnsi="宋体" w:cs="宋体"/>
          <w:szCs w:val="24"/>
          <w:highlight w:val="none"/>
        </w:rPr>
        <w:t>保证人：（公章）</w:t>
      </w:r>
    </w:p>
    <w:p>
      <w:pPr>
        <w:spacing w:line="360" w:lineRule="auto"/>
        <w:rPr>
          <w:rFonts w:hint="eastAsia" w:hAnsi="宋体" w:cs="宋体"/>
          <w:szCs w:val="24"/>
          <w:highlight w:val="none"/>
        </w:rPr>
      </w:pPr>
      <w:r>
        <w:rPr>
          <w:rFonts w:hint="eastAsia" w:hAnsi="宋体" w:cs="宋体"/>
          <w:szCs w:val="24"/>
          <w:highlight w:val="none"/>
        </w:rPr>
        <w:t xml:space="preserve">                                年   月   日</w:t>
      </w:r>
    </w:p>
    <w:p>
      <w:pPr>
        <w:rPr>
          <w:rFonts w:hint="eastAsia" w:hAnsi="宋体" w:cs="宋体"/>
          <w:sz w:val="21"/>
          <w:szCs w:val="21"/>
          <w:highlight w:val="none"/>
        </w:rPr>
      </w:pPr>
    </w:p>
    <w:p>
      <w:pPr>
        <w:rPr>
          <w:highlight w:val="none"/>
        </w:rPr>
      </w:pPr>
    </w:p>
    <w:sectPr>
      <w:footerReference r:id="rId24" w:type="first"/>
      <w:headerReference r:id="rId20" w:type="default"/>
      <w:footerReference r:id="rId22" w:type="default"/>
      <w:headerReference r:id="rId21" w:type="even"/>
      <w:footerReference r:id="rId23" w:type="even"/>
      <w:pgSz w:w="11906" w:h="16838"/>
      <w:pgMar w:top="1418" w:right="1418"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v0d+/T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l28psczgxE8/f5x+&#10;/Tn9/k7QhwL1HmrMe/SYGYcPbsC1mf2AzsR7kMGkLzIiGEd5j2d5xRAJT4+qZVWVGOIYmy+IXzw9&#10;9wHivXCGJKOhAeeXZWWHjxDH1DklVbPuTmmdZ6gt6RH1unp/nV+cQ4iuLRZJLMZukxWH7TBR27r2&#10;iMx6XIKGWtx5SvSD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v0d+/TAQAApQMAAA4AAAAAAAAAAQAgAAAA&#10;IgEAAGRycy9lMm9Eb2MueG1sUEsFBgAAAAAGAAYAWQEAAGcFA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clear" w:pos="4153"/>
      </w:tabs>
      <w:ind w:firstLine="480"/>
      <w:rPr>
        <w:rFonts w:hint="eastAsia" w:ascii="宋体" w:hAnsi="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pPr>
    <w:r>
      <w:rPr>
        <w:rFonts w:hint="eastAsia" w:hAnsi="宋体" w:cs="宋体"/>
        <w:sz w:val="18"/>
        <w:szCs w:val="18"/>
        <w:u w:val="single"/>
        <w:lang w:eastAsia="zh-CN"/>
      </w:rPr>
      <w:t>柞水县2022年栎类大径木培育基地项目</w:t>
    </w:r>
    <w:r>
      <w:rPr>
        <w:rFonts w:hint="eastAsia" w:hAnsi="宋体" w:cs="宋体"/>
        <w:sz w:val="18"/>
        <w:szCs w:val="18"/>
        <w:u w:val="single"/>
      </w:rPr>
      <w:t xml:space="preserve">                  </w:t>
    </w:r>
    <w:r>
      <w:rPr>
        <w:rFonts w:hint="eastAsia" w:hAnsi="宋体" w:cs="宋体"/>
        <w:sz w:val="18"/>
        <w:szCs w:val="18"/>
        <w:u w:val="single"/>
        <w:lang w:val="en-US" w:eastAsia="zh-CN"/>
      </w:rPr>
      <w:t xml:space="preserve">                               </w:t>
    </w:r>
    <w:r>
      <w:rPr>
        <w:rFonts w:hint="eastAsia" w:hAnsi="宋体" w:cs="宋体"/>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Fonts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rPr>
    </w:pPr>
    <w:r>
      <w:rPr>
        <w:rFonts w:hint="eastAsia" w:ascii="宋体" w:hAnsi="宋体" w:eastAsia="宋体" w:cs="宋体"/>
        <w:sz w:val="18"/>
        <w:szCs w:val="18"/>
        <w:u w:val="single"/>
        <w:lang w:eastAsia="zh-CN"/>
      </w:rPr>
      <w:t>柞水县2022年栎类大径木培育基地项目</w:t>
    </w:r>
    <w:r>
      <w:rPr>
        <w:rFonts w:hint="eastAsia" w:ascii="宋体" w:hAnsi="宋体" w:eastAsia="宋体" w:cs="宋体"/>
        <w:sz w:val="18"/>
        <w:szCs w:val="18"/>
        <w:u w:val="single"/>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u w:val="single"/>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ascii="宋体" w:hAnsi="宋体"/>
        <w:bCs/>
      </w:rPr>
    </w:pPr>
    <w:r>
      <w:rPr>
        <w:rFonts w:hint="eastAsia" w:ascii="宋体" w:hAnsi="宋体"/>
        <w:bCs/>
        <w:lang w:eastAsia="zh-CN"/>
      </w:rPr>
      <w:t>柞水县2022年栎类大径木培育基地项目</w:t>
    </w:r>
    <w:r>
      <w:rPr>
        <w:rFonts w:hint="eastAsia" w:ascii="宋体" w:hAnsi="宋体"/>
        <w:bCs/>
      </w:rPr>
      <w:t xml:space="preserve">    </w:t>
    </w:r>
    <w:r>
      <w:rPr>
        <w:rFonts w:hint="eastAsia" w:ascii="宋体" w:hAnsi="宋体"/>
        <w:bCs/>
        <w:lang w:val="en-US" w:eastAsia="zh-CN"/>
      </w:rPr>
      <w:t xml:space="preserve">          </w:t>
    </w:r>
    <w:r>
      <w:rPr>
        <w:rFonts w:hint="eastAsia" w:ascii="宋体" w:hAnsi="宋体"/>
        <w:bCs/>
      </w:rPr>
      <w:t xml:space="preserve">    </w:t>
    </w:r>
    <w:r>
      <w:rPr>
        <w:rFonts w:hint="eastAsia" w:ascii="宋体" w:hAnsi="宋体"/>
        <w:bCs/>
        <w:lang w:val="en-US" w:eastAsia="zh-CN"/>
      </w:rPr>
      <w:t xml:space="preserve">                               </w:t>
    </w:r>
    <w:r>
      <w:rPr>
        <w:rFonts w:hint="eastAsia" w:ascii="宋体" w:hAnsi="宋体"/>
        <w:bCs/>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ascii="宋体" w:hAnsi="宋体"/>
        <w:b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Ansi="宋体"/>
      </w:rPr>
    </w:pPr>
    <w:r>
      <w:rPr>
        <w:rFonts w:hint="eastAsia" w:ascii="宋体" w:hAnsi="宋体"/>
        <w:bCs/>
        <w:lang w:eastAsia="zh-CN"/>
      </w:rPr>
      <w:t>柞水县2022年栎类大径木培育基地项目</w:t>
    </w:r>
    <w:r>
      <w:rPr>
        <w:rFonts w:hint="eastAsia" w:ascii="宋体" w:hAnsi="宋体"/>
        <w:bCs/>
      </w:rPr>
      <w:t xml:space="preserve">        </w:t>
    </w:r>
    <w:r>
      <w:rPr>
        <w:rFonts w:hint="eastAsia" w:ascii="宋体" w:hAnsi="宋体"/>
        <w:bCs/>
        <w:lang w:val="en-US" w:eastAsia="zh-CN"/>
      </w:rPr>
      <w:t xml:space="preserve">                                         </w:t>
    </w:r>
    <w:r>
      <w:rPr>
        <w:rFonts w:hint="eastAsia" w:ascii="宋体" w:hAnsi="宋体"/>
        <w:bCs/>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296F7"/>
    <w:multiLevelType w:val="singleLevel"/>
    <w:tmpl w:val="84C296F7"/>
    <w:lvl w:ilvl="0" w:tentative="0">
      <w:start w:val="1"/>
      <w:numFmt w:val="decimal"/>
      <w:suff w:val="nothing"/>
      <w:lvlText w:val="%1、"/>
      <w:lvlJc w:val="left"/>
    </w:lvl>
  </w:abstractNum>
  <w:abstractNum w:abstractNumId="1">
    <w:nsid w:val="BBFEDF9E"/>
    <w:multiLevelType w:val="singleLevel"/>
    <w:tmpl w:val="BBFEDF9E"/>
    <w:lvl w:ilvl="0" w:tentative="0">
      <w:start w:val="1"/>
      <w:numFmt w:val="decimal"/>
      <w:suff w:val="nothing"/>
      <w:lvlText w:val="%1、"/>
      <w:lvlJc w:val="left"/>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000000"/>
    <w:rsid w:val="01536131"/>
    <w:rsid w:val="020554FA"/>
    <w:rsid w:val="02EE74D5"/>
    <w:rsid w:val="046E57DE"/>
    <w:rsid w:val="06B31420"/>
    <w:rsid w:val="06E11414"/>
    <w:rsid w:val="0A0A6B76"/>
    <w:rsid w:val="0B6034A0"/>
    <w:rsid w:val="0B64050D"/>
    <w:rsid w:val="106E40E2"/>
    <w:rsid w:val="113C7AAF"/>
    <w:rsid w:val="145700C6"/>
    <w:rsid w:val="149F71C3"/>
    <w:rsid w:val="19190661"/>
    <w:rsid w:val="19D2263A"/>
    <w:rsid w:val="1DA72B8E"/>
    <w:rsid w:val="22740A32"/>
    <w:rsid w:val="25BA0095"/>
    <w:rsid w:val="274051E8"/>
    <w:rsid w:val="284D007C"/>
    <w:rsid w:val="2A0A7EE0"/>
    <w:rsid w:val="2DF24AE6"/>
    <w:rsid w:val="2E5B3551"/>
    <w:rsid w:val="37847450"/>
    <w:rsid w:val="390E2362"/>
    <w:rsid w:val="39954CEA"/>
    <w:rsid w:val="39A46E5D"/>
    <w:rsid w:val="3D776B19"/>
    <w:rsid w:val="3E1F5E4B"/>
    <w:rsid w:val="3EF216CB"/>
    <w:rsid w:val="3F2B217B"/>
    <w:rsid w:val="3F3B418D"/>
    <w:rsid w:val="41DD3FE3"/>
    <w:rsid w:val="44587344"/>
    <w:rsid w:val="473E615D"/>
    <w:rsid w:val="48C9653B"/>
    <w:rsid w:val="49E669E4"/>
    <w:rsid w:val="4E340696"/>
    <w:rsid w:val="50E61ACD"/>
    <w:rsid w:val="511F4614"/>
    <w:rsid w:val="513149E8"/>
    <w:rsid w:val="51A02491"/>
    <w:rsid w:val="58F05189"/>
    <w:rsid w:val="5B392E17"/>
    <w:rsid w:val="5DAB5B22"/>
    <w:rsid w:val="63883CC9"/>
    <w:rsid w:val="70795D2D"/>
    <w:rsid w:val="724A384B"/>
    <w:rsid w:val="77482DAF"/>
    <w:rsid w:val="7CB4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link w:val="25"/>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jc w:val="center"/>
    </w:pPr>
    <w:rPr>
      <w:rFonts w:ascii="Times New Roman"/>
      <w:b/>
      <w:spacing w:val="-20"/>
      <w:w w:val="110"/>
      <w:kern w:val="2"/>
      <w:sz w:val="52"/>
    </w:rPr>
  </w:style>
  <w:style w:type="paragraph" w:styleId="7">
    <w:name w:val="Normal Indent"/>
    <w:basedOn w:val="1"/>
    <w:qFormat/>
    <w:uiPriority w:val="0"/>
    <w:pPr>
      <w:spacing w:line="300" w:lineRule="auto"/>
      <w:ind w:firstLine="420" w:firstLineChars="200"/>
    </w:pPr>
    <w:rPr>
      <w:rFonts w:ascii="Times New Roman"/>
      <w:kern w:val="2"/>
      <w:sz w:val="21"/>
      <w:szCs w:val="24"/>
    </w:rPr>
  </w:style>
  <w:style w:type="paragraph" w:styleId="8">
    <w:name w:val="Body Text"/>
    <w:basedOn w:val="1"/>
    <w:next w:val="1"/>
    <w:qFormat/>
    <w:uiPriority w:val="0"/>
    <w:pPr>
      <w:spacing w:after="120" w:afterLines="0"/>
    </w:pPr>
    <w:rPr>
      <w:rFonts w:ascii="Times New Roman"/>
      <w:kern w:val="2"/>
      <w:sz w:val="21"/>
    </w:rPr>
  </w:style>
  <w:style w:type="paragraph" w:styleId="9">
    <w:name w:val="Body Text Indent"/>
    <w:basedOn w:val="1"/>
    <w:qFormat/>
    <w:uiPriority w:val="0"/>
    <w:pPr>
      <w:widowControl/>
      <w:ind w:firstLine="652" w:firstLineChars="233"/>
    </w:pPr>
    <w:rPr>
      <w:kern w:val="0"/>
      <w:sz w:val="28"/>
    </w:rPr>
  </w:style>
  <w:style w:type="paragraph" w:styleId="10">
    <w:name w:val="toc 3"/>
    <w:basedOn w:val="1"/>
    <w:next w:val="1"/>
    <w:qFormat/>
    <w:uiPriority w:val="0"/>
    <w:pPr>
      <w:ind w:left="840" w:leftChars="400"/>
    </w:pPr>
  </w:style>
  <w:style w:type="paragraph" w:styleId="11">
    <w:name w:val="Plain Text"/>
    <w:basedOn w:val="1"/>
    <w:qFormat/>
    <w:uiPriority w:val="0"/>
    <w:rPr>
      <w:rFonts w:hAnsi="Courier New"/>
      <w:kern w:val="2"/>
      <w:sz w:val="21"/>
    </w:rPr>
  </w:style>
  <w:style w:type="paragraph" w:styleId="12">
    <w:name w:val="footer"/>
    <w:basedOn w:val="1"/>
    <w:next w:val="1"/>
    <w:qFormat/>
    <w:uiPriority w:val="99"/>
    <w:pPr>
      <w:tabs>
        <w:tab w:val="center" w:pos="4153"/>
        <w:tab w:val="right" w:pos="8306"/>
      </w:tabs>
      <w:snapToGrid w:val="0"/>
      <w:jc w:val="left"/>
    </w:pPr>
    <w:rPr>
      <w:rFonts w:ascii="Times New Roman"/>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toc 1"/>
    <w:basedOn w:val="1"/>
    <w:next w:val="1"/>
    <w:unhideWhenUsed/>
    <w:qFormat/>
    <w:uiPriority w:val="39"/>
  </w:style>
  <w:style w:type="paragraph" w:styleId="15">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6">
    <w:name w:val="toc 2"/>
    <w:basedOn w:val="1"/>
    <w:next w:val="1"/>
    <w:unhideWhenUsed/>
    <w:qFormat/>
    <w:uiPriority w:val="39"/>
    <w:pPr>
      <w:ind w:left="420" w:leftChars="200"/>
    </w:pPr>
  </w:style>
  <w:style w:type="paragraph" w:styleId="17">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18">
    <w:name w:val="Body Text First Indent 2"/>
    <w:basedOn w:val="9"/>
    <w:qFormat/>
    <w:uiPriority w:val="99"/>
  </w:style>
  <w:style w:type="table" w:styleId="20">
    <w:name w:val="Table Grid"/>
    <w:basedOn w:val="1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qFormat/>
    <w:uiPriority w:val="0"/>
    <w:rPr>
      <w:color w:val="0000FF"/>
      <w:u w:val="single"/>
    </w:rPr>
  </w:style>
  <w:style w:type="paragraph" w:customStyle="1" w:styleId="24">
    <w:name w:val="List Paragraph"/>
    <w:basedOn w:val="1"/>
    <w:qFormat/>
    <w:uiPriority w:val="0"/>
    <w:pPr>
      <w:ind w:firstLine="420" w:firstLineChars="200"/>
    </w:pPr>
  </w:style>
  <w:style w:type="character" w:customStyle="1" w:styleId="25">
    <w:name w:val="标题 2 Char"/>
    <w:link w:val="4"/>
    <w:qFormat/>
    <w:uiPriority w:val="0"/>
    <w:rPr>
      <w:rFonts w:ascii="Arial" w:hAnsi="Arial"/>
      <w:b/>
      <w:bCs/>
      <w:sz w:val="28"/>
      <w:szCs w:val="32"/>
    </w:rPr>
  </w:style>
  <w:style w:type="paragraph" w:customStyle="1" w:styleId="26">
    <w:name w:val="列出段落11"/>
    <w:basedOn w:val="1"/>
    <w:qFormat/>
    <w:uiPriority w:val="34"/>
    <w:pPr>
      <w:ind w:firstLine="420" w:firstLineChars="200"/>
    </w:pPr>
    <w:rPr>
      <w:rFonts w:ascii="Calibri" w:hAnsi="Calibri"/>
      <w:szCs w:val="22"/>
    </w:rPr>
  </w:style>
  <w:style w:type="paragraph" w:customStyle="1" w:styleId="27">
    <w:name w:val="样式 样式 样式 (中文) 仿宋_GB2312 四号 黑色 行距: 固定值 28.5 磅 首行缩进:  1.92 字符 + 首行..."/>
    <w:basedOn w:val="1"/>
    <w:qFormat/>
    <w:uiPriority w:val="0"/>
    <w:pPr>
      <w:ind w:firstLine="200" w:firstLineChars="200"/>
    </w:pPr>
    <w:rPr>
      <w:rFonts w:eastAsia="仿宋_GB2312" w:cs="宋体"/>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36420</Words>
  <Characters>38934</Characters>
  <Lines>0</Lines>
  <Paragraphs>0</Paragraphs>
  <TotalTime>5</TotalTime>
  <ScaleCrop>false</ScaleCrop>
  <LinksUpToDate>false</LinksUpToDate>
  <CharactersWithSpaces>41913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井鼻殉</cp:lastModifiedBy>
  <dcterms:modified xsi:type="dcterms:W3CDTF">2022-05-24T01:06:44Z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A9F6098C192E4564BAB0A9BADF8A8085</vt:lpwstr>
  </property>
</Properties>
</file>