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cs="宋体"/>
          <w:b/>
          <w:color w:val="auto"/>
          <w:sz w:val="36"/>
          <w:highlight w:val="none"/>
        </w:rPr>
      </w:pPr>
      <w:r>
        <w:rPr>
          <w:rFonts w:hint="eastAsia" w:hAnsi="宋体" w:cs="宋体"/>
          <w:b/>
          <w:bCs/>
          <w:color w:val="auto"/>
          <w:sz w:val="32"/>
          <w:szCs w:val="32"/>
          <w:highlight w:val="none"/>
        </w:rPr>
        <w:t>项目编号：SXZCZB2022-ZCCS-0921</w:t>
      </w:r>
    </w:p>
    <w:p>
      <w:pPr>
        <w:rPr>
          <w:rFonts w:hAnsi="宋体" w:cs="宋体"/>
          <w:b/>
          <w:color w:val="auto"/>
          <w:sz w:val="36"/>
          <w:highlight w:val="none"/>
        </w:rPr>
      </w:pPr>
    </w:p>
    <w:p>
      <w:pPr>
        <w:rPr>
          <w:rFonts w:hAnsi="宋体" w:cs="宋体"/>
          <w:b/>
          <w:color w:val="auto"/>
          <w:sz w:val="36"/>
          <w:highlight w:val="none"/>
        </w:rPr>
      </w:pPr>
    </w:p>
    <w:p>
      <w:pPr>
        <w:jc w:val="center"/>
        <w:rPr>
          <w:rFonts w:hAnsi="宋体" w:cs="宋体"/>
          <w:b/>
          <w:bCs/>
          <w:color w:val="auto"/>
          <w:sz w:val="52"/>
          <w:szCs w:val="52"/>
          <w:highlight w:val="none"/>
        </w:rPr>
      </w:pPr>
    </w:p>
    <w:p>
      <w:pPr>
        <w:jc w:val="center"/>
        <w:rPr>
          <w:rFonts w:hAnsi="宋体" w:cs="宋体"/>
          <w:b/>
          <w:bCs/>
          <w:color w:val="auto"/>
          <w:sz w:val="48"/>
          <w:szCs w:val="48"/>
          <w:highlight w:val="none"/>
        </w:rPr>
      </w:pPr>
      <w:r>
        <w:rPr>
          <w:rFonts w:hint="eastAsia" w:hAnsi="宋体" w:cs="宋体"/>
          <w:b/>
          <w:bCs/>
          <w:color w:val="auto"/>
          <w:sz w:val="72"/>
          <w:szCs w:val="72"/>
          <w:highlight w:val="none"/>
        </w:rPr>
        <w:t>柞水县2022年秦岭红豆杉保护发展项目</w:t>
      </w:r>
    </w:p>
    <w:p>
      <w:pPr>
        <w:jc w:val="center"/>
        <w:rPr>
          <w:rFonts w:hAnsi="宋体" w:cs="宋体"/>
          <w:b/>
          <w:color w:val="auto"/>
          <w:sz w:val="72"/>
          <w:szCs w:val="72"/>
          <w:highlight w:val="none"/>
        </w:rPr>
      </w:pPr>
    </w:p>
    <w:p>
      <w:pPr>
        <w:spacing w:line="780" w:lineRule="auto"/>
        <w:jc w:val="center"/>
        <w:rPr>
          <w:rFonts w:hAnsi="宋体" w:cs="宋体"/>
          <w:b/>
          <w:color w:val="auto"/>
          <w:sz w:val="72"/>
          <w:szCs w:val="72"/>
          <w:highlight w:val="none"/>
        </w:rPr>
      </w:pPr>
    </w:p>
    <w:p>
      <w:pPr>
        <w:spacing w:line="780" w:lineRule="auto"/>
        <w:jc w:val="center"/>
        <w:rPr>
          <w:rFonts w:hAnsi="宋体" w:cs="宋体"/>
          <w:b/>
          <w:color w:val="auto"/>
          <w:sz w:val="72"/>
          <w:szCs w:val="72"/>
          <w:highlight w:val="none"/>
        </w:rPr>
      </w:pPr>
      <w:r>
        <w:rPr>
          <w:rFonts w:hint="eastAsia" w:hAnsi="宋体" w:cs="宋体"/>
          <w:b/>
          <w:color w:val="auto"/>
          <w:sz w:val="72"/>
          <w:szCs w:val="72"/>
          <w:highlight w:val="none"/>
        </w:rPr>
        <w:t>竞争性磋商文件</w:t>
      </w:r>
    </w:p>
    <w:p>
      <w:pPr>
        <w:rPr>
          <w:rFonts w:hAnsi="宋体" w:cs="宋体"/>
          <w:color w:val="auto"/>
          <w:highlight w:val="none"/>
        </w:rPr>
      </w:pPr>
      <w:bookmarkStart w:id="0" w:name="_Toc363463325"/>
    </w:p>
    <w:p>
      <w:pPr>
        <w:rPr>
          <w:rFonts w:hAnsi="宋体" w:cs="宋体"/>
          <w:color w:val="auto"/>
          <w:highlight w:val="none"/>
        </w:rPr>
      </w:pPr>
    </w:p>
    <w:p>
      <w:pPr>
        <w:rPr>
          <w:color w:val="auto"/>
          <w:highlight w:val="none"/>
        </w:rPr>
      </w:pPr>
    </w:p>
    <w:p>
      <w:pPr>
        <w:rPr>
          <w:rFonts w:hAnsi="宋体" w:cs="宋体"/>
          <w:color w:val="auto"/>
          <w:highlight w:val="none"/>
        </w:rPr>
      </w:pPr>
    </w:p>
    <w:bookmarkEnd w:id="0"/>
    <w:p>
      <w:pPr>
        <w:jc w:val="center"/>
        <w:rPr>
          <w:rFonts w:hAnsi="宋体" w:cs="宋体"/>
          <w:b/>
          <w:color w:val="auto"/>
          <w:sz w:val="36"/>
          <w:szCs w:val="36"/>
          <w:highlight w:val="none"/>
        </w:rPr>
      </w:pPr>
    </w:p>
    <w:p>
      <w:pPr>
        <w:rPr>
          <w:rFonts w:hAnsi="宋体" w:cs="宋体"/>
          <w:b/>
          <w:color w:val="auto"/>
          <w:sz w:val="36"/>
          <w:szCs w:val="36"/>
          <w:highlight w:val="none"/>
        </w:rPr>
      </w:pPr>
    </w:p>
    <w:p>
      <w:pPr>
        <w:ind w:left="2400" w:leftChars="1000"/>
        <w:rPr>
          <w:rFonts w:hAnsi="宋体" w:cs="宋体"/>
          <w:b/>
          <w:color w:val="auto"/>
          <w:sz w:val="32"/>
          <w:szCs w:val="32"/>
          <w:highlight w:val="none"/>
        </w:rPr>
      </w:pPr>
      <w:r>
        <w:rPr>
          <w:rFonts w:hint="eastAsia" w:hAnsi="宋体" w:cs="宋体"/>
          <w:b/>
          <w:color w:val="auto"/>
          <w:sz w:val="32"/>
          <w:szCs w:val="32"/>
          <w:highlight w:val="none"/>
        </w:rPr>
        <w:t>采 购 人：柞水县林业局</w:t>
      </w:r>
    </w:p>
    <w:p>
      <w:pPr>
        <w:ind w:left="2400" w:leftChars="1000"/>
        <w:rPr>
          <w:rFonts w:hAnsi="宋体" w:cs="宋体"/>
          <w:b/>
          <w:color w:val="auto"/>
          <w:sz w:val="32"/>
          <w:szCs w:val="32"/>
          <w:highlight w:val="none"/>
        </w:rPr>
      </w:pPr>
      <w:r>
        <w:rPr>
          <w:rFonts w:hint="eastAsia" w:hAnsi="宋体" w:cs="宋体"/>
          <w:b/>
          <w:color w:val="auto"/>
          <w:sz w:val="32"/>
          <w:szCs w:val="32"/>
          <w:highlight w:val="none"/>
        </w:rPr>
        <w:t>代理机构：陕西至诚招标咨询有限公司</w:t>
      </w:r>
    </w:p>
    <w:p>
      <w:pPr>
        <w:pStyle w:val="9"/>
        <w:ind w:left="2400" w:leftChars="1000"/>
        <w:rPr>
          <w:rFonts w:ascii="宋体" w:hAnsi="宋体" w:cs="宋体"/>
          <w:b/>
          <w:bCs/>
          <w:color w:val="auto"/>
          <w:sz w:val="28"/>
          <w:szCs w:val="28"/>
          <w:highlight w:val="none"/>
        </w:rPr>
      </w:pPr>
      <w:r>
        <w:rPr>
          <w:rFonts w:hint="eastAsia" w:ascii="宋体" w:hAnsi="宋体" w:cs="宋体"/>
          <w:b/>
          <w:bCs/>
          <w:color w:val="auto"/>
          <w:sz w:val="28"/>
          <w:szCs w:val="28"/>
          <w:highlight w:val="none"/>
        </w:rPr>
        <w:t>日     期：二〇二二年九月</w:t>
      </w:r>
    </w:p>
    <w:p>
      <w:pPr>
        <w:rPr>
          <w:rFonts w:hAnsi="宋体" w:cs="宋体"/>
          <w:b/>
          <w:bCs/>
          <w:color w:val="auto"/>
          <w:sz w:val="32"/>
          <w:szCs w:val="32"/>
          <w:highlight w:val="none"/>
        </w:rPr>
      </w:pPr>
    </w:p>
    <w:p>
      <w:pPr>
        <w:pStyle w:val="4"/>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701" w:header="851" w:footer="992" w:gutter="0"/>
          <w:cols w:space="720" w:num="1"/>
          <w:titlePg/>
          <w:docGrid w:type="lines" w:linePitch="312" w:charSpace="0"/>
        </w:sectPr>
      </w:pPr>
    </w:p>
    <w:p>
      <w:pPr>
        <w:rPr>
          <w:rFonts w:hAnsi="宋体" w:cs="宋体"/>
          <w:color w:val="auto"/>
          <w:highlight w:val="none"/>
        </w:rPr>
      </w:pPr>
    </w:p>
    <w:p>
      <w:pPr>
        <w:jc w:val="center"/>
        <w:rPr>
          <w:rFonts w:hAnsi="宋体" w:cs="宋体"/>
          <w:b/>
          <w:color w:val="auto"/>
          <w:sz w:val="44"/>
          <w:szCs w:val="44"/>
          <w:highlight w:val="none"/>
        </w:rPr>
      </w:pPr>
      <w:r>
        <w:rPr>
          <w:rFonts w:hint="eastAsia" w:hAnsi="宋体" w:cs="宋体"/>
          <w:b/>
          <w:color w:val="auto"/>
          <w:sz w:val="44"/>
          <w:szCs w:val="44"/>
          <w:highlight w:val="none"/>
        </w:rPr>
        <w:t>目 录</w:t>
      </w:r>
    </w:p>
    <w:p>
      <w:pPr>
        <w:jc w:val="center"/>
        <w:rPr>
          <w:rFonts w:hAnsi="宋体" w:cs="宋体"/>
          <w:b/>
          <w:color w:val="auto"/>
          <w:sz w:val="44"/>
          <w:szCs w:val="44"/>
          <w:highlight w:val="none"/>
        </w:rPr>
      </w:pPr>
    </w:p>
    <w:p>
      <w:pPr>
        <w:pStyle w:val="19"/>
        <w:tabs>
          <w:tab w:val="right" w:leader="dot" w:pos="8787"/>
        </w:tabs>
        <w:spacing w:line="480" w:lineRule="auto"/>
        <w:rPr>
          <w:color w:val="auto"/>
          <w:szCs w:val="24"/>
          <w:highlight w:val="none"/>
        </w:rPr>
      </w:pPr>
      <w:bookmarkStart w:id="1" w:name="_Toc16218"/>
      <w:bookmarkStart w:id="2" w:name="_Toc20858"/>
      <w:bookmarkStart w:id="3" w:name="_Toc5293"/>
      <w:bookmarkStart w:id="4" w:name="_Toc20652"/>
      <w:bookmarkStart w:id="5" w:name="_Toc19886"/>
      <w:bookmarkStart w:id="6" w:name="_Toc21518"/>
      <w:bookmarkStart w:id="7" w:name="_Toc389582033"/>
      <w:bookmarkStart w:id="8" w:name="_Toc27420"/>
      <w:bookmarkStart w:id="9" w:name="_Toc363474016"/>
      <w:bookmarkStart w:id="10" w:name="_Toc403077638"/>
      <w:bookmarkStart w:id="11" w:name="_Toc363473971"/>
      <w:r>
        <w:rPr>
          <w:rFonts w:hint="eastAsia" w:hAnsi="宋体" w:cs="宋体"/>
          <w:bCs/>
          <w:color w:val="auto"/>
          <w:szCs w:val="24"/>
          <w:highlight w:val="none"/>
        </w:rPr>
        <w:fldChar w:fldCharType="begin"/>
      </w:r>
      <w:r>
        <w:rPr>
          <w:rFonts w:hint="eastAsia" w:hAnsi="宋体" w:cs="宋体"/>
          <w:bCs/>
          <w:color w:val="auto"/>
          <w:szCs w:val="24"/>
          <w:highlight w:val="none"/>
        </w:rPr>
        <w:instrText xml:space="preserve">TOC \o "1-2" \h \u </w:instrText>
      </w:r>
      <w:r>
        <w:rPr>
          <w:rFonts w:hint="eastAsia" w:hAnsi="宋体" w:cs="宋体"/>
          <w:bCs/>
          <w:color w:val="auto"/>
          <w:szCs w:val="24"/>
          <w:highlight w:val="none"/>
        </w:rPr>
        <w:fldChar w:fldCharType="separate"/>
      </w:r>
      <w:r>
        <w:rPr>
          <w:color w:val="auto"/>
          <w:highlight w:val="none"/>
        </w:rPr>
        <w:fldChar w:fldCharType="begin"/>
      </w:r>
      <w:r>
        <w:rPr>
          <w:color w:val="auto"/>
          <w:highlight w:val="none"/>
        </w:rPr>
        <w:instrText xml:space="preserve"> HYPERLINK \l "_Toc6659" </w:instrText>
      </w:r>
      <w:r>
        <w:rPr>
          <w:color w:val="auto"/>
          <w:highlight w:val="none"/>
        </w:rPr>
        <w:fldChar w:fldCharType="separate"/>
      </w:r>
      <w:r>
        <w:rPr>
          <w:rFonts w:hint="eastAsia" w:cs="宋体"/>
          <w:bCs/>
          <w:color w:val="auto"/>
          <w:szCs w:val="24"/>
          <w:highlight w:val="none"/>
        </w:rPr>
        <w:t>第一章  竞争性磋商公告</w:t>
      </w:r>
      <w:r>
        <w:rPr>
          <w:color w:val="auto"/>
          <w:szCs w:val="24"/>
          <w:highlight w:val="none"/>
        </w:rPr>
        <w:tab/>
      </w:r>
      <w:r>
        <w:rPr>
          <w:color w:val="auto"/>
          <w:szCs w:val="24"/>
          <w:highlight w:val="none"/>
        </w:rPr>
        <w:fldChar w:fldCharType="begin"/>
      </w:r>
      <w:r>
        <w:rPr>
          <w:color w:val="auto"/>
          <w:szCs w:val="24"/>
          <w:highlight w:val="none"/>
        </w:rPr>
        <w:instrText xml:space="preserve"> PAGEREF _Toc6659 \h </w:instrText>
      </w:r>
      <w:r>
        <w:rPr>
          <w:color w:val="auto"/>
          <w:szCs w:val="24"/>
          <w:highlight w:val="none"/>
        </w:rPr>
        <w:fldChar w:fldCharType="separate"/>
      </w:r>
      <w:r>
        <w:rPr>
          <w:color w:val="auto"/>
          <w:szCs w:val="24"/>
          <w:highlight w:val="none"/>
        </w:rPr>
        <w:t>2</w:t>
      </w:r>
      <w:r>
        <w:rPr>
          <w:color w:val="auto"/>
          <w:szCs w:val="24"/>
          <w:highlight w:val="none"/>
        </w:rPr>
        <w:fldChar w:fldCharType="end"/>
      </w:r>
      <w:r>
        <w:rPr>
          <w:color w:val="auto"/>
          <w:szCs w:val="24"/>
          <w:highlight w:val="none"/>
        </w:rPr>
        <w:fldChar w:fldCharType="end"/>
      </w:r>
    </w:p>
    <w:p>
      <w:pPr>
        <w:pStyle w:val="19"/>
        <w:tabs>
          <w:tab w:val="right" w:leader="dot" w:pos="8787"/>
        </w:tabs>
        <w:spacing w:line="480" w:lineRule="auto"/>
        <w:rPr>
          <w:color w:val="auto"/>
          <w:szCs w:val="24"/>
          <w:highlight w:val="none"/>
        </w:rPr>
      </w:pPr>
      <w:r>
        <w:rPr>
          <w:color w:val="auto"/>
          <w:highlight w:val="none"/>
        </w:rPr>
        <w:fldChar w:fldCharType="begin"/>
      </w:r>
      <w:r>
        <w:rPr>
          <w:color w:val="auto"/>
          <w:highlight w:val="none"/>
        </w:rPr>
        <w:instrText xml:space="preserve"> HYPERLINK \l "_Toc19491" </w:instrText>
      </w:r>
      <w:r>
        <w:rPr>
          <w:color w:val="auto"/>
          <w:highlight w:val="none"/>
        </w:rPr>
        <w:fldChar w:fldCharType="separate"/>
      </w:r>
      <w:r>
        <w:rPr>
          <w:rFonts w:hint="eastAsia" w:hAnsi="宋体" w:cs="宋体"/>
          <w:bCs/>
          <w:color w:val="auto"/>
          <w:kern w:val="2"/>
          <w:szCs w:val="24"/>
          <w:highlight w:val="none"/>
        </w:rPr>
        <w:t>第二章  供应商须知</w:t>
      </w:r>
      <w:r>
        <w:rPr>
          <w:color w:val="auto"/>
          <w:szCs w:val="24"/>
          <w:highlight w:val="none"/>
        </w:rPr>
        <w:tab/>
      </w:r>
      <w:r>
        <w:rPr>
          <w:color w:val="auto"/>
          <w:szCs w:val="24"/>
          <w:highlight w:val="none"/>
        </w:rPr>
        <w:fldChar w:fldCharType="begin"/>
      </w:r>
      <w:r>
        <w:rPr>
          <w:color w:val="auto"/>
          <w:szCs w:val="24"/>
          <w:highlight w:val="none"/>
        </w:rPr>
        <w:instrText xml:space="preserve"> PAGEREF _Toc19491 \h </w:instrText>
      </w:r>
      <w:r>
        <w:rPr>
          <w:color w:val="auto"/>
          <w:szCs w:val="24"/>
          <w:highlight w:val="none"/>
        </w:rPr>
        <w:fldChar w:fldCharType="separate"/>
      </w:r>
      <w:r>
        <w:rPr>
          <w:color w:val="auto"/>
          <w:szCs w:val="24"/>
          <w:highlight w:val="none"/>
        </w:rPr>
        <w:t>6</w:t>
      </w:r>
      <w:r>
        <w:rPr>
          <w:color w:val="auto"/>
          <w:szCs w:val="24"/>
          <w:highlight w:val="none"/>
        </w:rPr>
        <w:fldChar w:fldCharType="end"/>
      </w:r>
      <w:r>
        <w:rPr>
          <w:color w:val="auto"/>
          <w:szCs w:val="24"/>
          <w:highlight w:val="none"/>
        </w:rPr>
        <w:fldChar w:fldCharType="end"/>
      </w:r>
    </w:p>
    <w:p>
      <w:pPr>
        <w:pStyle w:val="21"/>
        <w:tabs>
          <w:tab w:val="right" w:leader="dot" w:pos="8787"/>
        </w:tabs>
        <w:spacing w:line="480" w:lineRule="auto"/>
        <w:ind w:left="480"/>
        <w:rPr>
          <w:color w:val="auto"/>
          <w:szCs w:val="24"/>
          <w:highlight w:val="none"/>
        </w:rPr>
      </w:pPr>
      <w:r>
        <w:rPr>
          <w:color w:val="auto"/>
          <w:highlight w:val="none"/>
        </w:rPr>
        <w:fldChar w:fldCharType="begin"/>
      </w:r>
      <w:r>
        <w:rPr>
          <w:color w:val="auto"/>
          <w:highlight w:val="none"/>
        </w:rPr>
        <w:instrText xml:space="preserve"> HYPERLINK \l "_Toc17143" </w:instrText>
      </w:r>
      <w:r>
        <w:rPr>
          <w:color w:val="auto"/>
          <w:highlight w:val="none"/>
        </w:rPr>
        <w:fldChar w:fldCharType="separate"/>
      </w:r>
      <w:r>
        <w:rPr>
          <w:rFonts w:hint="eastAsia" w:hAnsi="宋体" w:cs="宋体"/>
          <w:color w:val="auto"/>
          <w:szCs w:val="24"/>
          <w:highlight w:val="none"/>
        </w:rPr>
        <w:t>供应商须知前附表</w:t>
      </w:r>
      <w:r>
        <w:rPr>
          <w:color w:val="auto"/>
          <w:szCs w:val="24"/>
          <w:highlight w:val="none"/>
        </w:rPr>
        <w:tab/>
      </w:r>
      <w:r>
        <w:rPr>
          <w:color w:val="auto"/>
          <w:szCs w:val="24"/>
          <w:highlight w:val="none"/>
        </w:rPr>
        <w:fldChar w:fldCharType="begin"/>
      </w:r>
      <w:r>
        <w:rPr>
          <w:color w:val="auto"/>
          <w:szCs w:val="24"/>
          <w:highlight w:val="none"/>
        </w:rPr>
        <w:instrText xml:space="preserve"> PAGEREF _Toc17143 \h </w:instrText>
      </w:r>
      <w:r>
        <w:rPr>
          <w:color w:val="auto"/>
          <w:szCs w:val="24"/>
          <w:highlight w:val="none"/>
        </w:rPr>
        <w:fldChar w:fldCharType="separate"/>
      </w:r>
      <w:r>
        <w:rPr>
          <w:color w:val="auto"/>
          <w:szCs w:val="24"/>
          <w:highlight w:val="none"/>
        </w:rPr>
        <w:t>6</w:t>
      </w:r>
      <w:r>
        <w:rPr>
          <w:color w:val="auto"/>
          <w:szCs w:val="24"/>
          <w:highlight w:val="none"/>
        </w:rPr>
        <w:fldChar w:fldCharType="end"/>
      </w:r>
      <w:r>
        <w:rPr>
          <w:color w:val="auto"/>
          <w:szCs w:val="24"/>
          <w:highlight w:val="none"/>
        </w:rPr>
        <w:fldChar w:fldCharType="end"/>
      </w:r>
    </w:p>
    <w:p>
      <w:pPr>
        <w:pStyle w:val="19"/>
        <w:tabs>
          <w:tab w:val="right" w:leader="dot" w:pos="8787"/>
        </w:tabs>
        <w:spacing w:line="480" w:lineRule="auto"/>
        <w:rPr>
          <w:color w:val="auto"/>
          <w:szCs w:val="24"/>
          <w:highlight w:val="none"/>
        </w:rPr>
      </w:pPr>
      <w:r>
        <w:rPr>
          <w:color w:val="auto"/>
          <w:highlight w:val="none"/>
        </w:rPr>
        <w:fldChar w:fldCharType="begin"/>
      </w:r>
      <w:r>
        <w:rPr>
          <w:color w:val="auto"/>
          <w:highlight w:val="none"/>
        </w:rPr>
        <w:instrText xml:space="preserve"> HYPERLINK \l "_Toc17808" </w:instrText>
      </w:r>
      <w:r>
        <w:rPr>
          <w:color w:val="auto"/>
          <w:highlight w:val="none"/>
        </w:rPr>
        <w:fldChar w:fldCharType="separate"/>
      </w:r>
      <w:r>
        <w:rPr>
          <w:rFonts w:hint="eastAsia" w:cs="宋体"/>
          <w:bCs/>
          <w:color w:val="auto"/>
          <w:szCs w:val="24"/>
          <w:highlight w:val="none"/>
        </w:rPr>
        <w:t>第三章  评审方法</w:t>
      </w:r>
      <w:r>
        <w:rPr>
          <w:color w:val="auto"/>
          <w:szCs w:val="24"/>
          <w:highlight w:val="none"/>
        </w:rPr>
        <w:tab/>
      </w:r>
      <w:r>
        <w:rPr>
          <w:color w:val="auto"/>
          <w:szCs w:val="24"/>
          <w:highlight w:val="none"/>
        </w:rPr>
        <w:fldChar w:fldCharType="begin"/>
      </w:r>
      <w:r>
        <w:rPr>
          <w:color w:val="auto"/>
          <w:szCs w:val="24"/>
          <w:highlight w:val="none"/>
        </w:rPr>
        <w:instrText xml:space="preserve"> PAGEREF _Toc17808 \h </w:instrText>
      </w:r>
      <w:r>
        <w:rPr>
          <w:color w:val="auto"/>
          <w:szCs w:val="24"/>
          <w:highlight w:val="none"/>
        </w:rPr>
        <w:fldChar w:fldCharType="separate"/>
      </w:r>
      <w:r>
        <w:rPr>
          <w:color w:val="auto"/>
          <w:szCs w:val="24"/>
          <w:highlight w:val="none"/>
        </w:rPr>
        <w:t>25</w:t>
      </w:r>
      <w:r>
        <w:rPr>
          <w:color w:val="auto"/>
          <w:szCs w:val="24"/>
          <w:highlight w:val="none"/>
        </w:rPr>
        <w:fldChar w:fldCharType="end"/>
      </w:r>
      <w:r>
        <w:rPr>
          <w:color w:val="auto"/>
          <w:szCs w:val="24"/>
          <w:highlight w:val="none"/>
        </w:rPr>
        <w:fldChar w:fldCharType="end"/>
      </w:r>
    </w:p>
    <w:p>
      <w:pPr>
        <w:pStyle w:val="19"/>
        <w:tabs>
          <w:tab w:val="right" w:leader="dot" w:pos="8787"/>
        </w:tabs>
        <w:spacing w:line="480" w:lineRule="auto"/>
        <w:rPr>
          <w:color w:val="auto"/>
          <w:szCs w:val="24"/>
          <w:highlight w:val="none"/>
        </w:rPr>
      </w:pPr>
      <w:r>
        <w:rPr>
          <w:color w:val="auto"/>
          <w:highlight w:val="none"/>
        </w:rPr>
        <w:fldChar w:fldCharType="begin"/>
      </w:r>
      <w:r>
        <w:rPr>
          <w:color w:val="auto"/>
          <w:highlight w:val="none"/>
        </w:rPr>
        <w:instrText xml:space="preserve"> HYPERLINK \l "_Toc7289" </w:instrText>
      </w:r>
      <w:r>
        <w:rPr>
          <w:color w:val="auto"/>
          <w:highlight w:val="none"/>
        </w:rPr>
        <w:fldChar w:fldCharType="separate"/>
      </w:r>
      <w:r>
        <w:rPr>
          <w:rFonts w:hint="eastAsia" w:cs="宋体"/>
          <w:bCs/>
          <w:color w:val="auto"/>
          <w:szCs w:val="24"/>
          <w:highlight w:val="none"/>
        </w:rPr>
        <w:t>第四章  合同条款及格式</w:t>
      </w:r>
      <w:r>
        <w:rPr>
          <w:color w:val="auto"/>
          <w:szCs w:val="24"/>
          <w:highlight w:val="none"/>
        </w:rPr>
        <w:tab/>
      </w:r>
      <w:r>
        <w:rPr>
          <w:color w:val="auto"/>
          <w:szCs w:val="24"/>
          <w:highlight w:val="none"/>
        </w:rPr>
        <w:fldChar w:fldCharType="begin"/>
      </w:r>
      <w:r>
        <w:rPr>
          <w:color w:val="auto"/>
          <w:szCs w:val="24"/>
          <w:highlight w:val="none"/>
        </w:rPr>
        <w:instrText xml:space="preserve"> PAGEREF _Toc7289 \h </w:instrText>
      </w:r>
      <w:r>
        <w:rPr>
          <w:color w:val="auto"/>
          <w:szCs w:val="24"/>
          <w:highlight w:val="none"/>
        </w:rPr>
        <w:fldChar w:fldCharType="separate"/>
      </w:r>
      <w:r>
        <w:rPr>
          <w:color w:val="auto"/>
          <w:szCs w:val="24"/>
          <w:highlight w:val="none"/>
        </w:rPr>
        <w:t>31</w:t>
      </w:r>
      <w:r>
        <w:rPr>
          <w:color w:val="auto"/>
          <w:szCs w:val="24"/>
          <w:highlight w:val="none"/>
        </w:rPr>
        <w:fldChar w:fldCharType="end"/>
      </w:r>
      <w:r>
        <w:rPr>
          <w:color w:val="auto"/>
          <w:szCs w:val="24"/>
          <w:highlight w:val="none"/>
        </w:rPr>
        <w:fldChar w:fldCharType="end"/>
      </w:r>
    </w:p>
    <w:p>
      <w:pPr>
        <w:pStyle w:val="21"/>
        <w:tabs>
          <w:tab w:val="right" w:leader="dot" w:pos="8787"/>
        </w:tabs>
        <w:spacing w:line="480" w:lineRule="auto"/>
        <w:ind w:left="480"/>
        <w:rPr>
          <w:color w:val="auto"/>
          <w:szCs w:val="24"/>
          <w:highlight w:val="none"/>
        </w:rPr>
      </w:pPr>
      <w:r>
        <w:rPr>
          <w:color w:val="auto"/>
          <w:highlight w:val="none"/>
        </w:rPr>
        <w:fldChar w:fldCharType="begin"/>
      </w:r>
      <w:r>
        <w:rPr>
          <w:color w:val="auto"/>
          <w:highlight w:val="none"/>
        </w:rPr>
        <w:instrText xml:space="preserve"> HYPERLINK \l "_Toc32723" </w:instrText>
      </w:r>
      <w:r>
        <w:rPr>
          <w:color w:val="auto"/>
          <w:highlight w:val="none"/>
        </w:rPr>
        <w:fldChar w:fldCharType="separate"/>
      </w:r>
      <w:r>
        <w:rPr>
          <w:rFonts w:hint="eastAsia" w:hAnsi="宋体"/>
          <w:color w:val="auto"/>
          <w:szCs w:val="24"/>
          <w:highlight w:val="none"/>
        </w:rPr>
        <w:t>合同条款及格式前附表</w:t>
      </w:r>
      <w:r>
        <w:rPr>
          <w:color w:val="auto"/>
          <w:szCs w:val="24"/>
          <w:highlight w:val="none"/>
        </w:rPr>
        <w:tab/>
      </w:r>
      <w:r>
        <w:rPr>
          <w:color w:val="auto"/>
          <w:szCs w:val="24"/>
          <w:highlight w:val="none"/>
        </w:rPr>
        <w:fldChar w:fldCharType="begin"/>
      </w:r>
      <w:r>
        <w:rPr>
          <w:color w:val="auto"/>
          <w:szCs w:val="24"/>
          <w:highlight w:val="none"/>
        </w:rPr>
        <w:instrText xml:space="preserve"> PAGEREF _Toc32723 \h </w:instrText>
      </w:r>
      <w:r>
        <w:rPr>
          <w:color w:val="auto"/>
          <w:szCs w:val="24"/>
          <w:highlight w:val="none"/>
        </w:rPr>
        <w:fldChar w:fldCharType="separate"/>
      </w:r>
      <w:r>
        <w:rPr>
          <w:color w:val="auto"/>
          <w:szCs w:val="24"/>
          <w:highlight w:val="none"/>
        </w:rPr>
        <w:t>31</w:t>
      </w:r>
      <w:r>
        <w:rPr>
          <w:color w:val="auto"/>
          <w:szCs w:val="24"/>
          <w:highlight w:val="none"/>
        </w:rPr>
        <w:fldChar w:fldCharType="end"/>
      </w:r>
      <w:r>
        <w:rPr>
          <w:color w:val="auto"/>
          <w:szCs w:val="24"/>
          <w:highlight w:val="none"/>
        </w:rPr>
        <w:fldChar w:fldCharType="end"/>
      </w:r>
    </w:p>
    <w:p>
      <w:pPr>
        <w:pStyle w:val="19"/>
        <w:tabs>
          <w:tab w:val="right" w:leader="dot" w:pos="8787"/>
        </w:tabs>
        <w:spacing w:line="480" w:lineRule="auto"/>
        <w:rPr>
          <w:color w:val="auto"/>
          <w:szCs w:val="24"/>
          <w:highlight w:val="none"/>
        </w:rPr>
      </w:pPr>
      <w:r>
        <w:rPr>
          <w:color w:val="auto"/>
          <w:highlight w:val="none"/>
        </w:rPr>
        <w:fldChar w:fldCharType="begin"/>
      </w:r>
      <w:r>
        <w:rPr>
          <w:color w:val="auto"/>
          <w:highlight w:val="none"/>
        </w:rPr>
        <w:instrText xml:space="preserve"> HYPERLINK \l "_Toc8685" </w:instrText>
      </w:r>
      <w:r>
        <w:rPr>
          <w:color w:val="auto"/>
          <w:highlight w:val="none"/>
        </w:rPr>
        <w:fldChar w:fldCharType="separate"/>
      </w:r>
      <w:r>
        <w:rPr>
          <w:rFonts w:hint="eastAsia" w:cs="宋体"/>
          <w:color w:val="auto"/>
          <w:szCs w:val="24"/>
          <w:highlight w:val="none"/>
        </w:rPr>
        <w:t>第五章  磋商内容及技术要求</w:t>
      </w:r>
      <w:r>
        <w:rPr>
          <w:color w:val="auto"/>
          <w:szCs w:val="24"/>
          <w:highlight w:val="none"/>
        </w:rPr>
        <w:tab/>
      </w:r>
      <w:r>
        <w:rPr>
          <w:color w:val="auto"/>
          <w:szCs w:val="24"/>
          <w:highlight w:val="none"/>
        </w:rPr>
        <w:fldChar w:fldCharType="begin"/>
      </w:r>
      <w:r>
        <w:rPr>
          <w:color w:val="auto"/>
          <w:szCs w:val="24"/>
          <w:highlight w:val="none"/>
        </w:rPr>
        <w:instrText xml:space="preserve"> PAGEREF _Toc8685 \h </w:instrText>
      </w:r>
      <w:r>
        <w:rPr>
          <w:color w:val="auto"/>
          <w:szCs w:val="24"/>
          <w:highlight w:val="none"/>
        </w:rPr>
        <w:fldChar w:fldCharType="separate"/>
      </w:r>
      <w:r>
        <w:rPr>
          <w:color w:val="auto"/>
          <w:szCs w:val="24"/>
          <w:highlight w:val="none"/>
        </w:rPr>
        <w:t>46</w:t>
      </w:r>
      <w:r>
        <w:rPr>
          <w:color w:val="auto"/>
          <w:szCs w:val="24"/>
          <w:highlight w:val="none"/>
        </w:rPr>
        <w:fldChar w:fldCharType="end"/>
      </w:r>
      <w:r>
        <w:rPr>
          <w:color w:val="auto"/>
          <w:szCs w:val="24"/>
          <w:highlight w:val="none"/>
        </w:rPr>
        <w:fldChar w:fldCharType="end"/>
      </w:r>
    </w:p>
    <w:p>
      <w:pPr>
        <w:pStyle w:val="19"/>
        <w:tabs>
          <w:tab w:val="right" w:leader="dot" w:pos="8787"/>
        </w:tabs>
        <w:spacing w:line="480" w:lineRule="auto"/>
        <w:rPr>
          <w:color w:val="auto"/>
          <w:szCs w:val="24"/>
          <w:highlight w:val="none"/>
        </w:rPr>
      </w:pPr>
      <w:r>
        <w:rPr>
          <w:color w:val="auto"/>
          <w:highlight w:val="none"/>
        </w:rPr>
        <w:fldChar w:fldCharType="begin"/>
      </w:r>
      <w:r>
        <w:rPr>
          <w:color w:val="auto"/>
          <w:highlight w:val="none"/>
        </w:rPr>
        <w:instrText xml:space="preserve"> HYPERLINK \l "_Toc25633" </w:instrText>
      </w:r>
      <w:r>
        <w:rPr>
          <w:color w:val="auto"/>
          <w:highlight w:val="none"/>
        </w:rPr>
        <w:fldChar w:fldCharType="separate"/>
      </w:r>
      <w:r>
        <w:rPr>
          <w:rFonts w:hint="eastAsia" w:cs="宋体"/>
          <w:color w:val="auto"/>
          <w:szCs w:val="24"/>
          <w:highlight w:val="none"/>
        </w:rPr>
        <w:t>第六章  竞争性磋商响应文件格式</w:t>
      </w:r>
      <w:r>
        <w:rPr>
          <w:color w:val="auto"/>
          <w:szCs w:val="24"/>
          <w:highlight w:val="none"/>
        </w:rPr>
        <w:tab/>
      </w:r>
      <w:r>
        <w:rPr>
          <w:color w:val="auto"/>
          <w:szCs w:val="24"/>
          <w:highlight w:val="none"/>
        </w:rPr>
        <w:fldChar w:fldCharType="begin"/>
      </w:r>
      <w:r>
        <w:rPr>
          <w:color w:val="auto"/>
          <w:szCs w:val="24"/>
          <w:highlight w:val="none"/>
        </w:rPr>
        <w:instrText xml:space="preserve"> PAGEREF _Toc25633 \h </w:instrText>
      </w:r>
      <w:r>
        <w:rPr>
          <w:color w:val="auto"/>
          <w:szCs w:val="24"/>
          <w:highlight w:val="none"/>
        </w:rPr>
        <w:fldChar w:fldCharType="separate"/>
      </w:r>
      <w:r>
        <w:rPr>
          <w:color w:val="auto"/>
          <w:szCs w:val="24"/>
          <w:highlight w:val="none"/>
        </w:rPr>
        <w:t>49</w:t>
      </w:r>
      <w:r>
        <w:rPr>
          <w:color w:val="auto"/>
          <w:szCs w:val="24"/>
          <w:highlight w:val="none"/>
        </w:rPr>
        <w:fldChar w:fldCharType="end"/>
      </w:r>
      <w:r>
        <w:rPr>
          <w:color w:val="auto"/>
          <w:szCs w:val="24"/>
          <w:highlight w:val="none"/>
        </w:rPr>
        <w:fldChar w:fldCharType="end"/>
      </w:r>
    </w:p>
    <w:p>
      <w:pPr>
        <w:pStyle w:val="19"/>
        <w:tabs>
          <w:tab w:val="right" w:leader="dot" w:pos="8302"/>
        </w:tabs>
        <w:spacing w:line="480" w:lineRule="auto"/>
        <w:rPr>
          <w:rFonts w:hAnsi="宋体" w:cs="宋体"/>
          <w:bCs/>
          <w:color w:val="auto"/>
          <w:sz w:val="36"/>
          <w:szCs w:val="36"/>
          <w:highlight w:val="none"/>
        </w:rPr>
      </w:pPr>
      <w:r>
        <w:rPr>
          <w:rFonts w:hint="eastAsia" w:hAnsi="宋体" w:cs="宋体"/>
          <w:bCs/>
          <w:color w:val="auto"/>
          <w:szCs w:val="24"/>
          <w:highlight w:val="none"/>
        </w:rPr>
        <w:fldChar w:fldCharType="end"/>
      </w:r>
    </w:p>
    <w:p>
      <w:pPr>
        <w:pStyle w:val="3"/>
        <w:spacing w:beforeLines="100"/>
        <w:jc w:val="center"/>
        <w:rPr>
          <w:rFonts w:ascii="宋体" w:eastAsia="宋体" w:cs="宋体"/>
          <w:bCs/>
          <w:color w:val="auto"/>
          <w:sz w:val="36"/>
          <w:szCs w:val="36"/>
          <w:highlight w:val="none"/>
        </w:rPr>
        <w:sectPr>
          <w:footerReference r:id="rId10" w:type="first"/>
          <w:footerReference r:id="rId9" w:type="default"/>
          <w:pgSz w:w="11906" w:h="16838"/>
          <w:pgMar w:top="1418" w:right="1418" w:bottom="1418" w:left="1701" w:header="851" w:footer="992" w:gutter="0"/>
          <w:pgNumType w:start="1"/>
          <w:cols w:space="720" w:num="1"/>
          <w:titlePg/>
          <w:docGrid w:type="lines" w:linePitch="312" w:charSpace="0"/>
        </w:sectPr>
      </w:pPr>
    </w:p>
    <w:p>
      <w:pPr>
        <w:pStyle w:val="3"/>
        <w:keepNext w:val="0"/>
        <w:keepLines/>
        <w:pageBreakBefore/>
        <w:spacing w:beforeLines="50" w:afterLines="50" w:line="360" w:lineRule="auto"/>
        <w:jc w:val="center"/>
        <w:rPr>
          <w:rFonts w:ascii="宋体" w:eastAsia="宋体" w:cs="宋体"/>
          <w:bCs/>
          <w:color w:val="auto"/>
          <w:sz w:val="36"/>
          <w:szCs w:val="36"/>
          <w:highlight w:val="none"/>
        </w:rPr>
      </w:pPr>
      <w:bookmarkStart w:id="12" w:name="_Toc6659"/>
      <w:bookmarkStart w:id="13" w:name="_Toc423973071"/>
      <w:r>
        <w:rPr>
          <w:rFonts w:hint="eastAsia" w:asci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 w:val="36"/>
          <w:szCs w:val="36"/>
          <w:highlight w:val="none"/>
        </w:rPr>
        <w:t>竞争性磋商公告</w:t>
      </w:r>
      <w:bookmarkEnd w:id="8"/>
      <w:bookmarkEnd w:id="12"/>
      <w:bookmarkEnd w:id="13"/>
    </w:p>
    <w:p>
      <w:pPr>
        <w:widowControl/>
        <w:spacing w:line="360" w:lineRule="auto"/>
        <w:jc w:val="left"/>
        <w:textAlignment w:val="baseline"/>
        <w:rPr>
          <w:rFonts w:hAnsi="宋体" w:cs="宋体"/>
          <w:color w:val="auto"/>
          <w:szCs w:val="24"/>
          <w:highlight w:val="none"/>
        </w:rPr>
      </w:pPr>
      <w:bookmarkStart w:id="14" w:name="_Toc2929"/>
      <w:bookmarkStart w:id="15" w:name="_Toc389582035"/>
      <w:bookmarkStart w:id="16" w:name="_Toc423973072"/>
      <w:bookmarkStart w:id="17" w:name="_Toc29249"/>
      <w:r>
        <w:rPr>
          <w:rStyle w:val="28"/>
          <w:rFonts w:hint="eastAsia" w:hAnsi="宋体" w:cs="宋体"/>
          <w:color w:val="auto"/>
          <w:szCs w:val="24"/>
          <w:highlight w:val="none"/>
          <w:shd w:val="clear" w:color="auto" w:fill="FFFFFF"/>
        </w:rPr>
        <w:t>项目概况</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柞水县2022年秦岭红豆杉保护发展项目采购项目的潜在供应商应在陕西省西安市未央区未央路171-1 银池广场道拉斯财富中心21楼03室获取采购文件，并于2022年09月30日 14时00分（北京时间）前提交响应文件。</w:t>
      </w:r>
    </w:p>
    <w:p>
      <w:pPr>
        <w:widowControl/>
        <w:shd w:val="clear" w:color="auto" w:fill="FFFFFF"/>
        <w:spacing w:line="360" w:lineRule="auto"/>
        <w:jc w:val="left"/>
        <w:textAlignment w:val="baseline"/>
        <w:rPr>
          <w:rFonts w:hAnsi="宋体" w:cs="宋体"/>
          <w:color w:val="auto"/>
          <w:szCs w:val="24"/>
          <w:highlight w:val="none"/>
        </w:rPr>
      </w:pPr>
      <w:r>
        <w:rPr>
          <w:rStyle w:val="28"/>
          <w:rFonts w:hint="eastAsia" w:hAnsi="宋体" w:cs="宋体"/>
          <w:color w:val="auto"/>
          <w:szCs w:val="24"/>
          <w:highlight w:val="none"/>
          <w:shd w:val="clear" w:color="auto" w:fill="FFFFFF"/>
        </w:rPr>
        <w:t>一、项目基本情况</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项目编号：SXZCZB2022-ZCCS-0921</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项目名称：柞水县2022年秦岭红豆杉保护发展项目</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采购方式：竞争性磋商</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预算金额：500,000.00元</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采购需求：</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合同包1(柞水县2022年秦岭红豆杉保护发展项目):</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合同包预算金额：500,000.00元</w:t>
      </w:r>
    </w:p>
    <w:tbl>
      <w:tblPr>
        <w:tblStyle w:val="25"/>
        <w:tblW w:w="4998" w:type="pct"/>
        <w:tblInd w:w="0" w:type="dxa"/>
        <w:tblLayout w:type="autofit"/>
        <w:tblCellMar>
          <w:top w:w="0" w:type="dxa"/>
          <w:left w:w="0" w:type="dxa"/>
          <w:bottom w:w="0" w:type="dxa"/>
          <w:right w:w="0" w:type="dxa"/>
        </w:tblCellMar>
      </w:tblPr>
      <w:tblGrid>
        <w:gridCol w:w="587"/>
        <w:gridCol w:w="2074"/>
        <w:gridCol w:w="2074"/>
        <w:gridCol w:w="775"/>
        <w:gridCol w:w="1449"/>
        <w:gridCol w:w="1440"/>
        <w:gridCol w:w="909"/>
      </w:tblGrid>
      <w:tr>
        <w:tblPrEx>
          <w:tblCellMar>
            <w:top w:w="0" w:type="dxa"/>
            <w:left w:w="0" w:type="dxa"/>
            <w:bottom w:w="0" w:type="dxa"/>
            <w:right w:w="0" w:type="dxa"/>
          </w:tblCellMar>
        </w:tblPrEx>
        <w:trPr>
          <w:trHeight w:val="728" w:hRule="atLeast"/>
          <w:tblHeader/>
        </w:trPr>
        <w:tc>
          <w:tcPr>
            <w:tcW w:w="3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b/>
                <w:bCs/>
                <w:color w:val="auto"/>
                <w:szCs w:val="24"/>
                <w:highlight w:val="none"/>
              </w:rPr>
            </w:pPr>
            <w:r>
              <w:rPr>
                <w:rFonts w:hint="eastAsia" w:hAnsi="宋体" w:cs="宋体"/>
                <w:b/>
                <w:bCs/>
                <w:color w:val="auto"/>
                <w:szCs w:val="24"/>
                <w:highlight w:val="none"/>
              </w:rPr>
              <w:t>品目号</w:t>
            </w:r>
          </w:p>
        </w:tc>
        <w:tc>
          <w:tcPr>
            <w:tcW w:w="11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b/>
                <w:bCs/>
                <w:color w:val="auto"/>
                <w:szCs w:val="24"/>
                <w:highlight w:val="none"/>
              </w:rPr>
            </w:pPr>
            <w:r>
              <w:rPr>
                <w:rFonts w:hint="eastAsia" w:hAnsi="宋体" w:cs="宋体"/>
                <w:b/>
                <w:bCs/>
                <w:color w:val="auto"/>
                <w:szCs w:val="24"/>
                <w:highlight w:val="none"/>
              </w:rPr>
              <w:t>品目名称</w:t>
            </w:r>
          </w:p>
        </w:tc>
        <w:tc>
          <w:tcPr>
            <w:tcW w:w="11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b/>
                <w:bCs/>
                <w:color w:val="auto"/>
                <w:szCs w:val="24"/>
                <w:highlight w:val="none"/>
              </w:rPr>
            </w:pPr>
            <w:r>
              <w:rPr>
                <w:rFonts w:hint="eastAsia" w:hAnsi="宋体" w:cs="宋体"/>
                <w:b/>
                <w:bCs/>
                <w:color w:val="auto"/>
                <w:szCs w:val="24"/>
                <w:highlight w:val="none"/>
              </w:rPr>
              <w:t>采购标的</w:t>
            </w:r>
          </w:p>
        </w:tc>
        <w:tc>
          <w:tcPr>
            <w:tcW w:w="4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b/>
                <w:bCs/>
                <w:color w:val="auto"/>
                <w:szCs w:val="24"/>
                <w:highlight w:val="none"/>
              </w:rPr>
            </w:pPr>
            <w:r>
              <w:rPr>
                <w:rFonts w:hint="eastAsia" w:hAnsi="宋体" w:cs="宋体"/>
                <w:b/>
                <w:bCs/>
                <w:color w:val="auto"/>
                <w:szCs w:val="24"/>
                <w:highlight w:val="none"/>
              </w:rPr>
              <w:t>数量（单位）</w:t>
            </w:r>
          </w:p>
        </w:tc>
        <w:tc>
          <w:tcPr>
            <w:tcW w:w="8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b/>
                <w:bCs/>
                <w:color w:val="auto"/>
                <w:szCs w:val="24"/>
                <w:highlight w:val="none"/>
              </w:rPr>
            </w:pPr>
            <w:r>
              <w:rPr>
                <w:rFonts w:hint="eastAsia" w:hAnsi="宋体" w:cs="宋体"/>
                <w:b/>
                <w:bCs/>
                <w:color w:val="auto"/>
                <w:szCs w:val="24"/>
                <w:highlight w:val="none"/>
              </w:rPr>
              <w:t>技术规格、参数及要求</w:t>
            </w:r>
          </w:p>
        </w:tc>
        <w:tc>
          <w:tcPr>
            <w:tcW w:w="5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b/>
                <w:bCs/>
                <w:color w:val="auto"/>
                <w:szCs w:val="24"/>
                <w:highlight w:val="none"/>
              </w:rPr>
            </w:pPr>
            <w:r>
              <w:rPr>
                <w:rFonts w:hint="eastAsia" w:hAnsi="宋体" w:cs="宋体"/>
                <w:b/>
                <w:bCs/>
                <w:color w:val="auto"/>
                <w:szCs w:val="24"/>
                <w:highlight w:val="none"/>
              </w:rPr>
              <w:t>品目预算(元)</w:t>
            </w:r>
          </w:p>
        </w:tc>
        <w:tc>
          <w:tcPr>
            <w:tcW w:w="5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b/>
                <w:bCs/>
                <w:color w:val="auto"/>
                <w:szCs w:val="24"/>
                <w:highlight w:val="none"/>
              </w:rPr>
            </w:pPr>
            <w:r>
              <w:rPr>
                <w:rFonts w:hint="eastAsia" w:hAnsi="宋体" w:cs="宋体"/>
                <w:b/>
                <w:bCs/>
                <w:color w:val="auto"/>
                <w:szCs w:val="24"/>
                <w:highlight w:val="none"/>
              </w:rPr>
              <w:t>最高限价(元)</w:t>
            </w:r>
          </w:p>
        </w:tc>
      </w:tr>
      <w:tr>
        <w:tblPrEx>
          <w:tblCellMar>
            <w:top w:w="0" w:type="dxa"/>
            <w:left w:w="0" w:type="dxa"/>
            <w:bottom w:w="0" w:type="dxa"/>
            <w:right w:w="0" w:type="dxa"/>
          </w:tblCellMar>
        </w:tblPrEx>
        <w:trPr>
          <w:trHeight w:val="480" w:hRule="atLeast"/>
        </w:trPr>
        <w:tc>
          <w:tcPr>
            <w:tcW w:w="3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color w:val="auto"/>
                <w:szCs w:val="24"/>
                <w:highlight w:val="none"/>
              </w:rPr>
            </w:pPr>
            <w:r>
              <w:rPr>
                <w:rFonts w:hint="eastAsia" w:hAnsi="宋体" w:cs="宋体"/>
                <w:color w:val="auto"/>
                <w:szCs w:val="24"/>
                <w:highlight w:val="none"/>
              </w:rPr>
              <w:t>1-1</w:t>
            </w:r>
          </w:p>
        </w:tc>
        <w:tc>
          <w:tcPr>
            <w:tcW w:w="11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color w:val="auto"/>
                <w:szCs w:val="24"/>
                <w:highlight w:val="none"/>
              </w:rPr>
            </w:pPr>
            <w:r>
              <w:rPr>
                <w:rFonts w:hint="eastAsia" w:hAnsi="宋体" w:cs="宋体"/>
                <w:color w:val="auto"/>
                <w:szCs w:val="24"/>
                <w:highlight w:val="none"/>
              </w:rPr>
              <w:t>造林服务</w:t>
            </w:r>
          </w:p>
        </w:tc>
        <w:tc>
          <w:tcPr>
            <w:tcW w:w="11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color w:val="auto"/>
                <w:szCs w:val="24"/>
                <w:highlight w:val="none"/>
              </w:rPr>
            </w:pPr>
            <w:r>
              <w:rPr>
                <w:rFonts w:hint="eastAsia" w:hAnsi="宋体" w:cs="宋体"/>
                <w:color w:val="auto"/>
                <w:szCs w:val="24"/>
                <w:highlight w:val="none"/>
              </w:rPr>
              <w:t>栽植秦岭红豆杉455亩</w:t>
            </w:r>
          </w:p>
        </w:tc>
        <w:tc>
          <w:tcPr>
            <w:tcW w:w="4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color w:val="auto"/>
                <w:szCs w:val="24"/>
                <w:highlight w:val="none"/>
              </w:rPr>
            </w:pPr>
            <w:r>
              <w:rPr>
                <w:rFonts w:hint="eastAsia" w:hAnsi="宋体" w:cs="宋体"/>
                <w:color w:val="auto"/>
                <w:szCs w:val="24"/>
                <w:highlight w:val="none"/>
              </w:rPr>
              <w:t>455(亩)</w:t>
            </w:r>
          </w:p>
        </w:tc>
        <w:tc>
          <w:tcPr>
            <w:tcW w:w="8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Ansi="宋体" w:cs="宋体"/>
                <w:color w:val="auto"/>
                <w:szCs w:val="24"/>
                <w:highlight w:val="none"/>
              </w:rPr>
            </w:pPr>
            <w:r>
              <w:rPr>
                <w:rFonts w:hint="eastAsia" w:hAnsi="宋体" w:cs="宋体"/>
                <w:color w:val="auto"/>
                <w:szCs w:val="24"/>
                <w:highlight w:val="none"/>
              </w:rPr>
              <w:t>详见采购文件</w:t>
            </w:r>
          </w:p>
        </w:tc>
        <w:tc>
          <w:tcPr>
            <w:tcW w:w="5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textAlignment w:val="center"/>
              <w:rPr>
                <w:rFonts w:hAnsi="宋体" w:cs="宋体"/>
                <w:color w:val="auto"/>
                <w:szCs w:val="24"/>
                <w:highlight w:val="none"/>
              </w:rPr>
            </w:pPr>
            <w:r>
              <w:rPr>
                <w:rFonts w:hint="eastAsia" w:hAnsi="宋体" w:cs="宋体"/>
                <w:color w:val="auto"/>
                <w:szCs w:val="24"/>
                <w:highlight w:val="none"/>
              </w:rPr>
              <w:t>500,000.00</w:t>
            </w:r>
          </w:p>
        </w:tc>
        <w:tc>
          <w:tcPr>
            <w:tcW w:w="5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textAlignment w:val="center"/>
              <w:rPr>
                <w:rFonts w:hAnsi="宋体" w:cs="宋体"/>
                <w:color w:val="auto"/>
                <w:szCs w:val="24"/>
                <w:highlight w:val="none"/>
              </w:rPr>
            </w:pPr>
            <w:r>
              <w:rPr>
                <w:rFonts w:hint="eastAsia" w:hAnsi="宋体" w:cs="宋体"/>
                <w:color w:val="auto"/>
                <w:szCs w:val="24"/>
                <w:highlight w:val="none"/>
              </w:rPr>
              <w:t>-</w:t>
            </w:r>
          </w:p>
        </w:tc>
      </w:tr>
    </w:tbl>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本合同包不接受联合体投标</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合同履行期限：无</w:t>
      </w:r>
    </w:p>
    <w:p>
      <w:pPr>
        <w:widowControl/>
        <w:shd w:val="clear" w:color="auto" w:fill="FFFFFF"/>
        <w:spacing w:line="360" w:lineRule="auto"/>
        <w:jc w:val="left"/>
        <w:textAlignment w:val="baseline"/>
        <w:rPr>
          <w:rFonts w:hAnsi="宋体" w:cs="宋体"/>
          <w:color w:val="auto"/>
          <w:szCs w:val="24"/>
          <w:highlight w:val="none"/>
        </w:rPr>
      </w:pPr>
      <w:r>
        <w:rPr>
          <w:rStyle w:val="28"/>
          <w:rFonts w:hint="eastAsia" w:hAnsi="宋体" w:cs="宋体"/>
          <w:color w:val="auto"/>
          <w:szCs w:val="24"/>
          <w:highlight w:val="none"/>
          <w:shd w:val="clear" w:color="auto" w:fill="FFFFFF"/>
        </w:rPr>
        <w:t>二、申请人的资格要求：</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1.满足《中华人民共和国政府采购法》第二十二条规定;</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2.落实政府采购政策需满足的资格要求：</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合同包1(柞水县2022年秦岭红豆杉保护发展项目)落实政府采购政策需满足的资格要求如下:</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（1）《财政部国家发展改革委关于印发〈节能产品政府采购实施意见〉的通知》（财库〔2004〕185号）；</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（2）（《国务院办公厅关于建立政府强制采购节能产品制度的通知》（国办发〔2007〕51号）；</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（3）《财政部环保总局关于环境标志产品政府采购实施的意见》（财库〔2006〕90号）；</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（4）《政府采购促进中小企业发展管理办法》（财库〔2020〕46号）；</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（5）《财政部司法部关于政府采购支持监狱企业发展有关问题的通知》（财库〔2014〕68号）；</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（6）《三部门联合发布关于促进残疾人就业政府采购政策的通知》（财库〔2017〕141号）；</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（7）《财政部发展改革委生态环境部市场监管总局关于调整优化节能产品、环境标志产品政府采购执行机制的通知》（财库〔2019〕9号）；</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（8）《财政部农业农村部国家乡村振兴局关于运用政府采购政策支持乡村产业振兴的通知》（财库〔2021〕19号）；</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（9）《陕西省中小企业政府采购信用融资办法》（陕财办采〔2018〕23号）；</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（10）其它需要满足的政策。</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3.本项目的特定资格要求：</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合同包1(柞水县2022年秦岭红豆杉保护发展项目)特定资格要求如下:</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1、提供合格有效的法人或者其他组织的营业执照等证明文件，自然人的身份证明；</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2、提供法定代表人授权书（附法定代表人、被授权人身份证复印件）及被授权人身份证原件（法定代表人直接参加投标，须提供法定代表人身份证明及身份证原件）；</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4、税收缴纳证明：提供磋商截止日前近一年内任意一个月的纳税证明或完税证明（任意税种），依法免税的单位应提供相关证明材料；</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5、社会保障资金缴纳证明：提供磋商截止日前近一年内任意一个月的社会保障资金缴存单据或社保机构开具的社会保险参保缴费情况证明，依法不需要缴纳社会保障资金的单位应提供相关证明材料；</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6、供应商应通过“信用中国”网站(www.creditchina.gov.cn)、中国政府采购网(www.ccgp.gov.cn)查询相关主体信用记录；</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7、提供具有履行本合同所必需的设备和专业技术能力的说明及承诺书；</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8、参加政府采购活动前3年内，在经营活动中没有重大违法记录的书面声明；</w:t>
      </w:r>
    </w:p>
    <w:p>
      <w:pPr>
        <w:pStyle w:val="22"/>
        <w:spacing w:before="0" w:beforeAutospacing="0" w:after="0" w:afterAutospacing="0" w:line="360" w:lineRule="auto"/>
        <w:ind w:firstLine="480" w:firstLineChars="200"/>
        <w:jc w:val="both"/>
        <w:textAlignment w:val="baseline"/>
        <w:rPr>
          <w:rFonts w:cs="宋体"/>
          <w:color w:val="auto"/>
          <w:highlight w:val="none"/>
          <w:shd w:val="clear" w:color="auto" w:fill="FFFFFF"/>
        </w:rPr>
      </w:pPr>
      <w:r>
        <w:rPr>
          <w:rFonts w:hint="eastAsia" w:cs="宋体"/>
          <w:color w:val="auto"/>
          <w:highlight w:val="none"/>
          <w:shd w:val="clear" w:color="auto" w:fill="FFFFFF"/>
        </w:rPr>
        <w:t>9、磋商保证金缴纳凭证或担保机构出具的保函；</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10、本项目不接受联合体磋商。</w:t>
      </w:r>
    </w:p>
    <w:p>
      <w:pPr>
        <w:widowControl/>
        <w:shd w:val="clear" w:color="auto" w:fill="FFFFFF"/>
        <w:spacing w:line="360" w:lineRule="auto"/>
        <w:jc w:val="left"/>
        <w:textAlignment w:val="baseline"/>
        <w:rPr>
          <w:rFonts w:hAnsi="宋体" w:cs="宋体"/>
          <w:color w:val="auto"/>
          <w:szCs w:val="24"/>
          <w:highlight w:val="none"/>
        </w:rPr>
      </w:pPr>
      <w:r>
        <w:rPr>
          <w:rStyle w:val="28"/>
          <w:rFonts w:hint="eastAsia" w:hAnsi="宋体" w:cs="宋体"/>
          <w:color w:val="auto"/>
          <w:szCs w:val="24"/>
          <w:highlight w:val="none"/>
          <w:shd w:val="clear" w:color="auto" w:fill="FFFFFF"/>
        </w:rPr>
        <w:t>三、获取采购文件</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时间：2022年09月20日至2022年09月26日，每天上午09:00:00至12:00:00，下午14:00:00至17:00:00（北京时间,法定节假日除外）</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地点：陕西省西安市未央区未央路171-1 银池广场道拉斯财富中心21楼03室</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方式：现场获取</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售价：500元</w:t>
      </w:r>
    </w:p>
    <w:p>
      <w:pPr>
        <w:widowControl/>
        <w:shd w:val="clear" w:color="auto" w:fill="FFFFFF"/>
        <w:spacing w:line="360" w:lineRule="auto"/>
        <w:jc w:val="left"/>
        <w:textAlignment w:val="baseline"/>
        <w:rPr>
          <w:rFonts w:hAnsi="宋体" w:cs="宋体"/>
          <w:color w:val="auto"/>
          <w:szCs w:val="24"/>
          <w:highlight w:val="none"/>
        </w:rPr>
      </w:pPr>
      <w:r>
        <w:rPr>
          <w:rStyle w:val="28"/>
          <w:rFonts w:hint="eastAsia" w:hAnsi="宋体" w:cs="宋体"/>
          <w:color w:val="auto"/>
          <w:szCs w:val="24"/>
          <w:highlight w:val="none"/>
          <w:shd w:val="clear" w:color="auto" w:fill="FFFFFF"/>
        </w:rPr>
        <w:t>四、响应文件提交</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截止时间：2022年09月30日 14时00分00秒（北京时间）</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地点：陕西省西安市未央区未央路171-1 银池广场道拉斯财富中心21楼03室</w:t>
      </w:r>
    </w:p>
    <w:p>
      <w:pPr>
        <w:widowControl/>
        <w:shd w:val="clear" w:color="auto" w:fill="FFFFFF"/>
        <w:spacing w:line="360" w:lineRule="auto"/>
        <w:jc w:val="left"/>
        <w:textAlignment w:val="baseline"/>
        <w:rPr>
          <w:rFonts w:hAnsi="宋体" w:cs="宋体"/>
          <w:color w:val="auto"/>
          <w:szCs w:val="24"/>
          <w:highlight w:val="none"/>
        </w:rPr>
      </w:pPr>
      <w:r>
        <w:rPr>
          <w:rStyle w:val="28"/>
          <w:rFonts w:hint="eastAsia" w:hAnsi="宋体" w:cs="宋体"/>
          <w:color w:val="auto"/>
          <w:szCs w:val="24"/>
          <w:highlight w:val="none"/>
          <w:shd w:val="clear" w:color="auto" w:fill="FFFFFF"/>
        </w:rPr>
        <w:t>五、开启</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时间：2022年09月30日 14时00分00秒（北京时间）</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地点：陕西省西安市未央区未央路171-1 银池广场道拉斯财富中心21楼03室</w:t>
      </w:r>
    </w:p>
    <w:p>
      <w:pPr>
        <w:widowControl/>
        <w:shd w:val="clear" w:color="auto" w:fill="FFFFFF"/>
        <w:spacing w:line="360" w:lineRule="auto"/>
        <w:jc w:val="left"/>
        <w:textAlignment w:val="baseline"/>
        <w:rPr>
          <w:rFonts w:hAnsi="宋体" w:cs="宋体"/>
          <w:color w:val="auto"/>
          <w:szCs w:val="24"/>
          <w:highlight w:val="none"/>
        </w:rPr>
      </w:pPr>
      <w:r>
        <w:rPr>
          <w:rStyle w:val="28"/>
          <w:rFonts w:hint="eastAsia" w:hAnsi="宋体" w:cs="宋体"/>
          <w:color w:val="auto"/>
          <w:szCs w:val="24"/>
          <w:highlight w:val="none"/>
          <w:shd w:val="clear" w:color="auto" w:fill="FFFFFF"/>
        </w:rPr>
        <w:t>六、公告期限</w:t>
      </w:r>
    </w:p>
    <w:p>
      <w:pPr>
        <w:pStyle w:val="22"/>
        <w:shd w:val="clear" w:color="auto" w:fill="FFFFFF"/>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自本公告发布之日起3个工作日。</w:t>
      </w:r>
    </w:p>
    <w:p>
      <w:pPr>
        <w:widowControl/>
        <w:shd w:val="clear" w:color="auto" w:fill="FFFFFF"/>
        <w:spacing w:line="360" w:lineRule="auto"/>
        <w:jc w:val="left"/>
        <w:textAlignment w:val="baseline"/>
        <w:rPr>
          <w:rFonts w:hAnsi="宋体" w:cs="宋体"/>
          <w:color w:val="auto"/>
          <w:szCs w:val="24"/>
          <w:highlight w:val="none"/>
        </w:rPr>
      </w:pPr>
      <w:r>
        <w:rPr>
          <w:rStyle w:val="28"/>
          <w:rFonts w:hint="eastAsia" w:hAnsi="宋体" w:cs="宋体"/>
          <w:color w:val="auto"/>
          <w:szCs w:val="24"/>
          <w:highlight w:val="none"/>
          <w:shd w:val="clear" w:color="auto" w:fill="FFFFFF"/>
        </w:rPr>
        <w:t>七、其他补充事宜</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文件售价：¥500元/项目。现金购买，售后不退，谢绝邮寄。注：（1）供应商购买标书时，请携带单位介绍信及经办人身份证原件及复印件加盖公章；（2）请供应商按照《陕西省财政厅关于政府采购供应商注册登记有关事项的通知》中的要求，通过陕西省政府采购网（http://www.ccgp-shaanxi.gov.cn/）注册登记加入陕西省政府采购供应商库；（3）本项目专门面向中小企业采购。</w:t>
      </w:r>
    </w:p>
    <w:p>
      <w:pPr>
        <w:widowControl/>
        <w:shd w:val="clear" w:color="auto" w:fill="FFFFFF"/>
        <w:spacing w:line="360" w:lineRule="auto"/>
        <w:jc w:val="left"/>
        <w:textAlignment w:val="baseline"/>
        <w:rPr>
          <w:rFonts w:hAnsi="宋体" w:cs="宋体"/>
          <w:color w:val="auto"/>
          <w:szCs w:val="24"/>
          <w:highlight w:val="none"/>
        </w:rPr>
      </w:pPr>
      <w:r>
        <w:rPr>
          <w:rStyle w:val="28"/>
          <w:rFonts w:hint="eastAsia" w:hAnsi="宋体" w:cs="宋体"/>
          <w:color w:val="auto"/>
          <w:szCs w:val="24"/>
          <w:highlight w:val="none"/>
          <w:shd w:val="clear" w:color="auto" w:fill="FFFFFF"/>
        </w:rPr>
        <w:t>八、凡对本次采购提出询问，请按以下方式联系。</w:t>
      </w:r>
    </w:p>
    <w:p>
      <w:pPr>
        <w:widowControl/>
        <w:spacing w:line="360" w:lineRule="auto"/>
        <w:ind w:firstLine="480" w:firstLineChars="200"/>
        <w:jc w:val="left"/>
        <w:textAlignment w:val="baseline"/>
        <w:rPr>
          <w:rFonts w:hAnsi="宋体" w:cs="宋体"/>
          <w:color w:val="auto"/>
          <w:szCs w:val="24"/>
          <w:highlight w:val="none"/>
        </w:rPr>
      </w:pPr>
      <w:r>
        <w:rPr>
          <w:rFonts w:hint="eastAsia" w:hAnsi="宋体" w:cs="宋体"/>
          <w:color w:val="auto"/>
          <w:szCs w:val="24"/>
          <w:highlight w:val="none"/>
          <w:shd w:val="clear" w:color="auto" w:fill="FFFFFF"/>
        </w:rPr>
        <w:t>1.采购人信息</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名称：柞水县林业局</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地址：柞水县乾佑街道办中街151号</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联系方式：13992460411</w:t>
      </w:r>
    </w:p>
    <w:p>
      <w:pPr>
        <w:widowControl/>
        <w:spacing w:line="360" w:lineRule="auto"/>
        <w:ind w:firstLine="480" w:firstLineChars="200"/>
        <w:jc w:val="left"/>
        <w:textAlignment w:val="baseline"/>
        <w:rPr>
          <w:rFonts w:hAnsi="宋体" w:cs="宋体"/>
          <w:color w:val="auto"/>
          <w:szCs w:val="24"/>
          <w:highlight w:val="none"/>
        </w:rPr>
      </w:pPr>
      <w:r>
        <w:rPr>
          <w:rFonts w:hint="eastAsia" w:hAnsi="宋体" w:cs="宋体"/>
          <w:color w:val="auto"/>
          <w:szCs w:val="24"/>
          <w:highlight w:val="none"/>
          <w:shd w:val="clear" w:color="auto" w:fill="FFFFFF"/>
        </w:rPr>
        <w:t>2.采购代理机构信息</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名称：陕西至诚招标咨询有限公司</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地址：陕西省西安市未央区未央路171-1 银池广场道拉斯财富中心21楼03室</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联系方式：029-88219779</w:t>
      </w:r>
    </w:p>
    <w:p>
      <w:pPr>
        <w:widowControl/>
        <w:spacing w:line="360" w:lineRule="auto"/>
        <w:ind w:firstLine="480" w:firstLineChars="200"/>
        <w:jc w:val="left"/>
        <w:textAlignment w:val="baseline"/>
        <w:rPr>
          <w:rFonts w:hAnsi="宋体" w:cs="宋体"/>
          <w:color w:val="auto"/>
          <w:szCs w:val="24"/>
          <w:highlight w:val="none"/>
        </w:rPr>
      </w:pPr>
      <w:r>
        <w:rPr>
          <w:rFonts w:hint="eastAsia" w:hAnsi="宋体" w:cs="宋体"/>
          <w:color w:val="auto"/>
          <w:szCs w:val="24"/>
          <w:highlight w:val="none"/>
          <w:shd w:val="clear" w:color="auto" w:fill="FFFFFF"/>
        </w:rPr>
        <w:t>3.项目联系方式</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项目联系人：康乐</w:t>
      </w:r>
    </w:p>
    <w:p>
      <w:pPr>
        <w:pStyle w:val="22"/>
        <w:spacing w:before="0" w:beforeAutospacing="0" w:after="0" w:afterAutospacing="0" w:line="360" w:lineRule="auto"/>
        <w:ind w:firstLine="480" w:firstLineChars="200"/>
        <w:jc w:val="both"/>
        <w:textAlignment w:val="baseline"/>
        <w:rPr>
          <w:rFonts w:cs="宋体"/>
          <w:color w:val="auto"/>
          <w:highlight w:val="none"/>
        </w:rPr>
      </w:pPr>
      <w:r>
        <w:rPr>
          <w:rFonts w:hint="eastAsia" w:cs="宋体"/>
          <w:color w:val="auto"/>
          <w:highlight w:val="none"/>
          <w:shd w:val="clear" w:color="auto" w:fill="FFFFFF"/>
        </w:rPr>
        <w:t>电话：029-88219779</w:t>
      </w:r>
    </w:p>
    <w:p>
      <w:pPr>
        <w:pStyle w:val="22"/>
        <w:shd w:val="clear" w:color="auto" w:fill="FFFFFF"/>
        <w:spacing w:before="0" w:beforeAutospacing="0" w:after="0" w:afterAutospacing="0" w:line="360" w:lineRule="auto"/>
        <w:ind w:firstLine="480" w:firstLineChars="200"/>
        <w:jc w:val="right"/>
        <w:textAlignment w:val="baseline"/>
        <w:rPr>
          <w:rFonts w:cs="宋体"/>
          <w:color w:val="auto"/>
          <w:highlight w:val="none"/>
        </w:rPr>
      </w:pPr>
      <w:r>
        <w:rPr>
          <w:rFonts w:hint="eastAsia" w:cs="宋体"/>
          <w:color w:val="auto"/>
          <w:highlight w:val="none"/>
          <w:shd w:val="clear" w:color="auto" w:fill="FFFFFF"/>
        </w:rPr>
        <w:t>陕西至诚招标咨询有限公司</w:t>
      </w:r>
    </w:p>
    <w:p>
      <w:pPr>
        <w:pStyle w:val="22"/>
        <w:shd w:val="clear" w:color="auto" w:fill="FFFFFF"/>
        <w:spacing w:before="0" w:beforeAutospacing="0" w:after="0" w:afterAutospacing="0" w:line="360" w:lineRule="auto"/>
        <w:ind w:firstLine="480" w:firstLineChars="200"/>
        <w:jc w:val="right"/>
        <w:textAlignment w:val="baseline"/>
        <w:rPr>
          <w:rFonts w:cs="宋体"/>
          <w:color w:val="auto"/>
          <w:highlight w:val="none"/>
        </w:rPr>
      </w:pPr>
      <w:r>
        <w:rPr>
          <w:rFonts w:hint="eastAsia" w:cs="宋体"/>
          <w:color w:val="auto"/>
          <w:highlight w:val="none"/>
          <w:shd w:val="clear" w:color="auto" w:fill="FFFFFF"/>
        </w:rPr>
        <w:t>2022年09月19日</w:t>
      </w:r>
    </w:p>
    <w:p>
      <w:pPr>
        <w:spacing w:line="348" w:lineRule="auto"/>
        <w:ind w:right="119"/>
        <w:jc w:val="center"/>
        <w:outlineLvl w:val="0"/>
        <w:rPr>
          <w:rFonts w:hAnsi="宋体" w:cs="宋体"/>
          <w:bCs/>
          <w:color w:val="auto"/>
          <w:sz w:val="36"/>
          <w:szCs w:val="36"/>
          <w:highlight w:val="none"/>
        </w:rPr>
      </w:pPr>
      <w:r>
        <w:rPr>
          <w:rFonts w:hint="eastAsia" w:hAnsi="宋体" w:cs="宋体"/>
          <w:bCs/>
          <w:color w:val="auto"/>
          <w:sz w:val="36"/>
          <w:szCs w:val="36"/>
          <w:highlight w:val="none"/>
        </w:rPr>
        <w:br w:type="page"/>
      </w:r>
      <w:bookmarkStart w:id="18" w:name="_Toc19491"/>
      <w:r>
        <w:rPr>
          <w:rFonts w:hint="eastAsia" w:hAnsi="宋体" w:cs="宋体"/>
          <w:b/>
          <w:bCs/>
          <w:color w:val="auto"/>
          <w:kern w:val="2"/>
          <w:sz w:val="36"/>
          <w:szCs w:val="36"/>
          <w:highlight w:val="none"/>
        </w:rPr>
        <w:t xml:space="preserve">第二章  </w:t>
      </w:r>
      <w:bookmarkEnd w:id="14"/>
      <w:bookmarkEnd w:id="15"/>
      <w:bookmarkStart w:id="19" w:name="OLE_LINK3"/>
      <w:r>
        <w:rPr>
          <w:rFonts w:hint="eastAsia" w:hAnsi="宋体" w:cs="宋体"/>
          <w:b/>
          <w:bCs/>
          <w:color w:val="auto"/>
          <w:kern w:val="2"/>
          <w:sz w:val="36"/>
          <w:szCs w:val="36"/>
          <w:highlight w:val="none"/>
        </w:rPr>
        <w:t>供应商须知</w:t>
      </w:r>
      <w:bookmarkEnd w:id="16"/>
      <w:bookmarkEnd w:id="17"/>
      <w:bookmarkEnd w:id="18"/>
      <w:bookmarkEnd w:id="19"/>
    </w:p>
    <w:p>
      <w:pPr>
        <w:pStyle w:val="4"/>
        <w:widowControl w:val="0"/>
        <w:spacing w:before="120" w:after="120" w:line="360" w:lineRule="auto"/>
        <w:ind w:left="0"/>
        <w:jc w:val="center"/>
        <w:rPr>
          <w:rFonts w:ascii="宋体" w:hAnsi="宋体" w:cs="宋体"/>
          <w:color w:val="auto"/>
          <w:sz w:val="32"/>
          <w:highlight w:val="none"/>
        </w:rPr>
      </w:pPr>
      <w:bookmarkStart w:id="20" w:name="OLE_LINK2"/>
      <w:bookmarkStart w:id="21" w:name="_Toc423973073"/>
      <w:bookmarkStart w:id="22" w:name="_Toc19364"/>
      <w:bookmarkStart w:id="23" w:name="_Toc17143"/>
      <w:r>
        <w:rPr>
          <w:rFonts w:hint="eastAsia" w:ascii="宋体" w:hAnsi="宋体" w:cs="宋体"/>
          <w:color w:val="auto"/>
          <w:sz w:val="32"/>
          <w:highlight w:val="none"/>
        </w:rPr>
        <w:t>供应商须知前附表</w:t>
      </w:r>
      <w:bookmarkEnd w:id="20"/>
      <w:bookmarkEnd w:id="21"/>
      <w:bookmarkEnd w:id="22"/>
      <w:bookmarkEnd w:id="23"/>
    </w:p>
    <w:p>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232"/>
        <w:gridCol w:w="7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pPr>
              <w:spacing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1232" w:type="dxa"/>
            <w:vAlign w:val="center"/>
          </w:tcPr>
          <w:p>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073" w:type="dxa"/>
          </w:tcPr>
          <w:p>
            <w:pPr>
              <w:spacing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073" w:type="dxa"/>
          </w:tcPr>
          <w:p>
            <w:pPr>
              <w:spacing w:line="360" w:lineRule="auto"/>
              <w:rPr>
                <w:rFonts w:hAnsi="宋体" w:cs="宋体"/>
                <w:color w:val="auto"/>
                <w:szCs w:val="24"/>
                <w:highlight w:val="none"/>
              </w:rPr>
            </w:pPr>
            <w:r>
              <w:rPr>
                <w:rFonts w:hint="eastAsia" w:hAnsi="宋体" w:cs="宋体"/>
                <w:color w:val="auto"/>
                <w:szCs w:val="24"/>
                <w:highlight w:val="none"/>
              </w:rPr>
              <w:t>采   购   人：柞水县林业局</w:t>
            </w:r>
          </w:p>
          <w:p>
            <w:pPr>
              <w:spacing w:line="360" w:lineRule="auto"/>
              <w:rPr>
                <w:rFonts w:hAnsi="宋体" w:cs="宋体"/>
                <w:color w:val="auto"/>
                <w:szCs w:val="24"/>
                <w:highlight w:val="none"/>
              </w:rPr>
            </w:pPr>
            <w:r>
              <w:rPr>
                <w:rFonts w:hint="eastAsia" w:hAnsi="宋体" w:cs="宋体"/>
                <w:color w:val="auto"/>
                <w:szCs w:val="24"/>
                <w:highlight w:val="none"/>
              </w:rPr>
              <w:t>采购代理机构：陕西至诚招标咨询有限公司</w:t>
            </w:r>
          </w:p>
          <w:p>
            <w:pPr>
              <w:spacing w:line="360" w:lineRule="auto"/>
              <w:rPr>
                <w:rFonts w:hAnsi="宋体" w:cs="宋体"/>
                <w:color w:val="auto"/>
                <w:szCs w:val="24"/>
                <w:highlight w:val="none"/>
              </w:rPr>
            </w:pPr>
            <w:r>
              <w:rPr>
                <w:rFonts w:hint="eastAsia" w:hAnsi="宋体" w:cs="宋体"/>
                <w:color w:val="auto"/>
                <w:szCs w:val="24"/>
                <w:highlight w:val="none"/>
              </w:rPr>
              <w:t>地        址：陕西省西安市未央区未央路171-1 银池广场道拉斯财富中心21楼03室</w:t>
            </w:r>
          </w:p>
          <w:p>
            <w:pPr>
              <w:spacing w:line="360" w:lineRule="auto"/>
              <w:rPr>
                <w:rFonts w:hAnsi="宋体" w:cs="宋体"/>
                <w:color w:val="auto"/>
                <w:szCs w:val="24"/>
                <w:highlight w:val="none"/>
              </w:rPr>
            </w:pPr>
            <w:r>
              <w:rPr>
                <w:rFonts w:hint="eastAsia" w:hAnsi="宋体" w:cs="宋体"/>
                <w:color w:val="auto"/>
                <w:szCs w:val="24"/>
                <w:highlight w:val="none"/>
              </w:rPr>
              <w:t>邮        编：710021</w:t>
            </w:r>
          </w:p>
          <w:p>
            <w:pPr>
              <w:spacing w:line="360" w:lineRule="auto"/>
              <w:rPr>
                <w:rFonts w:hAnsi="宋体" w:cs="宋体"/>
                <w:color w:val="auto"/>
                <w:szCs w:val="24"/>
                <w:highlight w:val="none"/>
              </w:rPr>
            </w:pPr>
            <w:r>
              <w:rPr>
                <w:rFonts w:hint="eastAsia" w:hAnsi="宋体" w:cs="宋体"/>
                <w:color w:val="auto"/>
                <w:szCs w:val="24"/>
                <w:highlight w:val="none"/>
              </w:rPr>
              <w:t>电        话：029-88219779</w:t>
            </w:r>
          </w:p>
          <w:p>
            <w:pPr>
              <w:spacing w:line="360" w:lineRule="auto"/>
              <w:rPr>
                <w:rFonts w:hAnsi="宋体" w:cs="宋体"/>
                <w:color w:val="auto"/>
                <w:szCs w:val="24"/>
                <w:highlight w:val="none"/>
              </w:rPr>
            </w:pPr>
            <w:r>
              <w:rPr>
                <w:rFonts w:hint="eastAsia"/>
                <w:color w:val="auto"/>
                <w:szCs w:val="24"/>
                <w:highlight w:val="none"/>
              </w:rPr>
              <w:t>邮        箱：sxzczbzxyxgs@163.com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073" w:type="dxa"/>
            <w:vAlign w:val="center"/>
          </w:tcPr>
          <w:p>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073" w:type="dxa"/>
            <w:vAlign w:val="center"/>
          </w:tcPr>
          <w:p>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073" w:type="dxa"/>
            <w:vAlign w:val="center"/>
          </w:tcPr>
          <w:p>
            <w:pPr>
              <w:spacing w:line="360" w:lineRule="auto"/>
              <w:rPr>
                <w:rFonts w:hAnsi="宋体" w:cs="宋体"/>
                <w:color w:val="auto"/>
                <w:szCs w:val="24"/>
                <w:highlight w:val="none"/>
              </w:rPr>
            </w:pPr>
            <w:r>
              <w:rPr>
                <w:rFonts w:hint="eastAsia" w:hAnsi="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073" w:type="dxa"/>
          </w:tcPr>
          <w:p>
            <w:pPr>
              <w:spacing w:line="360" w:lineRule="auto"/>
              <w:ind w:firstLine="480"/>
              <w:rPr>
                <w:rFonts w:hAnsi="宋体" w:cs="宋体"/>
                <w:color w:val="auto"/>
                <w:szCs w:val="24"/>
                <w:highlight w:val="none"/>
              </w:rPr>
            </w:pPr>
            <w:r>
              <w:rPr>
                <w:rFonts w:hint="eastAsia" w:hAnsi="宋体" w:cs="宋体"/>
                <w:color w:val="auto"/>
                <w:szCs w:val="24"/>
                <w:highlight w:val="none"/>
              </w:rPr>
              <w:t>磋商报价：为完成本项目全部内容的价格体现，包括但不限于苗木费、养护费、劳务费、管理费、设备费、调查费、工程施工费、税金等其他一切相关费用，任何有选择的报价将不予接受，按无效磋商响应。供应商所报的价格应考虑到可能发生的所有与完成本项目相关服务及履行合同义务有关的一切费用。</w:t>
            </w:r>
          </w:p>
          <w:p>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073" w:type="dxa"/>
          </w:tcPr>
          <w:p>
            <w:pPr>
              <w:spacing w:line="360" w:lineRule="auto"/>
              <w:rPr>
                <w:rFonts w:hAnsi="宋体" w:cs="宋体"/>
                <w:color w:val="auto"/>
                <w:szCs w:val="24"/>
                <w:highlight w:val="none"/>
              </w:rPr>
            </w:pPr>
            <w:r>
              <w:rPr>
                <w:rFonts w:hint="eastAsia" w:hAnsi="宋体" w:cs="宋体"/>
                <w:color w:val="auto"/>
                <w:szCs w:val="24"/>
                <w:highlight w:val="none"/>
              </w:rPr>
              <w:t>特定资格证明文件：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1、提供合格有效的法人或者其他组织的营业执照等证明文件，自然人的身份证明；</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2、提供法定代表人授权书（附法定代表人、被授权人身份证复印件）及被授权人身份证原件（法定代表人直接参加投标，须提供法定代表人身份证明及身份证原件）；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4、税收缴纳证明：提供磋商截止日前近一年内任意一个月的纳税证明或完税证明（任意税种），依法免税的单位应提供相关证明材料；</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5、社会保障资金缴纳证明：提供磋商截止日前近一年内任意一个月的社会保障资金缴存单据或社保机构开具的社会保险参保缴费情况证明，依法不需要缴纳社会保障资金的单位应提供相关证明材料；</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6、供应商应通过“信用中国”网站(www.creditchina.gov.cn)、中国政府采购网(www.ccgp.gov.cn)查询相关主体信用记录；</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7、提供具有履行本合同所必需的设备和专业技术能力的说明及承诺书；</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8、参加政府采购活动前3年内，在经营活动中没有重大违法记录的书面声明；</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9、磋商保证金缴纳凭证或担保机构出具的保函；</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10、本项目不接受联合体磋商。</w:t>
            </w:r>
          </w:p>
          <w:p>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以上（1-9）为必备资质，缺一项或某项达不到要求，按无效磋商处理。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073" w:type="dxa"/>
          </w:tcPr>
          <w:p>
            <w:pPr>
              <w:spacing w:line="360" w:lineRule="auto"/>
              <w:ind w:firstLine="480"/>
              <w:rPr>
                <w:rFonts w:hAnsi="宋体" w:cs="宋体"/>
                <w:b/>
                <w:bCs/>
                <w:color w:val="auto"/>
                <w:szCs w:val="24"/>
                <w:highlight w:val="none"/>
              </w:rPr>
            </w:pPr>
            <w:r>
              <w:rPr>
                <w:rFonts w:hint="eastAsia" w:hAnsi="宋体" w:cs="宋体"/>
                <w:b/>
                <w:bCs/>
                <w:color w:val="auto"/>
                <w:szCs w:val="24"/>
                <w:highlight w:val="none"/>
              </w:rPr>
              <w:t>磋商保证金：</w:t>
            </w:r>
          </w:p>
          <w:p>
            <w:pPr>
              <w:spacing w:line="360" w:lineRule="auto"/>
              <w:ind w:firstLine="480"/>
              <w:rPr>
                <w:rFonts w:hAnsi="宋体" w:cs="宋体"/>
                <w:b/>
                <w:bCs/>
                <w:color w:val="auto"/>
                <w:szCs w:val="24"/>
                <w:highlight w:val="none"/>
              </w:rPr>
            </w:pPr>
            <w:r>
              <w:rPr>
                <w:rFonts w:hint="eastAsia" w:hAnsi="宋体" w:cs="宋体"/>
                <w:b/>
                <w:bCs/>
                <w:color w:val="auto"/>
                <w:szCs w:val="24"/>
                <w:highlight w:val="none"/>
              </w:rPr>
              <w:t>人民币壹万元整（￥10000.00元）</w:t>
            </w:r>
          </w:p>
          <w:p>
            <w:pPr>
              <w:spacing w:line="360" w:lineRule="auto"/>
              <w:rPr>
                <w:rFonts w:hAnsi="宋体" w:cs="宋体"/>
                <w:color w:val="auto"/>
                <w:szCs w:val="24"/>
                <w:highlight w:val="none"/>
              </w:rPr>
            </w:pPr>
            <w:r>
              <w:rPr>
                <w:rFonts w:hint="eastAsia" w:hAnsi="宋体" w:cs="宋体"/>
                <w:color w:val="auto"/>
                <w:szCs w:val="24"/>
                <w:highlight w:val="none"/>
              </w:rPr>
              <w:t xml:space="preserve">    磋商保证金的有效期与磋商有效期一致。</w:t>
            </w:r>
            <w:r>
              <w:rPr>
                <w:rFonts w:hint="eastAsia" w:hAnsi="宋体" w:cs="宋体"/>
                <w:color w:val="auto"/>
                <w:szCs w:val="22"/>
                <w:highlight w:val="none"/>
              </w:rPr>
              <w:t>担保机构出具的保函的有效期为磋商有效期延长一个月。</w:t>
            </w:r>
          </w:p>
          <w:p>
            <w:pP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pP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供应商以银行转账、电汇形式交纳保证金的，须从基本账户转出，并且在磋商响应文件递交截止前到达采购代理机构指定账户（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）。磋商保证金到达采购代理机构指定账户后，供应商须与陕西至诚招标咨询有限公司财务部联系确认到账后（联系电话029-88219779），将磋商保证金缴纳凭证复印件粘贴于磋商响应文件规定处。</w:t>
            </w:r>
          </w:p>
          <w:p>
            <w:pPr>
              <w:spacing w:line="360" w:lineRule="auto"/>
              <w:ind w:firstLine="480"/>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073" w:type="dxa"/>
            <w:vAlign w:val="center"/>
          </w:tcPr>
          <w:p>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073" w:type="dxa"/>
            <w:vAlign w:val="center"/>
          </w:tcPr>
          <w:p>
            <w:pPr>
              <w:spacing w:line="360" w:lineRule="auto"/>
              <w:rPr>
                <w:color w:val="auto"/>
                <w:szCs w:val="24"/>
                <w:highlight w:val="none"/>
              </w:rPr>
            </w:pPr>
            <w:r>
              <w:rPr>
                <w:rFonts w:hint="eastAsia"/>
                <w:color w:val="auto"/>
                <w:szCs w:val="24"/>
                <w:highlight w:val="none"/>
              </w:rPr>
              <w:t>正本的份数：壹份；副本的份数：贰份；</w:t>
            </w:r>
            <w:r>
              <w:rPr>
                <w:rFonts w:hint="eastAsia" w:hAnsi="宋体"/>
                <w:color w:val="auto"/>
                <w:szCs w:val="24"/>
                <w:highlight w:val="none"/>
              </w:rPr>
              <w:t>报价一览表：</w:t>
            </w:r>
            <w:r>
              <w:rPr>
                <w:rFonts w:hint="eastAsia"/>
                <w:color w:val="auto"/>
                <w:szCs w:val="24"/>
                <w:highlight w:val="none"/>
              </w:rPr>
              <w:t>壹</w:t>
            </w:r>
            <w:r>
              <w:rPr>
                <w:rFonts w:hint="eastAsia" w:hAnsi="宋体"/>
                <w:color w:val="auto"/>
                <w:szCs w:val="24"/>
                <w:highlight w:val="none"/>
              </w:rPr>
              <w:t>份；</w:t>
            </w:r>
            <w:r>
              <w:rPr>
                <w:rFonts w:hint="eastAsia"/>
                <w:color w:val="auto"/>
                <w:szCs w:val="24"/>
                <w:highlight w:val="none"/>
              </w:rPr>
              <w:t>同时提供与正本内容一致的电子版（U盘）壹份，并在盘面标注供应商全称、项目名称</w:t>
            </w:r>
            <w:r>
              <w:rPr>
                <w:color w:val="auto"/>
                <w:szCs w:val="24"/>
                <w:highlight w:val="none"/>
              </w:rPr>
              <w:t>、</w:t>
            </w:r>
            <w:r>
              <w:rPr>
                <w:rFonts w:hint="eastAsia"/>
                <w:color w:val="auto"/>
                <w:szCs w:val="24"/>
                <w:highlight w:val="none"/>
              </w:rPr>
              <w:t>编号；磋商响应文件装订要求：胶装。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10</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073" w:type="dxa"/>
            <w:vAlign w:val="center"/>
          </w:tcPr>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p>
            <w:pPr>
              <w:spacing w:line="360" w:lineRule="auto"/>
              <w:rPr>
                <w:rFonts w:hAnsi="宋体"/>
                <w:color w:val="auto"/>
                <w:szCs w:val="24"/>
                <w:highlight w:val="none"/>
              </w:rPr>
            </w:pPr>
            <w:r>
              <w:rPr>
                <w:rFonts w:hAnsi="宋体"/>
                <w:color w:val="auto"/>
                <w:szCs w:val="24"/>
                <w:highlight w:val="none"/>
              </w:rPr>
              <w:t>外层包装请按以下要求标记：</w:t>
            </w:r>
          </w:p>
          <w:p>
            <w:pPr>
              <w:spacing w:line="360" w:lineRule="auto"/>
              <w:ind w:firstLine="720" w:firstLineChars="3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磋商响应单位</w:t>
            </w:r>
            <w:r>
              <w:rPr>
                <w:rFonts w:hAnsi="宋体"/>
                <w:color w:val="auto"/>
                <w:szCs w:val="24"/>
                <w:highlight w:val="none"/>
              </w:rPr>
              <w:t>的全称；</w:t>
            </w:r>
          </w:p>
          <w:p>
            <w:pPr>
              <w:spacing w:line="360" w:lineRule="auto"/>
              <w:ind w:firstLine="720" w:firstLineChars="300"/>
              <w:rPr>
                <w:rFonts w:hAnsi="宋体"/>
                <w:color w:val="auto"/>
                <w:szCs w:val="24"/>
                <w:highlight w:val="none"/>
              </w:rPr>
            </w:pPr>
            <w:r>
              <w:rPr>
                <w:rFonts w:hAnsi="宋体"/>
                <w:color w:val="auto"/>
                <w:szCs w:val="24"/>
                <w:highlight w:val="none"/>
              </w:rPr>
              <w:t xml:space="preserve">2) </w:t>
            </w:r>
            <w:r>
              <w:rPr>
                <w:rFonts w:hint="eastAsia" w:hAnsi="宋体"/>
                <w:color w:val="auto"/>
                <w:szCs w:val="24"/>
                <w:highlight w:val="none"/>
              </w:rPr>
              <w:t>磋商</w:t>
            </w:r>
            <w:r>
              <w:rPr>
                <w:rFonts w:hAnsi="宋体"/>
                <w:color w:val="auto"/>
                <w:szCs w:val="24"/>
                <w:highlight w:val="none"/>
              </w:rPr>
              <w:t>项目名称、项目编号</w:t>
            </w:r>
            <w:r>
              <w:rPr>
                <w:rFonts w:hint="eastAsia" w:hAnsi="宋体"/>
                <w:color w:val="auto"/>
                <w:szCs w:val="24"/>
                <w:highlight w:val="none"/>
              </w:rPr>
              <w:t>；</w:t>
            </w:r>
          </w:p>
          <w:p>
            <w:pPr>
              <w:spacing w:line="360" w:lineRule="auto"/>
              <w:ind w:firstLine="720" w:firstLineChars="300"/>
              <w:rPr>
                <w:rFonts w:hAnsi="宋体"/>
                <w:color w:val="auto"/>
                <w:szCs w:val="24"/>
                <w:highlight w:val="none"/>
              </w:rPr>
            </w:pPr>
            <w:r>
              <w:rPr>
                <w:rFonts w:hAnsi="宋体"/>
                <w:bCs/>
                <w:color w:val="auto"/>
                <w:szCs w:val="24"/>
                <w:highlight w:val="none"/>
              </w:rPr>
              <w:t>3）正本或副本</w:t>
            </w:r>
            <w:r>
              <w:rPr>
                <w:rFonts w:hint="eastAsia" w:hAnsi="宋体"/>
                <w:bCs/>
                <w:color w:val="auto"/>
                <w:szCs w:val="24"/>
                <w:highlight w:val="none"/>
              </w:rPr>
              <w:t>、电子版、报价一览表</w:t>
            </w:r>
            <w:r>
              <w:rPr>
                <w:rFonts w:hAnsi="宋体"/>
                <w:bCs/>
                <w:color w:val="auto"/>
                <w:szCs w:val="24"/>
                <w:highlight w:val="none"/>
              </w:rPr>
              <w:t>“请勿在＿＿＿＿＿(</w:t>
            </w:r>
            <w:r>
              <w:rPr>
                <w:rFonts w:hint="eastAsia" w:hAnsi="宋体"/>
                <w:bCs/>
                <w:color w:val="auto"/>
                <w:szCs w:val="24"/>
                <w:highlight w:val="none"/>
              </w:rPr>
              <w:t>磋商</w:t>
            </w:r>
            <w:r>
              <w:rPr>
                <w:rFonts w:hAnsi="宋体"/>
                <w:bCs/>
                <w:color w:val="auto"/>
                <w:szCs w:val="24"/>
                <w:highlight w:val="none"/>
              </w:rPr>
              <w:t>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073" w:type="dxa"/>
          </w:tcPr>
          <w:p>
            <w:pPr>
              <w:spacing w:line="360" w:lineRule="auto"/>
              <w:rPr>
                <w:rFonts w:hAnsi="宋体" w:cs="宋体"/>
                <w:color w:val="auto"/>
                <w:szCs w:val="24"/>
                <w:highlight w:val="none"/>
              </w:rPr>
            </w:pPr>
            <w:r>
              <w:rPr>
                <w:rFonts w:hint="eastAsia" w:hAnsi="宋体" w:cs="宋体"/>
                <w:color w:val="auto"/>
                <w:szCs w:val="24"/>
                <w:highlight w:val="none"/>
              </w:rPr>
              <w:t>磋商响应文件递交截止时间：2022-09-30 下午14:00:00(北京时间)</w:t>
            </w:r>
          </w:p>
          <w:p>
            <w:pPr>
              <w:spacing w:line="360" w:lineRule="auto"/>
              <w:rPr>
                <w:rFonts w:hAnsi="宋体" w:cs="宋体"/>
                <w:color w:val="auto"/>
                <w:szCs w:val="24"/>
                <w:highlight w:val="none"/>
              </w:rPr>
            </w:pPr>
            <w:r>
              <w:rPr>
                <w:rFonts w:hint="eastAsia" w:hAnsi="宋体" w:cs="宋体"/>
                <w:color w:val="auto"/>
                <w:szCs w:val="24"/>
                <w:highlight w:val="none"/>
              </w:rPr>
              <w:t>磋商响应文件递交地址：陕西省陕西省西安市未央区未央路171-1 银池广场道拉斯财富中心21楼03室</w:t>
            </w:r>
          </w:p>
          <w:p>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073" w:type="dxa"/>
            <w:vAlign w:val="center"/>
          </w:tcPr>
          <w:p>
            <w:pPr>
              <w:spacing w:line="360" w:lineRule="auto"/>
              <w:rPr>
                <w:rFonts w:hAnsi="宋体" w:cs="宋体"/>
                <w:color w:val="auto"/>
                <w:szCs w:val="24"/>
                <w:highlight w:val="none"/>
              </w:rPr>
            </w:pPr>
            <w:r>
              <w:rPr>
                <w:rFonts w:hint="eastAsia" w:hAnsi="宋体" w:cs="宋体"/>
                <w:color w:val="auto"/>
                <w:szCs w:val="24"/>
                <w:highlight w:val="none"/>
              </w:rPr>
              <w:t>磋商时间：2022-09-30 下午14:00:00(北京时间)</w:t>
            </w:r>
          </w:p>
          <w:p>
            <w:pPr>
              <w:spacing w:line="360" w:lineRule="auto"/>
              <w:jc w:val="left"/>
              <w:rPr>
                <w:rFonts w:hAnsi="宋体" w:cs="宋体"/>
                <w:color w:val="auto"/>
                <w:szCs w:val="24"/>
                <w:highlight w:val="none"/>
              </w:rPr>
            </w:pPr>
            <w:r>
              <w:rPr>
                <w:rFonts w:hint="eastAsia" w:hAnsi="宋体" w:cs="宋体"/>
                <w:color w:val="auto"/>
                <w:szCs w:val="24"/>
                <w:highlight w:val="none"/>
              </w:rPr>
              <w:t>磋商地点：陕西省陕西省西安市未央区未央路171-1 银池广场道拉斯财富中心21楼03室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073" w:type="dxa"/>
            <w:vAlign w:val="center"/>
          </w:tcPr>
          <w:p>
            <w:pPr>
              <w:spacing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11" w:hRule="atLeast"/>
          <w:jc w:val="center"/>
        </w:trPr>
        <w:tc>
          <w:tcPr>
            <w:tcW w:w="59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1232"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073" w:type="dxa"/>
            <w:vAlign w:val="center"/>
          </w:tcPr>
          <w:p>
            <w:pPr>
              <w:spacing w:afterLines="50" w:line="360" w:lineRule="auto"/>
              <w:jc w:val="left"/>
              <w:rPr>
                <w:rFonts w:hAnsi="宋体" w:cs="宋体"/>
                <w:color w:val="auto"/>
                <w:szCs w:val="24"/>
                <w:highlight w:val="none"/>
              </w:rPr>
            </w:pPr>
            <w:r>
              <w:rPr>
                <w:rFonts w:hint="eastAsia" w:hAnsi="宋体" w:cs="宋体"/>
                <w:color w:val="auto"/>
                <w:szCs w:val="24"/>
                <w:highlight w:val="none"/>
              </w:rPr>
              <w:t>磋商代理服务费：</w:t>
            </w:r>
          </w:p>
          <w:p>
            <w:pPr>
              <w:spacing w:afterLines="50" w:line="360" w:lineRule="auto"/>
              <w:jc w:val="left"/>
              <w:rPr>
                <w:rFonts w:hAnsi="宋体" w:cs="宋体"/>
                <w:color w:val="auto"/>
                <w:szCs w:val="24"/>
                <w:highlight w:val="none"/>
              </w:rPr>
            </w:pPr>
            <w:r>
              <w:rPr>
                <w:rFonts w:hint="eastAsia" w:hAnsi="宋体" w:cs="宋体"/>
                <w:color w:val="auto"/>
                <w:szCs w:val="24"/>
                <w:highlight w:val="none"/>
              </w:rPr>
              <w:t>29.1</w:t>
            </w:r>
            <w:bookmarkStart w:id="24" w:name="OLE_LINK9"/>
            <w:bookmarkStart w:id="25" w:name="OLE_LINK10"/>
            <w:r>
              <w:rPr>
                <w:rFonts w:hint="eastAsia" w:hAnsi="宋体" w:cs="宋体"/>
                <w:color w:val="auto"/>
                <w:szCs w:val="24"/>
                <w:highlight w:val="none"/>
              </w:rPr>
              <w:t xml:space="preserve"> 招标代理服务费的计算方法：以中标金额为基数，依据国家计委颁布《招标代理服务收费管理暂行办法》（计价格[2002]1980号）文件的有关规定执行。</w:t>
            </w:r>
            <w:bookmarkEnd w:id="24"/>
            <w:bookmarkEnd w:id="25"/>
          </w:p>
          <w:p>
            <w:pPr>
              <w:spacing w:afterLines="50" w:line="360" w:lineRule="auto"/>
              <w:jc w:val="left"/>
              <w:rPr>
                <w:rFonts w:hAnsi="宋体" w:cs="宋体"/>
                <w:color w:val="auto"/>
                <w:szCs w:val="24"/>
                <w:highlight w:val="none"/>
              </w:rPr>
            </w:pPr>
            <w:r>
              <w:rPr>
                <w:rFonts w:hint="eastAsia" w:hAnsi="宋体" w:cs="宋体"/>
                <w:color w:val="auto"/>
                <w:szCs w:val="24"/>
                <w:highlight w:val="none"/>
              </w:rPr>
              <w:t>29.2 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15</w:t>
            </w:r>
          </w:p>
        </w:tc>
        <w:tc>
          <w:tcPr>
            <w:tcW w:w="1232" w:type="dxa"/>
            <w:vAlign w:val="center"/>
          </w:tcPr>
          <w:p>
            <w:pPr>
              <w:jc w:val="center"/>
              <w:rPr>
                <w:rFonts w:hAnsi="宋体" w:cs="宋体"/>
                <w:b/>
                <w:bCs/>
                <w:color w:val="auto"/>
                <w:szCs w:val="24"/>
                <w:highlight w:val="none"/>
              </w:rPr>
            </w:pPr>
            <w:r>
              <w:rPr>
                <w:rFonts w:hint="eastAsia" w:hAnsi="宋体" w:cs="宋体"/>
                <w:b/>
                <w:bCs/>
                <w:color w:val="auto"/>
                <w:szCs w:val="24"/>
                <w:highlight w:val="none"/>
              </w:rPr>
              <w:t>银行</w:t>
            </w:r>
          </w:p>
          <w:p>
            <w:pPr>
              <w:jc w:val="center"/>
              <w:rPr>
                <w:rFonts w:hAnsi="宋体" w:cs="宋体"/>
                <w:b/>
                <w:bCs/>
                <w:color w:val="auto"/>
                <w:szCs w:val="24"/>
                <w:highlight w:val="none"/>
              </w:rPr>
            </w:pPr>
            <w:r>
              <w:rPr>
                <w:rFonts w:hint="eastAsia" w:hAnsi="宋体" w:cs="宋体"/>
                <w:b/>
                <w:bCs/>
                <w:color w:val="auto"/>
                <w:szCs w:val="24"/>
                <w:highlight w:val="none"/>
              </w:rPr>
              <w:t>账户</w:t>
            </w:r>
          </w:p>
          <w:p>
            <w:pPr>
              <w:jc w:val="center"/>
              <w:rPr>
                <w:rFonts w:hAnsi="宋体" w:cs="宋体"/>
                <w:color w:val="auto"/>
                <w:szCs w:val="24"/>
                <w:highlight w:val="none"/>
              </w:rPr>
            </w:pPr>
            <w:r>
              <w:rPr>
                <w:rFonts w:hint="eastAsia" w:hAnsi="宋体" w:cs="宋体"/>
                <w:b/>
                <w:bCs/>
                <w:color w:val="auto"/>
                <w:szCs w:val="24"/>
                <w:highlight w:val="none"/>
              </w:rPr>
              <w:t>信息</w:t>
            </w:r>
          </w:p>
        </w:tc>
        <w:tc>
          <w:tcPr>
            <w:tcW w:w="7073" w:type="dxa"/>
            <w:vAlign w:val="center"/>
          </w:tcPr>
          <w:p>
            <w:pPr>
              <w:spacing w:line="520" w:lineRule="exact"/>
              <w:rPr>
                <w:rFonts w:hAnsi="宋体" w:cs="宋体"/>
                <w:b/>
                <w:bCs/>
                <w:color w:val="auto"/>
                <w:szCs w:val="24"/>
                <w:highlight w:val="none"/>
              </w:rPr>
            </w:pPr>
            <w:r>
              <w:rPr>
                <w:rFonts w:hint="eastAsia" w:hAnsi="宋体" w:cs="宋体"/>
                <w:b/>
                <w:bCs/>
                <w:color w:val="auto"/>
                <w:szCs w:val="24"/>
                <w:highlight w:val="none"/>
              </w:rPr>
              <w:t>1、保证金及代理服务费账户：</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采购代理机构开户名称：陕西至诚招标咨询有限公司</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开户行名称：中国建设银行股份有限公司西安高新技术产业开发区支行</w:t>
            </w:r>
          </w:p>
          <w:p>
            <w:pPr>
              <w:pStyle w:val="9"/>
              <w:ind w:firstLine="482" w:firstLineChars="200"/>
              <w:rPr>
                <w:rFonts w:ascii="宋体" w:hAnsi="宋体" w:cs="宋体"/>
                <w:color w:val="auto"/>
                <w:highlight w:val="none"/>
              </w:rPr>
            </w:pPr>
            <w:r>
              <w:rPr>
                <w:rFonts w:hint="eastAsia" w:ascii="宋体" w:hAnsi="宋体" w:cs="宋体"/>
                <w:b/>
                <w:bCs/>
                <w:color w:val="auto"/>
                <w:sz w:val="24"/>
                <w:szCs w:val="24"/>
                <w:highlight w:val="none"/>
              </w:rPr>
              <w:t>账号：61050192090000002152</w:t>
            </w:r>
          </w:p>
          <w:p>
            <w:pPr>
              <w:spacing w:line="520" w:lineRule="exact"/>
              <w:ind w:firstLine="482" w:firstLineChars="200"/>
              <w:rPr>
                <w:rFonts w:hAnsi="宋体" w:cs="宋体"/>
                <w:color w:val="auto"/>
                <w:szCs w:val="24"/>
                <w:highlight w:val="none"/>
              </w:rPr>
            </w:pPr>
            <w:r>
              <w:rPr>
                <w:rFonts w:hint="eastAsia" w:hAnsi="宋体" w:cs="宋体"/>
                <w:b/>
                <w:bCs/>
                <w:color w:val="auto"/>
                <w:szCs w:val="24"/>
                <w:highlight w:val="none"/>
              </w:rPr>
              <w:t>请各供应商按照要求分别将保证金和服务费汇入以上指定账户，如因自身原因发生错误，产生的不利后果均由供应商自行承担。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16</w:t>
            </w:r>
          </w:p>
        </w:tc>
        <w:tc>
          <w:tcPr>
            <w:tcW w:w="1232"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履约</w:t>
            </w:r>
          </w:p>
          <w:p>
            <w:pPr>
              <w:spacing w:line="360" w:lineRule="auto"/>
              <w:jc w:val="center"/>
              <w:rPr>
                <w:rFonts w:hAnsi="宋体" w:cs="宋体"/>
                <w:b/>
                <w:bCs/>
                <w:color w:val="auto"/>
                <w:szCs w:val="24"/>
                <w:highlight w:val="none"/>
              </w:rPr>
            </w:pPr>
            <w:r>
              <w:rPr>
                <w:rFonts w:hint="eastAsia" w:hAnsi="宋体" w:cs="宋体"/>
                <w:color w:val="auto"/>
                <w:szCs w:val="24"/>
                <w:highlight w:val="none"/>
              </w:rPr>
              <w:t>担保</w:t>
            </w:r>
          </w:p>
        </w:tc>
        <w:tc>
          <w:tcPr>
            <w:tcW w:w="7073" w:type="dxa"/>
            <w:vAlign w:val="center"/>
          </w:tcPr>
          <w:p>
            <w:pPr>
              <w:widowControl/>
              <w:spacing w:line="360" w:lineRule="auto"/>
              <w:jc w:val="left"/>
              <w:rPr>
                <w:rFonts w:hAnsi="宋体" w:cs="宋体"/>
                <w:color w:val="auto"/>
                <w:szCs w:val="24"/>
                <w:highlight w:val="none"/>
              </w:rPr>
            </w:pPr>
            <w:r>
              <w:rPr>
                <w:rFonts w:hint="eastAsia" w:hAnsi="宋体" w:cs="宋体"/>
                <w:color w:val="auto"/>
                <w:szCs w:val="24"/>
                <w:highlight w:val="none"/>
              </w:rPr>
              <w:t>履约担保的形式：/</w:t>
            </w:r>
          </w:p>
          <w:p>
            <w:pPr>
              <w:spacing w:line="360" w:lineRule="auto"/>
              <w:rPr>
                <w:rFonts w:hAnsi="宋体" w:cs="宋体"/>
                <w:b/>
                <w:bCs/>
                <w:color w:val="auto"/>
                <w:szCs w:val="24"/>
                <w:highlight w:val="none"/>
              </w:rPr>
            </w:pPr>
            <w:r>
              <w:rPr>
                <w:rFonts w:hint="eastAsia" w:hAnsi="宋体" w:cs="宋体"/>
                <w:color w:val="auto"/>
                <w:szCs w:val="24"/>
                <w:highlight w:val="none"/>
              </w:rPr>
              <w:t>履约担保的金额：/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17</w:t>
            </w:r>
          </w:p>
        </w:tc>
        <w:tc>
          <w:tcPr>
            <w:tcW w:w="1232" w:type="dxa"/>
            <w:vAlign w:val="center"/>
          </w:tcPr>
          <w:p>
            <w:pPr>
              <w:spacing w:line="360" w:lineRule="auto"/>
              <w:jc w:val="center"/>
              <w:rPr>
                <w:rFonts w:hAnsi="宋体" w:cs="宋体"/>
                <w:bCs/>
                <w:color w:val="auto"/>
                <w:szCs w:val="24"/>
                <w:highlight w:val="none"/>
              </w:rPr>
            </w:pPr>
            <w:r>
              <w:rPr>
                <w:rFonts w:hint="eastAsia" w:hAnsi="宋体" w:cs="宋体"/>
                <w:bCs/>
                <w:color w:val="auto"/>
                <w:szCs w:val="24"/>
                <w:highlight w:val="none"/>
              </w:rPr>
              <w:t>现场</w:t>
            </w:r>
          </w:p>
          <w:p>
            <w:pPr>
              <w:spacing w:line="360" w:lineRule="auto"/>
              <w:jc w:val="center"/>
              <w:rPr>
                <w:rFonts w:hAnsi="宋体" w:cs="宋体"/>
                <w:color w:val="auto"/>
                <w:szCs w:val="24"/>
                <w:highlight w:val="none"/>
              </w:rPr>
            </w:pPr>
            <w:r>
              <w:rPr>
                <w:rFonts w:hint="eastAsia" w:hAnsi="宋体" w:cs="宋体"/>
                <w:color w:val="auto"/>
                <w:kern w:val="2"/>
                <w:szCs w:val="24"/>
                <w:highlight w:val="none"/>
              </w:rPr>
              <w:t>踏</w:t>
            </w:r>
            <w:r>
              <w:rPr>
                <w:rFonts w:hint="eastAsia" w:hAnsi="宋体" w:cs="宋体"/>
                <w:bCs/>
                <w:color w:val="auto"/>
                <w:szCs w:val="24"/>
                <w:highlight w:val="none"/>
              </w:rPr>
              <w:t>勘</w:t>
            </w:r>
          </w:p>
        </w:tc>
        <w:tc>
          <w:tcPr>
            <w:tcW w:w="7073" w:type="dxa"/>
            <w:vAlign w:val="center"/>
          </w:tcPr>
          <w:p>
            <w:pPr>
              <w:spacing w:line="360" w:lineRule="auto"/>
              <w:rPr>
                <w:color w:val="auto"/>
                <w:highlight w:val="none"/>
              </w:rPr>
            </w:pPr>
            <w:r>
              <w:rPr>
                <w:rFonts w:hint="eastAsia"/>
                <w:color w:val="auto"/>
                <w:highlight w:val="none"/>
              </w:rPr>
              <w:t>1、不组织；</w:t>
            </w:r>
          </w:p>
          <w:p>
            <w:pPr>
              <w:spacing w:line="360" w:lineRule="auto"/>
              <w:rPr>
                <w:color w:val="auto"/>
                <w:highlight w:val="none"/>
              </w:rPr>
            </w:pPr>
            <w:r>
              <w:rPr>
                <w:rFonts w:hint="eastAsia"/>
                <w:color w:val="auto"/>
                <w:highlight w:val="none"/>
              </w:rPr>
              <w:t>2、供应商自行踏勘，并承担踏勘现场所发生的相关费用和自身安全责任；踏勘过程不得扰民。</w:t>
            </w:r>
          </w:p>
          <w:p>
            <w:pPr>
              <w:spacing w:line="360" w:lineRule="auto"/>
              <w:rPr>
                <w:color w:val="auto"/>
                <w:highlight w:val="none"/>
              </w:rPr>
            </w:pPr>
            <w:r>
              <w:rPr>
                <w:rFonts w:hint="eastAsia"/>
                <w:color w:val="auto"/>
                <w:highlight w:val="none"/>
              </w:rPr>
              <w:t>3、联系人：柞水县林业局经办</w:t>
            </w:r>
          </w:p>
          <w:p>
            <w:pPr>
              <w:spacing w:line="360" w:lineRule="auto"/>
              <w:rPr>
                <w:color w:val="auto"/>
                <w:highlight w:val="none"/>
              </w:rPr>
            </w:pPr>
            <w:r>
              <w:rPr>
                <w:rFonts w:hint="eastAsia"/>
                <w:color w:val="auto"/>
                <w:highlight w:val="none"/>
              </w:rPr>
              <w:t>4、联系电话：13992460411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18</w:t>
            </w:r>
          </w:p>
        </w:tc>
        <w:tc>
          <w:tcPr>
            <w:tcW w:w="1232" w:type="dxa"/>
            <w:vAlign w:val="center"/>
          </w:tcPr>
          <w:p>
            <w:pPr>
              <w:spacing w:line="360" w:lineRule="auto"/>
              <w:jc w:val="center"/>
              <w:rPr>
                <w:rFonts w:hAnsi="宋体" w:cs="宋体"/>
                <w:color w:val="auto"/>
                <w:kern w:val="2"/>
                <w:szCs w:val="24"/>
                <w:highlight w:val="none"/>
              </w:rPr>
            </w:pPr>
            <w:r>
              <w:rPr>
                <w:rFonts w:hint="eastAsia" w:hAnsi="宋体" w:cs="宋体"/>
                <w:color w:val="auto"/>
                <w:kern w:val="2"/>
                <w:szCs w:val="24"/>
                <w:highlight w:val="none"/>
              </w:rPr>
              <w:t>本项目所属行业</w:t>
            </w:r>
          </w:p>
        </w:tc>
        <w:tc>
          <w:tcPr>
            <w:tcW w:w="7073" w:type="dxa"/>
            <w:vAlign w:val="center"/>
          </w:tcPr>
          <w:p>
            <w:pPr>
              <w:spacing w:line="360" w:lineRule="auto"/>
              <w:rPr>
                <w:color w:val="auto"/>
                <w:szCs w:val="22"/>
                <w:highlight w:val="none"/>
              </w:rPr>
            </w:pPr>
            <w:r>
              <w:rPr>
                <w:rFonts w:hint="eastAsia"/>
                <w:color w:val="auto"/>
                <w:szCs w:val="22"/>
                <w:highlight w:val="none"/>
              </w:rPr>
              <w:t>农、林、牧、渔业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19</w:t>
            </w:r>
          </w:p>
        </w:tc>
        <w:tc>
          <w:tcPr>
            <w:tcW w:w="1232" w:type="dxa"/>
            <w:vAlign w:val="center"/>
          </w:tcPr>
          <w:p>
            <w:pPr>
              <w:spacing w:line="360" w:lineRule="auto"/>
              <w:jc w:val="center"/>
              <w:rPr>
                <w:rFonts w:hAnsi="宋体" w:cs="宋体"/>
                <w:color w:val="auto"/>
                <w:kern w:val="2"/>
                <w:szCs w:val="24"/>
                <w:highlight w:val="none"/>
              </w:rPr>
            </w:pPr>
            <w:r>
              <w:rPr>
                <w:rFonts w:hint="eastAsia" w:hAnsi="宋体" w:cs="宋体"/>
                <w:color w:val="auto"/>
                <w:kern w:val="2"/>
                <w:szCs w:val="24"/>
                <w:highlight w:val="none"/>
              </w:rPr>
              <w:t>项目性质</w:t>
            </w:r>
          </w:p>
        </w:tc>
        <w:tc>
          <w:tcPr>
            <w:tcW w:w="7073" w:type="dxa"/>
            <w:vAlign w:val="center"/>
          </w:tcPr>
          <w:p>
            <w:pPr>
              <w:spacing w:line="360" w:lineRule="auto"/>
              <w:rPr>
                <w:color w:val="auto"/>
                <w:szCs w:val="22"/>
                <w:highlight w:val="none"/>
              </w:rPr>
            </w:pPr>
            <w:r>
              <w:rPr>
                <w:rFonts w:hint="eastAsia"/>
                <w:color w:val="auto"/>
                <w:szCs w:val="22"/>
                <w:highlight w:val="none"/>
              </w:rPr>
              <w:t>本项目专门面向中小企业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color w:val="auto"/>
                <w:szCs w:val="24"/>
                <w:highlight w:val="none"/>
              </w:rPr>
            </w:pPr>
            <w:r>
              <w:rPr>
                <w:rFonts w:hint="eastAsia" w:hAnsi="宋体" w:cs="宋体"/>
                <w:color w:val="auto"/>
                <w:szCs w:val="24"/>
                <w:highlight w:val="none"/>
              </w:rPr>
              <w:t>20</w:t>
            </w:r>
          </w:p>
        </w:tc>
        <w:tc>
          <w:tcPr>
            <w:tcW w:w="1232" w:type="dxa"/>
            <w:vAlign w:val="center"/>
          </w:tcPr>
          <w:p>
            <w:pPr>
              <w:spacing w:line="360" w:lineRule="auto"/>
              <w:jc w:val="center"/>
              <w:rPr>
                <w:rFonts w:hAnsi="宋体" w:cs="宋体"/>
                <w:color w:val="auto"/>
                <w:kern w:val="2"/>
                <w:szCs w:val="24"/>
                <w:highlight w:val="none"/>
              </w:rPr>
            </w:pPr>
            <w:r>
              <w:rPr>
                <w:rFonts w:hint="eastAsia" w:hAnsi="宋体" w:cs="宋体"/>
                <w:color w:val="auto"/>
                <w:kern w:val="2"/>
                <w:szCs w:val="24"/>
                <w:highlight w:val="none"/>
              </w:rPr>
              <w:t>其他</w:t>
            </w:r>
          </w:p>
        </w:tc>
        <w:tc>
          <w:tcPr>
            <w:tcW w:w="7073" w:type="dxa"/>
            <w:vAlign w:val="center"/>
          </w:tcPr>
          <w:p>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pP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pPr>
              <w:spacing w:line="360" w:lineRule="auto"/>
              <w:rPr>
                <w:color w:val="auto"/>
                <w:szCs w:val="22"/>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21</w:t>
            </w:r>
          </w:p>
        </w:tc>
        <w:tc>
          <w:tcPr>
            <w:tcW w:w="1232" w:type="dxa"/>
            <w:vAlign w:val="center"/>
          </w:tcPr>
          <w:p>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073" w:type="dxa"/>
            <w:vAlign w:val="center"/>
          </w:tcPr>
          <w:p>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pPr>
        <w:spacing w:beforeLines="50" w:afterLines="50"/>
        <w:jc w:val="center"/>
        <w:rPr>
          <w:rFonts w:hAnsi="宋体" w:cs="宋体"/>
          <w:color w:val="auto"/>
          <w:sz w:val="32"/>
          <w:szCs w:val="32"/>
          <w:highlight w:val="none"/>
        </w:rPr>
      </w:pPr>
      <w:bookmarkStart w:id="26" w:name="_Toc403077639"/>
      <w:bookmarkStart w:id="27" w:name="_Toc363474017"/>
      <w:bookmarkStart w:id="28" w:name="_Toc363473972"/>
      <w:r>
        <w:rPr>
          <w:rFonts w:hint="eastAsia" w:hAnsi="宋体" w:cs="宋体"/>
          <w:b/>
          <w:color w:val="auto"/>
          <w:sz w:val="32"/>
          <w:szCs w:val="32"/>
          <w:highlight w:val="none"/>
        </w:rPr>
        <w:br w:type="page"/>
      </w:r>
      <w:r>
        <w:rPr>
          <w:rFonts w:hint="eastAsia" w:hAnsi="宋体" w:cs="宋体"/>
          <w:b/>
          <w:color w:val="auto"/>
          <w:sz w:val="32"/>
          <w:szCs w:val="32"/>
          <w:highlight w:val="none"/>
        </w:rPr>
        <w:t>一.总  则</w:t>
      </w:r>
      <w:bookmarkEnd w:id="26"/>
      <w:bookmarkEnd w:id="27"/>
      <w:bookmarkEnd w:id="28"/>
    </w:p>
    <w:p>
      <w:pPr>
        <w:spacing w:line="360" w:lineRule="auto"/>
        <w:rPr>
          <w:rFonts w:hAnsi="宋体" w:cs="宋体"/>
          <w:b/>
          <w:color w:val="auto"/>
          <w:szCs w:val="24"/>
          <w:highlight w:val="none"/>
        </w:rPr>
      </w:pPr>
      <w:r>
        <w:rPr>
          <w:rFonts w:hint="eastAsia" w:hAnsi="宋体" w:cs="宋体"/>
          <w:b/>
          <w:color w:val="auto"/>
          <w:szCs w:val="24"/>
          <w:highlight w:val="none"/>
        </w:rPr>
        <w:t>1.资金来源</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1.1本次竞争性磋商所签合同使用财政拨款支付，资金已落实到位。</w:t>
      </w:r>
    </w:p>
    <w:p>
      <w:pPr>
        <w:numPr>
          <w:ilvl w:val="0"/>
          <w:numId w:val="1"/>
        </w:numPr>
        <w:spacing w:line="500" w:lineRule="exact"/>
        <w:rPr>
          <w:rFonts w:hAnsi="宋体" w:cs="宋体"/>
          <w:b/>
          <w:color w:val="auto"/>
          <w:szCs w:val="24"/>
          <w:highlight w:val="none"/>
        </w:rPr>
      </w:pPr>
      <w:bookmarkStart w:id="29" w:name="_Toc403077640"/>
      <w:bookmarkStart w:id="30" w:name="_Toc363474018"/>
      <w:bookmarkStart w:id="31" w:name="_Toc363473973"/>
      <w:r>
        <w:rPr>
          <w:rFonts w:hint="eastAsia" w:hAnsi="宋体" w:cs="宋体"/>
          <w:b/>
          <w:color w:val="auto"/>
          <w:szCs w:val="24"/>
          <w:highlight w:val="none"/>
        </w:rPr>
        <w:t>名词解释</w:t>
      </w:r>
    </w:p>
    <w:p>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2.1采购人：柞水县林业局</w:t>
      </w:r>
    </w:p>
    <w:p>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2.3采购代理机构：陕西至诚招标咨询有限公司</w:t>
      </w:r>
    </w:p>
    <w:p>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3.1《政府采购法》第二十二条第一款规定的供应商基本资格条件: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3.4供应商必须在陕西至诚招标咨询有限公司购买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100" w:afterLines="50" w:line="360" w:lineRule="auto"/>
        <w:jc w:val="center"/>
        <w:rPr>
          <w:rFonts w:hAnsi="宋体" w:cs="宋体"/>
          <w:b/>
          <w:color w:val="auto"/>
          <w:sz w:val="32"/>
          <w:szCs w:val="32"/>
          <w:highlight w:val="none"/>
        </w:rPr>
      </w:pPr>
      <w:r>
        <w:rPr>
          <w:rFonts w:hint="eastAsia" w:hAnsi="宋体" w:cs="宋体"/>
          <w:b/>
          <w:color w:val="auto"/>
          <w:sz w:val="32"/>
          <w:szCs w:val="32"/>
          <w:highlight w:val="none"/>
        </w:rPr>
        <w:t>二.竞争性磋商文件</w:t>
      </w:r>
      <w:bookmarkEnd w:id="29"/>
      <w:bookmarkEnd w:id="30"/>
      <w:bookmarkEnd w:id="31"/>
    </w:p>
    <w:p>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第一章 竞争性磋商公告</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第二章  供应商须知</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第三章  评审方法</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第四章  合同条款及格式</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第五章  磋商内容及技术要求</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竞争性磋商响应文件构成及格式  </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pPr>
        <w:keepNext/>
        <w:keepLines/>
        <w:spacing w:beforeLines="100" w:afterLines="50" w:line="360" w:lineRule="auto"/>
        <w:jc w:val="center"/>
        <w:rPr>
          <w:rFonts w:hAnsi="宋体" w:cs="宋体"/>
          <w:b/>
          <w:color w:val="auto"/>
          <w:sz w:val="32"/>
          <w:szCs w:val="32"/>
          <w:highlight w:val="none"/>
        </w:rPr>
      </w:pPr>
      <w:bookmarkStart w:id="32" w:name="_Toc363473974"/>
      <w:bookmarkStart w:id="33" w:name="_Toc363474019"/>
      <w:bookmarkStart w:id="34" w:name="_Toc403077641"/>
      <w:r>
        <w:rPr>
          <w:rFonts w:hint="eastAsia" w:hAnsi="宋体" w:cs="宋体"/>
          <w:b/>
          <w:color w:val="auto"/>
          <w:sz w:val="32"/>
          <w:szCs w:val="32"/>
          <w:highlight w:val="none"/>
        </w:rPr>
        <w:t>三.磋商响应文件的编制</w:t>
      </w:r>
      <w:bookmarkEnd w:id="32"/>
      <w:bookmarkEnd w:id="33"/>
      <w:bookmarkEnd w:id="34"/>
    </w:p>
    <w:p>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color w:val="auto"/>
          <w:szCs w:val="24"/>
          <w:highlight w:val="none"/>
        </w:rPr>
      </w:pPr>
      <w:r>
        <w:rPr>
          <w:rFonts w:hint="eastAsia" w:hAnsi="宋体" w:cs="宋体"/>
          <w:b/>
          <w:color w:val="auto"/>
          <w:szCs w:val="24"/>
          <w:highlight w:val="none"/>
        </w:rPr>
        <w:t>11.磋商报价</w:t>
      </w:r>
    </w:p>
    <w:p>
      <w:pPr>
        <w:spacing w:line="360" w:lineRule="auto"/>
        <w:ind w:firstLine="480" w:firstLineChars="200"/>
        <w:rPr>
          <w:rFonts w:hAnsi="宋体" w:cs="宋体"/>
          <w:color w:val="auto"/>
          <w:szCs w:val="24"/>
          <w:highlight w:val="none"/>
        </w:rPr>
      </w:pPr>
      <w:r>
        <w:rPr>
          <w:rFonts w:hint="eastAsia" w:hAnsi="宋体" w:cs="宋体"/>
          <w:color w:val="auto"/>
          <w:highlight w:val="none"/>
        </w:rPr>
        <w:t>11.1</w:t>
      </w:r>
      <w:r>
        <w:rPr>
          <w:rFonts w:hint="eastAsia" w:hAnsi="宋体" w:cs="宋体"/>
          <w:color w:val="auto"/>
          <w:szCs w:val="24"/>
          <w:highlight w:val="none"/>
        </w:rPr>
        <w:t>磋商</w:t>
      </w:r>
      <w:r>
        <w:rPr>
          <w:rFonts w:hint="eastAsia" w:hAnsi="宋体" w:cs="宋体"/>
          <w:color w:val="auto"/>
          <w:highlight w:val="none"/>
        </w:rPr>
        <w:t>报价：为完成本项目全部内容的价格体现，包括但不限于苗木费、养护费、劳务费、管理费、设备费、调查费、工程施工费、税金等其他一切相关费用，任何有选择的报价将不予接受，按无效磋商响应。供应商所报的价格应考虑到可能发生的所有与完成本项目相关服务及履行合同义务有关的一切费用。</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color w:val="auto"/>
          <w:szCs w:val="24"/>
          <w:highlight w:val="none"/>
        </w:rPr>
      </w:pPr>
      <w:r>
        <w:rPr>
          <w:rFonts w:hint="eastAsia" w:hAnsi="宋体" w:cs="宋体"/>
          <w:b/>
          <w:color w:val="auto"/>
          <w:szCs w:val="24"/>
          <w:highlight w:val="none"/>
        </w:rPr>
        <w:t>13.</w:t>
      </w:r>
      <w:r>
        <w:rPr>
          <w:rFonts w:hAnsi="宋体"/>
          <w:b/>
          <w:color w:val="auto"/>
          <w:szCs w:val="24"/>
          <w:highlight w:val="none"/>
        </w:rPr>
        <w:t>证明的合格性和符合</w:t>
      </w:r>
      <w:r>
        <w:rPr>
          <w:rFonts w:hint="eastAsia" w:hAnsi="宋体"/>
          <w:b/>
          <w:color w:val="auto"/>
          <w:szCs w:val="24"/>
          <w:highlight w:val="none"/>
        </w:rPr>
        <w:t>竞争性磋商</w:t>
      </w:r>
      <w:r>
        <w:rPr>
          <w:rFonts w:hAnsi="宋体"/>
          <w:b/>
          <w:color w:val="auto"/>
          <w:szCs w:val="24"/>
          <w:highlight w:val="none"/>
        </w:rPr>
        <w:t>文件规定的文件</w:t>
      </w:r>
    </w:p>
    <w:p>
      <w:pPr>
        <w:spacing w:line="360" w:lineRule="auto"/>
        <w:ind w:firstLine="480" w:firstLineChars="200"/>
        <w:rPr>
          <w:rFonts w:hAnsi="宋体"/>
          <w:color w:val="auto"/>
          <w:szCs w:val="24"/>
          <w:highlight w:val="none"/>
        </w:rPr>
      </w:pPr>
      <w:r>
        <w:rPr>
          <w:rFonts w:hAnsi="宋体"/>
          <w:color w:val="auto"/>
          <w:szCs w:val="24"/>
          <w:highlight w:val="none"/>
        </w:rPr>
        <w:t>13.1</w:t>
      </w:r>
      <w:r>
        <w:rPr>
          <w:rFonts w:hint="eastAsia" w:hAnsi="宋体"/>
          <w:color w:val="auto"/>
          <w:szCs w:val="24"/>
          <w:highlight w:val="none"/>
        </w:rPr>
        <w:t>供应商</w:t>
      </w:r>
      <w:r>
        <w:rPr>
          <w:rFonts w:hAnsi="宋体"/>
          <w:color w:val="auto"/>
          <w:szCs w:val="24"/>
          <w:highlight w:val="none"/>
        </w:rPr>
        <w:t>应在</w:t>
      </w:r>
      <w:r>
        <w:rPr>
          <w:rFonts w:hint="eastAsia" w:hAnsi="宋体"/>
          <w:color w:val="auto"/>
          <w:szCs w:val="24"/>
          <w:highlight w:val="none"/>
        </w:rPr>
        <w:t>竞争性磋商响应文件</w:t>
      </w:r>
      <w:r>
        <w:rPr>
          <w:rFonts w:hAnsi="宋体"/>
          <w:color w:val="auto"/>
          <w:szCs w:val="24"/>
          <w:highlight w:val="none"/>
        </w:rPr>
        <w:t>中提交服务满足</w:t>
      </w:r>
      <w:r>
        <w:rPr>
          <w:rFonts w:hint="eastAsia" w:hAnsi="宋体"/>
          <w:color w:val="auto"/>
          <w:szCs w:val="24"/>
          <w:highlight w:val="none"/>
        </w:rPr>
        <w:t>竞争性磋商</w:t>
      </w:r>
      <w:r>
        <w:rPr>
          <w:rFonts w:hAnsi="宋体"/>
          <w:color w:val="auto"/>
          <w:szCs w:val="24"/>
          <w:highlight w:val="none"/>
        </w:rPr>
        <w:t>文件要求并符合国家法律法规、行业管理部门要求的其他强制性标准的证明文件。缺少证明文件或证明文件不合格的</w:t>
      </w:r>
      <w:r>
        <w:rPr>
          <w:rFonts w:hint="eastAsia" w:hAnsi="宋体"/>
          <w:color w:val="auto"/>
          <w:szCs w:val="24"/>
          <w:highlight w:val="none"/>
        </w:rPr>
        <w:t>磋商响应文件</w:t>
      </w:r>
      <w:r>
        <w:rPr>
          <w:rFonts w:hAnsi="宋体"/>
          <w:color w:val="auto"/>
          <w:szCs w:val="24"/>
          <w:highlight w:val="none"/>
        </w:rPr>
        <w:t>，与</w:t>
      </w:r>
      <w:r>
        <w:rPr>
          <w:rFonts w:hint="eastAsia" w:hAnsi="宋体"/>
          <w:color w:val="auto"/>
          <w:szCs w:val="24"/>
          <w:highlight w:val="none"/>
        </w:rPr>
        <w:t>竞争性磋商</w:t>
      </w:r>
      <w:r>
        <w:rPr>
          <w:rFonts w:hAnsi="宋体"/>
          <w:color w:val="auto"/>
          <w:szCs w:val="24"/>
          <w:highlight w:val="none"/>
        </w:rPr>
        <w:t>文件要求有重大偏离的</w:t>
      </w:r>
      <w:r>
        <w:rPr>
          <w:rFonts w:hint="eastAsia" w:hAnsi="宋体"/>
          <w:color w:val="auto"/>
          <w:szCs w:val="24"/>
          <w:highlight w:val="none"/>
        </w:rPr>
        <w:t>磋商响应文件</w:t>
      </w:r>
      <w:r>
        <w:rPr>
          <w:rFonts w:hAnsi="宋体"/>
          <w:color w:val="auto"/>
          <w:szCs w:val="24"/>
          <w:highlight w:val="none"/>
        </w:rPr>
        <w:t>，不符合国家法律法规、行业管理部门要求的其他强制性标准的</w:t>
      </w:r>
      <w:r>
        <w:rPr>
          <w:rFonts w:hint="eastAsia" w:hAnsi="宋体"/>
          <w:color w:val="auto"/>
          <w:szCs w:val="24"/>
          <w:highlight w:val="none"/>
        </w:rPr>
        <w:t>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pPr>
        <w:spacing w:line="360" w:lineRule="auto"/>
        <w:ind w:firstLine="480" w:firstLineChars="200"/>
        <w:rPr>
          <w:rFonts w:hAnsi="宋体"/>
          <w:color w:val="auto"/>
          <w:szCs w:val="24"/>
          <w:highlight w:val="none"/>
        </w:rPr>
      </w:pPr>
      <w:r>
        <w:rPr>
          <w:rFonts w:hAnsi="宋体"/>
          <w:color w:val="auto"/>
          <w:szCs w:val="24"/>
          <w:highlight w:val="none"/>
        </w:rPr>
        <w:t>13.2上述证明文件可以是文字资料、图纸、图片</w:t>
      </w:r>
      <w:r>
        <w:rPr>
          <w:rFonts w:hint="eastAsia" w:hAnsi="宋体"/>
          <w:color w:val="auto"/>
          <w:szCs w:val="24"/>
          <w:highlight w:val="none"/>
        </w:rPr>
        <w:t>、</w:t>
      </w:r>
      <w:r>
        <w:rPr>
          <w:rFonts w:hAnsi="宋体"/>
          <w:color w:val="auto"/>
          <w:szCs w:val="24"/>
          <w:highlight w:val="none"/>
        </w:rPr>
        <w:t>数据</w:t>
      </w:r>
      <w:r>
        <w:rPr>
          <w:rFonts w:hint="eastAsia" w:hAnsi="宋体"/>
          <w:color w:val="auto"/>
          <w:szCs w:val="24"/>
          <w:highlight w:val="none"/>
        </w:rPr>
        <w:t>、</w:t>
      </w:r>
      <w:r>
        <w:rPr>
          <w:rFonts w:hAnsi="宋体"/>
          <w:color w:val="auto"/>
          <w:szCs w:val="24"/>
          <w:highlight w:val="none"/>
        </w:rPr>
        <w:t>宣传彩页等，所有证明文件表达意思必须统一。</w:t>
      </w:r>
    </w:p>
    <w:p>
      <w:pPr>
        <w:spacing w:line="360" w:lineRule="auto"/>
        <w:rPr>
          <w:rFonts w:hAnsi="宋体" w:cs="宋体"/>
          <w:b/>
          <w:color w:val="auto"/>
          <w:szCs w:val="24"/>
          <w:highlight w:val="none"/>
        </w:rPr>
      </w:pPr>
      <w:r>
        <w:rPr>
          <w:rFonts w:hint="eastAsia" w:hAnsi="宋体" w:cs="宋体"/>
          <w:b/>
          <w:color w:val="auto"/>
          <w:szCs w:val="24"/>
          <w:highlight w:val="none"/>
        </w:rPr>
        <w:t>14.磋商保证金</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14.1供应商在磋商时应向陕西至诚招标咨询有限公司提交“供应商须知前附表”规定数额的磋商保证金,并作为其磋商的一部分。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14.2磋商保证金是为了保护采购单位（包括陕西至诚招标咨询有限公司及采购人）免遭因供应商的行为而蒙受损失。采购单位在因供应商的行为受到损害时可根据本须知的规定没收供应商的磋商保证金。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pPr>
        <w:spacing w:line="360" w:lineRule="auto"/>
        <w:rPr>
          <w:rFonts w:hAnsi="宋体" w:cs="宋体"/>
          <w:color w:val="auto"/>
          <w:szCs w:val="24"/>
          <w:highlight w:val="none"/>
        </w:rPr>
      </w:pPr>
      <w:r>
        <w:rPr>
          <w:rFonts w:hint="eastAsia" w:hAnsi="宋体" w:cs="宋体"/>
          <w:color w:val="auto"/>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 供应商在磋商有效期内撤回其磋商响应文件；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 供应商成交后放弃成交或未能按规定签订合同；或未能按规定交纳成交代理服务费。</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14.9采购信用担保及信用融资政策</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陕西省信用担保及信用融资政策</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rPr>
          <w:rFonts w:hAnsi="宋体" w:cs="宋体"/>
          <w:b/>
          <w:color w:val="auto"/>
          <w:szCs w:val="24"/>
          <w:highlight w:val="none"/>
        </w:rPr>
      </w:pPr>
      <w:r>
        <w:rPr>
          <w:rFonts w:hint="eastAsia" w:hAnsi="宋体" w:cs="宋体"/>
          <w:b/>
          <w:color w:val="auto"/>
          <w:szCs w:val="24"/>
          <w:highlight w:val="none"/>
        </w:rPr>
        <w:t>15.磋商有效期</w:t>
      </w:r>
    </w:p>
    <w:p>
      <w:pPr>
        <w:spacing w:line="360" w:lineRule="auto"/>
        <w:ind w:firstLine="480" w:firstLineChars="200"/>
        <w:rPr>
          <w:rFonts w:hAnsi="宋体" w:cs="宋体"/>
          <w:color w:val="auto"/>
          <w:szCs w:val="24"/>
          <w:highlight w:val="none"/>
        </w:rPr>
      </w:pPr>
      <w:bookmarkStart w:id="35"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35"/>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电子版（U/光盘）</w:t>
      </w:r>
      <w:r>
        <w:rPr>
          <w:rFonts w:hint="eastAsia" w:hAnsi="宋体" w:cs="宋体"/>
          <w:color w:val="auto"/>
          <w:szCs w:val="24"/>
          <w:highlight w:val="none"/>
        </w:rPr>
        <w:t>并在盘面标注供应商全称、项目名称、项目编号，并与竞争性磋商响应文件同时递交。</w:t>
      </w:r>
    </w:p>
    <w:p>
      <w:pPr>
        <w:spacing w:line="500" w:lineRule="exact"/>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16.4供应商名称应填写全称。磋商响应文件正本必须逐页加盖供应商公章（鲜章），否则按无效处理。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pPr>
        <w:keepNext/>
        <w:keepLines/>
        <w:spacing w:beforeLines="100" w:afterLines="50" w:line="360" w:lineRule="auto"/>
        <w:jc w:val="center"/>
        <w:rPr>
          <w:rFonts w:hAnsi="宋体" w:cs="宋体"/>
          <w:b/>
          <w:color w:val="auto"/>
          <w:sz w:val="32"/>
          <w:szCs w:val="32"/>
          <w:highlight w:val="none"/>
        </w:rPr>
      </w:pPr>
      <w:r>
        <w:rPr>
          <w:rFonts w:hint="eastAsia" w:hAnsi="宋体" w:cs="宋体"/>
          <w:b/>
          <w:color w:val="auto"/>
          <w:sz w:val="32"/>
          <w:szCs w:val="32"/>
          <w:highlight w:val="none"/>
        </w:rPr>
        <w:t>四.竞争性磋商响应文件的递交</w:t>
      </w:r>
    </w:p>
    <w:p>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w:t>
      </w:r>
      <w:r>
        <w:rPr>
          <w:rFonts w:hint="eastAsia" w:hAnsi="宋体" w:cs="宋体"/>
          <w:color w:val="auto"/>
          <w:szCs w:val="24"/>
          <w:highlight w:val="none"/>
        </w:rPr>
        <w:t>所有的副本、</w:t>
      </w:r>
      <w:r>
        <w:rPr>
          <w:rFonts w:hint="eastAsia" w:hAnsi="宋体" w:cs="宋体"/>
          <w:color w:val="auto"/>
          <w:highlight w:val="none"/>
        </w:rPr>
        <w:t>电子版本、报价一览表单独密封装在封袋中（封袋不得有破损），且在封袋正面标明</w:t>
      </w:r>
      <w:r>
        <w:rPr>
          <w:rFonts w:hint="eastAsia" w:hAnsi="宋体" w:cs="宋体"/>
          <w:color w:val="auto"/>
          <w:szCs w:val="24"/>
          <w:highlight w:val="none"/>
        </w:rPr>
        <w:t>“正本”“副本”</w:t>
      </w:r>
      <w:r>
        <w:rPr>
          <w:rFonts w:hint="eastAsia" w:hAnsi="宋体" w:cs="宋体"/>
          <w:color w:val="auto"/>
          <w:highlight w:val="none"/>
        </w:rPr>
        <w:t>“电子版本”“报价一览表”字样。封袋应加贴封条，并在封线处加盖供应商公章，封袋正面要粘贴供应商全称、项目名称、项目编号等标识。</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3）正本或副本、电子版、报价一览表“请勿在＿＿＿＿＿(磋商时间)之前启封”。</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17.3如果供应商未对竞争性磋商响应文件按上述要求进行完好密封，由此产生的不利后果由供应商自行承担。</w:t>
      </w:r>
    </w:p>
    <w:p>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pPr>
        <w:keepNext/>
        <w:keepLines/>
        <w:spacing w:beforeLines="100" w:afterLines="50" w:line="360" w:lineRule="auto"/>
        <w:jc w:val="center"/>
        <w:rPr>
          <w:rFonts w:hAnsi="宋体" w:cs="宋体"/>
          <w:b/>
          <w:color w:val="auto"/>
          <w:sz w:val="32"/>
          <w:szCs w:val="32"/>
          <w:highlight w:val="none"/>
        </w:rPr>
      </w:pPr>
      <w:bookmarkStart w:id="36" w:name="_Toc363473976"/>
      <w:bookmarkStart w:id="37" w:name="_Toc403077643"/>
      <w:bookmarkStart w:id="38" w:name="_Toc363474021"/>
      <w:r>
        <w:rPr>
          <w:rFonts w:hint="eastAsia" w:hAnsi="宋体" w:cs="宋体"/>
          <w:b/>
          <w:color w:val="auto"/>
          <w:sz w:val="32"/>
          <w:szCs w:val="32"/>
          <w:highlight w:val="none"/>
        </w:rPr>
        <w:t>五.磋商与评标</w:t>
      </w:r>
      <w:bookmarkEnd w:id="36"/>
      <w:bookmarkEnd w:id="37"/>
      <w:bookmarkEnd w:id="38"/>
    </w:p>
    <w:p>
      <w:pPr>
        <w:spacing w:line="360" w:lineRule="auto"/>
        <w:rPr>
          <w:rFonts w:hAnsi="宋体" w:cs="宋体"/>
          <w:b/>
          <w:color w:val="auto"/>
          <w:szCs w:val="24"/>
          <w:highlight w:val="none"/>
        </w:rPr>
      </w:pPr>
      <w:r>
        <w:rPr>
          <w:rFonts w:hint="eastAsia" w:hAnsi="宋体" w:cs="宋体"/>
          <w:b/>
          <w:color w:val="auto"/>
          <w:szCs w:val="24"/>
          <w:highlight w:val="none"/>
        </w:rPr>
        <w:t>21.磋商大会</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21.2采购代理机构将做磋商记录，存档备查。</w:t>
      </w:r>
    </w:p>
    <w:p>
      <w:pPr>
        <w:spacing w:line="360" w:lineRule="auto"/>
        <w:rPr>
          <w:rFonts w:hAnsi="宋体" w:cs="宋体"/>
          <w:b/>
          <w:color w:val="auto"/>
          <w:szCs w:val="24"/>
          <w:highlight w:val="none"/>
        </w:rPr>
      </w:pPr>
      <w:r>
        <w:rPr>
          <w:rFonts w:hint="eastAsia" w:hAnsi="宋体" w:cs="宋体"/>
          <w:b/>
          <w:color w:val="auto"/>
          <w:szCs w:val="24"/>
          <w:highlight w:val="none"/>
        </w:rPr>
        <w:t>22．评审程序</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2）供应商未提交有效的磋商保证金或金额不足的、磋商保证金形式不符合竞争性磋商文件要求的；</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3）资格证明文件不全的或无效的，或不符合国家规定的；</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6）供应商在同一份竞争性磋商响应文件中，有两个或多个报价的；</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7）存在有重大缺漏项和重大偏离的；</w:t>
      </w:r>
    </w:p>
    <w:p>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9）磋商总报价低于成本或者高于竞争性磋商文件公布的采购预算的。</w:t>
      </w:r>
    </w:p>
    <w:p>
      <w:pPr>
        <w:pStyle w:val="22"/>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10）竞争性磋商响应文件含有采购人不能接受的附加条件的；</w:t>
      </w:r>
    </w:p>
    <w:p>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11）竞争性磋商响应文件不符合法律法规要求的；</w:t>
      </w:r>
    </w:p>
    <w:p>
      <w:pPr>
        <w:pStyle w:val="22"/>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12）供应商被列入失信被执行人、重大税收违法案件当事人名单、政府采购严重违法失信行为记录名单及其他不符合《中华人民共和国政府采购法》第二十二条规定条件。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pPr>
        <w:jc w:val="left"/>
        <w:rPr>
          <w:rFonts w:hAnsi="宋体" w:cs="宋体"/>
          <w:b/>
          <w:color w:val="auto"/>
          <w:szCs w:val="24"/>
          <w:highlight w:val="none"/>
        </w:rPr>
      </w:pPr>
      <w:r>
        <w:rPr>
          <w:rFonts w:hint="eastAsia" w:hAnsi="宋体" w:cs="宋体"/>
          <w:b/>
          <w:color w:val="auto"/>
          <w:szCs w:val="24"/>
          <w:highlight w:val="none"/>
        </w:rPr>
        <w:t>25．评审方法</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Lines="100" w:afterLines="50" w:line="360" w:lineRule="auto"/>
        <w:jc w:val="center"/>
        <w:rPr>
          <w:rFonts w:hAnsi="宋体" w:cs="宋体"/>
          <w:b/>
          <w:color w:val="auto"/>
          <w:sz w:val="32"/>
          <w:szCs w:val="32"/>
          <w:highlight w:val="none"/>
        </w:rPr>
      </w:pPr>
      <w:r>
        <w:rPr>
          <w:rFonts w:hint="eastAsia" w:hAnsi="宋体" w:cs="宋体"/>
          <w:b/>
          <w:color w:val="auto"/>
          <w:sz w:val="32"/>
          <w:szCs w:val="32"/>
          <w:highlight w:val="none"/>
        </w:rPr>
        <w:t>六.成交、通知与签约</w:t>
      </w:r>
    </w:p>
    <w:p>
      <w:pPr>
        <w:spacing w:line="360" w:lineRule="auto"/>
        <w:rPr>
          <w:rFonts w:hAnsi="宋体" w:cs="宋体"/>
          <w:b/>
          <w:color w:val="auto"/>
          <w:szCs w:val="24"/>
          <w:highlight w:val="none"/>
        </w:rPr>
      </w:pPr>
      <w:r>
        <w:rPr>
          <w:rFonts w:hint="eastAsia" w:hAnsi="宋体" w:cs="宋体"/>
          <w:b/>
          <w:color w:val="auto"/>
          <w:szCs w:val="24"/>
          <w:highlight w:val="none"/>
        </w:rPr>
        <w:t>26．成交程序</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pPr>
        <w:spacing w:line="360" w:lineRule="auto"/>
        <w:rPr>
          <w:rFonts w:hAnsi="宋体" w:cs="宋体"/>
          <w:b/>
          <w:color w:val="auto"/>
          <w:szCs w:val="24"/>
          <w:highlight w:val="none"/>
        </w:rPr>
      </w:pPr>
      <w:r>
        <w:rPr>
          <w:rFonts w:hint="eastAsia" w:hAnsi="宋体" w:cs="宋体"/>
          <w:b/>
          <w:color w:val="auto"/>
          <w:szCs w:val="24"/>
          <w:highlight w:val="none"/>
        </w:rPr>
        <w:t>27．成交通知</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29.1招标代理服务费：以中标金额为基数，依据国家计委颁布《招标代理服务收费管理暂行办法》（计价格[2002]1980号）文件的有关规定执行。</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29.2成交单位在领取成交通知书前，须向采购代理机构一次性支付代理服务费。</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1、采购代理机构开户名称: 陕西至诚招标咨询有限公司</w:t>
      </w:r>
    </w:p>
    <w:p>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2、开户行名称：中国建设银行股份有限公司西安高新技术产业开发区支行</w:t>
      </w:r>
    </w:p>
    <w:p>
      <w:pPr>
        <w:pStyle w:val="9"/>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3、账号：61050192090000002152</w:t>
      </w:r>
    </w:p>
    <w:p>
      <w:pPr>
        <w:rPr>
          <w:rFonts w:hAnsi="宋体" w:cs="宋体"/>
          <w:b/>
          <w:bCs/>
          <w:color w:val="auto"/>
          <w:szCs w:val="24"/>
          <w:highlight w:val="none"/>
        </w:rPr>
      </w:pPr>
      <w:r>
        <w:rPr>
          <w:rFonts w:hint="eastAsia" w:hAnsi="宋体" w:cs="宋体"/>
          <w:b/>
          <w:bCs/>
          <w:color w:val="auto"/>
          <w:szCs w:val="24"/>
          <w:highlight w:val="none"/>
        </w:rPr>
        <w:br w:type="page"/>
      </w:r>
    </w:p>
    <w:p>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8"/>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pPr>
        <w:spacing w:line="500" w:lineRule="exact"/>
        <w:ind w:left="3" w:firstLine="518" w:firstLineChars="216"/>
        <w:rPr>
          <w:rStyle w:val="28"/>
          <w:rFonts w:hAnsi="宋体" w:cs="宋体"/>
          <w:b w:val="0"/>
          <w:color w:val="auto"/>
          <w:szCs w:val="24"/>
          <w:highlight w:val="none"/>
          <w:shd w:val="clear" w:color="auto" w:fill="FFFFFF"/>
        </w:rPr>
      </w:pPr>
      <w:r>
        <w:rPr>
          <w:rStyle w:val="28"/>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8"/>
          <w:rFonts w:hAnsi="宋体" w:cs="宋体"/>
          <w:b w:val="0"/>
          <w:color w:val="auto"/>
          <w:szCs w:val="24"/>
          <w:highlight w:val="none"/>
          <w:shd w:val="clear" w:color="auto" w:fill="FFFFFF"/>
        </w:rPr>
      </w:pPr>
      <w:r>
        <w:rPr>
          <w:rStyle w:val="28"/>
          <w:rFonts w:hint="eastAsia" w:hAnsi="宋体" w:cs="宋体"/>
          <w:b w:val="0"/>
          <w:color w:val="auto"/>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30.5.6提出质疑的日期。</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30.6有下列情形之一的，属于无效质疑，采购代理机构和采购人不予受理：</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30.6.1质疑供应商不是参与本次政府采购项目的供应商；</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30.6.2质疑供应商与质疑事项不存在利害关系的；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30.6.3未在法定期限内提出质疑的；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30.6.4质疑未以书面形式提出，或质疑函主要内容构成不完整的；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30.6.5应当提交授权书而未提交的；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30.6.6以非法手段取得证据、材料的；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30.6.7质疑答复后，同一质疑人就同一事项或同一采购程序环节再次提出质疑的；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30.6.8不符合法律、法规、规章和政府采购监管机构规定的其他条件的。</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30.7质疑答复</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30.7.1采购人或采购代理机构在收到质疑函后7个工作日内作出答复，并以书面形式通知质疑供应商和其他有关供应商。</w:t>
      </w:r>
    </w:p>
    <w:p>
      <w:pPr>
        <w:spacing w:line="360" w:lineRule="auto"/>
        <w:rPr>
          <w:rFonts w:hAnsi="宋体" w:cs="宋体"/>
          <w:b/>
          <w:color w:val="auto"/>
          <w:szCs w:val="24"/>
          <w:highlight w:val="none"/>
        </w:rPr>
      </w:pPr>
      <w:r>
        <w:rPr>
          <w:rFonts w:hint="eastAsia" w:hAnsi="宋体" w:cs="宋体"/>
          <w:b/>
          <w:color w:val="auto"/>
          <w:szCs w:val="24"/>
          <w:highlight w:val="none"/>
        </w:rPr>
        <w:t>31.其他</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9" w:name="_Toc363474023"/>
    </w:p>
    <w:p>
      <w:pPr>
        <w:pStyle w:val="3"/>
        <w:jc w:val="center"/>
        <w:rPr>
          <w:rFonts w:ascii="宋体" w:eastAsia="宋体" w:cs="宋体"/>
          <w:bCs/>
          <w:color w:val="auto"/>
          <w:szCs w:val="24"/>
          <w:highlight w:val="none"/>
        </w:rPr>
      </w:pPr>
      <w:bookmarkStart w:id="40" w:name="_Toc423973074"/>
      <w:bookmarkStart w:id="41" w:name="_Toc25783"/>
      <w:bookmarkStart w:id="42" w:name="_Toc403077645"/>
      <w:r>
        <w:rPr>
          <w:rFonts w:hint="eastAsia" w:ascii="宋体" w:eastAsia="宋体" w:cs="宋体"/>
          <w:bCs/>
          <w:color w:val="auto"/>
          <w:sz w:val="36"/>
          <w:szCs w:val="36"/>
          <w:highlight w:val="none"/>
        </w:rPr>
        <w:br w:type="page"/>
      </w:r>
      <w:bookmarkStart w:id="43" w:name="_Toc17808"/>
      <w:r>
        <w:rPr>
          <w:rFonts w:hint="eastAsia" w:ascii="宋体" w:eastAsia="宋体" w:cs="宋体"/>
          <w:bCs/>
          <w:color w:val="auto"/>
          <w:szCs w:val="36"/>
          <w:highlight w:val="none"/>
        </w:rPr>
        <w:t xml:space="preserve">第三章  </w:t>
      </w:r>
      <w:r>
        <w:rPr>
          <w:rFonts w:hint="eastAsia" w:ascii="宋体" w:eastAsia="宋体" w:cs="宋体"/>
          <w:bCs/>
          <w:color w:val="auto"/>
          <w:szCs w:val="32"/>
          <w:highlight w:val="none"/>
        </w:rPr>
        <w:t>评审</w:t>
      </w:r>
      <w:r>
        <w:rPr>
          <w:rFonts w:hint="eastAsia" w:ascii="宋体" w:eastAsia="宋体" w:cs="宋体"/>
          <w:bCs/>
          <w:color w:val="auto"/>
          <w:szCs w:val="36"/>
          <w:highlight w:val="none"/>
        </w:rPr>
        <w:t>方法</w:t>
      </w:r>
      <w:bookmarkEnd w:id="43"/>
    </w:p>
    <w:p>
      <w:pPr>
        <w:spacing w:line="360" w:lineRule="auto"/>
        <w:rPr>
          <w:rFonts w:hAnsi="宋体" w:cs="宋体"/>
          <w:b/>
          <w:color w:val="auto"/>
          <w:szCs w:val="24"/>
          <w:highlight w:val="none"/>
        </w:rPr>
      </w:pPr>
      <w:r>
        <w:rPr>
          <w:rFonts w:hint="eastAsia" w:hAnsi="宋体" w:cs="宋体"/>
          <w:b/>
          <w:color w:val="auto"/>
          <w:szCs w:val="24"/>
          <w:highlight w:val="none"/>
        </w:rPr>
        <w:t>一、评审方法：</w:t>
      </w:r>
    </w:p>
    <w:p>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Ansi="宋体" w:cs="宋体"/>
          <w:b/>
          <w:color w:val="auto"/>
          <w:spacing w:val="4"/>
          <w:szCs w:val="24"/>
          <w:highlight w:val="none"/>
        </w:rPr>
      </w:pPr>
      <w:r>
        <w:rPr>
          <w:rFonts w:hint="eastAsia" w:hAnsi="宋体" w:cs="宋体"/>
          <w:b/>
          <w:color w:val="auto"/>
          <w:spacing w:val="4"/>
          <w:szCs w:val="24"/>
          <w:highlight w:val="none"/>
        </w:rPr>
        <w:t>二、评审程序：</w:t>
      </w:r>
    </w:p>
    <w:p>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3"/>
        </w:numPr>
        <w:spacing w:line="500" w:lineRule="exact"/>
        <w:ind w:firstLine="498" w:firstLineChars="200"/>
        <w:rPr>
          <w:rFonts w:hAnsi="宋体" w:cs="宋体"/>
          <w:b/>
          <w:bCs/>
          <w:color w:val="auto"/>
          <w:spacing w:val="4"/>
          <w:szCs w:val="24"/>
          <w:highlight w:val="none"/>
        </w:rPr>
      </w:pPr>
      <w:r>
        <w:rPr>
          <w:rFonts w:hint="eastAsia" w:hAnsi="宋体" w:cs="宋体"/>
          <w:b/>
          <w:bCs/>
          <w:color w:val="auto"/>
          <w:spacing w:val="4"/>
          <w:szCs w:val="24"/>
          <w:highlight w:val="none"/>
        </w:rPr>
        <w:t>对磋商响应文件的初审：</w:t>
      </w:r>
    </w:p>
    <w:p>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1.2.5 磋商保证金是否按竞争性磋商文件规定时间提交磋商保证金或担保机构出具的保函。</w:t>
      </w:r>
    </w:p>
    <w:p>
      <w:pPr>
        <w:spacing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9"/>
        <w:spacing w:line="500" w:lineRule="exact"/>
        <w:ind w:firstLine="482" w:firstLineChars="200"/>
        <w:rPr>
          <w:rFonts w:ascii="宋体" w:hAnsi="宋体" w:cs="宋体"/>
          <w:color w:val="auto"/>
          <w:highlight w:val="none"/>
        </w:rPr>
      </w:pPr>
      <w:r>
        <w:rPr>
          <w:rFonts w:hint="eastAsia" w:ascii="宋体" w:hAnsi="宋体" w:cs="宋体"/>
          <w:b/>
          <w:bCs/>
          <w:color w:val="auto"/>
          <w:sz w:val="24"/>
          <w:szCs w:val="24"/>
          <w:highlight w:val="none"/>
        </w:rPr>
        <w:t>4、综合评审：</w:t>
      </w:r>
      <w:r>
        <w:rPr>
          <w:rFonts w:hint="eastAsia" w:ascii="宋体" w:hAnsi="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500" w:lineRule="exact"/>
        <w:jc w:val="left"/>
        <w:rPr>
          <w:rFonts w:hAnsi="宋体" w:cs="宋体"/>
          <w:b/>
          <w:color w:val="auto"/>
          <w:szCs w:val="24"/>
          <w:highlight w:val="none"/>
        </w:rPr>
      </w:pPr>
      <w:r>
        <w:rPr>
          <w:rFonts w:hint="eastAsia" w:hAnsi="宋体" w:cs="宋体"/>
          <w:b/>
          <w:color w:val="auto"/>
          <w:szCs w:val="24"/>
          <w:highlight w:val="none"/>
        </w:rPr>
        <w:t>三、政策性扣减</w:t>
      </w:r>
    </w:p>
    <w:p>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2.3供应商享受支持中小型企业发展政策优惠的，可以同时享受节能、环境标志产品优先采购政策。</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pPr>
        <w:pStyle w:val="9"/>
        <w:rPr>
          <w:rFonts w:ascii="宋体" w:hAnsi="宋体" w:cs="宋体"/>
          <w:color w:val="auto"/>
          <w:highlight w:val="none"/>
        </w:rPr>
      </w:pPr>
    </w:p>
    <w:p>
      <w:pPr>
        <w:spacing w:line="360" w:lineRule="auto"/>
        <w:ind w:firstLine="498" w:firstLineChars="200"/>
        <w:jc w:val="center"/>
        <w:rPr>
          <w:rFonts w:hAnsi="宋体" w:cs="宋体"/>
          <w:b/>
          <w:color w:val="auto"/>
          <w:szCs w:val="24"/>
          <w:highlight w:val="none"/>
        </w:rPr>
      </w:pPr>
      <w:r>
        <w:rPr>
          <w:rFonts w:hint="eastAsia" w:hAnsi="宋体" w:cs="宋体"/>
          <w:b/>
          <w:color w:val="auto"/>
          <w:spacing w:val="4"/>
          <w:szCs w:val="24"/>
          <w:highlight w:val="none"/>
        </w:rPr>
        <w:br w:type="page"/>
      </w:r>
      <w:r>
        <w:rPr>
          <w:rFonts w:hint="eastAsia" w:hAnsi="宋体" w:cs="宋体"/>
          <w:b/>
          <w:color w:val="auto"/>
          <w:spacing w:val="4"/>
          <w:szCs w:val="24"/>
          <w:highlight w:val="none"/>
        </w:rPr>
        <w:t>四、</w:t>
      </w:r>
      <w:r>
        <w:rPr>
          <w:rFonts w:hint="eastAsia" w:hAnsi="宋体" w:cs="宋体"/>
          <w:b/>
          <w:color w:val="auto"/>
          <w:szCs w:val="24"/>
          <w:highlight w:val="none"/>
        </w:rPr>
        <w:t>评审要素和分值分解表</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评价和比较以磋商响应文件为依据，从“价格评审”、“技术评审”、“履约能力”等方面进行评审并按照百分制进行赋分。</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63"/>
        <w:gridCol w:w="2533"/>
        <w:gridCol w:w="4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6" w:type="pct"/>
            <w:vAlign w:val="center"/>
          </w:tcPr>
          <w:p>
            <w:pPr>
              <w:spacing w:line="480" w:lineRule="exact"/>
              <w:jc w:val="center"/>
              <w:rPr>
                <w:rFonts w:hAnsi="宋体" w:cs="宋体"/>
                <w:b/>
                <w:color w:val="auto"/>
                <w:szCs w:val="24"/>
                <w:highlight w:val="none"/>
              </w:rPr>
            </w:pPr>
            <w:r>
              <w:rPr>
                <w:rFonts w:hint="eastAsia" w:hAnsi="宋体" w:cs="宋体"/>
                <w:b/>
                <w:color w:val="auto"/>
                <w:szCs w:val="24"/>
                <w:highlight w:val="none"/>
              </w:rPr>
              <w:t>评分因素</w:t>
            </w:r>
          </w:p>
        </w:tc>
        <w:tc>
          <w:tcPr>
            <w:tcW w:w="680" w:type="pct"/>
            <w:vAlign w:val="center"/>
          </w:tcPr>
          <w:p>
            <w:pPr>
              <w:spacing w:line="480" w:lineRule="exact"/>
              <w:jc w:val="center"/>
              <w:rPr>
                <w:rFonts w:hAnsi="宋体" w:cs="宋体"/>
                <w:b/>
                <w:color w:val="auto"/>
                <w:szCs w:val="24"/>
                <w:highlight w:val="none"/>
              </w:rPr>
            </w:pPr>
            <w:r>
              <w:rPr>
                <w:rFonts w:hint="eastAsia" w:hAnsi="宋体" w:cs="宋体"/>
                <w:b/>
                <w:color w:val="auto"/>
                <w:szCs w:val="24"/>
                <w:highlight w:val="none"/>
              </w:rPr>
              <w:t>总分</w:t>
            </w:r>
          </w:p>
          <w:p>
            <w:pPr>
              <w:spacing w:line="480" w:lineRule="exact"/>
              <w:jc w:val="center"/>
              <w:rPr>
                <w:rFonts w:hAnsi="宋体" w:cs="宋体"/>
                <w:b/>
                <w:color w:val="auto"/>
                <w:szCs w:val="24"/>
                <w:highlight w:val="none"/>
              </w:rPr>
            </w:pPr>
            <w:r>
              <w:rPr>
                <w:rFonts w:hint="eastAsia" w:hAnsi="宋体" w:cs="宋体"/>
                <w:b/>
                <w:color w:val="auto"/>
                <w:szCs w:val="24"/>
                <w:highlight w:val="none"/>
              </w:rPr>
              <w:t>（100分）</w:t>
            </w:r>
          </w:p>
        </w:tc>
        <w:tc>
          <w:tcPr>
            <w:tcW w:w="1364" w:type="pct"/>
            <w:vAlign w:val="center"/>
          </w:tcPr>
          <w:p>
            <w:pPr>
              <w:spacing w:line="480" w:lineRule="exact"/>
              <w:jc w:val="center"/>
              <w:rPr>
                <w:rFonts w:hAnsi="宋体" w:cs="宋体"/>
                <w:b/>
                <w:color w:val="auto"/>
                <w:szCs w:val="24"/>
                <w:highlight w:val="none"/>
              </w:rPr>
            </w:pPr>
            <w:r>
              <w:rPr>
                <w:rFonts w:hint="eastAsia" w:hAnsi="宋体" w:cs="宋体"/>
                <w:b/>
                <w:color w:val="auto"/>
                <w:szCs w:val="24"/>
                <w:highlight w:val="none"/>
              </w:rPr>
              <w:t>评审要素</w:t>
            </w:r>
          </w:p>
        </w:tc>
        <w:tc>
          <w:tcPr>
            <w:tcW w:w="2509" w:type="pct"/>
            <w:vAlign w:val="center"/>
          </w:tcPr>
          <w:p>
            <w:pPr>
              <w:spacing w:line="480" w:lineRule="exact"/>
              <w:jc w:val="center"/>
              <w:rPr>
                <w:rFonts w:hAnsi="宋体" w:cs="宋体"/>
                <w:b/>
                <w:color w:val="auto"/>
                <w:szCs w:val="24"/>
                <w:highlight w:val="none"/>
              </w:rPr>
            </w:pPr>
            <w:r>
              <w:rPr>
                <w:rFonts w:hint="eastAsia" w:hAnsi="宋体" w:cs="宋体"/>
                <w:b/>
                <w:color w:val="auto"/>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46" w:type="pct"/>
            <w:vMerge w:val="restar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技术评审</w:t>
            </w:r>
          </w:p>
        </w:tc>
        <w:tc>
          <w:tcPr>
            <w:tcW w:w="680" w:type="pct"/>
            <w:vMerge w:val="restar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（46分）</w:t>
            </w: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项目管理及力量配备（5分）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项目团队技术人员配备合理，满足本项目需求，依据配备情况得1-5分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项目实施方案</w:t>
            </w:r>
          </w:p>
          <w:p>
            <w:pPr>
              <w:spacing w:line="480" w:lineRule="exact"/>
              <w:jc w:val="center"/>
              <w:rPr>
                <w:rFonts w:hAnsi="宋体" w:cs="宋体"/>
                <w:color w:val="auto"/>
                <w:szCs w:val="24"/>
                <w:highlight w:val="none"/>
              </w:rPr>
            </w:pPr>
            <w:r>
              <w:rPr>
                <w:rFonts w:hint="eastAsia" w:hAnsi="宋体" w:cs="宋体"/>
                <w:color w:val="auto"/>
                <w:szCs w:val="24"/>
                <w:highlight w:val="none"/>
              </w:rPr>
              <w:t>（15分）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综合实施方案所述内容条理清晰，方案切实可行，响应并优于工程要求得11-15分；完全满足得6-10分；一般得1-5分；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确保工程质量和工期的技术组织措施</w:t>
            </w:r>
          </w:p>
          <w:p>
            <w:pPr>
              <w:spacing w:line="480" w:lineRule="exact"/>
              <w:jc w:val="center"/>
              <w:rPr>
                <w:rFonts w:hAnsi="宋体" w:cs="宋体"/>
                <w:color w:val="auto"/>
                <w:szCs w:val="24"/>
                <w:highlight w:val="none"/>
              </w:rPr>
            </w:pPr>
            <w:r>
              <w:rPr>
                <w:rFonts w:hint="eastAsia" w:hAnsi="宋体" w:cs="宋体"/>
                <w:color w:val="auto"/>
                <w:szCs w:val="24"/>
                <w:highlight w:val="none"/>
              </w:rPr>
              <w:t>（6分）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所述内容切合工程实际，措施切实可行，优于工程要求得4-6分；完全满足得2-3分；一般得0-1分；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主要机具、设备和劳动力配备情况</w:t>
            </w:r>
          </w:p>
          <w:p>
            <w:pPr>
              <w:spacing w:line="480" w:lineRule="exact"/>
              <w:jc w:val="center"/>
              <w:rPr>
                <w:rFonts w:hAnsi="宋体" w:cs="宋体"/>
                <w:color w:val="auto"/>
                <w:szCs w:val="24"/>
                <w:highlight w:val="none"/>
              </w:rPr>
            </w:pPr>
            <w:r>
              <w:rPr>
                <w:rFonts w:hint="eastAsia" w:hAnsi="宋体" w:cs="宋体"/>
                <w:color w:val="auto"/>
                <w:szCs w:val="24"/>
                <w:highlight w:val="none"/>
              </w:rPr>
              <w:t>（6分）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进度计划合理，工期目标明确，投入的主要机具、设备先进，劳动力配备充足4-6分，完全满足得2-3分，一般得0-1分；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确保工程安全和文明的技术组织措施</w:t>
            </w:r>
          </w:p>
          <w:p>
            <w:pPr>
              <w:spacing w:line="480" w:lineRule="exact"/>
              <w:jc w:val="center"/>
              <w:rPr>
                <w:rFonts w:hAnsi="宋体" w:cs="宋体"/>
                <w:color w:val="auto"/>
                <w:szCs w:val="24"/>
                <w:highlight w:val="none"/>
              </w:rPr>
            </w:pPr>
            <w:r>
              <w:rPr>
                <w:rFonts w:hint="eastAsia" w:hAnsi="宋体" w:cs="宋体"/>
                <w:color w:val="auto"/>
                <w:szCs w:val="24"/>
                <w:highlight w:val="none"/>
              </w:rPr>
              <w:t>（4分）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所述措施明确切切实可行，优于工程要求得3-4分，完全满足得1-2分，一般得0-1分；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消防安全保障方案及应急措施</w:t>
            </w:r>
          </w:p>
          <w:p>
            <w:pPr>
              <w:spacing w:line="480" w:lineRule="exact"/>
              <w:jc w:val="center"/>
              <w:rPr>
                <w:rFonts w:hAnsi="宋体" w:cs="宋体"/>
                <w:color w:val="auto"/>
                <w:szCs w:val="24"/>
                <w:highlight w:val="none"/>
              </w:rPr>
            </w:pPr>
            <w:r>
              <w:rPr>
                <w:rFonts w:hint="eastAsia" w:hAnsi="宋体" w:cs="宋体"/>
                <w:color w:val="auto"/>
                <w:szCs w:val="24"/>
                <w:highlight w:val="none"/>
              </w:rPr>
              <w:t>（10分）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保障方案、措施合理、完善，7～10分</w:t>
            </w:r>
          </w:p>
          <w:p>
            <w:pPr>
              <w:spacing w:line="480" w:lineRule="exact"/>
              <w:rPr>
                <w:rFonts w:hAnsi="宋体" w:cs="宋体"/>
                <w:color w:val="auto"/>
                <w:szCs w:val="24"/>
                <w:highlight w:val="none"/>
              </w:rPr>
            </w:pPr>
            <w:r>
              <w:rPr>
                <w:rFonts w:hint="eastAsia" w:hAnsi="宋体" w:cs="宋体"/>
                <w:color w:val="auto"/>
                <w:szCs w:val="24"/>
                <w:highlight w:val="none"/>
              </w:rPr>
              <w:t>保障方案、措施基本合理、比较完善，4～7分</w:t>
            </w:r>
          </w:p>
          <w:p>
            <w:pPr>
              <w:spacing w:line="480" w:lineRule="exact"/>
              <w:rPr>
                <w:rFonts w:hAnsi="宋体" w:cs="宋体"/>
                <w:color w:val="auto"/>
                <w:szCs w:val="24"/>
                <w:highlight w:val="none"/>
              </w:rPr>
            </w:pPr>
            <w:r>
              <w:rPr>
                <w:rFonts w:hint="eastAsia" w:hAnsi="宋体" w:cs="宋体"/>
                <w:color w:val="auto"/>
                <w:szCs w:val="24"/>
                <w:highlight w:val="none"/>
              </w:rPr>
              <w:t>保障方案、措施一般，0～4分；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pct"/>
            <w:vMerge w:val="restar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履约能力</w:t>
            </w:r>
          </w:p>
        </w:tc>
        <w:tc>
          <w:tcPr>
            <w:tcW w:w="680" w:type="pct"/>
            <w:vMerge w:val="restar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（14分）</w:t>
            </w: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施工承诺</w:t>
            </w:r>
          </w:p>
          <w:p>
            <w:pPr>
              <w:spacing w:line="480" w:lineRule="exact"/>
              <w:jc w:val="center"/>
              <w:rPr>
                <w:rFonts w:hAnsi="宋体" w:cs="宋体"/>
                <w:color w:val="auto"/>
                <w:szCs w:val="24"/>
                <w:highlight w:val="none"/>
              </w:rPr>
            </w:pPr>
            <w:r>
              <w:rPr>
                <w:rFonts w:hint="eastAsia" w:hAnsi="宋体" w:cs="宋体"/>
                <w:color w:val="auto"/>
                <w:szCs w:val="24"/>
                <w:highlight w:val="none"/>
              </w:rPr>
              <w:t>（4分）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针对本项目施工进行技术、质量、安全等的响应承诺书；依据承诺书的实质性条件进行综合赋分。（0-4）分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6" w:type="pct"/>
            <w:vMerge w:val="continue"/>
            <w:vAlign w:val="center"/>
          </w:tcPr>
          <w:p>
            <w:pPr>
              <w:spacing w:line="480" w:lineRule="exact"/>
              <w:jc w:val="center"/>
              <w:rPr>
                <w:rFonts w:hAnsi="宋体" w:cs="宋体"/>
                <w:color w:val="auto"/>
                <w:szCs w:val="24"/>
                <w:highlight w:val="none"/>
              </w:rPr>
            </w:pPr>
          </w:p>
        </w:tc>
        <w:tc>
          <w:tcPr>
            <w:tcW w:w="680" w:type="pct"/>
            <w:vMerge w:val="continue"/>
            <w:vAlign w:val="center"/>
          </w:tcPr>
          <w:p>
            <w:pPr>
              <w:spacing w:line="480" w:lineRule="exact"/>
              <w:jc w:val="center"/>
              <w:rPr>
                <w:rFonts w:hAnsi="宋体" w:cs="宋体"/>
                <w:color w:val="auto"/>
                <w:szCs w:val="24"/>
                <w:highlight w:val="none"/>
              </w:rPr>
            </w:pP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业绩</w:t>
            </w:r>
          </w:p>
          <w:p>
            <w:pPr>
              <w:spacing w:line="480" w:lineRule="exact"/>
              <w:jc w:val="center"/>
              <w:rPr>
                <w:rFonts w:hAnsi="宋体" w:cs="宋体"/>
                <w:color w:val="auto"/>
                <w:szCs w:val="24"/>
                <w:highlight w:val="none"/>
              </w:rPr>
            </w:pPr>
            <w:r>
              <w:rPr>
                <w:rFonts w:hint="eastAsia" w:hAnsi="宋体" w:cs="宋体"/>
                <w:color w:val="auto"/>
                <w:szCs w:val="24"/>
                <w:highlight w:val="none"/>
              </w:rPr>
              <w:t>（10分）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投标人提供类似项目业绩，响应文件中附有说明其业绩证明材料（业绩以合同复印件或中标通知书为依据）。每个业绩计2分，5个以上（含5个）计10分。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46"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报价评分标准</w:t>
            </w:r>
          </w:p>
          <w:p>
            <w:pPr>
              <w:spacing w:line="480" w:lineRule="exact"/>
              <w:jc w:val="center"/>
              <w:rPr>
                <w:rFonts w:hAnsi="宋体" w:cs="宋体"/>
                <w:color w:val="auto"/>
                <w:szCs w:val="24"/>
                <w:highlight w:val="none"/>
              </w:rPr>
            </w:pPr>
          </w:p>
        </w:tc>
        <w:tc>
          <w:tcPr>
            <w:tcW w:w="680"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（40分）</w:t>
            </w:r>
          </w:p>
        </w:tc>
        <w:tc>
          <w:tcPr>
            <w:tcW w:w="1364" w:type="pct"/>
            <w:vAlign w:val="center"/>
          </w:tcPr>
          <w:p>
            <w:pPr>
              <w:spacing w:line="480" w:lineRule="exact"/>
              <w:jc w:val="center"/>
              <w:rPr>
                <w:rFonts w:hAnsi="宋体" w:cs="宋体"/>
                <w:color w:val="auto"/>
                <w:szCs w:val="24"/>
                <w:highlight w:val="none"/>
              </w:rPr>
            </w:pPr>
            <w:r>
              <w:rPr>
                <w:rFonts w:hint="eastAsia" w:hAnsi="宋体" w:cs="宋体"/>
                <w:color w:val="auto"/>
                <w:szCs w:val="24"/>
                <w:highlight w:val="none"/>
              </w:rPr>
              <w:t>磋商报价评分标准</w:t>
            </w:r>
          </w:p>
        </w:tc>
        <w:tc>
          <w:tcPr>
            <w:tcW w:w="2509" w:type="pct"/>
            <w:vAlign w:val="center"/>
          </w:tcPr>
          <w:p>
            <w:pPr>
              <w:spacing w:line="480" w:lineRule="exact"/>
              <w:rPr>
                <w:rFonts w:hAnsi="宋体" w:cs="宋体"/>
                <w:color w:val="auto"/>
                <w:szCs w:val="24"/>
                <w:highlight w:val="none"/>
              </w:rPr>
            </w:pPr>
            <w:r>
              <w:rPr>
                <w:rFonts w:hint="eastAsia" w:hAnsi="宋体" w:cs="宋体"/>
                <w:color w:val="auto"/>
                <w:szCs w:val="24"/>
                <w:highlight w:val="none"/>
              </w:rPr>
              <w:t>满足磋商文件商务及技术要求且最后报价最低的供应商的价格为磋商基准价，其价格分为满分。</w:t>
            </w:r>
          </w:p>
          <w:p>
            <w:pPr>
              <w:spacing w:line="480" w:lineRule="exact"/>
              <w:rPr>
                <w:rFonts w:hAnsi="宋体" w:cs="宋体"/>
                <w:color w:val="auto"/>
                <w:szCs w:val="24"/>
                <w:highlight w:val="none"/>
              </w:rPr>
            </w:pPr>
            <w:r>
              <w:rPr>
                <w:rFonts w:hint="eastAsia" w:hAnsi="宋体" w:cs="宋体"/>
                <w:color w:val="auto"/>
                <w:szCs w:val="24"/>
                <w:highlight w:val="none"/>
              </w:rPr>
              <w:t>报价得分=（磋商基准价/最后磋商报价）*价格分值</w:t>
            </w:r>
          </w:p>
        </w:tc>
      </w:tr>
    </w:tbl>
    <w:p>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pPr>
        <w:spacing w:line="460" w:lineRule="exact"/>
        <w:ind w:firstLine="496" w:firstLineChars="200"/>
        <w:rPr>
          <w:rFonts w:hAnsi="宋体" w:cs="宋体"/>
          <w:bCs/>
          <w:color w:val="auto"/>
          <w:sz w:val="36"/>
          <w:szCs w:val="36"/>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pPr>
        <w:pStyle w:val="20"/>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pPr>
        <w:pStyle w:val="3"/>
        <w:jc w:val="center"/>
        <w:rPr>
          <w:color w:val="auto"/>
          <w:highlight w:val="none"/>
        </w:rPr>
      </w:pPr>
      <w:bookmarkStart w:id="44" w:name="_Toc7289"/>
      <w:r>
        <w:rPr>
          <w:rFonts w:hint="eastAsia" w:ascii="宋体" w:eastAsia="宋体" w:cs="宋体"/>
          <w:bCs/>
          <w:color w:val="auto"/>
          <w:sz w:val="36"/>
          <w:szCs w:val="36"/>
          <w:highlight w:val="none"/>
        </w:rPr>
        <w:t>第四章  合同条款及格式</w:t>
      </w:r>
      <w:bookmarkEnd w:id="40"/>
      <w:bookmarkEnd w:id="41"/>
      <w:bookmarkEnd w:id="42"/>
      <w:bookmarkEnd w:id="44"/>
      <w:bookmarkStart w:id="45" w:name="_Toc8333"/>
      <w:bookmarkStart w:id="46" w:name="_Toc19199"/>
      <w:bookmarkStart w:id="47" w:name="_Toc19246"/>
      <w:bookmarkStart w:id="48" w:name="_Toc26595"/>
      <w:bookmarkStart w:id="49" w:name="_Toc29888"/>
      <w:bookmarkStart w:id="50" w:name="_Toc4679"/>
      <w:bookmarkStart w:id="51" w:name="_Toc423973075"/>
      <w:bookmarkStart w:id="52" w:name="_Toc31520"/>
      <w:bookmarkStart w:id="53" w:name="_Toc389582037"/>
    </w:p>
    <w:p>
      <w:pPr>
        <w:pStyle w:val="4"/>
        <w:jc w:val="center"/>
        <w:rPr>
          <w:rFonts w:ascii="宋体" w:hAnsi="宋体"/>
          <w:color w:val="auto"/>
          <w:highlight w:val="none"/>
        </w:rPr>
      </w:pPr>
      <w:bookmarkStart w:id="54" w:name="_Toc6935"/>
      <w:bookmarkStart w:id="55" w:name="_Toc30560"/>
      <w:bookmarkStart w:id="56" w:name="_Toc32723"/>
      <w:r>
        <w:rPr>
          <w:rFonts w:hint="eastAsia" w:ascii="宋体" w:hAnsi="宋体"/>
          <w:color w:val="auto"/>
          <w:highlight w:val="none"/>
        </w:rPr>
        <w:t>合同条款及格式前附表</w:t>
      </w:r>
      <w:bookmarkEnd w:id="54"/>
      <w:bookmarkEnd w:id="55"/>
      <w:bookmarkEnd w:id="56"/>
    </w:p>
    <w:p>
      <w:pPr>
        <w:ind w:firstLine="480" w:firstLineChars="200"/>
        <w:rPr>
          <w:bCs/>
          <w:color w:val="auto"/>
          <w:sz w:val="36"/>
          <w:szCs w:val="36"/>
          <w:highlight w:val="none"/>
        </w:rPr>
      </w:pPr>
      <w:r>
        <w:rPr>
          <w:rFonts w:hint="eastAsia"/>
          <w:color w:val="auto"/>
          <w:szCs w:val="24"/>
          <w:highlight w:val="none"/>
        </w:rPr>
        <w:t>本表是对合同条款的具体补充和修改，如有矛盾，应以本资料表为准。</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6"/>
        <w:gridCol w:w="7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1" w:hRule="atLeast"/>
        </w:trPr>
        <w:tc>
          <w:tcPr>
            <w:tcW w:w="1106" w:type="dxa"/>
            <w:vAlign w:val="center"/>
          </w:tcPr>
          <w:p>
            <w:pPr>
              <w:spacing w:line="360" w:lineRule="auto"/>
              <w:jc w:val="center"/>
              <w:rPr>
                <w:rFonts w:hAnsi="宋体" w:cs="宋体"/>
                <w:color w:val="auto"/>
                <w:szCs w:val="24"/>
                <w:highlight w:val="none"/>
              </w:rPr>
            </w:pPr>
            <w:bookmarkStart w:id="57" w:name="_Toc107194479"/>
            <w:bookmarkEnd w:id="57"/>
            <w:bookmarkStart w:id="58" w:name="_Toc205891759"/>
            <w:bookmarkEnd w:id="58"/>
            <w:bookmarkStart w:id="59" w:name="_Toc209339595"/>
            <w:bookmarkEnd w:id="59"/>
            <w:r>
              <w:rPr>
                <w:rFonts w:hint="eastAsia" w:hAnsi="宋体" w:cs="宋体"/>
                <w:color w:val="auto"/>
                <w:szCs w:val="24"/>
                <w:highlight w:val="none"/>
              </w:rPr>
              <w:t>条款号</w:t>
            </w:r>
          </w:p>
        </w:tc>
        <w:tc>
          <w:tcPr>
            <w:tcW w:w="7995"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0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7995" w:type="dxa"/>
            <w:vAlign w:val="center"/>
          </w:tcPr>
          <w:p>
            <w:pPr>
              <w:spacing w:line="360" w:lineRule="auto"/>
              <w:rPr>
                <w:rFonts w:hAnsi="宋体"/>
                <w:color w:val="auto"/>
                <w:szCs w:val="24"/>
                <w:highlight w:val="none"/>
              </w:rPr>
            </w:pPr>
            <w:r>
              <w:rPr>
                <w:rFonts w:hint="eastAsia" w:hAnsi="宋体"/>
                <w:color w:val="auto"/>
                <w:szCs w:val="24"/>
                <w:highlight w:val="none"/>
              </w:rPr>
              <w:t>采购人名称：柞水县林业局</w:t>
            </w:r>
          </w:p>
          <w:p>
            <w:pPr>
              <w:spacing w:line="360" w:lineRule="auto"/>
              <w:rPr>
                <w:rFonts w:hAnsi="宋体"/>
                <w:color w:val="auto"/>
                <w:szCs w:val="24"/>
                <w:highlight w:val="none"/>
              </w:rPr>
            </w:pPr>
            <w:r>
              <w:rPr>
                <w:rFonts w:hint="eastAsia" w:hAnsi="宋体"/>
                <w:color w:val="auto"/>
                <w:szCs w:val="24"/>
                <w:highlight w:val="none"/>
              </w:rPr>
              <w:t>地    址：柞水县乾佑街道办中街151号</w:t>
            </w:r>
          </w:p>
          <w:p>
            <w:pPr>
              <w:spacing w:line="360" w:lineRule="auto"/>
              <w:rPr>
                <w:rFonts w:hAnsi="宋体"/>
                <w:color w:val="auto"/>
                <w:szCs w:val="24"/>
                <w:highlight w:val="none"/>
              </w:rPr>
            </w:pPr>
            <w:r>
              <w:rPr>
                <w:rFonts w:hint="eastAsia" w:hAnsi="宋体"/>
                <w:color w:val="auto"/>
                <w:szCs w:val="24"/>
                <w:highlight w:val="none"/>
              </w:rPr>
              <w:t>项目名称：柞水县2022年秦岭红豆杉保护发展项目</w:t>
            </w:r>
          </w:p>
          <w:p>
            <w:pPr>
              <w:spacing w:line="360" w:lineRule="auto"/>
              <w:rPr>
                <w:rFonts w:hAnsi="宋体" w:cs="宋体"/>
                <w:color w:val="auto"/>
                <w:szCs w:val="24"/>
                <w:highlight w:val="none"/>
              </w:rPr>
            </w:pPr>
            <w:r>
              <w:rPr>
                <w:rFonts w:hint="eastAsia" w:hAnsi="宋体"/>
                <w:color w:val="auto"/>
                <w:szCs w:val="24"/>
                <w:highlight w:val="none"/>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1" w:hRule="exact"/>
        </w:trPr>
        <w:tc>
          <w:tcPr>
            <w:tcW w:w="110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7995" w:type="dxa"/>
            <w:vAlign w:val="center"/>
          </w:tcPr>
          <w:p>
            <w:pPr>
              <w:spacing w:line="360" w:lineRule="auto"/>
              <w:rPr>
                <w:color w:val="auto"/>
                <w:highlight w:val="none"/>
              </w:rPr>
            </w:pPr>
            <w:r>
              <w:rPr>
                <w:rFonts w:hint="eastAsia"/>
                <w:color w:val="auto"/>
                <w:highlight w:val="none"/>
              </w:rPr>
              <w:t>建设期：自合同签订之日起</w:t>
            </w:r>
            <w:r>
              <w:rPr>
                <w:color w:val="auto"/>
                <w:highlight w:val="none"/>
              </w:rPr>
              <w:t>2</w:t>
            </w:r>
            <w:r>
              <w:rPr>
                <w:rFonts w:hint="eastAsia"/>
                <w:color w:val="auto"/>
                <w:highlight w:val="none"/>
              </w:rPr>
              <w:t>个月内完成；</w:t>
            </w:r>
            <w:bookmarkStart w:id="106" w:name="_GoBack"/>
            <w:bookmarkEnd w:id="106"/>
          </w:p>
          <w:p>
            <w:pPr>
              <w:pStyle w:val="2"/>
              <w:jc w:val="both"/>
              <w:rPr>
                <w:color w:val="auto"/>
                <w:highlight w:val="none"/>
              </w:rPr>
            </w:pPr>
            <w:r>
              <w:rPr>
                <w:rFonts w:hint="eastAsia" w:ascii="宋体"/>
                <w:b w:val="0"/>
                <w:color w:val="auto"/>
                <w:spacing w:val="0"/>
                <w:w w:val="100"/>
                <w:kern w:val="0"/>
                <w:sz w:val="24"/>
                <w:highlight w:val="none"/>
              </w:rPr>
              <w:t>抚育期：造林完成后2年；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exact"/>
        </w:trPr>
        <w:tc>
          <w:tcPr>
            <w:tcW w:w="110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7995" w:type="dxa"/>
            <w:vAlign w:val="center"/>
          </w:tcPr>
          <w:p>
            <w:pPr>
              <w:spacing w:line="360" w:lineRule="auto"/>
              <w:rPr>
                <w:color w:val="auto"/>
                <w:szCs w:val="24"/>
                <w:highlight w:val="none"/>
                <w:u w:val="single"/>
              </w:rPr>
            </w:pPr>
            <w:r>
              <w:rPr>
                <w:rFonts w:hint="eastAsia"/>
                <w:color w:val="auto"/>
                <w:szCs w:val="24"/>
                <w:highlight w:val="none"/>
              </w:rPr>
              <w:t>质量标准：符合作业设计方案，达到国家现行有关质量验收规范“合格”要求。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1" w:hRule="atLeast"/>
        </w:trPr>
        <w:tc>
          <w:tcPr>
            <w:tcW w:w="110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7995" w:type="dxa"/>
            <w:vAlign w:val="center"/>
          </w:tcPr>
          <w:p>
            <w:pPr>
              <w:spacing w:line="360" w:lineRule="auto"/>
              <w:rPr>
                <w:rFonts w:hAnsi="宋体"/>
                <w:color w:val="auto"/>
                <w:szCs w:val="24"/>
                <w:highlight w:val="none"/>
              </w:rPr>
            </w:pPr>
            <w:r>
              <w:rPr>
                <w:rFonts w:hint="eastAsia" w:hAnsi="宋体"/>
                <w:color w:val="auto"/>
                <w:szCs w:val="24"/>
                <w:highlight w:val="none"/>
              </w:rPr>
              <w:t>付款：</w:t>
            </w:r>
          </w:p>
          <w:p>
            <w:pPr>
              <w:spacing w:line="360" w:lineRule="auto"/>
              <w:rPr>
                <w:rFonts w:hAnsi="宋体"/>
                <w:color w:val="auto"/>
                <w:szCs w:val="24"/>
                <w:highlight w:val="none"/>
              </w:rPr>
            </w:pPr>
            <w:r>
              <w:rPr>
                <w:rFonts w:hint="eastAsia" w:hAnsi="宋体"/>
                <w:color w:val="auto"/>
                <w:szCs w:val="24"/>
                <w:highlight w:val="none"/>
              </w:rPr>
              <w:t>1.合同总价即成交价，磋商报价采用固定总价。成交报价</w:t>
            </w:r>
            <w:r>
              <w:rPr>
                <w:rFonts w:hint="eastAsia" w:hAnsi="宋体"/>
                <w:color w:val="auto"/>
                <w:highlight w:val="none"/>
              </w:rPr>
              <w:t>是磋商文件所确定的全部工程内容的价格体现</w:t>
            </w:r>
            <w:r>
              <w:rPr>
                <w:rFonts w:hint="eastAsia" w:hAnsi="宋体"/>
                <w:color w:val="auto"/>
                <w:szCs w:val="24"/>
                <w:highlight w:val="none"/>
              </w:rPr>
              <w:t>。任何有选择的报价将不予接受，按无效磋商响应。</w:t>
            </w:r>
          </w:p>
          <w:p>
            <w:pPr>
              <w:spacing w:line="360" w:lineRule="auto"/>
              <w:rPr>
                <w:rFonts w:hAnsi="宋体"/>
                <w:color w:val="auto"/>
                <w:szCs w:val="24"/>
                <w:highlight w:val="none"/>
              </w:rPr>
            </w:pPr>
            <w:r>
              <w:rPr>
                <w:rFonts w:hint="eastAsia" w:hAnsi="宋体"/>
                <w:color w:val="auto"/>
                <w:szCs w:val="24"/>
                <w:highlight w:val="none"/>
              </w:rPr>
              <w:t>2.成交后合同总价不做调整，不再因为环境的变化和工程量的增减而变化，任何有选择的报价将不予接受。</w:t>
            </w:r>
          </w:p>
          <w:p>
            <w:pPr>
              <w:spacing w:line="360" w:lineRule="auto"/>
              <w:rPr>
                <w:rFonts w:hAnsi="宋体"/>
                <w:color w:val="auto"/>
                <w:szCs w:val="24"/>
                <w:highlight w:val="none"/>
              </w:rPr>
            </w:pPr>
            <w:r>
              <w:rPr>
                <w:rFonts w:hint="eastAsia" w:hAnsi="宋体"/>
                <w:color w:val="auto"/>
                <w:szCs w:val="24"/>
                <w:highlight w:val="none"/>
              </w:rPr>
              <w:t>3.付款方式和程序：</w:t>
            </w:r>
          </w:p>
          <w:p>
            <w:pPr>
              <w:spacing w:line="360" w:lineRule="auto"/>
              <w:rPr>
                <w:rFonts w:hAnsi="宋体"/>
                <w:color w:val="auto"/>
                <w:szCs w:val="24"/>
                <w:highlight w:val="none"/>
              </w:rPr>
            </w:pPr>
            <w:r>
              <w:rPr>
                <w:rFonts w:hint="eastAsia" w:hAnsi="宋体"/>
                <w:color w:val="auto"/>
                <w:szCs w:val="24"/>
                <w:highlight w:val="none"/>
              </w:rPr>
              <w:t>（1）结算方式：</w:t>
            </w:r>
          </w:p>
          <w:p>
            <w:pPr>
              <w:spacing w:line="360" w:lineRule="auto"/>
              <w:rPr>
                <w:rFonts w:hAnsi="宋体"/>
                <w:color w:val="auto"/>
                <w:szCs w:val="24"/>
                <w:highlight w:val="none"/>
              </w:rPr>
            </w:pPr>
            <w:r>
              <w:rPr>
                <w:rFonts w:hint="eastAsia" w:hAnsi="宋体"/>
                <w:color w:val="auto"/>
                <w:szCs w:val="24"/>
                <w:highlight w:val="none"/>
              </w:rPr>
              <w:t>由采购人负责结算，在在付款前，成交供应商须开具全额发票给采购人。</w:t>
            </w:r>
          </w:p>
          <w:p>
            <w:pPr>
              <w:spacing w:line="360" w:lineRule="auto"/>
              <w:rPr>
                <w:rFonts w:hAnsi="宋体"/>
                <w:color w:val="auto"/>
                <w:szCs w:val="24"/>
                <w:highlight w:val="none"/>
              </w:rPr>
            </w:pPr>
            <w:r>
              <w:rPr>
                <w:rFonts w:hint="eastAsia" w:hAnsi="宋体"/>
                <w:color w:val="auto"/>
                <w:szCs w:val="24"/>
                <w:highlight w:val="none"/>
              </w:rPr>
              <w:t>（2）付款方式：</w:t>
            </w:r>
          </w:p>
          <w:p>
            <w:pPr>
              <w:spacing w:line="360" w:lineRule="auto"/>
              <w:rPr>
                <w:rFonts w:hAnsi="宋体"/>
                <w:color w:val="auto"/>
                <w:szCs w:val="24"/>
                <w:highlight w:val="none"/>
              </w:rPr>
            </w:pPr>
            <w:r>
              <w:rPr>
                <w:rFonts w:hint="eastAsia" w:hAnsi="宋体"/>
                <w:color w:val="auto"/>
                <w:szCs w:val="24"/>
                <w:highlight w:val="none"/>
              </w:rPr>
              <w:t>（1）银行转账，项目实施完成并通过验收后，由供应商提供票据等财务报账所需材料进行报账。</w:t>
            </w:r>
          </w:p>
          <w:p>
            <w:pPr>
              <w:spacing w:line="360" w:lineRule="auto"/>
              <w:rPr>
                <w:color w:val="auto"/>
                <w:highlight w:val="none"/>
              </w:rPr>
            </w:pPr>
            <w:r>
              <w:rPr>
                <w:rFonts w:hint="eastAsia" w:hAnsi="宋体"/>
                <w:color w:val="auto"/>
                <w:szCs w:val="24"/>
                <w:highlight w:val="none"/>
              </w:rPr>
              <w:t>（2）付款方式：合同签订后支付合同总价的40%，项目实施完成，经建设单位验收合格后支付剩余合同总价的60%；（具体以合同签订为准）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6" w:type="dxa"/>
            <w:vAlign w:val="center"/>
          </w:tcPr>
          <w:p>
            <w:pPr>
              <w:spacing w:line="360" w:lineRule="auto"/>
              <w:jc w:val="center"/>
              <w:rPr>
                <w:rFonts w:hAnsi="宋体" w:cs="宋体"/>
                <w:color w:val="auto"/>
                <w:szCs w:val="24"/>
                <w:highlight w:val="none"/>
              </w:rPr>
            </w:pPr>
            <w:r>
              <w:rPr>
                <w:rFonts w:hint="eastAsia" w:hAnsi="宋体" w:cs="宋体"/>
                <w:color w:val="auto"/>
                <w:sz w:val="21"/>
                <w:szCs w:val="21"/>
                <w:highlight w:val="none"/>
              </w:rPr>
              <w:t>5</w:t>
            </w:r>
          </w:p>
        </w:tc>
        <w:tc>
          <w:tcPr>
            <w:tcW w:w="7995" w:type="dxa"/>
            <w:vAlign w:val="center"/>
          </w:tcPr>
          <w:p>
            <w:pPr>
              <w:spacing w:line="360" w:lineRule="auto"/>
              <w:rPr>
                <w:rFonts w:hAnsi="宋体" w:cs="宋体"/>
                <w:b/>
                <w:color w:val="auto"/>
                <w:szCs w:val="24"/>
                <w:highlight w:val="none"/>
              </w:rPr>
            </w:pPr>
            <w:r>
              <w:rPr>
                <w:rFonts w:hint="eastAsia" w:hAnsi="宋体" w:cs="宋体"/>
                <w:b/>
                <w:color w:val="auto"/>
                <w:szCs w:val="24"/>
                <w:highlight w:val="none"/>
              </w:rPr>
              <w:t>质量要求：</w:t>
            </w:r>
          </w:p>
          <w:p>
            <w:pPr>
              <w:spacing w:line="360" w:lineRule="auto"/>
              <w:rPr>
                <w:rFonts w:hAnsi="宋体" w:cs="宋体"/>
                <w:color w:val="auto"/>
                <w:szCs w:val="24"/>
                <w:highlight w:val="none"/>
              </w:rPr>
            </w:pPr>
            <w:r>
              <w:rPr>
                <w:rFonts w:hint="eastAsia" w:hAnsi="宋体" w:cs="宋体"/>
                <w:color w:val="auto"/>
                <w:szCs w:val="24"/>
                <w:highlight w:val="none"/>
              </w:rPr>
              <w:t>1、所有工程须符合行业标准及相关规定；</w:t>
            </w:r>
          </w:p>
          <w:p>
            <w:pPr>
              <w:spacing w:line="360" w:lineRule="auto"/>
              <w:rPr>
                <w:rFonts w:hAnsi="宋体"/>
                <w:color w:val="auto"/>
                <w:szCs w:val="24"/>
                <w:highlight w:val="none"/>
              </w:rPr>
            </w:pPr>
            <w:r>
              <w:rPr>
                <w:rFonts w:hint="eastAsia" w:hAnsi="宋体" w:cs="宋体"/>
                <w:color w:val="auto"/>
                <w:szCs w:val="24"/>
                <w:highlight w:val="none"/>
              </w:rPr>
              <w:t>2、所有工程须符合国家有关规范和执行标准。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20" w:hRule="atLeast"/>
        </w:trPr>
        <w:tc>
          <w:tcPr>
            <w:tcW w:w="1106" w:type="dxa"/>
            <w:vAlign w:val="center"/>
          </w:tcPr>
          <w:p>
            <w:pPr>
              <w:jc w:val="center"/>
              <w:rPr>
                <w:color w:val="auto"/>
                <w:highlight w:val="none"/>
              </w:rPr>
            </w:pPr>
            <w:r>
              <w:rPr>
                <w:rFonts w:hint="eastAsia"/>
                <w:color w:val="auto"/>
                <w:highlight w:val="none"/>
              </w:rPr>
              <w:t>6</w:t>
            </w:r>
          </w:p>
        </w:tc>
        <w:tc>
          <w:tcPr>
            <w:tcW w:w="7995" w:type="dxa"/>
            <w:vAlign w:val="center"/>
          </w:tcPr>
          <w:p>
            <w:pPr>
              <w:spacing w:line="360" w:lineRule="auto"/>
              <w:rPr>
                <w:rFonts w:hAnsi="宋体" w:cs="宋体"/>
                <w:b/>
                <w:bCs/>
                <w:color w:val="auto"/>
                <w:szCs w:val="24"/>
                <w:highlight w:val="none"/>
              </w:rPr>
            </w:pPr>
            <w:r>
              <w:rPr>
                <w:rFonts w:hint="eastAsia" w:hAnsi="宋体" w:cs="宋体"/>
                <w:b/>
                <w:bCs/>
                <w:color w:val="auto"/>
                <w:szCs w:val="24"/>
                <w:highlight w:val="none"/>
              </w:rPr>
              <w:t>验收：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由采购人和供应商共同对项目进行整体验收。其内容包括种质资源建设、种质资源调查、附属工程施工是否达到现行国家有关验收规范“合格”标准、是否按照采购人要求按时完工。</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1.所验各项内容最终验收达不到磋商文件要求和磋商响应文件承诺的，或在后续使用中发现采购人不能容忍的缺陷等，将视为验收不合格，供应商应在采购人要求的时间内无条件整改及恢复。</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2.若发现供应商有弄虚作假的，在磋商阶段故意或随意夸大技术能力、工程、服务质量的，采购人有权解除合同，并且要求供应商赔偿相关损失。</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3.验收标准：按磋商文件、磋商响应文件及澄清函等技术指标进行验收。各项指标均应符合验收标准及要求。</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4.验收合格后，填写验收单，双方签字生效。</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5.验收依据：</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a)合同文本；</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b)磋商文件及澄清函、磋商响应文件；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c)国家和行业制定的相应的标准和规范；</w:t>
            </w:r>
          </w:p>
          <w:p>
            <w:pPr>
              <w:spacing w:line="360" w:lineRule="auto"/>
              <w:ind w:firstLine="480" w:firstLineChars="200"/>
              <w:rPr>
                <w:color w:val="auto"/>
                <w:highlight w:val="none"/>
              </w:rPr>
            </w:pPr>
            <w:r>
              <w:rPr>
                <w:rFonts w:hint="eastAsia" w:hAnsi="宋体" w:cs="宋体"/>
                <w:color w:val="auto"/>
                <w:szCs w:val="24"/>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6" w:type="dxa"/>
            <w:vAlign w:val="center"/>
          </w:tcPr>
          <w:p>
            <w:pPr>
              <w:pStyle w:val="15"/>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7995" w:type="dxa"/>
            <w:vAlign w:val="center"/>
          </w:tcPr>
          <w:p>
            <w:pPr>
              <w:spacing w:line="360" w:lineRule="auto"/>
              <w:rPr>
                <w:rFonts w:hAnsi="宋体" w:cs="宋体"/>
                <w:b/>
                <w:color w:val="auto"/>
                <w:szCs w:val="24"/>
                <w:highlight w:val="none"/>
              </w:rPr>
            </w:pPr>
            <w:r>
              <w:rPr>
                <w:rFonts w:hint="eastAsia" w:hAnsi="宋体" w:cs="宋体"/>
                <w:b/>
                <w:color w:val="auto"/>
                <w:szCs w:val="24"/>
                <w:highlight w:val="none"/>
              </w:rPr>
              <w:t>违约责任：</w:t>
            </w:r>
          </w:p>
          <w:p>
            <w:pPr>
              <w:tabs>
                <w:tab w:val="left" w:pos="152"/>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1、按《中华人民共和国民法典》中的相关条款执行。</w:t>
            </w:r>
          </w:p>
          <w:p>
            <w:pPr>
              <w:tabs>
                <w:tab w:val="left" w:pos="152"/>
              </w:tabs>
              <w:spacing w:line="360" w:lineRule="auto"/>
              <w:ind w:firstLine="480" w:firstLineChars="200"/>
              <w:rPr>
                <w:rFonts w:hAnsi="宋体"/>
                <w:color w:val="auto"/>
                <w:szCs w:val="24"/>
                <w:highlight w:val="none"/>
              </w:rPr>
            </w:pPr>
            <w:r>
              <w:rPr>
                <w:rFonts w:hint="eastAsia" w:hAnsi="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06" w:type="dxa"/>
            <w:vAlign w:val="center"/>
          </w:tcPr>
          <w:p>
            <w:pPr>
              <w:pStyle w:val="15"/>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7995" w:type="dxa"/>
            <w:vAlign w:val="center"/>
          </w:tcPr>
          <w:p>
            <w:pPr>
              <w:spacing w:line="360" w:lineRule="auto"/>
              <w:rPr>
                <w:rFonts w:hAnsi="宋体" w:cs="宋体"/>
                <w:b/>
                <w:color w:val="auto"/>
                <w:szCs w:val="24"/>
                <w:highlight w:val="none"/>
              </w:rPr>
            </w:pPr>
            <w:r>
              <w:rPr>
                <w:rFonts w:hint="eastAsia" w:hAnsi="宋体" w:cs="宋体"/>
                <w:b/>
                <w:color w:val="auto"/>
                <w:szCs w:val="24"/>
                <w:highlight w:val="none"/>
              </w:rPr>
              <w:t>政府采购合同：</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政府采购合同适用中华人民共和国民法典。采购人和供应商之间的权利和义务，应当按照平等、自愿的原则以合同方式约定。</w:t>
            </w:r>
            <w:r>
              <w:rPr>
                <w:rFonts w:hint="eastAsia" w:hAnsi="宋体" w:cs="宋体"/>
                <w:color w:val="auto"/>
                <w:szCs w:val="24"/>
                <w:highlight w:val="none"/>
              </w:rPr>
              <w:br w:type="textWrapping"/>
            </w:r>
            <w:r>
              <w:rPr>
                <w:rFonts w:hint="eastAsia" w:hAnsi="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政府采购合同应当采用书面形式。</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国务院政府采购监督管理部门应当会同国务院有关部门，规定政府采购合同必须具备的条款。</w:t>
            </w:r>
            <w:r>
              <w:rPr>
                <w:rFonts w:hint="eastAsia" w:hAnsi="宋体" w:cs="宋体"/>
                <w:color w:val="auto"/>
                <w:szCs w:val="24"/>
                <w:highlight w:val="none"/>
              </w:rPr>
              <w:br w:type="textWrapping"/>
            </w:r>
            <w:r>
              <w:rPr>
                <w:rFonts w:hint="eastAsia" w:hAnsi="宋体" w:cs="宋体"/>
                <w:color w:val="auto"/>
                <w:szCs w:val="24"/>
                <w:highlight w:val="none"/>
              </w:rPr>
              <w:t xml:space="preserve">    采购人与中标、成交供应商应当在中标、成交通知书发出之日起三十日内，按照采购文件确定的事项签订政府采购合同。</w:t>
            </w:r>
            <w:r>
              <w:rPr>
                <w:rFonts w:hint="eastAsia" w:hAnsi="宋体" w:cs="宋体"/>
                <w:color w:val="auto"/>
                <w:szCs w:val="24"/>
                <w:highlight w:val="none"/>
              </w:rPr>
              <w:br w:type="textWrapping"/>
            </w:r>
            <w:r>
              <w:rPr>
                <w:rFonts w:hint="eastAsia" w:hAnsi="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widowControl/>
              <w:spacing w:line="560" w:lineRule="exact"/>
              <w:ind w:firstLine="480" w:firstLineChars="200"/>
              <w:rPr>
                <w:rFonts w:hAnsi="宋体"/>
                <w:color w:val="auto"/>
                <w:szCs w:val="24"/>
                <w:highlight w:val="none"/>
              </w:rPr>
            </w:pPr>
            <w:r>
              <w:rPr>
                <w:rFonts w:hint="eastAsia" w:hAnsi="宋体" w:cs="宋体"/>
                <w:color w:val="auto"/>
                <w:szCs w:val="24"/>
                <w:highlight w:val="none"/>
              </w:rPr>
              <w:t>政府采购项目的采购合同自签订之日起七个工作日内，采购人应当将合同副本报同级政府采购监督管理部门和有关部门备案。</w:t>
            </w:r>
            <w:r>
              <w:rPr>
                <w:rFonts w:hint="eastAsia" w:hAnsi="宋体" w:cs="宋体"/>
                <w:color w:val="auto"/>
                <w:szCs w:val="24"/>
                <w:highlight w:val="none"/>
              </w:rPr>
              <w:br w:type="textWrapping"/>
            </w:r>
            <w:r>
              <w:rPr>
                <w:rFonts w:hint="eastAsia" w:hAnsi="宋体" w:cs="宋体"/>
                <w:color w:val="auto"/>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szCs w:val="24"/>
                <w:highlight w:val="none"/>
              </w:rPr>
              <w:br w:type="textWrapping"/>
            </w:r>
            <w:r>
              <w:rPr>
                <w:rFonts w:hint="eastAsia" w:hAnsi="宋体" w:cs="宋体"/>
                <w:color w:val="auto"/>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szCs w:val="24"/>
                <w:highlight w:val="none"/>
              </w:rPr>
              <w:br w:type="textWrapping"/>
            </w:r>
            <w:r>
              <w:rPr>
                <w:rFonts w:hint="eastAsia" w:hAnsi="宋体" w:cs="宋体"/>
                <w:color w:val="auto"/>
                <w:szCs w:val="24"/>
                <w:highlight w:val="none"/>
              </w:rPr>
              <w:t xml:space="preserve">    政府采购合同的双方当事人不得擅自变更、中止或者终止合同。</w:t>
            </w:r>
            <w:r>
              <w:rPr>
                <w:rFonts w:hint="eastAsia" w:hAnsi="宋体" w:cs="宋体"/>
                <w:color w:val="auto"/>
                <w:szCs w:val="24"/>
                <w:highlight w:val="none"/>
              </w:rPr>
              <w:br w:type="textWrapping"/>
            </w:r>
            <w:r>
              <w:rPr>
                <w:rFonts w:hint="eastAsia" w:hAnsi="宋体" w:cs="宋体"/>
                <w:color w:val="auto"/>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jc w:val="left"/>
        <w:rPr>
          <w:rFonts w:ascii="Times New Roman" w:eastAsia="仿宋_GB2312"/>
          <w:bCs/>
          <w:color w:val="auto"/>
          <w:sz w:val="32"/>
          <w:szCs w:val="32"/>
          <w:highlight w:val="none"/>
        </w:rPr>
      </w:pPr>
      <w:r>
        <w:rPr>
          <w:rFonts w:hint="eastAsia" w:hAnsi="宋体" w:cs="宋体"/>
          <w:b/>
          <w:bCs/>
          <w:color w:val="auto"/>
          <w:spacing w:val="100"/>
          <w:kern w:val="16"/>
          <w:sz w:val="52"/>
          <w:szCs w:val="52"/>
          <w:highlight w:val="none"/>
        </w:rPr>
        <w:br w:type="page"/>
      </w:r>
    </w:p>
    <w:p>
      <w:pPr>
        <w:jc w:val="center"/>
        <w:rPr>
          <w:rFonts w:ascii="华文仿宋" w:hAnsi="华文仿宋" w:eastAsia="华文仿宋" w:cs="华文仿宋"/>
          <w:b/>
          <w:color w:val="auto"/>
          <w:sz w:val="52"/>
          <w:szCs w:val="52"/>
          <w:highlight w:val="none"/>
        </w:rPr>
      </w:pPr>
    </w:p>
    <w:p>
      <w:pPr>
        <w:jc w:val="center"/>
        <w:rPr>
          <w:rFonts w:ascii="华文仿宋" w:hAnsi="华文仿宋" w:eastAsia="华文仿宋" w:cs="华文仿宋"/>
          <w:b/>
          <w:color w:val="auto"/>
          <w:sz w:val="52"/>
          <w:szCs w:val="52"/>
          <w:highlight w:val="none"/>
        </w:rPr>
      </w:pPr>
    </w:p>
    <w:p>
      <w:pPr>
        <w:jc w:val="center"/>
        <w:rPr>
          <w:rFonts w:ascii="华文仿宋" w:hAnsi="华文仿宋" w:eastAsia="华文仿宋" w:cs="华文仿宋"/>
          <w:b/>
          <w:color w:val="auto"/>
          <w:sz w:val="52"/>
          <w:szCs w:val="52"/>
          <w:highlight w:val="none"/>
        </w:rPr>
      </w:pPr>
    </w:p>
    <w:p>
      <w:pPr>
        <w:jc w:val="center"/>
        <w:rPr>
          <w:rFonts w:ascii="华文仿宋" w:hAnsi="华文仿宋" w:eastAsia="华文仿宋" w:cs="华文仿宋"/>
          <w:b/>
          <w:color w:val="auto"/>
          <w:sz w:val="52"/>
          <w:szCs w:val="52"/>
          <w:highlight w:val="none"/>
        </w:rPr>
      </w:pPr>
    </w:p>
    <w:p>
      <w:pPr>
        <w:jc w:val="center"/>
        <w:rPr>
          <w:rFonts w:ascii="华文仿宋" w:hAnsi="华文仿宋" w:eastAsia="华文仿宋" w:cs="华文仿宋"/>
          <w:b/>
          <w:color w:val="auto"/>
          <w:sz w:val="52"/>
          <w:szCs w:val="52"/>
          <w:highlight w:val="none"/>
        </w:rPr>
      </w:pPr>
      <w:r>
        <w:rPr>
          <w:rFonts w:hint="eastAsia" w:ascii="华文仿宋" w:hAnsi="华文仿宋" w:eastAsia="华文仿宋" w:cs="华文仿宋"/>
          <w:b/>
          <w:color w:val="auto"/>
          <w:sz w:val="52"/>
          <w:szCs w:val="52"/>
          <w:highlight w:val="none"/>
        </w:rPr>
        <w:t>柞水县2022年秦岭红豆杉保护发展项目</w:t>
      </w:r>
    </w:p>
    <w:p>
      <w:pPr>
        <w:jc w:val="center"/>
        <w:rPr>
          <w:b/>
          <w:color w:val="auto"/>
          <w:sz w:val="44"/>
          <w:szCs w:val="44"/>
          <w:highlight w:val="none"/>
        </w:rPr>
      </w:pPr>
    </w:p>
    <w:p>
      <w:pPr>
        <w:jc w:val="center"/>
        <w:rPr>
          <w:b/>
          <w:color w:val="auto"/>
          <w:sz w:val="44"/>
          <w:szCs w:val="44"/>
          <w:highlight w:val="none"/>
        </w:rPr>
      </w:pPr>
    </w:p>
    <w:p>
      <w:pPr>
        <w:jc w:val="center"/>
        <w:rPr>
          <w:color w:val="auto"/>
          <w:sz w:val="28"/>
          <w:szCs w:val="28"/>
          <w:highlight w:val="none"/>
        </w:rPr>
      </w:pPr>
      <w:r>
        <w:rPr>
          <w:rFonts w:hint="eastAsia"/>
          <w:b/>
          <w:color w:val="auto"/>
          <w:sz w:val="44"/>
          <w:szCs w:val="44"/>
          <w:highlight w:val="none"/>
        </w:rPr>
        <w:t>（示范文本）</w:t>
      </w:r>
    </w:p>
    <w:p>
      <w:pPr>
        <w:jc w:val="center"/>
        <w:rPr>
          <w:color w:val="auto"/>
          <w:sz w:val="28"/>
          <w:szCs w:val="28"/>
          <w:highlight w:val="none"/>
        </w:rPr>
      </w:pPr>
    </w:p>
    <w:p>
      <w:pPr>
        <w:jc w:val="cente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ind w:firstLine="1960" w:firstLineChars="700"/>
        <w:rPr>
          <w:color w:val="auto"/>
          <w:sz w:val="28"/>
          <w:szCs w:val="28"/>
          <w:highlight w:val="none"/>
          <w:u w:val="single"/>
        </w:rPr>
      </w:pPr>
    </w:p>
    <w:p>
      <w:pPr>
        <w:ind w:firstLine="1960" w:firstLineChars="700"/>
        <w:rPr>
          <w:color w:val="auto"/>
          <w:sz w:val="28"/>
          <w:szCs w:val="28"/>
          <w:highlight w:val="none"/>
          <w:u w:val="single"/>
        </w:rPr>
      </w:pPr>
    </w:p>
    <w:p>
      <w:pPr>
        <w:pageBreakBefore/>
        <w:spacing w:afterLines="50" w:line="360" w:lineRule="auto"/>
        <w:jc w:val="center"/>
        <w:rPr>
          <w:rFonts w:hAnsi="宋体"/>
          <w:b/>
          <w:color w:val="auto"/>
          <w:sz w:val="32"/>
          <w:szCs w:val="32"/>
          <w:highlight w:val="none"/>
        </w:rPr>
      </w:pPr>
      <w:bookmarkStart w:id="60" w:name="_Toc18407"/>
      <w:bookmarkStart w:id="61" w:name="_Toc27199"/>
      <w:bookmarkStart w:id="62" w:name="_Toc826"/>
      <w:bookmarkStart w:id="63" w:name="_Toc20678"/>
      <w:bookmarkStart w:id="64" w:name="_Toc11496"/>
      <w:r>
        <w:rPr>
          <w:rFonts w:hint="eastAsia" w:hAnsi="宋体"/>
          <w:b/>
          <w:color w:val="auto"/>
          <w:sz w:val="32"/>
          <w:szCs w:val="32"/>
          <w:highlight w:val="none"/>
        </w:rPr>
        <w:t>第一部分  协议书</w:t>
      </w:r>
      <w:bookmarkEnd w:id="60"/>
      <w:bookmarkEnd w:id="61"/>
      <w:bookmarkEnd w:id="62"/>
      <w:bookmarkEnd w:id="63"/>
      <w:bookmarkEnd w:id="64"/>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发包人（全称）：</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承包人（全称）：</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 xml:space="preserve">依照《中华人民共和国民法典》、《 中华人民共和国建筑法》及其他有关法律、行政法规，遵循平等、自愿、公平和诚实信用的原则，双方就本建设工程施工事项协商一致，订立本合同。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一、工程概况：</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工程名称：</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工程地点：</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资金来源：</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 xml:space="preserve">二、工程承包范围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承包范围：</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三、合同工期</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开工日期：</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竣工日期：</w:t>
      </w:r>
      <w:r>
        <w:rPr>
          <w:rFonts w:hint="eastAsia" w:hAnsi="宋体" w:cs="宋体"/>
          <w:color w:val="auto"/>
          <w:szCs w:val="24"/>
          <w:highlight w:val="none"/>
          <w:u w:val="single"/>
        </w:rPr>
        <w:t xml:space="preserve">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合同工期总日历天数</w:t>
      </w:r>
      <w:r>
        <w:rPr>
          <w:rFonts w:hint="eastAsia" w:hAnsi="宋体" w:cs="宋体"/>
          <w:color w:val="auto"/>
          <w:szCs w:val="24"/>
          <w:highlight w:val="none"/>
          <w:u w:val="single"/>
        </w:rPr>
        <w:t xml:space="preserve">   </w:t>
      </w:r>
      <w:r>
        <w:rPr>
          <w:rFonts w:hint="eastAsia" w:hAnsi="宋体" w:cs="宋体"/>
          <w:color w:val="auto"/>
          <w:szCs w:val="24"/>
          <w:highlight w:val="none"/>
        </w:rPr>
        <w:t>日历日。</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四、质量标准</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工程质量标准：达到国家质量验收合格标准</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五、合同价款</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合同金额（大写）：</w:t>
      </w:r>
      <w:r>
        <w:rPr>
          <w:rFonts w:hint="eastAsia" w:hAnsi="宋体" w:cs="宋体"/>
          <w:color w:val="auto"/>
          <w:szCs w:val="24"/>
          <w:highlight w:val="none"/>
          <w:u w:val="single"/>
        </w:rPr>
        <w:t xml:space="preserve">                            </w:t>
      </w:r>
      <w:r>
        <w:rPr>
          <w:rFonts w:hint="eastAsia" w:hAnsi="宋体" w:cs="宋体"/>
          <w:color w:val="auto"/>
          <w:szCs w:val="24"/>
          <w:highlight w:val="none"/>
        </w:rPr>
        <w:t>（¥</w:t>
      </w:r>
      <w:r>
        <w:rPr>
          <w:rFonts w:hint="eastAsia" w:hAnsi="宋体" w:cs="宋体"/>
          <w:color w:val="auto"/>
          <w:szCs w:val="24"/>
          <w:highlight w:val="none"/>
          <w:u w:val="single"/>
        </w:rPr>
        <w:t xml:space="preserve">        </w:t>
      </w:r>
      <w:r>
        <w:rPr>
          <w:rFonts w:hint="eastAsia" w:hAnsi="宋体" w:cs="宋体"/>
          <w:color w:val="auto"/>
          <w:szCs w:val="24"/>
          <w:highlight w:val="none"/>
        </w:rPr>
        <w:t>）。</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合同总价即成交价，合同总价为总承包价，不受市场价变化或实际工作量变化的影响，合同价格为含税价，供应商提供本工程所发生的一切税（包括增值税）费等都已包含于合同价款中。</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六、组成合同的文件</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组成本合同的文件包括：</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1、本合同协议书</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2、本合同专用条款</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3、本合同通用条款</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4、中标通知书</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5、投标文件、工程报价单或预算书及其附件</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6、招标文件、答疑纪要</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7、标准、规范及有关技术文件</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双方为履行本合同的有关洽商、变更等书面协议或文件视为本合同的组成部分。</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七、本协议书中有关词语含义与本合同第二部分《通用条款》中分别赋予它们的定义相同。</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八、承包人向发包人承诺按照合同约定进行施工、竣工并在质量保修期内承担工程质量保修责任。</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九、发包人向承包人承诺按照合同约定的期限和方式支付合同价款及其他应当支付的款项。</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十、合同生效</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合同订立时间：          年            月            日</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 xml:space="preserve">合同订立地点：                                       </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本合同双方约定 双方签字盖章 后生效。</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发包人：          （公章）         承包人：         （公章）</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法定代表人：                         法定代表人：</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委托代理人：                         委托代理人：</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联系人：                             联系人：</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电话：                               电话：</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传真：                               传真：</w:t>
      </w:r>
    </w:p>
    <w:p>
      <w:pPr>
        <w:spacing w:beforeLines="100" w:afterLines="100" w:line="360" w:lineRule="auto"/>
        <w:ind w:firstLine="460" w:firstLineChars="192"/>
        <w:jc w:val="left"/>
        <w:rPr>
          <w:rFonts w:hAnsi="宋体" w:cs="宋体"/>
          <w:color w:val="auto"/>
          <w:szCs w:val="24"/>
          <w:highlight w:val="none"/>
        </w:rPr>
      </w:pPr>
      <w:r>
        <w:rPr>
          <w:rFonts w:hint="eastAsia" w:hAnsi="宋体" w:cs="宋体"/>
          <w:color w:val="auto"/>
          <w:szCs w:val="24"/>
          <w:highlight w:val="none"/>
        </w:rPr>
        <w:t>开户银行：                           开户银行：</w:t>
      </w:r>
    </w:p>
    <w:p>
      <w:pPr>
        <w:spacing w:beforeLines="100" w:afterLines="100" w:line="360" w:lineRule="auto"/>
        <w:ind w:firstLine="460" w:firstLineChars="192"/>
        <w:jc w:val="left"/>
        <w:rPr>
          <w:rFonts w:hAnsi="宋体" w:cs="宋体"/>
          <w:color w:val="auto"/>
          <w:szCs w:val="24"/>
          <w:highlight w:val="none"/>
        </w:rPr>
        <w:sectPr>
          <w:footerReference r:id="rId11" w:type="default"/>
          <w:pgSz w:w="11907" w:h="16840"/>
          <w:pgMar w:top="1418" w:right="1418" w:bottom="1418" w:left="1417" w:header="720" w:footer="720" w:gutter="0"/>
          <w:cols w:space="720" w:num="1"/>
        </w:sectPr>
      </w:pPr>
      <w:r>
        <w:rPr>
          <w:rFonts w:hint="eastAsia" w:hAnsi="宋体" w:cs="宋体"/>
          <w:color w:val="auto"/>
          <w:szCs w:val="24"/>
          <w:highlight w:val="none"/>
        </w:rPr>
        <w:t>账号：                               账号：</w:t>
      </w:r>
    </w:p>
    <w:p>
      <w:pPr>
        <w:spacing w:line="360" w:lineRule="auto"/>
        <w:ind w:firstLine="723" w:firstLineChars="200"/>
        <w:jc w:val="center"/>
        <w:rPr>
          <w:rFonts w:hAnsi="宋体"/>
          <w:color w:val="auto"/>
          <w:highlight w:val="none"/>
        </w:rPr>
      </w:pPr>
      <w:r>
        <w:rPr>
          <w:rFonts w:hint="eastAsia" w:hAnsi="宋体"/>
          <w:b/>
          <w:bCs/>
          <w:color w:val="auto"/>
          <w:sz w:val="36"/>
          <w:szCs w:val="36"/>
          <w:highlight w:val="none"/>
        </w:rPr>
        <w:t>第二部分  通用合同条款</w:t>
      </w:r>
    </w:p>
    <w:p>
      <w:pPr>
        <w:pStyle w:val="22"/>
        <w:spacing w:before="0" w:beforeAutospacing="0" w:after="0" w:afterAutospacing="0" w:line="300" w:lineRule="auto"/>
        <w:jc w:val="center"/>
        <w:rPr>
          <w:rFonts w:cs="宋体"/>
          <w:b/>
          <w:bCs/>
          <w:color w:val="auto"/>
          <w:sz w:val="28"/>
          <w:szCs w:val="28"/>
          <w:highlight w:val="none"/>
        </w:rPr>
      </w:pPr>
      <w:r>
        <w:rPr>
          <w:rFonts w:hint="eastAsia" w:cs="宋体"/>
          <w:b/>
          <w:bCs/>
          <w:color w:val="auto"/>
          <w:sz w:val="28"/>
          <w:szCs w:val="28"/>
          <w:highlight w:val="none"/>
        </w:rPr>
        <w:t>执行《陕西省建设工程施工合同》（示范文本）</w:t>
      </w:r>
    </w:p>
    <w:p>
      <w:pPr>
        <w:pStyle w:val="22"/>
        <w:spacing w:before="0" w:beforeAutospacing="0" w:after="0" w:afterAutospacing="0" w:line="300" w:lineRule="auto"/>
        <w:jc w:val="center"/>
        <w:rPr>
          <w:rFonts w:cs="宋体"/>
          <w:b/>
          <w:bCs/>
          <w:color w:val="auto"/>
          <w:sz w:val="28"/>
          <w:szCs w:val="28"/>
          <w:highlight w:val="none"/>
        </w:rPr>
      </w:pPr>
    </w:p>
    <w:p>
      <w:pPr>
        <w:pStyle w:val="22"/>
        <w:spacing w:before="0" w:beforeAutospacing="0" w:after="0" w:afterAutospacing="0" w:line="300" w:lineRule="auto"/>
        <w:jc w:val="center"/>
        <w:rPr>
          <w:rFonts w:cs="宋体"/>
          <w:b/>
          <w:bCs/>
          <w:color w:val="auto"/>
          <w:sz w:val="28"/>
          <w:szCs w:val="28"/>
          <w:highlight w:val="none"/>
        </w:rPr>
        <w:sectPr>
          <w:pgSz w:w="11906" w:h="16838"/>
          <w:pgMar w:top="1417" w:right="1417" w:bottom="1417" w:left="1417" w:header="720" w:footer="720" w:gutter="0"/>
          <w:cols w:space="720" w:num="1"/>
        </w:sectPr>
      </w:pPr>
    </w:p>
    <w:p>
      <w:pPr>
        <w:jc w:val="center"/>
        <w:rPr>
          <w:rFonts w:ascii="黑体" w:eastAsia="黑体"/>
          <w:color w:val="auto"/>
          <w:sz w:val="30"/>
          <w:szCs w:val="30"/>
          <w:highlight w:val="none"/>
        </w:rPr>
      </w:pPr>
      <w:r>
        <w:rPr>
          <w:rFonts w:hint="eastAsia" w:hAnsi="宋体"/>
          <w:b/>
          <w:bCs/>
          <w:color w:val="auto"/>
          <w:sz w:val="36"/>
          <w:szCs w:val="36"/>
          <w:highlight w:val="none"/>
        </w:rPr>
        <w:t>第三部分  专用合同条款</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一、词语定义及合同文件</w:t>
      </w:r>
    </w:p>
    <w:p>
      <w:pPr>
        <w:spacing w:line="360" w:lineRule="auto"/>
        <w:ind w:firstLine="482" w:firstLineChars="200"/>
        <w:jc w:val="left"/>
        <w:rPr>
          <w:rFonts w:hAnsi="宋体" w:cs="宋体"/>
          <w:color w:val="auto"/>
          <w:szCs w:val="24"/>
          <w:highlight w:val="none"/>
        </w:rPr>
      </w:pPr>
      <w:r>
        <w:rPr>
          <w:rFonts w:hint="eastAsia" w:hAnsi="宋体" w:cs="宋体"/>
          <w:b/>
          <w:bCs/>
          <w:color w:val="auto"/>
          <w:szCs w:val="24"/>
          <w:highlight w:val="none"/>
        </w:rPr>
        <w:t>1、</w:t>
      </w:r>
      <w:r>
        <w:rPr>
          <w:rFonts w:hint="eastAsia" w:hAnsi="宋体" w:cs="宋体"/>
          <w:color w:val="auto"/>
          <w:szCs w:val="24"/>
          <w:highlight w:val="none"/>
          <w:u w:val="single"/>
        </w:rPr>
        <w:t>专用合同条款是对通用条款中相应条款内容的解释、补充、删除或修改，其序号与通用条款中条款一一对应，未作改动的条款按通用条款执行。</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2、合同文件及解释顺序</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合同文件组成及解释顺序：</w:t>
      </w:r>
      <w:r>
        <w:rPr>
          <w:rFonts w:hint="eastAsia" w:hAnsi="宋体" w:cs="宋体"/>
          <w:color w:val="auto"/>
          <w:szCs w:val="24"/>
          <w:highlight w:val="none"/>
          <w:u w:val="single"/>
        </w:rPr>
        <w:t>﹙1﹚本合同协议书；﹙2﹚本合同专用条款；﹙3﹚中标通知书；﹙4﹚招标文件答疑纪要；﹙5﹚本合同通用条款；﹙6﹚标准规范及有关技术文件；（7）其他。</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3、语言文字和适用法律语言文字和适用法律、标准及规范</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  本合同除使用汉语外，还使用_________</w:t>
      </w:r>
      <w:r>
        <w:rPr>
          <w:rFonts w:hint="eastAsia" w:hAnsi="宋体" w:cs="宋体"/>
          <w:color w:val="auto"/>
          <w:szCs w:val="24"/>
          <w:highlight w:val="none"/>
          <w:u w:val="single"/>
        </w:rPr>
        <w:t>/</w:t>
      </w:r>
      <w:r>
        <w:rPr>
          <w:rFonts w:hint="eastAsia" w:hAnsi="宋体" w:cs="宋体"/>
          <w:color w:val="auto"/>
          <w:szCs w:val="24"/>
          <w:highlight w:val="none"/>
        </w:rPr>
        <w:t>__________语言文字。</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3.2  适用法律和法规需要明示的法律、行政法规：</w:t>
      </w:r>
      <w:r>
        <w:rPr>
          <w:rFonts w:hint="eastAsia" w:hAnsi="宋体" w:cs="宋体"/>
          <w:color w:val="auto"/>
          <w:szCs w:val="24"/>
          <w:highlight w:val="none"/>
          <w:u w:val="single"/>
        </w:rPr>
        <w:t>本合同适用于中华人民共和国法律，行政法规、陕西省地方法规。</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3.3  适用标准、规范 </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适用标准、规范的名称：</w:t>
      </w:r>
      <w:r>
        <w:rPr>
          <w:rFonts w:hint="eastAsia" w:hAnsi="宋体" w:cs="宋体"/>
          <w:color w:val="auto"/>
          <w:szCs w:val="24"/>
          <w:highlight w:val="none"/>
          <w:u w:val="single"/>
        </w:rPr>
        <w:t>﹙1﹚国家现行和相关技术规程；﹙2﹚工程所在地建设主管部门的标准、规范；﹙3﹚工程所在地行业的标准、规范。</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发包人提供标准、规范的时间：</w:t>
      </w:r>
      <w:r>
        <w:rPr>
          <w:rFonts w:hint="eastAsia" w:hAnsi="宋体" w:cs="宋体"/>
          <w:color w:val="auto"/>
          <w:szCs w:val="24"/>
          <w:highlight w:val="none"/>
          <w:u w:val="single"/>
        </w:rPr>
        <w:t xml:space="preserve">               /                    _</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国内没有相应标准、规范时的约定：</w:t>
      </w:r>
      <w:r>
        <w:rPr>
          <w:rFonts w:hint="eastAsia" w:hAnsi="宋体" w:cs="宋体"/>
          <w:color w:val="auto"/>
          <w:szCs w:val="24"/>
          <w:highlight w:val="none"/>
          <w:u w:val="single"/>
        </w:rPr>
        <w:t xml:space="preserve">                              。</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4、图纸</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4.1发包人向承包人提供图纸日期和套数</w:t>
      </w:r>
      <w:r>
        <w:rPr>
          <w:rFonts w:hint="eastAsia" w:hAnsi="宋体" w:cs="宋体"/>
          <w:color w:val="auto"/>
          <w:szCs w:val="24"/>
          <w:highlight w:val="none"/>
          <w:u w:val="single"/>
        </w:rPr>
        <w:t>：    /                       。</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发包人对图纸的保密要求</w:t>
      </w:r>
      <w:r>
        <w:rPr>
          <w:rFonts w:hint="eastAsia" w:hAnsi="宋体" w:cs="宋体"/>
          <w:color w:val="auto"/>
          <w:szCs w:val="24"/>
          <w:highlight w:val="none"/>
          <w:u w:val="single"/>
        </w:rPr>
        <w:t>：         /           。</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使用国外图纸的要求及费用承担：</w:t>
      </w:r>
      <w:r>
        <w:rPr>
          <w:rFonts w:hint="eastAsia" w:hAnsi="宋体" w:cs="宋体"/>
          <w:color w:val="auto"/>
          <w:szCs w:val="24"/>
          <w:highlight w:val="none"/>
          <w:u w:val="single"/>
        </w:rPr>
        <w:t>____无_____</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二、双方一般权利和义务</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5、工程师</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5.2监理单位委派的工程师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姓名：______/_________职务：______/________</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发包人委托的职权：</w:t>
      </w:r>
      <w:r>
        <w:rPr>
          <w:rFonts w:hint="eastAsia" w:hAnsi="宋体" w:cs="宋体"/>
          <w:color w:val="auto"/>
          <w:szCs w:val="24"/>
          <w:highlight w:val="none"/>
          <w:u w:val="single"/>
        </w:rPr>
        <w:t xml:space="preserve">               /                   </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需要取得发包人批准才能行使的职权：</w:t>
      </w:r>
      <w:r>
        <w:rPr>
          <w:rFonts w:hint="eastAsia" w:hAnsi="宋体" w:cs="宋体"/>
          <w:color w:val="auto"/>
          <w:szCs w:val="24"/>
          <w:highlight w:val="none"/>
          <w:u w:val="single"/>
        </w:rPr>
        <w:t xml:space="preserve">         /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5.4发包人派驻的工程师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姓名：____________________职务：________________________________</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职权：</w:t>
      </w:r>
      <w:r>
        <w:rPr>
          <w:rFonts w:hint="eastAsia" w:hAnsi="宋体" w:cs="宋体"/>
          <w:color w:val="auto"/>
          <w:szCs w:val="24"/>
          <w:highlight w:val="none"/>
          <w:u w:val="single"/>
        </w:rPr>
        <w:t xml:space="preserve">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5.6不实行监理的，工程师的职权：________</w:t>
      </w:r>
      <w:r>
        <w:rPr>
          <w:rFonts w:hint="eastAsia" w:hAnsi="宋体" w:cs="宋体"/>
          <w:color w:val="auto"/>
          <w:szCs w:val="24"/>
          <w:highlight w:val="none"/>
          <w:u w:val="single"/>
        </w:rPr>
        <w:t>/_</w:t>
      </w:r>
      <w:r>
        <w:rPr>
          <w:rFonts w:hint="eastAsia" w:hAnsi="宋体" w:cs="宋体"/>
          <w:color w:val="auto"/>
          <w:szCs w:val="24"/>
          <w:highlight w:val="none"/>
        </w:rPr>
        <w:t>____________________</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6、项目经理</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姓名：___________职务：___________________</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7、发包人工作</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7.1发包人应按约定的时间和要求完成以下工作：</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（1）施工场地具备施工条件的要求及完成的时间：</w:t>
      </w:r>
      <w:r>
        <w:rPr>
          <w:rFonts w:hint="eastAsia" w:hAnsi="宋体" w:cs="宋体"/>
          <w:color w:val="auto"/>
          <w:szCs w:val="24"/>
          <w:highlight w:val="none"/>
          <w:u w:val="single"/>
        </w:rPr>
        <w:t>工程开工前五日内完成。</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（2）将施工所需的水、电、电讯线路接至施工场地的时间、地点和供应要求：</w:t>
      </w:r>
      <w:r>
        <w:rPr>
          <w:rFonts w:hint="eastAsia" w:hAnsi="宋体" w:cs="宋体"/>
          <w:color w:val="auto"/>
          <w:szCs w:val="24"/>
          <w:highlight w:val="none"/>
          <w:u w:val="single"/>
        </w:rPr>
        <w:t>本工程施工水源、电源、电讯均由承包人自行解决并承担费用。</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其计量和计价方法为：</w:t>
      </w:r>
      <w:r>
        <w:rPr>
          <w:rFonts w:hint="eastAsia" w:hAnsi="宋体" w:cs="宋体"/>
          <w:color w:val="auto"/>
          <w:szCs w:val="24"/>
          <w:highlight w:val="none"/>
          <w:u w:val="single"/>
        </w:rPr>
        <w:t>由承包人承担费用，按不同来源在投标时自主报价，结算时不再调整。</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（3）施工场地与公共道路的通道开通时间和要求：</w:t>
      </w:r>
      <w:r>
        <w:rPr>
          <w:rFonts w:hint="eastAsia" w:hAnsi="宋体" w:cs="宋体"/>
          <w:color w:val="auto"/>
          <w:szCs w:val="24"/>
          <w:highlight w:val="none"/>
          <w:u w:val="single"/>
        </w:rPr>
        <w:t xml:space="preserve">             </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（4）工程地质和地下管线资料的提供时间：</w:t>
      </w:r>
      <w:r>
        <w:rPr>
          <w:rFonts w:hint="eastAsia" w:hAnsi="宋体" w:cs="宋体"/>
          <w:color w:val="auto"/>
          <w:szCs w:val="24"/>
          <w:highlight w:val="none"/>
          <w:u w:val="single"/>
        </w:rPr>
        <w:t>合同签订七日内提供发包人已知的情况，其它由承包人自行勘测和解决。</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（5）由发包人办理的施工所需证件、批件的名称和完成时间：</w:t>
      </w:r>
      <w:r>
        <w:rPr>
          <w:rFonts w:hint="eastAsia" w:hAnsi="宋体" w:cs="宋体"/>
          <w:color w:val="auto"/>
          <w:szCs w:val="24"/>
          <w:highlight w:val="none"/>
          <w:u w:val="single"/>
        </w:rPr>
        <w:t>合同签订后发包人积极办理，需要承包人配合的承包人必须积极配合在开工前完成</w:t>
      </w:r>
      <w:r>
        <w:rPr>
          <w:rFonts w:hint="eastAsia" w:hAnsi="宋体" w:cs="宋体"/>
          <w:color w:val="auto"/>
          <w:szCs w:val="24"/>
          <w:highlight w:val="none"/>
        </w:rPr>
        <w:t>。</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（6）水准点与座标控制点交验要求：</w:t>
      </w:r>
      <w:r>
        <w:rPr>
          <w:rFonts w:hint="eastAsia" w:hAnsi="宋体" w:cs="宋体"/>
          <w:color w:val="auto"/>
          <w:szCs w:val="24"/>
          <w:highlight w:val="none"/>
          <w:u w:val="single"/>
        </w:rPr>
        <w:t>/。</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（7）施工交底时间：</w:t>
      </w:r>
      <w:r>
        <w:rPr>
          <w:rFonts w:hint="eastAsia" w:hAnsi="宋体" w:cs="宋体"/>
          <w:color w:val="auto"/>
          <w:szCs w:val="24"/>
          <w:highlight w:val="none"/>
          <w:u w:val="single"/>
        </w:rPr>
        <w:t xml:space="preserve">       。</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（8）协调处理施工场地周围地下管线和邻近建筑物、构筑物（含文物保护建筑）、古树名木的保护工作：</w:t>
      </w:r>
      <w:r>
        <w:rPr>
          <w:rFonts w:hint="eastAsia" w:hAnsi="宋体" w:cs="宋体"/>
          <w:color w:val="auto"/>
          <w:szCs w:val="24"/>
          <w:highlight w:val="none"/>
          <w:u w:val="single"/>
        </w:rPr>
        <w:t>由发包人和承包人协商确定。</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（9）双方约定发包人应做的其他工作：</w:t>
      </w:r>
      <w:r>
        <w:rPr>
          <w:rFonts w:hint="eastAsia" w:hAnsi="宋体" w:cs="宋体"/>
          <w:color w:val="auto"/>
          <w:szCs w:val="24"/>
          <w:highlight w:val="none"/>
          <w:u w:val="single"/>
        </w:rPr>
        <w:t>施工中的协调配合工作。</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7.2发包人委托承包人办理的工作：</w:t>
      </w:r>
      <w:r>
        <w:rPr>
          <w:rFonts w:hint="eastAsia" w:hAnsi="宋体" w:cs="宋体"/>
          <w:color w:val="auto"/>
          <w:szCs w:val="24"/>
          <w:highlight w:val="none"/>
          <w:u w:val="single"/>
        </w:rPr>
        <w:t>配合发包人办理施工许可证、质量监督备案手续。</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8、承包人工作</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8.1承包人应按约定时间和要求，完成以下工作：</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（1）需由设计资质等级和业务范围允许的承包人完成的设计文件提交时间：</w:t>
      </w:r>
      <w:r>
        <w:rPr>
          <w:rFonts w:hint="eastAsia" w:hAnsi="宋体" w:cs="宋体"/>
          <w:color w:val="auto"/>
          <w:szCs w:val="24"/>
          <w:highlight w:val="none"/>
          <w:u w:val="single"/>
        </w:rPr>
        <w:t>按发包人的要求提供。</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（2）应提供计划、报表的名称及完成时间：</w:t>
      </w:r>
      <w:r>
        <w:rPr>
          <w:rFonts w:hint="eastAsia" w:hAnsi="宋体" w:cs="宋体"/>
          <w:color w:val="auto"/>
          <w:szCs w:val="24"/>
          <w:highlight w:val="none"/>
          <w:u w:val="single"/>
        </w:rPr>
        <w:t xml:space="preserve">        /          。</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（3）承担施工安全保卫工作及非夜间施工照明的责任和要求：</w:t>
      </w:r>
      <w:r>
        <w:rPr>
          <w:rFonts w:hint="eastAsia" w:hAnsi="宋体" w:cs="宋体"/>
          <w:color w:val="auto"/>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（4）向发包人提供的办公和生活房屋及设施的要求：</w:t>
      </w:r>
      <w:r>
        <w:rPr>
          <w:rFonts w:hint="eastAsia" w:hAnsi="宋体" w:cs="宋体"/>
          <w:color w:val="auto"/>
          <w:szCs w:val="24"/>
          <w:highlight w:val="none"/>
          <w:u w:val="single"/>
        </w:rPr>
        <w:t>/</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（5）需承包人办理的有关施工场地交通、环卫和施工噪音管理等手续：</w:t>
      </w:r>
      <w:r>
        <w:rPr>
          <w:rFonts w:hint="eastAsia" w:hAnsi="宋体" w:cs="宋体"/>
          <w:color w:val="auto"/>
          <w:szCs w:val="24"/>
          <w:highlight w:val="none"/>
          <w:u w:val="single"/>
        </w:rPr>
        <w:t>由承包人负责各项手续的办理并承担费用。</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（6）已完工程成品保护的特殊要求及费用承担：</w:t>
      </w:r>
      <w:r>
        <w:rPr>
          <w:rFonts w:hint="eastAsia" w:hAnsi="宋体" w:cs="宋体"/>
          <w:color w:val="auto"/>
          <w:szCs w:val="24"/>
          <w:highlight w:val="none"/>
          <w:u w:val="single"/>
        </w:rPr>
        <w:t>承包人负责，费用由承包人承担。</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（7）施工场地周围地下管线和邻近建筑物、构筑物（含文物保护建筑）、古树名木的保护要求及费用承担：</w:t>
      </w:r>
      <w:r>
        <w:rPr>
          <w:rFonts w:hint="eastAsia" w:hAnsi="宋体" w:cs="宋体"/>
          <w:color w:val="auto"/>
          <w:szCs w:val="24"/>
          <w:highlight w:val="none"/>
          <w:u w:val="single"/>
        </w:rPr>
        <w:t>由发包人和承包人负责协商确定。</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（8）施工场地清洁卫生的要求：</w:t>
      </w:r>
      <w:r>
        <w:rPr>
          <w:rFonts w:hint="eastAsia" w:hAnsi="宋体" w:cs="宋体"/>
          <w:color w:val="auto"/>
          <w:szCs w:val="24"/>
          <w:highlight w:val="none"/>
          <w:u w:val="single"/>
        </w:rPr>
        <w:t>由承包人负责。</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（9）双方约定承包人应做的其他工作：</w:t>
      </w:r>
      <w:r>
        <w:rPr>
          <w:rFonts w:hint="eastAsia" w:hAnsi="宋体" w:cs="宋体"/>
          <w:color w:val="auto"/>
          <w:szCs w:val="24"/>
          <w:highlight w:val="none"/>
          <w:u w:val="single"/>
        </w:rPr>
        <w:t>相关的对外协调工作。</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三、施工组织设计和工期</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9、进度计划</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9.1承包人提供施工组织设计（施工方案）和进度计划的时间：</w:t>
      </w:r>
      <w:r>
        <w:rPr>
          <w:rFonts w:hint="eastAsia" w:hAnsi="宋体" w:cs="宋体"/>
          <w:color w:val="auto"/>
          <w:szCs w:val="24"/>
          <w:highlight w:val="none"/>
          <w:u w:val="single"/>
        </w:rPr>
        <w:t>合同签订后20日内。</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工程师确认的时间：</w:t>
      </w:r>
      <w:r>
        <w:rPr>
          <w:rFonts w:hint="eastAsia" w:hAnsi="宋体" w:cs="宋体"/>
          <w:color w:val="auto"/>
          <w:szCs w:val="24"/>
          <w:highlight w:val="none"/>
          <w:u w:val="single"/>
        </w:rPr>
        <w:t>承包人接交之日起七日内。</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9.2群体工程中有关进度计划的要求：</w:t>
      </w:r>
      <w:r>
        <w:rPr>
          <w:rFonts w:hint="eastAsia" w:hAnsi="宋体" w:cs="宋体"/>
          <w:color w:val="auto"/>
          <w:szCs w:val="24"/>
          <w:highlight w:val="none"/>
          <w:u w:val="single"/>
        </w:rPr>
        <w:t>以发包人的要求为准。</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10、工期延误</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10.1双方约定工期顺延的其他情况：</w:t>
      </w:r>
      <w:r>
        <w:rPr>
          <w:rFonts w:hint="eastAsia" w:hAnsi="宋体" w:cs="宋体"/>
          <w:color w:val="auto"/>
          <w:szCs w:val="24"/>
          <w:highlight w:val="none"/>
          <w:u w:val="single"/>
        </w:rPr>
        <w:t>执行《通用条款》。</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四、质量与检验</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11、隐蔽工程和中间验收 </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11.1双方约定中间验收部位：</w:t>
      </w:r>
      <w:r>
        <w:rPr>
          <w:rFonts w:hint="eastAsia" w:hAnsi="宋体" w:cs="宋体"/>
          <w:color w:val="auto"/>
          <w:szCs w:val="24"/>
          <w:highlight w:val="none"/>
          <w:u w:val="single"/>
        </w:rPr>
        <w:t>执行《通用条款》。</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12、工程试车 </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12.1试车费用的承担：</w:t>
      </w:r>
      <w:r>
        <w:rPr>
          <w:rFonts w:hint="eastAsia" w:hAnsi="宋体" w:cs="宋体"/>
          <w:color w:val="auto"/>
          <w:szCs w:val="24"/>
          <w:highlight w:val="none"/>
          <w:u w:val="single"/>
        </w:rPr>
        <w:t>由承包人承担。</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五、安全生产</w:t>
      </w:r>
    </w:p>
    <w:p>
      <w:pPr>
        <w:spacing w:line="360" w:lineRule="auto"/>
        <w:ind w:firstLine="480" w:firstLineChars="200"/>
        <w:jc w:val="left"/>
        <w:rPr>
          <w:rFonts w:hAnsi="宋体" w:cs="宋体"/>
          <w:bCs/>
          <w:color w:val="auto"/>
          <w:szCs w:val="24"/>
          <w:highlight w:val="none"/>
        </w:rPr>
      </w:pPr>
      <w:r>
        <w:rPr>
          <w:rFonts w:hint="eastAsia" w:hAnsi="宋体" w:cs="宋体"/>
          <w:bCs/>
          <w:color w:val="auto"/>
          <w:szCs w:val="24"/>
          <w:highlight w:val="none"/>
        </w:rPr>
        <w:t>13、项目实施单位履行安全生产监管责任，项目施工单位履行安全生产主体责任。（详见作业设计说明书）</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六、合同价款</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13、合同价款约定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13.1本合同价款采用</w:t>
      </w:r>
      <w:r>
        <w:rPr>
          <w:rFonts w:hint="eastAsia" w:hAnsi="宋体" w:cs="宋体"/>
          <w:color w:val="auto"/>
          <w:szCs w:val="24"/>
          <w:highlight w:val="none"/>
          <w:u w:val="single"/>
        </w:rPr>
        <w:t xml:space="preserve">  （1）_</w:t>
      </w:r>
      <w:r>
        <w:rPr>
          <w:rFonts w:hint="eastAsia" w:hAnsi="宋体" w:cs="宋体"/>
          <w:color w:val="auto"/>
          <w:szCs w:val="24"/>
          <w:highlight w:val="none"/>
        </w:rPr>
        <w:t>方式确定。</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（1）采用固定总价合同：</w:t>
      </w:r>
    </w:p>
    <w:p>
      <w:pPr>
        <w:spacing w:line="360" w:lineRule="auto"/>
        <w:ind w:firstLine="480" w:firstLineChars="200"/>
        <w:jc w:val="left"/>
        <w:rPr>
          <w:rFonts w:hAnsi="宋体" w:cs="宋体"/>
          <w:color w:val="auto"/>
          <w:szCs w:val="24"/>
          <w:highlight w:val="none"/>
          <w:u w:val="single"/>
        </w:rPr>
      </w:pPr>
      <w:r>
        <w:rPr>
          <w:rFonts w:hint="eastAsia" w:hAnsi="宋体" w:cs="宋体"/>
          <w:color w:val="auto"/>
          <w:szCs w:val="24"/>
          <w:highlight w:val="none"/>
        </w:rPr>
        <w:t>（2）采用固定综合单价合同，综合单价中包括的风险范围：</w:t>
      </w:r>
      <w:r>
        <w:rPr>
          <w:rFonts w:hint="eastAsia" w:hAnsi="宋体" w:cs="宋体"/>
          <w:color w:val="auto"/>
          <w:szCs w:val="24"/>
          <w:highlight w:val="none"/>
          <w:u w:val="single"/>
        </w:rPr>
        <w:t xml:space="preserve">  /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（3）采用可调价格合同，合同价款调整方法：_______</w:t>
      </w:r>
      <w:r>
        <w:rPr>
          <w:rFonts w:hint="eastAsia" w:hAnsi="宋体" w:cs="宋体"/>
          <w:color w:val="auto"/>
          <w:szCs w:val="24"/>
          <w:highlight w:val="none"/>
          <w:u w:val="single"/>
        </w:rPr>
        <w:t>__/__</w:t>
      </w:r>
      <w:r>
        <w:rPr>
          <w:rFonts w:hint="eastAsia" w:hAnsi="宋体" w:cs="宋体"/>
          <w:color w:val="auto"/>
          <w:szCs w:val="24"/>
          <w:highlight w:val="none"/>
        </w:rPr>
        <w:t>___________</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14、合同价款调整</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14.1双方约定合同价款的其他调整因素：__________</w:t>
      </w:r>
      <w:r>
        <w:rPr>
          <w:rFonts w:hint="eastAsia" w:hAnsi="宋体" w:cs="宋体"/>
          <w:color w:val="auto"/>
          <w:szCs w:val="24"/>
          <w:highlight w:val="none"/>
          <w:u w:val="single"/>
        </w:rPr>
        <w:t>_/</w:t>
      </w:r>
      <w:r>
        <w:rPr>
          <w:rFonts w:hint="eastAsia" w:hAnsi="宋体" w:cs="宋体"/>
          <w:color w:val="auto"/>
          <w:szCs w:val="24"/>
          <w:highlight w:val="none"/>
        </w:rPr>
        <w:t>_______________</w:t>
      </w:r>
    </w:p>
    <w:p>
      <w:pP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15、工程预付款</w:t>
      </w:r>
    </w:p>
    <w:p>
      <w:pPr>
        <w:spacing w:line="360" w:lineRule="auto"/>
        <w:ind w:firstLine="480" w:firstLineChars="200"/>
        <w:jc w:val="left"/>
        <w:rPr>
          <w:rFonts w:hAnsi="宋体" w:cs="宋体"/>
          <w:color w:val="auto"/>
          <w:szCs w:val="24"/>
          <w:highlight w:val="none"/>
          <w:u w:val="thick"/>
        </w:rPr>
      </w:pPr>
      <w:r>
        <w:rPr>
          <w:rFonts w:hint="eastAsia" w:hAnsi="宋体" w:cs="宋体"/>
          <w:color w:val="auto"/>
          <w:szCs w:val="24"/>
          <w:highlight w:val="none"/>
        </w:rPr>
        <w:t>发包人向承包人预付工程款的时间和金额或占合同价款总额的比例：</w:t>
      </w:r>
      <w:r>
        <w:rPr>
          <w:rFonts w:hint="eastAsia" w:hAnsi="宋体" w:cs="宋体"/>
          <w:color w:val="auto"/>
          <w:szCs w:val="24"/>
          <w:highlight w:val="none"/>
          <w:u w:val="single"/>
        </w:rPr>
        <w:t xml:space="preserve"> / </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预付安全防护、文明施工措施费用的比例和时间：</w:t>
      </w:r>
      <w:r>
        <w:rPr>
          <w:rFonts w:hint="eastAsia" w:hAnsi="宋体" w:cs="宋体"/>
          <w:color w:val="auto"/>
          <w:szCs w:val="24"/>
          <w:highlight w:val="none"/>
          <w:u w:val="single"/>
        </w:rPr>
        <w:t xml:space="preserve"> / </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16、工程量确认</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16.1承包人向工程师提交已完工程量报告的时间：</w:t>
      </w:r>
      <w:r>
        <w:rPr>
          <w:rFonts w:hint="eastAsia" w:hAnsi="宋体" w:cs="宋体"/>
          <w:color w:val="auto"/>
          <w:szCs w:val="24"/>
          <w:highlight w:val="none"/>
          <w:u w:val="single"/>
        </w:rPr>
        <w:t>每月的26日承包人向发包人提交25日以前已完工程量报告。</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17、工程进度款结算与支付</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双方约定的工程进度款支付的方式、时间和比例是：详见合同条款及格式前附表</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七、材料设备供应</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31发包人供应材料设备，承包人应按计划领取使用，在结算时发包人按暂定价从工程款中扣除。</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31.4发包人供应的材料设备与一览表不符时，双方约定发包人承担责任如下：</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（1）材料设备单价与一览表不符：</w:t>
      </w:r>
      <w:r>
        <w:rPr>
          <w:rFonts w:hint="eastAsia" w:hAnsi="宋体" w:cs="宋体"/>
          <w:color w:val="auto"/>
          <w:szCs w:val="24"/>
          <w:highlight w:val="none"/>
          <w:u w:val="single"/>
        </w:rPr>
        <w:t>执行《通用条款》31.4.（1）款。</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（2）材料设备的品种、规格、型号、质量等级与一览表不符：</w:t>
      </w:r>
      <w:r>
        <w:rPr>
          <w:rFonts w:hint="eastAsia" w:hAnsi="宋体" w:cs="宋体"/>
          <w:color w:val="auto"/>
          <w:szCs w:val="24"/>
          <w:highlight w:val="none"/>
          <w:u w:val="single"/>
        </w:rPr>
        <w:t>执行《通用条款》31.4(2)款。</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（3）承包人可代为调剂串换的材料：</w:t>
      </w:r>
      <w:r>
        <w:rPr>
          <w:rFonts w:hint="eastAsia" w:hAnsi="宋体" w:cs="宋体"/>
          <w:color w:val="auto"/>
          <w:szCs w:val="24"/>
          <w:highlight w:val="none"/>
          <w:u w:val="single"/>
        </w:rPr>
        <w:t>执行《通用条款》31.4.（3）款。</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（4）到货地点与一览表不符：</w:t>
      </w:r>
      <w:r>
        <w:rPr>
          <w:rFonts w:hint="eastAsia" w:hAnsi="宋体" w:cs="宋体"/>
          <w:color w:val="auto"/>
          <w:szCs w:val="24"/>
          <w:highlight w:val="none"/>
          <w:u w:val="single"/>
        </w:rPr>
        <w:t>执行《通用条款》31.4.（4）款。</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（5）供应数量与一览表不符：</w:t>
      </w:r>
      <w:r>
        <w:rPr>
          <w:rFonts w:hint="eastAsia" w:hAnsi="宋体" w:cs="宋体"/>
          <w:color w:val="auto"/>
          <w:szCs w:val="24"/>
          <w:highlight w:val="none"/>
          <w:u w:val="single"/>
        </w:rPr>
        <w:t>执行《通用条款》31.4.（5）款。</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（6）到货时间与一览表不符：</w:t>
      </w:r>
      <w:r>
        <w:rPr>
          <w:rFonts w:hint="eastAsia" w:hAnsi="宋体" w:cs="宋体"/>
          <w:color w:val="auto"/>
          <w:szCs w:val="24"/>
          <w:highlight w:val="none"/>
          <w:u w:val="single"/>
        </w:rPr>
        <w:t>执行《通用条款》31.4.（6）款。</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31.6发包人供应材料设备的结算方法：</w:t>
      </w:r>
      <w:r>
        <w:rPr>
          <w:rFonts w:hint="eastAsia" w:hAnsi="宋体" w:cs="宋体"/>
          <w:color w:val="auto"/>
          <w:szCs w:val="24"/>
          <w:highlight w:val="none"/>
          <w:u w:val="single"/>
        </w:rPr>
        <w:t xml:space="preserve">  无 </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32、承包人采购材料设备</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32.1承包人采购材料设备的约定：</w:t>
      </w:r>
      <w:r>
        <w:rPr>
          <w:rFonts w:hint="eastAsia" w:hAnsi="宋体" w:cs="宋体"/>
          <w:color w:val="auto"/>
          <w:szCs w:val="24"/>
          <w:highlight w:val="none"/>
          <w:u w:val="single"/>
        </w:rPr>
        <w:t>乙方自行采购的材料规格型号应与施工图设计相符，质量等级必须合格。</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八、工程变更</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33、在本工程实施过程中若发生变更，按下列各项执行：</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33.1</w:t>
      </w:r>
      <w:r>
        <w:rPr>
          <w:rFonts w:hint="eastAsia" w:hAnsi="宋体" w:cs="宋体"/>
          <w:color w:val="auto"/>
          <w:szCs w:val="24"/>
          <w:highlight w:val="none"/>
          <w:u w:val="single"/>
        </w:rPr>
        <w:t>合同中已有适用综合单价的，可参照类似综合单价调整；</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33.2</w:t>
      </w:r>
      <w:r>
        <w:rPr>
          <w:rFonts w:hint="eastAsia" w:hAnsi="宋体" w:cs="宋体"/>
          <w:color w:val="auto"/>
          <w:szCs w:val="24"/>
          <w:highlight w:val="none"/>
          <w:u w:val="single"/>
        </w:rPr>
        <w:t>合同中有类似综合单价的，可参照类似综合单价调整；</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33.3</w:t>
      </w:r>
      <w:r>
        <w:rPr>
          <w:rFonts w:hint="eastAsia" w:hAnsi="宋体" w:cs="宋体"/>
          <w:color w:val="auto"/>
          <w:szCs w:val="24"/>
          <w:highlight w:val="none"/>
          <w:u w:val="single"/>
        </w:rPr>
        <w:t>合同中没有适用或类似综合单价的承包人按照投标书人工工日、材料、机械台班单价进行组价，报发包人审核认可。</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九、竣工验收与结算</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36、竣工验收</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36.1承包人提供竣工图的约定：</w:t>
      </w:r>
      <w:r>
        <w:rPr>
          <w:rFonts w:hint="eastAsia" w:hAnsi="宋体" w:cs="宋体"/>
          <w:color w:val="auto"/>
          <w:szCs w:val="24"/>
          <w:highlight w:val="none"/>
          <w:u w:val="single"/>
        </w:rPr>
        <w:t>完整资料文件两套。</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36.6中间交工工程的范围和竣工时间：_______________</w:t>
      </w:r>
      <w:r>
        <w:rPr>
          <w:rFonts w:hint="eastAsia" w:hAnsi="宋体" w:cs="宋体"/>
          <w:color w:val="auto"/>
          <w:szCs w:val="24"/>
          <w:highlight w:val="none"/>
          <w:u w:val="single"/>
        </w:rPr>
        <w:t>/</w:t>
      </w:r>
      <w:r>
        <w:rPr>
          <w:rFonts w:hint="eastAsia" w:hAnsi="宋体" w:cs="宋体"/>
          <w:color w:val="auto"/>
          <w:szCs w:val="24"/>
          <w:highlight w:val="none"/>
        </w:rPr>
        <w:t>_______________</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37、竣工结算</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 xml:space="preserve">结算审查期限： </w:t>
      </w:r>
      <w:r>
        <w:rPr>
          <w:rFonts w:hint="eastAsia" w:hAnsi="宋体" w:cs="宋体"/>
          <w:color w:val="auto"/>
          <w:szCs w:val="24"/>
          <w:highlight w:val="none"/>
          <w:u w:val="single"/>
        </w:rPr>
        <w:t xml:space="preserve">  /   </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十、违约、索赔和争议</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39、违约</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39.1  本合同中关于发包人违约的具体责任如下： </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本合同通用条款第28.1条约定发包人违约应承担的违约责任：</w:t>
      </w:r>
      <w:r>
        <w:rPr>
          <w:rFonts w:hint="eastAsia" w:hAnsi="宋体" w:cs="宋体"/>
          <w:color w:val="auto"/>
          <w:szCs w:val="24"/>
          <w:highlight w:val="none"/>
          <w:u w:val="single"/>
        </w:rPr>
        <w:t xml:space="preserve">  _</w:t>
      </w:r>
      <w:r>
        <w:rPr>
          <w:rFonts w:hint="eastAsia" w:hAnsi="宋体" w:cs="宋体"/>
          <w:color w:val="auto"/>
          <w:szCs w:val="24"/>
          <w:highlight w:val="none"/>
        </w:rPr>
        <w:t>/_</w:t>
      </w:r>
      <w:r>
        <w:rPr>
          <w:rFonts w:hint="eastAsia" w:hAnsi="宋体" w:cs="宋体"/>
          <w:color w:val="auto"/>
          <w:szCs w:val="24"/>
          <w:highlight w:val="none"/>
          <w:u w:val="single"/>
        </w:rPr>
        <w:t xml:space="preserve">_   </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本合同通用条款第30.5款约定发包人违约应承担的违约责任：</w:t>
      </w:r>
      <w:r>
        <w:rPr>
          <w:rFonts w:hint="eastAsia" w:hAnsi="宋体" w:cs="宋体"/>
          <w:color w:val="auto"/>
          <w:szCs w:val="24"/>
          <w:highlight w:val="none"/>
          <w:u w:val="single"/>
        </w:rPr>
        <w:t>执行《通用条款》30.5款。</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本合同通用条款第37.6款约定发包人违约应承担的违约责任：</w:t>
      </w:r>
      <w:r>
        <w:rPr>
          <w:rFonts w:hint="eastAsia" w:hAnsi="宋体" w:cs="宋体"/>
          <w:color w:val="auto"/>
          <w:szCs w:val="24"/>
          <w:highlight w:val="none"/>
          <w:u w:val="single"/>
        </w:rPr>
        <w:t>执行《通用条款》37.6款。</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双方约定的发包人其他违约责任：__________/_________</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39.2  本合同中关于承包人违约的具体责任如下：本合同通用条款第14.2款约定承包人违约承担的违约责任：</w:t>
      </w:r>
      <w:r>
        <w:rPr>
          <w:rFonts w:hint="eastAsia" w:hAnsi="宋体" w:cs="宋体"/>
          <w:color w:val="auto"/>
          <w:szCs w:val="24"/>
          <w:highlight w:val="none"/>
          <w:u w:val="single"/>
        </w:rPr>
        <w:t>承包人工期每推迟一天罚款1000元，若影响到发包人使用另行赔偿给甲方造成的损失。</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本合同通用条款第15.1款约定承包人违约应承担的违约责任：</w:t>
      </w:r>
      <w:r>
        <w:rPr>
          <w:rFonts w:hint="eastAsia" w:hAnsi="宋体" w:cs="宋体"/>
          <w:color w:val="auto"/>
          <w:szCs w:val="24"/>
          <w:highlight w:val="none"/>
          <w:u w:val="single"/>
        </w:rPr>
        <w:t>承包方除按合同价款的2%承担违约金外，另按国务院279号令有关规定执行。</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双方约定的承包人其他违约责任：______</w:t>
      </w:r>
      <w:r>
        <w:rPr>
          <w:rFonts w:hint="eastAsia" w:hAnsi="宋体" w:cs="宋体"/>
          <w:color w:val="auto"/>
          <w:szCs w:val="24"/>
          <w:highlight w:val="none"/>
          <w:u w:val="single"/>
        </w:rPr>
        <w:t>/</w:t>
      </w:r>
      <w:r>
        <w:rPr>
          <w:rFonts w:hint="eastAsia" w:hAnsi="宋体" w:cs="宋体"/>
          <w:color w:val="auto"/>
          <w:szCs w:val="24"/>
          <w:highlight w:val="none"/>
        </w:rPr>
        <w:t>________</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41、争议</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41.1双方当事人约定，在履行合同过程中产生争议时：</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（1）请_</w:t>
      </w:r>
      <w:r>
        <w:rPr>
          <w:rFonts w:hint="eastAsia" w:hAnsi="宋体" w:cs="宋体"/>
          <w:color w:val="auto"/>
          <w:szCs w:val="24"/>
          <w:highlight w:val="none"/>
          <w:u w:val="single"/>
        </w:rPr>
        <w:t>合同管理部门和其他有关部门</w:t>
      </w:r>
      <w:r>
        <w:rPr>
          <w:rFonts w:hint="eastAsia" w:hAnsi="宋体" w:cs="宋体"/>
          <w:color w:val="auto"/>
          <w:szCs w:val="24"/>
          <w:highlight w:val="none"/>
        </w:rPr>
        <w:t>_调解；</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（2）合同争议调解不成的，按下列第_</w:t>
      </w:r>
      <w:r>
        <w:rPr>
          <w:rFonts w:hint="eastAsia" w:hAnsi="宋体" w:cs="宋体"/>
          <w:color w:val="auto"/>
          <w:szCs w:val="24"/>
          <w:highlight w:val="none"/>
          <w:u w:val="single"/>
        </w:rPr>
        <w:t xml:space="preserve"> 1）</w:t>
      </w:r>
      <w:r>
        <w:rPr>
          <w:rFonts w:hint="eastAsia" w:hAnsi="宋体" w:cs="宋体"/>
          <w:color w:val="auto"/>
          <w:szCs w:val="24"/>
          <w:highlight w:val="none"/>
        </w:rPr>
        <w:t>_种方式解决：</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1）提交</w:t>
      </w:r>
      <w:r>
        <w:rPr>
          <w:rFonts w:hint="eastAsia" w:hAnsi="宋体" w:cs="宋体"/>
          <w:color w:val="auto"/>
          <w:szCs w:val="24"/>
          <w:highlight w:val="none"/>
          <w:u w:val="single"/>
        </w:rPr>
        <w:t xml:space="preserve"> 镇安县 </w:t>
      </w:r>
      <w:r>
        <w:rPr>
          <w:rFonts w:hint="eastAsia" w:hAnsi="宋体" w:cs="宋体"/>
          <w:color w:val="auto"/>
          <w:szCs w:val="24"/>
          <w:highlight w:val="none"/>
        </w:rPr>
        <w:t xml:space="preserve">仲裁委员会申请仲裁； </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2）依法</w:t>
      </w:r>
      <w:r>
        <w:rPr>
          <w:rFonts w:hint="eastAsia" w:hAnsi="宋体" w:cs="宋体"/>
          <w:color w:val="auto"/>
          <w:szCs w:val="24"/>
          <w:highlight w:val="none"/>
          <w:u w:val="single"/>
        </w:rPr>
        <w:t xml:space="preserve">向     </w:t>
      </w:r>
      <w:r>
        <w:rPr>
          <w:rFonts w:hint="eastAsia" w:hAnsi="宋体" w:cs="宋体"/>
          <w:color w:val="auto"/>
          <w:szCs w:val="24"/>
          <w:highlight w:val="none"/>
        </w:rPr>
        <w:t xml:space="preserve">人民法院提起诉讼。 </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十一、其他</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42、工程分包</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42.1本工程发包人同意承包人分包的专业工程：</w:t>
      </w:r>
      <w:r>
        <w:rPr>
          <w:rFonts w:hint="eastAsia" w:hAnsi="宋体" w:cs="宋体"/>
          <w:color w:val="auto"/>
          <w:szCs w:val="24"/>
          <w:highlight w:val="none"/>
          <w:u w:val="single"/>
        </w:rPr>
        <w:t xml:space="preserve">   无  </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分包施工单位为：___________</w:t>
      </w:r>
      <w:r>
        <w:rPr>
          <w:rFonts w:hint="eastAsia" w:hAnsi="宋体" w:cs="宋体"/>
          <w:color w:val="auto"/>
          <w:szCs w:val="24"/>
          <w:highlight w:val="none"/>
          <w:u w:val="single"/>
        </w:rPr>
        <w:t>/</w:t>
      </w:r>
      <w:r>
        <w:rPr>
          <w:rFonts w:hint="eastAsia" w:hAnsi="宋体" w:cs="宋体"/>
          <w:color w:val="auto"/>
          <w:szCs w:val="24"/>
          <w:highlight w:val="none"/>
        </w:rPr>
        <w:t>_____________</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43、不可抗力</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 xml:space="preserve">43.1双方关于不可抗力的约定： </w:t>
      </w:r>
      <w:r>
        <w:rPr>
          <w:rFonts w:hint="eastAsia" w:hAnsi="宋体" w:cs="宋体"/>
          <w:color w:val="auto"/>
          <w:szCs w:val="24"/>
          <w:highlight w:val="none"/>
          <w:u w:val="single"/>
        </w:rPr>
        <w:t>_根据国家的法律规定执行。</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44、保险</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44.6本工程双方约定投保内容如下：</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（1）发包人投保内容：</w:t>
      </w:r>
      <w:r>
        <w:rPr>
          <w:rFonts w:hint="eastAsia" w:hAnsi="宋体" w:cs="宋体"/>
          <w:color w:val="auto"/>
          <w:szCs w:val="24"/>
          <w:highlight w:val="none"/>
          <w:u w:val="single"/>
        </w:rPr>
        <w:t>执行《通用条款》44.1款，费用由发包人承担。</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发包人委托承包人办理的保险事项：____________/________________</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（2）承包人投保内容：</w:t>
      </w:r>
      <w:r>
        <w:rPr>
          <w:rFonts w:hint="eastAsia" w:hAnsi="宋体" w:cs="宋体"/>
          <w:color w:val="auto"/>
          <w:szCs w:val="24"/>
          <w:highlight w:val="none"/>
          <w:u w:val="single"/>
        </w:rPr>
        <w:t>执行《通用条款》44.4款，费用由承包人承担。</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45、担保</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45.3本工程双方约定担保事项如下： </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（1）发包人向承包人提供支付担保，担保方式为：</w:t>
      </w:r>
      <w:r>
        <w:rPr>
          <w:rFonts w:hint="eastAsia" w:hAnsi="宋体" w:cs="宋体"/>
          <w:color w:val="auto"/>
          <w:szCs w:val="24"/>
          <w:highlight w:val="none"/>
          <w:u w:val="single"/>
        </w:rPr>
        <w:t xml:space="preserve">      </w:t>
      </w:r>
      <w:r>
        <w:rPr>
          <w:rFonts w:hint="eastAsia" w:hAnsi="宋体" w:cs="宋体"/>
          <w:color w:val="auto"/>
          <w:szCs w:val="24"/>
          <w:highlight w:val="none"/>
        </w:rPr>
        <w:t>，担保金额：</w:t>
      </w:r>
      <w:r>
        <w:rPr>
          <w:rFonts w:hint="eastAsia" w:hAnsi="宋体" w:cs="宋体"/>
          <w:color w:val="auto"/>
          <w:szCs w:val="24"/>
          <w:highlight w:val="none"/>
          <w:u w:val="single"/>
        </w:rPr>
        <w:t xml:space="preserve">    </w:t>
      </w:r>
      <w:r>
        <w:rPr>
          <w:rFonts w:hint="eastAsia" w:hAnsi="宋体" w:cs="宋体"/>
          <w:color w:val="auto"/>
          <w:szCs w:val="24"/>
          <w:highlight w:val="none"/>
        </w:rPr>
        <w:t>，担保有效期：</w:t>
      </w:r>
      <w:r>
        <w:rPr>
          <w:rFonts w:hint="eastAsia" w:hAnsi="宋体" w:cs="宋体"/>
          <w:color w:val="auto"/>
          <w:szCs w:val="24"/>
          <w:highlight w:val="none"/>
          <w:u w:val="single"/>
        </w:rPr>
        <w:t xml:space="preserve">    _</w:t>
      </w:r>
      <w:r>
        <w:rPr>
          <w:rFonts w:hint="eastAsia" w:hAnsi="宋体" w:cs="宋体"/>
          <w:color w:val="auto"/>
          <w:szCs w:val="24"/>
          <w:highlight w:val="none"/>
        </w:rPr>
        <w:t>。</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（2）承包人向发包人提供履约担保，担保方式为：</w:t>
      </w:r>
      <w:r>
        <w:rPr>
          <w:rFonts w:hint="eastAsia" w:hAnsi="宋体" w:cs="宋体"/>
          <w:color w:val="auto"/>
          <w:szCs w:val="24"/>
          <w:highlight w:val="none"/>
          <w:u w:val="single"/>
        </w:rPr>
        <w:t xml:space="preserve"> / </w:t>
      </w:r>
      <w:r>
        <w:rPr>
          <w:rFonts w:hint="eastAsia" w:hAnsi="宋体" w:cs="宋体"/>
          <w:color w:val="auto"/>
          <w:szCs w:val="24"/>
          <w:highlight w:val="none"/>
        </w:rPr>
        <w:t>，担保金额：</w:t>
      </w:r>
      <w:r>
        <w:rPr>
          <w:rFonts w:hint="eastAsia" w:hAnsi="宋体" w:cs="宋体"/>
          <w:color w:val="auto"/>
          <w:szCs w:val="24"/>
          <w:highlight w:val="none"/>
          <w:u w:val="single"/>
        </w:rPr>
        <w:t>/</w:t>
      </w:r>
      <w:r>
        <w:rPr>
          <w:rFonts w:hint="eastAsia" w:hAnsi="宋体" w:cs="宋体"/>
          <w:color w:val="auto"/>
          <w:szCs w:val="24"/>
          <w:highlight w:val="none"/>
        </w:rPr>
        <w:t>，担保有效期：</w:t>
      </w:r>
      <w:r>
        <w:rPr>
          <w:rFonts w:hint="eastAsia" w:hAnsi="宋体" w:cs="宋体"/>
          <w:color w:val="auto"/>
          <w:szCs w:val="24"/>
          <w:highlight w:val="none"/>
          <w:u w:val="single"/>
        </w:rPr>
        <w:t>/</w:t>
      </w:r>
      <w:r>
        <w:rPr>
          <w:rFonts w:hint="eastAsia" w:hAnsi="宋体" w:cs="宋体"/>
          <w:color w:val="auto"/>
          <w:szCs w:val="24"/>
          <w:highlight w:val="none"/>
        </w:rPr>
        <w:t>。</w:t>
      </w:r>
    </w:p>
    <w:p>
      <w:pPr>
        <w:widowControl/>
        <w:spacing w:line="360" w:lineRule="auto"/>
        <w:ind w:firstLine="480" w:firstLineChars="200"/>
        <w:rPr>
          <w:rFonts w:hAnsi="宋体" w:cs="宋体"/>
          <w:color w:val="auto"/>
          <w:szCs w:val="24"/>
          <w:highlight w:val="none"/>
        </w:rPr>
      </w:pPr>
      <w:r>
        <w:rPr>
          <w:rFonts w:hint="eastAsia" w:hAnsi="宋体" w:cs="宋体"/>
          <w:color w:val="auto"/>
          <w:szCs w:val="24"/>
          <w:highlight w:val="none"/>
        </w:rPr>
        <w:t>（3）双方约定的其他担保事项：_______________/________________</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50、合同份数</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50.2双方约定合同副本份数：</w:t>
      </w:r>
      <w:r>
        <w:rPr>
          <w:rFonts w:hint="eastAsia" w:hAnsi="宋体" w:cs="宋体"/>
          <w:color w:val="auto"/>
          <w:szCs w:val="24"/>
          <w:highlight w:val="none"/>
          <w:u w:val="thick"/>
        </w:rPr>
        <w:t>捌份。</w:t>
      </w:r>
    </w:p>
    <w:p>
      <w:pPr>
        <w:widowControl/>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51、补充条款</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51.1</w:t>
      </w:r>
      <w:r>
        <w:rPr>
          <w:rFonts w:hint="eastAsia" w:hAnsi="宋体" w:cs="宋体"/>
          <w:color w:val="auto"/>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51.2</w:t>
      </w:r>
      <w:r>
        <w:rPr>
          <w:rFonts w:hint="eastAsia" w:hAnsi="宋体" w:cs="宋体"/>
          <w:color w:val="auto"/>
          <w:szCs w:val="24"/>
          <w:highlight w:val="none"/>
          <w:u w:val="single"/>
        </w:rPr>
        <w:t>施工企业须承诺按国务院及当地政府的规定按时、足额、实名方式支付农民工工资，否则发包人在工程款中代扣支付，并在工程结算时扣除。</w:t>
      </w:r>
    </w:p>
    <w:p>
      <w:pPr>
        <w:widowControl/>
        <w:spacing w:line="360" w:lineRule="auto"/>
        <w:ind w:firstLine="480" w:firstLineChars="200"/>
        <w:rPr>
          <w:rFonts w:hAnsi="宋体" w:cs="宋体"/>
          <w:color w:val="auto"/>
          <w:szCs w:val="24"/>
          <w:highlight w:val="none"/>
          <w:u w:val="thick"/>
        </w:rPr>
      </w:pPr>
      <w:r>
        <w:rPr>
          <w:rFonts w:hint="eastAsia" w:hAnsi="宋体" w:cs="宋体"/>
          <w:color w:val="auto"/>
          <w:szCs w:val="24"/>
          <w:highlight w:val="none"/>
        </w:rPr>
        <w:t>51.3</w:t>
      </w:r>
      <w:r>
        <w:rPr>
          <w:rFonts w:hint="eastAsia" w:hAnsi="宋体" w:cs="宋体"/>
          <w:color w:val="auto"/>
          <w:szCs w:val="24"/>
          <w:highlight w:val="none"/>
          <w:u w:val="single"/>
        </w:rPr>
        <w:t>本工程竣工后，应免费将建筑物周围和施工单位生活区周围内施工现场清除干净；无建筑材料、无建筑设备、无建筑垃圾、和施工垃圾，做到场地整洁。</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51.4</w:t>
      </w:r>
      <w:r>
        <w:rPr>
          <w:rFonts w:hint="eastAsia" w:hAnsi="宋体" w:cs="宋体"/>
          <w:color w:val="auto"/>
          <w:szCs w:val="24"/>
          <w:highlight w:val="none"/>
          <w:u w:val="single"/>
        </w:rPr>
        <w:t>承包人在施工过程中应服从、遵守发包人和当地政府职能部门的管理制度。关于安全防护、文明施工措施费用的其他约定如下：</w:t>
      </w:r>
    </w:p>
    <w:p>
      <w:pPr>
        <w:numPr>
          <w:ilvl w:val="0"/>
          <w:numId w:val="4"/>
        </w:numPr>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u w:val="single"/>
        </w:rPr>
        <w:t>承包人需提供安全防护、文明施工措施费用的支付计划落实情况；</w:t>
      </w:r>
    </w:p>
    <w:p>
      <w:pPr>
        <w:numPr>
          <w:ilvl w:val="0"/>
          <w:numId w:val="4"/>
        </w:numPr>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u w:val="single"/>
        </w:rPr>
        <w:t>工程师对承包人落实安全防护、文明施工措施分情况进行现场监理，若发现承包人为落实安全防护、文明施工措施的，有权责令其立即整改；</w:t>
      </w:r>
    </w:p>
    <w:p>
      <w:pPr>
        <w:widowControl/>
        <w:spacing w:line="360" w:lineRule="auto"/>
        <w:ind w:firstLine="480" w:firstLineChars="200"/>
        <w:rPr>
          <w:rFonts w:hAnsi="宋体" w:cs="宋体"/>
          <w:color w:val="auto"/>
          <w:szCs w:val="24"/>
          <w:highlight w:val="none"/>
          <w:u w:val="single"/>
        </w:rPr>
      </w:pPr>
      <w:r>
        <w:rPr>
          <w:rFonts w:hint="eastAsia" w:hAnsi="宋体" w:cs="宋体"/>
          <w:color w:val="auto"/>
          <w:szCs w:val="24"/>
          <w:highlight w:val="none"/>
        </w:rPr>
        <w:t>3、</w:t>
      </w:r>
      <w:r>
        <w:rPr>
          <w:rFonts w:hint="eastAsia" w:hAnsi="宋体" w:cs="宋体"/>
          <w:color w:val="auto"/>
          <w:szCs w:val="24"/>
          <w:highlight w:val="none"/>
          <w:u w:val="single"/>
        </w:rPr>
        <w:t>发包人和承包人应在财务管理中单独列支安全防护、文明施工措施项目费用的支付情况。</w:t>
      </w:r>
    </w:p>
    <w:p>
      <w:pPr>
        <w:spacing w:line="360" w:lineRule="auto"/>
        <w:rPr>
          <w:rFonts w:hAnsi="宋体"/>
          <w:color w:val="auto"/>
          <w:szCs w:val="24"/>
          <w:highlight w:val="none"/>
        </w:rPr>
      </w:pPr>
      <w:r>
        <w:rPr>
          <w:rFonts w:hint="eastAsia" w:hAnsi="宋体" w:cs="宋体"/>
          <w:color w:val="auto"/>
          <w:szCs w:val="24"/>
          <w:highlight w:val="none"/>
        </w:rPr>
        <w:t>51.5</w:t>
      </w:r>
      <w:r>
        <w:rPr>
          <w:rFonts w:hint="eastAsia" w:hAnsi="宋体" w:cs="宋体"/>
          <w:color w:val="auto"/>
          <w:szCs w:val="24"/>
          <w:highlight w:val="none"/>
          <w:u w:val="single"/>
        </w:rPr>
        <w:t>以上未尽事宜，双方协商解决或另行签署补充协议并到建设行政主管部门备案。</w:t>
      </w:r>
    </w:p>
    <w:p>
      <w:pPr>
        <w:adjustRightInd w:val="0"/>
        <w:snapToGrid w:val="0"/>
        <w:spacing w:before="60" w:after="60" w:line="360" w:lineRule="auto"/>
        <w:jc w:val="center"/>
        <w:rPr>
          <w:rFonts w:hAnsi="宋体" w:cs="宋体"/>
          <w:b/>
          <w:bCs/>
          <w:color w:val="auto"/>
          <w:spacing w:val="100"/>
          <w:kern w:val="16"/>
          <w:sz w:val="52"/>
          <w:szCs w:val="52"/>
          <w:highlight w:val="none"/>
        </w:rPr>
      </w:pPr>
    </w:p>
    <w:p>
      <w:pPr>
        <w:tabs>
          <w:tab w:val="left" w:pos="1175"/>
          <w:tab w:val="left" w:pos="2975"/>
          <w:tab w:val="left" w:pos="3455"/>
          <w:tab w:val="left" w:pos="3935"/>
          <w:tab w:val="left" w:pos="3995"/>
          <w:tab w:val="left" w:pos="4415"/>
          <w:tab w:val="left" w:pos="7475"/>
          <w:tab w:val="left" w:pos="7715"/>
        </w:tabs>
        <w:spacing w:line="360" w:lineRule="auto"/>
        <w:jc w:val="left"/>
        <w:rPr>
          <w:rFonts w:hAnsi="宋体" w:cs="宋体"/>
          <w:color w:val="auto"/>
          <w:kern w:val="2"/>
          <w:szCs w:val="24"/>
          <w:highlight w:val="none"/>
        </w:rPr>
        <w:sectPr>
          <w:footerReference r:id="rId12" w:type="default"/>
          <w:pgSz w:w="11911" w:h="16838"/>
          <w:pgMar w:top="1417" w:right="1417" w:bottom="1417" w:left="1417" w:header="771" w:footer="771" w:gutter="0"/>
          <w:cols w:space="720" w:num="1"/>
          <w:docGrid w:linePitch="1" w:charSpace="0"/>
        </w:sectPr>
      </w:pPr>
    </w:p>
    <w:p>
      <w:pPr>
        <w:pStyle w:val="3"/>
        <w:jc w:val="center"/>
        <w:rPr>
          <w:rFonts w:eastAsia="宋体"/>
          <w:bCs/>
          <w:color w:val="auto"/>
          <w:highlight w:val="none"/>
        </w:rPr>
      </w:pPr>
      <w:bookmarkStart w:id="65" w:name="_Toc8685"/>
      <w:r>
        <w:rPr>
          <w:rFonts w:hint="eastAsia" w:ascii="宋体" w:eastAsia="宋体" w:cs="宋体"/>
          <w:color w:val="auto"/>
          <w:kern w:val="0"/>
          <w:sz w:val="36"/>
          <w:szCs w:val="36"/>
          <w:highlight w:val="none"/>
        </w:rPr>
        <w:t xml:space="preserve">第五章 </w:t>
      </w:r>
      <w:bookmarkEnd w:id="45"/>
      <w:bookmarkEnd w:id="46"/>
      <w:bookmarkEnd w:id="47"/>
      <w:bookmarkEnd w:id="48"/>
      <w:bookmarkEnd w:id="49"/>
      <w:bookmarkEnd w:id="50"/>
      <w:bookmarkEnd w:id="51"/>
      <w:bookmarkEnd w:id="52"/>
      <w:bookmarkEnd w:id="53"/>
      <w:r>
        <w:rPr>
          <w:rFonts w:hint="eastAsia" w:ascii="宋体" w:eastAsia="宋体" w:cs="宋体"/>
          <w:color w:val="auto"/>
          <w:kern w:val="0"/>
          <w:sz w:val="36"/>
          <w:szCs w:val="36"/>
          <w:highlight w:val="none"/>
        </w:rPr>
        <w:t xml:space="preserve"> 磋商内容及技术要求</w:t>
      </w:r>
      <w:bookmarkEnd w:id="65"/>
      <w:bookmarkStart w:id="66" w:name="_Toc20481"/>
      <w:bookmarkStart w:id="67" w:name="_Toc1025"/>
      <w:bookmarkStart w:id="68" w:name="_Toc11450"/>
      <w:bookmarkStart w:id="69" w:name="_Toc2711"/>
      <w:bookmarkStart w:id="70" w:name="_Toc4053"/>
      <w:bookmarkStart w:id="71" w:name="_Toc389582038"/>
      <w:bookmarkStart w:id="72" w:name="_Toc23856"/>
    </w:p>
    <w:bookmarkEnd w:id="39"/>
    <w:bookmarkEnd w:id="66"/>
    <w:bookmarkEnd w:id="67"/>
    <w:bookmarkEnd w:id="68"/>
    <w:bookmarkEnd w:id="69"/>
    <w:bookmarkEnd w:id="70"/>
    <w:bookmarkEnd w:id="71"/>
    <w:bookmarkEnd w:id="72"/>
    <w:p>
      <w:pPr>
        <w:spacing w:line="510" w:lineRule="exact"/>
        <w:outlineLvl w:val="1"/>
        <w:rPr>
          <w:rFonts w:ascii="仿宋_GB2312" w:hAnsi="仿宋_GB2312" w:eastAsia="仿宋_GB2312" w:cs="仿宋_GB2312"/>
          <w:b/>
          <w:bCs/>
          <w:color w:val="auto"/>
          <w:kern w:val="2"/>
          <w:sz w:val="32"/>
          <w:szCs w:val="32"/>
          <w:highlight w:val="none"/>
        </w:rPr>
      </w:pPr>
      <w:bookmarkStart w:id="73" w:name="_Toc5084"/>
      <w:bookmarkStart w:id="74" w:name="_Toc423973079"/>
      <w:bookmarkStart w:id="75" w:name="_Toc403077646"/>
      <w:bookmarkStart w:id="76" w:name="_Toc363474025"/>
      <w:r>
        <w:rPr>
          <w:rFonts w:hint="eastAsia" w:ascii="仿宋_GB2312" w:hAnsi="仿宋_GB2312" w:eastAsia="仿宋_GB2312" w:cs="仿宋_GB2312"/>
          <w:b/>
          <w:bCs/>
          <w:color w:val="auto"/>
          <w:kern w:val="2"/>
          <w:sz w:val="32"/>
          <w:szCs w:val="32"/>
          <w:highlight w:val="none"/>
        </w:rPr>
        <w:t>1. 项目建设规模</w:t>
      </w:r>
    </w:p>
    <w:p>
      <w:pPr>
        <w:spacing w:line="540" w:lineRule="exact"/>
        <w:ind w:firstLine="640" w:firstLineChars="200"/>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该项目布局在营盘镇营镇社区人工造林455亩。</w:t>
      </w:r>
    </w:p>
    <w:p>
      <w:pPr>
        <w:spacing w:line="510" w:lineRule="exact"/>
        <w:outlineLvl w:val="1"/>
        <w:rPr>
          <w:rFonts w:ascii="仿宋_GB2312" w:hAnsi="仿宋_GB2312" w:eastAsia="仿宋_GB2312" w:cs="仿宋_GB2312"/>
          <w:b/>
          <w:bCs/>
          <w:color w:val="auto"/>
          <w:kern w:val="2"/>
          <w:sz w:val="32"/>
          <w:szCs w:val="32"/>
          <w:highlight w:val="none"/>
        </w:rPr>
      </w:pPr>
      <w:bookmarkStart w:id="77" w:name="_Toc32631"/>
      <w:r>
        <w:rPr>
          <w:rFonts w:hint="eastAsia" w:ascii="仿宋_GB2312" w:hAnsi="仿宋_GB2312" w:eastAsia="仿宋_GB2312" w:cs="仿宋_GB2312"/>
          <w:b/>
          <w:bCs/>
          <w:color w:val="auto"/>
          <w:kern w:val="2"/>
          <w:sz w:val="32"/>
          <w:szCs w:val="32"/>
          <w:highlight w:val="none"/>
        </w:rPr>
        <w:t>2 红豆杉造林</w:t>
      </w:r>
      <w:bookmarkEnd w:id="77"/>
    </w:p>
    <w:p>
      <w:pPr>
        <w:spacing w:line="510" w:lineRule="exact"/>
        <w:outlineLvl w:val="2"/>
        <w:rPr>
          <w:rFonts w:ascii="仿宋_GB2312" w:hAnsi="仿宋_GB2312" w:eastAsia="仿宋_GB2312" w:cs="仿宋_GB2312"/>
          <w:b/>
          <w:color w:val="auto"/>
          <w:kern w:val="2"/>
          <w:sz w:val="32"/>
          <w:szCs w:val="32"/>
          <w:highlight w:val="none"/>
        </w:rPr>
      </w:pPr>
      <w:bookmarkStart w:id="78" w:name="_Toc1250"/>
      <w:bookmarkStart w:id="79" w:name="_Toc29079"/>
      <w:r>
        <w:rPr>
          <w:rFonts w:hint="eastAsia" w:ascii="仿宋_GB2312" w:hAnsi="仿宋_GB2312" w:eastAsia="仿宋_GB2312" w:cs="仿宋_GB2312"/>
          <w:b/>
          <w:color w:val="auto"/>
          <w:kern w:val="2"/>
          <w:sz w:val="32"/>
          <w:szCs w:val="32"/>
          <w:highlight w:val="none"/>
        </w:rPr>
        <w:t xml:space="preserve">2.1 </w:t>
      </w:r>
      <w:bookmarkEnd w:id="78"/>
      <w:r>
        <w:rPr>
          <w:rFonts w:hint="eastAsia" w:ascii="仿宋_GB2312" w:hAnsi="仿宋_GB2312" w:eastAsia="仿宋_GB2312" w:cs="仿宋_GB2312"/>
          <w:b/>
          <w:color w:val="auto"/>
          <w:kern w:val="2"/>
          <w:sz w:val="32"/>
          <w:szCs w:val="32"/>
          <w:highlight w:val="none"/>
        </w:rPr>
        <w:t>立地条件</w:t>
      </w:r>
      <w:bookmarkEnd w:id="79"/>
    </w:p>
    <w:p>
      <w:pPr>
        <w:spacing w:line="510" w:lineRule="exact"/>
        <w:ind w:firstLine="640" w:firstLineChars="2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按照《造林作业设计办法》及当地自然、社会、经济和宜林地资源分布状况，在城区边缘按照交通方便、相对集中、立地条件较好的原则选择作业区。作业区分布在海拔800-1100亩中低山地段，作业区属秦岭南坡立地类型亚区，土石山地立地类型小区，低中山阴坡立地类型组。</w:t>
      </w:r>
    </w:p>
    <w:p>
      <w:pPr>
        <w:spacing w:line="510" w:lineRule="exact"/>
        <w:ind w:firstLine="640" w:firstLineChars="200"/>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立地类型质量评定为较好，坡度在28-35度，坡位中下。作业区土壤特点以黄棕壤为主，母岩类型为页岩或砂岩等，石砾含量较少，质地为沙壤土，活土层浅，肥力低，生产水平低，垂直分布状况明显。土壤以中性为主偏酸，PH值6.8，厚度45cm。</w:t>
      </w:r>
    </w:p>
    <w:p>
      <w:pPr>
        <w:spacing w:line="510" w:lineRule="exact"/>
        <w:outlineLvl w:val="2"/>
        <w:rPr>
          <w:rFonts w:ascii="仿宋_GB2312" w:hAnsi="仿宋_GB2312" w:eastAsia="仿宋_GB2312" w:cs="仿宋_GB2312"/>
          <w:b/>
          <w:color w:val="auto"/>
          <w:kern w:val="2"/>
          <w:sz w:val="32"/>
          <w:szCs w:val="32"/>
          <w:highlight w:val="none"/>
        </w:rPr>
      </w:pPr>
      <w:bookmarkStart w:id="80" w:name="_Toc17757"/>
      <w:bookmarkStart w:id="81" w:name="_Toc25586"/>
      <w:r>
        <w:rPr>
          <w:rFonts w:hint="eastAsia" w:ascii="仿宋_GB2312" w:hAnsi="仿宋_GB2312" w:eastAsia="仿宋_GB2312" w:cs="仿宋_GB2312"/>
          <w:b/>
          <w:color w:val="auto"/>
          <w:kern w:val="2"/>
          <w:sz w:val="32"/>
          <w:szCs w:val="32"/>
          <w:highlight w:val="none"/>
        </w:rPr>
        <w:t>2.2 植被现状</w:t>
      </w:r>
      <w:bookmarkEnd w:id="80"/>
    </w:p>
    <w:p>
      <w:pPr>
        <w:spacing w:line="510" w:lineRule="exact"/>
        <w:ind w:firstLine="640" w:firstLineChars="200"/>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作业区内植被种类繁多，资源丰富，作业区以阔叶、针叶乔木树种为主，灌木分层生长，杂草丛生，藤类、苔藓也有少量分布，植物种类丰富，群落结构复杂，地面枯枝落叶堆积。各小班地类全属有林地，乔木主要以栓皮栎、油松为主，均匀分布，植株数量多（cop3），盖度约为55%-68%，平均高度5.8米，清林整地中应予适当抚育，对下层枝条进行修枝，对过密林进行伐除。其次是以黄栌、盐肤木、蔷薇、杈把果、胡子枝等为主的灌木，多度数量尚多，呈散生状（cop1）盖度15%-35%，平均高度1.3米，分布多为散生，对造林整地有较大影响，整地前应进行清灌。草本主要种类有蒿草、茅草等，多度植株数量多（cop2），盖度5%-15%，整地前应割除，造林后还应加强除草抚育。</w:t>
      </w:r>
    </w:p>
    <w:p>
      <w:pPr>
        <w:spacing w:line="510" w:lineRule="exact"/>
        <w:outlineLvl w:val="2"/>
        <w:rPr>
          <w:rFonts w:ascii="仿宋_GB2312" w:hAnsi="仿宋_GB2312" w:eastAsia="仿宋_GB2312" w:cs="仿宋_GB2312"/>
          <w:b/>
          <w:color w:val="auto"/>
          <w:kern w:val="2"/>
          <w:sz w:val="32"/>
          <w:szCs w:val="32"/>
          <w:highlight w:val="none"/>
        </w:rPr>
      </w:pPr>
      <w:bookmarkStart w:id="82" w:name="_Toc18825"/>
      <w:r>
        <w:rPr>
          <w:rFonts w:hint="eastAsia" w:ascii="仿宋_GB2312" w:hAnsi="仿宋_GB2312" w:eastAsia="仿宋_GB2312" w:cs="仿宋_GB2312"/>
          <w:b/>
          <w:color w:val="auto"/>
          <w:kern w:val="2"/>
          <w:sz w:val="32"/>
          <w:szCs w:val="32"/>
          <w:highlight w:val="none"/>
        </w:rPr>
        <w:t>2.3 造林类型划分</w:t>
      </w:r>
      <w:bookmarkEnd w:id="81"/>
      <w:bookmarkEnd w:id="82"/>
    </w:p>
    <w:p>
      <w:pPr>
        <w:spacing w:line="510" w:lineRule="exact"/>
        <w:ind w:firstLine="640" w:firstLineChars="200"/>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设计造林林种为防护林，二级林种为水土保持林。</w:t>
      </w:r>
    </w:p>
    <w:p>
      <w:pPr>
        <w:spacing w:line="510" w:lineRule="exact"/>
        <w:rPr>
          <w:rFonts w:ascii="仿宋_GB2312" w:hAnsi="仿宋_GB2312" w:eastAsia="仿宋_GB2312" w:cs="仿宋_GB2312"/>
          <w:b/>
          <w:color w:val="auto"/>
          <w:kern w:val="2"/>
          <w:sz w:val="32"/>
          <w:szCs w:val="32"/>
          <w:highlight w:val="none"/>
        </w:rPr>
      </w:pPr>
      <w:bookmarkStart w:id="83" w:name="_Toc16521"/>
      <w:r>
        <w:rPr>
          <w:rFonts w:hint="eastAsia" w:ascii="仿宋_GB2312" w:hAnsi="仿宋_GB2312" w:eastAsia="仿宋_GB2312" w:cs="仿宋_GB2312"/>
          <w:b/>
          <w:color w:val="auto"/>
          <w:kern w:val="2"/>
          <w:sz w:val="32"/>
          <w:szCs w:val="32"/>
          <w:highlight w:val="none"/>
        </w:rPr>
        <w:t>2.4 造林技术标准</w:t>
      </w:r>
      <w:bookmarkEnd w:id="83"/>
    </w:p>
    <w:p>
      <w:pPr>
        <w:spacing w:line="510" w:lineRule="exact"/>
        <w:ind w:firstLine="643" w:firstLineChars="200"/>
        <w:rPr>
          <w:rFonts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b/>
          <w:snapToGrid w:val="0"/>
          <w:color w:val="auto"/>
          <w:sz w:val="32"/>
          <w:szCs w:val="32"/>
          <w:highlight w:val="none"/>
        </w:rPr>
        <w:t>（1）种苗规格</w:t>
      </w:r>
    </w:p>
    <w:p>
      <w:pPr>
        <w:spacing w:line="510" w:lineRule="exact"/>
        <w:ind w:firstLine="640" w:firstLineChars="200"/>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造林用苗必须采用林木种苗管理部门组织供应或经其检验的具有“两证一签”（即检疫证、合格证、标签）的Ⅰ-Ⅱ级优质苗木。苗木标准执行《主要造林树种苗木质量分级》（GB6000--1999）。造林所需苗木尽量选用当地繁育的苗木，不足部分就近调拨。秦岭红豆杉必须使用容器苗，苗高≥80cm，地径≥0.8cm，色泽正常，无枯稍现象。</w:t>
      </w:r>
    </w:p>
    <w:p>
      <w:pPr>
        <w:spacing w:line="510" w:lineRule="exact"/>
        <w:ind w:firstLine="643" w:firstLineChars="200"/>
        <w:rPr>
          <w:rFonts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b/>
          <w:snapToGrid w:val="0"/>
          <w:color w:val="auto"/>
          <w:sz w:val="32"/>
          <w:szCs w:val="32"/>
          <w:highlight w:val="none"/>
        </w:rPr>
        <w:t>（2）整地方式方法</w:t>
      </w:r>
    </w:p>
    <w:p>
      <w:pPr>
        <w:spacing w:line="510" w:lineRule="exact"/>
        <w:ind w:firstLine="640" w:firstLineChars="200"/>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根据各工程点自然条件和工程质量要求，整地前沿垂直等高线方向进行1米宽带状砍灌和杂草清理。清理和整地一并在造林前1个月施工。整地方法采用穴状整地或鱼鳞坑整地，采用50×40×30cm穴状整地，土壤非常瘠薄或坡度很大的零碎地块，无法采用穴状整地时，也可采用40×30×30cm的鱼鳞坑整地。整地时应刨松土壤，清除石块和杂草，将表土堆置一旁，底土堆放另一旁，造林时将表土填入坑底，以达到改良土壤的目的。</w:t>
      </w:r>
    </w:p>
    <w:p>
      <w:pPr>
        <w:spacing w:line="510" w:lineRule="exact"/>
        <w:ind w:firstLine="643" w:firstLineChars="200"/>
        <w:rPr>
          <w:rFonts w:ascii="仿宋_GB2312" w:hAnsi="仿宋_GB2312" w:eastAsia="仿宋_GB2312" w:cs="仿宋_GB2312"/>
          <w:b/>
          <w:snapToGrid w:val="0"/>
          <w:color w:val="auto"/>
          <w:sz w:val="32"/>
          <w:szCs w:val="32"/>
          <w:highlight w:val="none"/>
        </w:rPr>
      </w:pPr>
      <w:r>
        <w:rPr>
          <w:rFonts w:hint="eastAsia" w:ascii="仿宋_GB2312" w:hAnsi="仿宋_GB2312" w:eastAsia="仿宋_GB2312" w:cs="仿宋_GB2312"/>
          <w:b/>
          <w:snapToGrid w:val="0"/>
          <w:color w:val="auto"/>
          <w:sz w:val="32"/>
          <w:szCs w:val="32"/>
          <w:highlight w:val="none"/>
        </w:rPr>
        <w:t>（3）造林方式、方法</w:t>
      </w:r>
    </w:p>
    <w:p>
      <w:pPr>
        <w:spacing w:line="510" w:lineRule="exact"/>
        <w:ind w:firstLine="640" w:firstLineChars="200"/>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全部采用人工植苗造林。春季造林在土壤解冻后进行，具体时间以树木萌芽前为准，一般在3月份进行。栽植时覆土高度稍高于苗木根颈5厘米为宜，分层踩实，保留15厘米左右深的坑，以利于蓄水保墒。容器脱落的裸根苗执行“三埋两踩一提”的技术措施，并在栽植前用高分子保水剂和生根粉水溶液进行浸根处理；容器苗要剥离容器后再栽植，踏实即可，严防将容器袋土球破坏。在整个栽植中做到深松土，细栽植，根稳苗端，栽植后全部覆膜，以确保苗木成活。</w:t>
      </w:r>
    </w:p>
    <w:p>
      <w:pPr>
        <w:spacing w:line="510" w:lineRule="exact"/>
        <w:ind w:firstLine="643" w:firstLineChars="200"/>
        <w:rPr>
          <w:rFonts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b/>
          <w:snapToGrid w:val="0"/>
          <w:color w:val="auto"/>
          <w:sz w:val="32"/>
          <w:szCs w:val="32"/>
          <w:highlight w:val="none"/>
        </w:rPr>
        <w:t>（4）结构配置</w:t>
      </w:r>
    </w:p>
    <w:p>
      <w:pPr>
        <w:spacing w:line="510" w:lineRule="exact"/>
        <w:ind w:firstLine="640" w:firstLineChars="200"/>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结合立地条件确定本次造林株行距3.5×4米，每穴1株，初植密度50株/亩。种植点一般采用三角形配置。坡面破碎、地形变化复杂的地方种植点位置可灵活掌握，应不拘于株行距的规定，但要保证单位面积种植点数量。施工时要全面保护，适当抚育。</w:t>
      </w:r>
    </w:p>
    <w:p>
      <w:pPr>
        <w:spacing w:line="510" w:lineRule="exact"/>
        <w:ind w:firstLine="643" w:firstLineChars="200"/>
        <w:rPr>
          <w:rFonts w:ascii="仿宋_GB2312" w:hAnsi="仿宋_GB2312" w:eastAsia="仿宋_GB2312" w:cs="仿宋_GB2312"/>
          <w:b/>
          <w:snapToGrid w:val="0"/>
          <w:color w:val="auto"/>
          <w:sz w:val="32"/>
          <w:szCs w:val="32"/>
          <w:highlight w:val="none"/>
        </w:rPr>
      </w:pPr>
      <w:r>
        <w:rPr>
          <w:rFonts w:hint="eastAsia" w:ascii="仿宋_GB2312" w:hAnsi="仿宋_GB2312" w:eastAsia="仿宋_GB2312" w:cs="仿宋_GB2312"/>
          <w:b/>
          <w:snapToGrid w:val="0"/>
          <w:color w:val="auto"/>
          <w:sz w:val="32"/>
          <w:szCs w:val="32"/>
          <w:highlight w:val="none"/>
        </w:rPr>
        <w:t>（5）成活率、保存率的调查与补植</w:t>
      </w:r>
    </w:p>
    <w:p>
      <w:pPr>
        <w:spacing w:line="480" w:lineRule="exact"/>
        <w:ind w:firstLine="640" w:firstLineChars="200"/>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成活率调查在新造幼林经过一个生长季节后进行，秋季造林成活率调查时间在竖年春季进行。调查方法是在当年所有造林小班内选设具有代表性的标准地，分别计数成活与死亡株数。调查结果分别按成活率85%以上、41-84%、40%以下三级统计。成活率在40%以下的为失败面积，要重新造林；成活率在41-84%按初植密度进行补植，补植量按初植密度的10%计算，成活率大于85%的为合格，只对整块缺苗补植，零散死亡不影响整体造林效果的不予补植。</w:t>
      </w:r>
    </w:p>
    <w:p>
      <w:pPr>
        <w:spacing w:line="480" w:lineRule="exact"/>
        <w:ind w:firstLine="643" w:firstLineChars="200"/>
        <w:rPr>
          <w:rFonts w:ascii="仿宋_GB2312" w:hAnsi="仿宋_GB2312" w:eastAsia="仿宋_GB2312" w:cs="仿宋_GB2312"/>
          <w:b/>
          <w:snapToGrid w:val="0"/>
          <w:color w:val="auto"/>
          <w:sz w:val="32"/>
          <w:szCs w:val="32"/>
          <w:highlight w:val="none"/>
        </w:rPr>
      </w:pPr>
      <w:r>
        <w:rPr>
          <w:rFonts w:hint="eastAsia" w:ascii="仿宋_GB2312" w:hAnsi="仿宋_GB2312" w:eastAsia="仿宋_GB2312" w:cs="仿宋_GB2312"/>
          <w:b/>
          <w:snapToGrid w:val="0"/>
          <w:color w:val="auto"/>
          <w:sz w:val="32"/>
          <w:szCs w:val="32"/>
          <w:highlight w:val="none"/>
        </w:rPr>
        <w:t>（6）抚育</w:t>
      </w:r>
    </w:p>
    <w:p>
      <w:pPr>
        <w:spacing w:line="480" w:lineRule="exact"/>
        <w:ind w:firstLine="640" w:firstLineChars="200"/>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造林后2年内连续抚育。抚育的主要内容是松土、除草、砍灌、培土、整枝等工序。要求做到三不伤（不伤根、不伤梢、不伤皮），二净（杂草除净、石块拣净），一培土。对造林地病虫害发生情况进行定期预测预报，一旦发生，及时组织防治，同时在造林后，要落实人员管护，严禁人畜危害和兽害。</w:t>
      </w:r>
    </w:p>
    <w:p>
      <w:pPr>
        <w:rPr>
          <w:rFonts w:hint="eastAsia" w:cs="宋体"/>
          <w:color w:val="auto"/>
          <w:sz w:val="36"/>
          <w:szCs w:val="36"/>
          <w:highlight w:val="none"/>
        </w:rPr>
      </w:pPr>
      <w:bookmarkStart w:id="84" w:name="_Toc25633"/>
      <w:r>
        <w:rPr>
          <w:rFonts w:hint="eastAsia" w:cs="宋体"/>
          <w:color w:val="auto"/>
          <w:sz w:val="36"/>
          <w:szCs w:val="36"/>
          <w:highlight w:val="none"/>
        </w:rPr>
        <w:br w:type="page"/>
      </w:r>
    </w:p>
    <w:p>
      <w:pPr>
        <w:pStyle w:val="3"/>
        <w:jc w:val="center"/>
        <w:rPr>
          <w:rFonts w:hint="eastAsia" w:ascii="宋体" w:eastAsia="宋体" w:cs="宋体"/>
          <w:color w:val="auto"/>
          <w:kern w:val="0"/>
          <w:sz w:val="36"/>
          <w:szCs w:val="36"/>
          <w:highlight w:val="none"/>
        </w:rPr>
      </w:pPr>
      <w:r>
        <w:rPr>
          <w:rFonts w:hint="eastAsia" w:ascii="宋体" w:eastAsia="宋体" w:cs="宋体"/>
          <w:color w:val="auto"/>
          <w:kern w:val="0"/>
          <w:sz w:val="36"/>
          <w:szCs w:val="36"/>
          <w:highlight w:val="none"/>
        </w:rPr>
        <w:t>第六章  竞争性磋商响应文件格式</w:t>
      </w:r>
      <w:bookmarkEnd w:id="73"/>
      <w:bookmarkEnd w:id="74"/>
      <w:bookmarkEnd w:id="75"/>
      <w:bookmarkEnd w:id="76"/>
      <w:bookmarkEnd w:id="84"/>
    </w:p>
    <w:p>
      <w:pPr>
        <w:rPr>
          <w:rFonts w:hAnsi="宋体" w:cs="宋体"/>
          <w:color w:val="auto"/>
          <w:highlight w:val="none"/>
        </w:rPr>
      </w:pPr>
    </w:p>
    <w:p>
      <w:pPr>
        <w:rPr>
          <w:rFonts w:hAnsi="宋体" w:cs="宋体"/>
          <w:color w:val="auto"/>
          <w:highlight w:val="none"/>
        </w:rPr>
      </w:pPr>
    </w:p>
    <w:p>
      <w:pPr>
        <w:framePr w:w="5311" w:hSpace="180" w:wrap="around" w:vAnchor="text" w:hAnchor="page" w:x="1473" w:y="19"/>
        <w:rPr>
          <w:rFonts w:hAnsi="宋体" w:cs="宋体"/>
          <w:b/>
          <w:bCs/>
          <w:color w:val="auto"/>
          <w:sz w:val="32"/>
          <w:szCs w:val="32"/>
          <w:highlight w:val="none"/>
        </w:rPr>
      </w:pPr>
      <w:r>
        <w:rPr>
          <w:rFonts w:hint="eastAsia" w:hAnsi="宋体" w:cs="宋体"/>
          <w:b/>
          <w:bCs/>
          <w:color w:val="auto"/>
          <w:sz w:val="32"/>
          <w:szCs w:val="32"/>
          <w:highlight w:val="none"/>
        </w:rPr>
        <w:t>项目编号：SXZCZB2022-ZCCS-0921</w:t>
      </w:r>
    </w:p>
    <w:p>
      <w:pPr>
        <w:jc w:val="right"/>
        <w:rPr>
          <w:rFonts w:hAnsi="宋体" w:cs="宋体"/>
          <w:b/>
          <w:color w:val="auto"/>
          <w:sz w:val="32"/>
          <w:szCs w:val="32"/>
          <w:highlight w:val="none"/>
        </w:rPr>
      </w:pPr>
      <w:r>
        <w:rPr>
          <w:rFonts w:hint="eastAsia" w:hAnsi="宋体" w:cs="宋体"/>
          <w:b/>
          <w:color w:val="auto"/>
          <w:sz w:val="32"/>
          <w:szCs w:val="32"/>
          <w:highlight w:val="none"/>
        </w:rPr>
        <w:t>（正本或副本）</w:t>
      </w:r>
    </w:p>
    <w:p>
      <w:pPr>
        <w:jc w:val="right"/>
        <w:rPr>
          <w:rFonts w:hAnsi="宋体" w:cs="宋体"/>
          <w:b/>
          <w:color w:val="auto"/>
          <w:sz w:val="32"/>
          <w:szCs w:val="32"/>
          <w:highlight w:val="none"/>
        </w:rPr>
      </w:pPr>
    </w:p>
    <w:p>
      <w:pPr>
        <w:jc w:val="center"/>
        <w:rPr>
          <w:rFonts w:hAnsi="宋体" w:cs="宋体"/>
          <w:b/>
          <w:color w:val="auto"/>
          <w:sz w:val="72"/>
          <w:szCs w:val="72"/>
          <w:highlight w:val="none"/>
        </w:rPr>
      </w:pPr>
    </w:p>
    <w:p>
      <w:pPr>
        <w:jc w:val="center"/>
        <w:rPr>
          <w:rFonts w:hAnsi="宋体" w:cs="宋体"/>
          <w:b/>
          <w:color w:val="auto"/>
          <w:sz w:val="56"/>
          <w:szCs w:val="56"/>
          <w:highlight w:val="none"/>
        </w:rPr>
      </w:pPr>
    </w:p>
    <w:p>
      <w:pPr>
        <w:jc w:val="center"/>
        <w:rPr>
          <w:rFonts w:hAnsi="宋体" w:cs="宋体"/>
          <w:b/>
          <w:color w:val="auto"/>
          <w:sz w:val="56"/>
          <w:szCs w:val="56"/>
          <w:highlight w:val="none"/>
        </w:rPr>
      </w:pPr>
    </w:p>
    <w:p>
      <w:pPr>
        <w:jc w:val="center"/>
        <w:rPr>
          <w:rFonts w:cs="宋体"/>
          <w:b/>
          <w:color w:val="auto"/>
          <w:sz w:val="56"/>
          <w:szCs w:val="56"/>
          <w:highlight w:val="none"/>
          <w:shd w:val="clear" w:color="auto" w:fill="FFFFFF"/>
        </w:rPr>
      </w:pPr>
      <w:r>
        <w:rPr>
          <w:rFonts w:hint="eastAsia" w:hAnsi="宋体" w:cs="宋体"/>
          <w:b/>
          <w:color w:val="auto"/>
          <w:sz w:val="52"/>
          <w:szCs w:val="52"/>
          <w:highlight w:val="none"/>
        </w:rPr>
        <w:t>柞水县2022年秦岭红豆杉保护发展项目</w:t>
      </w:r>
    </w:p>
    <w:p>
      <w:pPr>
        <w:pStyle w:val="9"/>
        <w:rPr>
          <w:color w:val="auto"/>
          <w:highlight w:val="none"/>
        </w:rPr>
      </w:pPr>
    </w:p>
    <w:p>
      <w:pPr>
        <w:rPr>
          <w:color w:val="auto"/>
          <w:highlight w:val="none"/>
        </w:rPr>
      </w:pPr>
    </w:p>
    <w:p>
      <w:pPr>
        <w:jc w:val="center"/>
        <w:rPr>
          <w:rFonts w:hAnsi="宋体" w:cs="宋体"/>
          <w:b/>
          <w:color w:val="auto"/>
          <w:sz w:val="62"/>
          <w:szCs w:val="72"/>
          <w:highlight w:val="none"/>
        </w:rPr>
      </w:pPr>
    </w:p>
    <w:p>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pPr>
        <w:jc w:val="center"/>
        <w:rPr>
          <w:rFonts w:hAnsi="宋体" w:cs="宋体"/>
          <w:b/>
          <w:color w:val="auto"/>
          <w:sz w:val="36"/>
          <w:szCs w:val="36"/>
          <w:highlight w:val="none"/>
        </w:rPr>
      </w:pPr>
    </w:p>
    <w:p>
      <w:pPr>
        <w:rPr>
          <w:rFonts w:hAnsi="宋体" w:cs="宋体"/>
          <w:b/>
          <w:color w:val="auto"/>
          <w:sz w:val="36"/>
          <w:szCs w:val="36"/>
          <w:highlight w:val="none"/>
        </w:rPr>
      </w:pPr>
    </w:p>
    <w:p>
      <w:pPr>
        <w:rPr>
          <w:rFonts w:hAnsi="宋体" w:cs="宋体"/>
          <w:b/>
          <w:color w:val="auto"/>
          <w:sz w:val="36"/>
          <w:szCs w:val="36"/>
          <w:highlight w:val="none"/>
        </w:rPr>
      </w:pPr>
    </w:p>
    <w:p>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85" w:name="_Toc344572156"/>
    </w:p>
    <w:p>
      <w:pPr>
        <w:jc w:val="center"/>
        <w:rPr>
          <w:rFonts w:hAnsi="宋体" w:cs="宋体"/>
          <w:b/>
          <w:color w:val="auto"/>
          <w:sz w:val="44"/>
          <w:highlight w:val="none"/>
        </w:rPr>
      </w:pPr>
      <w:r>
        <w:rPr>
          <w:rFonts w:hint="eastAsia" w:hAnsi="宋体" w:cs="宋体"/>
          <w:b/>
          <w:color w:val="auto"/>
          <w:sz w:val="44"/>
          <w:highlight w:val="none"/>
        </w:rPr>
        <w:t>目  录</w:t>
      </w:r>
    </w:p>
    <w:p>
      <w:pPr>
        <w:pStyle w:val="9"/>
        <w:rPr>
          <w:rFonts w:ascii="宋体" w:hAnsi="宋体" w:cs="宋体"/>
          <w:color w:val="auto"/>
          <w:highlight w:val="none"/>
        </w:rPr>
      </w:pP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一、磋商响应函</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二、磋商报价表</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三、磋商方案说明书</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四、商务条款偏离表</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五、陕西省政府采购供应商拒绝政府采购领域商业贿赂承诺书</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六、特定资格证明文件</w:t>
      </w:r>
    </w:p>
    <w:p>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七、其他</w:t>
      </w:r>
    </w:p>
    <w:p>
      <w:pPr>
        <w:pStyle w:val="8"/>
        <w:spacing w:line="360" w:lineRule="auto"/>
        <w:rPr>
          <w:rFonts w:ascii="宋体" w:hAnsi="宋体" w:cs="宋体"/>
          <w:color w:val="auto"/>
          <w:highlight w:val="none"/>
        </w:rPr>
      </w:pPr>
    </w:p>
    <w:p>
      <w:pPr>
        <w:pStyle w:val="8"/>
        <w:spacing w:line="360" w:lineRule="auto"/>
        <w:rPr>
          <w:rFonts w:ascii="宋体" w:hAnsi="宋体" w:cs="宋体"/>
          <w:color w:val="auto"/>
          <w:highlight w:val="none"/>
        </w:rPr>
      </w:pPr>
    </w:p>
    <w:p>
      <w:pPr>
        <w:keepNext/>
        <w:keepLines/>
        <w:widowControl/>
        <w:tabs>
          <w:tab w:val="left" w:pos="3705"/>
        </w:tabs>
        <w:spacing w:line="360" w:lineRule="auto"/>
        <w:ind w:left="3708"/>
        <w:rPr>
          <w:rFonts w:hAnsi="宋体" w:cs="宋体"/>
          <w:bCs/>
          <w:color w:val="auto"/>
          <w:sz w:val="44"/>
          <w:highlight w:val="none"/>
        </w:rPr>
      </w:pPr>
    </w:p>
    <w:p>
      <w:pPr>
        <w:pStyle w:val="8"/>
        <w:ind w:firstLine="880"/>
        <w:rPr>
          <w:rFonts w:ascii="宋体" w:hAnsi="宋体" w:cs="宋体"/>
          <w:bCs/>
          <w:color w:val="auto"/>
          <w:sz w:val="44"/>
          <w:highlight w:val="none"/>
        </w:rPr>
      </w:pPr>
    </w:p>
    <w:p>
      <w:pPr>
        <w:pStyle w:val="8"/>
        <w:ind w:firstLine="880"/>
        <w:rPr>
          <w:rFonts w:ascii="宋体" w:hAnsi="宋体" w:cs="宋体"/>
          <w:bCs/>
          <w:color w:val="auto"/>
          <w:sz w:val="44"/>
          <w:highlight w:val="none"/>
        </w:rPr>
      </w:pPr>
    </w:p>
    <w:bookmarkEnd w:id="85"/>
    <w:p>
      <w:pPr>
        <w:pStyle w:val="9"/>
        <w:rPr>
          <w:rFonts w:ascii="宋体" w:hAnsi="宋体" w:cs="宋体"/>
          <w:b/>
          <w:color w:val="auto"/>
          <w:sz w:val="32"/>
          <w:szCs w:val="32"/>
          <w:highlight w:val="none"/>
        </w:rPr>
      </w:pPr>
      <w:bookmarkStart w:id="86" w:name="_Toc363474027"/>
      <w:bookmarkStart w:id="87" w:name="_Toc403077648"/>
      <w:bookmarkStart w:id="88" w:name="_Toc204524343"/>
    </w:p>
    <w:p>
      <w:pPr>
        <w:pStyle w:val="9"/>
        <w:rPr>
          <w:rFonts w:ascii="宋体" w:hAnsi="宋体" w:cs="宋体"/>
          <w:b/>
          <w:color w:val="auto"/>
          <w:sz w:val="32"/>
          <w:szCs w:val="32"/>
          <w:highlight w:val="none"/>
        </w:rPr>
      </w:pPr>
    </w:p>
    <w:p>
      <w:pPr>
        <w:pStyle w:val="9"/>
        <w:rPr>
          <w:rFonts w:ascii="宋体" w:hAnsi="宋体" w:cs="宋体"/>
          <w:b/>
          <w:color w:val="auto"/>
          <w:sz w:val="32"/>
          <w:szCs w:val="32"/>
          <w:highlight w:val="none"/>
        </w:rPr>
      </w:pPr>
    </w:p>
    <w:p>
      <w:pPr>
        <w:spacing w:line="520" w:lineRule="exact"/>
        <w:jc w:val="center"/>
        <w:outlineLvl w:val="2"/>
        <w:rPr>
          <w:rFonts w:hAnsi="宋体" w:cs="宋体"/>
          <w:b/>
          <w:color w:val="auto"/>
          <w:sz w:val="32"/>
          <w:szCs w:val="32"/>
          <w:highlight w:val="none"/>
        </w:rPr>
      </w:pPr>
      <w:r>
        <w:rPr>
          <w:rFonts w:hint="eastAsia" w:hAnsi="宋体" w:cs="宋体"/>
          <w:b/>
          <w:color w:val="auto"/>
          <w:sz w:val="32"/>
          <w:szCs w:val="32"/>
          <w:highlight w:val="none"/>
        </w:rPr>
        <w:br w:type="page"/>
      </w:r>
      <w:r>
        <w:rPr>
          <w:rFonts w:hint="eastAsia" w:hAnsi="宋体" w:cs="宋体"/>
          <w:b/>
          <w:color w:val="auto"/>
          <w:sz w:val="32"/>
          <w:szCs w:val="32"/>
          <w:highlight w:val="none"/>
        </w:rPr>
        <w:t>一、磋商</w:t>
      </w:r>
      <w:bookmarkEnd w:id="86"/>
      <w:bookmarkEnd w:id="87"/>
      <w:r>
        <w:rPr>
          <w:rFonts w:hint="eastAsia" w:hAnsi="宋体" w:cs="宋体"/>
          <w:b/>
          <w:color w:val="auto"/>
          <w:sz w:val="32"/>
          <w:szCs w:val="32"/>
          <w:highlight w:val="none"/>
        </w:rPr>
        <w:t>响应函</w:t>
      </w:r>
    </w:p>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陕西至诚招标咨询有限公司</w:t>
      </w:r>
    </w:p>
    <w:p>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份。并提交磋商保证金，金额为</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w:t>
      </w:r>
    </w:p>
    <w:p>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pPr>
        <w:numPr>
          <w:ilvl w:val="0"/>
          <w:numId w:val="5"/>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pPr>
        <w:numPr>
          <w:ilvl w:val="0"/>
          <w:numId w:val="5"/>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7）我们同意，如果成交，向陕西至诚招标咨询有限公司交纳招标代理服务费。</w:t>
      </w:r>
    </w:p>
    <w:p>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8）与本磋商有关的一切正式往来通讯为：</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pPr>
        <w:pStyle w:val="5"/>
        <w:spacing w:beforeLines="100" w:line="360" w:lineRule="auto"/>
        <w:rPr>
          <w:rFonts w:ascii="宋体" w:hAnsi="宋体" w:cs="宋体"/>
          <w:color w:val="auto"/>
          <w:sz w:val="32"/>
          <w:szCs w:val="32"/>
          <w:highlight w:val="none"/>
        </w:rPr>
      </w:pPr>
      <w:r>
        <w:rPr>
          <w:rFonts w:hint="eastAsia" w:ascii="宋体" w:hAnsi="宋体" w:cs="宋体"/>
          <w:color w:val="auto"/>
          <w:highlight w:val="none"/>
        </w:rPr>
        <w:br w:type="page"/>
      </w:r>
      <w:bookmarkStart w:id="89" w:name="_Toc403077651"/>
      <w:bookmarkStart w:id="90" w:name="_Toc363474030"/>
      <w:r>
        <w:rPr>
          <w:rFonts w:hint="eastAsia" w:ascii="宋体" w:hAnsi="宋体" w:cs="宋体"/>
          <w:color w:val="auto"/>
          <w:sz w:val="32"/>
          <w:szCs w:val="32"/>
          <w:highlight w:val="none"/>
        </w:rPr>
        <w:t>二、磋商报价表</w:t>
      </w:r>
      <w:bookmarkEnd w:id="89"/>
      <w:bookmarkEnd w:id="90"/>
    </w:p>
    <w:p>
      <w:pPr>
        <w:spacing w:line="360" w:lineRule="auto"/>
        <w:jc w:val="center"/>
        <w:rPr>
          <w:rFonts w:hAnsi="宋体" w:cs="宋体"/>
          <w:color w:val="auto"/>
          <w:szCs w:val="24"/>
          <w:highlight w:val="none"/>
        </w:rPr>
      </w:pPr>
      <w:r>
        <w:rPr>
          <w:rFonts w:hint="eastAsia" w:hAnsi="宋体" w:cs="宋体"/>
          <w:color w:val="auto"/>
          <w:szCs w:val="24"/>
          <w:highlight w:val="none"/>
        </w:rPr>
        <w:t>2.1报价一览表</w:t>
      </w:r>
    </w:p>
    <w:p>
      <w:pPr>
        <w:spacing w:line="360" w:lineRule="auto"/>
        <w:jc w:val="center"/>
        <w:rPr>
          <w:rFonts w:hAnsi="宋体" w:cs="宋体"/>
          <w:color w:val="auto"/>
          <w:szCs w:val="24"/>
          <w:highlight w:val="none"/>
        </w:rPr>
      </w:pPr>
    </w:p>
    <w:p>
      <w:pPr>
        <w:jc w:val="left"/>
        <w:rPr>
          <w:rFonts w:hAnsi="宋体" w:cs="宋体"/>
          <w:color w:val="auto"/>
          <w:highlight w:val="none"/>
        </w:rPr>
      </w:pPr>
      <w:r>
        <w:rPr>
          <w:rFonts w:hint="eastAsia" w:hAnsi="宋体" w:cs="宋体"/>
          <w:color w:val="auto"/>
          <w:highlight w:val="none"/>
        </w:rPr>
        <w:t xml:space="preserve">项目名称：                                                 </w:t>
      </w:r>
    </w:p>
    <w:p>
      <w:pPr>
        <w:jc w:val="left"/>
        <w:rPr>
          <w:rFonts w:hAnsi="宋体" w:cs="宋体"/>
          <w:color w:val="auto"/>
          <w:highlight w:val="none"/>
        </w:rPr>
      </w:pPr>
      <w:r>
        <w:rPr>
          <w:rFonts w:hint="eastAsia" w:hAnsi="宋体" w:cs="宋体"/>
          <w:color w:val="auto"/>
          <w:highlight w:val="none"/>
        </w:rPr>
        <w:t xml:space="preserve">项目编号：                                               </w:t>
      </w:r>
    </w:p>
    <w:p>
      <w:pPr>
        <w:rPr>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9"/>
        <w:gridCol w:w="5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Merge w:val="restart"/>
            <w:vAlign w:val="center"/>
          </w:tcPr>
          <w:p>
            <w:pPr>
              <w:jc w:val="center"/>
              <w:rPr>
                <w:color w:val="auto"/>
                <w:szCs w:val="24"/>
                <w:highlight w:val="none"/>
              </w:rPr>
            </w:pPr>
            <w:r>
              <w:rPr>
                <w:rFonts w:hint="eastAsia" w:hAnsi="宋体" w:cs="宋体"/>
                <w:color w:val="auto"/>
                <w:szCs w:val="24"/>
                <w:highlight w:val="none"/>
              </w:rPr>
              <w:t>磋商总报价（元）</w:t>
            </w:r>
          </w:p>
        </w:tc>
        <w:tc>
          <w:tcPr>
            <w:tcW w:w="5881" w:type="dxa"/>
            <w:vAlign w:val="center"/>
          </w:tcPr>
          <w:p>
            <w:pPr>
              <w:rPr>
                <w:color w:val="auto"/>
                <w:szCs w:val="24"/>
                <w:highlight w:val="none"/>
              </w:rPr>
            </w:pPr>
            <w:r>
              <w:rPr>
                <w:rFonts w:hint="eastAsia" w:hAnsi="宋体" w:cs="宋体"/>
                <w:color w:val="auto"/>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Merge w:val="continue"/>
            <w:vAlign w:val="center"/>
          </w:tcPr>
          <w:p>
            <w:pPr>
              <w:rPr>
                <w:color w:val="auto"/>
                <w:highlight w:val="none"/>
              </w:rPr>
            </w:pPr>
          </w:p>
        </w:tc>
        <w:tc>
          <w:tcPr>
            <w:tcW w:w="5881" w:type="dxa"/>
            <w:vAlign w:val="center"/>
          </w:tcPr>
          <w:p>
            <w:pPr>
              <w:rPr>
                <w:color w:val="auto"/>
                <w:szCs w:val="24"/>
                <w:highlight w:val="none"/>
              </w:rPr>
            </w:pPr>
            <w:r>
              <w:rPr>
                <w:rFonts w:hint="eastAsia" w:hAnsi="宋体" w:cs="宋体"/>
                <w:color w:val="auto"/>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Align w:val="center"/>
          </w:tcPr>
          <w:p>
            <w:pPr>
              <w:jc w:val="center"/>
              <w:rPr>
                <w:rFonts w:hAnsi="宋体" w:cs="宋体"/>
                <w:color w:val="auto"/>
                <w:szCs w:val="24"/>
                <w:highlight w:val="none"/>
              </w:rPr>
            </w:pPr>
            <w:r>
              <w:rPr>
                <w:rFonts w:hint="eastAsia" w:hAnsi="宋体" w:cs="宋体"/>
                <w:color w:val="auto"/>
                <w:szCs w:val="24"/>
                <w:highlight w:val="none"/>
              </w:rPr>
              <w:t>质量标准</w:t>
            </w:r>
          </w:p>
        </w:tc>
        <w:tc>
          <w:tcPr>
            <w:tcW w:w="5881" w:type="dxa"/>
            <w:vAlign w:val="center"/>
          </w:tcPr>
          <w:p>
            <w:pPr>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Align w:val="center"/>
          </w:tcPr>
          <w:p>
            <w:pPr>
              <w:jc w:val="center"/>
              <w:rPr>
                <w:rFonts w:hAnsi="宋体" w:cs="宋体"/>
                <w:color w:val="auto"/>
                <w:szCs w:val="24"/>
                <w:highlight w:val="none"/>
              </w:rPr>
            </w:pPr>
            <w:r>
              <w:rPr>
                <w:rFonts w:hint="eastAsia" w:hAnsi="宋体" w:cs="宋体"/>
                <w:color w:val="auto"/>
                <w:szCs w:val="24"/>
                <w:highlight w:val="none"/>
              </w:rPr>
              <w:t>建设期</w:t>
            </w:r>
          </w:p>
        </w:tc>
        <w:tc>
          <w:tcPr>
            <w:tcW w:w="5881" w:type="dxa"/>
            <w:vAlign w:val="center"/>
          </w:tcPr>
          <w:p>
            <w:pPr>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Align w:val="center"/>
          </w:tcPr>
          <w:p>
            <w:pPr>
              <w:jc w:val="center"/>
              <w:rPr>
                <w:rFonts w:hAnsi="宋体" w:cs="宋体"/>
                <w:color w:val="auto"/>
                <w:szCs w:val="24"/>
                <w:highlight w:val="none"/>
              </w:rPr>
            </w:pPr>
            <w:r>
              <w:rPr>
                <w:rFonts w:hint="eastAsia" w:hAnsi="宋体" w:cs="宋体"/>
                <w:color w:val="auto"/>
                <w:szCs w:val="24"/>
                <w:highlight w:val="none"/>
              </w:rPr>
              <w:t>抚育期</w:t>
            </w:r>
          </w:p>
        </w:tc>
        <w:tc>
          <w:tcPr>
            <w:tcW w:w="5881" w:type="dxa"/>
            <w:vAlign w:val="center"/>
          </w:tcPr>
          <w:p>
            <w:pPr>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Align w:val="center"/>
          </w:tcPr>
          <w:p>
            <w:pPr>
              <w:jc w:val="center"/>
              <w:rPr>
                <w:color w:val="auto"/>
                <w:szCs w:val="24"/>
                <w:highlight w:val="none"/>
              </w:rPr>
            </w:pPr>
            <w:r>
              <w:rPr>
                <w:rFonts w:hint="eastAsia" w:hAnsi="宋体" w:cs="宋体"/>
                <w:color w:val="auto"/>
                <w:szCs w:val="24"/>
                <w:highlight w:val="none"/>
              </w:rPr>
              <w:t>备注</w:t>
            </w:r>
          </w:p>
        </w:tc>
        <w:tc>
          <w:tcPr>
            <w:tcW w:w="5881" w:type="dxa"/>
            <w:vAlign w:val="center"/>
          </w:tcPr>
          <w:p>
            <w:pPr>
              <w:rPr>
                <w:color w:val="auto"/>
                <w:szCs w:val="24"/>
                <w:highlight w:val="none"/>
              </w:rPr>
            </w:pPr>
          </w:p>
        </w:tc>
      </w:tr>
    </w:tbl>
    <w:p>
      <w:pPr>
        <w:rPr>
          <w:rFonts w:hAnsi="宋体" w:cs="宋体"/>
          <w:color w:val="auto"/>
          <w:szCs w:val="24"/>
          <w:highlight w:val="none"/>
        </w:rPr>
      </w:pPr>
    </w:p>
    <w:p>
      <w:pPr>
        <w:spacing w:line="280" w:lineRule="exact"/>
        <w:ind w:right="617" w:rightChars="257"/>
        <w:jc w:val="left"/>
        <w:rPr>
          <w:rFonts w:hAnsi="宋体" w:cs="宋体"/>
          <w:color w:val="auto"/>
          <w:szCs w:val="24"/>
          <w:highlight w:val="none"/>
        </w:rPr>
      </w:pPr>
    </w:p>
    <w:p>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pPr>
        <w:spacing w:line="280" w:lineRule="exact"/>
        <w:ind w:right="617" w:rightChars="257"/>
        <w:jc w:val="left"/>
        <w:rPr>
          <w:rFonts w:hAnsi="宋体" w:cs="宋体"/>
          <w:color w:val="auto"/>
          <w:szCs w:val="24"/>
          <w:highlight w:val="none"/>
        </w:rPr>
      </w:pPr>
    </w:p>
    <w:p>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pPr>
        <w:spacing w:line="280" w:lineRule="exact"/>
        <w:ind w:right="617" w:rightChars="257"/>
        <w:jc w:val="left"/>
        <w:rPr>
          <w:rFonts w:hAnsi="宋体" w:cs="宋体"/>
          <w:color w:val="auto"/>
          <w:szCs w:val="24"/>
          <w:highlight w:val="none"/>
        </w:rPr>
      </w:pPr>
    </w:p>
    <w:p>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pPr>
        <w:jc w:val="center"/>
        <w:rPr>
          <w:rFonts w:hAnsi="宋体" w:cs="宋体"/>
          <w:color w:val="auto"/>
          <w:szCs w:val="24"/>
          <w:highlight w:val="none"/>
        </w:rPr>
      </w:pPr>
    </w:p>
    <w:p>
      <w:pPr>
        <w:spacing w:beforeLines="50" w:afterLines="50" w:line="400" w:lineRule="atLeast"/>
        <w:rPr>
          <w:rFonts w:hAnsi="宋体" w:cs="宋体"/>
          <w:b/>
          <w:color w:val="auto"/>
          <w:sz w:val="30"/>
          <w:szCs w:val="30"/>
          <w:highlight w:val="none"/>
        </w:rPr>
      </w:pPr>
      <w:r>
        <w:rPr>
          <w:rFonts w:hint="eastAsia" w:hAnsi="宋体" w:cs="宋体"/>
          <w:color w:val="auto"/>
          <w:szCs w:val="24"/>
          <w:highlight w:val="none"/>
        </w:rPr>
        <w:t>注：本表应按“供应商须知”的规定密封单独提交。若有折扣声明，请与本表一并装订和密封。严格按照表格格式报价。</w:t>
      </w:r>
    </w:p>
    <w:p>
      <w:pPr>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2.2分项报价表</w:t>
      </w:r>
    </w:p>
    <w:p>
      <w:pPr>
        <w:jc w:val="center"/>
        <w:rPr>
          <w:rFonts w:hAnsi="宋体" w:cs="宋体"/>
          <w:color w:val="auto"/>
          <w:highlight w:val="none"/>
        </w:rPr>
      </w:pPr>
      <w:r>
        <w:rPr>
          <w:rFonts w:hint="eastAsia" w:hAnsi="宋体" w:cs="宋体"/>
          <w:b/>
          <w:color w:val="auto"/>
          <w:sz w:val="30"/>
          <w:szCs w:val="30"/>
          <w:highlight w:val="none"/>
        </w:rPr>
        <w:t>（格式自拟）</w:t>
      </w:r>
    </w:p>
    <w:p>
      <w:pPr>
        <w:jc w:val="center"/>
        <w:outlineLvl w:val="2"/>
        <w:rPr>
          <w:rFonts w:hAnsi="宋体" w:cs="宋体"/>
          <w:color w:val="auto"/>
          <w:sz w:val="32"/>
          <w:szCs w:val="32"/>
          <w:highlight w:val="none"/>
        </w:rPr>
      </w:pPr>
      <w:r>
        <w:rPr>
          <w:rFonts w:hint="eastAsia" w:hAnsi="宋体" w:cs="宋体"/>
          <w:b/>
          <w:color w:val="auto"/>
          <w:sz w:val="30"/>
          <w:szCs w:val="30"/>
          <w:highlight w:val="none"/>
        </w:rPr>
        <w:br w:type="page"/>
      </w:r>
      <w:bookmarkEnd w:id="88"/>
      <w:bookmarkStart w:id="91" w:name="_Toc344572163"/>
      <w:r>
        <w:rPr>
          <w:rFonts w:hint="eastAsia" w:hAnsi="宋体" w:cs="宋体"/>
          <w:b/>
          <w:bCs/>
          <w:color w:val="auto"/>
          <w:sz w:val="32"/>
          <w:szCs w:val="32"/>
          <w:highlight w:val="none"/>
        </w:rPr>
        <w:t>三、磋商方案说明书</w:t>
      </w:r>
    </w:p>
    <w:p>
      <w:pPr>
        <w:spacing w:line="580" w:lineRule="exact"/>
        <w:rPr>
          <w:color w:val="auto"/>
          <w:highlight w:val="none"/>
        </w:rPr>
      </w:pPr>
      <w:r>
        <w:rPr>
          <w:rFonts w:hint="eastAsia" w:hAnsi="宋体" w:cs="宋体"/>
          <w:color w:val="auto"/>
          <w:szCs w:val="24"/>
          <w:highlight w:val="none"/>
        </w:rPr>
        <w:t>1、按照磋商文件的要求编制的响应说明书，包括但不限于以下内容：</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①项目管理部门及人员配备</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②项目实施方案</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③工程进度计划与保障措施</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④确保工程质量的组织措施</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⑤文明施工、环境保护管理体系与措施</w:t>
      </w:r>
    </w:p>
    <w:p>
      <w:pPr>
        <w:spacing w:line="480" w:lineRule="auto"/>
        <w:ind w:firstLine="480" w:firstLineChars="200"/>
        <w:rPr>
          <w:rFonts w:hAnsi="宋体" w:cs="宋体"/>
          <w:color w:val="auto"/>
          <w:szCs w:val="24"/>
          <w:highlight w:val="none"/>
        </w:rPr>
      </w:pPr>
      <w:r>
        <w:rPr>
          <w:rFonts w:hint="eastAsia" w:hAnsi="宋体" w:cs="宋体"/>
          <w:color w:val="auto"/>
          <w:szCs w:val="24"/>
          <w:highlight w:val="none"/>
        </w:rPr>
        <w:t>⑥主要机具、设备和劳动力配备情况</w:t>
      </w:r>
    </w:p>
    <w:p>
      <w:pPr>
        <w:kinsoku w:val="0"/>
        <w:spacing w:line="480" w:lineRule="auto"/>
        <w:ind w:firstLine="480" w:firstLineChars="200"/>
        <w:rPr>
          <w:rFonts w:hAnsi="宋体" w:cs="宋体"/>
          <w:color w:val="auto"/>
          <w:szCs w:val="24"/>
          <w:highlight w:val="none"/>
        </w:rPr>
      </w:pPr>
      <w:r>
        <w:rPr>
          <w:rFonts w:hint="eastAsia" w:hAnsi="宋体" w:cs="宋体"/>
          <w:color w:val="auto"/>
          <w:szCs w:val="24"/>
          <w:highlight w:val="none"/>
        </w:rPr>
        <w:t>⑦业绩及质量承诺</w:t>
      </w:r>
    </w:p>
    <w:p>
      <w:pPr>
        <w:spacing w:line="480" w:lineRule="auto"/>
        <w:ind w:firstLine="241" w:firstLineChars="100"/>
        <w:rPr>
          <w:rFonts w:hAnsi="宋体" w:cs="宋体"/>
          <w:color w:val="auto"/>
          <w:szCs w:val="24"/>
          <w:highlight w:val="none"/>
        </w:rPr>
      </w:pPr>
      <w:r>
        <w:rPr>
          <w:rFonts w:hint="eastAsia" w:hAnsi="宋体" w:cs="宋体"/>
          <w:b/>
          <w:bCs/>
          <w:color w:val="auto"/>
          <w:szCs w:val="24"/>
          <w:highlight w:val="none"/>
        </w:rPr>
        <w:t>注：包括但不限于以上要求的内容，可参照第三章评标办法进行编制方案要求。</w:t>
      </w:r>
    </w:p>
    <w:p>
      <w:pPr>
        <w:kinsoku w:val="0"/>
        <w:spacing w:line="580" w:lineRule="exact"/>
        <w:rPr>
          <w:rFonts w:hAnsi="宋体" w:cs="宋体"/>
          <w:color w:val="auto"/>
          <w:szCs w:val="24"/>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r>
        <w:rPr>
          <w:rFonts w:hint="eastAsia" w:hAnsi="宋体" w:cs="宋体"/>
          <w:color w:val="auto"/>
          <w:szCs w:val="24"/>
          <w:highlight w:val="none"/>
        </w:rPr>
        <w:t>被授权人签字或盖章：</w:t>
      </w: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r>
        <w:rPr>
          <w:rFonts w:hint="eastAsia" w:hAnsi="宋体" w:cs="宋体"/>
          <w:color w:val="auto"/>
          <w:szCs w:val="24"/>
          <w:highlight w:val="none"/>
        </w:rPr>
        <w:t>公      章：</w:t>
      </w:r>
    </w:p>
    <w:p>
      <w:pPr>
        <w:spacing w:line="440" w:lineRule="exact"/>
        <w:ind w:firstLine="3734" w:firstLineChars="1556"/>
        <w:rPr>
          <w:rFonts w:hAnsi="宋体" w:cs="宋体"/>
          <w:color w:val="auto"/>
          <w:szCs w:val="24"/>
          <w:highlight w:val="none"/>
        </w:rPr>
      </w:pPr>
    </w:p>
    <w:p>
      <w:pPr>
        <w:spacing w:line="440" w:lineRule="exact"/>
        <w:ind w:firstLine="3734" w:firstLineChars="1556"/>
        <w:rPr>
          <w:rFonts w:hAnsi="宋体" w:cs="宋体"/>
          <w:color w:val="auto"/>
          <w:szCs w:val="24"/>
          <w:highlight w:val="none"/>
        </w:rPr>
      </w:pPr>
      <w:r>
        <w:rPr>
          <w:rFonts w:hint="eastAsia" w:hAnsi="宋体" w:cs="宋体"/>
          <w:color w:val="auto"/>
          <w:szCs w:val="24"/>
          <w:highlight w:val="none"/>
        </w:rPr>
        <w:t>日      期：</w:t>
      </w:r>
    </w:p>
    <w:p>
      <w:pPr>
        <w:rPr>
          <w:color w:val="auto"/>
          <w:highlight w:val="none"/>
        </w:rPr>
      </w:pPr>
      <w:r>
        <w:rPr>
          <w:rFonts w:hint="eastAsia"/>
          <w:color w:val="auto"/>
          <w:highlight w:val="none"/>
        </w:rPr>
        <w:t xml:space="preserve"> </w:t>
      </w:r>
    </w:p>
    <w:p>
      <w:pPr>
        <w:rPr>
          <w:color w:val="auto"/>
          <w:highlight w:val="none"/>
        </w:rPr>
        <w:sectPr>
          <w:headerReference r:id="rId13" w:type="default"/>
          <w:footerReference r:id="rId15" w:type="default"/>
          <w:headerReference r:id="rId14" w:type="even"/>
          <w:pgSz w:w="11906" w:h="16838"/>
          <w:pgMar w:top="1417" w:right="1417" w:bottom="1417" w:left="1417" w:header="851" w:footer="992" w:gutter="0"/>
          <w:cols w:space="720" w:num="1"/>
          <w:docGrid w:type="lines" w:linePitch="312" w:charSpace="0"/>
        </w:sectPr>
      </w:pPr>
      <w:r>
        <w:rPr>
          <w:rFonts w:hint="eastAsia"/>
          <w:color w:val="auto"/>
          <w:highlight w:val="none"/>
        </w:rPr>
        <w:t xml:space="preserve"> </w:t>
      </w:r>
    </w:p>
    <w:p>
      <w:pPr>
        <w:spacing w:line="440" w:lineRule="exact"/>
        <w:rPr>
          <w:rFonts w:hAnsi="宋体" w:cs="宋体"/>
          <w:color w:val="auto"/>
          <w:szCs w:val="24"/>
          <w:highlight w:val="none"/>
        </w:rPr>
      </w:pPr>
    </w:p>
    <w:p>
      <w:pPr>
        <w:spacing w:line="440" w:lineRule="exact"/>
        <w:jc w:val="center"/>
        <w:outlineLvl w:val="2"/>
        <w:rPr>
          <w:rFonts w:hAnsi="宋体" w:cs="宋体"/>
          <w:color w:val="auto"/>
          <w:sz w:val="32"/>
          <w:szCs w:val="32"/>
          <w:highlight w:val="none"/>
        </w:rPr>
      </w:pPr>
      <w:bookmarkStart w:id="92" w:name="_Toc1379"/>
      <w:bookmarkStart w:id="93" w:name="_Toc2621"/>
      <w:bookmarkStart w:id="94" w:name="_Toc9218"/>
      <w:bookmarkStart w:id="95" w:name="_Toc21284"/>
      <w:bookmarkStart w:id="96" w:name="_Toc23455"/>
      <w:r>
        <w:rPr>
          <w:rFonts w:hint="eastAsia" w:hAnsi="宋体" w:cs="宋体"/>
          <w:b/>
          <w:bCs/>
          <w:color w:val="auto"/>
          <w:sz w:val="32"/>
          <w:szCs w:val="32"/>
          <w:highlight w:val="none"/>
        </w:rPr>
        <w:t>四、</w:t>
      </w:r>
      <w:bookmarkEnd w:id="92"/>
      <w:bookmarkEnd w:id="93"/>
      <w:bookmarkEnd w:id="94"/>
      <w:bookmarkEnd w:id="95"/>
      <w:bookmarkEnd w:id="96"/>
      <w:r>
        <w:rPr>
          <w:rFonts w:hint="eastAsia" w:hAnsi="宋体" w:cs="宋体"/>
          <w:b/>
          <w:bCs/>
          <w:color w:val="auto"/>
          <w:sz w:val="32"/>
          <w:szCs w:val="32"/>
          <w:highlight w:val="none"/>
        </w:rPr>
        <w:t>商务条款偏离表</w:t>
      </w:r>
    </w:p>
    <w:p>
      <w:pPr>
        <w:pStyle w:val="22"/>
        <w:widowControl w:val="0"/>
        <w:spacing w:before="0" w:beforeAutospacing="0" w:after="0" w:afterAutospacing="0"/>
        <w:jc w:val="both"/>
        <w:rPr>
          <w:rFonts w:cs="宋体"/>
          <w:color w:val="auto"/>
          <w:highlight w:val="none"/>
        </w:rPr>
      </w:pPr>
    </w:p>
    <w:p>
      <w:pPr>
        <w:pStyle w:val="22"/>
        <w:widowControl w:val="0"/>
        <w:spacing w:beforeLines="50" w:beforeAutospacing="0" w:afterLines="50" w:afterAutospacing="0"/>
        <w:rPr>
          <w:rFonts w:cs="宋体"/>
          <w:color w:val="auto"/>
          <w:highlight w:val="none"/>
        </w:rPr>
      </w:pPr>
      <w:r>
        <w:rPr>
          <w:rFonts w:hint="eastAsia" w:cs="宋体"/>
          <w:color w:val="auto"/>
          <w:highlight w:val="none"/>
        </w:rPr>
        <w:t>项目名称：</w:t>
      </w:r>
    </w:p>
    <w:p>
      <w:pPr>
        <w:pStyle w:val="22"/>
        <w:widowControl w:val="0"/>
        <w:spacing w:beforeLines="50" w:beforeAutospacing="0" w:afterLines="50" w:afterAutospacing="0"/>
        <w:rPr>
          <w:rFonts w:cs="宋体"/>
          <w:color w:val="auto"/>
          <w:highlight w:val="none"/>
          <w:u w:val="single"/>
        </w:rPr>
      </w:pPr>
      <w:r>
        <w:rPr>
          <w:rFonts w:hint="eastAsia" w:cs="宋体"/>
          <w:color w:val="auto"/>
          <w:highlight w:val="none"/>
        </w:rPr>
        <w:t>项目编号：</w:t>
      </w:r>
    </w:p>
    <w:p>
      <w:pPr>
        <w:pStyle w:val="22"/>
        <w:widowControl w:val="0"/>
        <w:spacing w:before="0" w:beforeAutospacing="0" w:after="0" w:afterAutospacing="0"/>
        <w:ind w:firstLine="480" w:firstLineChars="200"/>
        <w:jc w:val="center"/>
        <w:rPr>
          <w:rFonts w:cs="宋体"/>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3013"/>
        <w:gridCol w:w="142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color w:val="auto"/>
                <w:highlight w:val="none"/>
              </w:rPr>
            </w:pPr>
          </w:p>
        </w:tc>
      </w:tr>
    </w:tbl>
    <w:p>
      <w:pPr>
        <w:pStyle w:val="22"/>
        <w:widowControl w:val="0"/>
        <w:spacing w:before="0" w:beforeAutospacing="0" w:after="0" w:afterAutospacing="0"/>
        <w:rPr>
          <w:rFonts w:cs="宋体"/>
          <w:color w:val="auto"/>
          <w:highlight w:val="none"/>
        </w:rPr>
      </w:pPr>
      <w:r>
        <w:rPr>
          <w:rFonts w:hint="eastAsia" w:cs="宋体"/>
          <w:color w:val="auto"/>
          <w:highlight w:val="none"/>
        </w:rPr>
        <w:t>说明：</w:t>
      </w:r>
    </w:p>
    <w:p>
      <w:pPr>
        <w:pStyle w:val="22"/>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pPr>
        <w:pStyle w:val="22"/>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pPr>
        <w:pStyle w:val="22"/>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2.供应商必须据实填写，不得虚假响应，否则将取消其磋商或成交资格，并按有关规定进处罚。</w:t>
      </w:r>
    </w:p>
    <w:p>
      <w:pPr>
        <w:pStyle w:val="22"/>
        <w:widowControl w:val="0"/>
        <w:spacing w:before="0" w:beforeAutospacing="0" w:after="0" w:afterAutospacing="0"/>
        <w:ind w:firstLine="480" w:firstLineChars="200"/>
        <w:jc w:val="center"/>
        <w:rPr>
          <w:rFonts w:cs="宋体"/>
          <w:color w:val="auto"/>
          <w:highlight w:val="none"/>
        </w:rPr>
      </w:pPr>
    </w:p>
    <w:p>
      <w:pPr>
        <w:pStyle w:val="22"/>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pPr>
        <w:pStyle w:val="22"/>
        <w:widowControl w:val="0"/>
        <w:spacing w:before="0" w:beforeAutospacing="0" w:after="0" w:afterAutospacing="0"/>
        <w:ind w:firstLine="480" w:firstLineChars="200"/>
        <w:jc w:val="center"/>
        <w:rPr>
          <w:rFonts w:cs="宋体"/>
          <w:color w:val="auto"/>
          <w:highlight w:val="none"/>
        </w:rPr>
      </w:pPr>
    </w:p>
    <w:p>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 </w:t>
      </w:r>
    </w:p>
    <w:p>
      <w:pPr>
        <w:spacing w:line="360" w:lineRule="auto"/>
        <w:ind w:left="600" w:leftChars="250"/>
        <w:rPr>
          <w:rFonts w:hAnsi="宋体" w:cs="宋体"/>
          <w:b/>
          <w:bCs/>
          <w:color w:val="auto"/>
          <w:sz w:val="28"/>
          <w:szCs w:val="28"/>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p>
    <w:p>
      <w:pPr>
        <w:spacing w:line="440" w:lineRule="exact"/>
        <w:ind w:left="3725" w:leftChars="1552"/>
        <w:rPr>
          <w:rFonts w:hAnsi="宋体" w:cs="宋体"/>
          <w:color w:val="auto"/>
          <w:szCs w:val="24"/>
          <w:highlight w:val="none"/>
        </w:rPr>
      </w:pPr>
    </w:p>
    <w:bookmarkEnd w:id="91"/>
    <w:p>
      <w:pPr>
        <w:spacing w:line="360" w:lineRule="auto"/>
        <w:jc w:val="center"/>
        <w:outlineLvl w:val="2"/>
        <w:rPr>
          <w:rFonts w:hAnsi="宋体" w:cs="宋体"/>
          <w:b/>
          <w:bCs/>
          <w:color w:val="auto"/>
          <w:sz w:val="30"/>
          <w:szCs w:val="30"/>
          <w:highlight w:val="none"/>
        </w:rPr>
      </w:pPr>
      <w:bookmarkStart w:id="97" w:name="_Toc363474033"/>
      <w:bookmarkStart w:id="98" w:name="_Toc403077656"/>
      <w:r>
        <w:rPr>
          <w:rFonts w:hint="eastAsia" w:hAnsi="宋体" w:cs="宋体"/>
          <w:b/>
          <w:bCs/>
          <w:color w:val="auto"/>
          <w:sz w:val="30"/>
          <w:szCs w:val="30"/>
          <w:highlight w:val="none"/>
        </w:rPr>
        <w:br w:type="page"/>
      </w:r>
      <w:r>
        <w:rPr>
          <w:rFonts w:hint="eastAsia" w:hAnsi="宋体" w:cs="宋体"/>
          <w:b/>
          <w:bCs/>
          <w:color w:val="auto"/>
          <w:sz w:val="30"/>
          <w:szCs w:val="30"/>
          <w:highlight w:val="none"/>
        </w:rPr>
        <w:t>五、陕西省政府采购供应商拒绝政府采购领域商业贿赂承诺书</w:t>
      </w:r>
      <w:bookmarkEnd w:id="97"/>
      <w:bookmarkEnd w:id="98"/>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4、不采取“围标、陪标”等商业欺诈手段获得政府采购定单。</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pPr>
        <w:jc w:val="center"/>
        <w:outlineLvl w:val="2"/>
        <w:rPr>
          <w:rFonts w:hAnsi="宋体" w:cs="宋体"/>
          <w:b/>
          <w:bCs/>
          <w:color w:val="auto"/>
          <w:sz w:val="30"/>
          <w:szCs w:val="30"/>
          <w:highlight w:val="none"/>
        </w:rPr>
      </w:pPr>
      <w:bookmarkStart w:id="99" w:name="_Toc363474034"/>
      <w:bookmarkStart w:id="100" w:name="_Toc403077657"/>
      <w:r>
        <w:rPr>
          <w:rFonts w:hint="eastAsia" w:hAnsi="宋体" w:cs="宋体"/>
          <w:b/>
          <w:bCs/>
          <w:color w:val="auto"/>
          <w:sz w:val="30"/>
          <w:szCs w:val="30"/>
          <w:highlight w:val="none"/>
        </w:rPr>
        <w:br w:type="page"/>
      </w:r>
      <w:r>
        <w:rPr>
          <w:rFonts w:hint="eastAsia" w:hAnsi="宋体" w:cs="宋体"/>
          <w:b/>
          <w:bCs/>
          <w:color w:val="auto"/>
          <w:sz w:val="30"/>
          <w:szCs w:val="30"/>
          <w:highlight w:val="none"/>
        </w:rPr>
        <w:t>六、特定资格证明文件</w:t>
      </w:r>
      <w:bookmarkEnd w:id="99"/>
      <w:bookmarkEnd w:id="100"/>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1、提供合格有效的法人或者其他组织的营业执照等证明文件，自然人的身份证明；</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2、提供法定代表人授权书（附法定代表人、被授权人身份证复印件）及被授权人身份证原件（法定代表人直接参加投标，须提供法定代表人身份证明及身份证原件）；</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4、税收缴纳证明：提供磋商截止日前近一年内任意一个月的纳税证明或完税证明（任意税种），依法免税的单位应提供相关证明材料；</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5、社会保障资金缴纳证明：提供磋商截止日前近一年内任意一个月的社会保障资金缴存单据或社保机构开具的社会保险参保缴费情况证明，依法不需要缴纳社会保障资金的单位应提供相关证明材料；</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6、供应商应通过“信用中国”网站(www.creditchina.gov.cn)、中国政府采购网(www.ccgp.gov.cn)查询相关主体信用记录；</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7、提供具有履行本合同所必需的设备和专业技术能力的说明及承诺书；</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8、参加政府采购活动前3年内，在经营活动中没有重大违法记录的书面声明；</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9、磋商保证金缴纳凭证或担保机构出具的保函；</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10、本项目不接受联合体磋商。</w:t>
      </w:r>
    </w:p>
    <w:p>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pPr>
        <w:pStyle w:val="22"/>
        <w:shd w:val="clear" w:color="auto" w:fill="FFFFFF"/>
        <w:spacing w:before="0" w:beforeAutospacing="0" w:after="0" w:afterAutospacing="0" w:line="360" w:lineRule="auto"/>
        <w:ind w:firstLine="315" w:firstLineChars="150"/>
        <w:rPr>
          <w:rFonts w:ascii="微软雅黑" w:hAnsi="微软雅黑" w:eastAsia="微软雅黑" w:cs="Arial"/>
          <w:b/>
          <w:bCs/>
          <w:color w:val="auto"/>
          <w:sz w:val="21"/>
          <w:szCs w:val="21"/>
          <w:highlight w:val="none"/>
        </w:rPr>
      </w:pPr>
    </w:p>
    <w:p>
      <w:pPr>
        <w:jc w:val="center"/>
        <w:outlineLvl w:val="2"/>
        <w:rPr>
          <w:rFonts w:hAnsi="宋体" w:cs="宋体"/>
          <w:b/>
          <w:bCs/>
          <w:color w:val="auto"/>
          <w:sz w:val="30"/>
          <w:szCs w:val="30"/>
          <w:highlight w:val="none"/>
        </w:rPr>
      </w:pPr>
      <w:r>
        <w:rPr>
          <w:rFonts w:hint="eastAsia" w:hAnsi="宋体" w:cs="宋体"/>
          <w:color w:val="auto"/>
          <w:szCs w:val="24"/>
          <w:highlight w:val="none"/>
        </w:rPr>
        <w:br w:type="page"/>
      </w:r>
      <w:r>
        <w:rPr>
          <w:rFonts w:hint="eastAsia" w:hAnsi="宋体" w:cs="宋体"/>
          <w:b/>
          <w:bCs/>
          <w:color w:val="auto"/>
          <w:sz w:val="30"/>
          <w:szCs w:val="30"/>
          <w:highlight w:val="none"/>
        </w:rPr>
        <w:t>七、其它</w:t>
      </w:r>
    </w:p>
    <w:p>
      <w:pPr>
        <w:pStyle w:val="9"/>
        <w:rPr>
          <w:rFonts w:ascii="宋体" w:hAnsi="宋体" w:cs="宋体"/>
          <w:color w:val="auto"/>
          <w:sz w:val="24"/>
          <w:szCs w:val="24"/>
          <w:highlight w:val="none"/>
        </w:rPr>
      </w:pPr>
      <w:r>
        <w:rPr>
          <w:rFonts w:hint="eastAsia" w:ascii="宋体" w:hAnsi="宋体" w:cs="宋体"/>
          <w:color w:val="auto"/>
          <w:sz w:val="24"/>
          <w:szCs w:val="24"/>
          <w:highlight w:val="none"/>
        </w:rPr>
        <w:t>1、依据竞争性磋商文件要求，供应商认为有必要说明的其他内容</w:t>
      </w:r>
    </w:p>
    <w:p>
      <w:pPr>
        <w:pStyle w:val="9"/>
        <w:rPr>
          <w:rFonts w:ascii="宋体" w:hAnsi="宋体" w:cs="宋体"/>
          <w:color w:val="auto"/>
          <w:sz w:val="24"/>
          <w:szCs w:val="24"/>
          <w:highlight w:val="none"/>
        </w:rPr>
      </w:pPr>
      <w:r>
        <w:rPr>
          <w:rFonts w:hint="eastAsia" w:ascii="宋体" w:hAnsi="宋体" w:cs="宋体"/>
          <w:color w:val="auto"/>
          <w:sz w:val="24"/>
          <w:szCs w:val="24"/>
          <w:highlight w:val="none"/>
        </w:rPr>
        <w:t>2、其他可以证明供应商实力的文件。</w:t>
      </w:r>
    </w:p>
    <w:p>
      <w:pPr>
        <w:spacing w:beforeLines="50" w:afterLines="50" w:line="500" w:lineRule="exact"/>
        <w:rPr>
          <w:rFonts w:hAnsi="宋体" w:cs="宋体"/>
          <w:b/>
          <w:color w:val="auto"/>
          <w:sz w:val="28"/>
          <w:szCs w:val="28"/>
          <w:highlight w:val="none"/>
        </w:rPr>
      </w:pPr>
      <w:r>
        <w:rPr>
          <w:rFonts w:hint="eastAsia" w:hAnsi="宋体" w:cs="宋体"/>
          <w:color w:val="auto"/>
          <w:szCs w:val="24"/>
          <w:highlight w:val="none"/>
        </w:rPr>
        <w:br w:type="page"/>
      </w:r>
      <w:r>
        <w:rPr>
          <w:rFonts w:hint="eastAsia" w:hAnsi="宋体" w:cs="宋体"/>
          <w:b/>
          <w:color w:val="auto"/>
          <w:sz w:val="28"/>
          <w:szCs w:val="28"/>
          <w:highlight w:val="none"/>
        </w:rPr>
        <w:t>附件1：</w:t>
      </w:r>
    </w:p>
    <w:p>
      <w:pPr>
        <w:keepNext/>
        <w:spacing w:beforeLines="100" w:line="360" w:lineRule="auto"/>
        <w:jc w:val="center"/>
        <w:rPr>
          <w:rFonts w:hAnsi="宋体" w:cs="宋体"/>
          <w:color w:val="auto"/>
          <w:sz w:val="32"/>
          <w:szCs w:val="32"/>
          <w:highlight w:val="none"/>
        </w:rPr>
      </w:pPr>
      <w:bookmarkStart w:id="101" w:name="_Toc403077649"/>
      <w:bookmarkStart w:id="102" w:name="_Toc363474028"/>
      <w:r>
        <w:rPr>
          <w:rFonts w:hint="eastAsia" w:hAnsi="宋体" w:cs="宋体"/>
          <w:color w:val="auto"/>
          <w:sz w:val="32"/>
          <w:szCs w:val="32"/>
          <w:highlight w:val="none"/>
        </w:rPr>
        <w:t>法定代表人身份证明/法定代表人授权书</w:t>
      </w:r>
      <w:bookmarkEnd w:id="101"/>
      <w:bookmarkEnd w:id="102"/>
    </w:p>
    <w:p>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pPr>
        <w:pStyle w:val="9"/>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autoSpaceDE w:val="0"/>
        <w:autoSpaceDN w:val="0"/>
        <w:adjustRightInd w:val="0"/>
        <w:snapToGrid w:val="0"/>
        <w:spacing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特此证明。</w:t>
      </w:r>
    </w:p>
    <w:p>
      <w:pPr>
        <w:autoSpaceDE w:val="0"/>
        <w:autoSpaceDN w:val="0"/>
        <w:adjustRightInd w:val="0"/>
        <w:snapToGrid w:val="0"/>
        <w:spacing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5"/>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Ansi="宋体" w:cs="宋体"/>
                <w:color w:val="auto"/>
                <w:szCs w:val="21"/>
                <w:highlight w:val="none"/>
              </w:rPr>
            </w:pPr>
          </w:p>
          <w:p>
            <w:pPr>
              <w:snapToGrid w:val="0"/>
              <w:spacing w:line="480" w:lineRule="auto"/>
              <w:jc w:val="center"/>
              <w:rPr>
                <w:rFonts w:hAnsi="宋体" w:cs="宋体"/>
                <w:color w:val="auto"/>
                <w:szCs w:val="21"/>
                <w:highlight w:val="none"/>
              </w:rPr>
            </w:pPr>
          </w:p>
          <w:p>
            <w:pPr>
              <w:autoSpaceDE w:val="0"/>
              <w:autoSpaceDN w:val="0"/>
              <w:adjustRightInd w:val="0"/>
              <w:snapToGrid w:val="0"/>
              <w:spacing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pPr>
              <w:pStyle w:val="9"/>
              <w:jc w:val="center"/>
              <w:rPr>
                <w:rFonts w:ascii="宋体" w:hAnsi="宋体" w:cs="宋体"/>
                <w:color w:val="auto"/>
                <w:highlight w:val="none"/>
              </w:rPr>
            </w:pPr>
            <w:r>
              <w:rPr>
                <w:rFonts w:hint="eastAsia" w:ascii="宋体" w:hAnsi="宋体" w:cs="宋体"/>
                <w:color w:val="auto"/>
                <w:szCs w:val="21"/>
                <w:highlight w:val="none"/>
              </w:rPr>
              <w:t>（正反面）</w:t>
            </w:r>
          </w:p>
          <w:p>
            <w:pPr>
              <w:snapToGrid w:val="0"/>
              <w:spacing w:line="480" w:lineRule="auto"/>
              <w:jc w:val="center"/>
              <w:rPr>
                <w:rFonts w:hAnsi="宋体" w:cs="宋体"/>
                <w:color w:val="auto"/>
                <w:szCs w:val="21"/>
                <w:highlight w:val="none"/>
              </w:rPr>
            </w:pPr>
          </w:p>
          <w:p>
            <w:pPr>
              <w:snapToGrid w:val="0"/>
              <w:spacing w:line="480" w:lineRule="auto"/>
              <w:jc w:val="center"/>
              <w:rPr>
                <w:rFonts w:hAnsi="宋体" w:cs="宋体"/>
                <w:color w:val="auto"/>
                <w:szCs w:val="21"/>
                <w:highlight w:val="none"/>
              </w:rPr>
            </w:pPr>
          </w:p>
        </w:tc>
      </w:tr>
    </w:tbl>
    <w:p>
      <w:pPr>
        <w:snapToGrid w:val="0"/>
        <w:spacing w:line="480" w:lineRule="auto"/>
        <w:rPr>
          <w:rFonts w:hAnsi="宋体" w:cs="宋体"/>
          <w:color w:val="auto"/>
          <w:szCs w:val="21"/>
          <w:highlight w:val="none"/>
        </w:rPr>
      </w:pPr>
    </w:p>
    <w:p>
      <w:pPr>
        <w:snapToGrid w:val="0"/>
        <w:rPr>
          <w:rFonts w:hAnsi="宋体" w:cs="宋体"/>
          <w:color w:val="auto"/>
          <w:szCs w:val="21"/>
          <w:highlight w:val="none"/>
        </w:rPr>
      </w:pPr>
    </w:p>
    <w:p>
      <w:pPr>
        <w:snapToGrid w:val="0"/>
        <w:rPr>
          <w:rFonts w:hAnsi="宋体" w:cs="宋体"/>
          <w:color w:val="auto"/>
          <w:szCs w:val="21"/>
          <w:highlight w:val="none"/>
        </w:rPr>
      </w:pPr>
    </w:p>
    <w:p>
      <w:pPr>
        <w:snapToGrid w:val="0"/>
        <w:rPr>
          <w:rFonts w:hAnsi="宋体" w:cs="宋体"/>
          <w:color w:val="auto"/>
          <w:szCs w:val="21"/>
          <w:highlight w:val="none"/>
        </w:rPr>
      </w:pPr>
    </w:p>
    <w:p>
      <w:pPr>
        <w:snapToGrid w:val="0"/>
        <w:rPr>
          <w:rFonts w:hAnsi="宋体" w:cs="宋体"/>
          <w:color w:val="auto"/>
          <w:szCs w:val="21"/>
          <w:highlight w:val="none"/>
        </w:rPr>
      </w:pPr>
    </w:p>
    <w:p>
      <w:pPr>
        <w:adjustRightInd w:val="0"/>
        <w:snapToGrid w:val="0"/>
        <w:spacing w:line="360" w:lineRule="auto"/>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pPr>
        <w:pStyle w:val="9"/>
        <w:rPr>
          <w:rFonts w:ascii="宋体" w:hAnsi="宋体" w:cs="宋体"/>
          <w:color w:val="auto"/>
          <w:highlight w:val="none"/>
        </w:rPr>
      </w:pPr>
    </w:p>
    <w:p>
      <w:pPr>
        <w:spacing w:line="360" w:lineRule="auto"/>
        <w:jc w:val="left"/>
        <w:rPr>
          <w:rFonts w:hAnsi="宋体" w:cs="宋体"/>
          <w:color w:val="auto"/>
          <w:spacing w:val="4"/>
          <w:szCs w:val="24"/>
          <w:highlight w:val="none"/>
        </w:rPr>
      </w:pPr>
    </w:p>
    <w:p>
      <w:pPr>
        <w:keepNext/>
        <w:spacing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陕西至诚招标咨询有限公司 </w:t>
      </w:r>
    </w:p>
    <w:p>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项目的磋商、签约等具体工作，并签署全部有关的文件、协议及合同。</w:t>
      </w:r>
    </w:p>
    <w:p>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pPr>
        <w:spacing w:line="360" w:lineRule="auto"/>
        <w:ind w:firstLine="496" w:firstLineChars="200"/>
        <w:jc w:val="left"/>
        <w:rPr>
          <w:rFonts w:hAnsi="宋体" w:cs="宋体"/>
          <w:color w:val="auto"/>
          <w:spacing w:val="4"/>
          <w:szCs w:val="24"/>
          <w:highlight w:val="none"/>
        </w:rPr>
      </w:pPr>
    </w:p>
    <w:tbl>
      <w:tblPr>
        <w:tblStyle w:val="25"/>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pPr>
              <w:spacing w:line="360" w:lineRule="auto"/>
              <w:jc w:val="left"/>
              <w:rPr>
                <w:rFonts w:hAnsi="宋体" w:cs="宋体"/>
                <w:color w:val="auto"/>
                <w:spacing w:val="4"/>
                <w:szCs w:val="24"/>
                <w:highlight w:val="none"/>
              </w:rPr>
            </w:pPr>
          </w:p>
        </w:tc>
      </w:tr>
    </w:tbl>
    <w:p>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pPr>
        <w:spacing w:line="360" w:lineRule="auto"/>
        <w:rPr>
          <w:rFonts w:hAnsi="宋体" w:cs="宋体"/>
          <w:color w:val="auto"/>
          <w:spacing w:val="4"/>
          <w:szCs w:val="24"/>
          <w:highlight w:val="none"/>
        </w:rPr>
      </w:pPr>
    </w:p>
    <w:tbl>
      <w:tblPr>
        <w:tblStyle w:val="25"/>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pPr>
        <w:spacing w:line="360" w:lineRule="auto"/>
        <w:ind w:firstLine="510"/>
        <w:rPr>
          <w:rFonts w:hAnsi="宋体" w:cs="宋体"/>
          <w:color w:val="auto"/>
          <w:spacing w:val="4"/>
          <w:szCs w:val="24"/>
          <w:highlight w:val="none"/>
        </w:rPr>
      </w:pPr>
    </w:p>
    <w:p>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pPr>
        <w:spacing w:beforeLines="50" w:afterLines="50" w:line="360" w:lineRule="auto"/>
        <w:rPr>
          <w:rFonts w:hAnsi="宋体" w:cs="宋体"/>
          <w:color w:val="auto"/>
          <w:highlight w:val="none"/>
        </w:rPr>
      </w:pPr>
      <w:r>
        <w:rPr>
          <w:rFonts w:hint="eastAsia" w:hAnsi="宋体" w:cs="宋体"/>
          <w:color w:val="auto"/>
          <w:spacing w:val="4"/>
          <w:szCs w:val="24"/>
          <w:highlight w:val="none"/>
        </w:rPr>
        <w:t>日期：</w:t>
      </w:r>
    </w:p>
    <w:p>
      <w:pPr>
        <w:widowControl/>
        <w:spacing w:line="360" w:lineRule="auto"/>
        <w:ind w:left="1" w:firstLine="280" w:firstLineChars="100"/>
        <w:jc w:val="center"/>
        <w:rPr>
          <w:rFonts w:hAnsi="宋体" w:cs="宋体"/>
          <w:b/>
          <w:color w:val="auto"/>
          <w:szCs w:val="24"/>
          <w:highlight w:val="none"/>
        </w:rPr>
      </w:pPr>
      <w:r>
        <w:rPr>
          <w:rFonts w:hint="eastAsia" w:hAnsi="宋体" w:cs="宋体"/>
          <w:color w:val="auto"/>
          <w:sz w:val="28"/>
          <w:szCs w:val="28"/>
          <w:highlight w:val="none"/>
          <w:u w:val="single"/>
        </w:rPr>
        <w:br w:type="page"/>
      </w:r>
    </w:p>
    <w:p>
      <w:pPr>
        <w:widowControl/>
        <w:spacing w:line="360" w:lineRule="auto"/>
        <w:ind w:left="1" w:firstLine="241" w:firstLineChars="100"/>
        <w:jc w:val="center"/>
        <w:rPr>
          <w:rFonts w:hAnsi="宋体" w:cs="宋体"/>
          <w:b/>
          <w:color w:val="auto"/>
          <w:szCs w:val="24"/>
          <w:highlight w:val="none"/>
        </w:rPr>
      </w:pPr>
    </w:p>
    <w:p>
      <w:pPr>
        <w:pStyle w:val="9"/>
        <w:rPr>
          <w:color w:val="auto"/>
          <w:highlight w:val="none"/>
        </w:rPr>
      </w:pPr>
    </w:p>
    <w:p>
      <w:pPr>
        <w:widowControl/>
        <w:spacing w:line="360" w:lineRule="auto"/>
        <w:ind w:left="1" w:firstLine="281" w:firstLineChars="100"/>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参加政府采购活动前3年内在经营活动中没有重大违法纪录的书面声明</w:t>
      </w:r>
    </w:p>
    <w:p>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pPr>
        <w:pStyle w:val="22"/>
        <w:wordWrap w:val="0"/>
        <w:spacing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pPr>
        <w:pStyle w:val="22"/>
        <w:wordWrap w:val="0"/>
        <w:spacing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pPr>
        <w:pStyle w:val="22"/>
        <w:wordWrap w:val="0"/>
        <w:spacing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22"/>
        <w:wordWrap w:val="0"/>
        <w:spacing w:line="560" w:lineRule="exact"/>
        <w:ind w:firstLine="420"/>
        <w:rPr>
          <w:rFonts w:cs="宋体"/>
          <w:color w:val="auto"/>
          <w:highlight w:val="none"/>
        </w:rPr>
      </w:pPr>
      <w:r>
        <w:rPr>
          <w:rFonts w:hint="eastAsia" w:cs="宋体"/>
          <w:color w:val="auto"/>
          <w:highlight w:val="none"/>
          <w:shd w:val="clear" w:color="auto" w:fill="FFFFFF"/>
        </w:rPr>
        <w:t xml:space="preserve">如有不实，我方将无条件地退出本项目的采购活动，并遵照《政府采购法》有关“提供虚假材料的规定”接受处罚。 </w:t>
      </w:r>
    </w:p>
    <w:p>
      <w:pPr>
        <w:pStyle w:val="22"/>
        <w:wordWrap w:val="0"/>
        <w:spacing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pPr>
        <w:pStyle w:val="22"/>
        <w:wordWrap w:val="0"/>
        <w:spacing w:line="560" w:lineRule="exact"/>
        <w:ind w:firstLine="420"/>
        <w:rPr>
          <w:rFonts w:cs="宋体"/>
          <w:color w:val="auto"/>
          <w:highlight w:val="none"/>
          <w:shd w:val="clear" w:color="auto" w:fill="FFFFFF"/>
        </w:rPr>
      </w:pPr>
    </w:p>
    <w:p>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pPr>
        <w:pStyle w:val="37"/>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pPr>
        <w:rPr>
          <w:color w:val="auto"/>
          <w:highlight w:val="none"/>
        </w:rPr>
      </w:pPr>
    </w:p>
    <w:p>
      <w:pPr>
        <w:pStyle w:val="15"/>
        <w:adjustRightInd w:val="0"/>
        <w:snapToGrid w:val="0"/>
        <w:spacing w:line="720" w:lineRule="exact"/>
        <w:jc w:val="center"/>
        <w:rPr>
          <w:rFonts w:hAnsi="宋体"/>
          <w:b/>
          <w:color w:val="auto"/>
          <w:sz w:val="28"/>
          <w:szCs w:val="28"/>
          <w:highlight w:val="none"/>
        </w:rPr>
      </w:pPr>
    </w:p>
    <w:p>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（采购人名称）    ：</w:t>
      </w:r>
    </w:p>
    <w:p>
      <w:pPr>
        <w:pStyle w:val="15"/>
        <w:adjustRightInd w:val="0"/>
        <w:snapToGrid w:val="0"/>
        <w:spacing w:line="720" w:lineRule="exact"/>
        <w:rPr>
          <w:rFonts w:hAnsi="宋体"/>
          <w:color w:val="auto"/>
          <w:spacing w:val="4"/>
          <w:sz w:val="24"/>
          <w:szCs w:val="24"/>
          <w:highlight w:val="none"/>
        </w:rPr>
      </w:pPr>
      <w:r>
        <w:rPr>
          <w:rFonts w:hint="eastAsia" w:hAnsi="宋体"/>
          <w:color w:val="auto"/>
          <w:spacing w:val="4"/>
          <w:sz w:val="24"/>
          <w:szCs w:val="24"/>
          <w:highlight w:val="none"/>
        </w:rPr>
        <w:t xml:space="preserve">   </w:t>
      </w:r>
      <w:r>
        <w:rPr>
          <w:rFonts w:hint="eastAsia" w:hAnsi="宋体"/>
          <w:color w:val="auto"/>
          <w:spacing w:val="4"/>
          <w:sz w:val="24"/>
          <w:szCs w:val="24"/>
          <w:highlight w:val="none"/>
          <w:u w:val="single"/>
        </w:rPr>
        <w:t xml:space="preserve">      （供应商名称）    </w:t>
      </w:r>
      <w:r>
        <w:rPr>
          <w:rFonts w:hint="eastAsia" w:hAnsi="宋体"/>
          <w:color w:val="auto"/>
          <w:spacing w:val="4"/>
          <w:sz w:val="24"/>
          <w:szCs w:val="24"/>
          <w:highlight w:val="none"/>
        </w:rPr>
        <w:t xml:space="preserve"> 于</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年</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月</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日在中华人民共和国境内</w:t>
      </w:r>
      <w:r>
        <w:rPr>
          <w:rFonts w:hint="eastAsia" w:hAnsi="宋体"/>
          <w:color w:val="auto"/>
          <w:spacing w:val="4"/>
          <w:sz w:val="24"/>
          <w:szCs w:val="24"/>
          <w:highlight w:val="none"/>
          <w:u w:val="single"/>
        </w:rPr>
        <w:t xml:space="preserve">               （详细注册地址）     </w:t>
      </w:r>
      <w:r>
        <w:rPr>
          <w:rFonts w:hint="eastAsia" w:hAnsi="宋体"/>
          <w:color w:val="auto"/>
          <w:spacing w:val="4"/>
          <w:sz w:val="24"/>
          <w:szCs w:val="24"/>
          <w:highlight w:val="none"/>
        </w:rPr>
        <w:t>合法注册并经营，公司主营业务为</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w:t>
      </w:r>
    </w:p>
    <w:p>
      <w:pPr>
        <w:pStyle w:val="15"/>
        <w:adjustRightInd w:val="0"/>
        <w:snapToGrid w:val="0"/>
        <w:spacing w:line="720" w:lineRule="exact"/>
        <w:ind w:firstLine="550" w:firstLineChars="222"/>
        <w:rPr>
          <w:rFonts w:hAnsi="宋体"/>
          <w:color w:val="auto"/>
          <w:spacing w:val="4"/>
          <w:sz w:val="24"/>
          <w:szCs w:val="24"/>
          <w:highlight w:val="none"/>
        </w:rPr>
      </w:pPr>
      <w:r>
        <w:rPr>
          <w:rFonts w:hint="eastAsia" w:hAnsi="宋体"/>
          <w:color w:val="auto"/>
          <w:spacing w:val="4"/>
          <w:sz w:val="24"/>
          <w:szCs w:val="24"/>
          <w:highlight w:val="none"/>
        </w:rPr>
        <w:t>我公司郑重承诺，我公司具有履行本合同所必需的设备和专业技术能力，合同履约中将无条件增加相关设备、人员，直至满足项目需求。</w:t>
      </w:r>
    </w:p>
    <w:p>
      <w:pPr>
        <w:pStyle w:val="15"/>
        <w:adjustRightInd w:val="0"/>
        <w:snapToGrid w:val="0"/>
        <w:spacing w:line="720" w:lineRule="exact"/>
        <w:rPr>
          <w:rFonts w:hAnsi="宋体"/>
          <w:color w:val="auto"/>
          <w:spacing w:val="4"/>
          <w:sz w:val="24"/>
          <w:szCs w:val="24"/>
          <w:highlight w:val="none"/>
        </w:rPr>
      </w:pPr>
    </w:p>
    <w:p>
      <w:pPr>
        <w:pStyle w:val="15"/>
        <w:adjustRightInd w:val="0"/>
        <w:snapToGrid w:val="0"/>
        <w:spacing w:line="720" w:lineRule="exact"/>
        <w:rPr>
          <w:rFonts w:hAnsi="宋体"/>
          <w:color w:val="auto"/>
          <w:spacing w:val="4"/>
          <w:sz w:val="24"/>
          <w:szCs w:val="24"/>
          <w:highlight w:val="none"/>
        </w:rPr>
      </w:pPr>
    </w:p>
    <w:p>
      <w:pPr>
        <w:pStyle w:val="15"/>
        <w:adjustRightInd w:val="0"/>
        <w:snapToGrid w:val="0"/>
        <w:spacing w:line="720" w:lineRule="exact"/>
        <w:rPr>
          <w:rFonts w:hAnsi="宋体"/>
          <w:color w:val="auto"/>
          <w:spacing w:val="4"/>
          <w:sz w:val="24"/>
          <w:szCs w:val="24"/>
          <w:highlight w:val="none"/>
        </w:rPr>
      </w:pPr>
    </w:p>
    <w:p>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pPr>
        <w:pStyle w:val="37"/>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pPr>
        <w:rPr>
          <w:rFonts w:hAnsi="宋体" w:cs="宋体"/>
          <w:color w:val="auto"/>
          <w:sz w:val="28"/>
          <w:szCs w:val="28"/>
          <w:highlight w:val="none"/>
          <w:u w:val="single"/>
        </w:rPr>
      </w:pPr>
      <w:r>
        <w:rPr>
          <w:rFonts w:hint="eastAsia" w:hAnsi="宋体" w:cs="宋体"/>
          <w:color w:val="auto"/>
          <w:sz w:val="28"/>
          <w:szCs w:val="28"/>
          <w:highlight w:val="none"/>
          <w:u w:val="single"/>
        </w:rPr>
        <w:br w:type="page"/>
      </w:r>
    </w:p>
    <w:p>
      <w:pPr>
        <w:spacing w:beforeLines="50" w:afterLines="50"/>
        <w:rPr>
          <w:rFonts w:hAnsi="宋体" w:cs="宋体"/>
          <w:color w:val="auto"/>
          <w:highlight w:val="none"/>
        </w:rPr>
      </w:pPr>
      <w:r>
        <w:rPr>
          <w:rFonts w:hint="eastAsia" w:hAnsi="宋体" w:cs="宋体"/>
          <w:b/>
          <w:bCs/>
          <w:color w:val="auto"/>
          <w:sz w:val="28"/>
          <w:szCs w:val="28"/>
          <w:highlight w:val="none"/>
        </w:rPr>
        <w:t>附件2：</w:t>
      </w:r>
    </w:p>
    <w:p>
      <w:pPr>
        <w:spacing w:beforeLines="50" w:afterLines="50" w:line="360" w:lineRule="auto"/>
        <w:jc w:val="center"/>
        <w:rPr>
          <w:rFonts w:hAnsi="宋体" w:cs="宋体"/>
          <w:color w:val="auto"/>
          <w:szCs w:val="24"/>
          <w:highlight w:val="none"/>
        </w:rPr>
      </w:pPr>
      <w:bookmarkStart w:id="103" w:name="_Toc13836"/>
      <w:r>
        <w:rPr>
          <w:rFonts w:hint="eastAsia" w:hAnsi="宋体" w:cs="宋体"/>
          <w:b/>
          <w:color w:val="auto"/>
          <w:sz w:val="28"/>
          <w:szCs w:val="28"/>
          <w:highlight w:val="none"/>
        </w:rPr>
        <w:t>中小企业声明函</w:t>
      </w:r>
    </w:p>
    <w:p>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pPr>
        <w:tabs>
          <w:tab w:val="left" w:pos="1620"/>
          <w:tab w:val="left" w:pos="1800"/>
        </w:tabs>
        <w:spacing w:line="500" w:lineRule="exact"/>
        <w:rPr>
          <w:rFonts w:hAnsi="宋体" w:cs="宋体"/>
          <w:color w:val="auto"/>
          <w:szCs w:val="24"/>
          <w:highlight w:val="none"/>
        </w:rPr>
      </w:pPr>
    </w:p>
    <w:p>
      <w:pPr>
        <w:tabs>
          <w:tab w:val="left" w:pos="1620"/>
          <w:tab w:val="left" w:pos="1800"/>
        </w:tabs>
        <w:spacing w:line="500" w:lineRule="exact"/>
        <w:rPr>
          <w:rFonts w:hAnsi="宋体" w:cs="宋体"/>
          <w:color w:val="auto"/>
          <w:szCs w:val="24"/>
          <w:highlight w:val="none"/>
        </w:rPr>
      </w:pPr>
    </w:p>
    <w:p>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p>
      <w:pPr>
        <w:tabs>
          <w:tab w:val="left" w:pos="1620"/>
          <w:tab w:val="left" w:pos="1800"/>
        </w:tabs>
        <w:spacing w:line="500" w:lineRule="exact"/>
        <w:rPr>
          <w:rFonts w:hAnsi="宋体" w:cs="宋体"/>
          <w:color w:val="auto"/>
          <w:sz w:val="21"/>
          <w:szCs w:val="21"/>
          <w:highlight w:val="none"/>
        </w:rPr>
      </w:pPr>
      <w:r>
        <w:rPr>
          <w:rFonts w:hint="eastAsia" w:hAnsi="宋体" w:cs="宋体"/>
          <w:color w:val="auto"/>
          <w:sz w:val="21"/>
          <w:szCs w:val="21"/>
          <w:highlight w:val="none"/>
        </w:rPr>
        <w:t>备注：</w:t>
      </w:r>
    </w:p>
    <w:p>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1.资产总额：从业人员、营业收入、资产总额填报上一年度数据，无上一年度数据的新成立企业可不填报。</w:t>
      </w:r>
    </w:p>
    <w:p>
      <w:pPr>
        <w:spacing w:beforeLines="100" w:afterLines="50"/>
        <w:rPr>
          <w:rFonts w:hAnsi="宋体" w:cs="宋体"/>
          <w:b/>
          <w:color w:val="auto"/>
          <w:sz w:val="28"/>
          <w:szCs w:val="28"/>
          <w:highlight w:val="none"/>
        </w:rPr>
      </w:pPr>
      <w:r>
        <w:rPr>
          <w:rFonts w:hint="eastAsia" w:hAnsi="宋体" w:cs="宋体"/>
          <w:b/>
          <w:color w:val="auto"/>
          <w:sz w:val="28"/>
          <w:szCs w:val="28"/>
          <w:highlight w:val="none"/>
        </w:rPr>
        <w:br w:type="page"/>
      </w:r>
      <w:r>
        <w:rPr>
          <w:rFonts w:hint="eastAsia" w:hAnsi="宋体" w:cs="宋体"/>
          <w:b/>
          <w:color w:val="auto"/>
          <w:sz w:val="28"/>
          <w:szCs w:val="28"/>
          <w:highlight w:val="none"/>
        </w:rPr>
        <w:t>附件3（如有）：</w:t>
      </w:r>
    </w:p>
    <w:p>
      <w:pPr>
        <w:spacing w:beforeLines="100" w:afterLines="50"/>
        <w:jc w:val="center"/>
        <w:rPr>
          <w:rFonts w:hAnsi="宋体" w:cs="宋体"/>
          <w:b/>
          <w:color w:val="auto"/>
          <w:sz w:val="28"/>
          <w:szCs w:val="28"/>
          <w:highlight w:val="none"/>
        </w:rPr>
      </w:pPr>
      <w:r>
        <w:rPr>
          <w:rFonts w:hint="eastAsia" w:hAnsi="宋体" w:cs="宋体"/>
          <w:b/>
          <w:color w:val="auto"/>
          <w:sz w:val="28"/>
          <w:szCs w:val="28"/>
          <w:highlight w:val="none"/>
        </w:rPr>
        <w:t>磋商产品属节能、环境标志产品列表</w:t>
      </w:r>
      <w:bookmarkEnd w:id="103"/>
    </w:p>
    <w:p>
      <w:pPr>
        <w:spacing w:line="360" w:lineRule="auto"/>
        <w:rPr>
          <w:rFonts w:hAnsi="宋体" w:cs="宋体"/>
          <w:bCs/>
          <w:color w:val="auto"/>
          <w:szCs w:val="24"/>
          <w:highlight w:val="none"/>
        </w:rPr>
      </w:pPr>
      <w:r>
        <w:rPr>
          <w:rFonts w:hint="eastAsia" w:hAnsi="宋体" w:cs="宋体"/>
          <w:bCs/>
          <w:color w:val="auto"/>
          <w:szCs w:val="24"/>
          <w:highlight w:val="none"/>
        </w:rPr>
        <w:t>项目名称：</w:t>
      </w:r>
    </w:p>
    <w:p>
      <w:pPr>
        <w:spacing w:line="360" w:lineRule="auto"/>
        <w:rPr>
          <w:rFonts w:hAnsi="宋体" w:cs="宋体"/>
          <w:bCs/>
          <w:color w:val="auto"/>
          <w:szCs w:val="24"/>
          <w:highlight w:val="none"/>
        </w:rPr>
      </w:pPr>
      <w:r>
        <w:rPr>
          <w:rFonts w:hint="eastAsia" w:hAnsi="宋体" w:cs="宋体"/>
          <w:bCs/>
          <w:color w:val="auto"/>
          <w:szCs w:val="24"/>
          <w:highlight w:val="none"/>
        </w:rPr>
        <w:t>项目编号：</w:t>
      </w:r>
    </w:p>
    <w:tbl>
      <w:tblPr>
        <w:tblStyle w:val="25"/>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hAnsi="宋体" w:cs="宋体"/>
                <w:color w:val="auto"/>
                <w:highlight w:val="none"/>
              </w:rPr>
            </w:pPr>
            <w:r>
              <w:rPr>
                <w:rFonts w:hint="eastAsia" w:hAnsi="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单价</w:t>
            </w:r>
          </w:p>
          <w:p>
            <w:pPr>
              <w:spacing w:after="120"/>
              <w:jc w:val="center"/>
              <w:rPr>
                <w:rFonts w:hAnsi="宋体" w:cs="宋体"/>
                <w:bCs/>
                <w:color w:val="auto"/>
                <w:highlight w:val="none"/>
              </w:rPr>
            </w:pPr>
            <w:r>
              <w:rPr>
                <w:rFonts w:hint="eastAsia" w:hAnsi="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color w:val="auto"/>
                <w:highlight w:val="none"/>
              </w:rPr>
            </w:pPr>
            <w:r>
              <w:rPr>
                <w:rFonts w:hint="eastAsia" w:hAnsi="宋体" w:cs="宋体"/>
                <w:bCs/>
                <w:color w:val="auto"/>
                <w:highlight w:val="none"/>
              </w:rPr>
              <w:t>总价</w:t>
            </w:r>
          </w:p>
          <w:p>
            <w:pPr>
              <w:spacing w:after="120"/>
              <w:jc w:val="center"/>
              <w:rPr>
                <w:rFonts w:hAnsi="宋体" w:cs="宋体"/>
                <w:bCs/>
                <w:color w:val="auto"/>
                <w:highlight w:val="none"/>
              </w:rPr>
            </w:pPr>
            <w:r>
              <w:rPr>
                <w:rFonts w:hint="eastAsia" w:hAnsi="宋体" w:cs="宋体"/>
                <w:bCs/>
                <w:color w:val="auto"/>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Lines="100"/>
              <w:jc w:val="center"/>
              <w:rPr>
                <w:rFonts w:hAnsi="宋体" w:cs="宋体"/>
                <w:color w:val="auto"/>
                <w:highlight w:val="none"/>
              </w:rPr>
            </w:pPr>
            <w:r>
              <w:rPr>
                <w:rFonts w:hint="eastAsia" w:hAnsi="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Ansi="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Ansi="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Ansi="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Ansi="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Ansi="宋体" w:cs="宋体"/>
                <w:color w:val="auto"/>
                <w:highlight w:val="none"/>
              </w:rPr>
            </w:pPr>
            <w:r>
              <w:rPr>
                <w:rFonts w:hint="eastAsia" w:hAnsi="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Ansi="宋体" w:cs="宋体"/>
                <w:color w:val="auto"/>
                <w:highlight w:val="none"/>
              </w:rPr>
            </w:pPr>
            <w:r>
              <w:rPr>
                <w:rFonts w:hint="eastAsia" w:hAnsi="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Ansi="宋体" w:cs="宋体"/>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Lines="100"/>
              <w:jc w:val="center"/>
              <w:rPr>
                <w:rFonts w:hAnsi="宋体" w:cs="宋体"/>
                <w:b/>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color w:val="auto"/>
                <w:highlight w:val="none"/>
              </w:rPr>
            </w:pPr>
            <w:r>
              <w:rPr>
                <w:rFonts w:hint="eastAsia" w:hAnsi="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Lines="50"/>
              <w:jc w:val="left"/>
              <w:rPr>
                <w:rFonts w:hAnsi="宋体" w:cs="宋体"/>
                <w:color w:val="auto"/>
                <w:highlight w:val="none"/>
              </w:rPr>
            </w:pPr>
            <w:r>
              <w:rPr>
                <w:rFonts w:hint="eastAsia" w:hAnsi="宋体" w:cs="宋体"/>
                <w:color w:val="auto"/>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color w:val="auto"/>
                <w:highlight w:val="none"/>
              </w:rPr>
            </w:pPr>
            <w:r>
              <w:rPr>
                <w:rFonts w:hint="eastAsia" w:hAnsi="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Lines="50"/>
              <w:jc w:val="center"/>
              <w:rPr>
                <w:rFonts w:hAnsi="宋体" w:cs="宋体"/>
                <w:color w:val="auto"/>
                <w:highlight w:val="none"/>
              </w:rPr>
            </w:pPr>
            <w:r>
              <w:rPr>
                <w:rFonts w:hint="eastAsia" w:hAnsi="宋体" w:cs="宋体"/>
                <w:color w:val="auto"/>
                <w:spacing w:val="-6"/>
                <w:highlight w:val="none"/>
              </w:rPr>
              <w:t>保留小数点后两位。</w:t>
            </w:r>
          </w:p>
        </w:tc>
      </w:tr>
    </w:tbl>
    <w:p>
      <w:pPr>
        <w:adjustRightInd w:val="0"/>
        <w:snapToGrid w:val="0"/>
        <w:spacing w:line="360" w:lineRule="auto"/>
        <w:rPr>
          <w:rFonts w:hAnsi="宋体" w:cs="宋体"/>
          <w:color w:val="auto"/>
          <w:szCs w:val="21"/>
          <w:highlight w:val="none"/>
        </w:rPr>
      </w:pPr>
    </w:p>
    <w:p>
      <w:pPr>
        <w:adjustRightInd w:val="0"/>
        <w:snapToGrid w:val="0"/>
        <w:spacing w:line="360" w:lineRule="auto"/>
        <w:rPr>
          <w:rFonts w:hAnsi="宋体" w:cs="宋体"/>
          <w:bCs/>
          <w:color w:val="auto"/>
          <w:szCs w:val="21"/>
          <w:highlight w:val="none"/>
        </w:rPr>
      </w:pPr>
      <w:r>
        <w:rPr>
          <w:rFonts w:hint="eastAsia" w:hAnsi="宋体" w:cs="宋体"/>
          <w:color w:val="auto"/>
          <w:szCs w:val="21"/>
          <w:highlight w:val="none"/>
        </w:rPr>
        <w:t>说明：</w:t>
      </w:r>
      <w:r>
        <w:rPr>
          <w:rFonts w:hint="eastAsia" w:hAnsi="宋体" w:cs="宋体"/>
          <w:bCs/>
          <w:color w:val="auto"/>
          <w:szCs w:val="21"/>
          <w:highlight w:val="none"/>
        </w:rPr>
        <w:t>1、</w:t>
      </w:r>
      <w:r>
        <w:rPr>
          <w:rFonts w:hint="eastAsia" w:hAnsi="宋体" w:cs="宋体"/>
          <w:color w:val="auto"/>
          <w:szCs w:val="21"/>
          <w:highlight w:val="none"/>
        </w:rPr>
        <w:t>供应商提供的属于节能、环境标志产品品目清单中优先采购的产品，须按磋商文件要求提供相关证明材料。</w:t>
      </w:r>
    </w:p>
    <w:p>
      <w:pPr>
        <w:pStyle w:val="34"/>
        <w:spacing w:line="400" w:lineRule="exact"/>
        <w:ind w:left="480" w:leftChars="200" w:firstLine="240" w:firstLineChars="100"/>
        <w:rPr>
          <w:rFonts w:hAnsi="宋体" w:cs="宋体"/>
          <w:color w:val="auto"/>
          <w:sz w:val="28"/>
          <w:szCs w:val="28"/>
          <w:highlight w:val="none"/>
        </w:rPr>
      </w:pPr>
      <w:r>
        <w:rPr>
          <w:rFonts w:hint="eastAsia" w:hAnsi="宋体" w:cs="宋体"/>
          <w:bCs/>
          <w:color w:val="auto"/>
          <w:highlight w:val="none"/>
        </w:rPr>
        <w:t>2、未按上述要求提供、</w:t>
      </w:r>
      <w:r>
        <w:rPr>
          <w:rFonts w:hint="eastAsia" w:hAnsi="宋体" w:cs="宋体"/>
          <w:color w:val="auto"/>
          <w:highlight w:val="none"/>
        </w:rPr>
        <w:t>填写</w:t>
      </w:r>
      <w:r>
        <w:rPr>
          <w:rFonts w:hint="eastAsia" w:hAnsi="宋体" w:cs="宋体"/>
          <w:bCs/>
          <w:color w:val="auto"/>
          <w:highlight w:val="none"/>
        </w:rPr>
        <w:t>的，评审时不予以考虑。</w:t>
      </w:r>
    </w:p>
    <w:p>
      <w:pPr>
        <w:spacing w:before="100" w:beforeAutospacing="1" w:afterLines="50" w:line="360" w:lineRule="auto"/>
        <w:rPr>
          <w:rFonts w:hAnsi="宋体" w:cs="宋体"/>
          <w:b/>
          <w:bCs/>
          <w:color w:val="auto"/>
          <w:spacing w:val="6"/>
          <w:sz w:val="30"/>
          <w:szCs w:val="30"/>
          <w:highlight w:val="none"/>
        </w:rPr>
      </w:pPr>
      <w:r>
        <w:rPr>
          <w:rFonts w:hint="eastAsia" w:hAnsi="宋体" w:cs="宋体"/>
          <w:color w:val="auto"/>
          <w:szCs w:val="24"/>
          <w:highlight w:val="none"/>
        </w:rPr>
        <w:br w:type="page"/>
      </w:r>
      <w:r>
        <w:rPr>
          <w:rFonts w:hint="eastAsia" w:hAnsi="宋体" w:cs="宋体"/>
          <w:b/>
          <w:bCs/>
          <w:color w:val="auto"/>
          <w:spacing w:val="6"/>
          <w:sz w:val="30"/>
          <w:szCs w:val="30"/>
          <w:highlight w:val="none"/>
        </w:rPr>
        <w:t>附件4（如有）：</w:t>
      </w:r>
    </w:p>
    <w:p>
      <w:pPr>
        <w:spacing w:line="588" w:lineRule="exact"/>
        <w:jc w:val="center"/>
        <w:rPr>
          <w:rFonts w:hAnsi="宋体" w:cs="宋体"/>
          <w:b/>
          <w:color w:val="auto"/>
          <w:spacing w:val="6"/>
          <w:sz w:val="32"/>
          <w:szCs w:val="32"/>
          <w:highlight w:val="none"/>
        </w:rPr>
      </w:pPr>
      <w:bookmarkStart w:id="104" w:name="OLE_LINK13"/>
      <w:bookmarkStart w:id="105" w:name="OLE_LINK14"/>
      <w:r>
        <w:rPr>
          <w:rFonts w:hint="eastAsia" w:hAnsi="宋体" w:cs="宋体"/>
          <w:b/>
          <w:color w:val="auto"/>
          <w:spacing w:val="6"/>
          <w:sz w:val="32"/>
          <w:szCs w:val="32"/>
          <w:highlight w:val="none"/>
        </w:rPr>
        <w:t>残疾人福利性单位声明函</w:t>
      </w:r>
    </w:p>
    <w:bookmarkEnd w:id="104"/>
    <w:bookmarkEnd w:id="105"/>
    <w:p>
      <w:pPr>
        <w:spacing w:line="588" w:lineRule="exact"/>
        <w:rPr>
          <w:rFonts w:hAnsi="宋体" w:cs="宋体"/>
          <w:b/>
          <w:color w:val="auto"/>
          <w:spacing w:val="6"/>
          <w:sz w:val="30"/>
          <w:szCs w:val="30"/>
          <w:highlight w:val="none"/>
        </w:rPr>
      </w:pPr>
    </w:p>
    <w:p>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pPr>
        <w:tabs>
          <w:tab w:val="left" w:pos="2488"/>
        </w:tabs>
        <w:jc w:val="left"/>
        <w:rPr>
          <w:rFonts w:hAnsi="宋体" w:cs="宋体"/>
          <w:b/>
          <w:color w:val="auto"/>
          <w:sz w:val="28"/>
          <w:szCs w:val="28"/>
          <w:highlight w:val="none"/>
        </w:rPr>
      </w:pPr>
      <w:r>
        <w:rPr>
          <w:rFonts w:hint="eastAsia" w:hAnsi="宋体" w:cs="宋体"/>
          <w:color w:val="auto"/>
          <w:highlight w:val="none"/>
        </w:rPr>
        <w:br w:type="page"/>
      </w:r>
      <w:r>
        <w:rPr>
          <w:rFonts w:hint="eastAsia" w:hAnsi="宋体" w:cs="宋体"/>
          <w:b/>
          <w:color w:val="auto"/>
          <w:sz w:val="28"/>
          <w:szCs w:val="28"/>
          <w:highlight w:val="none"/>
        </w:rPr>
        <w:t>附件5：（参考格式）</w:t>
      </w:r>
    </w:p>
    <w:p>
      <w:pPr>
        <w:spacing w:line="550" w:lineRule="exact"/>
        <w:jc w:val="center"/>
        <w:rPr>
          <w:rFonts w:hAnsi="宋体" w:cs="宋体"/>
          <w:b/>
          <w:bCs/>
          <w:color w:val="auto"/>
          <w:sz w:val="32"/>
          <w:szCs w:val="32"/>
          <w:highlight w:val="none"/>
        </w:rPr>
      </w:pPr>
      <w:r>
        <w:rPr>
          <w:rFonts w:hint="eastAsia" w:hAnsi="宋体" w:cs="宋体"/>
          <w:b/>
          <w:bCs/>
          <w:color w:val="auto"/>
          <w:sz w:val="32"/>
          <w:szCs w:val="32"/>
          <w:highlight w:val="none"/>
        </w:rPr>
        <w:t>磋商担保函</w:t>
      </w:r>
    </w:p>
    <w:p>
      <w:pPr>
        <w:rPr>
          <w:rFonts w:hAnsi="宋体" w:cs="宋体"/>
          <w:color w:val="auto"/>
          <w:szCs w:val="32"/>
          <w:highlight w:val="none"/>
        </w:rPr>
      </w:pPr>
      <w:r>
        <w:rPr>
          <w:rFonts w:hint="eastAsia" w:hAnsi="宋体" w:cs="宋体"/>
          <w:color w:val="auto"/>
          <w:szCs w:val="32"/>
          <w:highlight w:val="none"/>
        </w:rPr>
        <w:t xml:space="preserve">                                         </w:t>
      </w:r>
    </w:p>
    <w:p>
      <w:pPr>
        <w:jc w:val="center"/>
        <w:rPr>
          <w:rFonts w:hAnsi="宋体" w:cs="宋体"/>
          <w:color w:val="auto"/>
          <w:szCs w:val="32"/>
          <w:highlight w:val="none"/>
        </w:rPr>
      </w:pPr>
      <w:r>
        <w:rPr>
          <w:rFonts w:hint="eastAsia" w:hAnsi="宋体" w:cs="宋体"/>
          <w:color w:val="auto"/>
          <w:szCs w:val="32"/>
          <w:highlight w:val="none"/>
        </w:rPr>
        <w:t xml:space="preserve">                     </w:t>
      </w:r>
      <w:r>
        <w:rPr>
          <w:rFonts w:hint="eastAsia" w:hAnsi="宋体" w:cs="宋体"/>
          <w:color w:val="auto"/>
          <w:szCs w:val="24"/>
          <w:highlight w:val="none"/>
        </w:rPr>
        <w:t xml:space="preserve">         编号： </w:t>
      </w:r>
    </w:p>
    <w:p>
      <w:pPr>
        <w:rPr>
          <w:rFonts w:hAnsi="宋体" w:cs="宋体"/>
          <w:color w:val="auto"/>
          <w:szCs w:val="32"/>
          <w:highlight w:val="none"/>
          <w:u w:val="single"/>
        </w:rPr>
      </w:pPr>
    </w:p>
    <w:p>
      <w:pPr>
        <w:spacing w:line="360" w:lineRule="auto"/>
        <w:rPr>
          <w:rFonts w:hAnsi="宋体" w:cs="宋体"/>
          <w:color w:val="auto"/>
          <w:szCs w:val="24"/>
          <w:highlight w:val="none"/>
        </w:rPr>
      </w:pPr>
      <w:r>
        <w:rPr>
          <w:rFonts w:hint="eastAsia" w:hAnsi="宋体" w:cs="宋体"/>
          <w:color w:val="auto"/>
          <w:szCs w:val="24"/>
          <w:highlight w:val="none"/>
        </w:rPr>
        <w:t xml:space="preserve">___________________（采购人或采购代理机构）： </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一、保证责任的情形及保证金额 </w:t>
      </w:r>
    </w:p>
    <w:p>
      <w:pPr>
        <w:spacing w:line="360" w:lineRule="auto"/>
        <w:rPr>
          <w:rFonts w:hAnsi="宋体" w:cs="宋体"/>
          <w:color w:val="auto"/>
          <w:szCs w:val="24"/>
          <w:highlight w:val="none"/>
        </w:rPr>
      </w:pPr>
      <w:r>
        <w:rPr>
          <w:rFonts w:hint="eastAsia" w:hAnsi="宋体" w:cs="宋体"/>
          <w:color w:val="auto"/>
          <w:szCs w:val="24"/>
          <w:highlight w:val="none"/>
        </w:rPr>
        <w:t xml:space="preserve">   （一）在供应商出现下列情形之一时，我方承担保证责任：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1．成交后供应商无正当理由不与采购人或者采购代理机构签订《政府采购合同》； </w:t>
      </w:r>
    </w:p>
    <w:p>
      <w:pPr>
        <w:spacing w:line="360" w:lineRule="auto"/>
        <w:rPr>
          <w:rFonts w:hAnsi="宋体" w:cs="宋体"/>
          <w:color w:val="auto"/>
          <w:szCs w:val="24"/>
          <w:highlight w:val="none"/>
        </w:rPr>
      </w:pPr>
      <w:r>
        <w:rPr>
          <w:rFonts w:hint="eastAsia" w:hAnsi="宋体" w:cs="宋体"/>
          <w:color w:val="auto"/>
          <w:szCs w:val="24"/>
          <w:highlight w:val="none"/>
        </w:rPr>
        <w:t xml:space="preserve">    2．竞争性磋商文件规定的供应商应当缴纳保证金的其他情形。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  （二）我方承担保证责任的最高金额为人民币______元（大写_____________），即本项目的磋商保证金金额。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二、保证的方式及保证期间 </w:t>
      </w:r>
    </w:p>
    <w:p>
      <w:pPr>
        <w:spacing w:line="360" w:lineRule="auto"/>
        <w:rPr>
          <w:rFonts w:hAnsi="宋体" w:cs="宋体"/>
          <w:color w:val="auto"/>
          <w:szCs w:val="24"/>
          <w:highlight w:val="none"/>
        </w:rPr>
      </w:pPr>
      <w:r>
        <w:rPr>
          <w:rFonts w:hint="eastAsia" w:hAnsi="宋体" w:cs="宋体"/>
          <w:color w:val="auto"/>
          <w:szCs w:val="24"/>
          <w:highlight w:val="none"/>
        </w:rPr>
        <w:t xml:space="preserve">    我方保证的方式为：连带责任保证。 </w:t>
      </w:r>
    </w:p>
    <w:p>
      <w:pPr>
        <w:spacing w:line="360" w:lineRule="auto"/>
        <w:rPr>
          <w:rFonts w:hAnsi="宋体" w:cs="宋体"/>
          <w:color w:val="auto"/>
          <w:szCs w:val="24"/>
          <w:highlight w:val="none"/>
        </w:rPr>
      </w:pPr>
      <w:r>
        <w:rPr>
          <w:rFonts w:hint="eastAsia" w:hAnsi="宋体" w:cs="宋体"/>
          <w:color w:val="auto"/>
          <w:szCs w:val="24"/>
          <w:highlight w:val="none"/>
        </w:rPr>
        <w:t xml:space="preserve">    我方的保证期间为：自本保函生效之日起______个月止。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三、承担保证责任的程序 </w:t>
      </w:r>
    </w:p>
    <w:p>
      <w:pPr>
        <w:spacing w:line="360" w:lineRule="auto"/>
        <w:rPr>
          <w:rFonts w:hAnsi="宋体" w:cs="宋体"/>
          <w:color w:val="auto"/>
          <w:szCs w:val="24"/>
          <w:highlight w:val="none"/>
        </w:rPr>
      </w:pPr>
      <w:r>
        <w:rPr>
          <w:rFonts w:hint="eastAsia" w:hAnsi="宋体" w:cs="宋体"/>
          <w:color w:val="auto"/>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color w:val="auto"/>
          <w:szCs w:val="24"/>
          <w:highlight w:val="none"/>
        </w:rPr>
      </w:pPr>
      <w:r>
        <w:rPr>
          <w:rFonts w:hint="eastAsia" w:hAnsi="宋体" w:cs="宋体"/>
          <w:color w:val="auto"/>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cs="宋体"/>
          <w:b/>
          <w:color w:val="auto"/>
          <w:szCs w:val="24"/>
          <w:highlight w:val="none"/>
        </w:rPr>
      </w:pPr>
      <w:r>
        <w:rPr>
          <w:rFonts w:hint="eastAsia" w:hAnsi="宋体" w:cs="宋体"/>
          <w:b/>
          <w:color w:val="auto"/>
          <w:szCs w:val="24"/>
          <w:highlight w:val="none"/>
        </w:rPr>
        <w:t xml:space="preserve">    四、保证责任的终止 </w:t>
      </w:r>
    </w:p>
    <w:p>
      <w:pPr>
        <w:spacing w:line="360" w:lineRule="auto"/>
        <w:rPr>
          <w:rFonts w:hAnsi="宋体" w:cs="宋体"/>
          <w:color w:val="auto"/>
          <w:szCs w:val="24"/>
          <w:highlight w:val="none"/>
        </w:rPr>
      </w:pPr>
      <w:r>
        <w:rPr>
          <w:rFonts w:hint="eastAsia" w:hAnsi="宋体" w:cs="宋体"/>
          <w:color w:val="auto"/>
          <w:szCs w:val="24"/>
          <w:highlight w:val="none"/>
        </w:rPr>
        <w:t xml:space="preserve">    1．保证期间届满你方未向我方书面主张保证责任的，自保证期间届满次日起，我方保证责任自动终止。 </w:t>
      </w:r>
    </w:p>
    <w:p>
      <w:pPr>
        <w:spacing w:line="360" w:lineRule="auto"/>
        <w:rPr>
          <w:rFonts w:hAnsi="宋体" w:cs="宋体"/>
          <w:color w:val="auto"/>
          <w:szCs w:val="24"/>
          <w:highlight w:val="none"/>
        </w:rPr>
      </w:pPr>
      <w:r>
        <w:rPr>
          <w:rFonts w:hint="eastAsia" w:hAnsi="宋体" w:cs="宋体"/>
          <w:color w:val="auto"/>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cs="宋体"/>
          <w:color w:val="auto"/>
          <w:szCs w:val="24"/>
          <w:highlight w:val="none"/>
        </w:rPr>
      </w:pPr>
      <w:r>
        <w:rPr>
          <w:rFonts w:hint="eastAsia" w:hAnsi="宋体" w:cs="宋体"/>
          <w:color w:val="auto"/>
          <w:szCs w:val="24"/>
          <w:highlight w:val="none"/>
        </w:rPr>
        <w:t xml:space="preserve">    3．按照法律法规的规定或出现我方保证责任终止的其它情形的，我方在本保函项下的保证责任亦终止。 </w:t>
      </w:r>
    </w:p>
    <w:p>
      <w:pPr>
        <w:spacing w:line="360" w:lineRule="auto"/>
        <w:rPr>
          <w:rFonts w:hAnsi="宋体" w:cs="宋体"/>
          <w:b/>
          <w:color w:val="auto"/>
          <w:szCs w:val="24"/>
          <w:highlight w:val="none"/>
        </w:rPr>
      </w:pPr>
      <w:r>
        <w:rPr>
          <w:rFonts w:hint="eastAsia" w:hAnsi="宋体" w:cs="宋体"/>
          <w:b/>
          <w:color w:val="auto"/>
          <w:szCs w:val="24"/>
          <w:highlight w:val="none"/>
        </w:rPr>
        <w:t xml:space="preserve">    五、免责条款 </w:t>
      </w:r>
    </w:p>
    <w:p>
      <w:pPr>
        <w:spacing w:line="360" w:lineRule="auto"/>
        <w:rPr>
          <w:rFonts w:hAnsi="宋体" w:cs="宋体"/>
          <w:color w:val="auto"/>
          <w:szCs w:val="24"/>
          <w:highlight w:val="none"/>
        </w:rPr>
      </w:pPr>
      <w:r>
        <w:rPr>
          <w:rFonts w:hint="eastAsia" w:hAnsi="宋体" w:cs="宋体"/>
          <w:color w:val="auto"/>
          <w:szCs w:val="24"/>
          <w:highlight w:val="none"/>
        </w:rPr>
        <w:t xml:space="preserve">    1．依照法律规定或你方与供应商的另行约定，全部或者部分免除供应商磋商保证金义务时，我方亦免除相应的保证责任。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2．因你方原因致使供应商发生本保函第一条第（一）款约定情形的，我方不承担保证责任。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3．因不可抗力造成供应商发生本保函第一条约定情形的，我方不承担保证责任。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六、争议的解决 </w:t>
      </w:r>
    </w:p>
    <w:p>
      <w:pPr>
        <w:spacing w:line="360" w:lineRule="auto"/>
        <w:rPr>
          <w:rFonts w:hAnsi="宋体" w:cs="宋体"/>
          <w:color w:val="auto"/>
          <w:szCs w:val="24"/>
          <w:highlight w:val="none"/>
        </w:rPr>
      </w:pPr>
      <w:r>
        <w:rPr>
          <w:rFonts w:hint="eastAsia" w:hAnsi="宋体" w:cs="宋体"/>
          <w:color w:val="auto"/>
          <w:szCs w:val="24"/>
          <w:highlight w:val="none"/>
        </w:rPr>
        <w:t xml:space="preserve">    因本保函发生的纠纷，由你我双方协商解决，协商不成的，通过诉讼程序解决，诉讼管辖地法院为________________法院。 </w:t>
      </w:r>
    </w:p>
    <w:p>
      <w:pPr>
        <w:spacing w:line="360" w:lineRule="auto"/>
        <w:rPr>
          <w:rFonts w:hAnsi="宋体" w:cs="宋体"/>
          <w:b/>
          <w:color w:val="auto"/>
          <w:szCs w:val="24"/>
          <w:highlight w:val="none"/>
        </w:rPr>
      </w:pPr>
      <w:r>
        <w:rPr>
          <w:rFonts w:hint="eastAsia" w:hAnsi="宋体" w:cs="宋体"/>
          <w:b/>
          <w:color w:val="auto"/>
          <w:szCs w:val="24"/>
          <w:highlight w:val="none"/>
        </w:rPr>
        <w:t xml:space="preserve">    七、保函的生效 </w:t>
      </w:r>
    </w:p>
    <w:p>
      <w:pPr>
        <w:spacing w:line="360" w:lineRule="auto"/>
        <w:rPr>
          <w:rFonts w:hAnsi="宋体" w:cs="宋体"/>
          <w:color w:val="auto"/>
          <w:szCs w:val="24"/>
          <w:highlight w:val="none"/>
        </w:rPr>
      </w:pPr>
      <w:r>
        <w:rPr>
          <w:rFonts w:hint="eastAsia" w:hAnsi="宋体" w:cs="宋体"/>
          <w:color w:val="auto"/>
          <w:szCs w:val="24"/>
          <w:highlight w:val="none"/>
        </w:rPr>
        <w:t xml:space="preserve">    本保函自我方加盖公章之日起生效。 </w:t>
      </w:r>
    </w:p>
    <w:p>
      <w:pPr>
        <w:spacing w:line="360" w:lineRule="auto"/>
        <w:rPr>
          <w:rFonts w:hAnsi="宋体" w:cs="宋体"/>
          <w:color w:val="auto"/>
          <w:szCs w:val="24"/>
          <w:highlight w:val="none"/>
        </w:rPr>
      </w:pPr>
      <w:r>
        <w:rPr>
          <w:rFonts w:hint="eastAsia" w:hAnsi="宋体" w:cs="宋体"/>
          <w:color w:val="auto"/>
          <w:szCs w:val="24"/>
          <w:highlight w:val="none"/>
        </w:rPr>
        <w:t xml:space="preserve"> </w:t>
      </w:r>
    </w:p>
    <w:p>
      <w:pPr>
        <w:spacing w:line="360" w:lineRule="auto"/>
        <w:rPr>
          <w:rFonts w:hAnsi="宋体" w:cs="宋体"/>
          <w:color w:val="auto"/>
          <w:szCs w:val="24"/>
          <w:highlight w:val="none"/>
        </w:rPr>
      </w:pPr>
    </w:p>
    <w:p>
      <w:pPr>
        <w:spacing w:line="360" w:lineRule="auto"/>
        <w:ind w:right="640" w:firstLine="3840" w:firstLineChars="1600"/>
        <w:rPr>
          <w:rFonts w:hAnsi="宋体" w:cs="宋体"/>
          <w:color w:val="auto"/>
          <w:szCs w:val="24"/>
          <w:highlight w:val="none"/>
        </w:rPr>
      </w:pPr>
      <w:r>
        <w:rPr>
          <w:rFonts w:hint="eastAsia" w:hAnsi="宋体" w:cs="宋体"/>
          <w:color w:val="auto"/>
          <w:szCs w:val="24"/>
          <w:highlight w:val="none"/>
        </w:rPr>
        <w:t>保证人：（公章）</w:t>
      </w:r>
    </w:p>
    <w:p>
      <w:pPr>
        <w:spacing w:line="360" w:lineRule="auto"/>
        <w:ind w:right="640"/>
        <w:rPr>
          <w:rFonts w:hAnsi="宋体" w:cs="宋体"/>
          <w:color w:val="auto"/>
          <w:szCs w:val="24"/>
          <w:highlight w:val="none"/>
        </w:rPr>
      </w:pPr>
      <w:r>
        <w:rPr>
          <w:rFonts w:hint="eastAsia" w:hAnsi="宋体" w:cs="宋体"/>
          <w:color w:val="auto"/>
          <w:szCs w:val="24"/>
          <w:highlight w:val="none"/>
        </w:rPr>
        <w:t xml:space="preserve">                              年     月      日</w:t>
      </w: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b/>
          <w:color w:val="auto"/>
          <w:sz w:val="28"/>
          <w:szCs w:val="28"/>
          <w:highlight w:val="none"/>
        </w:rPr>
      </w:pPr>
      <w:r>
        <w:rPr>
          <w:rFonts w:hint="eastAsia" w:hAnsi="宋体" w:cs="宋体"/>
          <w:color w:val="auto"/>
          <w:szCs w:val="24"/>
          <w:highlight w:val="none"/>
        </w:rPr>
        <w:t xml:space="preserve"> </w:t>
      </w:r>
      <w:r>
        <w:rPr>
          <w:rFonts w:hint="eastAsia" w:hAnsi="宋体" w:cs="宋体"/>
          <w:b/>
          <w:color w:val="auto"/>
          <w:sz w:val="28"/>
          <w:szCs w:val="28"/>
          <w:highlight w:val="none"/>
        </w:rPr>
        <w:t>附件6：</w:t>
      </w:r>
    </w:p>
    <w:p>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 xml:space="preserve">签字(签章)：                   公章：                      </w:t>
      </w:r>
    </w:p>
    <w:p>
      <w:pPr>
        <w:rPr>
          <w:rFonts w:hAnsi="宋体" w:cs="宋体"/>
          <w:color w:val="auto"/>
          <w:szCs w:val="24"/>
          <w:highlight w:val="none"/>
        </w:rPr>
      </w:pPr>
      <w:r>
        <w:rPr>
          <w:rFonts w:hint="eastAsia" w:hAnsi="宋体" w:cs="宋体"/>
          <w:color w:val="auto"/>
          <w:szCs w:val="24"/>
          <w:highlight w:val="none"/>
        </w:rPr>
        <w:t xml:space="preserve">日期：    </w:t>
      </w:r>
    </w:p>
    <w:p>
      <w:pPr>
        <w:jc w:val="center"/>
        <w:rPr>
          <w:rFonts w:hAnsi="宋体" w:cs="宋体"/>
          <w:b/>
          <w:color w:val="auto"/>
          <w:sz w:val="44"/>
          <w:szCs w:val="44"/>
          <w:highlight w:val="none"/>
        </w:rPr>
      </w:pPr>
    </w:p>
    <w:p>
      <w:pPr>
        <w:jc w:val="center"/>
        <w:rPr>
          <w:rFonts w:hAnsi="宋体" w:cs="宋体"/>
          <w:b/>
          <w:color w:val="auto"/>
          <w:sz w:val="44"/>
          <w:szCs w:val="44"/>
          <w:highlight w:val="none"/>
        </w:rPr>
      </w:pPr>
    </w:p>
    <w:p>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pPr>
        <w:rPr>
          <w:rFonts w:hAnsi="宋体" w:cs="宋体"/>
          <w:color w:val="auto"/>
          <w:szCs w:val="24"/>
          <w:highlight w:val="none"/>
        </w:rPr>
      </w:pPr>
      <w:r>
        <w:rPr>
          <w:rFonts w:hint="eastAsia" w:hAnsi="宋体" w:cs="宋体"/>
          <w:color w:val="auto"/>
          <w:szCs w:val="24"/>
          <w:highlight w:val="none"/>
        </w:rPr>
        <w:t>一、投诉相关主体基本情况</w:t>
      </w:r>
    </w:p>
    <w:p>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rPr>
      </w:pPr>
      <w:r>
        <w:rPr>
          <w:rFonts w:hint="eastAsia" w:hAnsi="宋体" w:cs="宋体"/>
          <w:color w:val="auto"/>
          <w:szCs w:val="24"/>
          <w:highlight w:val="none"/>
        </w:rPr>
        <w:t>被投诉人2</w:t>
      </w:r>
    </w:p>
    <w:p>
      <w:pPr>
        <w:rPr>
          <w:rFonts w:hAnsi="宋体" w:cs="宋体"/>
          <w:color w:val="auto"/>
          <w:szCs w:val="24"/>
          <w:highlight w:val="none"/>
          <w:u w:val="dotted"/>
        </w:rPr>
      </w:pPr>
      <w:r>
        <w:rPr>
          <w:rFonts w:hint="eastAsia" w:hAnsi="宋体" w:cs="宋体"/>
          <w:color w:val="auto"/>
          <w:szCs w:val="24"/>
          <w:highlight w:val="none"/>
        </w:rPr>
        <w:t>……</w:t>
      </w:r>
    </w:p>
    <w:p>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rPr>
      </w:pPr>
      <w:r>
        <w:rPr>
          <w:rFonts w:hint="eastAsia" w:hAnsi="宋体" w:cs="宋体"/>
          <w:color w:val="auto"/>
          <w:szCs w:val="24"/>
          <w:highlight w:val="none"/>
        </w:rPr>
        <w:t>二、投诉项目基本情况</w:t>
      </w:r>
    </w:p>
    <w:p>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三、质疑基本情况</w:t>
      </w:r>
    </w:p>
    <w:p>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pPr>
        <w:rPr>
          <w:rFonts w:hAnsi="宋体" w:cs="宋体"/>
          <w:color w:val="auto"/>
          <w:szCs w:val="24"/>
          <w:highlight w:val="none"/>
        </w:rPr>
      </w:pPr>
      <w:r>
        <w:rPr>
          <w:rFonts w:hint="eastAsia" w:hAnsi="宋体" w:cs="宋体"/>
          <w:color w:val="auto"/>
          <w:szCs w:val="24"/>
          <w:highlight w:val="none"/>
        </w:rPr>
        <w:t>四、投诉事项具体内容</w:t>
      </w:r>
    </w:p>
    <w:p>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投诉事项2</w:t>
      </w:r>
    </w:p>
    <w:p>
      <w:pPr>
        <w:rPr>
          <w:rFonts w:hAnsi="宋体" w:cs="宋体"/>
          <w:color w:val="auto"/>
          <w:szCs w:val="24"/>
          <w:highlight w:val="none"/>
          <w:u w:val="dotted"/>
        </w:rPr>
      </w:pPr>
      <w:r>
        <w:rPr>
          <w:rFonts w:hint="eastAsia" w:hAnsi="宋体" w:cs="宋体"/>
          <w:color w:val="auto"/>
          <w:szCs w:val="24"/>
          <w:highlight w:val="none"/>
        </w:rPr>
        <w:t>……</w:t>
      </w:r>
    </w:p>
    <w:p>
      <w:pPr>
        <w:rPr>
          <w:rFonts w:hAnsi="宋体" w:cs="宋体"/>
          <w:color w:val="auto"/>
          <w:szCs w:val="24"/>
          <w:highlight w:val="none"/>
        </w:rPr>
      </w:pPr>
      <w:r>
        <w:rPr>
          <w:rFonts w:hint="eastAsia" w:hAnsi="宋体" w:cs="宋体"/>
          <w:color w:val="auto"/>
          <w:szCs w:val="24"/>
          <w:highlight w:val="none"/>
        </w:rPr>
        <w:t>五、与投诉事项相关的投诉请求</w:t>
      </w:r>
    </w:p>
    <w:p>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rPr>
          <w:rFonts w:hAnsi="宋体" w:cs="宋体"/>
          <w:color w:val="auto"/>
          <w:szCs w:val="24"/>
          <w:highlight w:val="none"/>
          <w:u w:val="single"/>
        </w:rPr>
      </w:pPr>
      <w:r>
        <w:rPr>
          <w:rFonts w:hint="eastAsia" w:hAnsi="宋体" w:cs="宋体"/>
          <w:color w:val="auto"/>
          <w:szCs w:val="24"/>
          <w:highlight w:val="none"/>
        </w:rPr>
        <w:t xml:space="preserve">                                                                                                    </w:t>
      </w:r>
    </w:p>
    <w:p>
      <w:pPr>
        <w:rPr>
          <w:rFonts w:hAnsi="宋体" w:cs="宋体"/>
          <w:color w:val="auto"/>
          <w:szCs w:val="24"/>
          <w:highlight w:val="none"/>
        </w:rPr>
      </w:pPr>
      <w:r>
        <w:rPr>
          <w:rFonts w:hint="eastAsia" w:hAnsi="宋体" w:cs="宋体"/>
          <w:color w:val="auto"/>
          <w:szCs w:val="24"/>
          <w:highlight w:val="none"/>
        </w:rPr>
        <w:t xml:space="preserve">签字(签章)：                   公章：                      </w:t>
      </w:r>
    </w:p>
    <w:p>
      <w:pPr>
        <w:rPr>
          <w:rFonts w:hAnsi="宋体" w:cs="宋体"/>
          <w:color w:val="auto"/>
          <w:szCs w:val="24"/>
          <w:highlight w:val="none"/>
        </w:rPr>
      </w:pPr>
      <w:r>
        <w:rPr>
          <w:rFonts w:hint="eastAsia" w:hAnsi="宋体" w:cs="宋体"/>
          <w:color w:val="auto"/>
          <w:szCs w:val="24"/>
          <w:highlight w:val="none"/>
        </w:rPr>
        <w:t xml:space="preserve">日期：                      </w:t>
      </w:r>
      <w:r>
        <w:rPr>
          <w:rFonts w:hint="eastAsia" w:hAnsi="宋体" w:cs="宋体"/>
          <w:color w:val="auto"/>
          <w:szCs w:val="24"/>
          <w:highlight w:val="none"/>
        </w:rPr>
        <w:tab/>
      </w:r>
    </w:p>
    <w:sectPr>
      <w:footerReference r:id="rId17" w:type="first"/>
      <w:footerReference r:id="rId16"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 xml:space="preserve">陕西至诚招标咨询有限公司                         </w:t>
    </w:r>
    <w:r>
      <w:rPr>
        <w:rFonts w:hint="eastAsia"/>
      </w:rPr>
      <w:tab/>
    </w:r>
    <w:r>
      <w:rPr>
        <w:rFonts w:hint="eastAsia"/>
      </w:rPr>
      <w:t>地址：西安市陕西省西安市未央区未央路171-1 银池广场道拉斯财富中心21楼03室</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文本框 7" o:spid="_x0000_s4102" o:spt="202" type="#_x0000_t202" style="position:absolute;left:0pt;margin-top:0pt;height:144pt;width:144pt;mso-position-horizontal:lef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文本框 2"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r>
      <w:rPr>
        <w:rFonts w:hint="eastAsia"/>
      </w:rPr>
      <w:t xml:space="preserve">陕西至诚招标咨询有限公司                         </w:t>
    </w:r>
    <w:r>
      <w:rPr>
        <w:rFonts w:hint="eastAsia"/>
      </w:rPr>
      <w:tab/>
    </w:r>
    <w:r>
      <w:rPr>
        <w:rFonts w:hint="eastAsia"/>
      </w:rPr>
      <w:t xml:space="preserve">         西安市陕西省西安市未央区未央路171-1 银池广场道拉斯财富中心21楼03室</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pict>
        <v:shape id="文本框 3"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1" o:spid="_x0000_s4099"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C0ugwJlQEAACoDAAAOAAAAAAAA&#10;AAAAAAAAAC4CAABkcnMvZTJvRG9jLnhtbFBLAQItABQABgAIAAAAIQCqigsc2AAAAAUBAAAPAAAA&#10;AAAAAAAAAAAAAO8DAABkcnMvZG93bnJldi54bWxQSwUGAAAAAAQABADzAAAA9AQAAAAA&#10;">
          <v:path/>
          <v:fill on="f" focussize="0,0"/>
          <v:stroke on="f" weight="1.25pt" joinstyle="miter"/>
          <v:imagedata o:title=""/>
          <o:lock v:ext="edit"/>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pict>
        <v:shape id="文本框 5" o:spid="_x0000_s4100"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45</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文本框 6" o:spid="_x0000_s4101" o:spt="202" type="#_x0000_t202" style="position:absolute;left:0pt;margin-top:0pt;height:144pt;width:144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49</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w:pict>
        <v:shape id="文本框 8" o:spid="_x0000_s4103" o:spt="202" type="#_x0000_t202" style="position:absolute;left:0pt;margin-top:0pt;height:144pt;width:144pt;mso-position-horizontal:center;mso-position-horizontal-relative:margin;mso-wrap-style:non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69</w:t>
                </w:r>
                <w:r>
                  <w:fldChar w:fldCharType="end"/>
                </w:r>
              </w:p>
            </w:txbxContent>
          </v:textbox>
        </v:shape>
      </w:pict>
    </w:r>
  </w:p>
  <w:p>
    <w:pPr>
      <w:pStyle w:val="17"/>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bCs/>
        <w:sz w:val="18"/>
        <w:szCs w:val="18"/>
        <w:u w:val="single"/>
      </w:rPr>
    </w:pPr>
    <w:r>
      <w:rPr>
        <w:rFonts w:hint="eastAsia" w:hAnsi="宋体"/>
        <w:bCs/>
        <w:sz w:val="18"/>
        <w:szCs w:val="18"/>
        <w:u w:val="single"/>
      </w:rPr>
      <w:t>柞水县2022年秦岭红豆杉保护发展项目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p>
    <w:pPr>
      <w:pStyle w:val="18"/>
      <w:pBdr>
        <w:bottom w:val="none" w:color="auto" w:sz="0" w:space="1"/>
      </w:pBdr>
      <w:jc w:val="both"/>
      <w:rPr>
        <w:rFonts w:hAnsi="宋体"/>
        <w:bCs/>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cs="宋体"/>
        <w:bCs/>
        <w:shd w:val="clear" w:color="auto" w:fill="FFFFFF"/>
      </w:rPr>
    </w:pPr>
  </w:p>
  <w:p>
    <w:pPr>
      <w:pStyle w:val="18"/>
      <w:jc w:val="left"/>
      <w:rPr>
        <w:rFonts w:ascii="宋体" w:hAnsi="宋体" w:cs="宋体"/>
        <w:bCs/>
      </w:rPr>
    </w:pPr>
    <w:r>
      <w:rPr>
        <w:rFonts w:hint="eastAsia" w:ascii="宋体" w:hAnsi="宋体" w:cs="宋体"/>
        <w:bCs/>
        <w:shd w:val="clear" w:color="auto" w:fill="FFFFFF"/>
      </w:rPr>
      <w:t>柞水县2022年秦岭红豆杉保护发展项目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宋体" w:hAnsi="宋体"/>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DF9E"/>
    <w:multiLevelType w:val="singleLevel"/>
    <w:tmpl w:val="BBFEDF9E"/>
    <w:lvl w:ilvl="0" w:tentative="0">
      <w:start w:val="1"/>
      <w:numFmt w:val="decimal"/>
      <w:suff w:val="nothing"/>
      <w:lvlText w:val="%1、"/>
      <w:lvlJc w:val="left"/>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U1ZTk2MTQyODg0ZDk5MTI0YWY4MGUzOGFjOTBhYWIifQ=="/>
  </w:docVars>
  <w:rsids>
    <w:rsidRoot w:val="004139B6"/>
    <w:rsid w:val="000D15D0"/>
    <w:rsid w:val="001564DA"/>
    <w:rsid w:val="001E5ABB"/>
    <w:rsid w:val="00266952"/>
    <w:rsid w:val="002C09D8"/>
    <w:rsid w:val="004139B6"/>
    <w:rsid w:val="004627F7"/>
    <w:rsid w:val="00517D1D"/>
    <w:rsid w:val="007C5344"/>
    <w:rsid w:val="00864974"/>
    <w:rsid w:val="00876913"/>
    <w:rsid w:val="00A60307"/>
    <w:rsid w:val="00C076C0"/>
    <w:rsid w:val="00C1558B"/>
    <w:rsid w:val="00C8092C"/>
    <w:rsid w:val="00C8642A"/>
    <w:rsid w:val="00D5186B"/>
    <w:rsid w:val="00DD7754"/>
    <w:rsid w:val="00E20FEB"/>
    <w:rsid w:val="01555A9A"/>
    <w:rsid w:val="0193039D"/>
    <w:rsid w:val="030407EA"/>
    <w:rsid w:val="030A201D"/>
    <w:rsid w:val="03273805"/>
    <w:rsid w:val="044B49A4"/>
    <w:rsid w:val="04564D84"/>
    <w:rsid w:val="05B12D11"/>
    <w:rsid w:val="05D75CDB"/>
    <w:rsid w:val="071308F8"/>
    <w:rsid w:val="07E312A7"/>
    <w:rsid w:val="08123EB3"/>
    <w:rsid w:val="08D21FF8"/>
    <w:rsid w:val="0AF1007A"/>
    <w:rsid w:val="0B7B588D"/>
    <w:rsid w:val="0C080095"/>
    <w:rsid w:val="0F4F1D25"/>
    <w:rsid w:val="0F997A1F"/>
    <w:rsid w:val="0FFD3DC3"/>
    <w:rsid w:val="10043C73"/>
    <w:rsid w:val="1095499B"/>
    <w:rsid w:val="11D44776"/>
    <w:rsid w:val="12C617E6"/>
    <w:rsid w:val="130B35CF"/>
    <w:rsid w:val="13864C2A"/>
    <w:rsid w:val="145872ED"/>
    <w:rsid w:val="15F7746A"/>
    <w:rsid w:val="16474784"/>
    <w:rsid w:val="1832167D"/>
    <w:rsid w:val="18AD56E9"/>
    <w:rsid w:val="18BD7413"/>
    <w:rsid w:val="191114F7"/>
    <w:rsid w:val="1AD6795F"/>
    <w:rsid w:val="1B0974F8"/>
    <w:rsid w:val="1BDE6CFA"/>
    <w:rsid w:val="1EED73BF"/>
    <w:rsid w:val="1F3708D8"/>
    <w:rsid w:val="20E04C24"/>
    <w:rsid w:val="22E17783"/>
    <w:rsid w:val="24AE6EB4"/>
    <w:rsid w:val="24DD1172"/>
    <w:rsid w:val="25D53DF3"/>
    <w:rsid w:val="26077449"/>
    <w:rsid w:val="26597F9E"/>
    <w:rsid w:val="267A2725"/>
    <w:rsid w:val="27132728"/>
    <w:rsid w:val="277D689B"/>
    <w:rsid w:val="28936D4C"/>
    <w:rsid w:val="28943766"/>
    <w:rsid w:val="28EF66C3"/>
    <w:rsid w:val="292C2993"/>
    <w:rsid w:val="2A8B6E31"/>
    <w:rsid w:val="2C363381"/>
    <w:rsid w:val="2E265AE2"/>
    <w:rsid w:val="2E746297"/>
    <w:rsid w:val="2EED1018"/>
    <w:rsid w:val="2F2533C6"/>
    <w:rsid w:val="306A6183"/>
    <w:rsid w:val="30B96A80"/>
    <w:rsid w:val="31F9769F"/>
    <w:rsid w:val="32F55B7E"/>
    <w:rsid w:val="33FA289F"/>
    <w:rsid w:val="34681F9A"/>
    <w:rsid w:val="35CD1BC3"/>
    <w:rsid w:val="36C9283B"/>
    <w:rsid w:val="384369FD"/>
    <w:rsid w:val="39BD4530"/>
    <w:rsid w:val="3A5B1476"/>
    <w:rsid w:val="3AB17101"/>
    <w:rsid w:val="3B8F2096"/>
    <w:rsid w:val="3BFA15F2"/>
    <w:rsid w:val="3E4C422D"/>
    <w:rsid w:val="3EE13F16"/>
    <w:rsid w:val="3F76250C"/>
    <w:rsid w:val="3FD324F1"/>
    <w:rsid w:val="400D7F7B"/>
    <w:rsid w:val="4079478F"/>
    <w:rsid w:val="40B91AE2"/>
    <w:rsid w:val="40D047EA"/>
    <w:rsid w:val="41EE3D99"/>
    <w:rsid w:val="426E2B33"/>
    <w:rsid w:val="42CD52CA"/>
    <w:rsid w:val="42EA3D57"/>
    <w:rsid w:val="43420106"/>
    <w:rsid w:val="4440544D"/>
    <w:rsid w:val="44D4651B"/>
    <w:rsid w:val="450E5A3D"/>
    <w:rsid w:val="451A3321"/>
    <w:rsid w:val="46A23069"/>
    <w:rsid w:val="46B10F69"/>
    <w:rsid w:val="486852FA"/>
    <w:rsid w:val="49045422"/>
    <w:rsid w:val="496A6B29"/>
    <w:rsid w:val="4B101917"/>
    <w:rsid w:val="4B8D0E2D"/>
    <w:rsid w:val="4BB46130"/>
    <w:rsid w:val="4CB7264B"/>
    <w:rsid w:val="4D7D3A4A"/>
    <w:rsid w:val="4D850ADA"/>
    <w:rsid w:val="4E930995"/>
    <w:rsid w:val="4FB93093"/>
    <w:rsid w:val="51360454"/>
    <w:rsid w:val="523D1183"/>
    <w:rsid w:val="53033E94"/>
    <w:rsid w:val="54160EF8"/>
    <w:rsid w:val="5448127D"/>
    <w:rsid w:val="55303AEA"/>
    <w:rsid w:val="55657708"/>
    <w:rsid w:val="57F42634"/>
    <w:rsid w:val="58620795"/>
    <w:rsid w:val="597375B7"/>
    <w:rsid w:val="5A691DBF"/>
    <w:rsid w:val="5C8A7A34"/>
    <w:rsid w:val="5DA54D35"/>
    <w:rsid w:val="5FA60862"/>
    <w:rsid w:val="5FD4768E"/>
    <w:rsid w:val="6090130A"/>
    <w:rsid w:val="610B7306"/>
    <w:rsid w:val="611C6E1E"/>
    <w:rsid w:val="626C425F"/>
    <w:rsid w:val="641C3859"/>
    <w:rsid w:val="66055487"/>
    <w:rsid w:val="66265A06"/>
    <w:rsid w:val="665969A9"/>
    <w:rsid w:val="6750787A"/>
    <w:rsid w:val="67553EFC"/>
    <w:rsid w:val="67D02B15"/>
    <w:rsid w:val="680D67CF"/>
    <w:rsid w:val="687156D7"/>
    <w:rsid w:val="68F04190"/>
    <w:rsid w:val="696C1655"/>
    <w:rsid w:val="6A0236F7"/>
    <w:rsid w:val="6A227E13"/>
    <w:rsid w:val="6A256AD2"/>
    <w:rsid w:val="6A82638A"/>
    <w:rsid w:val="6BAC7F04"/>
    <w:rsid w:val="6CC60373"/>
    <w:rsid w:val="6D8124F7"/>
    <w:rsid w:val="6E606344"/>
    <w:rsid w:val="6F740C64"/>
    <w:rsid w:val="6FDA32FF"/>
    <w:rsid w:val="70211C07"/>
    <w:rsid w:val="70E22485"/>
    <w:rsid w:val="713C6B66"/>
    <w:rsid w:val="71655048"/>
    <w:rsid w:val="71E62861"/>
    <w:rsid w:val="72007C89"/>
    <w:rsid w:val="72DB3D94"/>
    <w:rsid w:val="748B475B"/>
    <w:rsid w:val="74C11DBF"/>
    <w:rsid w:val="75050630"/>
    <w:rsid w:val="76BD78F6"/>
    <w:rsid w:val="77351123"/>
    <w:rsid w:val="773B116D"/>
    <w:rsid w:val="775B79C0"/>
    <w:rsid w:val="78702166"/>
    <w:rsid w:val="79136722"/>
    <w:rsid w:val="7ADF7479"/>
    <w:rsid w:val="7B323718"/>
    <w:rsid w:val="7BE544EC"/>
    <w:rsid w:val="7CD962B0"/>
    <w:rsid w:val="7CF2547A"/>
    <w:rsid w:val="7D6831AC"/>
    <w:rsid w:val="7E80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qFormat/>
    <w:uiPriority w:val="0"/>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qFormat/>
    <w:uiPriority w:val="0"/>
    <w:pPr>
      <w:keepNext/>
      <w:spacing w:beforeLines="200" w:line="400" w:lineRule="exact"/>
      <w:jc w:val="center"/>
      <w:outlineLvl w:val="2"/>
    </w:pPr>
    <w:rPr>
      <w:rFonts w:ascii="Times New Roman"/>
      <w:b/>
      <w:bCs/>
      <w:kern w:val="2"/>
      <w:szCs w:val="24"/>
    </w:rPr>
  </w:style>
  <w:style w:type="paragraph" w:styleId="6">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jc w:val="center"/>
    </w:pPr>
    <w:rPr>
      <w:rFonts w:ascii="Times New Roman"/>
      <w:b/>
      <w:spacing w:val="-20"/>
      <w:w w:val="110"/>
      <w:kern w:val="2"/>
      <w:sz w:val="52"/>
    </w:rPr>
  </w:style>
  <w:style w:type="paragraph" w:styleId="8">
    <w:name w:val="Normal Indent"/>
    <w:basedOn w:val="1"/>
    <w:qFormat/>
    <w:uiPriority w:val="0"/>
    <w:pPr>
      <w:spacing w:line="300" w:lineRule="auto"/>
      <w:ind w:firstLine="420" w:firstLineChars="200"/>
    </w:pPr>
    <w:rPr>
      <w:rFonts w:ascii="Times New Roman"/>
      <w:kern w:val="2"/>
      <w:sz w:val="21"/>
      <w:szCs w:val="24"/>
    </w:rPr>
  </w:style>
  <w:style w:type="paragraph" w:styleId="9">
    <w:name w:val="Body Text"/>
    <w:basedOn w:val="1"/>
    <w:next w:val="10"/>
    <w:qFormat/>
    <w:uiPriority w:val="0"/>
    <w:pPr>
      <w:spacing w:after="120"/>
    </w:pPr>
    <w:rPr>
      <w:rFonts w:ascii="Times New Roman"/>
      <w:kern w:val="2"/>
      <w:sz w:val="21"/>
    </w:rPr>
  </w:style>
  <w:style w:type="paragraph" w:customStyle="1" w:styleId="10">
    <w:name w:val="一级条标题"/>
    <w:basedOn w:val="11"/>
    <w:next w:val="1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1">
    <w:name w:val="章标题"/>
    <w:basedOn w:val="1"/>
    <w:next w:val="1"/>
    <w:qFormat/>
    <w:uiPriority w:val="0"/>
    <w:pPr>
      <w:widowControl/>
      <w:spacing w:before="158" w:after="153" w:line="1292" w:lineRule="atLeast"/>
      <w:jc w:val="center"/>
    </w:pPr>
    <w:rPr>
      <w:rFonts w:ascii="Arial" w:eastAsia="黑体" w:cs="黑体"/>
      <w:sz w:val="31"/>
      <w:szCs w:val="22"/>
      <w:lang w:eastAsia="en-US" w:bidi="en-US"/>
    </w:rPr>
  </w:style>
  <w:style w:type="paragraph" w:customStyle="1" w:styleId="1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3">
    <w:name w:val="Body Text Indent"/>
    <w:basedOn w:val="1"/>
    <w:next w:val="14"/>
    <w:qFormat/>
    <w:uiPriority w:val="0"/>
    <w:pPr>
      <w:ind w:left="1083" w:leftChars="30" w:hanging="1020" w:hangingChars="425"/>
    </w:pPr>
    <w:rPr>
      <w:rFonts w:hAnsi="宋体"/>
    </w:rPr>
  </w:style>
  <w:style w:type="paragraph" w:customStyle="1" w:styleId="14">
    <w:name w:val="font5"/>
    <w:basedOn w:val="1"/>
    <w:qFormat/>
    <w:uiPriority w:val="0"/>
    <w:pPr>
      <w:widowControl/>
      <w:spacing w:before="100" w:beforeAutospacing="1" w:after="100" w:afterAutospacing="1"/>
      <w:jc w:val="left"/>
    </w:pPr>
    <w:rPr>
      <w:rFonts w:hint="eastAsia" w:hAnsi="宋体"/>
    </w:rPr>
  </w:style>
  <w:style w:type="paragraph" w:styleId="15">
    <w:name w:val="Plain Text"/>
    <w:basedOn w:val="1"/>
    <w:qFormat/>
    <w:uiPriority w:val="0"/>
    <w:rPr>
      <w:rFonts w:hAnsi="Courier New"/>
      <w:kern w:val="2"/>
      <w:sz w:val="21"/>
    </w:rPr>
  </w:style>
  <w:style w:type="paragraph" w:styleId="16">
    <w:name w:val="Date"/>
    <w:basedOn w:val="1"/>
    <w:next w:val="1"/>
    <w:qFormat/>
    <w:uiPriority w:val="0"/>
    <w:rPr>
      <w:rFonts w:ascii="Times New Roman"/>
      <w:kern w:val="2"/>
      <w:sz w:val="28"/>
    </w:rPr>
  </w:style>
  <w:style w:type="paragraph" w:styleId="17">
    <w:name w:val="footer"/>
    <w:basedOn w:val="1"/>
    <w:next w:val="1"/>
    <w:qFormat/>
    <w:uiPriority w:val="0"/>
    <w:pPr>
      <w:tabs>
        <w:tab w:val="center" w:pos="4153"/>
        <w:tab w:val="right" w:pos="8306"/>
      </w:tabs>
      <w:snapToGrid w:val="0"/>
      <w:jc w:val="left"/>
    </w:pPr>
    <w:rPr>
      <w:rFonts w:ascii="Times New Roman"/>
      <w:kern w:val="2"/>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9">
    <w:name w:val="toc 1"/>
    <w:basedOn w:val="1"/>
    <w:next w:val="1"/>
    <w:unhideWhenUsed/>
    <w:qFormat/>
    <w:uiPriority w:val="0"/>
  </w:style>
  <w:style w:type="paragraph" w:styleId="20">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1">
    <w:name w:val="toc 2"/>
    <w:basedOn w:val="1"/>
    <w:next w:val="1"/>
    <w:unhideWhenUsed/>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hAnsi="宋体"/>
      <w:szCs w:val="24"/>
    </w:rPr>
  </w:style>
  <w:style w:type="paragraph" w:styleId="23">
    <w:name w:val="Body Text First Indent"/>
    <w:basedOn w:val="1"/>
    <w:next w:val="1"/>
    <w:qFormat/>
    <w:uiPriority w:val="0"/>
    <w:pPr>
      <w:adjustRightInd w:val="0"/>
      <w:ind w:firstLine="420"/>
      <w:jc w:val="left"/>
      <w:textAlignment w:val="baseline"/>
    </w:pPr>
    <w:rPr>
      <w:b/>
      <w:sz w:val="21"/>
    </w:rPr>
  </w:style>
  <w:style w:type="paragraph" w:styleId="24">
    <w:name w:val="Body Text First Indent 2"/>
    <w:basedOn w:val="13"/>
    <w:next w:val="23"/>
    <w:qFormat/>
    <w:uiPriority w:val="0"/>
    <w:pPr>
      <w:spacing w:after="120"/>
      <w:ind w:left="420" w:leftChars="200" w:firstLine="42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0"/>
    <w:rPr>
      <w:color w:val="333333"/>
      <w:u w:val="single"/>
    </w:rPr>
  </w:style>
  <w:style w:type="paragraph" w:customStyle="1" w:styleId="31">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customStyle="1" w:styleId="32">
    <w:name w:val="列出段落1"/>
    <w:basedOn w:val="1"/>
    <w:qFormat/>
    <w:uiPriority w:val="34"/>
    <w:pPr>
      <w:ind w:firstLine="420" w:firstLineChars="200"/>
    </w:pPr>
  </w:style>
  <w:style w:type="paragraph" w:customStyle="1" w:styleId="33">
    <w:name w:val="_Style 17"/>
    <w:basedOn w:val="3"/>
    <w:next w:val="1"/>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34">
    <w:name w:val="Char1"/>
    <w:basedOn w:val="1"/>
    <w:qFormat/>
    <w:uiPriority w:val="0"/>
    <w:pPr>
      <w:tabs>
        <w:tab w:val="left" w:pos="360"/>
      </w:tabs>
      <w:ind w:left="360" w:hanging="360" w:hangingChars="200"/>
    </w:pPr>
    <w:rPr>
      <w:szCs w:val="24"/>
    </w:rPr>
  </w:style>
  <w:style w:type="paragraph" w:customStyle="1" w:styleId="35">
    <w:name w:val="列表段落1"/>
    <w:basedOn w:val="1"/>
    <w:qFormat/>
    <w:uiPriority w:val="34"/>
    <w:pPr>
      <w:ind w:firstLine="420" w:firstLineChars="200"/>
    </w:pPr>
  </w:style>
  <w:style w:type="paragraph" w:customStyle="1" w:styleId="36">
    <w:name w:val="彩色列表1"/>
    <w:basedOn w:val="1"/>
    <w:qFormat/>
    <w:uiPriority w:val="34"/>
    <w:pPr>
      <w:ind w:firstLine="420" w:firstLineChars="200"/>
    </w:pPr>
    <w:rPr>
      <w:rFonts w:ascii="Calibri" w:hAnsi="Calibri"/>
      <w:szCs w:val="22"/>
    </w:rPr>
  </w:style>
  <w:style w:type="paragraph" w:customStyle="1" w:styleId="37">
    <w:name w:val="列出段落11"/>
    <w:basedOn w:val="1"/>
    <w:qFormat/>
    <w:uiPriority w:val="34"/>
    <w:pPr>
      <w:ind w:firstLine="420" w:firstLineChars="200"/>
    </w:pPr>
    <w:rPr>
      <w:rFonts w:ascii="Calibri" w:hAnsi="Calibri"/>
    </w:rPr>
  </w:style>
  <w:style w:type="character" w:customStyle="1" w:styleId="38">
    <w:name w:val="样式 楷体_GB2312 三号"/>
    <w:basedOn w:val="27"/>
    <w:qFormat/>
    <w:uiPriority w:val="0"/>
    <w:rPr>
      <w:rFonts w:hint="eastAsia" w:ascii="楷体_GB2312" w:hAnsi="楷体_GB2312" w:eastAsia="楷体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7"/>
    <customShpInfo spid="_x0000_s4099"/>
    <customShpInfo spid="_x0000_s4100"/>
    <customShpInfo spid="_x0000_s4101"/>
    <customShpInfo spid="_x0000_s4103"/>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31469</Words>
  <Characters>33920</Characters>
  <Lines>286</Lines>
  <Paragraphs>80</Paragraphs>
  <TotalTime>35</TotalTime>
  <ScaleCrop>false</ScaleCrop>
  <LinksUpToDate>false</LinksUpToDate>
  <CharactersWithSpaces>38455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2020-11-26T02:22:00Z</dcterms:created>
  <dc:creator>Administrator</dc:creator>
  <cp:lastModifiedBy>井鼻殉</cp:lastModifiedBy>
  <dcterms:modified xsi:type="dcterms:W3CDTF">2022-09-21T03:39:50Z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0DEAC38E5C764487900992F173D8781A</vt:lpwstr>
  </property>
</Properties>
</file>