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bCs/>
          <w:color w:val="auto"/>
          <w:sz w:val="32"/>
          <w:szCs w:val="32"/>
        </w:rPr>
      </w:pPr>
    </w:p>
    <w:p>
      <w:pPr>
        <w:rPr>
          <w:rFonts w:hint="eastAsia" w:ascii="仿宋" w:hAnsi="仿宋" w:eastAsia="仿宋" w:cs="仿宋"/>
          <w:b/>
          <w:bCs/>
          <w:color w:val="auto"/>
          <w:sz w:val="36"/>
          <w:szCs w:val="36"/>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XXGC-2022-000071-4</w:t>
      </w:r>
    </w:p>
    <w:p>
      <w:pPr>
        <w:rPr>
          <w:rFonts w:hint="eastAsia" w:ascii="仿宋" w:hAnsi="仿宋" w:eastAsia="仿宋" w:cs="仿宋"/>
          <w:b/>
          <w:bCs/>
          <w:color w:val="auto"/>
          <w:sz w:val="70"/>
          <w:szCs w:val="70"/>
        </w:rPr>
      </w:pPr>
    </w:p>
    <w:p>
      <w:pPr>
        <w:jc w:val="center"/>
        <w:rPr>
          <w:rFonts w:hint="eastAsia" w:ascii="仿宋" w:hAnsi="仿宋" w:eastAsia="仿宋" w:cs="仿宋"/>
          <w:b/>
          <w:bCs/>
          <w:color w:val="auto"/>
          <w:sz w:val="52"/>
          <w:szCs w:val="52"/>
          <w:lang w:eastAsia="zh-CN"/>
        </w:rPr>
      </w:pPr>
      <w:r>
        <w:rPr>
          <w:rFonts w:hint="eastAsia" w:ascii="仿宋" w:hAnsi="仿宋" w:eastAsia="仿宋" w:cs="仿宋"/>
          <w:b/>
          <w:bCs/>
          <w:color w:val="auto"/>
          <w:sz w:val="52"/>
          <w:szCs w:val="52"/>
          <w:lang w:eastAsia="zh-CN"/>
        </w:rPr>
        <w:t>三桥街道阿房一路集体土地拆除项目</w:t>
      </w: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96"/>
          <w:szCs w:val="96"/>
        </w:rPr>
      </w:pPr>
      <w:bookmarkStart w:id="0" w:name="_Toc363463325"/>
    </w:p>
    <w:p>
      <w:pPr>
        <w:jc w:val="center"/>
        <w:rPr>
          <w:rFonts w:hint="eastAsia" w:ascii="仿宋" w:hAnsi="仿宋" w:eastAsia="仿宋" w:cs="仿宋"/>
          <w:b/>
          <w:bCs/>
          <w:color w:val="auto"/>
          <w:sz w:val="96"/>
          <w:szCs w:val="96"/>
        </w:rPr>
      </w:pPr>
    </w:p>
    <w:p>
      <w:pPr>
        <w:jc w:val="center"/>
        <w:rPr>
          <w:rFonts w:hint="eastAsia" w:ascii="仿宋" w:hAnsi="仿宋" w:eastAsia="仿宋" w:cs="仿宋"/>
          <w:b/>
          <w:bCs/>
          <w:color w:val="auto"/>
          <w:sz w:val="96"/>
          <w:szCs w:val="96"/>
        </w:rPr>
      </w:pPr>
      <w:r>
        <w:rPr>
          <w:rFonts w:hint="eastAsia" w:ascii="仿宋" w:hAnsi="仿宋" w:eastAsia="仿宋" w:cs="仿宋"/>
          <w:b/>
          <w:bCs/>
          <w:color w:val="auto"/>
          <w:sz w:val="96"/>
          <w:szCs w:val="96"/>
        </w:rPr>
        <w:t>招标文件</w:t>
      </w:r>
    </w:p>
    <w:p>
      <w:pPr>
        <w:rPr>
          <w:rFonts w:hint="eastAsia" w:ascii="仿宋" w:hAnsi="仿宋" w:eastAsia="仿宋" w:cs="仿宋"/>
          <w:color w:val="auto"/>
        </w:rPr>
      </w:pPr>
    </w:p>
    <w:bookmarkEnd w:id="0"/>
    <w:p>
      <w:pPr>
        <w:jc w:val="both"/>
        <w:rPr>
          <w:rFonts w:hint="eastAsia" w:ascii="仿宋" w:hAnsi="仿宋" w:eastAsia="仿宋" w:cs="仿宋"/>
          <w:color w:val="auto"/>
          <w:sz w:val="36"/>
          <w:szCs w:val="36"/>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华夏国际项目管理有限公司</w:t>
      </w:r>
    </w:p>
    <w:p>
      <w:pPr>
        <w:tabs>
          <w:tab w:val="left" w:pos="525"/>
        </w:tabs>
        <w:ind w:left="0" w:leftChars="0"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月</w:t>
      </w:r>
    </w:p>
    <w:p>
      <w:pPr>
        <w:spacing w:line="800" w:lineRule="exact"/>
        <w:jc w:val="center"/>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34" w:beforeLines="100" w:line="500" w:lineRule="exact"/>
        <w:jc w:val="center"/>
        <w:textAlignment w:val="auto"/>
        <w:outlineLvl w:val="9"/>
        <w:rPr>
          <w:rFonts w:hint="eastAsia" w:ascii="仿宋" w:hAnsi="仿宋" w:eastAsia="仿宋" w:cs="仿宋"/>
          <w:b/>
          <w:bCs/>
          <w:color w:val="auto"/>
          <w:sz w:val="36"/>
          <w:szCs w:val="36"/>
        </w:rPr>
        <w:sectPr>
          <w:headerReference r:id="rId3" w:type="default"/>
          <w:footerReference r:id="rId4" w:type="default"/>
          <w:pgSz w:w="11906" w:h="16838"/>
          <w:pgMar w:top="1417" w:right="1417" w:bottom="1417" w:left="1701" w:header="851" w:footer="992" w:gutter="0"/>
          <w:pgNumType w:start="1"/>
          <w:cols w:space="0" w:num="1"/>
          <w:docGrid w:type="lines" w:linePitch="312" w:charSpace="0"/>
        </w:sectPr>
      </w:pPr>
      <w:bookmarkStart w:id="1" w:name="_Toc20652"/>
      <w:bookmarkStart w:id="2" w:name="_Toc20858"/>
      <w:bookmarkStart w:id="3" w:name="_Toc16218"/>
      <w:bookmarkStart w:id="4" w:name="_Toc19886"/>
      <w:bookmarkStart w:id="5" w:name="_Toc389582033"/>
      <w:bookmarkStart w:id="6" w:name="_Toc21518"/>
      <w:bookmarkStart w:id="7" w:name="_Toc438073527"/>
      <w:bookmarkStart w:id="8" w:name="_Toc5293"/>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录</w:t>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_Toc17506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第一章</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_Toc17506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_Toc13222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_Toc13222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ind w:firstLine="1124" w:firstLineChars="400"/>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_Toc1237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投标人须知正文部分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_Toc1237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_Toc4614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_Toc4614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_Toc3884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eastAsia="zh-CN"/>
        </w:rPr>
        <w:t xml:space="preserve">  合同条款及格式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_Toc3884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_Toc29181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第五章  项目概况及要求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_Toc29181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4"/>
        <w:tabs>
          <w:tab w:val="right" w:leader="dot" w:pos="8788"/>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_Toc17495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投标文件构成及格式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_Toc17495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pStyle w:val="24"/>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outlineLvl w:val="9"/>
        <w:rPr>
          <w:rFonts w:hint="eastAsia" w:ascii="仿宋" w:hAnsi="仿宋" w:eastAsia="仿宋" w:cs="仿宋"/>
          <w:color w:val="auto"/>
          <w:sz w:val="24"/>
          <w:szCs w:val="24"/>
        </w:rPr>
      </w:pPr>
    </w:p>
    <w:p>
      <w:pPr>
        <w:rPr>
          <w:rFonts w:hint="eastAsia" w:ascii="仿宋" w:hAnsi="仿宋" w:eastAsia="仿宋" w:cs="仿宋"/>
          <w:color w:val="auto"/>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bookmarkEnd w:id="1"/>
    <w:bookmarkEnd w:id="2"/>
    <w:bookmarkEnd w:id="3"/>
    <w:bookmarkEnd w:id="4"/>
    <w:bookmarkEnd w:id="5"/>
    <w:bookmarkEnd w:id="6"/>
    <w:bookmarkEnd w:id="7"/>
    <w:bookmarkEnd w:id="8"/>
    <w:p>
      <w:pPr>
        <w:widowControl/>
        <w:spacing w:line="360" w:lineRule="auto"/>
        <w:ind w:firstLine="482" w:firstLineChars="150"/>
        <w:jc w:val="center"/>
        <w:outlineLvl w:val="0"/>
        <w:rPr>
          <w:rFonts w:hint="eastAsia" w:ascii="仿宋" w:hAnsi="仿宋" w:eastAsia="仿宋" w:cs="仿宋"/>
          <w:b/>
          <w:bCs/>
          <w:color w:val="auto"/>
          <w:sz w:val="32"/>
          <w:szCs w:val="32"/>
        </w:rPr>
        <w:sectPr>
          <w:footerReference r:id="rId5"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16698"/>
    </w:p>
    <w:p>
      <w:pPr>
        <w:widowControl/>
        <w:spacing w:line="360" w:lineRule="auto"/>
        <w:ind w:firstLine="482" w:firstLineChars="150"/>
        <w:jc w:val="center"/>
        <w:outlineLvl w:val="0"/>
        <w:rPr>
          <w:rFonts w:hint="eastAsia" w:ascii="仿宋" w:hAnsi="仿宋" w:eastAsia="仿宋" w:cs="仿宋"/>
          <w:b/>
          <w:bCs/>
          <w:color w:val="auto"/>
          <w:sz w:val="32"/>
          <w:szCs w:val="32"/>
        </w:rPr>
      </w:pPr>
      <w:bookmarkStart w:id="11" w:name="_Toc17506"/>
      <w:r>
        <w:rPr>
          <w:rFonts w:hint="eastAsia" w:ascii="仿宋" w:hAnsi="仿宋" w:eastAsia="仿宋" w:cs="仿宋"/>
          <w:b/>
          <w:bCs/>
          <w:color w:val="auto"/>
          <w:sz w:val="32"/>
          <w:szCs w:val="32"/>
        </w:rPr>
        <w:t>第一章</w:t>
      </w:r>
      <w:bookmarkEnd w:id="9"/>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招标公告</w:t>
      </w:r>
      <w:bookmarkEnd w:id="10"/>
      <w:bookmarkEnd w:id="11"/>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项目概况</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三桥街道阿房一路集体土地拆除项目招标项目的潜在投标人应在全国公共资源交易平台（陕西省西咸新区）直接下载获取招标文件，并于 2022年0</w:t>
      </w:r>
      <w:r>
        <w:rPr>
          <w:rFonts w:hint="eastAsia" w:ascii="仿宋" w:hAnsi="仿宋" w:eastAsia="仿宋" w:cs="仿宋"/>
          <w:bCs/>
          <w:color w:val="auto"/>
          <w:sz w:val="24"/>
          <w:szCs w:val="24"/>
          <w:shd w:val="clear" w:color="auto" w:fill="FFFFFF"/>
          <w:lang w:val="en-US" w:eastAsia="zh-CN"/>
        </w:rPr>
        <w:t>7</w:t>
      </w:r>
      <w:r>
        <w:rPr>
          <w:rFonts w:hint="eastAsia" w:ascii="仿宋" w:hAnsi="仿宋" w:eastAsia="仿宋" w:cs="仿宋"/>
          <w:bCs/>
          <w:color w:val="auto"/>
          <w:sz w:val="24"/>
          <w:szCs w:val="24"/>
          <w:shd w:val="clear" w:color="auto" w:fill="FFFFFF"/>
        </w:rPr>
        <w:t>月</w:t>
      </w:r>
      <w:r>
        <w:rPr>
          <w:rFonts w:hint="eastAsia" w:ascii="仿宋" w:hAnsi="仿宋" w:eastAsia="仿宋" w:cs="仿宋"/>
          <w:bCs/>
          <w:color w:val="auto"/>
          <w:sz w:val="24"/>
          <w:szCs w:val="24"/>
          <w:shd w:val="clear" w:color="auto" w:fill="FFFFFF"/>
          <w:lang w:val="en-US" w:eastAsia="zh-CN"/>
        </w:rPr>
        <w:t>04</w:t>
      </w:r>
      <w:r>
        <w:rPr>
          <w:rFonts w:hint="eastAsia" w:ascii="仿宋" w:hAnsi="仿宋" w:eastAsia="仿宋" w:cs="仿宋"/>
          <w:bCs/>
          <w:color w:val="auto"/>
          <w:sz w:val="24"/>
          <w:szCs w:val="24"/>
          <w:shd w:val="clear" w:color="auto" w:fill="FFFFFF"/>
        </w:rPr>
        <w:t>日 09时30分 （北京时间）前递交投标文件。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fill="FFFFFF"/>
        </w:rPr>
        <w:t>一、项目基本情况</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lang w:eastAsia="zh-CN"/>
        </w:rPr>
      </w:pPr>
      <w:r>
        <w:rPr>
          <w:rFonts w:hint="eastAsia" w:ascii="仿宋" w:hAnsi="仿宋" w:eastAsia="仿宋" w:cs="仿宋"/>
          <w:bCs/>
          <w:color w:val="auto"/>
          <w:sz w:val="24"/>
          <w:szCs w:val="24"/>
          <w:shd w:val="clear" w:color="auto" w:fill="FFFFFF"/>
        </w:rPr>
        <w:t>1、项目编号：</w:t>
      </w:r>
      <w:r>
        <w:rPr>
          <w:rFonts w:hint="eastAsia" w:ascii="仿宋" w:hAnsi="仿宋" w:eastAsia="仿宋" w:cs="仿宋"/>
          <w:bCs/>
          <w:color w:val="auto"/>
          <w:sz w:val="24"/>
          <w:szCs w:val="24"/>
          <w:shd w:val="clear" w:color="auto" w:fill="FFFFFF"/>
          <w:lang w:eastAsia="zh-CN"/>
        </w:rPr>
        <w:t>XXGC-2022-000071-4</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2、项目名称：</w:t>
      </w:r>
      <w:r>
        <w:rPr>
          <w:rFonts w:hint="eastAsia" w:ascii="仿宋" w:hAnsi="仿宋" w:eastAsia="仿宋" w:cs="仿宋"/>
          <w:bCs/>
          <w:color w:val="auto"/>
          <w:sz w:val="24"/>
          <w:szCs w:val="24"/>
          <w:shd w:val="clear" w:color="auto" w:fill="FFFFFF"/>
          <w:lang w:eastAsia="zh-CN"/>
        </w:rPr>
        <w:t>三桥街道阿房一路集体土地拆除项目</w:t>
      </w:r>
      <w:r>
        <w:rPr>
          <w:rFonts w:hint="eastAsia" w:ascii="仿宋" w:hAnsi="仿宋" w:eastAsia="仿宋" w:cs="仿宋"/>
          <w:bCs/>
          <w:color w:val="auto"/>
          <w:sz w:val="24"/>
          <w:szCs w:val="24"/>
          <w:shd w:val="clear" w:color="auto" w:fill="FFFFFF"/>
        </w:rPr>
        <w:t xml:space="preserve"> </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3、预算金额：</w:t>
      </w:r>
      <w:r>
        <w:rPr>
          <w:rFonts w:hint="eastAsia" w:ascii="仿宋" w:hAnsi="仿宋" w:eastAsia="仿宋" w:cs="仿宋"/>
          <w:bCs/>
          <w:color w:val="auto"/>
          <w:sz w:val="24"/>
          <w:szCs w:val="24"/>
          <w:shd w:val="clear" w:color="auto" w:fill="FFFFFF"/>
          <w:lang w:val="en-US" w:eastAsia="zh-CN"/>
        </w:rPr>
        <w:t>15273374.70</w:t>
      </w:r>
      <w:r>
        <w:rPr>
          <w:rFonts w:hint="eastAsia" w:ascii="仿宋" w:hAnsi="仿宋" w:eastAsia="仿宋" w:cs="仿宋"/>
          <w:bCs/>
          <w:color w:val="auto"/>
          <w:sz w:val="24"/>
          <w:szCs w:val="24"/>
          <w:shd w:val="clear" w:color="auto" w:fill="FFFFFF"/>
        </w:rPr>
        <w:t>元</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4、最高限价：</w:t>
      </w:r>
      <w:r>
        <w:rPr>
          <w:rFonts w:hint="eastAsia" w:ascii="仿宋" w:hAnsi="仿宋" w:eastAsia="仿宋" w:cs="仿宋"/>
          <w:bCs/>
          <w:color w:val="auto"/>
          <w:sz w:val="24"/>
          <w:szCs w:val="24"/>
          <w:shd w:val="clear" w:color="auto" w:fill="FFFFFF"/>
          <w:lang w:val="en-US" w:eastAsia="zh-CN"/>
        </w:rPr>
        <w:t>15273374.70</w:t>
      </w:r>
      <w:r>
        <w:rPr>
          <w:rFonts w:hint="eastAsia" w:ascii="仿宋" w:hAnsi="仿宋" w:eastAsia="仿宋" w:cs="仿宋"/>
          <w:bCs/>
          <w:color w:val="auto"/>
          <w:sz w:val="24"/>
          <w:szCs w:val="24"/>
          <w:shd w:val="clear" w:color="auto" w:fill="FFFFFF"/>
        </w:rPr>
        <w:t>元</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5、采购需求：合同包1(三桥街道阿房一路集体土地拆除项目):</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合同包预算金额：15,273,374.70元</w:t>
      </w:r>
    </w:p>
    <w:p>
      <w:pPr>
        <w:pStyle w:val="31"/>
        <w:keepNext w:val="0"/>
        <w:keepLines w:val="0"/>
        <w:pageBreakBefore w:val="0"/>
        <w:widowControl/>
        <w:tabs>
          <w:tab w:val="left" w:pos="480"/>
        </w:tabs>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合同包最高限价：15,273,374.70元</w:t>
      </w:r>
    </w:p>
    <w:tbl>
      <w:tblPr>
        <w:tblStyle w:val="34"/>
        <w:tblpPr w:leftFromText="180" w:rightFromText="180" w:vertAnchor="text" w:horzAnchor="page" w:tblpX="1714" w:tblpY="384"/>
        <w:tblOverlap w:val="never"/>
        <w:tblW w:w="519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6"/>
        <w:gridCol w:w="1190"/>
        <w:gridCol w:w="1338"/>
        <w:gridCol w:w="1662"/>
        <w:gridCol w:w="1489"/>
        <w:gridCol w:w="1683"/>
        <w:gridCol w:w="10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blHeader/>
        </w:trPr>
        <w:tc>
          <w:tcPr>
            <w:tcW w:w="50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品目号</w:t>
            </w:r>
          </w:p>
        </w:tc>
        <w:tc>
          <w:tcPr>
            <w:tcW w:w="6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品目名称</w:t>
            </w:r>
          </w:p>
        </w:tc>
        <w:tc>
          <w:tcPr>
            <w:tcW w:w="71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采购标的</w:t>
            </w:r>
          </w:p>
        </w:tc>
        <w:tc>
          <w:tcPr>
            <w:tcW w:w="88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数量（单位）</w:t>
            </w:r>
          </w:p>
        </w:tc>
        <w:tc>
          <w:tcPr>
            <w:tcW w:w="79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技术规格、参数及要求</w:t>
            </w:r>
          </w:p>
        </w:tc>
        <w:tc>
          <w:tcPr>
            <w:tcW w:w="8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r>
              <w:rPr>
                <w:rFonts w:hint="eastAsia" w:ascii="仿宋" w:hAnsi="仿宋" w:eastAsia="仿宋" w:cs="仿宋"/>
                <w:b/>
                <w:bCs/>
                <w:i w:val="0"/>
                <w:iCs w:val="0"/>
                <w:caps w:val="0"/>
                <w:color w:val="auto"/>
                <w:spacing w:val="0"/>
                <w:kern w:val="0"/>
                <w:sz w:val="21"/>
                <w:szCs w:val="21"/>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(元)</w:t>
            </w:r>
          </w:p>
        </w:tc>
        <w:tc>
          <w:tcPr>
            <w:tcW w:w="57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50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1-1</w:t>
            </w:r>
          </w:p>
        </w:tc>
        <w:tc>
          <w:tcPr>
            <w:tcW w:w="6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拆除工程</w:t>
            </w:r>
          </w:p>
        </w:tc>
        <w:tc>
          <w:tcPr>
            <w:tcW w:w="71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拆除工程</w:t>
            </w:r>
          </w:p>
        </w:tc>
        <w:tc>
          <w:tcPr>
            <w:tcW w:w="88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kern w:val="0"/>
                <w:sz w:val="21"/>
                <w:szCs w:val="21"/>
                <w:lang w:val="en-US" w:eastAsia="zh-CN" w:bidi="ar"/>
              </w:rPr>
            </w:pPr>
            <w:r>
              <w:rPr>
                <w:rFonts w:hint="eastAsia" w:ascii="仿宋" w:hAnsi="仿宋" w:eastAsia="仿宋" w:cs="仿宋"/>
                <w:i w:val="0"/>
                <w:iCs w:val="0"/>
                <w:caps w:val="0"/>
                <w:color w:val="auto"/>
                <w:spacing w:val="0"/>
                <w:kern w:val="0"/>
                <w:sz w:val="21"/>
                <w:szCs w:val="21"/>
                <w:lang w:val="en-US" w:eastAsia="zh-CN" w:bidi="ar"/>
              </w:rPr>
              <w:t>400,000</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(平方米)</w:t>
            </w:r>
          </w:p>
        </w:tc>
        <w:tc>
          <w:tcPr>
            <w:tcW w:w="79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详见采购文件</w:t>
            </w:r>
          </w:p>
        </w:tc>
        <w:tc>
          <w:tcPr>
            <w:tcW w:w="8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500,000.00</w:t>
            </w:r>
          </w:p>
        </w:tc>
        <w:tc>
          <w:tcPr>
            <w:tcW w:w="57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50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1-2</w:t>
            </w:r>
          </w:p>
        </w:tc>
        <w:tc>
          <w:tcPr>
            <w:tcW w:w="6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拆除工程</w:t>
            </w:r>
          </w:p>
        </w:tc>
        <w:tc>
          <w:tcPr>
            <w:tcW w:w="71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地面破碎</w:t>
            </w:r>
          </w:p>
        </w:tc>
        <w:tc>
          <w:tcPr>
            <w:tcW w:w="88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kern w:val="0"/>
                <w:sz w:val="21"/>
                <w:szCs w:val="21"/>
                <w:lang w:val="en-US" w:eastAsia="zh-CN" w:bidi="ar"/>
              </w:rPr>
            </w:pPr>
            <w:r>
              <w:rPr>
                <w:rFonts w:hint="eastAsia" w:ascii="仿宋" w:hAnsi="仿宋" w:eastAsia="仿宋" w:cs="仿宋"/>
                <w:i w:val="0"/>
                <w:iCs w:val="0"/>
                <w:caps w:val="0"/>
                <w:color w:val="auto"/>
                <w:spacing w:val="0"/>
                <w:kern w:val="0"/>
                <w:sz w:val="21"/>
                <w:szCs w:val="21"/>
                <w:lang w:val="en-US" w:eastAsia="zh-CN" w:bidi="ar"/>
              </w:rPr>
              <w:t>226,667.8</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(平方米)</w:t>
            </w:r>
          </w:p>
        </w:tc>
        <w:tc>
          <w:tcPr>
            <w:tcW w:w="79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详见采购文件</w:t>
            </w:r>
          </w:p>
        </w:tc>
        <w:tc>
          <w:tcPr>
            <w:tcW w:w="8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3,853,352.60</w:t>
            </w:r>
          </w:p>
        </w:tc>
        <w:tc>
          <w:tcPr>
            <w:tcW w:w="57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50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1-3</w:t>
            </w:r>
          </w:p>
        </w:tc>
        <w:tc>
          <w:tcPr>
            <w:tcW w:w="6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拆除工程</w:t>
            </w:r>
          </w:p>
        </w:tc>
        <w:tc>
          <w:tcPr>
            <w:tcW w:w="71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垃圾清运</w:t>
            </w:r>
          </w:p>
        </w:tc>
        <w:tc>
          <w:tcPr>
            <w:tcW w:w="88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kern w:val="0"/>
                <w:sz w:val="21"/>
                <w:szCs w:val="21"/>
                <w:lang w:val="en-US" w:eastAsia="zh-CN" w:bidi="ar"/>
              </w:rPr>
            </w:pPr>
            <w:r>
              <w:rPr>
                <w:rFonts w:hint="eastAsia" w:ascii="仿宋" w:hAnsi="仿宋" w:eastAsia="仿宋" w:cs="仿宋"/>
                <w:i w:val="0"/>
                <w:iCs w:val="0"/>
                <w:caps w:val="0"/>
                <w:color w:val="auto"/>
                <w:spacing w:val="0"/>
                <w:kern w:val="0"/>
                <w:sz w:val="21"/>
                <w:szCs w:val="21"/>
                <w:lang w:val="en-US" w:eastAsia="zh-CN" w:bidi="ar"/>
              </w:rPr>
              <w:t>168,000.34</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(立方米)</w:t>
            </w:r>
          </w:p>
        </w:tc>
        <w:tc>
          <w:tcPr>
            <w:tcW w:w="79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详见采购文件</w:t>
            </w:r>
          </w:p>
        </w:tc>
        <w:tc>
          <w:tcPr>
            <w:tcW w:w="8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10,920,022.10</w:t>
            </w:r>
          </w:p>
        </w:tc>
        <w:tc>
          <w:tcPr>
            <w:tcW w:w="57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65.00</w:t>
            </w:r>
          </w:p>
        </w:tc>
      </w:tr>
    </w:tbl>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合同履行期限：自项目启动直至项目结束</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二、 申请人的资格要求：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合同包1(三桥街道阿房一路集体土地拆除项目)落实政府采购政策需满足的资格要求如下:</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本项目专门面向中小企业采购，供应商应为中型小微企业或监狱企业或残疾人福利性单位。</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合同包1(三桥街道阿房一路集体土地拆除项目)特定资格要求如下:</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供应商公章）；（2）具备建设行政主管部门颁发的建筑工程施工总承包三级及以上资质证书，同时具有合格有效的安全生产许可证；（3）拟派项目经理须具有建筑工程专业二级及以上注册建造师证书和有效的安全生产考核证书（B证）且无在建工程、无不良记录（提供无在建工程、无不良记录承诺书）；（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三、</w:t>
      </w:r>
      <w:r>
        <w:rPr>
          <w:rFonts w:hint="eastAsia" w:ascii="仿宋" w:hAnsi="仿宋" w:eastAsia="仿宋" w:cs="仿宋"/>
          <w:b/>
          <w:i w:val="0"/>
          <w:caps w:val="0"/>
          <w:color w:val="auto"/>
          <w:spacing w:val="0"/>
          <w:sz w:val="24"/>
          <w:szCs w:val="24"/>
          <w:shd w:val="clear" w:fill="FFFFFF"/>
          <w:lang w:eastAsia="zh-CN"/>
        </w:rPr>
        <w:t>招标</w:t>
      </w:r>
      <w:r>
        <w:rPr>
          <w:rFonts w:hint="eastAsia" w:ascii="仿宋" w:hAnsi="仿宋" w:eastAsia="仿宋" w:cs="仿宋"/>
          <w:b/>
          <w:i w:val="0"/>
          <w:caps w:val="0"/>
          <w:color w:val="auto"/>
          <w:spacing w:val="0"/>
          <w:sz w:val="24"/>
          <w:szCs w:val="24"/>
          <w:shd w:val="clear" w:fill="FFFFFF"/>
        </w:rPr>
        <w:t>文件的获取方式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时间： 2022年06月</w:t>
      </w:r>
      <w:r>
        <w:rPr>
          <w:rFonts w:hint="eastAsia" w:ascii="仿宋" w:hAnsi="仿宋" w:eastAsia="仿宋" w:cs="仿宋"/>
          <w:i w:val="0"/>
          <w:iCs w:val="0"/>
          <w:caps w:val="0"/>
          <w:color w:val="auto"/>
          <w:spacing w:val="0"/>
          <w:sz w:val="24"/>
          <w:szCs w:val="24"/>
          <w:shd w:val="clear" w:fill="FFFFFF"/>
          <w:lang w:val="en-US" w:eastAsia="zh-CN"/>
        </w:rPr>
        <w:t>13</w:t>
      </w:r>
      <w:r>
        <w:rPr>
          <w:rFonts w:hint="eastAsia" w:ascii="仿宋" w:hAnsi="仿宋" w:eastAsia="仿宋" w:cs="仿宋"/>
          <w:i w:val="0"/>
          <w:iCs w:val="0"/>
          <w:caps w:val="0"/>
          <w:color w:val="auto"/>
          <w:spacing w:val="0"/>
          <w:sz w:val="24"/>
          <w:szCs w:val="24"/>
          <w:shd w:val="clear" w:fill="FFFFFF"/>
        </w:rPr>
        <w:t>日 至 2022年06月1</w:t>
      </w:r>
      <w:r>
        <w:rPr>
          <w:rFonts w:hint="eastAsia" w:ascii="仿宋" w:hAnsi="仿宋" w:eastAsia="仿宋" w:cs="仿宋"/>
          <w:i w:val="0"/>
          <w:iCs w:val="0"/>
          <w:caps w:val="0"/>
          <w:color w:val="auto"/>
          <w:spacing w:val="0"/>
          <w:sz w:val="24"/>
          <w:szCs w:val="24"/>
          <w:shd w:val="clear" w:fill="FFFFFF"/>
          <w:lang w:val="en-US" w:eastAsia="zh-CN"/>
        </w:rPr>
        <w:t>7</w:t>
      </w:r>
      <w:r>
        <w:rPr>
          <w:rFonts w:hint="eastAsia" w:ascii="仿宋" w:hAnsi="仿宋" w:eastAsia="仿宋" w:cs="仿宋"/>
          <w:i w:val="0"/>
          <w:iCs w:val="0"/>
          <w:caps w:val="0"/>
          <w:color w:val="auto"/>
          <w:spacing w:val="0"/>
          <w:sz w:val="24"/>
          <w:szCs w:val="24"/>
          <w:shd w:val="clear" w:fill="FFFFFF"/>
        </w:rPr>
        <w:t>日 ，每天上午 09:00:00 至 12:00:00 ，下午 12:00:00 至 17:00:00 （北京时间,法定节假日除外）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Cs/>
          <w:color w:val="auto"/>
          <w:sz w:val="24"/>
          <w:szCs w:val="24"/>
          <w:shd w:val="clear" w:color="auto" w:fill="FFFFFF"/>
        </w:rPr>
      </w:pPr>
      <w:r>
        <w:rPr>
          <w:rFonts w:hint="eastAsia" w:ascii="仿宋" w:hAnsi="仿宋" w:eastAsia="仿宋" w:cs="仿宋"/>
          <w:i w:val="0"/>
          <w:iCs w:val="0"/>
          <w:caps w:val="0"/>
          <w:color w:val="auto"/>
          <w:spacing w:val="0"/>
          <w:sz w:val="24"/>
          <w:szCs w:val="24"/>
          <w:shd w:val="clear" w:fill="FFFFFF"/>
        </w:rPr>
        <w:t>地点：</w:t>
      </w:r>
      <w:r>
        <w:rPr>
          <w:rFonts w:hint="eastAsia" w:ascii="仿宋" w:hAnsi="仿宋" w:eastAsia="仿宋" w:cs="仿宋"/>
          <w:bCs/>
          <w:color w:val="auto"/>
          <w:sz w:val="24"/>
          <w:szCs w:val="24"/>
          <w:shd w:val="clear" w:color="auto" w:fill="FFFFFF"/>
        </w:rPr>
        <w:t>全国公共资源交易平台（陕西省西咸新区）直接下载</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方式：在线获取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售价： 免费获取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四、提交投标文件截止时间、开标时间和地点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2022年0</w:t>
      </w:r>
      <w:r>
        <w:rPr>
          <w:rFonts w:hint="eastAsia" w:ascii="仿宋" w:hAnsi="仿宋" w:eastAsia="仿宋" w:cs="仿宋"/>
          <w:i w:val="0"/>
          <w:iCs w:val="0"/>
          <w:caps w:val="0"/>
          <w:color w:val="auto"/>
          <w:spacing w:val="0"/>
          <w:sz w:val="24"/>
          <w:szCs w:val="24"/>
          <w:shd w:val="clear" w:fill="FFFFFF"/>
          <w:lang w:val="en-US" w:eastAsia="zh-CN"/>
        </w:rPr>
        <w:t>7</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04</w:t>
      </w:r>
      <w:r>
        <w:rPr>
          <w:rFonts w:hint="eastAsia" w:ascii="仿宋" w:hAnsi="仿宋" w:eastAsia="仿宋" w:cs="仿宋"/>
          <w:i w:val="0"/>
          <w:iCs w:val="0"/>
          <w:caps w:val="0"/>
          <w:color w:val="auto"/>
          <w:spacing w:val="0"/>
          <w:sz w:val="24"/>
          <w:szCs w:val="24"/>
          <w:shd w:val="clear" w:fill="FFFFFF"/>
        </w:rPr>
        <w:t>日 09时30分00秒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rPr>
        <w:t>地点：西咸新区公共资源交易中心（陕西省西咸新区沣泾大道创新大厦裙楼）开标室</w:t>
      </w:r>
      <w:r>
        <w:rPr>
          <w:rFonts w:hint="eastAsia" w:ascii="仿宋" w:hAnsi="仿宋" w:eastAsia="仿宋" w:cs="仿宋"/>
          <w:i w:val="0"/>
          <w:iCs w:val="0"/>
          <w:caps w:val="0"/>
          <w:color w:val="auto"/>
          <w:spacing w:val="0"/>
          <w:sz w:val="24"/>
          <w:szCs w:val="24"/>
          <w:shd w:val="clear" w:fill="FFFFFF"/>
          <w:lang w:val="en-US" w:eastAsia="zh-CN"/>
        </w:rPr>
        <w:t>9</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五、公告期限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rPr>
        <w:t>自本公告发布之日起</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rPr>
        <w:t>个工作日。</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其他补充事宜</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lang w:eastAsia="zh-CN"/>
        </w:rPr>
      </w:pPr>
      <w:r>
        <w:rPr>
          <w:rFonts w:hint="eastAsia" w:ascii="仿宋" w:hAnsi="仿宋" w:eastAsia="仿宋" w:cs="仿宋"/>
          <w:i w:val="0"/>
          <w:caps w:val="0"/>
          <w:color w:val="auto"/>
          <w:spacing w:val="0"/>
          <w:sz w:val="24"/>
          <w:szCs w:val="24"/>
          <w:shd w:val="clear" w:fill="FFFFFF"/>
        </w:rPr>
        <w:t>本项目开标地点：西咸新区公共资源交易中心（陕西省西咸新区沣泾大道创新大厦裙楼）开标室</w:t>
      </w:r>
      <w:r>
        <w:rPr>
          <w:rFonts w:hint="eastAsia" w:ascii="仿宋" w:hAnsi="仿宋" w:eastAsia="仿宋" w:cs="仿宋"/>
          <w:i w:val="0"/>
          <w:caps w:val="0"/>
          <w:color w:val="auto"/>
          <w:spacing w:val="0"/>
          <w:sz w:val="24"/>
          <w:szCs w:val="24"/>
          <w:shd w:val="clear" w:fill="FFFFFF"/>
          <w:lang w:val="en-US" w:eastAsia="zh-CN"/>
        </w:rPr>
        <w:t>9</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rPr>
        <w:t>1、最高限价：拆除工程：1.25元/平方米；地面破碎工程：17元/平方米；垃圾清运工程：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rPr>
        <w:t xml:space="preserve">、融资平台：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4</w:t>
      </w:r>
      <w:r>
        <w:rPr>
          <w:rFonts w:hint="eastAsia" w:ascii="仿宋" w:hAnsi="仿宋" w:eastAsia="仿宋" w:cs="仿宋"/>
          <w:i w:val="0"/>
          <w:caps w:val="0"/>
          <w:color w:val="auto"/>
          <w:spacing w:val="0"/>
          <w:sz w:val="24"/>
          <w:szCs w:val="24"/>
          <w:shd w:val="clear" w:fill="FFFFFF"/>
        </w:rPr>
        <w:t>、请供应商按照陕西省财政厅关于政府采购供应商注册登记有关事项的通知中的要求，通过陕西省政府采购网（http://www.ccgp-shaanxi.gov.cn/）注册登记加入陕西省政府采购供应商库。</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rPr>
        <w:t>、本项目采用“不见面开标”方式，各供应商可登录（http://ggzyjy.xixianxinqu.gov.cn/xwzx/002002/20210721/d7421699-e891-4f40-b441-dccc415e05b3.html）下载操作手册,并在投标截止时间前通过全国公共资源交易平台（陕西省·西咸新区）递交</w:t>
      </w:r>
      <w:r>
        <w:rPr>
          <w:rFonts w:hint="eastAsia" w:ascii="仿宋" w:hAnsi="仿宋" w:eastAsia="仿宋" w:cs="仿宋"/>
          <w:i w:val="0"/>
          <w:caps w:val="0"/>
          <w:color w:val="auto"/>
          <w:spacing w:val="0"/>
          <w:sz w:val="24"/>
          <w:szCs w:val="24"/>
          <w:shd w:val="clear" w:fill="FFFFFF"/>
          <w:lang w:val="en-US" w:eastAsia="zh-CN"/>
        </w:rPr>
        <w:t>电子</w:t>
      </w:r>
      <w:r>
        <w:rPr>
          <w:rFonts w:hint="eastAsia" w:ascii="仿宋" w:hAnsi="仿宋" w:eastAsia="仿宋" w:cs="仿宋"/>
          <w:i w:val="0"/>
          <w:caps w:val="0"/>
          <w:color w:val="auto"/>
          <w:spacing w:val="0"/>
          <w:sz w:val="24"/>
          <w:szCs w:val="24"/>
          <w:shd w:val="clear" w:fill="FFFFFF"/>
        </w:rPr>
        <w:t>投标文件。因供应商自身设施故障或自身原因导致无法完成投标的，由供应商自行承担后果。</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注：（1）供应商须于招标文件发售时间内在陕西省西咸新区公共资源交易中心平台（http://www.sxggzyjy.cn/）报名。在主页选择“电子交易平台—陕西政府采购交易系统—陕西省公共资源交易平台-主体单位”进行登录，登录后选择“交易乙方”身份进入投标人界面进行确认。（2）请供应商按照陕西省财政厅关于政府采购供应商注册登记有关事项的通知中的要求，通过陕西省政府采购网（http://www.ccgp-shaanxi.gov.cn/）注册登记加入陕西省政府采购供应商库。（3）办理CA锁方式（仅供参考）：供应商初次使用交易平台，需前往陕西省数字证书认证中心股份有限公司办理 CA 锁，办理地址及咨询电话如下：西安市高新三路九号信息港大厦一层 101室，咨询电话:4006369888 ；西安市长安北路 14 号省体育公寓B 座一楼，咨询电话：029-88661241 ；西安市凤城九路海博广场A座 1707室，咨询电话:029-89608985。</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名称：西安市未央区三桥街道办事处</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地址：西安市未央区三桥新街139号</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联系方式：029-84515457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名称：华夏国际项目管理有限公司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地址：西安市高新区科技五路8号数字大厦11楼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联系方式：029-88899970-819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项目联系人：康敏茹、张艳萍、李莹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b w:val="0"/>
          <w:bCs w:val="0"/>
          <w:i w:val="0"/>
          <w:iCs w:val="0"/>
          <w:caps w:val="0"/>
          <w:color w:val="auto"/>
          <w:spacing w:val="0"/>
          <w:sz w:val="24"/>
          <w:szCs w:val="24"/>
          <w:shd w:val="clear" w:fill="FFFFFF"/>
        </w:rPr>
        <w:t>电话：029-88899970-819</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rPr>
        <w:t>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i w:val="0"/>
          <w:caps w:val="0"/>
          <w:color w:val="auto"/>
          <w:spacing w:val="0"/>
          <w:sz w:val="24"/>
          <w:szCs w:val="24"/>
          <w:shd w:val="clear" w:fill="FFFFFF"/>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2022</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06</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10</w:t>
      </w:r>
      <w:r>
        <w:rPr>
          <w:rFonts w:hint="eastAsia" w:ascii="仿宋" w:hAnsi="仿宋" w:eastAsia="仿宋" w:cs="仿宋"/>
          <w:i w:val="0"/>
          <w:caps w:val="0"/>
          <w:color w:val="auto"/>
          <w:spacing w:val="0"/>
          <w:sz w:val="24"/>
          <w:szCs w:val="24"/>
          <w:shd w:val="clear" w:fill="FFFFFF"/>
        </w:rPr>
        <w:t>日</w:t>
      </w:r>
    </w:p>
    <w:p>
      <w:pPr>
        <w:pStyle w:val="3"/>
        <w:keepNext w:val="0"/>
        <w:pageBreakBefore/>
        <w:spacing w:line="350" w:lineRule="auto"/>
        <w:jc w:val="center"/>
        <w:rPr>
          <w:rFonts w:hint="eastAsia" w:ascii="仿宋" w:hAnsi="仿宋" w:eastAsia="仿宋" w:cs="仿宋"/>
          <w:color w:val="auto"/>
        </w:rPr>
      </w:pPr>
      <w:bookmarkStart w:id="12" w:name="_Toc13222"/>
      <w:bookmarkStart w:id="13" w:name="_Toc421778363"/>
      <w:bookmarkStart w:id="14" w:name="_Toc32575"/>
      <w:r>
        <w:rPr>
          <w:rFonts w:hint="eastAsia" w:ascii="仿宋" w:hAnsi="仿宋" w:eastAsia="仿宋" w:cs="仿宋"/>
          <w:color w:val="auto"/>
        </w:rPr>
        <w:t>第二章</w:t>
      </w:r>
      <w:r>
        <w:rPr>
          <w:rFonts w:hint="eastAsia" w:ascii="仿宋" w:hAnsi="仿宋" w:eastAsia="仿宋" w:cs="仿宋"/>
          <w:color w:val="auto"/>
          <w:lang w:val="en-US" w:eastAsia="zh-CN"/>
        </w:rPr>
        <w:t xml:space="preserve">  </w:t>
      </w:r>
      <w:r>
        <w:rPr>
          <w:rFonts w:hint="eastAsia" w:ascii="仿宋" w:hAnsi="仿宋" w:eastAsia="仿宋" w:cs="仿宋"/>
          <w:color w:val="auto"/>
        </w:rPr>
        <w:t>投标人须知</w:t>
      </w:r>
      <w:bookmarkEnd w:id="12"/>
      <w:bookmarkEnd w:id="13"/>
      <w:bookmarkEnd w:id="14"/>
    </w:p>
    <w:p>
      <w:pPr>
        <w:spacing w:line="360" w:lineRule="auto"/>
        <w:jc w:val="center"/>
        <w:outlineLvl w:val="1"/>
        <w:rPr>
          <w:rFonts w:hint="eastAsia" w:ascii="仿宋" w:hAnsi="仿宋" w:eastAsia="仿宋" w:cs="仿宋"/>
          <w:b/>
          <w:bCs/>
          <w:color w:val="auto"/>
          <w:sz w:val="28"/>
          <w:szCs w:val="28"/>
        </w:rPr>
      </w:pPr>
      <w:bookmarkStart w:id="15" w:name="_Toc17687"/>
      <w:bookmarkStart w:id="16" w:name="_Toc421778364"/>
      <w:bookmarkStart w:id="17" w:name="_Toc1429"/>
      <w:bookmarkStart w:id="18" w:name="_Toc420591642"/>
      <w:r>
        <w:rPr>
          <w:rFonts w:hint="eastAsia" w:ascii="仿宋" w:hAnsi="仿宋" w:eastAsia="仿宋" w:cs="仿宋"/>
          <w:b/>
          <w:bCs/>
          <w:color w:val="auto"/>
          <w:sz w:val="28"/>
          <w:szCs w:val="28"/>
        </w:rPr>
        <w:t>投标人须知前附表</w:t>
      </w:r>
      <w:bookmarkEnd w:id="15"/>
      <w:bookmarkEnd w:id="16"/>
      <w:bookmarkEnd w:id="17"/>
      <w:bookmarkEnd w:id="18"/>
    </w:p>
    <w:tbl>
      <w:tblPr>
        <w:tblStyle w:val="3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
        <w:gridCol w:w="249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招标人：西安市未央区三桥街道办事处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地址：西安市未央区三桥新街139号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杨老师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029-84515457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招标代理机构</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西安市高新区科技五路</w:t>
            </w:r>
            <w:r>
              <w:rPr>
                <w:rFonts w:hint="eastAsia" w:ascii="仿宋" w:hAnsi="仿宋" w:eastAsia="仿宋" w:cs="仿宋"/>
                <w:color w:val="auto"/>
                <w:sz w:val="24"/>
                <w:szCs w:val="24"/>
                <w:lang w:val="en-US" w:eastAsia="zh-CN"/>
              </w:rPr>
              <w:t>8号数字大厦11楼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康敏茹 李莹 张艳萍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电话：</w:t>
            </w:r>
            <w:r>
              <w:rPr>
                <w:rFonts w:hint="eastAsia" w:ascii="仿宋" w:hAnsi="仿宋" w:eastAsia="仿宋" w:cs="仿宋"/>
                <w:color w:val="auto"/>
                <w:sz w:val="24"/>
                <w:szCs w:val="24"/>
                <w:highlight w:val="none"/>
              </w:rPr>
              <w:t>88899970</w:t>
            </w:r>
            <w:r>
              <w:rPr>
                <w:rFonts w:hint="eastAsia" w:ascii="仿宋" w:hAnsi="仿宋" w:eastAsia="仿宋" w:cs="仿宋"/>
                <w:color w:val="auto"/>
                <w:sz w:val="24"/>
                <w:szCs w:val="24"/>
                <w:highlight w:val="none"/>
                <w:lang w:val="en-US" w:eastAsia="zh-CN"/>
              </w:rPr>
              <w:t>/72/73/75-819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三桥街道阿房一路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出资比例</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政府投资100%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中标金额</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15273374.70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的投标报价不得超过最高投标限价。本项目最高限价为：拆除工程：1.25元/平方米；地面破碎工程：17元/平方米；垃圾清运工程：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三桥街道阿房一路项目集体土地</w:t>
            </w:r>
            <w:r>
              <w:rPr>
                <w:rFonts w:hint="eastAsia" w:ascii="仿宋" w:hAnsi="仿宋" w:eastAsia="仿宋" w:cs="仿宋"/>
                <w:color w:val="auto"/>
                <w:sz w:val="24"/>
                <w:szCs w:val="24"/>
                <w:lang w:val="en-US" w:eastAsia="zh-CN"/>
              </w:rPr>
              <w:t>拆除工程约400000平方米、地面破碎工程约226667.8平方米及垃圾清运工程约168000.34立方米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p>
        </w:tc>
        <w:tc>
          <w:tcPr>
            <w:tcW w:w="6240"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自项目启动直至项目结束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质量标准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bookmarkStart w:id="19" w:name="OLE_LINK18"/>
            <w:bookmarkStart w:id="20" w:name="OLE_LINK34"/>
            <w:r>
              <w:rPr>
                <w:rFonts w:hint="eastAsia" w:ascii="仿宋" w:hAnsi="仿宋" w:eastAsia="仿宋" w:cs="仿宋"/>
                <w:color w:val="auto"/>
                <w:kern w:val="0"/>
                <w:sz w:val="24"/>
                <w:szCs w:val="24"/>
              </w:rPr>
              <w:t>符合国家现行有关施工质量验收规范“合格”要求。</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资质证明文件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1、基本资格条件：符合《中华人民共和国政府采购法》第二十二条的规定，并提供以下资料；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提供2020或2021年度经</w:t>
            </w:r>
            <w:r>
              <w:rPr>
                <w:rFonts w:hint="eastAsia" w:ascii="仿宋" w:hAnsi="仿宋" w:eastAsia="仿宋" w:cs="仿宋"/>
                <w:b w:val="0"/>
                <w:bCs w:val="0"/>
                <w:color w:val="auto"/>
                <w:sz w:val="24"/>
                <w:szCs w:val="24"/>
                <w:highlight w:val="none"/>
                <w:lang w:val="en-US" w:eastAsia="zh-CN"/>
              </w:rPr>
              <w:t>审计</w:t>
            </w:r>
            <w:r>
              <w:rPr>
                <w:rFonts w:hint="eastAsia" w:ascii="仿宋" w:hAnsi="仿宋" w:eastAsia="仿宋" w:cs="仿宋"/>
                <w:color w:val="auto"/>
                <w:kern w:val="0"/>
                <w:sz w:val="24"/>
                <w:szCs w:val="24"/>
                <w:lang w:val="en-US" w:eastAsia="zh-CN"/>
              </w:rPr>
              <w:t>的财务报告（成立时间至提交投标文件截止时间不足一年的可提供成立后任意时段的资产负债表），或其基本存款账户开户银行出具的资信证明及基本存款账户开户许可证（基本账户信息表）；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提供具有履行合同所必需的设备和专业技术能力的承诺；（格式自拟）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提供投标截止日前一年内已缴纳的至少一个月的纳税证明或完税证明，依法免税的单位应提供相关证明材料；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参加政府采购活动前3年内，在经营活动中没有重大违法记录的书面声明。</w:t>
            </w:r>
            <w:r>
              <w:rPr>
                <w:rFonts w:hint="eastAsia" w:ascii="仿宋" w:hAnsi="仿宋" w:eastAsia="仿宋" w:cs="仿宋"/>
                <w:b w:val="0"/>
                <w:bCs w:val="0"/>
                <w:color w:val="auto"/>
                <w:sz w:val="24"/>
                <w:szCs w:val="24"/>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eastAsia="zh-CN"/>
              </w:rPr>
              <w:t>（</w:t>
            </w:r>
            <w:r>
              <w:rPr>
                <w:rFonts w:hint="eastAsia" w:ascii="仿宋" w:hAnsi="仿宋" w:eastAsia="仿宋" w:cs="仿宋"/>
                <w:i w:val="0"/>
                <w:caps w:val="0"/>
                <w:color w:val="auto"/>
                <w:spacing w:val="0"/>
                <w:sz w:val="24"/>
                <w:szCs w:val="24"/>
                <w:highlight w:val="none"/>
                <w:shd w:val="clear" w:color="auto" w:fill="FFFFFF"/>
                <w:lang w:val="en-US" w:eastAsia="zh-CN"/>
              </w:rPr>
              <w:t>1</w:t>
            </w:r>
            <w:r>
              <w:rPr>
                <w:rFonts w:hint="eastAsia" w:ascii="仿宋" w:hAnsi="仿宋" w:eastAsia="仿宋" w:cs="仿宋"/>
                <w:i w:val="0"/>
                <w:caps w:val="0"/>
                <w:color w:val="auto"/>
                <w:spacing w:val="0"/>
                <w:sz w:val="24"/>
                <w:szCs w:val="24"/>
                <w:highlight w:val="none"/>
                <w:shd w:val="clear" w:color="auto" w:fill="FFFFFF"/>
                <w:lang w:eastAsia="zh-CN"/>
              </w:rPr>
              <w:t>）法定代表人身份证明/法定代表人授权委托书：法定代表人直接参加投标的，须提供法定代表人身份证明及其身份证复印件加盖供应商公章； 法定代表人授权他人参加投标的，须提供法定代表人授权委托书（附法定代表人、被授权人身份证复印件加盖供应商公章）</w:t>
            </w:r>
            <w:r>
              <w:rPr>
                <w:rFonts w:hint="eastAsia" w:ascii="仿宋" w:hAnsi="仿宋" w:eastAsia="仿宋" w:cs="仿宋"/>
                <w:i w:val="0"/>
                <w:caps w:val="0"/>
                <w:color w:val="auto"/>
                <w:spacing w:val="0"/>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具备建设行政主管部门颁发的建筑工程施工总承包三级及以上资质证书，同时具有合格有效的安全生产许可证；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caps w:val="0"/>
                <w:color w:val="auto"/>
                <w:spacing w:val="0"/>
                <w:sz w:val="24"/>
                <w:szCs w:val="24"/>
                <w:highlight w:val="none"/>
                <w:shd w:val="clear" w:color="auto" w:fill="FFFFFF"/>
              </w:rPr>
            </w:pPr>
            <w:r>
              <w:rPr>
                <w:rFonts w:hint="eastAsia" w:ascii="仿宋" w:hAnsi="仿宋" w:eastAsia="仿宋" w:cs="仿宋"/>
                <w:i w:val="0"/>
                <w:caps w:val="0"/>
                <w:color w:val="auto"/>
                <w:spacing w:val="0"/>
                <w:sz w:val="24"/>
                <w:szCs w:val="24"/>
                <w:highlight w:val="none"/>
                <w:shd w:val="clear" w:color="auto" w:fill="FFFFFF"/>
                <w:lang w:val="en-US" w:eastAsia="zh-CN"/>
              </w:rPr>
              <w:t>（3）</w:t>
            </w:r>
            <w:r>
              <w:rPr>
                <w:rFonts w:hint="eastAsia" w:ascii="仿宋" w:hAnsi="仿宋" w:eastAsia="仿宋" w:cs="仿宋"/>
                <w:i w:val="0"/>
                <w:caps w:val="0"/>
                <w:color w:val="auto"/>
                <w:spacing w:val="0"/>
                <w:sz w:val="24"/>
                <w:szCs w:val="24"/>
                <w:highlight w:val="none"/>
                <w:shd w:val="clear" w:color="auto" w:fill="FFFFFF"/>
                <w:lang w:eastAsia="zh-CN"/>
              </w:rPr>
              <w:t>拟派项目经理须具有建筑工程专业二级及以上注册建造师证书和有效的安全生产考核证书（B证）且无在建工程、无不良记录（提供无在建工程、无不良记录承</w:t>
            </w:r>
            <w:r>
              <w:rPr>
                <w:rFonts w:hint="eastAsia" w:ascii="仿宋" w:hAnsi="仿宋" w:eastAsia="仿宋" w:cs="仿宋"/>
                <w:i w:val="0"/>
                <w:caps w:val="0"/>
                <w:color w:val="auto"/>
                <w:spacing w:val="0"/>
                <w:sz w:val="24"/>
                <w:szCs w:val="24"/>
                <w:highlight w:val="none"/>
                <w:shd w:val="clear" w:color="auto" w:fill="FFFFFF"/>
              </w:rPr>
              <w:t>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caps w:val="0"/>
                <w:color w:val="auto"/>
                <w:spacing w:val="0"/>
                <w:sz w:val="24"/>
                <w:szCs w:val="24"/>
                <w:highlight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val="en-US" w:eastAsia="zh-CN"/>
              </w:rPr>
              <w:t>（4）</w:t>
            </w:r>
            <w:r>
              <w:rPr>
                <w:rFonts w:hint="eastAsia" w:ascii="仿宋" w:hAnsi="仿宋" w:eastAsia="仿宋" w:cs="仿宋"/>
                <w:i w:val="0"/>
                <w:caps w:val="0"/>
                <w:color w:val="auto"/>
                <w:spacing w:val="0"/>
                <w:sz w:val="24"/>
                <w:szCs w:val="24"/>
                <w:highlight w:val="none"/>
                <w:shd w:val="clear" w:color="auto" w:fill="FFFFFF"/>
              </w:rPr>
              <w:t>供应商不得为“信用中国”网站（www.creditchina.gov.cn）中列入失信被执行人和重大税收违法案件当事人名单</w:t>
            </w:r>
            <w:r>
              <w:rPr>
                <w:rFonts w:hint="eastAsia" w:ascii="仿宋" w:hAnsi="仿宋" w:eastAsia="仿宋" w:cs="仿宋"/>
                <w:i w:val="0"/>
                <w:caps w:val="0"/>
                <w:color w:val="auto"/>
                <w:spacing w:val="0"/>
                <w:sz w:val="24"/>
                <w:szCs w:val="24"/>
                <w:highlight w:val="none"/>
                <w:shd w:val="clear" w:color="auto" w:fill="FFFFFF"/>
                <w:lang w:eastAsia="zh-CN"/>
              </w:rPr>
              <w:t>（税收违法黑名单）</w:t>
            </w:r>
            <w:r>
              <w:rPr>
                <w:rFonts w:hint="eastAsia" w:ascii="仿宋" w:hAnsi="仿宋" w:eastAsia="仿宋" w:cs="仿宋"/>
                <w:i w:val="0"/>
                <w:caps w:val="0"/>
                <w:color w:val="auto"/>
                <w:spacing w:val="0"/>
                <w:sz w:val="24"/>
                <w:szCs w:val="24"/>
                <w:highlight w:val="none"/>
                <w:shd w:val="clear" w:color="auto" w:fill="FFFFFF"/>
              </w:rPr>
              <w:t>的供应商，不得为中国政府采购网（www.ccgp.gov.cn）政府采购严重违法失信行为记录名单中被财政部门禁止参加政府采购活动的供应商</w:t>
            </w:r>
            <w:r>
              <w:rPr>
                <w:rFonts w:hint="eastAsia" w:ascii="仿宋" w:hAnsi="仿宋" w:eastAsia="仿宋" w:cs="仿宋"/>
                <w:i w:val="0"/>
                <w:caps w:val="0"/>
                <w:color w:val="auto"/>
                <w:spacing w:val="0"/>
                <w:sz w:val="24"/>
                <w:szCs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highlight w:val="none"/>
              </w:rPr>
              <w:t>以上为必备</w:t>
            </w:r>
            <w:r>
              <w:rPr>
                <w:rFonts w:hint="eastAsia" w:ascii="仿宋" w:hAnsi="仿宋" w:eastAsia="仿宋" w:cs="仿宋"/>
                <w:b/>
                <w:color w:val="auto"/>
                <w:sz w:val="24"/>
                <w:szCs w:val="24"/>
                <w:highlight w:val="none"/>
                <w:lang w:eastAsia="zh-CN"/>
              </w:rPr>
              <w:t>资格要求</w:t>
            </w:r>
            <w:r>
              <w:rPr>
                <w:rFonts w:hint="eastAsia" w:ascii="仿宋" w:hAnsi="仿宋" w:eastAsia="仿宋" w:cs="仿宋"/>
                <w:b/>
                <w:color w:val="auto"/>
                <w:sz w:val="24"/>
                <w:szCs w:val="24"/>
                <w:highlight w:val="none"/>
              </w:rPr>
              <w:t>，缺一项或某项达不到要求，按无效</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24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sym w:font="Wingdings" w:char="00FE"/>
            </w:r>
            <w:r>
              <w:rPr>
                <w:rFonts w:hint="eastAsia" w:ascii="仿宋" w:hAnsi="仿宋" w:eastAsia="仿宋" w:cs="仿宋"/>
                <w:color w:val="auto"/>
                <w:kern w:val="2"/>
                <w:sz w:val="24"/>
                <w:szCs w:val="24"/>
                <w:lang w:val="en-US" w:eastAsia="zh-CN" w:bidi="ar-SA"/>
              </w:rPr>
              <w:t>不踏勘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投标答疑会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不召开；若有疑问，均应在投标截止时间10日内以书面形式向招标代理机构提出。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评标办法</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澄清、修改、答疑文件、</w:t>
            </w:r>
            <w:r>
              <w:rPr>
                <w:rFonts w:hint="eastAsia" w:ascii="仿宋" w:hAnsi="仿宋" w:eastAsia="仿宋" w:cs="仿宋"/>
                <w:color w:val="auto"/>
                <w:sz w:val="24"/>
                <w:szCs w:val="24"/>
                <w:lang w:val="en-US" w:eastAsia="zh-CN"/>
              </w:rPr>
              <w:t>项目概况</w:t>
            </w:r>
            <w:r>
              <w:rPr>
                <w:rFonts w:hint="eastAsia" w:ascii="仿宋" w:hAnsi="仿宋" w:eastAsia="仿宋" w:cs="仿宋"/>
                <w:color w:val="auto"/>
                <w:sz w:val="24"/>
                <w:szCs w:val="24"/>
              </w:rPr>
              <w:t>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投标人对招标文件的疑问</w:t>
            </w:r>
          </w:p>
        </w:tc>
        <w:tc>
          <w:tcPr>
            <w:tcW w:w="6240"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招标人澄清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招标文件的截止时间</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构成投标文件的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代理服务费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以中标金额为基数，参照</w:t>
            </w:r>
            <w:r>
              <w:rPr>
                <w:rFonts w:hint="eastAsia" w:ascii="仿宋" w:hAnsi="仿宋" w:eastAsia="仿宋" w:cs="仿宋"/>
                <w:color w:val="auto"/>
                <w:sz w:val="24"/>
                <w:szCs w:val="24"/>
                <w:highlight w:val="none"/>
              </w:rPr>
              <w:t>国家计委颁发的《招标代理服务收费管理暂行</w:t>
            </w:r>
            <w:bookmarkStart w:id="247" w:name="_GoBack"/>
            <w:bookmarkEnd w:id="247"/>
            <w:r>
              <w:rPr>
                <w:rFonts w:hint="eastAsia" w:ascii="仿宋" w:hAnsi="仿宋" w:eastAsia="仿宋" w:cs="仿宋"/>
                <w:color w:val="auto"/>
                <w:sz w:val="24"/>
                <w:szCs w:val="24"/>
                <w:highlight w:val="none"/>
              </w:rPr>
              <w:t>办法》（计价格[2002]1980号）</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国家发展改革委员会办公厅颁发的《关于招标代理服务收费有关问题的通知》（发改办价[2003]857号文件的规定收取。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rPr>
              <w:t>标单位在领取中标通知书前，须向采购代理机构一次性支付招标代理服务费。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90日历天（从投标</w:t>
            </w:r>
            <w:r>
              <w:rPr>
                <w:rFonts w:hint="eastAsia" w:ascii="仿宋" w:hAnsi="仿宋" w:eastAsia="仿宋" w:cs="仿宋"/>
                <w:color w:val="auto"/>
                <w:sz w:val="24"/>
                <w:szCs w:val="24"/>
                <w:lang w:eastAsia="zh-CN"/>
              </w:rPr>
              <w:t>文件递交</w:t>
            </w:r>
            <w:r>
              <w:rPr>
                <w:rFonts w:hint="eastAsia" w:ascii="仿宋" w:hAnsi="仿宋" w:eastAsia="仿宋" w:cs="仿宋"/>
                <w:color w:val="auto"/>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6240" w:type="dxa"/>
            <w:vAlign w:val="center"/>
          </w:tcPr>
          <w:p>
            <w:pPr>
              <w:pStyle w:val="17"/>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2"/>
                <w:lang w:val="en-US" w:eastAsia="zh-CN" w:bidi="ar-SA"/>
              </w:rPr>
              <w:t xml:space="preserve">☑ </w:t>
            </w:r>
            <w:r>
              <w:rPr>
                <w:rFonts w:hint="eastAsia" w:ascii="仿宋" w:hAnsi="仿宋" w:eastAsia="仿宋" w:cs="仿宋"/>
                <w:color w:val="auto"/>
                <w:kern w:val="0"/>
                <w:sz w:val="24"/>
                <w:szCs w:val="24"/>
                <w:lang w:val="en-US" w:eastAsia="zh-CN" w:bidi="ar-SA"/>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备选投标方案</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允许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投标文件制作</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制作：投标文件用CA锁登录编标工具制作，并及时加密上传到平台。供应商应在投标截止时间前登录招标文件载明的“不见面开标系统”网址，按系统提示完成开标流程。因供应商自身设施故障或自身原因导致无法完成投标的，由供应商自行承担后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（2）投标单位在全国公共资源交易平台（陕西省·西咸新区）上传加密投标文件（扩展名为“.SXSTF”）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递交投标文件截止时间、地点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lang w:val="en-US" w:eastAsia="zh-CN"/>
              </w:rPr>
              <w:t>见招标公告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240"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highlight w:val="none"/>
                <w:lang w:val="en-US" w:eastAsia="zh-CN"/>
              </w:rPr>
              <w:t>同投标文件递交截止时间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highlight w:val="none"/>
                <w:lang w:val="en-US" w:eastAsia="zh-CN"/>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由招标人代表和具备相关专业的专家等</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人以上单数</w:t>
            </w:r>
            <w:r>
              <w:rPr>
                <w:rFonts w:hint="eastAsia" w:ascii="仿宋" w:hAnsi="仿宋" w:eastAsia="仿宋" w:cs="仿宋"/>
                <w:color w:val="auto"/>
                <w:sz w:val="24"/>
                <w:szCs w:val="24"/>
              </w:rPr>
              <w:t>组成评标委员会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确定中标人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21" w:name="OLE_LINK6"/>
            <w:r>
              <w:rPr>
                <w:rFonts w:hint="eastAsia" w:ascii="仿宋" w:hAnsi="仿宋" w:eastAsia="仿宋" w:cs="仿宋"/>
                <w:color w:val="auto"/>
                <w:sz w:val="24"/>
                <w:szCs w:val="24"/>
                <w:highlight w:val="none"/>
              </w:rPr>
              <w:t>推荐3名中标候选人</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履约担保</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7.3.2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支付担保</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是否实行计算机辅助评标</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知识产权</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重新招标的其他情形</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同义词语</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解释权</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本招标文件由招标人和</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highlight w:val="none"/>
                <w:lang w:val="en-US" w:eastAsia="zh-CN"/>
              </w:rPr>
              <w:t>招标代理服务费账户</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户名：</w:t>
            </w:r>
            <w:r>
              <w:rPr>
                <w:rFonts w:hint="eastAsia" w:ascii="仿宋" w:hAnsi="仿宋" w:eastAsia="仿宋" w:cs="仿宋"/>
                <w:color w:val="auto"/>
                <w:sz w:val="24"/>
                <w:szCs w:val="24"/>
              </w:rPr>
              <w:t>华夏国际项目管理有限公司西咸新区分公司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开户行：光大银行西安南二环支行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账号：78620188000199459</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联行号：303791000169</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请中标供应商按照要求将招标代理服务费汇入以上指定账户，如因自身原因发生错误，产生的不利后果均由成交供应商自行承担。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11.8</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采购项目需要落实的政府采购政策</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w:t>
            </w:r>
          </w:p>
        </w:tc>
        <w:tc>
          <w:tcPr>
            <w:tcW w:w="6240"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（1）本项目专门面向中小企业采购。</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（2）本项目属性为工程。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（3）本项目采购标的所属行业为：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color w:val="auto"/>
                <w:sz w:val="24"/>
                <w:szCs w:val="24"/>
                <w:highlight w:val="none"/>
                <w:lang w:val="en-US" w:eastAsia="zh-CN"/>
              </w:rPr>
              <w:t>/</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000000"/>
                <w:sz w:val="24"/>
                <w:szCs w:val="24"/>
                <w:lang w:val="en-US" w:eastAsia="zh-CN"/>
              </w:rPr>
              <w:t>投标</w:t>
            </w:r>
            <w:r>
              <w:rPr>
                <w:rFonts w:hint="eastAsia" w:ascii="仿宋" w:hAnsi="仿宋" w:eastAsia="仿宋" w:cs="仿宋"/>
                <w:b/>
                <w:bCs/>
                <w:color w:val="000000"/>
                <w:sz w:val="24"/>
                <w:szCs w:val="24"/>
              </w:rPr>
              <w:t>文件签章要求</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投标</w:t>
            </w:r>
            <w:r>
              <w:rPr>
                <w:rFonts w:hint="eastAsia" w:ascii="仿宋" w:hAnsi="仿宋" w:eastAsia="仿宋" w:cs="仿宋"/>
                <w:b/>
                <w:bCs/>
                <w:sz w:val="24"/>
                <w:szCs w:val="24"/>
                <w:lang w:eastAsia="zh-CN"/>
              </w:rPr>
              <w:t>文件</w:t>
            </w:r>
            <w:r>
              <w:rPr>
                <w:rFonts w:hint="eastAsia" w:ascii="仿宋" w:hAnsi="仿宋" w:eastAsia="仿宋" w:cs="仿宋"/>
                <w:b/>
                <w:bCs/>
                <w:sz w:val="24"/>
                <w:szCs w:val="24"/>
              </w:rPr>
              <w:t>中涉及加盖单位公章的地方可使用电子印章、纸质加盖公章文件扫描件或其他电子</w:t>
            </w:r>
            <w:r>
              <w:rPr>
                <w:rFonts w:hint="eastAsia" w:ascii="仿宋" w:hAnsi="仿宋" w:eastAsia="仿宋" w:cs="仿宋"/>
                <w:b/>
                <w:bCs/>
                <w:sz w:val="24"/>
                <w:szCs w:val="24"/>
                <w:lang w:val="en-US" w:eastAsia="zh-CN"/>
              </w:rPr>
              <w:t>投标</w:t>
            </w:r>
            <w:r>
              <w:rPr>
                <w:rFonts w:hint="eastAsia" w:ascii="仿宋" w:hAnsi="仿宋" w:eastAsia="仿宋" w:cs="仿宋"/>
                <w:b/>
                <w:bCs/>
                <w:sz w:val="24"/>
                <w:szCs w:val="24"/>
              </w:rPr>
              <w:t>文件约定的方式。</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z w:val="24"/>
                <w:szCs w:val="24"/>
              </w:rPr>
              <w:t>其他要求：</w:t>
            </w:r>
            <w:r>
              <w:rPr>
                <w:rFonts w:hint="eastAsia" w:ascii="仿宋" w:hAnsi="仿宋" w:eastAsia="仿宋" w:cs="仿宋"/>
                <w:b/>
                <w:bCs/>
                <w:sz w:val="24"/>
                <w:szCs w:val="24"/>
                <w:u w:val="single"/>
              </w:rPr>
              <w:t xml:space="preserve">   /  </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color w:val="auto"/>
                <w:sz w:val="24"/>
                <w:szCs w:val="24"/>
                <w:highlight w:val="none"/>
                <w:lang w:val="en-US" w:eastAsia="zh-CN"/>
              </w:rPr>
              <w:t>/</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sz w:val="24"/>
                <w:szCs w:val="24"/>
              </w:rPr>
              <w:t>电子投标注意事项</w:t>
            </w:r>
          </w:p>
        </w:tc>
        <w:tc>
          <w:tcPr>
            <w:tcW w:w="6240" w:type="dxa"/>
            <w:vAlign w:val="center"/>
          </w:tcPr>
          <w:p>
            <w:pPr>
              <w:pStyle w:val="118"/>
              <w:keepNext w:val="0"/>
              <w:keepLines w:val="0"/>
              <w:pageBreakBefore w:val="0"/>
              <w:widowControl w:val="0"/>
              <w:kinsoku/>
              <w:wordWrap/>
              <w:overflowPunct/>
              <w:topLinePunct w:val="0"/>
              <w:autoSpaceDE/>
              <w:autoSpaceDN/>
              <w:bidi w:val="0"/>
              <w:adjustRightInd/>
              <w:snapToGrid/>
              <w:spacing w:before="0" w:line="288" w:lineRule="auto"/>
              <w:ind w:left="6"/>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应及时下载电子招标文件和答疑纪要等相关文件，在投标截止前必须上传电子</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；开标时需使用生成（加密）电子</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的加密锁（CA锁），在规定时间内对电子</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进行在线解密，因</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原因造成其电子</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无法解密的，按无效投标理。</w:t>
            </w:r>
          </w:p>
          <w:p>
            <w:pPr>
              <w:pStyle w:val="118"/>
              <w:keepNext w:val="0"/>
              <w:keepLines w:val="0"/>
              <w:pageBreakBefore w:val="0"/>
              <w:widowControl w:val="0"/>
              <w:kinsoku/>
              <w:wordWrap/>
              <w:overflowPunct/>
              <w:topLinePunct w:val="0"/>
              <w:autoSpaceDE/>
              <w:autoSpaceDN/>
              <w:bidi w:val="0"/>
              <w:adjustRightInd/>
              <w:snapToGrid/>
              <w:spacing w:before="0" w:line="288" w:lineRule="auto"/>
              <w:ind w:left="6" w:leftChars="0"/>
              <w:jc w:val="left"/>
              <w:textAlignment w:val="auto"/>
              <w:rPr>
                <w:rFonts w:hint="eastAsia" w:ascii="仿宋" w:hAnsi="仿宋" w:eastAsia="仿宋" w:cs="仿宋"/>
                <w:b/>
                <w:bCs/>
                <w:color w:val="auto"/>
                <w:kern w:val="2"/>
                <w:sz w:val="24"/>
                <w:szCs w:val="24"/>
                <w:highlight w:val="none"/>
                <w:lang w:val="en-US" w:eastAsia="zh-CN" w:bidi="zh-CN"/>
              </w:rPr>
            </w:pPr>
            <w:r>
              <w:rPr>
                <w:rFonts w:hint="eastAsia" w:ascii="仿宋" w:hAnsi="仿宋" w:eastAsia="仿宋" w:cs="仿宋"/>
                <w:b/>
                <w:bCs/>
                <w:sz w:val="24"/>
                <w:szCs w:val="24"/>
              </w:rPr>
              <w:t>其他要求：</w:t>
            </w:r>
            <w:r>
              <w:rPr>
                <w:rFonts w:hint="eastAsia" w:ascii="仿宋" w:hAnsi="仿宋" w:eastAsia="仿宋" w:cs="仿宋"/>
                <w:b/>
                <w:bCs/>
                <w:sz w:val="24"/>
                <w:szCs w:val="24"/>
                <w:u w:val="single"/>
                <w:lang w:val="en-US"/>
              </w:rPr>
              <w:t xml:space="preserve">   /    </w:t>
            </w:r>
            <w:r>
              <w:rPr>
                <w:rFonts w:hint="eastAsia" w:ascii="仿宋" w:hAnsi="仿宋" w:eastAsia="仿宋" w:cs="仿宋"/>
                <w:b/>
                <w:bCs/>
                <w:sz w:val="24"/>
                <w:szCs w:val="24"/>
                <w:lang w:val="en-US"/>
              </w:rPr>
              <w:t>。</w:t>
            </w:r>
          </w:p>
        </w:tc>
      </w:tr>
    </w:tbl>
    <w:p>
      <w:pPr>
        <w:spacing w:line="360" w:lineRule="auto"/>
        <w:jc w:val="left"/>
        <w:rPr>
          <w:rFonts w:hint="eastAsia" w:ascii="仿宋" w:hAnsi="仿宋" w:eastAsia="仿宋" w:cs="仿宋"/>
          <w:color w:val="auto"/>
          <w:sz w:val="24"/>
          <w:szCs w:val="24"/>
        </w:rPr>
        <w:sectPr>
          <w:footerReference r:id="rId6" w:type="default"/>
          <w:pgSz w:w="11906" w:h="16838"/>
          <w:pgMar w:top="1417" w:right="1417" w:bottom="1417" w:left="1701" w:header="851" w:footer="992" w:gutter="0"/>
          <w:pgNumType w:fmt="decimal" w:start="1"/>
          <w:cols w:space="0" w:num="1"/>
          <w:docGrid w:type="lines" w:linePitch="312" w:charSpace="0"/>
        </w:sectPr>
      </w:pPr>
    </w:p>
    <w:p>
      <w:pPr>
        <w:pStyle w:val="3"/>
        <w:spacing w:line="360" w:lineRule="auto"/>
        <w:jc w:val="center"/>
        <w:rPr>
          <w:rFonts w:hint="eastAsia" w:ascii="仿宋" w:hAnsi="仿宋" w:eastAsia="仿宋" w:cs="仿宋"/>
          <w:color w:val="auto"/>
          <w:sz w:val="32"/>
        </w:rPr>
      </w:pPr>
      <w:bookmarkStart w:id="22" w:name="_Toc18046"/>
      <w:bookmarkStart w:id="23" w:name="_Toc1237"/>
      <w:bookmarkStart w:id="24" w:name="_Toc462213769"/>
      <w:bookmarkStart w:id="25" w:name="_Toc465432091"/>
      <w:bookmarkStart w:id="26" w:name="_Toc462213641"/>
      <w:bookmarkStart w:id="27" w:name="_Toc10069"/>
      <w:bookmarkStart w:id="28" w:name="_Toc420591643"/>
      <w:bookmarkStart w:id="29" w:name="_Toc425240464"/>
      <w:bookmarkStart w:id="30" w:name="_Toc421778365"/>
      <w:r>
        <w:rPr>
          <w:rFonts w:hint="eastAsia" w:ascii="仿宋" w:hAnsi="仿宋" w:eastAsia="仿宋" w:cs="仿宋"/>
          <w:color w:val="auto"/>
          <w:sz w:val="32"/>
        </w:rPr>
        <w:t>投标人须知正文部分</w:t>
      </w:r>
      <w:bookmarkEnd w:id="22"/>
      <w:bookmarkEnd w:id="23"/>
      <w:bookmarkEnd w:id="24"/>
      <w:bookmarkEnd w:id="25"/>
      <w:bookmarkEnd w:id="26"/>
      <w:bookmarkEnd w:id="27"/>
    </w:p>
    <w:p>
      <w:pPr>
        <w:spacing w:beforeLines="50" w:afterLines="50" w:line="360" w:lineRule="auto"/>
        <w:jc w:val="left"/>
        <w:outlineLvl w:val="1"/>
        <w:rPr>
          <w:rFonts w:hint="eastAsia" w:ascii="仿宋" w:hAnsi="仿宋" w:eastAsia="仿宋" w:cs="仿宋"/>
          <w:b/>
          <w:bCs/>
          <w:color w:val="auto"/>
          <w:sz w:val="24"/>
          <w:szCs w:val="24"/>
        </w:rPr>
      </w:pPr>
      <w:bookmarkStart w:id="31" w:name="_Toc511"/>
      <w:bookmarkStart w:id="32" w:name="_Toc12614"/>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．总则</w:t>
      </w:r>
      <w:bookmarkEnd w:id="28"/>
      <w:bookmarkEnd w:id="29"/>
      <w:bookmarkEnd w:id="30"/>
      <w:bookmarkEnd w:id="31"/>
      <w:bookmarkEnd w:id="32"/>
    </w:p>
    <w:p>
      <w:pPr>
        <w:spacing w:line="360" w:lineRule="auto"/>
        <w:ind w:firstLine="482" w:firstLineChars="200"/>
        <w:outlineLvl w:val="2"/>
        <w:rPr>
          <w:rFonts w:hint="eastAsia" w:ascii="仿宋" w:hAnsi="仿宋" w:eastAsia="仿宋" w:cs="仿宋"/>
          <w:b/>
          <w:bCs/>
          <w:color w:val="auto"/>
          <w:sz w:val="24"/>
          <w:szCs w:val="24"/>
        </w:rPr>
      </w:pPr>
      <w:bookmarkStart w:id="33" w:name="_Toc29220"/>
      <w:bookmarkStart w:id="34" w:name="_Toc22450"/>
      <w:r>
        <w:rPr>
          <w:rFonts w:hint="eastAsia" w:ascii="仿宋" w:hAnsi="仿宋" w:eastAsia="仿宋" w:cs="仿宋"/>
          <w:b/>
          <w:bCs/>
          <w:color w:val="auto"/>
          <w:sz w:val="24"/>
          <w:szCs w:val="24"/>
        </w:rPr>
        <w:t>1.1 项目概况</w:t>
      </w:r>
      <w:bookmarkEnd w:id="33"/>
      <w:bookmarkEnd w:id="34"/>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 根据《中华人民共和国政府采购法》、《中华人民共和国</w:t>
      </w:r>
      <w:r>
        <w:rPr>
          <w:rFonts w:hint="eastAsia" w:ascii="仿宋" w:hAnsi="仿宋" w:eastAsia="仿宋" w:cs="仿宋"/>
          <w:color w:val="auto"/>
          <w:sz w:val="24"/>
          <w:szCs w:val="24"/>
          <w:lang w:eastAsia="zh-CN"/>
        </w:rPr>
        <w:t>招标投标法</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《中华人民共和国招标投标法实施条例》等有关法律、法规和规章的规定，本招标项目已具备招标条件，现对本招标项目施工进行招标。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 本招标项目招标人：见投标人须知前附表。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 本招标项目</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：见投标人须知前附表。</w:t>
      </w:r>
    </w:p>
    <w:p>
      <w:pPr>
        <w:tabs>
          <w:tab w:val="left" w:pos="7665"/>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1.1.4本</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项目监督机构：</w:t>
      </w:r>
      <w:r>
        <w:rPr>
          <w:rFonts w:hint="eastAsia" w:ascii="仿宋" w:hAnsi="仿宋" w:eastAsia="仿宋" w:cs="仿宋"/>
          <w:color w:val="auto"/>
          <w:sz w:val="24"/>
          <w:szCs w:val="22"/>
          <w:highlight w:val="none"/>
          <w:lang w:val="en-US" w:eastAsia="zh-CN"/>
        </w:rPr>
        <w:t>同级人民政府财政部门及有关部门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本招标项目建设地点：见投标人须知前附表。</w:t>
      </w:r>
    </w:p>
    <w:p>
      <w:pPr>
        <w:spacing w:line="360" w:lineRule="auto"/>
        <w:ind w:firstLine="482" w:firstLineChars="200"/>
        <w:outlineLvl w:val="2"/>
        <w:rPr>
          <w:rFonts w:hint="eastAsia" w:ascii="仿宋" w:hAnsi="仿宋" w:eastAsia="仿宋" w:cs="仿宋"/>
          <w:b/>
          <w:bCs/>
          <w:color w:val="auto"/>
          <w:sz w:val="24"/>
          <w:szCs w:val="24"/>
        </w:rPr>
      </w:pPr>
      <w:bookmarkStart w:id="35" w:name="_Toc30006"/>
      <w:bookmarkStart w:id="36" w:name="_Toc343"/>
      <w:r>
        <w:rPr>
          <w:rFonts w:hint="eastAsia" w:ascii="仿宋" w:hAnsi="仿宋" w:eastAsia="仿宋" w:cs="仿宋"/>
          <w:b/>
          <w:bCs/>
          <w:color w:val="auto"/>
          <w:sz w:val="24"/>
          <w:szCs w:val="24"/>
        </w:rPr>
        <w:t>1.2 资金来源和落实情况</w:t>
      </w:r>
      <w:bookmarkEnd w:id="35"/>
      <w:bookmarkEnd w:id="36"/>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1.2.1 本招标项目的资金来源：见投标人须知前附表。</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1.2.2 本招标项目的出资比例：见投标人须知前附表。</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1.2.3 本招标项目的资金落实情况：见投标人须知前附表。</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rPr>
        <w:t>1.2.4 本招标项目的</w:t>
      </w:r>
      <w:r>
        <w:rPr>
          <w:rFonts w:hint="eastAsia" w:ascii="仿宋" w:hAnsi="仿宋" w:eastAsia="仿宋" w:cs="仿宋"/>
          <w:color w:val="auto"/>
          <w:sz w:val="24"/>
          <w:lang w:val="en-US" w:eastAsia="zh-CN"/>
        </w:rPr>
        <w:t>中标金额</w:t>
      </w:r>
      <w:r>
        <w:rPr>
          <w:rFonts w:hint="eastAsia" w:ascii="仿宋" w:hAnsi="仿宋" w:eastAsia="仿宋" w:cs="仿宋"/>
          <w:color w:val="auto"/>
          <w:sz w:val="24"/>
        </w:rPr>
        <w:t>：见投标人须知前附表。</w:t>
      </w:r>
    </w:p>
    <w:p>
      <w:pPr>
        <w:spacing w:line="360" w:lineRule="auto"/>
        <w:ind w:firstLine="482" w:firstLineChars="200"/>
        <w:outlineLvl w:val="2"/>
        <w:rPr>
          <w:rFonts w:hint="eastAsia" w:ascii="仿宋" w:hAnsi="仿宋" w:eastAsia="仿宋" w:cs="仿宋"/>
          <w:b/>
          <w:bCs/>
          <w:color w:val="auto"/>
          <w:sz w:val="24"/>
          <w:szCs w:val="24"/>
        </w:rPr>
      </w:pPr>
      <w:bookmarkStart w:id="37" w:name="_Toc7690"/>
      <w:bookmarkStart w:id="38" w:name="_Toc4540"/>
      <w:r>
        <w:rPr>
          <w:rFonts w:hint="eastAsia" w:ascii="仿宋" w:hAnsi="仿宋" w:eastAsia="仿宋" w:cs="仿宋"/>
          <w:b/>
          <w:bCs/>
          <w:color w:val="auto"/>
          <w:sz w:val="24"/>
          <w:szCs w:val="24"/>
        </w:rPr>
        <w:t>1.3 招标范围、计划工期和质量要求</w:t>
      </w:r>
      <w:bookmarkEnd w:id="37"/>
      <w:bookmarkEnd w:id="3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 本次招标范围：见投标人须知前附表。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 本招标项目的计划工期：</w:t>
      </w:r>
      <w:bookmarkStart w:id="39" w:name="OLE_LINK8"/>
      <w:r>
        <w:rPr>
          <w:rFonts w:hint="eastAsia" w:ascii="仿宋" w:hAnsi="仿宋" w:eastAsia="仿宋" w:cs="仿宋"/>
          <w:color w:val="auto"/>
          <w:sz w:val="24"/>
          <w:szCs w:val="24"/>
        </w:rPr>
        <w:t>见投标人须知前附表。</w:t>
      </w:r>
      <w:bookmarkEnd w:id="39"/>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 本招标项目的质量要求：见投标人须知前附表。</w:t>
      </w:r>
    </w:p>
    <w:p>
      <w:pPr>
        <w:spacing w:line="360" w:lineRule="auto"/>
        <w:ind w:firstLine="482" w:firstLineChars="200"/>
        <w:outlineLvl w:val="2"/>
        <w:rPr>
          <w:rFonts w:hint="eastAsia" w:ascii="仿宋" w:hAnsi="仿宋" w:eastAsia="仿宋" w:cs="仿宋"/>
          <w:b/>
          <w:bCs/>
          <w:color w:val="auto"/>
          <w:sz w:val="24"/>
          <w:szCs w:val="24"/>
        </w:rPr>
      </w:pPr>
      <w:bookmarkStart w:id="40" w:name="_Toc10791"/>
      <w:bookmarkStart w:id="41" w:name="_Toc27134"/>
      <w:r>
        <w:rPr>
          <w:rFonts w:hint="eastAsia" w:ascii="仿宋" w:hAnsi="仿宋" w:eastAsia="仿宋" w:cs="仿宋"/>
          <w:b/>
          <w:bCs/>
          <w:color w:val="auto"/>
          <w:sz w:val="24"/>
          <w:szCs w:val="24"/>
        </w:rPr>
        <w:t>1.4 投标人资格要求</w:t>
      </w:r>
      <w:bookmarkEnd w:id="40"/>
      <w:bookmarkEnd w:id="4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1.4.1资格审查条件：见投标人须知前附表。</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投标人不得存在下列情形之一，否则，按有关法律、法规处理。</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（1）为招标人不具有独立法人资格的附属机构（单位）；</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（2）为本招标项目前期准备提供设计或咨询服务的，但设计施工总承包的除外； </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（3）为本招标项目的监理人；</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（4）为本招标项目的代建人； </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（5）为本招标项目提供招标代理服务的； </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（6）与本招标项目的监理人或代建人或招标代理机构同为一个法定代表人的；</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（7）与本招标项目的监理人或代建人或招标代理机构相互控股或参股的；</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（8）与本招标项目的监理人或代建人或招标代理机构相互任职或工作的；</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（9）被责令停业的； </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 xml:space="preserve">（10）被暂停或取消投标资格的； </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（11）财产被接管或冻结的；</w:t>
      </w:r>
    </w:p>
    <w:p>
      <w:pPr>
        <w:spacing w:line="360" w:lineRule="auto"/>
        <w:ind w:firstLine="410" w:firstLineChars="171"/>
        <w:rPr>
          <w:rFonts w:hint="eastAsia" w:ascii="仿宋" w:hAnsi="仿宋" w:eastAsia="仿宋" w:cs="仿宋"/>
          <w:color w:val="auto"/>
          <w:sz w:val="24"/>
        </w:rPr>
      </w:pPr>
      <w:r>
        <w:rPr>
          <w:rFonts w:hint="eastAsia" w:ascii="仿宋" w:hAnsi="仿宋" w:eastAsia="仿宋" w:cs="仿宋"/>
          <w:color w:val="auto"/>
          <w:sz w:val="24"/>
        </w:rPr>
        <w:t>（12）在最近三年内有骗取中标或严重违约或重大工程质量问题的。</w:t>
      </w:r>
    </w:p>
    <w:p>
      <w:pPr>
        <w:spacing w:line="360" w:lineRule="auto"/>
        <w:ind w:firstLine="482" w:firstLineChars="200"/>
        <w:outlineLvl w:val="2"/>
        <w:rPr>
          <w:rFonts w:hint="eastAsia" w:ascii="仿宋" w:hAnsi="仿宋" w:eastAsia="仿宋" w:cs="仿宋"/>
          <w:b/>
          <w:bCs/>
          <w:color w:val="auto"/>
          <w:sz w:val="24"/>
          <w:szCs w:val="24"/>
        </w:rPr>
      </w:pPr>
      <w:bookmarkStart w:id="42" w:name="_Toc28514"/>
      <w:bookmarkStart w:id="43" w:name="_Toc23849"/>
      <w:r>
        <w:rPr>
          <w:rFonts w:hint="eastAsia" w:ascii="仿宋" w:hAnsi="仿宋" w:eastAsia="仿宋" w:cs="仿宋"/>
          <w:b/>
          <w:bCs/>
          <w:color w:val="auto"/>
          <w:sz w:val="24"/>
          <w:szCs w:val="24"/>
        </w:rPr>
        <w:t>1.5 费用承担</w:t>
      </w:r>
      <w:bookmarkEnd w:id="42"/>
      <w:bookmarkEnd w:id="43"/>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投标人准备和参加投标活动所发生的一切费用自理。</w:t>
      </w:r>
    </w:p>
    <w:p>
      <w:pPr>
        <w:spacing w:line="360" w:lineRule="auto"/>
        <w:ind w:firstLine="482" w:firstLineChars="200"/>
        <w:outlineLvl w:val="2"/>
        <w:rPr>
          <w:rFonts w:hint="eastAsia" w:ascii="仿宋" w:hAnsi="仿宋" w:eastAsia="仿宋" w:cs="仿宋"/>
          <w:b/>
          <w:bCs/>
          <w:color w:val="auto"/>
          <w:sz w:val="24"/>
          <w:szCs w:val="24"/>
        </w:rPr>
      </w:pPr>
      <w:bookmarkStart w:id="44" w:name="_Toc1793"/>
      <w:bookmarkStart w:id="45" w:name="_Toc10985"/>
      <w:r>
        <w:rPr>
          <w:rFonts w:hint="eastAsia" w:ascii="仿宋" w:hAnsi="仿宋" w:eastAsia="仿宋" w:cs="仿宋"/>
          <w:b/>
          <w:bCs/>
          <w:color w:val="auto"/>
          <w:sz w:val="24"/>
          <w:szCs w:val="24"/>
        </w:rPr>
        <w:t>1.6 保密</w:t>
      </w:r>
      <w:bookmarkEnd w:id="44"/>
      <w:bookmarkEnd w:id="4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参与招标投标活动的各方应对招标文件和投标文件中的商业和技术等秘密保密，违者应对由此造成的后果承担法律责任。</w:t>
      </w:r>
    </w:p>
    <w:p>
      <w:pPr>
        <w:spacing w:line="360" w:lineRule="auto"/>
        <w:ind w:firstLine="482" w:firstLineChars="200"/>
        <w:outlineLvl w:val="2"/>
        <w:rPr>
          <w:rFonts w:hint="eastAsia" w:ascii="仿宋" w:hAnsi="仿宋" w:eastAsia="仿宋" w:cs="仿宋"/>
          <w:b/>
          <w:bCs/>
          <w:color w:val="auto"/>
          <w:sz w:val="24"/>
          <w:szCs w:val="24"/>
        </w:rPr>
      </w:pPr>
      <w:bookmarkStart w:id="46" w:name="_Toc9756"/>
      <w:bookmarkStart w:id="47" w:name="_Toc29346"/>
      <w:r>
        <w:rPr>
          <w:rFonts w:hint="eastAsia" w:ascii="仿宋" w:hAnsi="仿宋" w:eastAsia="仿宋" w:cs="仿宋"/>
          <w:b/>
          <w:bCs/>
          <w:color w:val="auto"/>
          <w:sz w:val="24"/>
          <w:szCs w:val="24"/>
        </w:rPr>
        <w:t>1.7 语言文字</w:t>
      </w:r>
      <w:bookmarkEnd w:id="46"/>
      <w:bookmarkEnd w:id="47"/>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除专用术语外，与招标投标有关的语言均使用中文。必要时专用术语应附有中文注释。</w:t>
      </w:r>
    </w:p>
    <w:p>
      <w:pPr>
        <w:spacing w:line="360" w:lineRule="auto"/>
        <w:ind w:firstLine="482" w:firstLineChars="200"/>
        <w:outlineLvl w:val="2"/>
        <w:rPr>
          <w:rFonts w:hint="eastAsia" w:ascii="仿宋" w:hAnsi="仿宋" w:eastAsia="仿宋" w:cs="仿宋"/>
          <w:b/>
          <w:bCs/>
          <w:color w:val="auto"/>
          <w:sz w:val="24"/>
          <w:szCs w:val="24"/>
        </w:rPr>
      </w:pPr>
      <w:bookmarkStart w:id="48" w:name="_Toc16086"/>
      <w:bookmarkStart w:id="49" w:name="_Toc6335"/>
      <w:r>
        <w:rPr>
          <w:rFonts w:hint="eastAsia" w:ascii="仿宋" w:hAnsi="仿宋" w:eastAsia="仿宋" w:cs="仿宋"/>
          <w:b/>
          <w:bCs/>
          <w:color w:val="auto"/>
          <w:sz w:val="24"/>
          <w:szCs w:val="24"/>
        </w:rPr>
        <w:t>1.8 计量单位</w:t>
      </w:r>
      <w:bookmarkEnd w:id="48"/>
      <w:bookmarkEnd w:id="49"/>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所有计量均采用中华人民共和国法定计量单位。</w:t>
      </w:r>
    </w:p>
    <w:p>
      <w:pPr>
        <w:spacing w:line="360" w:lineRule="auto"/>
        <w:ind w:firstLine="482" w:firstLineChars="200"/>
        <w:outlineLvl w:val="2"/>
        <w:rPr>
          <w:rFonts w:hint="eastAsia" w:ascii="仿宋" w:hAnsi="仿宋" w:eastAsia="仿宋" w:cs="仿宋"/>
          <w:b/>
          <w:bCs/>
          <w:color w:val="auto"/>
          <w:sz w:val="24"/>
          <w:szCs w:val="24"/>
        </w:rPr>
      </w:pPr>
      <w:bookmarkStart w:id="50" w:name="_Toc28348"/>
      <w:bookmarkStart w:id="51" w:name="_Toc10752"/>
      <w:r>
        <w:rPr>
          <w:rFonts w:hint="eastAsia" w:ascii="仿宋" w:hAnsi="仿宋" w:eastAsia="仿宋" w:cs="仿宋"/>
          <w:b/>
          <w:bCs/>
          <w:color w:val="auto"/>
          <w:sz w:val="24"/>
          <w:szCs w:val="24"/>
        </w:rPr>
        <w:t>1.9 踏勘现场</w:t>
      </w:r>
      <w:bookmarkEnd w:id="50"/>
      <w:bookmarkEnd w:id="51"/>
    </w:p>
    <w:p>
      <w:pPr>
        <w:spacing w:line="360" w:lineRule="auto"/>
        <w:ind w:firstLine="360" w:firstLineChars="150"/>
        <w:rPr>
          <w:rFonts w:hint="eastAsia" w:ascii="仿宋" w:hAnsi="仿宋" w:eastAsia="仿宋" w:cs="仿宋"/>
          <w:color w:val="auto"/>
          <w:sz w:val="24"/>
        </w:rPr>
      </w:pPr>
      <w:bookmarkStart w:id="52" w:name="_Toc14629"/>
      <w:bookmarkStart w:id="53" w:name="_Toc7228"/>
      <w:r>
        <w:rPr>
          <w:rFonts w:hint="eastAsia" w:ascii="仿宋" w:hAnsi="仿宋" w:eastAsia="仿宋" w:cs="仿宋"/>
          <w:color w:val="auto"/>
          <w:sz w:val="24"/>
        </w:rPr>
        <w:t xml:space="preserve">1.9.1 投标人须知前附表规定组织踏勘现场的，采购人按投标人须知前附表规定的时间、地点组织投标人踏勘项目现场。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1.9.2 投标人踏勘现场发生的费用自理。</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1.9.3 除</w:t>
      </w:r>
      <w:r>
        <w:rPr>
          <w:rFonts w:hint="eastAsia" w:ascii="仿宋" w:hAnsi="仿宋" w:eastAsia="仿宋" w:cs="仿宋"/>
          <w:color w:val="auto"/>
          <w:sz w:val="24"/>
          <w:lang w:val="en-US" w:eastAsia="zh-CN"/>
        </w:rPr>
        <w:t>招标</w:t>
      </w:r>
      <w:r>
        <w:rPr>
          <w:rFonts w:hint="eastAsia" w:ascii="仿宋" w:hAnsi="仿宋" w:eastAsia="仿宋" w:cs="仿宋"/>
          <w:color w:val="auto"/>
          <w:sz w:val="24"/>
        </w:rPr>
        <w:t>人的原因外，投标人自行负责在踏勘现场中所发生的人员伤亡和财产损失。</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1.9.4 采购人在踏勘现场中介绍的工程场地和相关的周边环境情况，供投标人在编制投标文件时参考，采购人不对投标人据此作出的判断和决策负责。</w:t>
      </w:r>
    </w:p>
    <w:p>
      <w:pPr>
        <w:spacing w:line="360" w:lineRule="auto"/>
        <w:ind w:firstLine="482" w:firstLineChars="200"/>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1.10 投标答疑会</w:t>
      </w:r>
      <w:bookmarkEnd w:id="52"/>
      <w:bookmarkEnd w:id="53"/>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本项目不召开投标答疑会，投标人对招标文件、工程量清单、施工图以及施工现场条件等的疑问和要求澄清的内容，均应在</w:t>
      </w:r>
      <w:r>
        <w:rPr>
          <w:rFonts w:hint="eastAsia" w:ascii="仿宋" w:hAnsi="仿宋" w:eastAsia="仿宋" w:cs="仿宋"/>
          <w:color w:val="auto"/>
          <w:sz w:val="24"/>
          <w:szCs w:val="24"/>
          <w:lang w:eastAsia="zh-CN"/>
        </w:rPr>
        <w:t>投标截止时间</w:t>
      </w:r>
      <w:r>
        <w:rPr>
          <w:rFonts w:hint="eastAsia" w:ascii="仿宋" w:hAnsi="仿宋" w:eastAsia="仿宋" w:cs="仿宋"/>
          <w:color w:val="auto"/>
          <w:sz w:val="24"/>
          <w:szCs w:val="24"/>
          <w:lang w:val="en-US" w:eastAsia="zh-CN"/>
        </w:rPr>
        <w:t>10日前</w:t>
      </w:r>
      <w:r>
        <w:rPr>
          <w:rFonts w:hint="eastAsia" w:ascii="仿宋" w:hAnsi="仿宋" w:eastAsia="仿宋" w:cs="仿宋"/>
          <w:color w:val="auto"/>
          <w:sz w:val="24"/>
          <w:szCs w:val="24"/>
        </w:rPr>
        <w:t>以书面形式向</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提出，招标人和</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做出统一解答和必要澄清后在开标前7天以书面的《招标答疑纪要》发送所有投标人。答疑纪要为招标文件的组成部分，与招标文件具有同等法律效力。</w:t>
      </w:r>
      <w:bookmarkStart w:id="54" w:name="_Toc462213652"/>
      <w:bookmarkStart w:id="55" w:name="_Toc425240465"/>
      <w:bookmarkStart w:id="56" w:name="_Toc421778366"/>
      <w:bookmarkStart w:id="57" w:name="_Toc420591644"/>
    </w:p>
    <w:p>
      <w:pPr>
        <w:pStyle w:val="5"/>
        <w:spacing w:line="360" w:lineRule="auto"/>
        <w:ind w:firstLine="482" w:firstLineChars="200"/>
        <w:rPr>
          <w:rFonts w:hint="eastAsia" w:ascii="仿宋" w:hAnsi="仿宋" w:eastAsia="仿宋" w:cs="仿宋"/>
          <w:color w:val="auto"/>
          <w:sz w:val="24"/>
          <w:szCs w:val="24"/>
        </w:rPr>
      </w:pPr>
      <w:bookmarkStart w:id="58" w:name="_Toc6635"/>
      <w:bookmarkStart w:id="59" w:name="_Toc6609"/>
      <w:r>
        <w:rPr>
          <w:rFonts w:hint="eastAsia" w:ascii="仿宋" w:hAnsi="仿宋" w:eastAsia="仿宋" w:cs="仿宋"/>
          <w:color w:val="auto"/>
          <w:sz w:val="24"/>
          <w:szCs w:val="24"/>
        </w:rPr>
        <w:t>1.11 评标办法</w:t>
      </w:r>
      <w:bookmarkEnd w:id="54"/>
      <w:bookmarkEnd w:id="58"/>
      <w:bookmarkEnd w:id="59"/>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1.11.1评标办法：见投标人须知前附表。</w:t>
      </w:r>
    </w:p>
    <w:p>
      <w:pPr>
        <w:spacing w:line="360" w:lineRule="auto"/>
        <w:ind w:firstLine="480"/>
        <w:rPr>
          <w:rFonts w:hint="eastAsia" w:ascii="仿宋" w:hAnsi="仿宋" w:eastAsia="仿宋" w:cs="仿宋"/>
          <w:b/>
          <w:bCs/>
          <w:color w:val="auto"/>
          <w:sz w:val="24"/>
        </w:rPr>
      </w:pPr>
      <w:r>
        <w:rPr>
          <w:rFonts w:hint="eastAsia" w:ascii="仿宋" w:hAnsi="仿宋" w:eastAsia="仿宋" w:cs="仿宋"/>
          <w:color w:val="auto"/>
          <w:sz w:val="24"/>
        </w:rPr>
        <w:t>1.11.2评标</w:t>
      </w:r>
      <w:r>
        <w:rPr>
          <w:rFonts w:hint="eastAsia" w:ascii="仿宋" w:hAnsi="仿宋" w:eastAsia="仿宋" w:cs="仿宋"/>
          <w:color w:val="auto"/>
          <w:sz w:val="24"/>
          <w:lang w:eastAsia="zh-CN"/>
        </w:rPr>
        <w:t>细则</w:t>
      </w:r>
      <w:r>
        <w:rPr>
          <w:rFonts w:hint="eastAsia" w:ascii="仿宋" w:hAnsi="仿宋" w:eastAsia="仿宋" w:cs="仿宋"/>
          <w:color w:val="auto"/>
          <w:sz w:val="24"/>
        </w:rPr>
        <w:t>：详见第三章</w:t>
      </w:r>
      <w:r>
        <w:rPr>
          <w:rFonts w:hint="eastAsia" w:ascii="仿宋" w:hAnsi="仿宋" w:eastAsia="仿宋" w:cs="仿宋"/>
          <w:b/>
          <w:bCs/>
          <w:color w:val="auto"/>
          <w:sz w:val="24"/>
        </w:rPr>
        <w:t>。</w:t>
      </w:r>
    </w:p>
    <w:p>
      <w:pPr>
        <w:pStyle w:val="5"/>
        <w:spacing w:line="360" w:lineRule="auto"/>
        <w:ind w:firstLine="482" w:firstLineChars="200"/>
        <w:rPr>
          <w:rFonts w:hint="eastAsia" w:ascii="仿宋" w:hAnsi="仿宋" w:eastAsia="仿宋" w:cs="仿宋"/>
          <w:color w:val="auto"/>
          <w:sz w:val="24"/>
          <w:szCs w:val="24"/>
        </w:rPr>
      </w:pPr>
      <w:bookmarkStart w:id="60" w:name="_Toc5572"/>
      <w:bookmarkStart w:id="61" w:name="_Toc2090"/>
      <w:bookmarkStart w:id="62" w:name="_Toc462213653"/>
      <w:r>
        <w:rPr>
          <w:rFonts w:hint="eastAsia" w:ascii="仿宋" w:hAnsi="仿宋" w:eastAsia="仿宋" w:cs="仿宋"/>
          <w:color w:val="auto"/>
          <w:sz w:val="24"/>
          <w:szCs w:val="24"/>
        </w:rPr>
        <w:t>1.12 分包</w:t>
      </w:r>
      <w:bookmarkEnd w:id="60"/>
      <w:bookmarkEnd w:id="61"/>
      <w:bookmarkEnd w:id="62"/>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本项目不允许分包。</w:t>
      </w:r>
    </w:p>
    <w:p>
      <w:pPr>
        <w:pStyle w:val="5"/>
        <w:spacing w:line="360" w:lineRule="auto"/>
        <w:ind w:firstLine="482" w:firstLineChars="200"/>
        <w:rPr>
          <w:rFonts w:hint="eastAsia" w:ascii="仿宋" w:hAnsi="仿宋" w:eastAsia="仿宋" w:cs="仿宋"/>
          <w:color w:val="auto"/>
          <w:sz w:val="24"/>
          <w:szCs w:val="24"/>
          <w:lang w:val="en-US" w:eastAsia="zh-CN"/>
        </w:rPr>
      </w:pPr>
      <w:bookmarkStart w:id="63" w:name="_Toc28423"/>
      <w:bookmarkStart w:id="64" w:name="_Toc6698"/>
      <w:r>
        <w:rPr>
          <w:rFonts w:hint="eastAsia" w:ascii="仿宋" w:hAnsi="仿宋" w:eastAsia="仿宋" w:cs="仿宋"/>
          <w:color w:val="auto"/>
          <w:sz w:val="24"/>
          <w:szCs w:val="24"/>
          <w:lang w:val="en-US" w:eastAsia="zh-CN"/>
        </w:rPr>
        <w:t>1.13偏离</w:t>
      </w:r>
      <w:bookmarkEnd w:id="63"/>
      <w:bookmarkEnd w:id="64"/>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不满足评标办法中初步评审标准的，视为发生重大偏离，其投标被否决。其余偏离视为细微偏离，评标委员会将通过澄清方式对细微偏离进行澄清或修改。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65" w:name="_Toc14937"/>
      <w:bookmarkStart w:id="66" w:name="_Toc25251"/>
      <w:r>
        <w:rPr>
          <w:rFonts w:hint="eastAsia" w:ascii="仿宋" w:hAnsi="仿宋" w:eastAsia="仿宋" w:cs="仿宋"/>
          <w:b/>
          <w:bCs/>
          <w:color w:val="auto"/>
          <w:sz w:val="24"/>
          <w:szCs w:val="24"/>
        </w:rPr>
        <w:t>2．招标文件</w:t>
      </w:r>
      <w:bookmarkEnd w:id="55"/>
      <w:bookmarkEnd w:id="56"/>
      <w:bookmarkEnd w:id="57"/>
      <w:bookmarkEnd w:id="65"/>
      <w:bookmarkEnd w:id="66"/>
    </w:p>
    <w:p>
      <w:pPr>
        <w:spacing w:line="360" w:lineRule="auto"/>
        <w:ind w:firstLine="482" w:firstLineChars="200"/>
        <w:outlineLvl w:val="2"/>
        <w:rPr>
          <w:rFonts w:hint="eastAsia" w:ascii="仿宋" w:hAnsi="仿宋" w:eastAsia="仿宋" w:cs="仿宋"/>
          <w:b/>
          <w:bCs/>
          <w:color w:val="auto"/>
          <w:sz w:val="24"/>
          <w:szCs w:val="24"/>
        </w:rPr>
      </w:pPr>
      <w:bookmarkStart w:id="67" w:name="_Toc22469"/>
      <w:bookmarkStart w:id="68" w:name="_Toc4031"/>
      <w:r>
        <w:rPr>
          <w:rFonts w:hint="eastAsia" w:ascii="仿宋" w:hAnsi="仿宋" w:eastAsia="仿宋" w:cs="仿宋"/>
          <w:b/>
          <w:bCs/>
          <w:color w:val="auto"/>
          <w:sz w:val="24"/>
          <w:szCs w:val="24"/>
        </w:rPr>
        <w:t>2.1 招标文件的组成</w:t>
      </w:r>
      <w:bookmarkEnd w:id="67"/>
      <w:bookmarkEnd w:id="6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本招标文件包括：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(1）招标公告；</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(2）投标人须知；</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(3）评标办法；</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合同条款及格式</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项目概况及要求</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）投标文件格式</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根据本章第1.10 款</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第2.2 款对招标文件所作的澄清、修改，构成招标文件的组成部分。</w:t>
      </w:r>
    </w:p>
    <w:p>
      <w:pPr>
        <w:spacing w:line="360" w:lineRule="auto"/>
        <w:ind w:firstLine="482" w:firstLineChars="200"/>
        <w:outlineLvl w:val="2"/>
        <w:rPr>
          <w:rFonts w:hint="eastAsia" w:ascii="仿宋" w:hAnsi="仿宋" w:eastAsia="仿宋" w:cs="仿宋"/>
          <w:b/>
          <w:bCs/>
          <w:color w:val="auto"/>
          <w:sz w:val="24"/>
          <w:szCs w:val="24"/>
        </w:rPr>
      </w:pPr>
      <w:bookmarkStart w:id="69" w:name="_Toc12033"/>
      <w:bookmarkStart w:id="70" w:name="_Toc13127"/>
      <w:r>
        <w:rPr>
          <w:rFonts w:hint="eastAsia" w:ascii="仿宋" w:hAnsi="仿宋" w:eastAsia="仿宋" w:cs="仿宋"/>
          <w:b/>
          <w:bCs/>
          <w:color w:val="auto"/>
          <w:sz w:val="24"/>
          <w:szCs w:val="24"/>
        </w:rPr>
        <w:t>2.2 招标文件的澄清及修改</w:t>
      </w:r>
      <w:bookmarkEnd w:id="69"/>
      <w:bookmarkEnd w:id="70"/>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2.2.1采购人</w:t>
      </w:r>
      <w:r>
        <w:rPr>
          <w:rFonts w:hint="eastAsia" w:ascii="仿宋" w:hAnsi="仿宋" w:eastAsia="仿宋" w:cs="仿宋"/>
          <w:color w:val="auto"/>
          <w:sz w:val="24"/>
          <w:szCs w:val="24"/>
          <w:lang w:eastAsia="zh-CN"/>
        </w:rPr>
        <w:t>或采购代理机构</w:t>
      </w:r>
      <w:r>
        <w:rPr>
          <w:rFonts w:hint="eastAsia" w:ascii="仿宋" w:hAnsi="仿宋" w:eastAsia="仿宋" w:cs="仿宋"/>
          <w:color w:val="auto"/>
          <w:sz w:val="24"/>
          <w:szCs w:val="24"/>
        </w:rPr>
        <w:t>如果对已发出的招标文件进行必要的澄清或者修改，将在原公告发布媒体上发布澄清公告。澄清或者修改的内容为招标文件的组成部分。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2.2.2澄清或者修改的内容可能影响投标文件编制的，采购代理机构将在投标截止时间至少15日前，以书面形式通知所有获取招标文件的潜在投标人；不足15日的，采购代理机构将顺延提交投标文件的截止时间。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2.2.3已经</w:t>
      </w:r>
      <w:r>
        <w:rPr>
          <w:rFonts w:hint="eastAsia" w:ascii="仿宋" w:hAnsi="仿宋" w:eastAsia="仿宋" w:cs="仿宋"/>
          <w:color w:val="auto"/>
          <w:sz w:val="24"/>
          <w:szCs w:val="24"/>
          <w:lang w:eastAsia="zh-CN"/>
        </w:rPr>
        <w:t>获取</w:t>
      </w:r>
      <w:r>
        <w:rPr>
          <w:rFonts w:hint="eastAsia" w:ascii="仿宋" w:hAnsi="仿宋" w:eastAsia="仿宋" w:cs="仿宋"/>
          <w:color w:val="auto"/>
          <w:sz w:val="24"/>
          <w:szCs w:val="24"/>
        </w:rPr>
        <w:t>招标文件的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对招标文件有疑问的，</w:t>
      </w:r>
      <w:r>
        <w:rPr>
          <w:rFonts w:hint="eastAsia" w:ascii="仿宋" w:hAnsi="仿宋" w:eastAsia="仿宋" w:cs="仿宋"/>
          <w:color w:val="auto"/>
          <w:sz w:val="24"/>
        </w:rPr>
        <w:t>均应在</w:t>
      </w:r>
      <w:r>
        <w:rPr>
          <w:rFonts w:hint="eastAsia" w:ascii="仿宋" w:hAnsi="仿宋" w:eastAsia="仿宋" w:cs="仿宋"/>
          <w:color w:val="auto"/>
          <w:sz w:val="24"/>
          <w:lang w:eastAsia="zh-CN"/>
        </w:rPr>
        <w:t>投标截止日前</w:t>
      </w:r>
      <w:r>
        <w:rPr>
          <w:rFonts w:hint="eastAsia" w:ascii="仿宋" w:hAnsi="仿宋" w:eastAsia="仿宋" w:cs="仿宋"/>
          <w:color w:val="auto"/>
          <w:sz w:val="24"/>
          <w:lang w:val="en-US" w:eastAsia="zh-CN"/>
        </w:rPr>
        <w:t>10日</w:t>
      </w:r>
      <w:r>
        <w:rPr>
          <w:rFonts w:hint="eastAsia" w:ascii="仿宋" w:hAnsi="仿宋" w:eastAsia="仿宋" w:cs="仿宋"/>
          <w:color w:val="auto"/>
          <w:sz w:val="24"/>
        </w:rPr>
        <w:t>内以书面形式向采购代理机构提出</w:t>
      </w:r>
      <w:r>
        <w:rPr>
          <w:rFonts w:hint="eastAsia" w:ascii="仿宋" w:hAnsi="仿宋" w:eastAsia="仿宋" w:cs="仿宋"/>
          <w:color w:val="auto"/>
          <w:sz w:val="24"/>
          <w:lang w:eastAsia="zh-CN"/>
        </w:rPr>
        <w:t>，</w:t>
      </w:r>
      <w:r>
        <w:rPr>
          <w:rFonts w:hint="eastAsia" w:ascii="仿宋" w:hAnsi="仿宋" w:eastAsia="仿宋" w:cs="仿宋"/>
          <w:color w:val="auto"/>
          <w:sz w:val="24"/>
          <w:szCs w:val="24"/>
        </w:rPr>
        <w:t>采购代理机构将在</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日内</w:t>
      </w:r>
      <w:r>
        <w:rPr>
          <w:rFonts w:hint="eastAsia" w:ascii="仿宋" w:hAnsi="仿宋" w:eastAsia="仿宋" w:cs="仿宋"/>
          <w:color w:val="auto"/>
          <w:sz w:val="24"/>
          <w:szCs w:val="24"/>
          <w:lang w:eastAsia="zh-CN"/>
        </w:rPr>
        <w:t>采用适当方式予以澄清或以书面形式予以答复</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2.2.4投标人在收到上述通知后，应</w:t>
      </w:r>
      <w:r>
        <w:rPr>
          <w:rFonts w:hint="eastAsia" w:ascii="仿宋" w:hAnsi="仿宋" w:eastAsia="仿宋" w:cs="仿宋"/>
          <w:color w:val="auto"/>
          <w:sz w:val="24"/>
          <w:szCs w:val="24"/>
          <w:lang w:eastAsia="zh-CN"/>
        </w:rPr>
        <w:t>立即</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回函确认。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71" w:name="_Toc12195"/>
      <w:bookmarkStart w:id="72" w:name="_Toc28395"/>
      <w:bookmarkStart w:id="73" w:name="_Toc420591645"/>
      <w:bookmarkStart w:id="74" w:name="_Toc421778367"/>
      <w:bookmarkStart w:id="75" w:name="_Toc425240466"/>
      <w:r>
        <w:rPr>
          <w:rFonts w:hint="eastAsia" w:ascii="仿宋" w:hAnsi="仿宋" w:eastAsia="仿宋" w:cs="仿宋"/>
          <w:b/>
          <w:bCs/>
          <w:color w:val="auto"/>
          <w:sz w:val="24"/>
          <w:szCs w:val="24"/>
        </w:rPr>
        <w:t>3．投标文件</w:t>
      </w:r>
      <w:bookmarkEnd w:id="71"/>
      <w:bookmarkEnd w:id="72"/>
      <w:bookmarkEnd w:id="73"/>
      <w:bookmarkEnd w:id="74"/>
      <w:bookmarkEnd w:id="75"/>
    </w:p>
    <w:p>
      <w:pPr>
        <w:pStyle w:val="12"/>
        <w:ind w:firstLine="482" w:firstLineChars="200"/>
        <w:outlineLvl w:val="2"/>
        <w:rPr>
          <w:rFonts w:hint="eastAsia" w:ascii="仿宋" w:hAnsi="仿宋" w:eastAsia="仿宋" w:cs="仿宋"/>
          <w:b/>
          <w:bCs/>
          <w:color w:val="auto"/>
          <w:sz w:val="24"/>
          <w:szCs w:val="24"/>
        </w:rPr>
      </w:pPr>
      <w:bookmarkStart w:id="76" w:name="_Toc25037"/>
      <w:bookmarkStart w:id="77" w:name="_Toc20313"/>
      <w:r>
        <w:rPr>
          <w:rFonts w:hint="eastAsia" w:ascii="仿宋" w:hAnsi="仿宋" w:eastAsia="仿宋" w:cs="仿宋"/>
          <w:b/>
          <w:bCs/>
          <w:color w:val="auto"/>
          <w:sz w:val="24"/>
          <w:szCs w:val="24"/>
        </w:rPr>
        <w:t>3.1 投标文件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要求</w:t>
      </w:r>
      <w:bookmarkEnd w:id="76"/>
      <w:bookmarkEnd w:id="7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投标文件应包括下列内容：</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第一部分    商务标</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一、投标函</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二、开标一览表</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三、法定代表人身份证明</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四、法人授权委托书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六、商务响应与说明</w:t>
      </w:r>
    </w:p>
    <w:p>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七、</w:t>
      </w:r>
      <w:r>
        <w:rPr>
          <w:rFonts w:hint="eastAsia" w:ascii="仿宋" w:hAnsi="仿宋" w:eastAsia="仿宋" w:cs="仿宋"/>
          <w:color w:val="auto"/>
          <w:sz w:val="24"/>
          <w:szCs w:val="24"/>
          <w:lang w:eastAsia="zh-CN"/>
        </w:rPr>
        <w:t>承诺书</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八、招标文件要求的其他文件或承诺</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九、其他可以证明投标人实力的文件</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第二部分    技术标</w:t>
      </w:r>
    </w:p>
    <w:p>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第三部分    资格标</w:t>
      </w:r>
    </w:p>
    <w:p>
      <w:pPr>
        <w:spacing w:line="360" w:lineRule="auto"/>
        <w:ind w:firstLine="480" w:firstLineChars="2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一、投标人的基本情况介绍和资格声明</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二、投标人资格证明文件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color w:val="auto"/>
          <w:sz w:val="24"/>
          <w:szCs w:val="24"/>
        </w:rPr>
      </w:pPr>
      <w:bookmarkStart w:id="78" w:name="_Toc3633"/>
      <w:bookmarkStart w:id="79" w:name="_Toc11654"/>
      <w:r>
        <w:rPr>
          <w:rFonts w:hint="eastAsia" w:ascii="仿宋" w:hAnsi="仿宋" w:eastAsia="仿宋" w:cs="仿宋"/>
          <w:b/>
          <w:bCs/>
          <w:color w:val="auto"/>
          <w:sz w:val="24"/>
          <w:szCs w:val="24"/>
        </w:rPr>
        <w:t>3.2 投标报价</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3.2.1工程计价方式：见投标人须知前附表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3.2.2 投标报价表中标明的价格应为履行合同的固定价格，不得以任何理由予以变更。以可调整的价格提交的投标文件将按无效投标处理。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3.2.3投标报价应按照</w:t>
      </w:r>
      <w:r>
        <w:rPr>
          <w:rFonts w:hint="eastAsia" w:ascii="仿宋" w:hAnsi="仿宋" w:eastAsia="仿宋" w:cs="仿宋"/>
          <w:color w:val="auto"/>
          <w:sz w:val="24"/>
          <w:szCs w:val="24"/>
          <w:lang w:val="en-US" w:eastAsia="zh-CN"/>
        </w:rPr>
        <w:t>项目概况</w:t>
      </w:r>
      <w:r>
        <w:rPr>
          <w:rFonts w:hint="eastAsia" w:ascii="仿宋" w:hAnsi="仿宋" w:eastAsia="仿宋" w:cs="仿宋"/>
          <w:color w:val="auto"/>
          <w:sz w:val="24"/>
          <w:szCs w:val="24"/>
        </w:rPr>
        <w:t>、补充通知、答疑纪要、合同条款、施工现场实际情况、拟定的施工方案或施工组织设计的相关内容及要求，并在满足招标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中标后综合单价不可作调整。</w:t>
      </w:r>
    </w:p>
    <w:p>
      <w:pPr>
        <w:spacing w:line="360" w:lineRule="auto"/>
        <w:ind w:firstLine="480" w:firstLineChars="200"/>
        <w:rPr>
          <w:rFonts w:hint="eastAsia" w:ascii="仿宋" w:hAnsi="仿宋" w:eastAsia="仿宋" w:cs="仿宋"/>
          <w:color w:val="auto"/>
          <w:sz w:val="24"/>
          <w:szCs w:val="24"/>
          <w:lang w:val="en-US"/>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应包含招标代理服务费</w:t>
      </w:r>
      <w:r>
        <w:rPr>
          <w:rFonts w:hint="eastAsia" w:ascii="仿宋" w:hAnsi="仿宋" w:eastAsia="仿宋" w:cs="仿宋"/>
          <w:color w:val="auto"/>
          <w:sz w:val="24"/>
          <w:szCs w:val="24"/>
          <w:lang w:val="en-US" w:eastAsia="zh-CN"/>
        </w:rPr>
        <w:t>。</w:t>
      </w:r>
    </w:p>
    <w:p>
      <w:pPr>
        <w:spacing w:line="360" w:lineRule="auto"/>
        <w:ind w:firstLine="482" w:firstLineChars="200"/>
        <w:outlineLvl w:val="2"/>
        <w:rPr>
          <w:rFonts w:hint="eastAsia" w:ascii="仿宋" w:hAnsi="仿宋" w:eastAsia="仿宋" w:cs="仿宋"/>
          <w:b/>
          <w:bCs/>
          <w:color w:val="auto"/>
          <w:sz w:val="24"/>
          <w:szCs w:val="24"/>
        </w:rPr>
      </w:pPr>
      <w:bookmarkStart w:id="80" w:name="_Toc10242"/>
      <w:bookmarkStart w:id="81" w:name="_Toc25373"/>
      <w:r>
        <w:rPr>
          <w:rFonts w:hint="eastAsia" w:ascii="仿宋" w:hAnsi="仿宋" w:eastAsia="仿宋" w:cs="仿宋"/>
          <w:b/>
          <w:bCs/>
          <w:color w:val="auto"/>
          <w:sz w:val="24"/>
          <w:szCs w:val="24"/>
        </w:rPr>
        <w:t>3.3 投标有效期</w:t>
      </w:r>
      <w:bookmarkEnd w:id="80"/>
      <w:bookmarkEnd w:id="8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 在投标人须知前附表规定的投标有效期内，投标人不得要求撤销或修改其投标文件。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3.3.2 出现特殊情况需要延长投标有效期的，招标人以书面形式通知所有投标人延长投标有效期。</w:t>
      </w:r>
    </w:p>
    <w:p>
      <w:pPr>
        <w:spacing w:line="360" w:lineRule="auto"/>
        <w:ind w:firstLine="482" w:firstLineChars="200"/>
        <w:outlineLvl w:val="2"/>
        <w:rPr>
          <w:rFonts w:hint="eastAsia" w:ascii="仿宋" w:hAnsi="仿宋" w:eastAsia="仿宋" w:cs="仿宋"/>
          <w:b/>
          <w:bCs/>
          <w:color w:val="auto"/>
          <w:sz w:val="24"/>
          <w:szCs w:val="24"/>
        </w:rPr>
      </w:pPr>
      <w:bookmarkStart w:id="82" w:name="_Toc21169"/>
      <w:bookmarkStart w:id="83" w:name="_Toc23174"/>
      <w:r>
        <w:rPr>
          <w:rFonts w:hint="eastAsia" w:ascii="仿宋" w:hAnsi="仿宋" w:eastAsia="仿宋" w:cs="仿宋"/>
          <w:b/>
          <w:bCs/>
          <w:color w:val="auto"/>
          <w:sz w:val="24"/>
          <w:szCs w:val="24"/>
        </w:rPr>
        <w:t>3.4 投标保证金</w:t>
      </w:r>
      <w:bookmarkEnd w:id="82"/>
      <w:bookmarkEnd w:id="83"/>
    </w:p>
    <w:p>
      <w:pPr>
        <w:spacing w:line="360" w:lineRule="auto"/>
        <w:ind w:firstLine="480" w:firstLineChars="200"/>
        <w:outlineLvl w:val="2"/>
        <w:rPr>
          <w:rFonts w:hint="eastAsia" w:ascii="仿宋" w:hAnsi="仿宋" w:eastAsia="仿宋" w:cs="仿宋"/>
          <w:b w:val="0"/>
          <w:bCs w:val="0"/>
          <w:color w:val="auto"/>
          <w:sz w:val="24"/>
          <w:szCs w:val="24"/>
          <w:lang w:val="en-US" w:eastAsia="zh-CN"/>
        </w:rPr>
      </w:pPr>
      <w:bookmarkStart w:id="84" w:name="_Toc17524"/>
      <w:bookmarkStart w:id="85" w:name="_Toc14511"/>
      <w:r>
        <w:rPr>
          <w:rFonts w:hint="eastAsia" w:ascii="仿宋" w:hAnsi="仿宋" w:eastAsia="仿宋" w:cs="仿宋"/>
          <w:b w:val="0"/>
          <w:bCs w:val="0"/>
          <w:color w:val="auto"/>
          <w:sz w:val="24"/>
          <w:szCs w:val="24"/>
          <w:lang w:val="en-US" w:eastAsia="zh-CN"/>
        </w:rPr>
        <w:t>3.4.1本项目不收取投标保证金。</w:t>
      </w:r>
    </w:p>
    <w:p>
      <w:pPr>
        <w:spacing w:line="360" w:lineRule="auto"/>
        <w:ind w:firstLine="482" w:firstLineChars="200"/>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3.5备选投标方案</w:t>
      </w:r>
      <w:bookmarkEnd w:id="84"/>
      <w:bookmarkEnd w:id="8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除投标人须知前附表另有规定外，投标人不得递交备选投标方案。</w:t>
      </w:r>
    </w:p>
    <w:p>
      <w:pPr>
        <w:spacing w:line="360" w:lineRule="auto"/>
        <w:ind w:firstLine="482" w:firstLineChars="200"/>
        <w:outlineLvl w:val="2"/>
        <w:rPr>
          <w:rFonts w:hint="eastAsia" w:ascii="仿宋" w:hAnsi="仿宋" w:eastAsia="仿宋" w:cs="仿宋"/>
          <w:b/>
          <w:bCs/>
          <w:color w:val="auto"/>
          <w:sz w:val="24"/>
          <w:szCs w:val="24"/>
        </w:rPr>
      </w:pPr>
      <w:bookmarkStart w:id="86" w:name="_Toc30537"/>
      <w:bookmarkStart w:id="87" w:name="_Toc15902"/>
      <w:r>
        <w:rPr>
          <w:rFonts w:hint="eastAsia" w:ascii="仿宋" w:hAnsi="仿宋" w:eastAsia="仿宋" w:cs="仿宋"/>
          <w:b/>
          <w:bCs/>
          <w:color w:val="auto"/>
          <w:sz w:val="24"/>
          <w:szCs w:val="24"/>
        </w:rPr>
        <w:t>3.6投标文件的编制</w:t>
      </w:r>
      <w:bookmarkEnd w:id="86"/>
      <w:bookmarkEnd w:id="87"/>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3.6.1 投标文件应按“投标文件格式”进行编写，如有必要，可以增加附页，作为投标文件的组成部分。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3.6.2 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outlineLvl w:val="1"/>
        <w:rPr>
          <w:rFonts w:hint="eastAsia" w:ascii="宋体" w:hAnsi="宋体" w:cs="宋体"/>
          <w:sz w:val="24"/>
          <w:szCs w:val="24"/>
          <w:highlight w:val="none"/>
          <w:lang w:val="en-US" w:eastAsia="zh-CN"/>
        </w:rPr>
      </w:pPr>
      <w:r>
        <w:rPr>
          <w:rFonts w:hint="eastAsia" w:ascii="仿宋" w:hAnsi="仿宋" w:eastAsia="仿宋" w:cs="仿宋"/>
          <w:color w:val="auto"/>
          <w:sz w:val="24"/>
          <w:szCs w:val="24"/>
        </w:rPr>
        <w:t xml:space="preserve">3.6.3 </w:t>
      </w:r>
      <w:bookmarkStart w:id="88" w:name="_Toc29425"/>
      <w:bookmarkStart w:id="89" w:name="_Toc16810"/>
      <w:bookmarkStart w:id="90" w:name="_Toc421778368"/>
      <w:bookmarkStart w:id="91" w:name="_Toc420591646"/>
      <w:bookmarkStart w:id="92" w:name="_Toc425240467"/>
      <w:r>
        <w:rPr>
          <w:rFonts w:hint="eastAsia" w:ascii="宋体" w:hAnsi="宋体" w:cs="宋体"/>
          <w:sz w:val="24"/>
          <w:szCs w:val="24"/>
          <w:highlight w:val="none"/>
          <w:lang w:val="en-US" w:eastAsia="zh-CN"/>
        </w:rPr>
        <w:t>投标文件制作</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1）投标文件制作：投标文件用CA锁登录编标工具制作，并及时加密上传到平台。供应商应在投标截止时间前登录招标文件载明的“不见面开标系统”网址，按系统提示完成开标流程。因供应商自身设施故障或自身原因导致无法完成投标的，由供应商自行承担后果。</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（2）投标单位在全国公共资源交易平台（陕西省·西咸新区）上传加密投标文件（扩展名为“.SXSTF”）</w:t>
      </w:r>
    </w:p>
    <w:p>
      <w:pPr>
        <w:pageBreakBefore w:val="0"/>
        <w:widowControl w:val="0"/>
        <w:kinsoku/>
        <w:wordWrap/>
        <w:overflowPunct/>
        <w:topLinePunct w:val="0"/>
        <w:autoSpaceDE/>
        <w:autoSpaceDN/>
        <w:bidi w:val="0"/>
        <w:adjustRightInd/>
        <w:snapToGrid/>
        <w:spacing w:beforeLines="50" w:afterLines="50" w:line="360" w:lineRule="auto"/>
        <w:jc w:val="left"/>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4．投标</w:t>
      </w:r>
      <w:bookmarkEnd w:id="88"/>
      <w:bookmarkEnd w:id="89"/>
      <w:bookmarkEnd w:id="90"/>
      <w:bookmarkEnd w:id="91"/>
      <w:bookmarkEnd w:id="92"/>
    </w:p>
    <w:p>
      <w:pPr>
        <w:pStyle w:val="5"/>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93" w:name="_Toc425240468"/>
      <w:bookmarkStart w:id="94" w:name="_Toc10525"/>
      <w:bookmarkStart w:id="95" w:name="_Toc420591647"/>
      <w:bookmarkStart w:id="96" w:name="_Toc421778369"/>
      <w:bookmarkStart w:id="97" w:name="_Toc803"/>
      <w:r>
        <w:rPr>
          <w:rFonts w:hint="eastAsia" w:ascii="宋体" w:hAnsi="宋体" w:eastAsia="宋体" w:cs="宋体"/>
          <w:sz w:val="24"/>
          <w:szCs w:val="24"/>
        </w:rPr>
        <w:t>4</w:t>
      </w:r>
      <w:r>
        <w:rPr>
          <w:rFonts w:hint="eastAsia" w:ascii="宋体" w:hAnsi="宋体" w:cs="宋体"/>
          <w:sz w:val="24"/>
          <w:szCs w:val="24"/>
          <w:lang w:val="en-US" w:eastAsia="zh-CN"/>
        </w:rPr>
        <w:t>.1</w:t>
      </w:r>
      <w:r>
        <w:rPr>
          <w:rFonts w:hint="eastAsia" w:ascii="宋体" w:hAnsi="宋体" w:eastAsia="宋体" w:cs="宋体"/>
          <w:sz w:val="24"/>
          <w:szCs w:val="24"/>
          <w:lang w:eastAsia="zh-CN"/>
        </w:rPr>
        <w:t>投标文件</w:t>
      </w:r>
      <w:r>
        <w:rPr>
          <w:rFonts w:hint="eastAsia" w:ascii="宋体" w:hAnsi="宋体" w:eastAsia="宋体" w:cs="宋体"/>
          <w:sz w:val="24"/>
          <w:szCs w:val="24"/>
        </w:rPr>
        <w:t>的递交</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rPr>
      </w:pPr>
      <w:r>
        <w:rPr>
          <w:rFonts w:hint="eastAsia" w:ascii="宋体" w:hAnsi="宋体" w:cs="宋体"/>
          <w:b w:val="0"/>
          <w:bCs w:val="0"/>
          <w:sz w:val="24"/>
          <w:lang w:val="en-US" w:eastAsia="zh-CN"/>
        </w:rPr>
        <w:t>4.1.1本项目</w:t>
      </w:r>
      <w:r>
        <w:rPr>
          <w:rFonts w:hint="eastAsia" w:ascii="宋体" w:hAnsi="宋体" w:cs="宋体"/>
          <w:b w:val="0"/>
          <w:bCs w:val="0"/>
          <w:sz w:val="24"/>
        </w:rPr>
        <w:t>采用不见面开标模式</w:t>
      </w:r>
      <w:r>
        <w:rPr>
          <w:rFonts w:hint="eastAsia" w:ascii="宋体" w:hAnsi="宋体" w:cs="宋体"/>
          <w:b w:val="0"/>
          <w:bCs w:val="0"/>
          <w:sz w:val="24"/>
          <w:lang w:eastAsia="zh-CN"/>
        </w:rPr>
        <w:t>，</w:t>
      </w:r>
      <w:r>
        <w:rPr>
          <w:rFonts w:hint="eastAsia" w:ascii="宋体" w:hAnsi="宋体" w:cs="宋体"/>
          <w:b w:val="0"/>
          <w:bCs w:val="0"/>
          <w:sz w:val="24"/>
        </w:rPr>
        <w:t>采用电子化</w:t>
      </w:r>
      <w:r>
        <w:rPr>
          <w:rFonts w:hint="eastAsia" w:ascii="宋体" w:hAnsi="宋体" w:cs="宋体"/>
          <w:b w:val="0"/>
          <w:bCs w:val="0"/>
          <w:sz w:val="24"/>
          <w:lang w:eastAsia="zh-CN"/>
        </w:rPr>
        <w:t>投标文件</w:t>
      </w:r>
      <w:r>
        <w:rPr>
          <w:rFonts w:hint="eastAsia" w:ascii="宋体" w:hAnsi="宋体" w:cs="宋体"/>
          <w:b w:val="0"/>
          <w:bCs w:val="0"/>
          <w:sz w:val="24"/>
        </w:rPr>
        <w:t>，</w:t>
      </w:r>
      <w:r>
        <w:rPr>
          <w:rFonts w:hint="eastAsia" w:ascii="宋体" w:hAnsi="宋体" w:cs="宋体"/>
          <w:b w:val="0"/>
          <w:bCs w:val="0"/>
          <w:sz w:val="24"/>
          <w:lang w:eastAsia="zh-CN"/>
        </w:rPr>
        <w:t>供应商</w:t>
      </w:r>
      <w:r>
        <w:rPr>
          <w:rFonts w:hint="eastAsia" w:ascii="宋体" w:hAnsi="宋体" w:cs="宋体"/>
          <w:b w:val="0"/>
          <w:bCs w:val="0"/>
          <w:sz w:val="24"/>
        </w:rPr>
        <w:t>不需要提供纸质</w:t>
      </w:r>
      <w:r>
        <w:rPr>
          <w:rFonts w:hint="eastAsia" w:ascii="宋体" w:hAnsi="宋体" w:cs="宋体"/>
          <w:b w:val="0"/>
          <w:bCs w:val="0"/>
          <w:sz w:val="24"/>
          <w:lang w:eastAsia="zh-CN"/>
        </w:rPr>
        <w:t>投标文件</w:t>
      </w:r>
      <w:r>
        <w:rPr>
          <w:rFonts w:hint="eastAsia" w:ascii="宋体" w:hAnsi="宋体" w:cs="宋体"/>
          <w:b w:val="0"/>
          <w:bCs w:val="0"/>
          <w:sz w:val="24"/>
        </w:rPr>
        <w:t>。</w:t>
      </w:r>
      <w:r>
        <w:rPr>
          <w:rFonts w:hint="eastAsia" w:ascii="宋体" w:hAnsi="宋体" w:cs="宋体"/>
          <w:b w:val="0"/>
          <w:bCs w:val="0"/>
          <w:sz w:val="24"/>
          <w:lang w:eastAsia="zh-CN"/>
        </w:rPr>
        <w:t>供应商</w:t>
      </w:r>
      <w:r>
        <w:rPr>
          <w:rFonts w:hint="eastAsia" w:ascii="宋体" w:hAnsi="宋体" w:cs="宋体"/>
          <w:b w:val="0"/>
          <w:bCs w:val="0"/>
          <w:sz w:val="24"/>
        </w:rPr>
        <w:t>应在投标截止时间前登录招标文件载明的“不见面开标大厅”</w:t>
      </w:r>
      <w:r>
        <w:rPr>
          <w:rFonts w:hint="eastAsia" w:ascii="宋体" w:hAnsi="宋体" w:cs="宋体"/>
          <w:b w:val="0"/>
          <w:bCs w:val="0"/>
          <w:sz w:val="24"/>
          <w:lang w:eastAsia="zh-CN"/>
        </w:rPr>
        <w:t>（http://www.xqggzyjy.cn:8081/BidOpening-XQGC/bidopeninghallaction/hall/login）</w:t>
      </w:r>
      <w:r>
        <w:rPr>
          <w:rFonts w:hint="eastAsia" w:ascii="宋体" w:hAnsi="宋体" w:cs="宋体"/>
          <w:b w:val="0"/>
          <w:bCs w:val="0"/>
          <w:sz w:val="24"/>
        </w:rPr>
        <w:t>网址，按系统提示完成开标流程。因</w:t>
      </w:r>
      <w:r>
        <w:rPr>
          <w:rFonts w:hint="eastAsia" w:ascii="宋体" w:hAnsi="宋体" w:cs="宋体"/>
          <w:b w:val="0"/>
          <w:bCs w:val="0"/>
          <w:sz w:val="24"/>
          <w:lang w:eastAsia="zh-CN"/>
        </w:rPr>
        <w:t>供应商</w:t>
      </w:r>
      <w:r>
        <w:rPr>
          <w:rFonts w:hint="eastAsia" w:ascii="宋体" w:hAnsi="宋体" w:cs="宋体"/>
          <w:b w:val="0"/>
          <w:bCs w:val="0"/>
          <w:sz w:val="24"/>
        </w:rPr>
        <w:t>自身设施故障或自身原因导致无法完成投标的，由</w:t>
      </w:r>
      <w:r>
        <w:rPr>
          <w:rFonts w:hint="eastAsia" w:ascii="宋体" w:hAnsi="宋体" w:cs="宋体"/>
          <w:b w:val="0"/>
          <w:bCs w:val="0"/>
          <w:sz w:val="24"/>
          <w:lang w:val="en-US" w:eastAsia="zh-CN"/>
        </w:rPr>
        <w:t>供应商</w:t>
      </w:r>
      <w:r>
        <w:rPr>
          <w:rFonts w:hint="eastAsia" w:ascii="宋体" w:hAnsi="宋体" w:cs="宋体"/>
          <w:b w:val="0"/>
          <w:bCs w:val="0"/>
          <w:sz w:val="24"/>
        </w:rPr>
        <w:t xml:space="preserve">自行承担后果。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4.1.2供应商</w:t>
      </w:r>
      <w:r>
        <w:rPr>
          <w:rFonts w:hint="eastAsia" w:ascii="宋体" w:hAnsi="宋体" w:eastAsia="宋体" w:cs="宋体"/>
          <w:b w:val="0"/>
          <w:bCs w:val="0"/>
          <w:sz w:val="24"/>
        </w:rPr>
        <w:t>须在</w:t>
      </w:r>
      <w:r>
        <w:rPr>
          <w:rFonts w:hint="eastAsia" w:ascii="宋体" w:hAnsi="宋体" w:eastAsia="宋体" w:cs="宋体"/>
          <w:b w:val="0"/>
          <w:bCs w:val="0"/>
          <w:sz w:val="24"/>
          <w:lang w:val="en-US" w:eastAsia="zh-CN"/>
        </w:rPr>
        <w:t>陕西省·西咸新区公共资源交易平台</w:t>
      </w:r>
      <w:r>
        <w:rPr>
          <w:rFonts w:hint="eastAsia" w:ascii="宋体" w:hAnsi="宋体" w:eastAsia="宋体" w:cs="宋体"/>
          <w:b w:val="0"/>
          <w:bCs w:val="0"/>
          <w:sz w:val="24"/>
        </w:rPr>
        <w:t>登记企业信息，然后使用数字认证CA锁获取</w:t>
      </w:r>
      <w:r>
        <w:rPr>
          <w:rFonts w:hint="eastAsia" w:ascii="宋体" w:hAnsi="宋体" w:eastAsia="宋体" w:cs="宋体"/>
          <w:b w:val="0"/>
          <w:bCs w:val="0"/>
          <w:sz w:val="24"/>
          <w:lang w:val="en-US" w:eastAsia="zh-CN"/>
        </w:rPr>
        <w:t>招标</w:t>
      </w:r>
      <w:r>
        <w:rPr>
          <w:rFonts w:hint="eastAsia" w:ascii="宋体" w:hAnsi="宋体" w:eastAsia="宋体" w:cs="宋体"/>
          <w:b w:val="0"/>
          <w:bCs w:val="0"/>
          <w:sz w:val="24"/>
        </w:rPr>
        <w:t>文件及其他文件。</w:t>
      </w:r>
      <w:r>
        <w:rPr>
          <w:rFonts w:hint="eastAsia" w:ascii="宋体" w:hAnsi="宋体" w:eastAsia="宋体" w:cs="宋体"/>
          <w:b w:val="0"/>
          <w:bCs w:val="0"/>
          <w:sz w:val="24"/>
          <w:lang w:val="en-US" w:eastAsia="zh-CN"/>
        </w:rPr>
        <w:t>供应商</w:t>
      </w:r>
      <w:r>
        <w:rPr>
          <w:rFonts w:hint="eastAsia" w:ascii="宋体" w:hAnsi="宋体" w:eastAsia="宋体" w:cs="宋体"/>
          <w:b w:val="0"/>
          <w:bCs w:val="0"/>
          <w:sz w:val="24"/>
        </w:rPr>
        <w:t>应使用电子投标书制作工具制作、加密</w:t>
      </w:r>
      <w:r>
        <w:rPr>
          <w:rFonts w:hint="eastAsia" w:ascii="宋体" w:hAnsi="宋体" w:eastAsia="宋体" w:cs="宋体"/>
          <w:b w:val="0"/>
          <w:bCs w:val="0"/>
          <w:sz w:val="24"/>
          <w:lang w:val="en-US" w:eastAsia="zh-CN"/>
        </w:rPr>
        <w:t>投标文件</w:t>
      </w:r>
      <w:r>
        <w:rPr>
          <w:rFonts w:hint="eastAsia" w:ascii="宋体" w:hAnsi="宋体" w:eastAsia="宋体" w:cs="宋体"/>
          <w:b w:val="0"/>
          <w:bCs w:val="0"/>
          <w:sz w:val="24"/>
        </w:rPr>
        <w:t>，并在规定时间上传经过数字证书加密的电子</w:t>
      </w:r>
      <w:r>
        <w:rPr>
          <w:rFonts w:hint="eastAsia" w:ascii="宋体" w:hAnsi="宋体" w:eastAsia="宋体" w:cs="宋体"/>
          <w:b w:val="0"/>
          <w:bCs w:val="0"/>
          <w:sz w:val="24"/>
          <w:lang w:val="en-US" w:eastAsia="zh-CN"/>
        </w:rPr>
        <w:t>投标文件</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投标文件</w:t>
      </w:r>
      <w:r>
        <w:rPr>
          <w:rFonts w:hint="eastAsia" w:ascii="宋体" w:hAnsi="宋体" w:eastAsia="宋体" w:cs="宋体"/>
          <w:b w:val="0"/>
          <w:bCs w:val="0"/>
          <w:sz w:val="24"/>
        </w:rPr>
        <w:t>为.</w:t>
      </w:r>
      <w:r>
        <w:rPr>
          <w:rFonts w:hint="eastAsia" w:ascii="宋体" w:hAnsi="宋体" w:cs="宋体"/>
          <w:b w:val="0"/>
          <w:bCs w:val="0"/>
          <w:sz w:val="24"/>
          <w:lang w:val="en-US" w:eastAsia="zh-CN"/>
        </w:rPr>
        <w:t>SXSTF</w:t>
      </w:r>
      <w:r>
        <w:rPr>
          <w:rFonts w:hint="eastAsia" w:ascii="宋体" w:hAnsi="宋体" w:eastAsia="宋体" w:cs="宋体"/>
          <w:b w:val="0"/>
          <w:bCs w:val="0"/>
          <w:sz w:val="24"/>
        </w:rPr>
        <w:t xml:space="preserve">格式）。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4.1.3</w:t>
      </w:r>
      <w:r>
        <w:rPr>
          <w:rFonts w:hint="eastAsia" w:ascii="宋体" w:hAnsi="宋体" w:cs="宋体"/>
          <w:b w:val="0"/>
          <w:bCs w:val="0"/>
          <w:sz w:val="24"/>
        </w:rPr>
        <w:t>其他需要说明的事项：本项目招标所使用的交易平台为</w:t>
      </w:r>
      <w:r>
        <w:rPr>
          <w:rFonts w:ascii="宋体" w:hAnsi="宋体" w:eastAsia="宋体" w:cs="宋体"/>
          <w:b/>
          <w:bCs/>
          <w:sz w:val="24"/>
          <w:szCs w:val="24"/>
        </w:rPr>
        <w:fldChar w:fldCharType="begin"/>
      </w:r>
      <w:r>
        <w:rPr>
          <w:rFonts w:ascii="宋体" w:hAnsi="宋体" w:eastAsia="宋体" w:cs="宋体"/>
          <w:b/>
          <w:bCs/>
          <w:sz w:val="24"/>
          <w:szCs w:val="24"/>
        </w:rPr>
        <w:instrText xml:space="preserve"> HYPERLINK "http://xxxq.sxggzyjy.cn/" </w:instrText>
      </w:r>
      <w:r>
        <w:rPr>
          <w:rFonts w:ascii="宋体" w:hAnsi="宋体" w:eastAsia="宋体" w:cs="宋体"/>
          <w:b/>
          <w:bCs/>
          <w:sz w:val="24"/>
          <w:szCs w:val="24"/>
        </w:rPr>
        <w:fldChar w:fldCharType="separate"/>
      </w:r>
      <w:r>
        <w:rPr>
          <w:rStyle w:val="44"/>
          <w:rFonts w:ascii="宋体" w:hAnsi="宋体" w:eastAsia="宋体" w:cs="宋体"/>
          <w:b/>
          <w:bCs/>
          <w:sz w:val="24"/>
          <w:szCs w:val="24"/>
        </w:rPr>
        <w:t>全国公共资源交易平台（陕西省·西咸新区） (sxggzyjy.cn)</w:t>
      </w:r>
      <w:r>
        <w:rPr>
          <w:rFonts w:ascii="宋体" w:hAnsi="宋体" w:eastAsia="宋体" w:cs="宋体"/>
          <w:b/>
          <w:bCs/>
          <w:sz w:val="24"/>
          <w:szCs w:val="24"/>
        </w:rPr>
        <w:fldChar w:fldCharType="end"/>
      </w:r>
      <w:r>
        <w:rPr>
          <w:rFonts w:hint="eastAsia" w:ascii="宋体" w:hAnsi="宋体" w:eastAsia="宋体" w:cs="宋体"/>
          <w:b/>
          <w:bCs/>
          <w:sz w:val="24"/>
          <w:szCs w:val="24"/>
          <w:lang w:val="en-US" w:eastAsia="zh-CN"/>
        </w:rPr>
        <w:t>不见面开标系统</w:t>
      </w:r>
      <w:r>
        <w:rPr>
          <w:rFonts w:hint="eastAsia" w:ascii="宋体" w:hAnsi="宋体" w:cs="宋体"/>
          <w:b w:val="0"/>
          <w:bCs w:val="0"/>
          <w:sz w:val="24"/>
        </w:rPr>
        <w:t>，如有疑问，请及时与招标代理机构联系。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5．开标</w:t>
      </w:r>
      <w:bookmarkEnd w:id="93"/>
      <w:bookmarkEnd w:id="94"/>
      <w:bookmarkEnd w:id="95"/>
      <w:bookmarkEnd w:id="96"/>
      <w:bookmarkEnd w:id="97"/>
    </w:p>
    <w:p>
      <w:pPr>
        <w:spacing w:line="360" w:lineRule="auto"/>
        <w:ind w:firstLine="482" w:firstLineChars="200"/>
        <w:outlineLvl w:val="2"/>
        <w:rPr>
          <w:rFonts w:hint="eastAsia" w:ascii="仿宋" w:hAnsi="仿宋" w:eastAsia="仿宋" w:cs="仿宋"/>
          <w:color w:val="auto"/>
          <w:sz w:val="24"/>
          <w:szCs w:val="24"/>
        </w:rPr>
      </w:pPr>
      <w:bookmarkStart w:id="98" w:name="_Toc13670"/>
      <w:bookmarkStart w:id="99" w:name="_Toc26779"/>
      <w:r>
        <w:rPr>
          <w:rFonts w:hint="eastAsia" w:ascii="仿宋" w:hAnsi="仿宋" w:eastAsia="仿宋" w:cs="仿宋"/>
          <w:b/>
          <w:bCs/>
          <w:color w:val="auto"/>
          <w:sz w:val="24"/>
          <w:szCs w:val="24"/>
        </w:rPr>
        <w:t>5.1 开标时间和地点</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见投标人须知前附表。</w:t>
      </w:r>
      <w:bookmarkEnd w:id="98"/>
      <w:bookmarkEnd w:id="99"/>
    </w:p>
    <w:p>
      <w:pPr>
        <w:pStyle w:val="5"/>
        <w:ind w:firstLine="482" w:firstLineChars="200"/>
        <w:rPr>
          <w:rFonts w:hint="eastAsia" w:ascii="仿宋" w:hAnsi="仿宋" w:eastAsia="仿宋" w:cs="仿宋"/>
          <w:b/>
          <w:bCs/>
          <w:color w:val="auto"/>
          <w:kern w:val="2"/>
          <w:sz w:val="24"/>
          <w:szCs w:val="24"/>
          <w:lang w:val="en-US" w:eastAsia="zh-CN" w:bidi="ar-SA"/>
        </w:rPr>
      </w:pPr>
      <w:bookmarkStart w:id="100" w:name="_Toc8302"/>
      <w:bookmarkStart w:id="101" w:name="_Toc31942"/>
      <w:r>
        <w:rPr>
          <w:rFonts w:hint="eastAsia" w:ascii="仿宋" w:hAnsi="仿宋" w:eastAsia="仿宋" w:cs="仿宋"/>
          <w:b/>
          <w:bCs/>
          <w:color w:val="auto"/>
          <w:kern w:val="2"/>
          <w:sz w:val="24"/>
          <w:szCs w:val="24"/>
          <w:lang w:val="en-US" w:eastAsia="zh-CN" w:bidi="ar-SA"/>
        </w:rPr>
        <w:t>5.2开标程序</w:t>
      </w:r>
      <w:bookmarkEnd w:id="100"/>
      <w:bookmarkEnd w:id="10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5.2.1</w:t>
      </w:r>
      <w:r>
        <w:rPr>
          <w:rFonts w:hint="eastAsia" w:ascii="仿宋" w:hAnsi="仿宋" w:eastAsia="仿宋" w:cs="仿宋"/>
          <w:color w:val="auto"/>
          <w:sz w:val="24"/>
          <w:szCs w:val="24"/>
        </w:rPr>
        <w:t>主持人按下列程序进行开标：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（1）宣布招标项目名称及投标文件接收截止时间，终止一切投标文件的接收工作，并宣布开标会开始；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（2）介绍招标人、</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、招标监督管理部门和招标工作人员；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（3）宣布本项目投标人签到名单；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（4）宣布开标会议纪律；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解密电子化</w:t>
      </w:r>
      <w:r>
        <w:rPr>
          <w:rFonts w:hint="eastAsia" w:ascii="仿宋" w:hAnsi="仿宋" w:eastAsia="仿宋" w:cs="仿宋"/>
          <w:color w:val="auto"/>
          <w:sz w:val="24"/>
          <w:szCs w:val="24"/>
        </w:rPr>
        <w:t>投标文件，宣读商务标中投标总报价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质量及工期等；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）设有招标最高限价的，公布或重申招标最高限价；</w:t>
      </w:r>
    </w:p>
    <w:p>
      <w:pPr>
        <w:spacing w:line="360" w:lineRule="auto"/>
        <w:ind w:firstLine="480" w:firstLineChars="200"/>
        <w:rPr>
          <w:rFonts w:hint="eastAsia" w:ascii="仿宋" w:hAnsi="仿宋" w:eastAsia="仿宋" w:cs="仿宋"/>
          <w:color w:val="auto"/>
          <w:sz w:val="24"/>
          <w:szCs w:val="24"/>
        </w:rPr>
      </w:pPr>
      <w:bookmarkStart w:id="102" w:name="OLE_LINK61"/>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bookmarkEnd w:id="102"/>
      <w:r>
        <w:rPr>
          <w:rFonts w:hint="eastAsia" w:ascii="仿宋" w:hAnsi="仿宋" w:eastAsia="仿宋" w:cs="仿宋"/>
          <w:color w:val="auto"/>
          <w:sz w:val="24"/>
          <w:szCs w:val="24"/>
        </w:rPr>
        <w:t>投标人代表、招标人代表、监标人、记录人等有关人员在开标记录上签字确认；</w:t>
      </w:r>
    </w:p>
    <w:p>
      <w:pPr>
        <w:spacing w:line="360" w:lineRule="auto"/>
        <w:ind w:firstLine="480" w:firstLineChars="200"/>
        <w:rPr>
          <w:rFonts w:hint="eastAsia" w:ascii="仿宋" w:hAnsi="仿宋" w:eastAsia="仿宋" w:cs="仿宋"/>
          <w:color w:val="auto"/>
          <w:sz w:val="24"/>
          <w:szCs w:val="24"/>
          <w:lang w:val="en-US" w:eastAsia="zh-CN"/>
        </w:rPr>
      </w:pPr>
      <w:bookmarkStart w:id="103" w:name="_Toc3292"/>
      <w:bookmarkStart w:id="104" w:name="_Toc9220"/>
      <w:r>
        <w:rPr>
          <w:rFonts w:hint="eastAsia" w:ascii="仿宋" w:hAnsi="仿宋" w:eastAsia="仿宋" w:cs="仿宋"/>
          <w:color w:val="auto"/>
          <w:sz w:val="24"/>
          <w:szCs w:val="24"/>
          <w:lang w:val="en-US" w:eastAsia="zh-CN"/>
        </w:rPr>
        <w:t>（8）在监标人的监督下，将投标文件送交评标委员会评审；</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（9）开标结束。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6.评标</w:t>
      </w:r>
    </w:p>
    <w:p>
      <w:pPr>
        <w:spacing w:line="360" w:lineRule="auto"/>
        <w:ind w:firstLine="482" w:firstLineChars="200"/>
        <w:outlineLvl w:val="2"/>
        <w:rPr>
          <w:rFonts w:hint="eastAsia" w:ascii="仿宋" w:hAnsi="仿宋" w:eastAsia="仿宋" w:cs="仿宋"/>
          <w:color w:val="auto"/>
          <w:sz w:val="24"/>
          <w:szCs w:val="24"/>
        </w:rPr>
      </w:pPr>
      <w:r>
        <w:rPr>
          <w:rFonts w:hint="eastAsia" w:ascii="仿宋" w:hAnsi="仿宋" w:eastAsia="仿宋" w:cs="仿宋"/>
          <w:b/>
          <w:bCs/>
          <w:color w:val="auto"/>
          <w:sz w:val="24"/>
          <w:szCs w:val="24"/>
        </w:rPr>
        <w:t>6.1 评标委员会</w:t>
      </w:r>
      <w:bookmarkEnd w:id="103"/>
      <w:bookmarkEnd w:id="104"/>
    </w:p>
    <w:p>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6.1.1 评标由招标人依法组建的评标委员会负责。评标委员会</w:t>
      </w:r>
      <w:r>
        <w:rPr>
          <w:rFonts w:hint="eastAsia" w:ascii="仿宋" w:hAnsi="仿宋" w:eastAsia="仿宋" w:cs="仿宋"/>
          <w:color w:val="auto"/>
          <w:sz w:val="24"/>
          <w:szCs w:val="24"/>
          <w:lang w:eastAsia="zh-CN"/>
        </w:rPr>
        <w:t>组成：见投标人须知前附表。评标委员会</w:t>
      </w: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方法独立进行</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工作。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)投标人或者投标人主要负责人的近亲属</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)项目主管部门或者行政监督部门的人员</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)与投标人有利害关系，可能影响对投标公正评审的</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)为投标人编制投标文件的人员</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)在招标投标活动中有违法行为而受过行政处罚或者刑事处罚的人员。</w:t>
      </w:r>
    </w:p>
    <w:p>
      <w:pPr>
        <w:spacing w:line="360" w:lineRule="auto"/>
        <w:ind w:firstLine="482" w:firstLineChars="200"/>
        <w:outlineLvl w:val="2"/>
        <w:rPr>
          <w:rFonts w:hint="eastAsia" w:ascii="仿宋" w:hAnsi="仿宋" w:eastAsia="仿宋" w:cs="仿宋"/>
          <w:b/>
          <w:bCs/>
          <w:color w:val="auto"/>
          <w:sz w:val="24"/>
          <w:szCs w:val="24"/>
        </w:rPr>
      </w:pPr>
      <w:bookmarkStart w:id="105" w:name="_Toc11841"/>
      <w:bookmarkStart w:id="106" w:name="_Toc26598"/>
      <w:r>
        <w:rPr>
          <w:rFonts w:hint="eastAsia" w:ascii="仿宋" w:hAnsi="仿宋" w:eastAsia="仿宋" w:cs="仿宋"/>
          <w:b/>
          <w:bCs/>
          <w:color w:val="auto"/>
          <w:sz w:val="24"/>
          <w:szCs w:val="24"/>
        </w:rPr>
        <w:t>6.2 评标原则</w:t>
      </w:r>
      <w:bookmarkEnd w:id="105"/>
      <w:bookmarkEnd w:id="106"/>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评标活动遵循公平、公正、科学和择优的原则。</w:t>
      </w:r>
    </w:p>
    <w:p>
      <w:pPr>
        <w:spacing w:line="360" w:lineRule="auto"/>
        <w:ind w:firstLine="482" w:firstLineChars="200"/>
        <w:outlineLvl w:val="2"/>
        <w:rPr>
          <w:rFonts w:hint="eastAsia" w:ascii="仿宋" w:hAnsi="仿宋" w:eastAsia="仿宋" w:cs="仿宋"/>
          <w:b/>
          <w:bCs/>
          <w:color w:val="auto"/>
          <w:sz w:val="24"/>
          <w:szCs w:val="24"/>
        </w:rPr>
      </w:pPr>
      <w:bookmarkStart w:id="107" w:name="_Toc15125"/>
      <w:bookmarkStart w:id="108" w:name="_Toc19961"/>
      <w:r>
        <w:rPr>
          <w:rFonts w:hint="eastAsia" w:ascii="仿宋" w:hAnsi="仿宋" w:eastAsia="仿宋" w:cs="仿宋"/>
          <w:b/>
          <w:bCs/>
          <w:color w:val="auto"/>
          <w:sz w:val="24"/>
          <w:szCs w:val="24"/>
        </w:rPr>
        <w:t>6.3 评标</w:t>
      </w:r>
      <w:bookmarkEnd w:id="107"/>
      <w:bookmarkEnd w:id="10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6.3.2评标过程的保密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（3）中标人确定后，招标人不对未中标人就评标过程以及未能中标原因作出任何解释。未中标人不得向评标委员会组成人员或其他有关人员索问评标过程的情况和材料。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lang w:val="en-US" w:eastAsia="zh-CN"/>
        </w:rPr>
      </w:pPr>
      <w:bookmarkStart w:id="109" w:name="_Toc421778371"/>
      <w:bookmarkStart w:id="110" w:name="_Toc425240470"/>
      <w:bookmarkStart w:id="111" w:name="_Toc31541"/>
      <w:bookmarkStart w:id="112" w:name="_Toc16916"/>
      <w:bookmarkStart w:id="113" w:name="_Toc420591649"/>
      <w:r>
        <w:rPr>
          <w:rFonts w:hint="eastAsia" w:ascii="仿宋" w:hAnsi="仿宋" w:eastAsia="仿宋" w:cs="仿宋"/>
          <w:b/>
          <w:bCs/>
          <w:color w:val="auto"/>
          <w:sz w:val="24"/>
          <w:szCs w:val="24"/>
          <w:lang w:val="en-US" w:eastAsia="zh-CN"/>
        </w:rPr>
        <w:t>7．合同授予</w:t>
      </w:r>
      <w:bookmarkEnd w:id="109"/>
      <w:bookmarkEnd w:id="110"/>
      <w:bookmarkEnd w:id="111"/>
      <w:bookmarkEnd w:id="112"/>
      <w:bookmarkEnd w:id="113"/>
    </w:p>
    <w:p>
      <w:pPr>
        <w:spacing w:line="360" w:lineRule="auto"/>
        <w:ind w:firstLine="482" w:firstLineChars="200"/>
        <w:outlineLvl w:val="2"/>
        <w:rPr>
          <w:rFonts w:hint="eastAsia" w:ascii="仿宋" w:hAnsi="仿宋" w:eastAsia="仿宋" w:cs="仿宋"/>
          <w:b/>
          <w:bCs/>
          <w:color w:val="auto"/>
          <w:sz w:val="24"/>
          <w:szCs w:val="24"/>
        </w:rPr>
      </w:pPr>
      <w:bookmarkStart w:id="114" w:name="_Toc14145"/>
      <w:bookmarkStart w:id="115" w:name="_Toc25384"/>
      <w:r>
        <w:rPr>
          <w:rFonts w:hint="eastAsia" w:ascii="仿宋" w:hAnsi="仿宋" w:eastAsia="仿宋" w:cs="仿宋"/>
          <w:b/>
          <w:bCs/>
          <w:color w:val="auto"/>
          <w:sz w:val="24"/>
          <w:szCs w:val="24"/>
        </w:rPr>
        <w:t>7.1 定标方式</w:t>
      </w:r>
      <w:bookmarkEnd w:id="114"/>
      <w:bookmarkEnd w:id="11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评标委员会推荐3名中标候选人，并标明推荐顺序，招标人依据评标委员会推荐的中标候选人确定中标人。</w:t>
      </w:r>
    </w:p>
    <w:p>
      <w:pPr>
        <w:spacing w:line="360" w:lineRule="auto"/>
        <w:ind w:firstLine="482" w:firstLineChars="200"/>
        <w:outlineLvl w:val="2"/>
        <w:rPr>
          <w:rFonts w:hint="eastAsia" w:ascii="仿宋" w:hAnsi="仿宋" w:eastAsia="仿宋" w:cs="仿宋"/>
          <w:b/>
          <w:bCs/>
          <w:color w:val="auto"/>
          <w:sz w:val="24"/>
          <w:szCs w:val="24"/>
        </w:rPr>
      </w:pPr>
      <w:bookmarkStart w:id="116" w:name="_Toc30374"/>
      <w:bookmarkStart w:id="117" w:name="_Toc15631"/>
      <w:r>
        <w:rPr>
          <w:rFonts w:hint="eastAsia" w:ascii="仿宋" w:hAnsi="仿宋" w:eastAsia="仿宋" w:cs="仿宋"/>
          <w:b/>
          <w:bCs/>
          <w:color w:val="auto"/>
          <w:sz w:val="24"/>
          <w:szCs w:val="24"/>
        </w:rPr>
        <w:t>7.2 中标通知</w:t>
      </w:r>
      <w:bookmarkEnd w:id="116"/>
      <w:bookmarkEnd w:id="117"/>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在本章第3.3 款规定的投标有效期内，经招标人同意由</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以书面形式向中标人发出中标通知书。</w:t>
      </w:r>
      <w:r>
        <w:rPr>
          <w:rFonts w:hint="eastAsia" w:ascii="仿宋" w:hAnsi="仿宋" w:eastAsia="仿宋" w:cs="仿宋"/>
          <w:b/>
          <w:bCs/>
          <w:color w:val="auto"/>
          <w:sz w:val="24"/>
          <w:szCs w:val="24"/>
          <w:highlight w:val="none"/>
          <w:lang w:eastAsia="zh-CN"/>
        </w:rPr>
        <w:t>中标人领取中标通知书时须携带法定代表人授权书及加盖单位公章的被授权人身份证复印件。</w:t>
      </w:r>
      <w:r>
        <w:rPr>
          <w:rFonts w:hint="eastAsia" w:ascii="仿宋" w:hAnsi="仿宋" w:eastAsia="仿宋" w:cs="仿宋"/>
          <w:b/>
          <w:bCs/>
          <w:color w:val="auto"/>
          <w:sz w:val="24"/>
          <w:szCs w:val="24"/>
          <w:highlight w:val="none"/>
        </w:rPr>
        <w:t xml:space="preserve"> </w:t>
      </w:r>
    </w:p>
    <w:p>
      <w:pPr>
        <w:spacing w:line="360" w:lineRule="auto"/>
        <w:ind w:firstLine="482" w:firstLineChars="200"/>
        <w:outlineLvl w:val="2"/>
        <w:rPr>
          <w:rFonts w:hint="eastAsia" w:ascii="仿宋" w:hAnsi="仿宋" w:eastAsia="仿宋" w:cs="仿宋"/>
          <w:b/>
          <w:bCs/>
          <w:color w:val="auto"/>
          <w:sz w:val="24"/>
          <w:szCs w:val="24"/>
          <w:lang w:eastAsia="zh-CN"/>
        </w:rPr>
      </w:pPr>
      <w:bookmarkStart w:id="118" w:name="_Toc19753"/>
      <w:bookmarkStart w:id="119" w:name="_Toc393"/>
      <w:r>
        <w:rPr>
          <w:rFonts w:hint="eastAsia" w:ascii="仿宋" w:hAnsi="仿宋" w:eastAsia="仿宋" w:cs="仿宋"/>
          <w:b/>
          <w:bCs/>
          <w:color w:val="auto"/>
          <w:sz w:val="24"/>
          <w:szCs w:val="24"/>
        </w:rPr>
        <w:t>7.3 履约担保</w:t>
      </w:r>
      <w:r>
        <w:rPr>
          <w:rFonts w:hint="eastAsia" w:ascii="仿宋" w:hAnsi="仿宋" w:eastAsia="仿宋" w:cs="仿宋"/>
          <w:b/>
          <w:bCs/>
          <w:color w:val="auto"/>
          <w:sz w:val="24"/>
          <w:szCs w:val="24"/>
          <w:lang w:eastAsia="zh-CN"/>
        </w:rPr>
        <w:t>及支付担保</w:t>
      </w:r>
      <w:bookmarkEnd w:id="118"/>
      <w:bookmarkEnd w:id="119"/>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7.3.1在签订合同前，中标人应按投标人须知前附表规定的金额、担保形式和招标文件第</w:t>
      </w:r>
      <w:r>
        <w:rPr>
          <w:rFonts w:hint="eastAsia" w:ascii="仿宋" w:hAnsi="仿宋" w:eastAsia="仿宋" w:cs="仿宋"/>
          <w:color w:val="auto"/>
          <w:sz w:val="24"/>
          <w:lang w:val="en-US" w:eastAsia="zh-CN"/>
        </w:rPr>
        <w:t>四</w:t>
      </w:r>
      <w:r>
        <w:rPr>
          <w:rFonts w:hint="eastAsia" w:ascii="仿宋" w:hAnsi="仿宋" w:eastAsia="仿宋" w:cs="仿宋"/>
          <w:color w:val="auto"/>
          <w:sz w:val="24"/>
        </w:rPr>
        <w:t>章“合同条款及格式”规定的履约担保格式向招标人提交履约担保。</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7.3.2 中标人不能按本章第7.3.1项要求提交履约担保的，视为放弃中标，</w:t>
      </w:r>
      <w:r>
        <w:rPr>
          <w:rFonts w:hint="eastAsia" w:ascii="仿宋" w:hAnsi="仿宋" w:eastAsia="仿宋" w:cs="仿宋"/>
          <w:color w:val="auto"/>
          <w:sz w:val="24"/>
          <w:lang w:eastAsia="zh-CN"/>
        </w:rPr>
        <w:t>并按规定承担相应的责任</w:t>
      </w:r>
      <w:r>
        <w:rPr>
          <w:rFonts w:hint="eastAsia" w:ascii="仿宋" w:hAnsi="仿宋" w:eastAsia="仿宋" w:cs="仿宋"/>
          <w:color w:val="auto"/>
          <w:sz w:val="24"/>
        </w:rPr>
        <w:t>。</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lang w:val="en-US" w:eastAsia="zh-CN"/>
        </w:rPr>
        <w:t>7.3.3</w:t>
      </w:r>
      <w:r>
        <w:rPr>
          <w:rFonts w:hint="eastAsia" w:ascii="仿宋" w:hAnsi="仿宋" w:eastAsia="仿宋" w:cs="仿宋"/>
          <w:b w:val="0"/>
          <w:bCs w:val="0"/>
          <w:color w:val="auto"/>
          <w:sz w:val="24"/>
          <w:szCs w:val="24"/>
        </w:rPr>
        <w:t>招标人要求中标人提供履约担保的，招标人应当同时向中标人提供工程款支付担保。</w:t>
      </w:r>
      <w:r>
        <w:rPr>
          <w:rFonts w:hint="eastAsia" w:ascii="仿宋" w:hAnsi="仿宋" w:eastAsia="仿宋" w:cs="仿宋"/>
          <w:color w:val="auto"/>
          <w:sz w:val="24"/>
        </w:rPr>
        <w:t>支付担保形式</w:t>
      </w:r>
      <w:r>
        <w:rPr>
          <w:rFonts w:hint="eastAsia" w:ascii="仿宋" w:hAnsi="仿宋" w:eastAsia="仿宋" w:cs="仿宋"/>
          <w:color w:val="auto"/>
          <w:sz w:val="24"/>
          <w:lang w:val="en-US" w:eastAsia="zh-CN"/>
        </w:rPr>
        <w:t>及金额</w:t>
      </w:r>
      <w:r>
        <w:rPr>
          <w:rFonts w:hint="eastAsia" w:ascii="仿宋" w:hAnsi="仿宋" w:eastAsia="仿宋" w:cs="仿宋"/>
          <w:color w:val="auto"/>
          <w:sz w:val="24"/>
        </w:rPr>
        <w:t>：见投标人须知前附表</w:t>
      </w:r>
      <w:r>
        <w:rPr>
          <w:rFonts w:hint="eastAsia" w:ascii="仿宋" w:hAnsi="仿宋" w:eastAsia="仿宋" w:cs="仿宋"/>
          <w:color w:val="auto"/>
          <w:sz w:val="24"/>
          <w:lang w:eastAsia="zh-CN"/>
        </w:rPr>
        <w:t>。</w:t>
      </w:r>
    </w:p>
    <w:p>
      <w:pPr>
        <w:pStyle w:val="5"/>
        <w:ind w:firstLine="482" w:firstLineChars="200"/>
        <w:rPr>
          <w:rFonts w:hint="eastAsia" w:ascii="仿宋" w:hAnsi="仿宋" w:eastAsia="仿宋" w:cs="仿宋"/>
          <w:color w:val="auto"/>
        </w:rPr>
      </w:pPr>
      <w:r>
        <w:rPr>
          <w:rFonts w:hint="eastAsia" w:ascii="仿宋" w:hAnsi="仿宋" w:eastAsia="仿宋" w:cs="仿宋"/>
          <w:color w:val="auto"/>
        </w:rPr>
        <w:t>7.4 签订合同</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7.4.1 招标人和中标人应当自中标通知书发出之日起30天内，根据招标文件和中标人的投标文件订立书面合同；中标人应在领取中标通知书时向</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一次性支付招标代理服务费。中标人无正当理由拒签合同或拒绝缴纳招标代理服务费的，招标人取消其中标资格，</w:t>
      </w:r>
      <w:r>
        <w:rPr>
          <w:rFonts w:hint="eastAsia" w:ascii="仿宋" w:hAnsi="仿宋" w:eastAsia="仿宋" w:cs="仿宋"/>
          <w:color w:val="auto"/>
          <w:sz w:val="24"/>
          <w:szCs w:val="24"/>
          <w:lang w:eastAsia="zh-CN"/>
        </w:rPr>
        <w:t>中标人应按照相关规定承担相应的责任。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120" w:name="_Toc30488"/>
      <w:bookmarkStart w:id="121" w:name="_Toc421778372"/>
      <w:bookmarkStart w:id="122" w:name="_Toc18187"/>
      <w:bookmarkStart w:id="123" w:name="_Toc425240471"/>
      <w:bookmarkStart w:id="124" w:name="_Toc420591650"/>
      <w:r>
        <w:rPr>
          <w:rFonts w:hint="eastAsia" w:ascii="仿宋" w:hAnsi="仿宋" w:eastAsia="仿宋" w:cs="仿宋"/>
          <w:b/>
          <w:bCs/>
          <w:color w:val="auto"/>
          <w:sz w:val="24"/>
          <w:szCs w:val="24"/>
        </w:rPr>
        <w:t>8．重新招标和不再招标</w:t>
      </w:r>
      <w:bookmarkEnd w:id="120"/>
      <w:bookmarkEnd w:id="121"/>
      <w:bookmarkEnd w:id="122"/>
      <w:bookmarkEnd w:id="123"/>
      <w:bookmarkEnd w:id="124"/>
    </w:p>
    <w:p>
      <w:pPr>
        <w:spacing w:line="360" w:lineRule="auto"/>
        <w:ind w:firstLine="482" w:firstLineChars="200"/>
        <w:outlineLvl w:val="2"/>
        <w:rPr>
          <w:rFonts w:hint="eastAsia" w:ascii="仿宋" w:hAnsi="仿宋" w:eastAsia="仿宋" w:cs="仿宋"/>
          <w:b/>
          <w:bCs/>
          <w:color w:val="auto"/>
          <w:sz w:val="24"/>
          <w:szCs w:val="24"/>
        </w:rPr>
      </w:pPr>
      <w:bookmarkStart w:id="125" w:name="_Toc3989"/>
      <w:bookmarkStart w:id="126" w:name="_Toc23717"/>
      <w:r>
        <w:rPr>
          <w:rFonts w:hint="eastAsia" w:ascii="仿宋" w:hAnsi="仿宋" w:eastAsia="仿宋" w:cs="仿宋"/>
          <w:b/>
          <w:bCs/>
          <w:color w:val="auto"/>
          <w:sz w:val="24"/>
          <w:szCs w:val="24"/>
        </w:rPr>
        <w:t>8.1 重新招标</w:t>
      </w:r>
      <w:bookmarkEnd w:id="125"/>
      <w:bookmarkEnd w:id="126"/>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有下列情形之一的，招标人将重新招标：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（l）投标截止时间止，投标人少于3个的；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（2）经评标委员会评审后否决所有投标的。</w:t>
      </w:r>
    </w:p>
    <w:p>
      <w:pPr>
        <w:spacing w:line="360" w:lineRule="auto"/>
        <w:ind w:firstLine="482" w:firstLineChars="200"/>
        <w:outlineLvl w:val="2"/>
        <w:rPr>
          <w:rFonts w:hint="eastAsia" w:ascii="仿宋" w:hAnsi="仿宋" w:eastAsia="仿宋" w:cs="仿宋"/>
          <w:b/>
          <w:bCs/>
          <w:color w:val="auto"/>
          <w:sz w:val="24"/>
          <w:szCs w:val="24"/>
        </w:rPr>
      </w:pPr>
      <w:bookmarkStart w:id="127" w:name="_Toc15596"/>
      <w:bookmarkStart w:id="128" w:name="_Toc26419"/>
      <w:r>
        <w:rPr>
          <w:rFonts w:hint="eastAsia" w:ascii="仿宋" w:hAnsi="仿宋" w:eastAsia="仿宋" w:cs="仿宋"/>
          <w:b/>
          <w:bCs/>
          <w:color w:val="auto"/>
          <w:sz w:val="24"/>
          <w:szCs w:val="24"/>
        </w:rPr>
        <w:t>8.2 不再招标</w:t>
      </w:r>
      <w:bookmarkEnd w:id="127"/>
      <w:bookmarkEnd w:id="128"/>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129" w:name="_Toc4420"/>
      <w:bookmarkStart w:id="130" w:name="_Toc425240472"/>
      <w:bookmarkStart w:id="131" w:name="_Toc32389"/>
      <w:bookmarkStart w:id="132" w:name="_Toc421778373"/>
      <w:bookmarkStart w:id="133" w:name="_Toc420591651"/>
      <w:r>
        <w:rPr>
          <w:rFonts w:hint="eastAsia" w:ascii="仿宋" w:hAnsi="仿宋" w:eastAsia="仿宋" w:cs="仿宋"/>
          <w:b/>
          <w:bCs/>
          <w:color w:val="auto"/>
          <w:sz w:val="24"/>
          <w:szCs w:val="24"/>
        </w:rPr>
        <w:t>9．纪律和监督</w:t>
      </w:r>
      <w:bookmarkEnd w:id="129"/>
      <w:bookmarkEnd w:id="130"/>
      <w:bookmarkEnd w:id="131"/>
      <w:bookmarkEnd w:id="132"/>
      <w:bookmarkEnd w:id="133"/>
    </w:p>
    <w:p>
      <w:pPr>
        <w:spacing w:line="360" w:lineRule="auto"/>
        <w:ind w:firstLine="482" w:firstLineChars="200"/>
        <w:outlineLvl w:val="2"/>
        <w:rPr>
          <w:rFonts w:hint="eastAsia" w:ascii="仿宋" w:hAnsi="仿宋" w:eastAsia="仿宋" w:cs="仿宋"/>
          <w:b/>
          <w:bCs/>
          <w:color w:val="auto"/>
          <w:sz w:val="24"/>
          <w:szCs w:val="24"/>
        </w:rPr>
      </w:pPr>
      <w:bookmarkStart w:id="134" w:name="_Toc962"/>
      <w:bookmarkStart w:id="135" w:name="_Toc350"/>
      <w:r>
        <w:rPr>
          <w:rFonts w:hint="eastAsia" w:ascii="仿宋" w:hAnsi="仿宋" w:eastAsia="仿宋" w:cs="仿宋"/>
          <w:b/>
          <w:bCs/>
          <w:color w:val="auto"/>
          <w:sz w:val="24"/>
          <w:szCs w:val="24"/>
        </w:rPr>
        <w:t>9.1 对招标人的纪律要求</w:t>
      </w:r>
      <w:bookmarkEnd w:id="134"/>
      <w:bookmarkEnd w:id="13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招标人不得泄漏招标投标活动中应当保密的情况和资料，不得与投标人串通损害国家利益、社会公共利益或者他人合法权益。</w:t>
      </w:r>
    </w:p>
    <w:p>
      <w:pPr>
        <w:spacing w:line="360" w:lineRule="auto"/>
        <w:ind w:firstLine="482" w:firstLineChars="200"/>
        <w:outlineLvl w:val="2"/>
        <w:rPr>
          <w:rFonts w:hint="eastAsia" w:ascii="仿宋" w:hAnsi="仿宋" w:eastAsia="仿宋" w:cs="仿宋"/>
          <w:b/>
          <w:bCs/>
          <w:color w:val="auto"/>
          <w:sz w:val="24"/>
          <w:szCs w:val="24"/>
        </w:rPr>
      </w:pPr>
      <w:bookmarkStart w:id="136" w:name="_Toc5401"/>
      <w:bookmarkStart w:id="137" w:name="_Toc4068"/>
      <w:r>
        <w:rPr>
          <w:rFonts w:hint="eastAsia" w:ascii="仿宋" w:hAnsi="仿宋" w:eastAsia="仿宋" w:cs="仿宋"/>
          <w:b/>
          <w:bCs/>
          <w:color w:val="auto"/>
          <w:sz w:val="24"/>
          <w:szCs w:val="24"/>
        </w:rPr>
        <w:t>9.2 对投标人的纪律要求</w:t>
      </w:r>
      <w:bookmarkEnd w:id="136"/>
      <w:bookmarkEnd w:id="137"/>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outlineLvl w:val="2"/>
        <w:rPr>
          <w:rFonts w:hint="eastAsia" w:ascii="仿宋" w:hAnsi="仿宋" w:eastAsia="仿宋" w:cs="仿宋"/>
          <w:b/>
          <w:bCs/>
          <w:color w:val="auto"/>
          <w:sz w:val="24"/>
          <w:szCs w:val="24"/>
        </w:rPr>
      </w:pPr>
      <w:bookmarkStart w:id="138" w:name="_Toc24478"/>
      <w:bookmarkStart w:id="139" w:name="_Toc27523"/>
      <w:r>
        <w:rPr>
          <w:rFonts w:hint="eastAsia" w:ascii="仿宋" w:hAnsi="仿宋" w:eastAsia="仿宋" w:cs="仿宋"/>
          <w:b/>
          <w:bCs/>
          <w:color w:val="auto"/>
          <w:sz w:val="24"/>
          <w:szCs w:val="24"/>
        </w:rPr>
        <w:t>9.3 对评标委员会成员的纪律要求</w:t>
      </w:r>
      <w:bookmarkEnd w:id="138"/>
      <w:bookmarkEnd w:id="139"/>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outlineLvl w:val="2"/>
        <w:rPr>
          <w:rFonts w:hint="eastAsia" w:ascii="仿宋" w:hAnsi="仿宋" w:eastAsia="仿宋" w:cs="仿宋"/>
          <w:b/>
          <w:bCs/>
          <w:color w:val="auto"/>
          <w:sz w:val="24"/>
          <w:szCs w:val="24"/>
        </w:rPr>
      </w:pPr>
      <w:bookmarkStart w:id="140" w:name="_Toc16418"/>
      <w:bookmarkStart w:id="141" w:name="_Toc30530"/>
      <w:r>
        <w:rPr>
          <w:rFonts w:hint="eastAsia" w:ascii="仿宋" w:hAnsi="仿宋" w:eastAsia="仿宋" w:cs="仿宋"/>
          <w:b/>
          <w:bCs/>
          <w:color w:val="auto"/>
          <w:sz w:val="24"/>
          <w:szCs w:val="24"/>
        </w:rPr>
        <w:t>9.4 对与评标活动有关的工作人员的纪律要求</w:t>
      </w:r>
      <w:bookmarkEnd w:id="140"/>
      <w:bookmarkEnd w:id="14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outlineLvl w:val="2"/>
        <w:rPr>
          <w:rFonts w:hint="eastAsia" w:ascii="仿宋" w:hAnsi="仿宋" w:eastAsia="仿宋" w:cs="仿宋"/>
          <w:b/>
          <w:bCs/>
          <w:color w:val="auto"/>
          <w:sz w:val="24"/>
          <w:szCs w:val="24"/>
        </w:rPr>
      </w:pPr>
      <w:bookmarkStart w:id="142" w:name="_Toc21662"/>
      <w:bookmarkStart w:id="143" w:name="_Toc12879"/>
      <w:r>
        <w:rPr>
          <w:rFonts w:hint="eastAsia" w:ascii="仿宋" w:hAnsi="仿宋" w:eastAsia="仿宋" w:cs="仿宋"/>
          <w:b/>
          <w:bCs/>
          <w:color w:val="auto"/>
          <w:sz w:val="24"/>
          <w:szCs w:val="24"/>
        </w:rPr>
        <w:t>9.5 投诉</w:t>
      </w:r>
      <w:bookmarkEnd w:id="142"/>
      <w:bookmarkEnd w:id="143"/>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投标人和其他利害关系人认为本次招标活动违反法律、法规和规章规定的，有权向有关行政监督部门投诉。</w:t>
      </w:r>
    </w:p>
    <w:p>
      <w:pPr>
        <w:spacing w:line="240" w:lineRule="auto"/>
        <w:jc w:val="left"/>
        <w:outlineLvl w:val="1"/>
        <w:rPr>
          <w:rFonts w:hint="eastAsia" w:ascii="仿宋" w:hAnsi="仿宋" w:eastAsia="仿宋" w:cs="仿宋"/>
          <w:b/>
          <w:bCs/>
          <w:color w:val="auto"/>
          <w:sz w:val="24"/>
          <w:szCs w:val="24"/>
          <w:highlight w:val="none"/>
        </w:rPr>
      </w:pPr>
      <w:bookmarkStart w:id="144" w:name="_Toc21077"/>
      <w:bookmarkStart w:id="145" w:name="_Toc30705"/>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rPr>
        <w:t>质疑</w:t>
      </w:r>
      <w:bookmarkEnd w:id="144"/>
      <w:bookmarkEnd w:id="145"/>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rPr>
        <w:t>投标人认为招标文件、招标过程、中标结果使自己的权益受到损害的，可以在知道或者应知其权益受到损害之日起7个工作日内，以书面形式向采购人、采购代理机构提出质疑。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.2投标人必须在法定质疑期内一次性提出针对同一采购程序环节的质疑。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0.4以联合体形式参加政府采购活动的，其质疑应当由组成联合体的所有投标人共同提出。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0.5投标人提出质疑应当提交质疑函和必要的证明材料。质疑函应当包括下列内容：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0.5.1投标人的姓名或者名称、地址、邮编、联系人及联系电话；</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.5.2质疑项目的名称、编号；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0.5.3具体、明确的质疑事项和与质疑事项相关的请求；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0.5.4事实依据；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0.5.5必要的法律依据；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0.5.6提出质疑的日期。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0.6有下列情形之一的，属于无效质疑，采购代理机构和采购人不予受理：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0.6.1质疑投标人不是参与本次政府采购项目的投标人；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0.6.2质疑投标人与质疑事项不存在利害关系的；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0.6.3未在法定期限内提出质疑的；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0.6.4质疑未以书面形式提出，或质疑函主要内容构成不完整的；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0.6.5应当提交授权书而未提交的；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0.6.6以非法手段取得证据、材料的；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0.6.7质疑答复后，同一质疑人就同一事项或同一采购程序环节再次提出质疑的；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0.6.8不符合法律、法规、规章和政府采购监管机构规定的其他条件的。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.7质疑答复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0.7.1采购人或采购代理机构在收到质疑函后7个工作日内作出答复，并以书面形式通知质疑投标人和其他有关投标人。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0.7.2质疑投标人对采购人、采购代理机构的答复不满意，或者采购人、采购代理机构未在规定时间内作出答复的，可以在答复期满后15个工作日内向</w:t>
      </w:r>
      <w:r>
        <w:rPr>
          <w:rFonts w:hint="eastAsia" w:ascii="仿宋" w:hAnsi="仿宋" w:eastAsia="仿宋" w:cs="仿宋"/>
          <w:color w:val="auto"/>
          <w:sz w:val="24"/>
          <w:szCs w:val="24"/>
          <w:highlight w:val="none"/>
          <w:lang w:eastAsia="zh-CN"/>
        </w:rPr>
        <w:t>同级人民政府财政部门</w:t>
      </w:r>
      <w:r>
        <w:rPr>
          <w:rFonts w:hint="eastAsia" w:ascii="仿宋" w:hAnsi="仿宋" w:eastAsia="仿宋" w:cs="仿宋"/>
          <w:color w:val="auto"/>
          <w:sz w:val="24"/>
          <w:szCs w:val="24"/>
        </w:rPr>
        <w:t>提起投诉。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0.8其他需要说明的事项</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bookmarkStart w:id="146" w:name="_Toc425240473"/>
      <w:bookmarkStart w:id="147" w:name="_Toc420591652"/>
      <w:bookmarkStart w:id="148" w:name="_Toc421778374"/>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.8.3联系部门：华夏国际项目管理有限公司招标部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.8.4联系电话：见投标人须知前附表</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color w:val="auto"/>
          <w:sz w:val="24"/>
          <w:szCs w:val="24"/>
        </w:rPr>
        <w:t>西安市高新区科技五路8号数字大厦11楼</w:t>
      </w:r>
    </w:p>
    <w:p>
      <w:pPr>
        <w:numPr>
          <w:ilvl w:val="0"/>
          <w:numId w:val="3"/>
        </w:numPr>
        <w:spacing w:beforeLines="50" w:afterLines="50" w:line="360" w:lineRule="auto"/>
        <w:jc w:val="left"/>
        <w:outlineLvl w:val="1"/>
        <w:rPr>
          <w:rFonts w:hint="eastAsia" w:ascii="仿宋" w:hAnsi="仿宋" w:eastAsia="仿宋" w:cs="仿宋"/>
          <w:b/>
          <w:bCs/>
          <w:color w:val="auto"/>
          <w:sz w:val="24"/>
          <w:szCs w:val="24"/>
        </w:rPr>
      </w:pPr>
      <w:bookmarkStart w:id="149" w:name="_Toc3230"/>
      <w:bookmarkStart w:id="150" w:name="_Toc4381"/>
      <w:r>
        <w:rPr>
          <w:rFonts w:hint="eastAsia" w:ascii="仿宋" w:hAnsi="仿宋" w:eastAsia="仿宋" w:cs="仿宋"/>
          <w:b/>
          <w:bCs/>
          <w:color w:val="auto"/>
          <w:sz w:val="24"/>
          <w:szCs w:val="24"/>
        </w:rPr>
        <w:t>需要补充的其他内容</w:t>
      </w:r>
      <w:bookmarkStart w:id="151" w:name="_Toc35630590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见投标人须知前附表</w:t>
      </w:r>
      <w:bookmarkEnd w:id="151"/>
      <w:r>
        <w:rPr>
          <w:rFonts w:hint="eastAsia" w:ascii="仿宋" w:hAnsi="仿宋" w:eastAsia="仿宋" w:cs="仿宋"/>
          <w:color w:val="auto"/>
          <w:sz w:val="24"/>
          <w:szCs w:val="24"/>
        </w:rPr>
        <w:t>。</w:t>
      </w:r>
      <w:bookmarkEnd w:id="146"/>
      <w:bookmarkEnd w:id="147"/>
      <w:bookmarkEnd w:id="148"/>
      <w:bookmarkEnd w:id="149"/>
      <w:bookmarkEnd w:id="150"/>
    </w:p>
    <w:p>
      <w:pPr>
        <w:pStyle w:val="2"/>
        <w:widowControl w:val="0"/>
        <w:numPr>
          <w:ilvl w:val="0"/>
          <w:numId w:val="0"/>
        </w:numPr>
        <w:jc w:val="both"/>
        <w:rPr>
          <w:rFonts w:hint="eastAsia" w:ascii="仿宋" w:hAnsi="仿宋" w:eastAsia="仿宋" w:cs="仿宋"/>
          <w:b/>
          <w:bCs/>
          <w:color w:val="auto"/>
          <w:sz w:val="24"/>
          <w:szCs w:val="24"/>
          <w:highlight w:val="none"/>
          <w:lang w:eastAsia="zh-CN"/>
        </w:rPr>
        <w:sectPr>
          <w:pgSz w:w="11906" w:h="16838"/>
          <w:pgMar w:top="1417" w:right="1417" w:bottom="1417" w:left="1701" w:header="851" w:footer="992" w:gutter="0"/>
          <w:pgNumType w:fmt="decimal"/>
          <w:cols w:space="0" w:num="1"/>
          <w:docGrid w:type="lines" w:linePitch="312" w:charSpace="0"/>
        </w:sectPr>
      </w:pPr>
    </w:p>
    <w:p>
      <w:pPr>
        <w:pStyle w:val="3"/>
        <w:spacing w:afterLines="50"/>
        <w:jc w:val="center"/>
        <w:rPr>
          <w:rFonts w:hint="eastAsia" w:ascii="仿宋" w:hAnsi="仿宋" w:eastAsia="仿宋" w:cs="仿宋"/>
          <w:color w:val="auto"/>
          <w:sz w:val="32"/>
          <w:szCs w:val="32"/>
        </w:rPr>
      </w:pPr>
      <w:bookmarkStart w:id="152" w:name="_Toc421778376"/>
      <w:bookmarkStart w:id="153" w:name="_Toc26917"/>
      <w:bookmarkStart w:id="154" w:name="_Toc4614"/>
      <w:r>
        <w:rPr>
          <w:rFonts w:hint="eastAsia" w:ascii="仿宋" w:hAnsi="仿宋" w:eastAsia="仿宋" w:cs="仿宋"/>
          <w:color w:val="auto"/>
          <w:sz w:val="32"/>
          <w:szCs w:val="32"/>
        </w:rPr>
        <w:t>第三章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评标办法</w:t>
      </w:r>
      <w:bookmarkEnd w:id="152"/>
      <w:bookmarkEnd w:id="153"/>
      <w:bookmarkEnd w:id="154"/>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一、评标方法</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按照《中华人民共和国政</w:t>
      </w:r>
      <w:r>
        <w:rPr>
          <w:rFonts w:hint="eastAsia" w:ascii="仿宋" w:hAnsi="仿宋" w:eastAsia="仿宋" w:cs="仿宋"/>
          <w:color w:val="auto"/>
          <w:sz w:val="24"/>
          <w:szCs w:val="24"/>
          <w:lang w:eastAsia="zh-CN"/>
        </w:rPr>
        <w:t>府采购</w:t>
      </w:r>
      <w:r>
        <w:rPr>
          <w:rFonts w:hint="eastAsia" w:ascii="仿宋" w:hAnsi="仿宋" w:eastAsia="仿宋" w:cs="仿宋"/>
          <w:color w:val="auto"/>
          <w:sz w:val="24"/>
          <w:szCs w:val="24"/>
        </w:rPr>
        <w:t>法》</w:t>
      </w:r>
      <w:r>
        <w:rPr>
          <w:rFonts w:hint="eastAsia" w:ascii="仿宋" w:hAnsi="仿宋" w:eastAsia="仿宋" w:cs="仿宋"/>
          <w:color w:val="auto"/>
          <w:sz w:val="24"/>
          <w:szCs w:val="24"/>
          <w:lang w:eastAsia="zh-CN"/>
        </w:rPr>
        <w:t>及实施条例、</w:t>
      </w:r>
      <w:r>
        <w:rPr>
          <w:rFonts w:hint="eastAsia" w:ascii="仿宋" w:hAnsi="仿宋" w:eastAsia="仿宋" w:cs="仿宋"/>
          <w:color w:val="auto"/>
          <w:sz w:val="24"/>
          <w:szCs w:val="24"/>
        </w:rPr>
        <w:t>《中华人民共和国招标投标法</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实施条例的规定，本次评标采用综合评分法，即在最大限度地满足招标文件实质性要求前提下，按照招标文件中规定的各项因素和相应的权重分值进行综合评审后，以总得分最高的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作为中标候选人并依次排序（最低报价不是中标的唯一标准）。</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评标程序</w:t>
      </w:r>
    </w:p>
    <w:p>
      <w:pPr>
        <w:pStyle w:val="5"/>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本采购项目评标按照下列工作程序进行</w:t>
      </w:r>
    </w:p>
    <w:p>
      <w:pPr>
        <w:spacing w:line="360" w:lineRule="auto"/>
        <w:ind w:firstLine="495"/>
        <w:rPr>
          <w:rFonts w:hint="eastAsia" w:ascii="仿宋" w:hAnsi="仿宋" w:eastAsia="仿宋" w:cs="仿宋"/>
          <w:color w:val="auto"/>
          <w:sz w:val="24"/>
        </w:rPr>
      </w:pPr>
      <w:r>
        <w:rPr>
          <w:rFonts w:hint="eastAsia" w:ascii="仿宋" w:hAnsi="仿宋" w:eastAsia="仿宋" w:cs="仿宋"/>
          <w:color w:val="auto"/>
          <w:sz w:val="24"/>
        </w:rPr>
        <w:t>（1）投标文件初审；</w:t>
      </w:r>
    </w:p>
    <w:p>
      <w:pPr>
        <w:spacing w:line="360" w:lineRule="auto"/>
        <w:ind w:firstLine="495"/>
        <w:rPr>
          <w:rFonts w:hint="eastAsia" w:ascii="仿宋" w:hAnsi="仿宋" w:eastAsia="仿宋" w:cs="仿宋"/>
          <w:color w:val="auto"/>
          <w:sz w:val="24"/>
        </w:rPr>
      </w:pPr>
      <w:r>
        <w:rPr>
          <w:rFonts w:hint="eastAsia" w:ascii="仿宋" w:hAnsi="仿宋" w:eastAsia="仿宋" w:cs="仿宋"/>
          <w:color w:val="auto"/>
          <w:sz w:val="24"/>
        </w:rPr>
        <w:t>（2）澄清有关问题；</w:t>
      </w:r>
    </w:p>
    <w:p>
      <w:pPr>
        <w:spacing w:line="360" w:lineRule="auto"/>
        <w:ind w:firstLine="495"/>
        <w:rPr>
          <w:rFonts w:hint="eastAsia" w:ascii="仿宋" w:hAnsi="仿宋" w:eastAsia="仿宋" w:cs="仿宋"/>
          <w:color w:val="auto"/>
          <w:sz w:val="24"/>
        </w:rPr>
      </w:pPr>
      <w:r>
        <w:rPr>
          <w:rFonts w:hint="eastAsia" w:ascii="仿宋" w:hAnsi="仿宋" w:eastAsia="仿宋" w:cs="仿宋"/>
          <w:color w:val="auto"/>
          <w:sz w:val="24"/>
        </w:rPr>
        <w:t>（3）比较与评价；</w:t>
      </w:r>
    </w:p>
    <w:p>
      <w:pPr>
        <w:spacing w:line="360" w:lineRule="auto"/>
        <w:ind w:firstLine="495"/>
        <w:rPr>
          <w:rFonts w:hint="eastAsia" w:ascii="仿宋" w:hAnsi="仿宋" w:eastAsia="仿宋" w:cs="仿宋"/>
          <w:color w:val="auto"/>
          <w:sz w:val="24"/>
        </w:rPr>
      </w:pPr>
      <w:r>
        <w:rPr>
          <w:rFonts w:hint="eastAsia" w:ascii="仿宋" w:hAnsi="仿宋" w:eastAsia="仿宋" w:cs="仿宋"/>
          <w:color w:val="auto"/>
          <w:sz w:val="24"/>
        </w:rPr>
        <w:t>（4）推荐中标候选人名单；</w:t>
      </w:r>
    </w:p>
    <w:p>
      <w:pPr>
        <w:spacing w:line="360" w:lineRule="auto"/>
        <w:ind w:firstLine="495"/>
        <w:rPr>
          <w:rFonts w:hint="eastAsia" w:ascii="仿宋" w:hAnsi="仿宋" w:eastAsia="仿宋" w:cs="仿宋"/>
          <w:color w:val="auto"/>
          <w:sz w:val="24"/>
        </w:rPr>
      </w:pPr>
      <w:r>
        <w:rPr>
          <w:rFonts w:hint="eastAsia" w:ascii="仿宋" w:hAnsi="仿宋" w:eastAsia="仿宋" w:cs="仿宋"/>
          <w:color w:val="auto"/>
          <w:sz w:val="24"/>
        </w:rPr>
        <w:t>（5）编写评标报告。</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bCs/>
          <w:color w:val="auto"/>
          <w:sz w:val="24"/>
        </w:rPr>
        <w:t>在上一步评审中被认定无效投标者，不进入下一步的评审</w:t>
      </w:r>
      <w:r>
        <w:rPr>
          <w:rFonts w:hint="eastAsia" w:ascii="仿宋" w:hAnsi="仿宋" w:eastAsia="仿宋" w:cs="仿宋"/>
          <w:bCs/>
          <w:color w:val="auto"/>
          <w:sz w:val="24"/>
          <w:lang w:eastAsia="zh-CN"/>
        </w:rPr>
        <w:t>。</w:t>
      </w:r>
    </w:p>
    <w:p>
      <w:pPr>
        <w:pStyle w:val="5"/>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投标文件初审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lang w:val="en-US" w:eastAsia="zh-CN"/>
        </w:rPr>
        <w:t>2.1</w:t>
      </w:r>
      <w:r>
        <w:rPr>
          <w:rFonts w:hint="eastAsia" w:ascii="仿宋" w:hAnsi="仿宋" w:eastAsia="仿宋" w:cs="仿宋"/>
          <w:b w:val="0"/>
          <w:bCs w:val="0"/>
          <w:color w:val="auto"/>
          <w:sz w:val="24"/>
        </w:rPr>
        <w:t>资格</w:t>
      </w:r>
      <w:r>
        <w:rPr>
          <w:rFonts w:hint="eastAsia" w:ascii="仿宋" w:hAnsi="仿宋" w:eastAsia="仿宋" w:cs="仿宋"/>
          <w:b w:val="0"/>
          <w:bCs w:val="0"/>
          <w:color w:val="auto"/>
          <w:sz w:val="24"/>
          <w:highlight w:val="none"/>
        </w:rPr>
        <w:t>性审查</w:t>
      </w:r>
      <w:r>
        <w:rPr>
          <w:rFonts w:hint="eastAsia" w:ascii="仿宋" w:hAnsi="仿宋" w:eastAsia="仿宋" w:cs="仿宋"/>
          <w:b w:val="0"/>
          <w:bCs w:val="0"/>
          <w:color w:val="auto"/>
          <w:sz w:val="24"/>
          <w:highlight w:val="none"/>
          <w:lang w:eastAsia="zh-CN"/>
        </w:rPr>
        <w:t>：评标委员会</w:t>
      </w:r>
      <w:r>
        <w:rPr>
          <w:rFonts w:hint="eastAsia" w:ascii="仿宋" w:hAnsi="仿宋" w:eastAsia="仿宋" w:cs="仿宋"/>
          <w:b w:val="0"/>
          <w:bCs w:val="0"/>
          <w:color w:val="auto"/>
          <w:sz w:val="24"/>
          <w:highlight w:val="none"/>
        </w:rPr>
        <w:t>根据本章</w:t>
      </w:r>
      <w:r>
        <w:rPr>
          <w:rFonts w:hint="eastAsia" w:ascii="仿宋" w:hAnsi="仿宋" w:eastAsia="仿宋" w:cs="仿宋"/>
          <w:b w:val="0"/>
          <w:bCs w:val="0"/>
          <w:color w:val="auto"/>
          <w:sz w:val="24"/>
          <w:highlight w:val="none"/>
          <w:lang w:val="en-US" w:eastAsia="zh-CN"/>
        </w:rPr>
        <w:t>“四、评审标准 1、初步评审标准”第1.1</w:t>
      </w:r>
      <w:r>
        <w:rPr>
          <w:rFonts w:hint="eastAsia" w:ascii="仿宋" w:hAnsi="仿宋" w:eastAsia="仿宋" w:cs="仿宋"/>
          <w:b w:val="0"/>
          <w:bCs w:val="0"/>
          <w:color w:val="auto"/>
          <w:sz w:val="24"/>
          <w:highlight w:val="none"/>
        </w:rPr>
        <w:t>项规定的评审标准对</w:t>
      </w:r>
      <w:r>
        <w:rPr>
          <w:rFonts w:hint="eastAsia" w:ascii="仿宋" w:hAnsi="仿宋" w:eastAsia="仿宋" w:cs="仿宋"/>
          <w:b w:val="0"/>
          <w:bCs w:val="0"/>
          <w:color w:val="auto"/>
          <w:sz w:val="24"/>
          <w:highlight w:val="none"/>
          <w:lang w:eastAsia="zh-CN"/>
        </w:rPr>
        <w:t>投标人</w:t>
      </w:r>
      <w:r>
        <w:rPr>
          <w:rFonts w:hint="eastAsia" w:ascii="仿宋" w:hAnsi="仿宋" w:eastAsia="仿宋" w:cs="仿宋"/>
          <w:b w:val="0"/>
          <w:bCs w:val="0"/>
          <w:color w:val="auto"/>
          <w:sz w:val="24"/>
          <w:highlight w:val="none"/>
        </w:rPr>
        <w:t>进行</w:t>
      </w:r>
      <w:r>
        <w:rPr>
          <w:rFonts w:hint="eastAsia" w:ascii="仿宋" w:hAnsi="仿宋" w:eastAsia="仿宋" w:cs="仿宋"/>
          <w:b w:val="0"/>
          <w:bCs w:val="0"/>
          <w:color w:val="auto"/>
          <w:sz w:val="24"/>
          <w:highlight w:val="none"/>
          <w:lang w:eastAsia="zh-CN"/>
        </w:rPr>
        <w:t>资格性审查</w:t>
      </w:r>
      <w:r>
        <w:rPr>
          <w:rFonts w:hint="eastAsia" w:ascii="仿宋" w:hAnsi="仿宋" w:eastAsia="仿宋" w:cs="仿宋"/>
          <w:b w:val="0"/>
          <w:bCs w:val="0"/>
          <w:color w:val="auto"/>
          <w:sz w:val="24"/>
          <w:highlight w:val="none"/>
        </w:rPr>
        <w:t>。有一项不符合评审标准的，</w:t>
      </w:r>
      <w:r>
        <w:rPr>
          <w:rFonts w:hint="eastAsia" w:ascii="仿宋" w:hAnsi="仿宋" w:eastAsia="仿宋" w:cs="仿宋"/>
          <w:b w:val="0"/>
          <w:bCs w:val="0"/>
          <w:color w:val="auto"/>
          <w:sz w:val="24"/>
          <w:highlight w:val="none"/>
          <w:lang w:eastAsia="zh-CN"/>
        </w:rPr>
        <w:t>将被认定为无效投标</w:t>
      </w:r>
      <w:r>
        <w:rPr>
          <w:rFonts w:hint="eastAsia" w:ascii="仿宋" w:hAnsi="仿宋" w:eastAsia="仿宋" w:cs="仿宋"/>
          <w:b w:val="0"/>
          <w:bCs w:val="0"/>
          <w:color w:val="auto"/>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2.2</w:t>
      </w:r>
      <w:r>
        <w:rPr>
          <w:rFonts w:hint="eastAsia" w:ascii="仿宋" w:hAnsi="仿宋" w:eastAsia="仿宋" w:cs="仿宋"/>
          <w:b w:val="0"/>
          <w:bCs w:val="0"/>
          <w:color w:val="auto"/>
          <w:sz w:val="24"/>
          <w:highlight w:val="none"/>
          <w:lang w:eastAsia="zh-CN"/>
        </w:rPr>
        <w:t>符合性审查：</w:t>
      </w:r>
      <w:r>
        <w:rPr>
          <w:rFonts w:hint="eastAsia" w:ascii="仿宋" w:hAnsi="仿宋" w:eastAsia="仿宋" w:cs="仿宋"/>
          <w:b w:val="0"/>
          <w:bCs w:val="0"/>
          <w:color w:val="auto"/>
          <w:sz w:val="24"/>
          <w:highlight w:val="none"/>
        </w:rPr>
        <w:t>评标委员会根据</w:t>
      </w:r>
      <w:r>
        <w:rPr>
          <w:rFonts w:hint="eastAsia" w:ascii="仿宋" w:hAnsi="仿宋" w:eastAsia="仿宋" w:cs="仿宋"/>
          <w:b w:val="0"/>
          <w:bCs w:val="0"/>
          <w:color w:val="auto"/>
          <w:sz w:val="24"/>
          <w:highlight w:val="none"/>
          <w:lang w:eastAsia="zh-CN"/>
        </w:rPr>
        <w:t>本章</w:t>
      </w:r>
      <w:r>
        <w:rPr>
          <w:rFonts w:hint="eastAsia" w:ascii="仿宋" w:hAnsi="仿宋" w:eastAsia="仿宋" w:cs="仿宋"/>
          <w:b w:val="0"/>
          <w:bCs w:val="0"/>
          <w:color w:val="auto"/>
          <w:sz w:val="24"/>
          <w:highlight w:val="none"/>
          <w:lang w:val="en-US" w:eastAsia="zh-CN"/>
        </w:rPr>
        <w:t>“四、评审标准 1、初步评审标准”第1.2</w:t>
      </w:r>
      <w:r>
        <w:rPr>
          <w:rFonts w:hint="eastAsia" w:ascii="仿宋" w:hAnsi="仿宋" w:eastAsia="仿宋" w:cs="仿宋"/>
          <w:b w:val="0"/>
          <w:bCs w:val="0"/>
          <w:color w:val="auto"/>
          <w:sz w:val="24"/>
          <w:highlight w:val="none"/>
        </w:rPr>
        <w:t>项规定的评审标准对投标文件进行</w:t>
      </w:r>
      <w:r>
        <w:rPr>
          <w:rFonts w:hint="eastAsia" w:ascii="仿宋" w:hAnsi="仿宋" w:eastAsia="仿宋" w:cs="仿宋"/>
          <w:b w:val="0"/>
          <w:bCs w:val="0"/>
          <w:color w:val="auto"/>
          <w:sz w:val="24"/>
          <w:highlight w:val="none"/>
          <w:lang w:eastAsia="zh-CN"/>
        </w:rPr>
        <w:t>符合性</w:t>
      </w:r>
      <w:r>
        <w:rPr>
          <w:rFonts w:hint="eastAsia" w:ascii="仿宋" w:hAnsi="仿宋" w:eastAsia="仿宋" w:cs="仿宋"/>
          <w:b w:val="0"/>
          <w:bCs w:val="0"/>
          <w:color w:val="auto"/>
          <w:sz w:val="24"/>
          <w:highlight w:val="none"/>
        </w:rPr>
        <w:t>评审。有一项不符合评审标准的，评标委员会应当否决其投标。</w:t>
      </w:r>
    </w:p>
    <w:p>
      <w:p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2.3在资格性审查阶段，不符合招标文件要求的，不得进入符合性审查，在符合性审查时未通过的，不得进入后续评审环节。</w:t>
      </w:r>
    </w:p>
    <w:p>
      <w:pPr>
        <w:pStyle w:val="5"/>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投标文件的澄清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3.2有效的书面澄清材料，是投标文件的补充材料，成为投标文件的组成部分。</w:t>
      </w:r>
    </w:p>
    <w:p>
      <w:pPr>
        <w:spacing w:line="360" w:lineRule="auto"/>
        <w:ind w:firstLine="480" w:firstLineChars="200"/>
        <w:rPr>
          <w:rFonts w:hint="eastAsia" w:ascii="仿宋" w:hAnsi="仿宋" w:eastAsia="仿宋" w:cs="仿宋"/>
          <w:color w:val="auto"/>
          <w:spacing w:val="4"/>
          <w:sz w:val="24"/>
          <w:szCs w:val="24"/>
          <w:lang w:val="en-US" w:eastAsia="zh-CN"/>
        </w:rPr>
      </w:pPr>
      <w:r>
        <w:rPr>
          <w:rFonts w:hint="eastAsia" w:ascii="仿宋" w:hAnsi="仿宋" w:eastAsia="仿宋" w:cs="仿宋"/>
          <w:color w:val="auto"/>
          <w:sz w:val="24"/>
        </w:rPr>
        <w:t>3.3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360" w:lineRule="auto"/>
        <w:ind w:firstLine="496"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3.4</w:t>
      </w:r>
      <w:r>
        <w:rPr>
          <w:rFonts w:hint="eastAsia" w:ascii="仿宋" w:hAnsi="仿宋" w:eastAsia="仿宋" w:cs="仿宋"/>
          <w:color w:val="auto"/>
          <w:spacing w:val="4"/>
          <w:sz w:val="24"/>
          <w:szCs w:val="24"/>
        </w:rPr>
        <w:t>对于投标文件中可能出现的不一致和算术计算错误按以下方法更正：</w:t>
      </w:r>
    </w:p>
    <w:p>
      <w:pPr>
        <w:numPr>
          <w:ilvl w:val="0"/>
          <w:numId w:val="4"/>
        </w:numPr>
        <w:spacing w:line="360" w:lineRule="auto"/>
        <w:ind w:left="0" w:leftChars="0" w:firstLine="419" w:firstLineChars="16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投标文件中开标一览表(报价表)内容与投标文件中明细表内容不一致的，以开标一览表(报价表)为准；</w:t>
      </w:r>
    </w:p>
    <w:p>
      <w:pPr>
        <w:numPr>
          <w:ilvl w:val="0"/>
          <w:numId w:val="4"/>
        </w:numPr>
        <w:spacing w:line="360" w:lineRule="auto"/>
        <w:ind w:left="0" w:leftChars="0" w:firstLine="419" w:firstLineChars="169"/>
        <w:rPr>
          <w:rFonts w:hint="eastAsia" w:ascii="仿宋" w:hAnsi="仿宋" w:eastAsia="仿宋" w:cs="仿宋"/>
          <w:color w:val="auto"/>
          <w:sz w:val="24"/>
        </w:rPr>
      </w:pPr>
      <w:r>
        <w:rPr>
          <w:rFonts w:hint="eastAsia" w:ascii="仿宋" w:hAnsi="仿宋" w:eastAsia="仿宋" w:cs="仿宋"/>
          <w:color w:val="auto"/>
          <w:spacing w:val="4"/>
          <w:sz w:val="24"/>
          <w:szCs w:val="24"/>
        </w:rPr>
        <w:t>投标文件的大写金额和小写金额不一致的，以大写金额为准；总价金额与按单价汇总金额不一致的，以单价金额计算结果为准；单价金额小数点有明显错位的，应以总价为准，并修改单价；</w:t>
      </w:r>
    </w:p>
    <w:p>
      <w:pPr>
        <w:numPr>
          <w:ilvl w:val="0"/>
          <w:numId w:val="4"/>
        </w:numPr>
        <w:spacing w:line="360" w:lineRule="auto"/>
        <w:ind w:left="0" w:leftChars="0" w:firstLine="419" w:firstLineChars="169"/>
        <w:rPr>
          <w:rFonts w:hint="eastAsia" w:ascii="仿宋" w:hAnsi="仿宋" w:eastAsia="仿宋" w:cs="仿宋"/>
          <w:color w:val="auto"/>
          <w:sz w:val="24"/>
        </w:rPr>
      </w:pPr>
      <w:r>
        <w:rPr>
          <w:rFonts w:hint="eastAsia" w:ascii="仿宋" w:hAnsi="仿宋" w:eastAsia="仿宋" w:cs="仿宋"/>
          <w:color w:val="auto"/>
          <w:spacing w:val="4"/>
          <w:sz w:val="24"/>
          <w:szCs w:val="24"/>
        </w:rPr>
        <w:t>如果“开标一览表”中的投标报价与投标</w:t>
      </w:r>
      <w:r>
        <w:rPr>
          <w:rFonts w:hint="eastAsia" w:ascii="仿宋" w:hAnsi="仿宋" w:eastAsia="仿宋" w:cs="仿宋"/>
          <w:color w:val="auto"/>
          <w:spacing w:val="4"/>
          <w:sz w:val="24"/>
          <w:szCs w:val="24"/>
          <w:lang w:val="en-US" w:eastAsia="zh-CN"/>
        </w:rPr>
        <w:t>文件</w:t>
      </w:r>
      <w:r>
        <w:rPr>
          <w:rFonts w:hint="eastAsia" w:ascii="仿宋" w:hAnsi="仿宋" w:eastAsia="仿宋" w:cs="仿宋"/>
          <w:color w:val="auto"/>
          <w:spacing w:val="4"/>
          <w:sz w:val="24"/>
          <w:szCs w:val="24"/>
        </w:rPr>
        <w:t>的投标报价不一致，以“开标一览表”中的投标报价为准。如果投标人不接受对其错误的更正，其投标将按无效投标处理。</w:t>
      </w:r>
    </w:p>
    <w:p>
      <w:pPr>
        <w:pStyle w:val="5"/>
        <w:rPr>
          <w:rFonts w:hint="eastAsia" w:ascii="仿宋" w:hAnsi="仿宋" w:eastAsia="仿宋" w:cs="仿宋"/>
          <w:color w:val="auto"/>
          <w:sz w:val="24"/>
          <w:szCs w:val="24"/>
        </w:rPr>
      </w:pP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sz w:val="24"/>
          <w:szCs w:val="24"/>
        </w:rPr>
        <w:t>投标文件比较与评价</w:t>
      </w:r>
    </w:p>
    <w:p>
      <w:pPr>
        <w:tabs>
          <w:tab w:val="left" w:pos="0"/>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bCs/>
          <w:color w:val="auto"/>
          <w:sz w:val="24"/>
          <w:szCs w:val="24"/>
        </w:rPr>
        <w:t>评委</w:t>
      </w:r>
      <w:r>
        <w:rPr>
          <w:rFonts w:hint="eastAsia" w:ascii="仿宋" w:hAnsi="仿宋" w:eastAsia="仿宋" w:cs="仿宋"/>
          <w:bCs/>
          <w:color w:val="auto"/>
          <w:sz w:val="24"/>
          <w:szCs w:val="24"/>
          <w:lang w:eastAsia="zh-CN"/>
        </w:rPr>
        <w:t>委员</w:t>
      </w:r>
      <w:r>
        <w:rPr>
          <w:rFonts w:hint="eastAsia" w:ascii="仿宋" w:hAnsi="仿宋" w:eastAsia="仿宋" w:cs="仿宋"/>
          <w:bCs/>
          <w:color w:val="auto"/>
          <w:sz w:val="24"/>
          <w:szCs w:val="24"/>
        </w:rPr>
        <w:t>会应按照招标文件中规定的评标方法</w:t>
      </w:r>
      <w:r>
        <w:rPr>
          <w:rFonts w:hint="eastAsia" w:ascii="仿宋" w:hAnsi="仿宋" w:eastAsia="仿宋" w:cs="仿宋"/>
          <w:color w:val="auto"/>
          <w:sz w:val="24"/>
          <w:szCs w:val="24"/>
        </w:rPr>
        <w:t>和标准，</w:t>
      </w:r>
      <w:r>
        <w:rPr>
          <w:rFonts w:hint="eastAsia" w:ascii="仿宋" w:hAnsi="仿宋" w:eastAsia="仿宋" w:cs="仿宋"/>
          <w:bCs/>
          <w:color w:val="auto"/>
          <w:sz w:val="24"/>
          <w:szCs w:val="24"/>
        </w:rPr>
        <w:t>对</w:t>
      </w:r>
      <w:r>
        <w:rPr>
          <w:rFonts w:hint="eastAsia" w:ascii="仿宋" w:hAnsi="仿宋" w:eastAsia="仿宋" w:cs="仿宋"/>
          <w:color w:val="auto"/>
          <w:sz w:val="24"/>
          <w:szCs w:val="24"/>
        </w:rPr>
        <w:t>资格性检查和符合性检查</w:t>
      </w:r>
      <w:r>
        <w:rPr>
          <w:rFonts w:hint="eastAsia" w:ascii="仿宋" w:hAnsi="仿宋" w:eastAsia="仿宋" w:cs="仿宋"/>
          <w:bCs/>
          <w:color w:val="auto"/>
          <w:sz w:val="24"/>
          <w:szCs w:val="24"/>
        </w:rPr>
        <w:t>合格的投标文件进行商务和技术评估，综合比较与评价。</w:t>
      </w:r>
    </w:p>
    <w:p>
      <w:pPr>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4.2如果投标文件没有实质性响应招标文件的要求，评委会将予以拒绝。投标人不得通过修正或撤消不合要求的偏离或保留，从而使其投标成为实质性响应的投标。</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政策性扣减</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1、政策性扣减范围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符合小型、微型企业或监狱企业</w:t>
      </w:r>
      <w:r>
        <w:rPr>
          <w:rFonts w:hint="eastAsia" w:ascii="仿宋" w:hAnsi="仿宋" w:eastAsia="仿宋" w:cs="仿宋"/>
          <w:color w:val="auto"/>
          <w:sz w:val="24"/>
          <w:szCs w:val="24"/>
          <w:highlight w:val="none"/>
          <w:lang w:eastAsia="zh-CN"/>
        </w:rPr>
        <w:t>、残疾人福利性单位</w:t>
      </w:r>
      <w:r>
        <w:rPr>
          <w:rFonts w:hint="eastAsia" w:ascii="仿宋" w:hAnsi="仿宋" w:eastAsia="仿宋" w:cs="仿宋"/>
          <w:color w:val="auto"/>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监狱企业参加政府采购活动时，视同</w:t>
      </w:r>
      <w:r>
        <w:rPr>
          <w:rFonts w:hint="eastAsia" w:ascii="仿宋" w:hAnsi="仿宋" w:eastAsia="仿宋" w:cs="仿宋"/>
          <w:color w:val="auto"/>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auto"/>
          <w:sz w:val="24"/>
          <w:szCs w:val="24"/>
          <w:highlight w:val="none"/>
        </w:rPr>
        <w:t>参加政府采购活动时，视同</w:t>
      </w:r>
      <w:r>
        <w:rPr>
          <w:rFonts w:hint="eastAsia" w:ascii="仿宋" w:hAnsi="仿宋" w:eastAsia="仿宋" w:cs="仿宋"/>
          <w:color w:val="auto"/>
          <w:sz w:val="24"/>
          <w:szCs w:val="24"/>
          <w:highlight w:val="none"/>
          <w:lang w:eastAsia="zh-CN"/>
        </w:rPr>
        <w:t>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2、政策性扣减方式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对于</w:t>
      </w:r>
      <w:r>
        <w:rPr>
          <w:rFonts w:hint="eastAsia" w:ascii="仿宋" w:hAnsi="仿宋" w:eastAsia="仿宋" w:cs="仿宋"/>
          <w:color w:val="auto"/>
          <w:spacing w:val="8"/>
          <w:sz w:val="24"/>
          <w:szCs w:val="24"/>
          <w:highlight w:val="none"/>
        </w:rPr>
        <w:t>未预留份额专门</w:t>
      </w:r>
      <w:r>
        <w:rPr>
          <w:rFonts w:hint="eastAsia" w:ascii="仿宋" w:hAnsi="仿宋" w:eastAsia="仿宋" w:cs="仿宋"/>
          <w:color w:val="auto"/>
          <w:sz w:val="24"/>
          <w:szCs w:val="24"/>
          <w:highlight w:val="none"/>
        </w:rPr>
        <w:t>面向中小企业采购的采购项目，以及预留份额项目的非预</w:t>
      </w:r>
      <w:r>
        <w:rPr>
          <w:rFonts w:hint="eastAsia" w:ascii="仿宋" w:hAnsi="仿宋" w:eastAsia="仿宋" w:cs="仿宋"/>
          <w:color w:val="auto"/>
          <w:spacing w:val="-2"/>
          <w:sz w:val="24"/>
          <w:szCs w:val="24"/>
          <w:highlight w:val="none"/>
        </w:rPr>
        <w:t>留部分采购包</w:t>
      </w:r>
      <w:r>
        <w:rPr>
          <w:rFonts w:hint="eastAsia" w:ascii="仿宋" w:hAnsi="仿宋" w:eastAsia="仿宋" w:cs="仿宋"/>
          <w:color w:val="auto"/>
          <w:spacing w:val="-2"/>
          <w:sz w:val="24"/>
          <w:szCs w:val="24"/>
          <w:highlight w:val="none"/>
          <w:lang w:eastAsia="zh-CN"/>
        </w:rPr>
        <w:t>中</w:t>
      </w:r>
      <w:r>
        <w:rPr>
          <w:rFonts w:hint="eastAsia" w:ascii="仿宋" w:hAnsi="仿宋" w:eastAsia="仿宋" w:cs="仿宋"/>
          <w:color w:val="auto"/>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评标时在采用原报价进行评分的基础上增加其价格得分的3%作为其价格分。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评标时在采用原报价进行评分的基础上增加其价格得分的1%作为其价格分；组成联合体或者接受分包的小微企业与联合体内其他企业、分包企业之间存在直接控股、管理关系的，不享受价格加分优惠政策。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残疾人福利性单位视同小微企业，享受预留份额、评审中价格</w:t>
      </w:r>
      <w:r>
        <w:rPr>
          <w:rFonts w:hint="eastAsia" w:ascii="仿宋" w:hAnsi="仿宋" w:eastAsia="仿宋" w:cs="仿宋"/>
          <w:color w:val="auto"/>
          <w:sz w:val="24"/>
          <w:szCs w:val="24"/>
          <w:highlight w:val="none"/>
          <w:lang w:eastAsia="zh-CN"/>
        </w:rPr>
        <w:t>加分</w:t>
      </w:r>
      <w:r>
        <w:rPr>
          <w:rFonts w:hint="eastAsia" w:ascii="仿宋" w:hAnsi="仿宋" w:eastAsia="仿宋" w:cs="仿宋"/>
          <w:color w:val="auto"/>
          <w:sz w:val="24"/>
          <w:szCs w:val="24"/>
          <w:highlight w:val="none"/>
        </w:rPr>
        <w:t>等促进中小企业发展的政府采购政策。</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残疾人福利性单位属于</w:t>
      </w:r>
      <w:r>
        <w:rPr>
          <w:rFonts w:hint="eastAsia" w:ascii="仿宋" w:hAnsi="仿宋" w:eastAsia="仿宋" w:cs="仿宋"/>
          <w:color w:val="auto"/>
          <w:sz w:val="24"/>
          <w:szCs w:val="24"/>
          <w:highlight w:val="none"/>
          <w:lang w:eastAsia="zh-CN"/>
        </w:rPr>
        <w:t>小微</w:t>
      </w:r>
      <w:r>
        <w:rPr>
          <w:rFonts w:hint="eastAsia" w:ascii="仿宋" w:hAnsi="仿宋" w:eastAsia="仿宋" w:cs="仿宋"/>
          <w:color w:val="auto"/>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四、评审标准</w:t>
      </w:r>
    </w:p>
    <w:p>
      <w:pPr>
        <w:pStyle w:val="5"/>
        <w:ind w:firstLine="482"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资格性审查</w:t>
      </w:r>
      <w:r>
        <w:rPr>
          <w:rFonts w:hint="eastAsia" w:ascii="仿宋" w:hAnsi="仿宋" w:eastAsia="仿宋" w:cs="仿宋"/>
          <w:b w:val="0"/>
          <w:bCs w:val="0"/>
          <w:color w:val="auto"/>
          <w:sz w:val="24"/>
          <w:szCs w:val="24"/>
          <w:highlight w:val="none"/>
          <w:lang w:eastAsia="zh-CN"/>
        </w:rPr>
        <w:t>标准：见附件</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2符合性审查</w:t>
      </w:r>
      <w:r>
        <w:rPr>
          <w:rFonts w:hint="eastAsia" w:ascii="仿宋" w:hAnsi="仿宋" w:eastAsia="仿宋" w:cs="仿宋"/>
          <w:b w:val="0"/>
          <w:bCs w:val="0"/>
          <w:color w:val="auto"/>
          <w:sz w:val="24"/>
          <w:szCs w:val="24"/>
          <w:highlight w:val="none"/>
          <w:lang w:eastAsia="zh-CN"/>
        </w:rPr>
        <w:t>标准：见附件</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初步审查要素表</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lang w:val="en-US"/>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否决投标条件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见附件</w:t>
      </w:r>
      <w:r>
        <w:rPr>
          <w:rFonts w:hint="eastAsia" w:ascii="仿宋" w:hAnsi="仿宋" w:eastAsia="仿宋" w:cs="仿宋"/>
          <w:b w:val="0"/>
          <w:bCs w:val="0"/>
          <w:color w:val="auto"/>
          <w:sz w:val="24"/>
          <w:szCs w:val="24"/>
          <w:highlight w:val="none"/>
          <w:lang w:val="en-US" w:eastAsia="zh-CN"/>
        </w:rPr>
        <w:t>3 否决投标条件</w:t>
      </w:r>
    </w:p>
    <w:p>
      <w:pPr>
        <w:pStyle w:val="5"/>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2、分值构成与评分标准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color w:val="auto"/>
          <w:spacing w:val="4"/>
          <w:sz w:val="24"/>
          <w:szCs w:val="24"/>
        </w:rPr>
      </w:pPr>
      <w:r>
        <w:rPr>
          <w:rFonts w:hint="eastAsia" w:ascii="仿宋" w:hAnsi="仿宋" w:eastAsia="仿宋" w:cs="仿宋"/>
          <w:b w:val="0"/>
          <w:bCs/>
          <w:color w:val="auto"/>
          <w:sz w:val="24"/>
          <w:szCs w:val="24"/>
          <w:highlight w:val="none"/>
          <w:lang w:val="en-US" w:eastAsia="zh-CN"/>
        </w:rPr>
        <w:t>2.1分值构成：见附件2评标因素及权重分值表</w:t>
      </w: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480" w:firstLineChars="200"/>
        <w:textAlignment w:val="auto"/>
        <w:outlineLvl w:val="9"/>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
        <w:rPr>
          <w:rFonts w:hint="eastAsia" w:ascii="仿宋" w:hAnsi="仿宋" w:eastAsia="仿宋" w:cs="仿宋"/>
          <w:color w:val="auto"/>
          <w:lang w:val="en-US" w:eastAsia="zh-CN"/>
        </w:rPr>
      </w:pPr>
      <w:r>
        <w:rPr>
          <w:rFonts w:hint="eastAsia" w:ascii="仿宋" w:hAnsi="仿宋" w:eastAsia="仿宋" w:cs="仿宋"/>
          <w:color w:val="auto"/>
          <w:lang w:eastAsia="zh-CN"/>
        </w:rPr>
        <w:t>附件</w:t>
      </w:r>
      <w:r>
        <w:rPr>
          <w:rFonts w:hint="eastAsia" w:ascii="仿宋" w:hAnsi="仿宋" w:eastAsia="仿宋" w:cs="仿宋"/>
          <w:color w:val="auto"/>
          <w:lang w:val="en-US" w:eastAsia="zh-CN"/>
        </w:rPr>
        <w:t>1：</w:t>
      </w:r>
    </w:p>
    <w:p>
      <w:pPr>
        <w:pStyle w:val="5"/>
        <w:jc w:val="center"/>
        <w:rPr>
          <w:rFonts w:hint="eastAsia" w:ascii="仿宋" w:hAnsi="仿宋" w:eastAsia="仿宋" w:cs="仿宋"/>
          <w:color w:val="auto"/>
          <w:lang w:eastAsia="zh-CN"/>
        </w:rPr>
      </w:pPr>
      <w:r>
        <w:rPr>
          <w:rFonts w:hint="eastAsia" w:ascii="仿宋" w:hAnsi="仿宋" w:eastAsia="仿宋" w:cs="仿宋"/>
          <w:color w:val="auto"/>
          <w:lang w:eastAsia="zh-CN"/>
        </w:rPr>
        <w:t>初步审查要素表</w:t>
      </w:r>
    </w:p>
    <w:p>
      <w:pPr>
        <w:rPr>
          <w:rFonts w:hint="eastAsia" w:ascii="仿宋" w:hAnsi="仿宋" w:eastAsia="仿宋" w:cs="仿宋"/>
          <w:b/>
          <w:bCs/>
          <w:color w:val="auto"/>
          <w:sz w:val="24"/>
          <w:szCs w:val="24"/>
          <w:highlight w:val="none"/>
          <w:lang w:eastAsia="zh-CN"/>
        </w:rPr>
      </w:pPr>
    </w:p>
    <w:tbl>
      <w:tblPr>
        <w:tblStyle w:val="3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9"/>
        <w:gridCol w:w="907"/>
        <w:gridCol w:w="1286"/>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0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219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6123"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6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1.1</w:t>
            </w:r>
          </w:p>
        </w:tc>
        <w:tc>
          <w:tcPr>
            <w:tcW w:w="439"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2193"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提供合格有效的法人或者其他组织的营业执照等证明文件，自然人的身份证明</w:t>
            </w:r>
            <w:r>
              <w:rPr>
                <w:rFonts w:hint="eastAsia" w:ascii="仿宋" w:hAnsi="仿宋" w:eastAsia="仿宋" w:cs="仿宋"/>
                <w:b w:val="0"/>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是法人或其他组织的应提供营业执照等证明文件，</w:t>
            </w: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是自然人的应提供有效的自然人身份证明</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val="0"/>
                <w:color w:val="auto"/>
                <w:sz w:val="21"/>
                <w:szCs w:val="21"/>
                <w:highlight w:val="none"/>
                <w:lang w:val="en-US" w:eastAsia="zh-CN"/>
              </w:rPr>
              <w:t>2、提供2020或2021年度经审计的财务报告（成立时间至提交投标文件截止时间不足一年的可提供成立后任意时段的资产负债表），或其基本存款账户开户银行出具的资信证明及基本存款账户开户许可证</w:t>
            </w:r>
            <w:r>
              <w:rPr>
                <w:rFonts w:hint="eastAsia" w:ascii="仿宋" w:hAnsi="仿宋" w:eastAsia="仿宋" w:cs="仿宋"/>
                <w:b w:val="0"/>
                <w:bCs/>
                <w:color w:val="auto"/>
                <w:kern w:val="0"/>
                <w:sz w:val="21"/>
                <w:szCs w:val="21"/>
                <w:highlight w:val="none"/>
                <w:lang w:val="en-US" w:eastAsia="zh-CN" w:bidi="ar-SA"/>
              </w:rPr>
              <w:t>（基本账户信息表）</w:t>
            </w:r>
            <w:r>
              <w:rPr>
                <w:rFonts w:hint="eastAsia" w:ascii="仿宋" w:hAnsi="仿宋" w:eastAsia="仿宋" w:cs="仿宋"/>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3、提供投标截止日前一年内已缴纳的至少一个月的纳税证明或完税证明，依法免税的单位应提供相关证明材料；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5、提供具有履行合同所必需的设备和专业技术能力的承诺；（格式自拟）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6、参加政府采购活动前3年内，在经营活动中没有重大违法记录的书面声明。（格式自拟）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lang w:val="en-US" w:eastAsia="zh-CN"/>
              </w:rPr>
              <w:t>落实政府采购政策需满足的资格要求</w:t>
            </w: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特定资格条件</w:t>
            </w:r>
          </w:p>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法定代表人身份证明/法定代表人授权委托书：法定代表人直接参加投标的，须提供法定代表人身份证明及其身份证复印件加盖供应商公章；法定代表人授权他人参加投标的，须提供法定代表人授权委托书（附法定代表人、被授权人身份证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2、具备建设行政主管部门颁发的建筑工程施工总承包三级及以上资质证书，同时具有合格有效的安全生产许可证；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3、拟派项目经理须具有建筑工程专业二级及以上注册建造师证书和有效的安全生产考核证书（B证）且无在建工程、无不良记录（提供无在建工程、无不良记录承诺书）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信用中国”网站（www.creditchina.gov.cn）和“中国政府采购网”（ccgp.gov.cn）为供应商信用信息查询渠道，如果供应商被查实在投标文件递交截止时间前已列入失信被执行人、重大税收违法案件当事人名单（税收违法黑名单）、政府采购严重违法失信行为记录名单及其他不符合《中华人民共和国政府采购法》第二十二条规定的，其投标文件无效。采购代理机构将打印查询记录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tabs>
                <w:tab w:val="left" w:pos="0"/>
              </w:tabs>
              <w:adjustRightInd w:val="0"/>
              <w:snapToGrid w:val="0"/>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注：</w:t>
            </w:r>
            <w:r>
              <w:rPr>
                <w:rFonts w:hint="eastAsia" w:ascii="仿宋" w:hAnsi="仿宋" w:eastAsia="仿宋" w:cs="仿宋"/>
                <w:color w:val="auto"/>
                <w:sz w:val="21"/>
                <w:szCs w:val="21"/>
              </w:rPr>
              <w:t>以上为必备</w:t>
            </w:r>
            <w:r>
              <w:rPr>
                <w:rFonts w:hint="eastAsia" w:ascii="仿宋" w:hAnsi="仿宋" w:eastAsia="仿宋" w:cs="仿宋"/>
                <w:color w:val="auto"/>
                <w:sz w:val="21"/>
                <w:szCs w:val="21"/>
                <w:lang w:eastAsia="zh-CN"/>
              </w:rPr>
              <w:t>资格条件</w:t>
            </w:r>
            <w:r>
              <w:rPr>
                <w:rFonts w:hint="eastAsia" w:ascii="仿宋" w:hAnsi="仿宋" w:eastAsia="仿宋" w:cs="仿宋"/>
                <w:color w:val="auto"/>
                <w:sz w:val="21"/>
                <w:szCs w:val="21"/>
              </w:rPr>
              <w:t>，缺一项或某项达不到要求，按无效投标处理。资格审查时以投标文件中所附证明材料</w:t>
            </w:r>
            <w:r>
              <w:rPr>
                <w:rFonts w:hint="eastAsia" w:ascii="仿宋" w:hAnsi="仿宋" w:eastAsia="仿宋" w:cs="仿宋"/>
                <w:color w:val="auto"/>
                <w:sz w:val="21"/>
                <w:szCs w:val="21"/>
                <w:lang w:eastAsia="zh-CN"/>
              </w:rPr>
              <w:t>（信用中国和中国政府采购网信用记录可不提供，由代理机构查询并留存）</w:t>
            </w:r>
            <w:r>
              <w:rPr>
                <w:rFonts w:hint="eastAsia" w:ascii="仿宋" w:hAnsi="仿宋" w:eastAsia="仿宋" w:cs="仿宋"/>
                <w:color w:val="auto"/>
                <w:sz w:val="21"/>
                <w:szCs w:val="21"/>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4" w:type="dxa"/>
            <w:vMerge w:val="restart"/>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both"/>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1.2</w:t>
            </w:r>
          </w:p>
        </w:tc>
        <w:tc>
          <w:tcPr>
            <w:tcW w:w="439"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1286"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投标文件的签署盖章</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投标文件上法定代表人或</w:t>
            </w:r>
            <w:r>
              <w:rPr>
                <w:rFonts w:hint="eastAsia" w:ascii="仿宋" w:hAnsi="仿宋" w:eastAsia="仿宋" w:cs="仿宋"/>
                <w:b w:val="0"/>
                <w:bCs/>
                <w:color w:val="auto"/>
                <w:sz w:val="21"/>
                <w:szCs w:val="21"/>
                <w:highlight w:val="none"/>
                <w:lang w:eastAsia="zh-CN"/>
              </w:rPr>
              <w:t>被授权人</w:t>
            </w:r>
            <w:r>
              <w:rPr>
                <w:rFonts w:hint="eastAsia" w:ascii="仿宋" w:hAnsi="仿宋" w:eastAsia="仿宋" w:cs="仿宋"/>
                <w:b w:val="0"/>
                <w:bCs/>
                <w:color w:val="auto"/>
                <w:sz w:val="21"/>
                <w:szCs w:val="21"/>
                <w:highlight w:val="none"/>
              </w:rPr>
              <w:t>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投标文件格式</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只能有一个有效报价，不得提交选择性报价，且报价不超过</w:t>
            </w:r>
            <w:r>
              <w:rPr>
                <w:rFonts w:hint="eastAsia" w:ascii="仿宋" w:hAnsi="仿宋" w:eastAsia="仿宋" w:cs="仿宋"/>
                <w:b w:val="0"/>
                <w:bCs/>
                <w:color w:val="auto"/>
                <w:sz w:val="21"/>
                <w:szCs w:val="21"/>
                <w:highlight w:val="none"/>
                <w:lang w:eastAsia="zh-CN"/>
              </w:rPr>
              <w:t>中标金额</w:t>
            </w:r>
            <w:r>
              <w:rPr>
                <w:rFonts w:hint="eastAsia" w:ascii="仿宋" w:hAnsi="仿宋" w:eastAsia="仿宋" w:cs="仿宋"/>
                <w:b w:val="0"/>
                <w:bCs/>
                <w:color w:val="auto"/>
                <w:sz w:val="21"/>
                <w:szCs w:val="21"/>
                <w:highlight w:val="none"/>
              </w:rPr>
              <w:t>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对招标文件响应程度</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val="en-US" w:eastAsia="zh-CN"/>
              </w:rPr>
              <w:t>商务</w:t>
            </w:r>
            <w:r>
              <w:rPr>
                <w:rFonts w:hint="eastAsia" w:ascii="仿宋" w:hAnsi="仿宋" w:eastAsia="仿宋" w:cs="仿宋"/>
                <w:b w:val="0"/>
                <w:bCs/>
                <w:color w:val="auto"/>
                <w:sz w:val="21"/>
                <w:szCs w:val="21"/>
                <w:highlight w:val="none"/>
                <w:lang w:eastAsia="zh-CN"/>
              </w:rPr>
              <w:t>条款全部响应</w:t>
            </w:r>
            <w:r>
              <w:rPr>
                <w:rFonts w:hint="eastAsia" w:ascii="仿宋" w:hAnsi="仿宋" w:eastAsia="仿宋" w:cs="仿宋"/>
                <w:b w:val="0"/>
                <w:bCs/>
                <w:color w:val="auto"/>
                <w:sz w:val="21"/>
                <w:szCs w:val="21"/>
                <w:highlight w:val="none"/>
              </w:rPr>
              <w:t>，不能有采购人不能接受的附加条件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工期</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应满足招标文件中要求的</w:t>
            </w:r>
            <w:r>
              <w:rPr>
                <w:rFonts w:hint="eastAsia" w:ascii="仿宋" w:hAnsi="仿宋" w:eastAsia="仿宋" w:cs="仿宋"/>
                <w:b w:val="0"/>
                <w:bCs/>
                <w:color w:val="auto"/>
                <w:sz w:val="21"/>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投标有效期</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应满足招标文件中的规定</w:t>
            </w:r>
          </w:p>
        </w:tc>
      </w:tr>
    </w:tbl>
    <w:p>
      <w:pPr>
        <w:pStyle w:val="2"/>
        <w:rPr>
          <w:rFonts w:hint="eastAsia"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color w:val="auto"/>
          <w:sz w:val="28"/>
          <w:szCs w:val="28"/>
          <w:highlight w:val="yellow"/>
        </w:rPr>
      </w:pPr>
    </w:p>
    <w:p>
      <w:pPr>
        <w:pStyle w:val="2"/>
        <w:rPr>
          <w:rFonts w:hint="eastAsia" w:ascii="仿宋" w:hAnsi="仿宋" w:eastAsia="仿宋" w:cs="仿宋"/>
          <w:b/>
          <w:color w:val="auto"/>
          <w:sz w:val="28"/>
          <w:szCs w:val="28"/>
          <w:highlight w:val="yellow"/>
        </w:rPr>
      </w:pPr>
    </w:p>
    <w:p>
      <w:pPr>
        <w:pStyle w:val="5"/>
        <w:rPr>
          <w:rFonts w:hint="eastAsia" w:ascii="仿宋" w:hAnsi="仿宋" w:eastAsia="仿宋" w:cs="仿宋"/>
          <w:color w:val="auto"/>
          <w:lang w:eastAsia="zh-CN"/>
        </w:rPr>
        <w:sectPr>
          <w:pgSz w:w="11906" w:h="16838"/>
          <w:pgMar w:top="1417" w:right="1417" w:bottom="1417" w:left="1701" w:header="851" w:footer="992" w:gutter="0"/>
          <w:pgNumType w:fmt="decimal"/>
          <w:cols w:space="0" w:num="1"/>
          <w:docGrid w:type="lines" w:linePitch="312" w:charSpace="0"/>
        </w:sectPr>
      </w:pPr>
    </w:p>
    <w:p>
      <w:pPr>
        <w:pStyle w:val="5"/>
        <w:jc w:val="both"/>
        <w:rPr>
          <w:rFonts w:hint="eastAsia" w:ascii="仿宋" w:hAnsi="仿宋" w:eastAsia="仿宋" w:cs="仿宋"/>
          <w:color w:val="auto"/>
          <w:lang w:val="en-US" w:eastAsia="zh-CN"/>
        </w:rPr>
      </w:pPr>
      <w:r>
        <w:rPr>
          <w:rFonts w:hint="eastAsia" w:ascii="仿宋" w:hAnsi="仿宋" w:eastAsia="仿宋" w:cs="仿宋"/>
          <w:color w:val="auto"/>
          <w:lang w:eastAsia="zh-CN"/>
        </w:rPr>
        <w:t>附件</w:t>
      </w:r>
      <w:r>
        <w:rPr>
          <w:rFonts w:hint="eastAsia" w:ascii="仿宋" w:hAnsi="仿宋" w:eastAsia="仿宋" w:cs="仿宋"/>
          <w:color w:val="auto"/>
          <w:lang w:val="en-US" w:eastAsia="zh-CN"/>
        </w:rPr>
        <w:t>2：</w:t>
      </w:r>
      <w:r>
        <w:rPr>
          <w:rFonts w:hint="eastAsia" w:ascii="仿宋" w:hAnsi="仿宋" w:eastAsia="仿宋" w:cs="仿宋"/>
          <w:color w:val="auto"/>
        </w:rPr>
        <w:t>评标因素及权重分值表</w:t>
      </w:r>
    </w:p>
    <w:tbl>
      <w:tblPr>
        <w:tblStyle w:val="34"/>
        <w:tblpPr w:leftFromText="180" w:rightFromText="180" w:vertAnchor="text" w:horzAnchor="page" w:tblpX="1558" w:tblpY="443"/>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96"/>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00"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w:t>
            </w:r>
          </w:p>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1096"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bCs/>
                <w:color w:val="auto"/>
                <w:sz w:val="24"/>
                <w:szCs w:val="24"/>
              </w:rPr>
              <w:t>分值</w:t>
            </w:r>
          </w:p>
        </w:tc>
        <w:tc>
          <w:tcPr>
            <w:tcW w:w="6703"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评标因素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200"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w:t>
            </w:r>
          </w:p>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价格</w:t>
            </w:r>
          </w:p>
        </w:tc>
        <w:tc>
          <w:tcPr>
            <w:tcW w:w="1096"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0</w:t>
            </w:r>
            <w:r>
              <w:rPr>
                <w:rFonts w:hint="eastAsia" w:ascii="仿宋" w:hAnsi="仿宋" w:eastAsia="仿宋" w:cs="仿宋"/>
                <w:b/>
                <w:color w:val="auto"/>
                <w:sz w:val="24"/>
                <w:szCs w:val="24"/>
              </w:rPr>
              <w:t>分</w:t>
            </w:r>
          </w:p>
        </w:tc>
        <w:tc>
          <w:tcPr>
            <w:tcW w:w="6703" w:type="dxa"/>
            <w:vAlign w:val="center"/>
          </w:tcPr>
          <w:p>
            <w:pPr>
              <w:numPr>
                <w:ilvl w:val="0"/>
                <w:numId w:val="5"/>
              </w:numPr>
              <w:spacing w:line="400" w:lineRule="exact"/>
              <w:ind w:left="-120" w:leftChars="0" w:firstLine="120" w:firstLineChars="0"/>
              <w:rPr>
                <w:rFonts w:hint="eastAsia" w:ascii="仿宋" w:hAnsi="仿宋" w:eastAsia="仿宋" w:cs="仿宋"/>
                <w:color w:val="auto"/>
                <w:sz w:val="24"/>
                <w:szCs w:val="24"/>
              </w:rPr>
            </w:pPr>
            <w:r>
              <w:rPr>
                <w:rFonts w:hint="eastAsia" w:ascii="仿宋" w:hAnsi="仿宋" w:eastAsia="仿宋" w:cs="仿宋"/>
                <w:color w:val="auto"/>
                <w:sz w:val="24"/>
                <w:szCs w:val="24"/>
              </w:rPr>
              <w:t>经初审合格的投标文件，其投标报价为有效投标报价。</w:t>
            </w:r>
          </w:p>
          <w:p>
            <w:pPr>
              <w:numPr>
                <w:ilvl w:val="0"/>
                <w:numId w:val="5"/>
              </w:numPr>
              <w:spacing w:line="400" w:lineRule="exact"/>
              <w:ind w:left="-120" w:leftChars="0" w:firstLine="120" w:firstLineChars="0"/>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文件实质性要求</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有效投标报价的算术平均值作为评标基准价。</w:t>
            </w:r>
          </w:p>
          <w:p>
            <w:pPr>
              <w:spacing w:line="400" w:lineRule="exact"/>
              <w:ind w:left="-94" w:leftChars="-45"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.投标报价等于评标基准价得满分，每高1％扣0.5分，每低1％扣0.25分，扣完为止。不足1%，按插值法计算。</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技术标</w:t>
            </w:r>
          </w:p>
        </w:tc>
        <w:tc>
          <w:tcPr>
            <w:tcW w:w="1096" w:type="dxa"/>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0</w:t>
            </w:r>
            <w:r>
              <w:rPr>
                <w:rFonts w:hint="eastAsia" w:ascii="仿宋" w:hAnsi="仿宋" w:eastAsia="仿宋" w:cs="仿宋"/>
                <w:b/>
                <w:color w:val="auto"/>
                <w:sz w:val="24"/>
                <w:szCs w:val="24"/>
              </w:rPr>
              <w:t>分</w:t>
            </w:r>
          </w:p>
        </w:tc>
        <w:tc>
          <w:tcPr>
            <w:tcW w:w="6703" w:type="dxa"/>
            <w:vAlign w:val="center"/>
          </w:tcPr>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①项目经理部组成人员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②政策落实到位及突发事件处理</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③房屋拆除方案、与征收人及周边环境的配合协调及合理化建议</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④</w:t>
            </w:r>
            <w:r>
              <w:rPr>
                <w:rFonts w:hint="eastAsia" w:ascii="仿宋" w:hAnsi="仿宋" w:eastAsia="仿宋" w:cs="仿宋"/>
                <w:color w:val="auto"/>
                <w:sz w:val="24"/>
                <w:szCs w:val="24"/>
                <w:lang w:val="en-US" w:eastAsia="zh-CN"/>
              </w:rPr>
              <w:t>地面</w:t>
            </w:r>
            <w:r>
              <w:rPr>
                <w:rFonts w:hint="eastAsia" w:ascii="仿宋" w:hAnsi="仿宋" w:eastAsia="仿宋" w:cs="仿宋"/>
                <w:color w:val="auto"/>
                <w:sz w:val="24"/>
                <w:szCs w:val="24"/>
              </w:rPr>
              <w:t>破碎方案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⑤进度安排与工程质量保证措施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进度安排合理，保证措施合理、详细得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⑥施工机械配备和材料投入计划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⑦现场文明施工及安全保障措施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⑧环境保护及治污减霾措施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⑨垃圾清运方案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⑩雨季施工管理及防范措施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合理可行得</w:t>
            </w:r>
            <w:r>
              <w:rPr>
                <w:rFonts w:hint="eastAsia" w:ascii="仿宋" w:hAnsi="仿宋" w:eastAsia="仿宋" w:cs="仿宋"/>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00" w:type="dxa"/>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业绩</w:t>
            </w:r>
          </w:p>
        </w:tc>
        <w:tc>
          <w:tcPr>
            <w:tcW w:w="1096" w:type="dxa"/>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10分</w:t>
            </w:r>
          </w:p>
        </w:tc>
        <w:tc>
          <w:tcPr>
            <w:tcW w:w="6703" w:type="dxa"/>
            <w:vAlign w:val="center"/>
          </w:tcPr>
          <w:p>
            <w:pPr>
              <w:pStyle w:val="22"/>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投标人提供</w:t>
            </w:r>
            <w:r>
              <w:rPr>
                <w:rFonts w:hint="eastAsia" w:ascii="仿宋" w:hAnsi="仿宋" w:eastAsia="仿宋" w:cs="仿宋"/>
                <w:color w:val="auto"/>
                <w:sz w:val="24"/>
                <w:szCs w:val="24"/>
                <w:lang w:val="en-US" w:eastAsia="zh-CN"/>
              </w:rPr>
              <w:t>2018年6月至今类似</w:t>
            </w:r>
            <w:r>
              <w:rPr>
                <w:rFonts w:hint="eastAsia" w:ascii="仿宋" w:hAnsi="仿宋" w:eastAsia="仿宋" w:cs="仿宋"/>
                <w:color w:val="auto"/>
                <w:sz w:val="24"/>
                <w:szCs w:val="24"/>
              </w:rPr>
              <w:t>项目业绩，每提供一份得2分，最高得10分。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工程质量承诺</w:t>
            </w:r>
          </w:p>
        </w:tc>
        <w:tc>
          <w:tcPr>
            <w:tcW w:w="1096" w:type="dxa"/>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c>
          <w:tcPr>
            <w:tcW w:w="6703" w:type="dxa"/>
            <w:vAlign w:val="center"/>
          </w:tcPr>
          <w:p>
            <w:pPr>
              <w:pStyle w:val="1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工程质量承诺完整、合理</w:t>
            </w:r>
            <w:r>
              <w:rPr>
                <w:rFonts w:hint="eastAsia" w:ascii="仿宋" w:hAnsi="仿宋" w:eastAsia="仿宋" w:cs="仿宋"/>
                <w:color w:val="auto"/>
                <w:sz w:val="24"/>
                <w:szCs w:val="24"/>
                <w:lang w:val="en-US" w:eastAsia="zh-CN"/>
              </w:rPr>
              <w:t>得</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00" w:type="dxa"/>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后续服务</w:t>
            </w:r>
          </w:p>
        </w:tc>
        <w:tc>
          <w:tcPr>
            <w:tcW w:w="1096" w:type="dxa"/>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c>
          <w:tcPr>
            <w:tcW w:w="6703" w:type="dxa"/>
            <w:vAlign w:val="center"/>
          </w:tcPr>
          <w:p>
            <w:pPr>
              <w:spacing w:line="400" w:lineRule="exact"/>
              <w:ind w:left="-94" w:leftChars="-45" w:firstLine="120" w:firstLineChars="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后续服务条款具体、可行；并有详细的后续服务措施承诺且具体、可行0-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1200" w:type="dxa"/>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备注</w:t>
            </w:r>
          </w:p>
        </w:tc>
        <w:tc>
          <w:tcPr>
            <w:tcW w:w="7799" w:type="dxa"/>
            <w:gridSpan w:val="2"/>
            <w:vAlign w:val="center"/>
          </w:tcPr>
          <w:p>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1、各评委应按照本评标办法独立打分。</w:t>
            </w:r>
          </w:p>
          <w:p>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2、分项评分超出评分标准范围或评标委员会对客观评审因素评分不一致时，采购代理机构可以要求评标委员会复核或者书面说明理由，评标委员会拒绝的，应予记录并向监管部门报告。</w:t>
            </w:r>
          </w:p>
          <w:p>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3、若出现综合得分并列时，比较价格得分，此分项得分高者排序在前；若价格得分仍相同，比较技术得分，此分项得分高者排序在前；若技术得分仍相同，则由全体评标委员会无记名投票，得票高者排序在前。</w:t>
            </w:r>
          </w:p>
          <w:p>
            <w:pPr>
              <w:spacing w:line="288"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4、计算结果保留两位小数，第三位“四舍五入”。</w:t>
            </w:r>
          </w:p>
          <w:p>
            <w:pPr>
              <w:spacing w:line="40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5、评标过程中，若出现特殊情况时，由评标委员会决定暂停评标，并提出具体处理意见。</w:t>
            </w:r>
            <w:r>
              <w:rPr>
                <w:rFonts w:hint="eastAsia" w:ascii="仿宋" w:hAnsi="仿宋" w:eastAsia="仿宋" w:cs="仿宋"/>
                <w:color w:val="auto"/>
                <w:kern w:val="0"/>
                <w:sz w:val="24"/>
                <w:szCs w:val="24"/>
              </w:rPr>
              <w:t xml:space="preserve"> </w:t>
            </w:r>
          </w:p>
        </w:tc>
      </w:tr>
    </w:tbl>
    <w:p>
      <w:pPr>
        <w:pStyle w:val="5"/>
        <w:jc w:val="center"/>
        <w:rPr>
          <w:rFonts w:hint="eastAsia" w:ascii="仿宋" w:hAnsi="仿宋" w:eastAsia="仿宋" w:cs="仿宋"/>
          <w:color w:val="auto"/>
        </w:rPr>
      </w:pPr>
    </w:p>
    <w:p>
      <w:pPr>
        <w:pStyle w:val="4"/>
        <w:spacing w:before="0" w:after="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yellow"/>
        </w:rPr>
        <w:br w:type="page"/>
      </w:r>
      <w:bookmarkStart w:id="155" w:name="_Toc446841667"/>
      <w:bookmarkStart w:id="156" w:name="_Toc451935981"/>
      <w:bookmarkStart w:id="157" w:name="_Toc291488641"/>
      <w:r>
        <w:rPr>
          <w:rFonts w:hint="eastAsia" w:ascii="仿宋" w:hAnsi="仿宋" w:eastAsia="仿宋" w:cs="仿宋"/>
          <w:b/>
          <w:color w:val="auto"/>
          <w:sz w:val="28"/>
          <w:szCs w:val="28"/>
          <w:highlight w:val="none"/>
          <w:lang w:val="en-US" w:eastAsia="zh-CN"/>
        </w:rPr>
        <w:t xml:space="preserve"> </w:t>
      </w:r>
      <w:r>
        <w:rPr>
          <w:rStyle w:val="52"/>
          <w:rFonts w:hint="eastAsia" w:ascii="仿宋" w:hAnsi="仿宋" w:eastAsia="仿宋" w:cs="仿宋"/>
          <w:b/>
          <w:bCs/>
          <w:color w:val="auto"/>
          <w:sz w:val="24"/>
          <w:szCs w:val="24"/>
        </w:rPr>
        <w:t>附件</w:t>
      </w:r>
      <w:bookmarkEnd w:id="155"/>
      <w:bookmarkEnd w:id="156"/>
      <w:bookmarkEnd w:id="157"/>
      <w:r>
        <w:rPr>
          <w:rStyle w:val="52"/>
          <w:rFonts w:hint="eastAsia" w:ascii="仿宋" w:hAnsi="仿宋" w:eastAsia="仿宋" w:cs="仿宋"/>
          <w:b/>
          <w:bCs/>
          <w:color w:val="auto"/>
          <w:sz w:val="24"/>
          <w:szCs w:val="24"/>
          <w:lang w:val="en-US" w:eastAsia="zh-CN"/>
        </w:rPr>
        <w:t>3：</w:t>
      </w:r>
    </w:p>
    <w:p>
      <w:pPr>
        <w:pStyle w:val="5"/>
        <w:jc w:val="center"/>
        <w:rPr>
          <w:rFonts w:hint="eastAsia" w:ascii="仿宋" w:hAnsi="仿宋" w:eastAsia="仿宋" w:cs="仿宋"/>
          <w:color w:val="auto"/>
        </w:rPr>
      </w:pPr>
      <w:r>
        <w:rPr>
          <w:rFonts w:hint="eastAsia" w:ascii="仿宋" w:hAnsi="仿宋" w:eastAsia="仿宋" w:cs="仿宋"/>
          <w:color w:val="auto"/>
        </w:rPr>
        <w:t>否决投标条件</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A0.总  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本附件所集中列示的否决投标条件，是本章“评标办法”的组成部分，是对本章正文部分所规定的否决投标条件的总结和补充，如果出现相互矛盾的情况，以本章正文部分的规定为准。</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A1.否决投标条件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投标人或其投标文件有下列情形之一的，否决其投标：</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有串通投标或弄虚作假或有其他违法行为的。</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不按评标委员会要求澄清、说明或补正的。</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投标文件完整性不符合招标文件第二章“投标人须知”第3.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项规定的投标。</w:t>
      </w:r>
    </w:p>
    <w:p>
      <w:pPr>
        <w:numPr>
          <w:ilvl w:val="0"/>
          <w:numId w:val="6"/>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未按招标文件规定的格式填写，或者关键内容不全或关键字迹模糊、无法辨认的投标。</w:t>
      </w:r>
    </w:p>
    <w:p>
      <w:pPr>
        <w:numPr>
          <w:ilvl w:val="0"/>
          <w:numId w:val="6"/>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投标人名称和公章不一致的。</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投标工期、质量标准、投标有效期不符合招标文件规定的。</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投标人递交两份或多份内容不同的投标文件，或在一份投标文件中对同一招标项目有两个或多个报价的。</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评标委员会认定投标人以低于成本报价竞标的，且投标人不能合理说明或者不能提供相应证明材料的。</w:t>
      </w:r>
    </w:p>
    <w:p>
      <w:pPr>
        <w:numPr>
          <w:ilvl w:val="0"/>
          <w:numId w:val="6"/>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其他经评委会确认的未能实质性响应招标文件要求的投标。</w:t>
      </w:r>
    </w:p>
    <w:p>
      <w:pPr>
        <w:numPr>
          <w:ilvl w:val="0"/>
          <w:numId w:val="6"/>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与资格预审项目经理不一致的。</w:t>
      </w:r>
    </w:p>
    <w:p>
      <w:pPr>
        <w:numPr>
          <w:ilvl w:val="0"/>
          <w:numId w:val="6"/>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电子标书打不开或打开无内容的。</w:t>
      </w:r>
    </w:p>
    <w:p>
      <w:pPr>
        <w:numPr>
          <w:ilvl w:val="0"/>
          <w:numId w:val="6"/>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法律、法规及行业有规定的其他情形。</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A2.串通投标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有下列情形之一的，属于投标人相互串通投标：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（1）投标人之间协商投标报价等投标文件的实质性内容；</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（2）投标人之间约定中标人；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（3）投标人之间约定部分投标人放弃投标或者中标；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（4）属于同一集团、协会、商会等组织成员的投标人按照该组织要求协同投标；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（5）投标人之间为谋取中标或者排斥特定投标人而采取的其他联合行动。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有下列情形之一的，视为投标人相互串通投标：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（3）不同投标人的投标文件载明的项目管理成员为同一人；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（4）不同投标人的投标文件异常一致或者投标报价呈规律性差异；</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A3.弄虚作假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投标人有下列情形之一的，属于弄虚作假的行为：</w:t>
      </w:r>
    </w:p>
    <w:p>
      <w:pPr>
        <w:numPr>
          <w:ilvl w:val="0"/>
          <w:numId w:val="7"/>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pPr>
        <w:numPr>
          <w:ilvl w:val="0"/>
          <w:numId w:val="7"/>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pPr>
        <w:numPr>
          <w:ilvl w:val="0"/>
          <w:numId w:val="7"/>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提供虚假的项目负责人或者主要技术人员简历、劳动关系证明；</w:t>
      </w:r>
    </w:p>
    <w:p>
      <w:pPr>
        <w:numPr>
          <w:ilvl w:val="0"/>
          <w:numId w:val="7"/>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pPr>
        <w:numPr>
          <w:ilvl w:val="0"/>
          <w:numId w:val="7"/>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pPr>
        <w:spacing w:line="360" w:lineRule="auto"/>
        <w:ind w:firstLine="600" w:firstLineChars="250"/>
        <w:rPr>
          <w:rFonts w:hint="eastAsia" w:ascii="仿宋" w:hAnsi="仿宋" w:eastAsia="仿宋" w:cs="仿宋"/>
          <w:color w:val="auto"/>
          <w:sz w:val="24"/>
          <w:szCs w:val="24"/>
          <w:highlight w:val="none"/>
        </w:rPr>
      </w:pPr>
    </w:p>
    <w:p>
      <w:pPr>
        <w:rPr>
          <w:rFonts w:hint="eastAsia" w:ascii="仿宋" w:hAnsi="仿宋" w:eastAsia="仿宋" w:cs="仿宋"/>
          <w:color w:val="auto"/>
        </w:rPr>
      </w:pPr>
      <w:bookmarkStart w:id="158" w:name="_Hlt128276660"/>
      <w:bookmarkEnd w:id="158"/>
      <w:bookmarkStart w:id="159" w:name="_Hlt128276537"/>
      <w:bookmarkEnd w:id="159"/>
      <w:bookmarkStart w:id="160" w:name="_Hlt128276530"/>
      <w:bookmarkEnd w:id="160"/>
      <w:bookmarkStart w:id="161" w:name="_Toc11044"/>
      <w:bookmarkStart w:id="162" w:name="_Toc421778381"/>
      <w:bookmarkStart w:id="163" w:name="_Toc421778377"/>
      <w:bookmarkStart w:id="164" w:name="_Toc351989128"/>
      <w:bookmarkStart w:id="165" w:name="_Toc221523521"/>
      <w:r>
        <w:rPr>
          <w:rFonts w:hint="eastAsia" w:ascii="仿宋" w:hAnsi="仿宋" w:eastAsia="仿宋" w:cs="仿宋"/>
          <w:color w:val="auto"/>
        </w:rPr>
        <w:br w:type="page"/>
      </w:r>
    </w:p>
    <w:p>
      <w:pPr>
        <w:pStyle w:val="3"/>
        <w:spacing w:line="350" w:lineRule="auto"/>
        <w:jc w:val="center"/>
        <w:rPr>
          <w:rFonts w:hint="eastAsia" w:ascii="仿宋" w:hAnsi="仿宋" w:eastAsia="仿宋" w:cs="仿宋"/>
          <w:color w:val="auto"/>
          <w:lang w:val="en-US" w:eastAsia="zh-CN"/>
        </w:rPr>
      </w:pPr>
      <w:bookmarkStart w:id="166" w:name="_Toc3884"/>
      <w:r>
        <w:rPr>
          <w:rFonts w:hint="eastAsia" w:ascii="仿宋" w:hAnsi="仿宋" w:eastAsia="仿宋" w:cs="仿宋"/>
          <w:color w:val="auto"/>
        </w:rPr>
        <w:t>第</w:t>
      </w:r>
      <w:r>
        <w:rPr>
          <w:rFonts w:hint="eastAsia" w:ascii="仿宋" w:hAnsi="仿宋" w:eastAsia="仿宋" w:cs="仿宋"/>
          <w:color w:val="auto"/>
          <w:lang w:val="en-US" w:eastAsia="zh-CN"/>
        </w:rPr>
        <w:t>四</w:t>
      </w:r>
      <w:r>
        <w:rPr>
          <w:rFonts w:hint="eastAsia" w:ascii="仿宋" w:hAnsi="仿宋" w:eastAsia="仿宋" w:cs="仿宋"/>
          <w:color w:val="auto"/>
        </w:rPr>
        <w:t>章</w:t>
      </w:r>
      <w:r>
        <w:rPr>
          <w:rFonts w:hint="eastAsia" w:ascii="仿宋" w:hAnsi="仿宋" w:eastAsia="仿宋" w:cs="仿宋"/>
          <w:color w:val="auto"/>
          <w:lang w:val="en-US" w:eastAsia="zh-CN"/>
        </w:rPr>
        <w:t xml:space="preserve"> 合同条款及格式</w:t>
      </w:r>
      <w:bookmarkEnd w:id="161"/>
      <w:bookmarkEnd w:id="166"/>
    </w:p>
    <w:p>
      <w:pPr>
        <w:spacing w:line="360" w:lineRule="auto"/>
        <w:rPr>
          <w:rFonts w:hint="eastAsia" w:ascii="仿宋" w:hAnsi="仿宋" w:eastAsia="仿宋" w:cs="仿宋"/>
          <w:color w:val="auto"/>
        </w:rPr>
      </w:pPr>
    </w:p>
    <w:p>
      <w:pPr>
        <w:snapToGrid w:val="0"/>
        <w:spacing w:line="560" w:lineRule="exact"/>
        <w:jc w:val="center"/>
        <w:rPr>
          <w:rFonts w:hint="eastAsia" w:ascii="宋体" w:hAnsi="宋体" w:cs="宋体"/>
          <w:b/>
          <w:color w:val="auto"/>
          <w:sz w:val="36"/>
          <w:szCs w:val="36"/>
        </w:rPr>
      </w:pPr>
      <w:bookmarkStart w:id="167" w:name="_Toc205891759"/>
      <w:bookmarkEnd w:id="167"/>
      <w:bookmarkStart w:id="168" w:name="_Toc209339595"/>
      <w:bookmarkEnd w:id="168"/>
      <w:bookmarkStart w:id="169" w:name="_Toc107194479"/>
      <w:bookmarkEnd w:id="169"/>
    </w:p>
    <w:p>
      <w:pPr>
        <w:snapToGrid w:val="0"/>
        <w:spacing w:line="560" w:lineRule="exact"/>
        <w:jc w:val="center"/>
        <w:rPr>
          <w:rFonts w:hint="eastAsia" w:ascii="宋体" w:hAnsi="宋体" w:cs="宋体"/>
          <w:b/>
          <w:color w:val="auto"/>
          <w:sz w:val="36"/>
          <w:szCs w:val="36"/>
        </w:rPr>
      </w:pPr>
    </w:p>
    <w:p>
      <w:pPr>
        <w:snapToGrid w:val="0"/>
        <w:spacing w:line="560" w:lineRule="exact"/>
        <w:jc w:val="center"/>
        <w:rPr>
          <w:rFonts w:ascii="宋体" w:hAnsi="宋体" w:cs="宋体"/>
          <w:b/>
          <w:color w:val="auto"/>
          <w:sz w:val="36"/>
          <w:szCs w:val="36"/>
        </w:rPr>
      </w:pPr>
      <w:r>
        <w:rPr>
          <w:rFonts w:hint="eastAsia" w:ascii="宋体" w:hAnsi="宋体" w:cs="宋体"/>
          <w:b/>
          <w:color w:val="auto"/>
          <w:sz w:val="36"/>
          <w:szCs w:val="36"/>
          <w:lang w:eastAsia="zh-CN"/>
        </w:rPr>
        <w:t>三桥街道阿房一路集体土地拆除项目</w:t>
      </w:r>
      <w:r>
        <w:rPr>
          <w:rFonts w:hint="eastAsia" w:ascii="宋体" w:hAnsi="宋体" w:cs="宋体"/>
          <w:b/>
          <w:color w:val="auto"/>
          <w:sz w:val="36"/>
          <w:szCs w:val="36"/>
        </w:rPr>
        <w:t>合同</w:t>
      </w:r>
    </w:p>
    <w:p>
      <w:pPr>
        <w:spacing w:line="360" w:lineRule="auto"/>
        <w:rPr>
          <w:rFonts w:ascii="黑体" w:hAnsi="宋体" w:eastAsia="黑体" w:cs="黑体"/>
          <w:b/>
          <w:bCs/>
          <w:color w:val="auto"/>
          <w:sz w:val="32"/>
          <w:szCs w:val="32"/>
        </w:rPr>
      </w:pPr>
    </w:p>
    <w:p>
      <w:pPr>
        <w:jc w:val="center"/>
        <w:rPr>
          <w:rFonts w:hint="eastAsia" w:eastAsia="宋体"/>
          <w:b/>
          <w:bCs/>
          <w:color w:val="auto"/>
          <w:sz w:val="20"/>
          <w:szCs w:val="15"/>
          <w:lang w:eastAsia="zh-CN"/>
        </w:rPr>
        <w:sectPr>
          <w:pgSz w:w="11906" w:h="16838"/>
          <w:pgMar w:top="1417" w:right="1418" w:bottom="1417" w:left="1417" w:header="1134" w:footer="850" w:gutter="0"/>
          <w:pgNumType w:fmt="decimal"/>
          <w:cols w:space="720" w:num="1"/>
          <w:docGrid w:type="lines" w:linePitch="312" w:charSpace="0"/>
        </w:sectPr>
      </w:pPr>
      <w:r>
        <w:rPr>
          <w:rFonts w:hint="eastAsia"/>
          <w:b/>
          <w:bCs/>
          <w:color w:val="auto"/>
          <w:sz w:val="28"/>
          <w:szCs w:val="21"/>
          <w:lang w:eastAsia="zh-CN"/>
        </w:rPr>
        <w:t>（参考格式，除实质性内容外其余内容可根据实际情况进行调整）</w:t>
      </w:r>
    </w:p>
    <w:bookmarkEnd w:id="162"/>
    <w:p>
      <w:pPr>
        <w:spacing w:line="560" w:lineRule="exact"/>
        <w:ind w:firstLine="482" w:firstLineChars="200"/>
        <w:rPr>
          <w:rFonts w:hint="eastAsia" w:ascii="仿宋" w:hAnsi="仿宋" w:eastAsia="仿宋" w:cs="仿宋"/>
          <w:b/>
          <w:bCs/>
          <w:color w:val="auto"/>
          <w:sz w:val="24"/>
          <w:szCs w:val="24"/>
        </w:rPr>
      </w:pPr>
      <w:bookmarkStart w:id="170" w:name="_Toc30251"/>
      <w:r>
        <w:rPr>
          <w:rFonts w:hint="eastAsia" w:ascii="仿宋" w:hAnsi="仿宋" w:eastAsia="仿宋" w:cs="仿宋"/>
          <w:b/>
          <w:bCs/>
          <w:color w:val="auto"/>
          <w:sz w:val="24"/>
          <w:szCs w:val="24"/>
        </w:rPr>
        <w:t>甲方：</w:t>
      </w:r>
      <w:r>
        <w:rPr>
          <w:rFonts w:hint="eastAsia" w:ascii="仿宋" w:hAnsi="仿宋" w:eastAsia="仿宋" w:cs="仿宋"/>
          <w:b/>
          <w:bCs/>
          <w:color w:val="auto"/>
          <w:sz w:val="24"/>
          <w:szCs w:val="24"/>
          <w:u w:val="single"/>
        </w:rPr>
        <w:t xml:space="preserve">                            </w:t>
      </w:r>
    </w:p>
    <w:p>
      <w:pPr>
        <w:spacing w:line="56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乙方：</w:t>
      </w:r>
      <w:r>
        <w:rPr>
          <w:rFonts w:hint="eastAsia" w:ascii="仿宋" w:hAnsi="仿宋" w:eastAsia="仿宋" w:cs="仿宋"/>
          <w:b/>
          <w:bCs/>
          <w:color w:val="auto"/>
          <w:sz w:val="24"/>
          <w:szCs w:val="24"/>
          <w:u w:val="single"/>
        </w:rPr>
        <w:t xml:space="preserve">                            </w:t>
      </w:r>
    </w:p>
    <w:p>
      <w:pPr>
        <w:snapToGrid w:val="0"/>
        <w:spacing w:line="560" w:lineRule="exact"/>
        <w:ind w:firstLine="480" w:firstLineChars="200"/>
        <w:rPr>
          <w:rFonts w:hint="eastAsia" w:ascii="仿宋" w:hAnsi="仿宋" w:eastAsia="仿宋" w:cs="仿宋"/>
          <w:color w:val="auto"/>
          <w:sz w:val="24"/>
          <w:szCs w:val="24"/>
        </w:rPr>
      </w:pPr>
    </w:p>
    <w:p>
      <w:pPr>
        <w:snapToGrid w:val="0"/>
        <w:spacing w:line="560" w:lineRule="exact"/>
        <w:ind w:firstLine="480" w:firstLineChars="200"/>
        <w:rPr>
          <w:rFonts w:hint="eastAsia" w:ascii="仿宋" w:hAnsi="仿宋" w:eastAsia="仿宋" w:cs="仿宋"/>
          <w:color w:val="auto"/>
          <w:sz w:val="24"/>
          <w:szCs w:val="24"/>
          <w:shd w:val="clear" w:color="auto" w:fill="D9D9D9"/>
        </w:rPr>
      </w:pPr>
      <w:r>
        <w:rPr>
          <w:rFonts w:hint="eastAsia" w:ascii="仿宋" w:hAnsi="仿宋" w:eastAsia="仿宋" w:cs="仿宋"/>
          <w:color w:val="auto"/>
          <w:sz w:val="24"/>
          <w:szCs w:val="24"/>
        </w:rPr>
        <w:t>受沣东新城城改事务中心委托，甲方全面负责</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集体土地地面附着物拆除及垃圾清运工作，经履行政府采购相关程序，并经城改事务中心认可，甲方将上述工作委托乙方实施。依照《中华人民共和国民法典》等法律规定，遵循平等、自愿、公平和诚实信用的原则，甲乙双方经协商一致签订本合同。</w:t>
      </w:r>
    </w:p>
    <w:p>
      <w:pPr>
        <w:spacing w:line="560" w:lineRule="exact"/>
        <w:ind w:firstLine="480" w:firstLineChars="20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一、工程概况</w:t>
      </w:r>
    </w:p>
    <w:p>
      <w:pPr>
        <w:spacing w:line="560" w:lineRule="exact"/>
        <w:ind w:firstLine="480" w:firstLineChars="200"/>
        <w:outlineLvl w:val="0"/>
        <w:rPr>
          <w:rFonts w:hint="eastAsia" w:ascii="仿宋" w:hAnsi="仿宋" w:eastAsia="仿宋" w:cs="仿宋"/>
          <w:bCs/>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街道</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村，占地面积约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平方米，企业约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户，建筑面积约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平方米，苗木约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亩（以上均为暂定数据，最终以第三方中介单位有效技术报告所载明数据为准）。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工作内容包括但不限于：建（构）筑物地坪（指室内地坪，下同）以上部分拆除及产生建筑垃圾的清运；建（构）筑物地坪及地坪以下部分、硬化地面、道路路面破碎及产生建筑垃圾的清运（下挖至黄土裸露，场地自然平整，硬化类型含水泥、混凝土、水磨石等，下同）；苗木清理（含苗木、杂草及其根基和相应腐殖土清理外运）；与上述内容相关的安全生产、治污减霾、场地看护等工作。计划总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天（开工日期以甲方通知为准）。</w:t>
      </w:r>
    </w:p>
    <w:p>
      <w:pPr>
        <w:spacing w:line="560" w:lineRule="exact"/>
        <w:ind w:firstLine="480" w:firstLineChars="20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二、计量结算及合同价款</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（一）工程量计算</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1.建（构）筑物地坪以上部分拆除及产生建筑垃圾的清运</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拆除工程量：合同暂定量按照前期摸底建（构）筑物总面积计算，最终以第三方中介单位（下同）有效估价报告所载明建筑面积据实结算；</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筑垃圾清运量：合同暂定量按照前期摸底建（构）筑物总面积乘以垃圾折算系数计算，最终以有效估价报告所载明建筑面积乘以垃圾折算系数据实结算（其中：砖混及框架结构为0.35，钢结构及其他零星构筑物为0.1）。</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2.建（构）筑物地坪及地坪以下部分、硬化地面、道路路面破碎及产生建筑垃圾的清运</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破碎工程量：合同暂定量按照前期摸底占地面积计算，最终以有效估价报告所载明面积据实结算；</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建筑垃圾清运量：合同暂定量按照前期摸底占地面积下挖30厘米计算，最终以清运前后两次测量高程叠加方量据实结算。</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3.苗木清理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合同暂定量按照苗木前期摸底占地面积计算，最终以有效测量报告所载明项目实际清理面积据实结算。</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4.治污减霾（防尘覆盖）</w:t>
      </w:r>
    </w:p>
    <w:p>
      <w:pPr>
        <w:spacing w:line="56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合同暂定量按照集体土地前期摸底占地面积计算，最终以有效测量报告所载明项目实际覆盖面积据实结算。</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二）本合同单价为扣除养老统筹后含税全费用单价。其中：垃圾清运单价包含10公里基准运距及有关开挖、装载、垃圾清理、场内及场外运输、倾倒、填埋处置、环境保护、管理费、规费、增值税等费用；超过10公里基准运距后，每增加1公里运费增加1元，最高增加不超过40元/立方米，运距由行业主管部门、城改事务中心和实施单位共同确认。 </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（三）计价标准</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1.建（构）筑物地坪以上部分拆除及产生建筑垃圾的清运</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拆除工程量：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元/平方米，暂定价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建筑垃圾清运量：</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立方米</w:t>
      </w:r>
      <w:r>
        <w:rPr>
          <w:rFonts w:hint="eastAsia" w:ascii="仿宋" w:hAnsi="仿宋" w:eastAsia="仿宋" w:cs="仿宋"/>
          <w:color w:val="auto"/>
          <w:sz w:val="24"/>
          <w:szCs w:val="24"/>
        </w:rPr>
        <w:t>，单价：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kern w:val="0"/>
          <w:sz w:val="24"/>
          <w:szCs w:val="24"/>
        </w:rPr>
        <w:t>立方米</w:t>
      </w:r>
      <w:r>
        <w:rPr>
          <w:rFonts w:hint="eastAsia" w:ascii="仿宋" w:hAnsi="仿宋" w:eastAsia="仿宋" w:cs="仿宋"/>
          <w:color w:val="auto"/>
          <w:sz w:val="24"/>
          <w:szCs w:val="24"/>
        </w:rPr>
        <w:t>，暂定价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2.建（构）筑物地坪及地坪以下部分、硬化地面、道路路面破碎及产生建筑垃圾的清运</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破碎工程量：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元/平方米，暂定价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建筑垃圾清运量：</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立方米</w:t>
      </w:r>
      <w:r>
        <w:rPr>
          <w:rFonts w:hint="eastAsia" w:ascii="仿宋" w:hAnsi="仿宋" w:eastAsia="仿宋" w:cs="仿宋"/>
          <w:color w:val="auto"/>
          <w:sz w:val="24"/>
          <w:szCs w:val="24"/>
        </w:rPr>
        <w:t>，单价：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kern w:val="0"/>
          <w:sz w:val="24"/>
          <w:szCs w:val="24"/>
        </w:rPr>
        <w:t>立方米</w:t>
      </w:r>
      <w:r>
        <w:rPr>
          <w:rFonts w:hint="eastAsia" w:ascii="仿宋" w:hAnsi="仿宋" w:eastAsia="仿宋" w:cs="仿宋"/>
          <w:color w:val="auto"/>
          <w:sz w:val="24"/>
          <w:szCs w:val="24"/>
        </w:rPr>
        <w:t>，暂定价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3.苗木清理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工程量：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亩，单价：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元/亩，暂定价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4.治污减霾（主要用于防尘网覆盖及其他全部临时性支出）</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工作量：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亩，单价：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元/亩，暂定价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5.如遇拆除现场新增项目或现状遗留问题等超出上述工作内容情形，经城改事务中心同意后，可由甲方、监理单位与乙方办理签证，费用以城改事务中心委托的第三方中介单位审定金额为准。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（四）合同总价</w:t>
      </w:r>
    </w:p>
    <w:p>
      <w:pPr>
        <w:spacing w:line="560" w:lineRule="exact"/>
        <w:ind w:firstLine="482" w:firstLineChars="200"/>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依据前款计价标准，本合同暂定总价为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元（大写：</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三、竣工验收及付款方式</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（一）本项目竣工验收采取分阶段验收方式</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1.乙方完成建（构）筑物地坪以上拆除工程量的95%以上，甲方可书面向城改事务中心申请组织相关单位进行验收，验收合格后，出具地坪以上拆除部分验收单（附件1），剩余不足5%部分可作为“甩项”处理。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2.乙方按照合同约定对地坪以上拆除垃圾清运完成后，甲方可书面向城改事务中心申请组织相关单位进行验收，验收合格后，出具地坪以上垃圾清运部分验收单（附件1）。</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3.甲方对地坪、硬化地面、道路路面等地面高程进行测量，</w:t>
      </w:r>
    </w:p>
    <w:p>
      <w:pPr>
        <w:spacing w:line="560" w:lineRule="exact"/>
        <w:ind w:firstLine="480" w:firstLineChars="200"/>
        <w:rPr>
          <w:rFonts w:hint="eastAsia" w:ascii="仿宋" w:hAnsi="仿宋" w:eastAsia="仿宋" w:cs="仿宋"/>
          <w:color w:val="auto"/>
          <w:sz w:val="24"/>
          <w:szCs w:val="24"/>
        </w:rPr>
      </w:pPr>
    </w:p>
    <w:p>
      <w:pPr>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rPr>
        <w:t>城改事务中心委托进行同步复核，共同确认初始测量成果；初测成果确定后，乙方方可实施破碎、清运工作。破碎、清运、苗木、杂草及其根基和相应腐殖土清理工作完成达到黄土裸露、自然平整后，甲方对破碎、清运后地面高程进行竣工测量，同时对苗木清理面积进行测量，城改事务中心进行同步复核，共同确认竣工测量成果。甲方书面向城改事务中心申请组织相关单位进行验收，验收合格后，出具本项目的竣工验收单（附件1）。上述测量技术工作由甲方、城改事务中心各自委托第三方中介单位实施。</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（二）</w:t>
      </w:r>
      <w:r>
        <w:rPr>
          <w:rFonts w:hint="eastAsia" w:ascii="仿宋" w:hAnsi="仿宋" w:eastAsia="仿宋" w:cs="仿宋"/>
          <w:color w:val="auto"/>
          <w:sz w:val="24"/>
          <w:szCs w:val="24"/>
        </w:rPr>
        <w:t>本合同签订后，乙方应于10个工作日内向城改事务中心交纳合同暂定总价的10%（计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元）作为履约保证金。项目竣工验收、结算完成后，履约保证金余额予以退还（不计利息）。乙方未能完全履行合同义务，情形严重的，履约保证金不予退还。</w:t>
      </w:r>
    </w:p>
    <w:p>
      <w:pPr>
        <w:pStyle w:val="17"/>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（三）付款方式</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1.乙方完成</w:t>
      </w:r>
      <w:r>
        <w:rPr>
          <w:rFonts w:hint="eastAsia" w:ascii="仿宋" w:hAnsi="仿宋" w:eastAsia="仿宋" w:cs="仿宋"/>
          <w:color w:val="auto"/>
          <w:sz w:val="24"/>
          <w:szCs w:val="24"/>
        </w:rPr>
        <w:t>建（构）筑物地坪以上拆除</w:t>
      </w:r>
      <w:r>
        <w:rPr>
          <w:rFonts w:hint="eastAsia" w:ascii="仿宋" w:hAnsi="仿宋" w:eastAsia="仿宋" w:cs="仿宋"/>
          <w:color w:val="auto"/>
          <w:kern w:val="2"/>
          <w:sz w:val="24"/>
          <w:szCs w:val="24"/>
        </w:rPr>
        <w:t>，</w:t>
      </w:r>
      <w:r>
        <w:rPr>
          <w:rFonts w:hint="eastAsia" w:ascii="仿宋" w:hAnsi="仿宋" w:eastAsia="仿宋" w:cs="仿宋"/>
          <w:color w:val="auto"/>
          <w:sz w:val="24"/>
          <w:szCs w:val="24"/>
        </w:rPr>
        <w:t>验收合格</w:t>
      </w:r>
      <w:r>
        <w:rPr>
          <w:rFonts w:hint="eastAsia" w:ascii="仿宋" w:hAnsi="仿宋" w:eastAsia="仿宋" w:cs="仿宋"/>
          <w:color w:val="auto"/>
          <w:kern w:val="2"/>
          <w:sz w:val="24"/>
          <w:szCs w:val="24"/>
        </w:rPr>
        <w:t>后，甲方向乙方支付拆除部分合同暂定价的80%。</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2.乙方完成地坪</w:t>
      </w:r>
      <w:r>
        <w:rPr>
          <w:rFonts w:hint="eastAsia" w:ascii="仿宋" w:hAnsi="仿宋" w:eastAsia="仿宋" w:cs="仿宋"/>
          <w:color w:val="auto"/>
          <w:sz w:val="24"/>
          <w:szCs w:val="24"/>
        </w:rPr>
        <w:t>以上拆除部分垃圾清运，验收合格</w:t>
      </w:r>
      <w:r>
        <w:rPr>
          <w:rFonts w:hint="eastAsia" w:ascii="仿宋" w:hAnsi="仿宋" w:eastAsia="仿宋" w:cs="仿宋"/>
          <w:color w:val="auto"/>
          <w:kern w:val="2"/>
          <w:sz w:val="24"/>
          <w:szCs w:val="24"/>
        </w:rPr>
        <w:t>后，</w:t>
      </w:r>
      <w:r>
        <w:rPr>
          <w:rFonts w:hint="eastAsia" w:ascii="仿宋" w:hAnsi="仿宋" w:eastAsia="仿宋" w:cs="仿宋"/>
          <w:color w:val="auto"/>
          <w:sz w:val="24"/>
          <w:szCs w:val="24"/>
        </w:rPr>
        <w:t>甲方向乙方支付拆除垃圾</w:t>
      </w:r>
      <w:r>
        <w:rPr>
          <w:rFonts w:hint="eastAsia" w:ascii="仿宋" w:hAnsi="仿宋" w:eastAsia="仿宋" w:cs="仿宋"/>
          <w:color w:val="auto"/>
          <w:kern w:val="2"/>
          <w:sz w:val="24"/>
          <w:szCs w:val="24"/>
        </w:rPr>
        <w:t>清运部分合同暂定价的80%。</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sz w:val="24"/>
          <w:szCs w:val="24"/>
        </w:rPr>
        <w:t>3.</w:t>
      </w:r>
      <w:r>
        <w:rPr>
          <w:rFonts w:hint="eastAsia" w:ascii="仿宋" w:hAnsi="仿宋" w:eastAsia="仿宋" w:cs="仿宋"/>
          <w:color w:val="auto"/>
          <w:kern w:val="2"/>
          <w:sz w:val="24"/>
          <w:szCs w:val="24"/>
        </w:rPr>
        <w:t>乙方完成地坪及地坪</w:t>
      </w:r>
      <w:r>
        <w:rPr>
          <w:rFonts w:hint="eastAsia" w:ascii="仿宋" w:hAnsi="仿宋" w:eastAsia="仿宋" w:cs="仿宋"/>
          <w:color w:val="auto"/>
          <w:sz w:val="24"/>
          <w:szCs w:val="24"/>
        </w:rPr>
        <w:t>以下部分、硬化地面、道路路面破碎及破碎垃圾清运，验收合格</w:t>
      </w:r>
      <w:r>
        <w:rPr>
          <w:rFonts w:hint="eastAsia" w:ascii="仿宋" w:hAnsi="仿宋" w:eastAsia="仿宋" w:cs="仿宋"/>
          <w:color w:val="auto"/>
          <w:kern w:val="2"/>
          <w:sz w:val="24"/>
          <w:szCs w:val="24"/>
        </w:rPr>
        <w:t>后，</w:t>
      </w:r>
      <w:r>
        <w:rPr>
          <w:rFonts w:hint="eastAsia" w:ascii="仿宋" w:hAnsi="仿宋" w:eastAsia="仿宋" w:cs="仿宋"/>
          <w:color w:val="auto"/>
          <w:sz w:val="24"/>
          <w:szCs w:val="24"/>
        </w:rPr>
        <w:t>甲方向乙方支付破碎及破碎垃圾清运部分合同暂定价的80%</w:t>
      </w:r>
      <w:r>
        <w:rPr>
          <w:rFonts w:hint="eastAsia" w:ascii="仿宋" w:hAnsi="仿宋" w:eastAsia="仿宋" w:cs="仿宋"/>
          <w:color w:val="auto"/>
          <w:kern w:val="2"/>
          <w:sz w:val="24"/>
          <w:szCs w:val="24"/>
        </w:rPr>
        <w:t>。</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sz w:val="24"/>
          <w:szCs w:val="24"/>
        </w:rPr>
        <w:t>4.苗木清理费、治污减霾费</w:t>
      </w:r>
      <w:r>
        <w:rPr>
          <w:rFonts w:hint="eastAsia" w:ascii="仿宋" w:hAnsi="仿宋" w:eastAsia="仿宋" w:cs="仿宋"/>
          <w:color w:val="auto"/>
          <w:kern w:val="2"/>
          <w:sz w:val="24"/>
          <w:szCs w:val="24"/>
        </w:rPr>
        <w:t>待项目全部完工，经造价评审后，随剩余工程款一次性支付，过程中不再支付进度款。</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sz w:val="24"/>
          <w:szCs w:val="24"/>
        </w:rPr>
        <w:t>5.</w:t>
      </w:r>
      <w:r>
        <w:rPr>
          <w:rFonts w:hint="eastAsia" w:ascii="仿宋" w:hAnsi="仿宋" w:eastAsia="仿宋" w:cs="仿宋"/>
          <w:color w:val="auto"/>
          <w:kern w:val="2"/>
          <w:sz w:val="24"/>
          <w:szCs w:val="24"/>
        </w:rPr>
        <w:t>项目竣工验收合格后，经甲方书面申请，</w:t>
      </w:r>
      <w:r>
        <w:rPr>
          <w:rFonts w:hint="eastAsia" w:ascii="仿宋" w:hAnsi="仿宋" w:eastAsia="仿宋" w:cs="仿宋"/>
          <w:color w:val="auto"/>
          <w:sz w:val="24"/>
          <w:szCs w:val="24"/>
        </w:rPr>
        <w:t>城改事务中心</w:t>
      </w:r>
      <w:r>
        <w:rPr>
          <w:rFonts w:hint="eastAsia" w:ascii="仿宋" w:hAnsi="仿宋" w:eastAsia="仿宋" w:cs="仿宋"/>
          <w:color w:val="auto"/>
          <w:kern w:val="2"/>
          <w:sz w:val="24"/>
          <w:szCs w:val="24"/>
        </w:rPr>
        <w:t>委托第三方中介单位进行造价评审，审定金额作为最终结算依据。在该项目土地文物勘探工作完成，且未发现垃圾掩埋、破碎及清运不彻底等问题的情况下，甲方方可向乙方一次性支付剩余工程款。</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6.对于现场遗留未拆除及未清运部分（小于工作内容的5%），暂不结算，不支付任何款项；待遗留部分工作完成且验收合格，经第三方中介单位审定后，支付相应款项。</w:t>
      </w:r>
    </w:p>
    <w:p>
      <w:pPr>
        <w:pStyle w:val="17"/>
        <w:spacing w:line="56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7.甲方向乙方支付工程款时，乙方需提供合法税务发票，否则甲方有权暂停支付相应款项。</w:t>
      </w:r>
    </w:p>
    <w:p>
      <w:pPr>
        <w:kinsoku w:val="0"/>
        <w:overflowPunct w:val="0"/>
        <w:autoSpaceDE w:val="0"/>
        <w:autoSpaceDN w:val="0"/>
        <w:adjustRightInd w:val="0"/>
        <w:spacing w:line="560" w:lineRule="exact"/>
        <w:ind w:firstLine="470" w:firstLineChars="196"/>
        <w:rPr>
          <w:rFonts w:hint="eastAsia" w:ascii="仿宋" w:hAnsi="仿宋" w:eastAsia="仿宋" w:cs="仿宋"/>
          <w:bCs/>
          <w:color w:val="auto"/>
          <w:sz w:val="24"/>
          <w:szCs w:val="24"/>
        </w:rPr>
      </w:pPr>
      <w:r>
        <w:rPr>
          <w:rFonts w:hint="eastAsia" w:ascii="仿宋" w:hAnsi="仿宋" w:eastAsia="仿宋" w:cs="仿宋"/>
          <w:bCs/>
          <w:color w:val="auto"/>
          <w:sz w:val="24"/>
          <w:szCs w:val="24"/>
        </w:rPr>
        <w:t>四、权利义务</w:t>
      </w:r>
    </w:p>
    <w:p>
      <w:pPr>
        <w:pStyle w:val="17"/>
        <w:spacing w:line="560" w:lineRule="exact"/>
        <w:ind w:firstLine="480" w:firstLineChars="20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（一）甲方权利和义务</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1.有权对拟拆除范围进行明确，随时对合同约定进度、工作要求进行监督、检查。若因乙方原因导致工作进度缓慢、工作要求不达标，有权对乙方提出整改要求。</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2.有权随时对安全生产、治污减霾和防尘降噪措施等进行检查，若现场不符合相关要求，有权对乙方提出整改要求。</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3.在乙方对存在问题，拒不整改或整改不到位情形下，有权终止合同并将乙方清理出场。</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4.有权要求乙方配合相关单位做好花草树木处理、移植工作。</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5.按合同有关约定，按时向乙方支付工程款。</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（二）乙方权利和义务</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1.有权在履约后获得合同约定的工程费用。</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2.项目经理与现场主要管理人员应在开工前向甲方备案，未经甲方同意，不得擅自更换。本工程项目经理为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，注册证号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，安全考核合格证号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insoku w:val="0"/>
        <w:overflowPunct w:val="0"/>
        <w:autoSpaceDE w:val="0"/>
        <w:autoSpaceDN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按照合同约定承担认定范围内的拆除、破碎、垃圾清运、安全生产、治污减霾等工作；按监理单位审查通过的拆除方案实施，对易燃、易爆等危险源的专项拆除方案，需经行业主管单位审批；将建筑垃圾清运合同报行业主管部门备案，并办理相关清运手续；认真落实与甲方签订的《安全生产及治污减霾责任书》（附件2）相关要求。</w:t>
      </w:r>
    </w:p>
    <w:p>
      <w:pPr>
        <w:kinsoku w:val="0"/>
        <w:overflowPunct w:val="0"/>
        <w:autoSpaceDE w:val="0"/>
        <w:autoSpaceDN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4.做好竣工验收之前的场地看护管理工作，杜绝出现新增或偷倒垃圾的情形。</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5.接受甲方、监理单位和各级主管部门的监督和管理。</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6.拆除工程完成后，及时向有关部门提出验收申请，如验收不合格，必须在限期内整改。</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五、违约责任</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（一）如遇以下情形之一，甲方有权要求乙方支付违约金，并承担由此造成的后果及损失：</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未按甲方要求的时间完成拆除及垃圾清运任务，每延迟一日扣除合同暂定总价万分之一的违约金；因客观因素造成停工，根据停工时间，合同期限自动顺延；因自身原因延期超过90天的，甲方有权解除合同，并扣除合同暂定总价5%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2.乙方未按甲方要求清渣至裸露黄土，或过程中发现破碎不彻底、垃圾就地掩埋等现象，按未破碎、未清运数量据实扣除相关费用；同时，据实扣除因上述原因产生的相关费用，并扣除合同暂定总价5%的违约金。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3.考虑到沣东新城文物遗址分布广泛，为做好文物保护工作，乙方清渣至裸露黄土后，不得再继续下挖；若因继续下挖造成文物遗址损坏以及由此额外增加的工作量，乙方须自行承担相应的经济责任和法律后果。</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4.乙方因场地看护管理不到位，出现新增或偷倒垃圾的情形，乙方自行负责将新增或偷倒垃圾清运完成后，方可申请办理竣工验收。</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5.乙方未将建筑垃圾外运至西咸新区沣东新城行业主管部门指定的建筑垃圾消纳场地，发现一次扣除1000元/次的违约金。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乙方未按治污减霾和防尘降噪的相关规定做好现场管理，机械设备配备不足，治污减霾措施不到位、安全隐患排查处理不到位，发现一例扣除1000元/次的违约金。因治污减霾相关工作被有关部门通报，乙方自行承担由此造成的后果及损失。</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7.乙方未按照甲方要求出现人工拆除、人工剔砖等现象，发现一例扣除1000元/次的违约金。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8.拆除及垃圾清运过程中出现安全事故、环境污染现象，发现一例扣除10000元/次的违约金。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9.乙方人员在项目实施过程中发现吃、拿、卡、要现象，发现一例扣除10000元/次的违约金。</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10.上述条款中，违约金不足以弥补甲方损失的，乙方还应进行赔偿。</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（二）如遇以下情形之一，甲方有权对乙方解除或终止合同：</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1.乙方将项目整体转包给第三方或违法分包给第三方。</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2.乙方施工现场不符合治污减霾和防尘降噪相关规定，甲方有权提出整改要求，并扣除相应的违约金；同时，乙方拒不整改或整改不到位。</w:t>
      </w:r>
    </w:p>
    <w:p>
      <w:pPr>
        <w:pStyle w:val="17"/>
        <w:spacing w:line="560" w:lineRule="exact"/>
        <w:ind w:firstLine="470" w:firstLineChars="196"/>
        <w:rPr>
          <w:rFonts w:hint="eastAsia" w:ascii="仿宋" w:hAnsi="仿宋" w:eastAsia="仿宋" w:cs="仿宋"/>
          <w:bCs/>
          <w:color w:val="auto"/>
          <w:sz w:val="24"/>
          <w:szCs w:val="24"/>
        </w:rPr>
      </w:pPr>
      <w:r>
        <w:rPr>
          <w:rFonts w:hint="eastAsia" w:ascii="仿宋" w:hAnsi="仿宋" w:eastAsia="仿宋" w:cs="仿宋"/>
          <w:bCs/>
          <w:color w:val="auto"/>
          <w:sz w:val="24"/>
          <w:szCs w:val="24"/>
        </w:rPr>
        <w:t>六、其他</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（一）本合同履行过程中若发生争议，双方应友好协商解决；协商不成的，提交合同履行地法院诉讼解决。</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（二）《安全生产及治污减霾责任书》为本合同的附件，与本合同具有同等法律效力。</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（三）本合同中未尽事宜由双方另行协商解决。</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（四）本合同经双方签字盖章后生效，一式陆份；甲方执肆份，乙方执贰份，具有同等法律效力。</w:t>
      </w: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（以下无正文)</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甲方（盖章）：                乙方（盖章）：</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法定代表人或                 法定代表人或</w:t>
      </w: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委托代理人：                 委托代理人：  </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经办人：                     经办人：</w:t>
      </w: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签订日期：   年   月   日</w:t>
      </w: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pPr>
    </w:p>
    <w:p>
      <w:pPr>
        <w:spacing w:line="480" w:lineRule="exact"/>
        <w:rPr>
          <w:rFonts w:hint="eastAsia" w:ascii="仿宋" w:hAnsi="仿宋" w:eastAsia="仿宋" w:cs="仿宋"/>
          <w:color w:val="auto"/>
          <w:spacing w:val="-4"/>
          <w:sz w:val="24"/>
          <w:szCs w:val="24"/>
        </w:rPr>
      </w:pPr>
    </w:p>
    <w:p>
      <w:pPr>
        <w:spacing w:line="430" w:lineRule="exact"/>
        <w:rPr>
          <w:rFonts w:hint="eastAsia" w:ascii="仿宋" w:hAnsi="仿宋" w:eastAsia="仿宋" w:cs="仿宋"/>
          <w:color w:val="auto"/>
          <w:sz w:val="24"/>
          <w:szCs w:val="24"/>
        </w:rPr>
        <w:sectPr>
          <w:pgSz w:w="11906" w:h="16838"/>
          <w:pgMar w:top="1417" w:right="1417" w:bottom="1417" w:left="1701" w:header="851" w:footer="992" w:gutter="0"/>
          <w:pgNumType w:fmt="decimal"/>
          <w:cols w:space="0" w:num="1"/>
          <w:docGrid w:type="lines" w:linePitch="312" w:charSpace="0"/>
        </w:sectPr>
      </w:pPr>
    </w:p>
    <w:p>
      <w:pPr>
        <w:spacing w:line="430" w:lineRule="exac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pPr>
        <w:spacing w:before="156" w:beforeLines="50" w:after="156" w:afterLines="50" w:line="4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验收单</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1872"/>
        <w:gridCol w:w="1647"/>
        <w:gridCol w:w="2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71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476" w:type="dxa"/>
            <w:gridSpan w:val="3"/>
            <w:noWrap w:val="0"/>
            <w:vAlign w:val="center"/>
          </w:tcPr>
          <w:p>
            <w:pPr>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717" w:type="dxa"/>
            <w:noWrap w:val="0"/>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工程内容</w:t>
            </w:r>
          </w:p>
        </w:tc>
        <w:tc>
          <w:tcPr>
            <w:tcW w:w="6476" w:type="dxa"/>
            <w:gridSpan w:val="3"/>
            <w:noWrap w:val="0"/>
            <w:vAlign w:val="center"/>
          </w:tcPr>
          <w:p>
            <w:pPr>
              <w:ind w:firstLine="480" w:firstLineChars="200"/>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71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1872" w:type="dxa"/>
            <w:noWrap w:val="0"/>
            <w:vAlign w:val="center"/>
          </w:tcPr>
          <w:p>
            <w:pPr>
              <w:jc w:val="center"/>
              <w:rPr>
                <w:rFonts w:hint="eastAsia" w:ascii="仿宋" w:hAnsi="仿宋" w:eastAsia="仿宋" w:cs="仿宋"/>
                <w:color w:val="auto"/>
                <w:sz w:val="24"/>
                <w:szCs w:val="24"/>
              </w:rPr>
            </w:pPr>
          </w:p>
        </w:tc>
        <w:tc>
          <w:tcPr>
            <w:tcW w:w="1647"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验收日期</w:t>
            </w:r>
          </w:p>
        </w:tc>
        <w:tc>
          <w:tcPr>
            <w:tcW w:w="2957" w:type="dxa"/>
            <w:noWrap w:val="0"/>
            <w:vAlign w:val="center"/>
          </w:tcPr>
          <w:p>
            <w:pPr>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717"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工程量测量/</w:t>
            </w:r>
          </w:p>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丈量结果</w:t>
            </w:r>
          </w:p>
        </w:tc>
        <w:tc>
          <w:tcPr>
            <w:tcW w:w="6476" w:type="dxa"/>
            <w:gridSpan w:val="3"/>
            <w:noWrap w:val="0"/>
            <w:vAlign w:val="center"/>
          </w:tcPr>
          <w:p>
            <w:pPr>
              <w:ind w:firstLine="480" w:firstLineChars="200"/>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271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验收意见</w:t>
            </w:r>
          </w:p>
        </w:tc>
        <w:tc>
          <w:tcPr>
            <w:tcW w:w="6476" w:type="dxa"/>
            <w:gridSpan w:val="3"/>
            <w:noWrap w:val="0"/>
            <w:vAlign w:val="center"/>
          </w:tcPr>
          <w:p>
            <w:pPr>
              <w:spacing w:line="320" w:lineRule="exact"/>
              <w:jc w:val="center"/>
              <w:rPr>
                <w:rFonts w:hint="eastAsia" w:ascii="仿宋" w:hAnsi="仿宋" w:eastAsia="仿宋" w:cs="仿宋"/>
                <w:color w:val="auto"/>
                <w:sz w:val="24"/>
                <w:szCs w:val="24"/>
              </w:rPr>
            </w:pPr>
          </w:p>
          <w:p>
            <w:pPr>
              <w:ind w:firstLine="480" w:firstLineChars="200"/>
              <w:jc w:val="center"/>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4589" w:type="dxa"/>
            <w:gridSpan w:val="2"/>
            <w:noWrap w:val="0"/>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街道办事处：</w:t>
            </w:r>
          </w:p>
          <w:p>
            <w:pPr>
              <w:tabs>
                <w:tab w:val="left" w:pos="2205"/>
              </w:tabs>
              <w:spacing w:line="400" w:lineRule="exact"/>
              <w:rPr>
                <w:rFonts w:hint="eastAsia" w:ascii="仿宋" w:hAnsi="仿宋" w:eastAsia="仿宋" w:cs="仿宋"/>
                <w:color w:val="auto"/>
                <w:sz w:val="24"/>
                <w:szCs w:val="24"/>
              </w:rPr>
            </w:pPr>
          </w:p>
        </w:tc>
        <w:tc>
          <w:tcPr>
            <w:tcW w:w="4604" w:type="dxa"/>
            <w:gridSpan w:val="2"/>
            <w:noWrap w:val="0"/>
            <w:vAlign w:val="top"/>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p>
            <w:pPr>
              <w:spacing w:line="400" w:lineRule="exact"/>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4589" w:type="dxa"/>
            <w:gridSpan w:val="2"/>
            <w:noWrap w:val="0"/>
            <w:vAlign w:val="top"/>
          </w:tcPr>
          <w:p>
            <w:pPr>
              <w:tabs>
                <w:tab w:val="left" w:pos="2205"/>
              </w:tabs>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城改事务中心：</w:t>
            </w:r>
          </w:p>
        </w:tc>
        <w:tc>
          <w:tcPr>
            <w:tcW w:w="4604" w:type="dxa"/>
            <w:gridSpan w:val="2"/>
            <w:noWrap w:val="0"/>
            <w:vAlign w:val="top"/>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施工单位：</w:t>
            </w:r>
          </w:p>
          <w:p>
            <w:pPr>
              <w:spacing w:line="400" w:lineRule="exact"/>
              <w:rPr>
                <w:rFonts w:hint="eastAsia" w:ascii="仿宋" w:hAnsi="仿宋" w:eastAsia="仿宋" w:cs="仿宋"/>
                <w:color w:val="auto"/>
                <w:sz w:val="24"/>
                <w:szCs w:val="24"/>
              </w:rPr>
            </w:pPr>
          </w:p>
        </w:tc>
      </w:tr>
    </w:tbl>
    <w:p>
      <w:pPr>
        <w:spacing w:before="156" w:beforeLines="50" w:line="280" w:lineRule="exact"/>
        <w:rPr>
          <w:rStyle w:val="116"/>
          <w:rFonts w:hint="eastAsia" w:ascii="仿宋" w:hAnsi="仿宋" w:eastAsia="仿宋" w:cs="仿宋"/>
          <w:color w:val="auto"/>
          <w:sz w:val="24"/>
          <w:szCs w:val="24"/>
        </w:rPr>
      </w:pPr>
      <w:r>
        <w:rPr>
          <w:rStyle w:val="116"/>
          <w:rFonts w:hint="eastAsia" w:ascii="仿宋" w:hAnsi="仿宋" w:eastAsia="仿宋" w:cs="仿宋"/>
          <w:color w:val="auto"/>
          <w:sz w:val="24"/>
          <w:szCs w:val="24"/>
        </w:rPr>
        <w:t xml:space="preserve">  说明：1.根据验收阶段分别填写：地坪以上拆除部分验收单、地坪以上垃圾清运部分验收单和竣工验收单;2.街办对项目的四址、范围进行确认。</w:t>
      </w:r>
    </w:p>
    <w:p>
      <w:pPr>
        <w:spacing w:before="156" w:beforeLines="50" w:after="156" w:afterLines="50" w:line="560" w:lineRule="exact"/>
        <w:rPr>
          <w:rFonts w:hint="eastAsia" w:ascii="仿宋" w:hAnsi="仿宋" w:eastAsia="仿宋" w:cs="仿宋"/>
          <w:color w:val="auto"/>
          <w:sz w:val="24"/>
          <w:szCs w:val="24"/>
        </w:rPr>
        <w:sectPr>
          <w:pgSz w:w="11906" w:h="16838"/>
          <w:pgMar w:top="1417" w:right="1417" w:bottom="1417" w:left="1701" w:header="851" w:footer="992" w:gutter="0"/>
          <w:pgNumType w:fmt="decimal"/>
          <w:cols w:space="0" w:num="1"/>
          <w:docGrid w:type="lines" w:linePitch="312" w:charSpace="0"/>
        </w:sectPr>
      </w:pPr>
    </w:p>
    <w:p>
      <w:pPr>
        <w:spacing w:before="156" w:beforeLines="50" w:after="156" w:afterLines="50" w:line="560" w:lineRule="exact"/>
        <w:rPr>
          <w:rFonts w:hint="eastAsia" w:ascii="仿宋" w:hAnsi="仿宋" w:eastAsia="仿宋" w:cs="仿宋"/>
          <w:b/>
          <w:color w:val="auto"/>
          <w:sz w:val="24"/>
          <w:szCs w:val="24"/>
        </w:rPr>
      </w:pPr>
      <w:r>
        <w:rPr>
          <w:rFonts w:hint="eastAsia" w:ascii="仿宋" w:hAnsi="仿宋" w:eastAsia="仿宋" w:cs="仿宋"/>
          <w:color w:val="auto"/>
          <w:sz w:val="24"/>
          <w:szCs w:val="24"/>
        </w:rPr>
        <w:t>附件2：</w:t>
      </w:r>
    </w:p>
    <w:p>
      <w:pPr>
        <w:spacing w:line="56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安全生产及治污减霾责任书</w:t>
      </w:r>
    </w:p>
    <w:p>
      <w:pPr>
        <w:pStyle w:val="117"/>
        <w:spacing w:line="560" w:lineRule="exact"/>
        <w:ind w:firstLine="639"/>
        <w:rPr>
          <w:rFonts w:hint="eastAsia" w:ascii="仿宋" w:hAnsi="仿宋" w:eastAsia="仿宋" w:cs="仿宋"/>
          <w:color w:val="auto"/>
          <w:sz w:val="24"/>
          <w:szCs w:val="24"/>
        </w:rPr>
      </w:pPr>
    </w:p>
    <w:p>
      <w:pPr>
        <w:pStyle w:val="117"/>
        <w:spacing w:line="560" w:lineRule="exact"/>
        <w:ind w:left="0" w:firstLine="480" w:firstLineChars="200"/>
        <w:rPr>
          <w:rFonts w:hint="eastAsia" w:ascii="仿宋" w:hAnsi="仿宋" w:eastAsia="仿宋" w:cs="仿宋"/>
          <w:color w:val="auto"/>
          <w:spacing w:val="5"/>
          <w:sz w:val="24"/>
          <w:szCs w:val="24"/>
        </w:rPr>
      </w:pPr>
      <w:r>
        <w:rPr>
          <w:rFonts w:hint="eastAsia" w:ascii="仿宋" w:hAnsi="仿宋" w:eastAsia="仿宋" w:cs="仿宋"/>
          <w:color w:val="auto"/>
          <w:sz w:val="24"/>
          <w:szCs w:val="24"/>
        </w:rPr>
        <w:t>为加强征地拆迁及村庄搬迁工作中拆除及垃圾清运工程的安全生产、治污减霾管理工作，根据《中华人民共和国安全生产法》、《建设工程安全生产管理条例》、《沣东新城2019年“铁腕治霾·保卫蓝天”攻坚行动方案》等相关法律以及省、市、西咸新区及沣东新城关于安全生产、治污减霾工作要求，结合征地拆迁工作实际，特签订本责任书。</w:t>
      </w:r>
    </w:p>
    <w:p>
      <w:pPr>
        <w:pStyle w:val="117"/>
        <w:spacing w:line="560" w:lineRule="exact"/>
        <w:ind w:left="0" w:firstLine="500" w:firstLineChars="200"/>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一、责任范围</w:t>
      </w:r>
    </w:p>
    <w:p>
      <w:pPr>
        <w:pStyle w:val="117"/>
        <w:spacing w:line="560" w:lineRule="exact"/>
        <w:ind w:left="0" w:firstLine="500" w:firstLineChars="20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责任范围：拆除及垃圾清运工程实施过程中，对工程项目的安全生产、治污减霾工作全面负责。</w:t>
      </w:r>
    </w:p>
    <w:p>
      <w:pPr>
        <w:pStyle w:val="117"/>
        <w:spacing w:line="560" w:lineRule="exact"/>
        <w:ind w:left="0" w:firstLine="500" w:firstLineChars="200"/>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二、考核目标</w:t>
      </w:r>
    </w:p>
    <w:p>
      <w:pPr>
        <w:adjustRightInd w:val="0"/>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（一）安全生产目标</w:t>
      </w:r>
    </w:p>
    <w:p>
      <w:pPr>
        <w:adjustRightInd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遵守《建设工程安全生产管理条例》的规定，实现本项目安全生产管理目标：无死亡、无重伤、无施工坍塌、无高处坠落、无滑坡、无火灾、无用电事故、无重大机械事故等各类安全生产事故。即：</w:t>
      </w:r>
    </w:p>
    <w:p>
      <w:pPr>
        <w:pStyle w:val="117"/>
        <w:spacing w:line="560" w:lineRule="exact"/>
        <w:ind w:left="0" w:firstLine="500" w:firstLineChars="20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1.无造成人员死亡的生产安全责任事故。</w:t>
      </w:r>
    </w:p>
    <w:p>
      <w:pPr>
        <w:pStyle w:val="117"/>
        <w:spacing w:line="560" w:lineRule="exact"/>
        <w:ind w:left="0" w:firstLine="500" w:firstLineChars="20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2.减少一般生产安全事故，杜绝较大及重特大生产安全事故。</w:t>
      </w:r>
    </w:p>
    <w:p>
      <w:pPr>
        <w:adjustRightInd w:val="0"/>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（二）治污减霾目标</w:t>
      </w:r>
    </w:p>
    <w:p>
      <w:pPr>
        <w:pStyle w:val="117"/>
        <w:spacing w:line="560" w:lineRule="exact"/>
        <w:ind w:left="0" w:firstLine="500" w:firstLineChars="20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1.无重大扬尘污染事件。</w:t>
      </w:r>
    </w:p>
    <w:p>
      <w:pPr>
        <w:pStyle w:val="117"/>
        <w:spacing w:line="560" w:lineRule="exact"/>
        <w:ind w:left="0" w:firstLine="500" w:firstLineChars="20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2.坚决杜绝一般扬尘污染事件，较大扬尘污染事件及重特大扬尘污染事件。</w:t>
      </w:r>
    </w:p>
    <w:p>
      <w:pPr>
        <w:pStyle w:val="117"/>
        <w:spacing w:line="560" w:lineRule="exact"/>
        <w:ind w:left="0" w:firstLine="500" w:firstLineChars="200"/>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三、任务及要求</w:t>
      </w:r>
    </w:p>
    <w:p>
      <w:pPr>
        <w:adjustRightInd w:val="0"/>
        <w:snapToGrid w:val="0"/>
        <w:spacing w:line="560" w:lineRule="exact"/>
        <w:ind w:firstLine="502" w:firstLineChars="200"/>
        <w:rPr>
          <w:rFonts w:hint="eastAsia" w:ascii="仿宋" w:hAnsi="仿宋" w:eastAsia="仿宋" w:cs="仿宋"/>
          <w:b/>
          <w:bCs/>
          <w:color w:val="auto"/>
          <w:spacing w:val="5"/>
          <w:sz w:val="24"/>
          <w:szCs w:val="24"/>
        </w:rPr>
      </w:pPr>
      <w:r>
        <w:rPr>
          <w:rFonts w:hint="eastAsia" w:ascii="仿宋" w:hAnsi="仿宋" w:eastAsia="仿宋" w:cs="仿宋"/>
          <w:b/>
          <w:bCs/>
          <w:color w:val="auto"/>
          <w:spacing w:val="5"/>
          <w:sz w:val="24"/>
          <w:szCs w:val="24"/>
        </w:rPr>
        <w:t>（一）安全生产方面</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1.具有实施房屋拆除及拆迁垃圾清运工程施工合同约定工作的相应资质，工作人员具有相应特种行业上岗证、安全作业证等证件。</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2.房屋拆除施工现场需实行全封闭管理，应当在醒目位置设置安全标志，主要出入口设置统一的施工标志牌和警示标志。</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房屋拆除前，拆除方案需经监理单位审查通过并报甲方备案，对沼气池、电线、电器设备等易燃易爆危险源的拆除，必须提前制定专项拆除方案和相关安全预案，经行业主管单位审批通过后，按照要求进行规范作业，杜绝产生安全事故。</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房屋拆除时，必须由甲方、监理单位、乙方施工单位共同对房屋进行检查，并做好检查记录，在所拆房屋人员全部撤离、财物全部腾空、有安全保证、达到施工标准后，方可实施拆除。实施过程中，如需调整方案，须甲方、监理单位同意。</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拆除过程中，对已交房屋应拆尽拆，不得遗留已交付未拆除房屋；同时，必须随时注意周边房屋的安全情况，接到撤离信息后，施工人员必须无条件撤离到安全区域。所有拆除的门窗，严禁在施工现场内堆放，拆除废料须堆放整齐，严防因堆放和防护不当造成的塌方、滑坡等安全事故。</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6.清运过程中，应做好沿途的安全防护工作，挖装过程中严防因堆放和防护不当造成的塌方、滑坡等安全事故，建筑垃圾按规定清运，不得在施工现场焚烧。</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安排专人昼夜值班，加强对已搬家交房区域的巡查力度，严禁一切社会闲杂及流浪乞讨人员进入现场或进行留宿，避免发生安全隐患。同时，负责施工现场的看护管理，保证拆除范围周边其他生产生活设施的安全，因疏于看护导致甲方已赔付房屋设施损毁的，由乙方承担全部责任。切实做到施工现场的水电安全、道路整洁、生活垃圾及时清运；切实加强各类管线的专项防护工作，按甲方和管线单位的要求做好防护措施（各项防护措施费已包括在合同单价内，不再另行计算）。</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8.施工单位严禁挂靠、转包和分包拆除工程；严禁雨天、四级以上（含四级）大风天气施工。</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9.施工单位应为其施工作业的人员办理人身意外伤害保险，并应将投保证明及作业人员花名册报甲方备案。</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10.施工过程中如发生安全生产事故时，施工单位应当立即将伤员送医疗机构进行救治，保护好事故现场，同时立即向甲方报告,对在施工过程中发生的人身伤亡，由乙方承担全部赔偿责任，与甲方无关。</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11.对拆除工程进行定期和专项安全自检，并做好安全检查记录，及时发现并消除安全生产事故隐患。因乙方原因造成各类安全事故，乙方自行承担由此造成的后果及损失。</w:t>
      </w:r>
    </w:p>
    <w:p>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（二）治污减霾方面</w:t>
      </w:r>
    </w:p>
    <w:p>
      <w:pPr>
        <w:adjustRightInd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1.严格按照国家、省、市、西咸新区及沣东新城大气污染防治工作部署，认真落实“六个100%”及“七个到位”扬尘治理标准，制定切实可行的扬尘污染治理方案。</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2.拆除现场必须设置项目公示栏及红蓝绿牌、环境保护公示栏，明确相关责任人。</w:t>
      </w:r>
    </w:p>
    <w:p>
      <w:pPr>
        <w:adjustRightInd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3.拆除现场出入口建设足够数量的冲洗台，并配备自动喷淋设施和空气检测仪、监控系统等相关设施设备（上述设备项目完工后向甲方移交，归甲方所有），严禁车体和车轮带有泥土的运输车辆驶出工地。</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4.拆除现场配备足够的雾炮车、洒水车辆，满足抑尘需要, 房屋拆除必须坚持边拆除、边洒水、边清运渣土，谁拆除、谁负责, 保证现场不积土、不扬尘。</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5.实施清运前，将建筑垃圾清运合同报行业主管部门备案，办理相关清运手续，并按规定线路行驶，做好所经道路的保洁工作。</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6.清运过程做好蓬盖，保证运输过程不超载、不扬尘、不撒漏、不随意倾倒垃圾。</w:t>
      </w:r>
    </w:p>
    <w:p>
      <w:pPr>
        <w:adjustRightInd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7.拆除工地必须及时进行绿网覆盖、围挡安装和设备设施的日常维护等工作。</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8.房屋拆除、建筑垃圾清运应当符合省市、西咸及沣东新城管委会的相关要求，并接受行业主管部门的日常管理及巡检督查。</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9.遇有可造成扬尘污染的4级以上（含4级）风力时，施工单位必须停止拆迁施工和土方施工，并做好覆盖工作。</w:t>
      </w:r>
    </w:p>
    <w:p>
      <w:pPr>
        <w:adjustRightInd w:val="0"/>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10.在施工过程中，因治污减霾相关工作被有关部门通报，由此造成的后果及损失乙方自行承担。</w:t>
      </w:r>
    </w:p>
    <w:p>
      <w:pPr>
        <w:pStyle w:val="117"/>
        <w:spacing w:line="560" w:lineRule="exact"/>
        <w:ind w:left="0" w:firstLine="500" w:firstLineChars="200"/>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四、奖励与惩处</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（一）对完成安全生产和治污减霾考核目标，获得上级部门通报表扬的情形，酌情给予表彰和奖励。</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（二）对工作不落实、未完成考核目标的情形，进行通报批评。</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（三）因工作不到位，导致发生较大以上安全生产事故或扬尘污染事件，或者连续发生一般安全生产事故或扬尘污染事件，在查明原因、分清责任的基础上，按照有关法律法规规定追究相关责任人的责任。</w:t>
      </w:r>
    </w:p>
    <w:p>
      <w:pPr>
        <w:pStyle w:val="117"/>
        <w:spacing w:line="560" w:lineRule="exact"/>
        <w:ind w:left="0" w:firstLine="500" w:firstLineChars="200"/>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五、其他</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甲方在乙方施工现场检查、巡查过程中，发现存在安全事故隐患或违反沣东新城管委会发布的关于控制扬尘污染通告有关规定，认为必须暂停施工的，应以书面形式下达停工整改通知。乙方对甲方的停工整改通知应予以执行，并按照甲方要求停止施工进行整改，妥善保护已完工程。</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(二)乙方进行整改，经甲方检查已消除安全事故隐患，切实履行防治扬尘污染具体措施后，可以进行复工。</w:t>
      </w: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（以下无正文）</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sectPr>
          <w:pgSz w:w="11906" w:h="16838"/>
          <w:pgMar w:top="1417" w:right="1417" w:bottom="1417" w:left="1701" w:header="851" w:footer="992" w:gutter="0"/>
          <w:pgNumType w:fmt="decimal"/>
          <w:cols w:space="0" w:num="1"/>
          <w:docGrid w:type="lines" w:linePitch="312" w:charSpace="0"/>
        </w:sect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甲方（盖章）：               乙方（盖章）：</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法定代表人或                 法定代表人或</w:t>
      </w: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委托代理人：                 委托代理人：  </w:t>
      </w:r>
    </w:p>
    <w:p>
      <w:pPr>
        <w:spacing w:line="480" w:lineRule="exact"/>
        <w:ind w:firstLine="464" w:firstLineChars="200"/>
        <w:rPr>
          <w:rFonts w:hint="eastAsia" w:ascii="仿宋" w:hAnsi="仿宋" w:eastAsia="仿宋" w:cs="仿宋"/>
          <w:color w:val="auto"/>
          <w:spacing w:val="-4"/>
          <w:sz w:val="24"/>
          <w:szCs w:val="24"/>
        </w:rPr>
      </w:pPr>
    </w:p>
    <w:p>
      <w:pPr>
        <w:spacing w:line="480" w:lineRule="exact"/>
        <w:ind w:firstLine="464"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经办人：                     经办人：</w:t>
      </w:r>
    </w:p>
    <w:p>
      <w:pPr>
        <w:spacing w:line="480" w:lineRule="exact"/>
        <w:ind w:firstLine="3712" w:firstLineChars="1600"/>
        <w:rPr>
          <w:rFonts w:hint="eastAsia" w:ascii="仿宋" w:hAnsi="仿宋" w:eastAsia="仿宋" w:cs="仿宋"/>
          <w:color w:val="auto"/>
          <w:spacing w:val="-4"/>
          <w:sz w:val="24"/>
          <w:szCs w:val="24"/>
        </w:rPr>
      </w:pPr>
    </w:p>
    <w:p>
      <w:pPr>
        <w:spacing w:line="480" w:lineRule="exact"/>
        <w:ind w:firstLine="3712" w:firstLineChars="1600"/>
        <w:rPr>
          <w:rFonts w:hint="eastAsia" w:ascii="仿宋" w:hAnsi="仿宋" w:eastAsia="仿宋" w:cs="仿宋"/>
          <w:color w:val="auto"/>
          <w:spacing w:val="-4"/>
          <w:sz w:val="24"/>
          <w:szCs w:val="24"/>
        </w:rPr>
        <w:sectPr>
          <w:pgSz w:w="11906" w:h="16838"/>
          <w:pgMar w:top="1417" w:right="1417" w:bottom="1417" w:left="1701" w:header="851" w:footer="992" w:gutter="0"/>
          <w:pgNumType w:fmt="decimal"/>
          <w:cols w:space="0" w:num="1"/>
          <w:docGrid w:type="lines" w:linePitch="312" w:charSpace="0"/>
        </w:sectPr>
      </w:pPr>
      <w:r>
        <w:rPr>
          <w:rFonts w:hint="eastAsia" w:ascii="仿宋" w:hAnsi="仿宋" w:eastAsia="仿宋" w:cs="仿宋"/>
          <w:color w:val="auto"/>
          <w:spacing w:val="-4"/>
          <w:sz w:val="24"/>
          <w:szCs w:val="24"/>
        </w:rPr>
        <w:t>签订日期：   年   月   日</w:t>
      </w:r>
    </w:p>
    <w:p>
      <w:pPr>
        <w:pStyle w:val="3"/>
        <w:numPr>
          <w:ilvl w:val="0"/>
          <w:numId w:val="8"/>
        </w:numPr>
        <w:bidi w:val="0"/>
        <w:jc w:val="center"/>
        <w:rPr>
          <w:rFonts w:hint="eastAsia"/>
          <w:color w:val="auto"/>
          <w:lang w:val="en-US" w:eastAsia="zh-CN"/>
        </w:rPr>
      </w:pPr>
      <w:r>
        <w:rPr>
          <w:rFonts w:hint="eastAsia"/>
          <w:color w:val="auto"/>
          <w:lang w:val="en-US" w:eastAsia="zh-CN"/>
        </w:rPr>
        <w:t xml:space="preserve"> </w:t>
      </w:r>
      <w:bookmarkStart w:id="171" w:name="_Toc29181"/>
      <w:r>
        <w:rPr>
          <w:rFonts w:hint="eastAsia"/>
          <w:color w:val="auto"/>
          <w:lang w:val="en-US" w:eastAsia="zh-CN"/>
        </w:rPr>
        <w:t>项目概况及要求</w:t>
      </w:r>
      <w:bookmarkEnd w:id="170"/>
      <w:bookmarkEnd w:id="171"/>
    </w:p>
    <w:p>
      <w:pPr>
        <w:spacing w:line="360" w:lineRule="auto"/>
        <w:rPr>
          <w:rFonts w:hint="default" w:ascii="宋体" w:hAnsi="宋体" w:eastAsia="宋体" w:cs="宋体"/>
          <w:b/>
          <w:bCs/>
          <w:color w:val="auto"/>
          <w:sz w:val="24"/>
          <w:szCs w:val="24"/>
          <w:lang w:val="en-US" w:eastAsia="zh-CN"/>
        </w:rPr>
      </w:pPr>
      <w:r>
        <w:rPr>
          <w:rFonts w:hint="eastAsia" w:hAnsi="宋体" w:eastAsia="宋体" w:cs="宋体"/>
          <w:b/>
          <w:bCs/>
          <w:color w:val="auto"/>
          <w:sz w:val="24"/>
          <w:szCs w:val="24"/>
          <w:lang w:val="en-US" w:eastAsia="zh-CN"/>
        </w:rPr>
        <w:t>一、</w:t>
      </w:r>
      <w:r>
        <w:rPr>
          <w:rFonts w:hint="eastAsia" w:ascii="宋体" w:hAnsi="宋体" w:eastAsia="宋体" w:cs="宋体"/>
          <w:b/>
          <w:bCs/>
          <w:color w:val="auto"/>
          <w:sz w:val="24"/>
          <w:szCs w:val="24"/>
          <w:lang w:val="en-US" w:eastAsia="zh-CN"/>
        </w:rPr>
        <w:t>项目概况</w:t>
      </w:r>
    </w:p>
    <w:p>
      <w:pPr>
        <w:spacing w:line="360" w:lineRule="auto"/>
        <w:ind w:firstLine="480" w:firstLineChars="200"/>
        <w:rPr>
          <w:rFonts w:hint="eastAsia" w:ascii="宋体" w:hAnsi="宋体" w:eastAsia="宋体" w:cs="宋体"/>
          <w:color w:val="auto"/>
          <w:sz w:val="24"/>
          <w:szCs w:val="24"/>
          <w:lang w:val="en-US" w:eastAsia="zh-CN"/>
        </w:rPr>
      </w:pPr>
      <w:r>
        <w:rPr>
          <w:rFonts w:hint="eastAsia" w:hAnsi="宋体" w:eastAsia="宋体" w:cs="宋体"/>
          <w:color w:val="auto"/>
          <w:sz w:val="24"/>
          <w:szCs w:val="24"/>
          <w:lang w:val="en-US" w:eastAsia="zh-CN"/>
        </w:rPr>
        <w:t>三桥街道阿房一路项目集体土地拆除工程约400000平方米、地面破碎工程约226667.8平方米、垃圾清运工程约168000.34立方米。（具体结算以实际工程量结算）</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工期：自项目开始至项目结束</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b/>
          <w:bCs/>
          <w:color w:val="auto"/>
          <w:sz w:val="24"/>
          <w:szCs w:val="24"/>
          <w:lang w:eastAsia="zh-CN"/>
        </w:rPr>
      </w:pPr>
      <w:r>
        <w:rPr>
          <w:rFonts w:hint="eastAsia" w:hAnsi="宋体" w:eastAsia="宋体" w:cs="宋体"/>
          <w:b/>
          <w:bCs/>
          <w:color w:val="auto"/>
          <w:sz w:val="24"/>
          <w:szCs w:val="24"/>
          <w:lang w:eastAsia="zh-CN"/>
        </w:rPr>
        <w:t>三、</w:t>
      </w:r>
      <w:r>
        <w:rPr>
          <w:rFonts w:hint="eastAsia" w:ascii="宋体" w:hAnsi="宋体" w:eastAsia="宋体" w:cs="宋体"/>
          <w:b/>
          <w:bCs/>
          <w:color w:val="auto"/>
          <w:sz w:val="24"/>
          <w:szCs w:val="24"/>
          <w:lang w:eastAsia="zh-CN"/>
        </w:rPr>
        <w:t>清运最高限价</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拆除工程：1.25元/平方米；地面破碎工程：17元/平方米；垃圾清运工程：65元/立方米（包含10公里基准运距及有关开挖、装载、垃圾清理、场内及场外运输、倾倒、填埋处置、环境保护、管理费、规费、增值税等费用；超过10公里基准运距后，每增加1公里运费增加1元，最高增加不超过40元/立方米，运距由行业主管部门和实施单位共同确认。 )。</w:t>
      </w:r>
    </w:p>
    <w:p>
      <w:pPr>
        <w:spacing w:line="360" w:lineRule="auto"/>
        <w:rPr>
          <w:rFonts w:hint="eastAsia" w:ascii="宋体" w:hAnsi="宋体" w:eastAsia="宋体" w:cs="宋体"/>
          <w:b/>
          <w:bCs/>
          <w:color w:val="auto"/>
          <w:sz w:val="24"/>
          <w:szCs w:val="24"/>
          <w:lang w:val="en-US" w:eastAsia="zh-CN"/>
        </w:rPr>
      </w:pPr>
      <w:r>
        <w:rPr>
          <w:rFonts w:hint="eastAsia" w:hAnsi="宋体" w:eastAsia="宋体" w:cs="宋体"/>
          <w:b/>
          <w:bCs/>
          <w:color w:val="auto"/>
          <w:sz w:val="24"/>
          <w:szCs w:val="24"/>
          <w:lang w:val="en-US" w:eastAsia="zh-CN"/>
        </w:rPr>
        <w:t>四、</w:t>
      </w:r>
      <w:r>
        <w:rPr>
          <w:rFonts w:hint="eastAsia" w:ascii="宋体" w:hAnsi="宋体" w:eastAsia="宋体" w:cs="宋体"/>
          <w:b/>
          <w:bCs/>
          <w:color w:val="auto"/>
          <w:sz w:val="24"/>
          <w:szCs w:val="24"/>
          <w:lang w:val="en-US" w:eastAsia="zh-CN"/>
        </w:rPr>
        <w:t>工程数量</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建筑垃圾数量根据有合法资质的第三方测量机构出具的测量报告并经实施单位确定，数量较少时，经现场实测后由建设单位确定；</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土方挖运数量根据</w:t>
      </w:r>
      <w:r>
        <w:rPr>
          <w:rFonts w:hint="eastAsia" w:ascii="宋体" w:hAnsi="宋体" w:cs="宋体"/>
          <w:color w:val="auto"/>
          <w:sz w:val="24"/>
          <w:szCs w:val="24"/>
          <w:lang w:val="en-US" w:eastAsia="zh-CN"/>
        </w:rPr>
        <w:t>现场情况</w:t>
      </w:r>
      <w:r>
        <w:rPr>
          <w:rFonts w:hint="eastAsia" w:ascii="宋体" w:hAnsi="宋体" w:eastAsia="宋体" w:cs="宋体"/>
          <w:color w:val="auto"/>
          <w:sz w:val="24"/>
          <w:szCs w:val="24"/>
          <w:lang w:val="en-US" w:eastAsia="zh-CN"/>
        </w:rPr>
        <w:t>，按照陕西省建筑工程工程测量清单消耗量定额等规定计算。工程建设项目开挖的土方应尽最大程度综合利用，节约资源和费用，二次利用涉及运输等费用按照陕西省现行计价规定进行计价。</w:t>
      </w:r>
    </w:p>
    <w:p>
      <w:pPr>
        <w:spacing w:line="360" w:lineRule="auto"/>
        <w:rPr>
          <w:rFonts w:hint="eastAsia" w:ascii="宋体" w:hAnsi="宋体" w:eastAsia="宋体" w:cs="宋体"/>
          <w:b/>
          <w:bCs/>
          <w:color w:val="auto"/>
          <w:sz w:val="24"/>
          <w:szCs w:val="24"/>
        </w:rPr>
      </w:pPr>
      <w:r>
        <w:rPr>
          <w:rFonts w:hint="eastAsia" w:hAnsi="宋体" w:eastAsia="宋体" w:cs="宋体"/>
          <w:b/>
          <w:bCs/>
          <w:color w:val="auto"/>
          <w:sz w:val="24"/>
          <w:szCs w:val="24"/>
          <w:lang w:val="en-US" w:eastAsia="zh-CN"/>
        </w:rPr>
        <w:t>五、技术规范及</w:t>
      </w:r>
      <w:r>
        <w:rPr>
          <w:rFonts w:hint="eastAsia" w:ascii="宋体" w:hAnsi="宋体" w:eastAsia="宋体" w:cs="宋体"/>
          <w:b/>
          <w:bCs/>
          <w:color w:val="auto"/>
          <w:sz w:val="24"/>
          <w:szCs w:val="24"/>
        </w:rPr>
        <w:t>垃圾清运要求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一）技术规范要求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执行国家、省、市现行的有关房屋拆除的规定、标准等文件，具体技术要求包括但不限于以下规定、标准、规范：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《安全生产法》；</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《建设工程安全生产管理条例》；</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《建筑拆除工程安全技术规范》JCJl47—2004；</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《西安市房屋拆迁管理办法》；</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《关于印发（危险性较大的分部分项工程安全管理办法）的通知》；</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《施工现场临时用电安全技术规范》JCJl46—2005。 </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二）垃圾清运要求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平整地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在安全文明施工问题上，必须严格按照标准规范严格执行，在此期间所发生的一切事故应由供应商自行承担。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项目实施过程中不与其他人员发生纠纷，在服务期间与其他人员产生的纠纷，均由中标供应商承担全部责任。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供应商在清运垃圾前需按照市容执法部门的要求安装车辆冲洗设备及垃圾覆盖绿网、防尘措施等。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当对建筑垃圾进行分类，不得将建筑垃圾与生活垃圾、危险废物混合处置。清运前应设置符合相关技术规范的围蔽设施，出口道路硬化处理，设置车辆冲洗设备并有效使用，设置洗车槽和沉淀池并有效使用，采取措施避免扬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应当建立健全建筑垃圾运输车辆安全管理、驾驶人培训、车辆清运规范服务制度，加强车辆维修养护，保证运输安全规范。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运输垃圾造成道路及环境污染的，责任人应当立即清除污染。未及时清除的，由所在区、县市容环境卫生行政管理部门组织清除，清除费用由责任人承担。</w:t>
      </w:r>
    </w:p>
    <w:p>
      <w:pPr>
        <w:spacing w:line="360" w:lineRule="auto"/>
        <w:rPr>
          <w:rFonts w:hint="eastAsia" w:ascii="宋体" w:hAnsi="宋体" w:eastAsia="宋体" w:cs="宋体"/>
          <w:b/>
          <w:bCs/>
          <w:color w:val="auto"/>
          <w:sz w:val="24"/>
          <w:szCs w:val="24"/>
        </w:rPr>
      </w:pPr>
      <w:r>
        <w:rPr>
          <w:rFonts w:hint="eastAsia" w:hAnsi="宋体" w:eastAsia="宋体" w:cs="宋体"/>
          <w:b/>
          <w:bCs/>
          <w:color w:val="auto"/>
          <w:sz w:val="24"/>
          <w:szCs w:val="24"/>
          <w:lang w:val="en-US" w:eastAsia="zh-CN"/>
        </w:rPr>
        <w:t>六、</w:t>
      </w:r>
      <w:r>
        <w:rPr>
          <w:rFonts w:hint="eastAsia" w:ascii="宋体" w:hAnsi="宋体" w:eastAsia="宋体" w:cs="宋体"/>
          <w:b/>
          <w:bCs/>
          <w:color w:val="auto"/>
          <w:sz w:val="24"/>
          <w:szCs w:val="24"/>
        </w:rPr>
        <w:t>验收标准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符合《西安市建筑垃圾管理条例》要求，场地平整达到相应的国家要求、省市要求以及甲方要求</w:t>
      </w:r>
      <w:r>
        <w:rPr>
          <w:rFonts w:hint="eastAsia" w:ascii="宋体" w:hAnsi="宋体" w:eastAsia="宋体" w:cs="宋体"/>
          <w:color w:val="auto"/>
          <w:sz w:val="24"/>
          <w:szCs w:val="24"/>
          <w:lang w:eastAsia="zh-CN"/>
        </w:rPr>
        <w:t>。</w:t>
      </w:r>
    </w:p>
    <w:p>
      <w:pPr>
        <w:pStyle w:val="2"/>
        <w:numPr>
          <w:ilvl w:val="0"/>
          <w:numId w:val="0"/>
        </w:numPr>
        <w:jc w:val="both"/>
        <w:rPr>
          <w:rFonts w:hint="eastAsia"/>
          <w:color w:val="auto"/>
          <w:lang w:val="en-US" w:eastAsia="zh-CN"/>
        </w:rPr>
      </w:pPr>
    </w:p>
    <w:p>
      <w:pPr>
        <w:spacing w:line="600" w:lineRule="exact"/>
        <w:ind w:firstLine="560" w:firstLineChars="200"/>
        <w:rPr>
          <w:rFonts w:hint="eastAsia" w:ascii="仿宋" w:hAnsi="仿宋" w:eastAsia="仿宋" w:cs="仿宋"/>
          <w:color w:val="auto"/>
          <w:sz w:val="28"/>
          <w:szCs w:val="28"/>
        </w:rPr>
      </w:pPr>
    </w:p>
    <w:p>
      <w:pPr>
        <w:pStyle w:val="3"/>
        <w:keepNext w:val="0"/>
        <w:pageBreakBefore/>
        <w:spacing w:line="350" w:lineRule="auto"/>
        <w:jc w:val="center"/>
        <w:rPr>
          <w:rFonts w:hint="eastAsia" w:ascii="仿宋" w:hAnsi="仿宋" w:eastAsia="仿宋" w:cs="仿宋"/>
          <w:color w:val="auto"/>
          <w:sz w:val="32"/>
          <w:szCs w:val="32"/>
        </w:rPr>
      </w:pPr>
      <w:bookmarkStart w:id="172" w:name="_Toc421778384"/>
      <w:bookmarkStart w:id="173" w:name="_Toc17495"/>
      <w:bookmarkStart w:id="174" w:name="_Toc6999"/>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章</w:t>
      </w:r>
      <w:bookmarkEnd w:id="172"/>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投标文件构成及格式</w:t>
      </w:r>
      <w:bookmarkEnd w:id="173"/>
      <w:bookmarkEnd w:id="174"/>
    </w:p>
    <w:p>
      <w:pPr>
        <w:spacing w:line="54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eastAsia="zh-CN"/>
        </w:rPr>
        <w:t>XXGC-2022-000071-4</w:t>
      </w:r>
    </w:p>
    <w:p>
      <w:pPr>
        <w:spacing w:line="540" w:lineRule="exact"/>
        <w:ind w:firstLine="241" w:firstLineChars="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jc w:val="center"/>
        <w:rPr>
          <w:rFonts w:hint="eastAsia" w:ascii="仿宋" w:hAnsi="仿宋" w:eastAsia="仿宋" w:cs="仿宋"/>
          <w:b/>
          <w:bCs/>
          <w:color w:val="auto"/>
          <w:sz w:val="52"/>
          <w:szCs w:val="52"/>
        </w:rPr>
      </w:pPr>
    </w:p>
    <w:p>
      <w:pPr>
        <w:spacing w:line="360" w:lineRule="auto"/>
        <w:jc w:val="center"/>
        <w:rPr>
          <w:rFonts w:hint="eastAsia" w:ascii="仿宋" w:hAnsi="仿宋" w:eastAsia="仿宋" w:cs="仿宋"/>
          <w:b/>
          <w:bCs/>
          <w:color w:val="auto"/>
          <w:sz w:val="48"/>
          <w:szCs w:val="48"/>
          <w:lang w:eastAsia="zh-CN"/>
        </w:rPr>
      </w:pPr>
      <w:r>
        <w:rPr>
          <w:rFonts w:hint="eastAsia" w:ascii="仿宋" w:hAnsi="仿宋" w:eastAsia="仿宋" w:cs="仿宋"/>
          <w:color w:val="auto"/>
          <w:sz w:val="52"/>
          <w:szCs w:val="52"/>
          <w:lang w:eastAsia="zh-CN"/>
        </w:rPr>
        <w:t>三桥街道阿房一路集体土地拆除项目</w:t>
      </w:r>
    </w:p>
    <w:p>
      <w:pPr>
        <w:spacing w:line="360" w:lineRule="auto"/>
        <w:jc w:val="center"/>
        <w:rPr>
          <w:rFonts w:hint="eastAsia" w:ascii="仿宋" w:hAnsi="仿宋" w:eastAsia="仿宋" w:cs="仿宋"/>
          <w:b/>
          <w:bCs/>
          <w:color w:val="auto"/>
          <w:sz w:val="52"/>
          <w:szCs w:val="52"/>
        </w:rPr>
      </w:pPr>
    </w:p>
    <w:p>
      <w:pPr>
        <w:pStyle w:val="2"/>
        <w:rPr>
          <w:rFonts w:hint="eastAsia"/>
        </w:rPr>
      </w:pPr>
    </w:p>
    <w:p>
      <w:pPr>
        <w:spacing w:line="360" w:lineRule="auto"/>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投标文件</w:t>
      </w: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1124" w:firstLineChars="4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rPr>
        <w:t>（盖章）</w:t>
      </w:r>
    </w:p>
    <w:p>
      <w:pPr>
        <w:spacing w:line="360" w:lineRule="auto"/>
        <w:ind w:firstLine="1124" w:firstLineChars="4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法定代表人或其委托代理人：（签字或盖章）</w:t>
      </w:r>
    </w:p>
    <w:p>
      <w:pPr>
        <w:spacing w:line="360" w:lineRule="auto"/>
        <w:ind w:firstLine="2811" w:firstLineChars="10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p>
    <w:p>
      <w:pPr>
        <w:spacing w:line="360" w:lineRule="auto"/>
        <w:rPr>
          <w:rFonts w:hint="eastAsia" w:ascii="仿宋" w:hAnsi="仿宋" w:eastAsia="仿宋" w:cs="仿宋"/>
          <w:color w:val="auto"/>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color w:val="auto"/>
          <w:sz w:val="32"/>
          <w:szCs w:val="32"/>
        </w:rPr>
      </w:pPr>
      <w:bookmarkStart w:id="175" w:name="_Toc420591500"/>
      <w:bookmarkStart w:id="176" w:name="_Toc420591666"/>
      <w:bookmarkStart w:id="177" w:name="_Toc372885969"/>
      <w:bookmarkStart w:id="178" w:name="_Toc421778385"/>
      <w:r>
        <w:rPr>
          <w:rFonts w:hint="eastAsia" w:ascii="仿宋" w:hAnsi="仿宋" w:eastAsia="仿宋" w:cs="仿宋"/>
          <w:b/>
          <w:bCs/>
          <w:color w:val="auto"/>
          <w:sz w:val="32"/>
          <w:szCs w:val="32"/>
        </w:rPr>
        <w:t>目</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录</w:t>
      </w:r>
      <w:bookmarkEnd w:id="175"/>
      <w:bookmarkEnd w:id="176"/>
      <w:bookmarkEnd w:id="177"/>
      <w:bookmarkEnd w:id="178"/>
    </w:p>
    <w:p>
      <w:pPr>
        <w:pStyle w:val="2"/>
        <w:rPr>
          <w:rFonts w:hint="eastAsia" w:ascii="仿宋" w:hAnsi="仿宋" w:eastAsia="仿宋" w:cs="仿宋"/>
          <w:color w:val="auto"/>
        </w:rPr>
      </w:pPr>
    </w:p>
    <w:p>
      <w:pPr>
        <w:spacing w:line="480" w:lineRule="auto"/>
        <w:ind w:left="2310" w:leftChars="1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第一部分    商务标</w:t>
      </w:r>
    </w:p>
    <w:p>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rPr>
        <w:t>一、投标函</w:t>
      </w:r>
    </w:p>
    <w:p>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rPr>
        <w:t>二、开标一览表</w:t>
      </w:r>
    </w:p>
    <w:p>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rPr>
        <w:t>三、法定代表人身份证明</w:t>
      </w:r>
    </w:p>
    <w:p>
      <w:pPr>
        <w:spacing w:line="480" w:lineRule="auto"/>
        <w:ind w:left="2310" w:left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四、法人授权委托书</w:t>
      </w:r>
    </w:p>
    <w:p>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rPr>
        <w:t>商务响应与说明</w:t>
      </w:r>
    </w:p>
    <w:p>
      <w:pPr>
        <w:spacing w:line="48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、承诺书</w:t>
      </w:r>
    </w:p>
    <w:p>
      <w:pPr>
        <w:spacing w:line="48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、招标文件要求的其他文件或承诺</w:t>
      </w:r>
    </w:p>
    <w:p>
      <w:pPr>
        <w:spacing w:line="480" w:lineRule="auto"/>
        <w:ind w:left="2310" w:left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、其他可以证明投标人实力的文件</w:t>
      </w:r>
    </w:p>
    <w:p>
      <w:pPr>
        <w:spacing w:line="480" w:lineRule="auto"/>
        <w:ind w:left="2310" w:leftChars="1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第二部分    技术标</w:t>
      </w:r>
    </w:p>
    <w:p>
      <w:pPr>
        <w:spacing w:line="480" w:lineRule="auto"/>
        <w:ind w:left="2310" w:leftChars="1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第三部分    资格标</w:t>
      </w:r>
    </w:p>
    <w:p>
      <w:pPr>
        <w:spacing w:line="480" w:lineRule="auto"/>
        <w:ind w:firstLine="2400" w:firstLineChars="10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一、投标人的基本情况介绍和资格声明</w:t>
      </w:r>
    </w:p>
    <w:p>
      <w:pPr>
        <w:spacing w:line="480" w:lineRule="auto"/>
        <w:ind w:firstLine="2400" w:firstLineChars="1000"/>
        <w:jc w:val="left"/>
        <w:rPr>
          <w:rFonts w:hint="eastAsia" w:ascii="仿宋" w:hAnsi="仿宋" w:eastAsia="仿宋" w:cs="仿宋"/>
          <w:color w:val="auto"/>
          <w:sz w:val="24"/>
          <w:szCs w:val="24"/>
        </w:rPr>
      </w:pPr>
      <w:r>
        <w:rPr>
          <w:rFonts w:hint="eastAsia" w:ascii="仿宋" w:hAnsi="仿宋" w:eastAsia="仿宋" w:cs="仿宋"/>
          <w:color w:val="auto"/>
          <w:sz w:val="24"/>
          <w:szCs w:val="24"/>
        </w:rPr>
        <w:t>二、投标人资格证明文件</w:t>
      </w:r>
    </w:p>
    <w:p>
      <w:pPr>
        <w:spacing w:line="480" w:lineRule="auto"/>
        <w:jc w:val="left"/>
        <w:rPr>
          <w:rFonts w:hint="eastAsia" w:ascii="仿宋" w:hAnsi="仿宋" w:eastAsia="仿宋" w:cs="仿宋"/>
          <w:color w:val="auto"/>
          <w:sz w:val="24"/>
          <w:szCs w:val="24"/>
        </w:rPr>
      </w:pPr>
    </w:p>
    <w:p>
      <w:pPr>
        <w:spacing w:line="480" w:lineRule="auto"/>
        <w:ind w:firstLine="2448" w:firstLineChars="1020"/>
        <w:rPr>
          <w:rFonts w:hint="eastAsia" w:ascii="仿宋" w:hAnsi="仿宋" w:eastAsia="仿宋" w:cs="仿宋"/>
          <w:color w:val="auto"/>
          <w:sz w:val="24"/>
          <w:szCs w:val="24"/>
        </w:rPr>
      </w:pPr>
    </w:p>
    <w:p>
      <w:pPr>
        <w:spacing w:line="480" w:lineRule="auto"/>
        <w:rPr>
          <w:rFonts w:hint="eastAsia" w:ascii="仿宋" w:hAnsi="仿宋" w:eastAsia="仿宋" w:cs="仿宋"/>
          <w:color w:val="auto"/>
          <w:sz w:val="24"/>
          <w:szCs w:val="24"/>
        </w:rPr>
      </w:pPr>
    </w:p>
    <w:p>
      <w:pPr>
        <w:spacing w:line="480" w:lineRule="auto"/>
        <w:ind w:left="2310" w:leftChars="1100"/>
        <w:jc w:val="left"/>
        <w:rPr>
          <w:rFonts w:hint="eastAsia" w:ascii="仿宋" w:hAnsi="仿宋" w:eastAsia="仿宋" w:cs="仿宋"/>
          <w:b/>
          <w:bCs/>
          <w:color w:val="auto"/>
          <w:sz w:val="24"/>
          <w:szCs w:val="24"/>
        </w:rPr>
      </w:pPr>
      <w:bookmarkStart w:id="179" w:name="_Toc420591667"/>
      <w:bookmarkStart w:id="180" w:name="_Toc23278"/>
      <w:bookmarkStart w:id="181" w:name="_Toc387"/>
      <w:bookmarkStart w:id="182" w:name="_Toc32749"/>
      <w:bookmarkStart w:id="183" w:name="_Toc421778386"/>
      <w:bookmarkStart w:id="184" w:name="_Toc425240481"/>
    </w:p>
    <w:p>
      <w:pPr>
        <w:pStyle w:val="4"/>
        <w:jc w:val="center"/>
        <w:rPr>
          <w:rFonts w:hint="eastAsia" w:ascii="仿宋" w:hAnsi="仿宋" w:eastAsia="仿宋" w:cs="仿宋"/>
          <w:color w:val="auto"/>
        </w:rPr>
        <w:sectPr>
          <w:pgSz w:w="11906" w:h="16838"/>
          <w:pgMar w:top="1417" w:right="1417" w:bottom="1417" w:left="1701" w:header="851" w:footer="992" w:gutter="0"/>
          <w:pgNumType w:fmt="decimal"/>
          <w:cols w:space="0" w:num="1"/>
          <w:docGrid w:type="lines" w:linePitch="312" w:charSpace="0"/>
        </w:sectPr>
      </w:pPr>
      <w:bookmarkStart w:id="185" w:name="_Toc12238"/>
      <w:bookmarkStart w:id="186" w:name="_Toc18380"/>
    </w:p>
    <w:p>
      <w:pPr>
        <w:pStyle w:val="4"/>
        <w:jc w:val="center"/>
        <w:rPr>
          <w:rFonts w:hint="eastAsia" w:ascii="仿宋" w:hAnsi="仿宋" w:eastAsia="仿宋" w:cs="仿宋"/>
          <w:color w:val="auto"/>
        </w:rPr>
      </w:pPr>
      <w:r>
        <w:rPr>
          <w:rFonts w:hint="eastAsia" w:ascii="仿宋" w:hAnsi="仿宋" w:eastAsia="仿宋" w:cs="仿宋"/>
          <w:color w:val="auto"/>
        </w:rPr>
        <w:t>第一部分 商务标</w:t>
      </w:r>
      <w:bookmarkEnd w:id="185"/>
      <w:bookmarkEnd w:id="186"/>
    </w:p>
    <w:p>
      <w:pPr>
        <w:jc w:val="center"/>
        <w:outlineLvl w:val="1"/>
        <w:rPr>
          <w:rFonts w:hint="eastAsia" w:ascii="仿宋" w:hAnsi="仿宋" w:eastAsia="仿宋" w:cs="仿宋"/>
          <w:b/>
          <w:bCs/>
          <w:color w:val="auto"/>
          <w:sz w:val="32"/>
          <w:szCs w:val="32"/>
        </w:rPr>
      </w:pPr>
      <w:bookmarkStart w:id="187" w:name="_Toc229"/>
      <w:bookmarkStart w:id="188" w:name="_Toc25165"/>
      <w:r>
        <w:rPr>
          <w:rFonts w:hint="eastAsia" w:ascii="仿宋" w:hAnsi="仿宋" w:eastAsia="仿宋" w:cs="仿宋"/>
          <w:b/>
          <w:bCs/>
          <w:color w:val="auto"/>
          <w:sz w:val="32"/>
          <w:szCs w:val="32"/>
        </w:rPr>
        <w:t>一、投标函</w:t>
      </w:r>
      <w:bookmarkEnd w:id="179"/>
      <w:bookmarkEnd w:id="180"/>
      <w:bookmarkEnd w:id="181"/>
      <w:bookmarkEnd w:id="182"/>
      <w:bookmarkEnd w:id="183"/>
      <w:bookmarkEnd w:id="184"/>
      <w:bookmarkEnd w:id="187"/>
      <w:bookmarkEnd w:id="188"/>
    </w:p>
    <w:p>
      <w:pPr>
        <w:pStyle w:val="31"/>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（招标人）</w:t>
      </w:r>
    </w:p>
    <w:p>
      <w:pPr>
        <w:pStyle w:val="31"/>
        <w:keepNext w:val="0"/>
        <w:keepLines w:val="0"/>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rPr>
        <w:t>根据已收到</w:t>
      </w:r>
      <w:r>
        <w:rPr>
          <w:rFonts w:hint="eastAsia" w:ascii="仿宋" w:hAnsi="仿宋" w:eastAsia="仿宋" w:cs="仿宋"/>
          <w:color w:val="auto"/>
          <w:u w:val="single"/>
        </w:rPr>
        <w:t>（项目名称）（项目编号）</w:t>
      </w:r>
      <w:r>
        <w:rPr>
          <w:rFonts w:hint="eastAsia" w:ascii="仿宋" w:hAnsi="仿宋" w:eastAsia="仿宋" w:cs="仿宋"/>
          <w:color w:val="auto"/>
        </w:rPr>
        <w:t>的招标文件，遵照《中华人民共和国政府采购法》、《中华人民共和国招标投标法》</w:t>
      </w:r>
      <w:r>
        <w:rPr>
          <w:rFonts w:hint="eastAsia" w:ascii="仿宋" w:hAnsi="仿宋" w:eastAsia="仿宋" w:cs="仿宋"/>
          <w:color w:val="auto"/>
          <w:lang w:eastAsia="zh-CN"/>
        </w:rPr>
        <w:t>、</w:t>
      </w:r>
      <w:r>
        <w:rPr>
          <w:rFonts w:hint="eastAsia" w:ascii="仿宋" w:hAnsi="仿宋" w:eastAsia="仿宋" w:cs="仿宋"/>
          <w:color w:val="auto"/>
        </w:rPr>
        <w:t>《中华人民共和国招标投标法</w:t>
      </w:r>
      <w:r>
        <w:rPr>
          <w:rFonts w:hint="eastAsia" w:ascii="仿宋" w:hAnsi="仿宋" w:eastAsia="仿宋" w:cs="仿宋"/>
          <w:color w:val="auto"/>
          <w:lang w:eastAsia="zh-CN"/>
        </w:rPr>
        <w:t>实施</w:t>
      </w:r>
      <w:r>
        <w:rPr>
          <w:rFonts w:hint="eastAsia" w:ascii="仿宋" w:hAnsi="仿宋" w:eastAsia="仿宋" w:cs="仿宋"/>
          <w:color w:val="auto"/>
          <w:highlight w:val="none"/>
          <w:lang w:eastAsia="zh-CN"/>
        </w:rPr>
        <w:t>条例</w:t>
      </w:r>
      <w:r>
        <w:rPr>
          <w:rFonts w:hint="eastAsia" w:ascii="仿宋" w:hAnsi="仿宋" w:eastAsia="仿宋" w:cs="仿宋"/>
          <w:color w:val="auto"/>
          <w:highlight w:val="none"/>
        </w:rPr>
        <w:t>》等有关规定，经踏勘本项目现场、参加招标答疑会议和仔细研究本工程招标文件、答疑纪要、合同条款、</w:t>
      </w:r>
      <w:r>
        <w:rPr>
          <w:rFonts w:hint="eastAsia" w:ascii="仿宋" w:hAnsi="仿宋" w:eastAsia="仿宋" w:cs="仿宋"/>
          <w:color w:val="auto"/>
          <w:highlight w:val="none"/>
          <w:lang w:val="en-US" w:eastAsia="zh-CN"/>
        </w:rPr>
        <w:t>项目概况</w:t>
      </w:r>
      <w:r>
        <w:rPr>
          <w:rFonts w:hint="eastAsia" w:ascii="仿宋" w:hAnsi="仿宋" w:eastAsia="仿宋" w:cs="仿宋"/>
          <w:color w:val="auto"/>
          <w:highlight w:val="none"/>
        </w:rPr>
        <w:t>及其他有关文件后，我方愿以人民币（大写）</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元（￥</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元）的投标</w:t>
      </w:r>
      <w:r>
        <w:rPr>
          <w:rFonts w:hint="eastAsia" w:ascii="仿宋" w:hAnsi="仿宋" w:eastAsia="仿宋" w:cs="仿宋"/>
          <w:color w:val="auto"/>
          <w:highlight w:val="none"/>
          <w:lang w:val="en-US" w:eastAsia="zh-CN"/>
        </w:rPr>
        <w:t>报价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其中：</w:t>
      </w:r>
      <w:r>
        <w:rPr>
          <w:rFonts w:hint="eastAsia" w:ascii="仿宋" w:hAnsi="仿宋" w:eastAsia="仿宋" w:cs="仿宋"/>
          <w:color w:val="auto"/>
          <w:highlight w:val="none"/>
        </w:rPr>
        <w:t>拆除工程：</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元/平方米；地面破碎工程：</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u w:val="single"/>
          <w:lang w:val="en-US" w:eastAsia="zh-CN"/>
        </w:rPr>
        <w:t xml:space="preserve">         </w:t>
      </w:r>
    </w:p>
    <w:p>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仿宋" w:hAnsi="仿宋" w:eastAsia="仿宋" w:cs="仿宋"/>
          <w:color w:val="auto"/>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元/平方米；垃圾清运工程：</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元/立方米的</w:t>
      </w:r>
      <w:r>
        <w:rPr>
          <w:rFonts w:hint="eastAsia" w:ascii="仿宋" w:hAnsi="仿宋" w:eastAsia="仿宋" w:cs="仿宋"/>
          <w:color w:val="auto"/>
          <w:highlight w:val="none"/>
          <w:lang w:val="en-US" w:eastAsia="zh-CN"/>
        </w:rPr>
        <w:t>单价</w:t>
      </w:r>
      <w:r>
        <w:rPr>
          <w:rFonts w:hint="eastAsia" w:ascii="仿宋" w:hAnsi="仿宋" w:eastAsia="仿宋" w:cs="仿宋"/>
          <w:color w:val="auto"/>
          <w:highlight w:val="none"/>
        </w:rPr>
        <w:t>报价，按</w:t>
      </w:r>
      <w:r>
        <w:rPr>
          <w:rFonts w:hint="eastAsia" w:ascii="仿宋" w:hAnsi="仿宋" w:eastAsia="仿宋" w:cs="仿宋"/>
          <w:color w:val="auto"/>
          <w:highlight w:val="none"/>
          <w:u w:val="single"/>
        </w:rPr>
        <w:t>（项目名</w:t>
      </w:r>
      <w:r>
        <w:rPr>
          <w:rFonts w:hint="eastAsia" w:ascii="仿宋" w:hAnsi="仿宋" w:eastAsia="仿宋" w:cs="仿宋"/>
          <w:color w:val="auto"/>
          <w:u w:val="single"/>
        </w:rPr>
        <w:t>称）（项目编号）</w:t>
      </w:r>
      <w:r>
        <w:rPr>
          <w:rFonts w:hint="eastAsia" w:ascii="仿宋" w:hAnsi="仿宋" w:eastAsia="仿宋" w:cs="仿宋"/>
          <w:color w:val="auto"/>
        </w:rPr>
        <w:t>招标文件、答疑纪要、合同条款、及其他有关文件等承包本工程的施工、竣工和保修，并承担任何质量缺陷保修责任。</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2、我方已详细审核全部招标文件及有关附件、工程现场条件、招标答疑纪要、补遗书等文件。</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3、该报价是完成本招标文件规定的、所需的一切费用，且不低于我单位工程施工的成本价。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4、如果我方中标，我方保证</w:t>
      </w:r>
      <w:r>
        <w:rPr>
          <w:rFonts w:hint="eastAsia" w:ascii="仿宋" w:hAnsi="仿宋" w:eastAsia="仿宋" w:cs="仿宋"/>
          <w:color w:val="auto"/>
          <w:lang w:val="en-US" w:eastAsia="zh-CN"/>
        </w:rPr>
        <w:t>按甲方要求</w:t>
      </w:r>
      <w:r>
        <w:rPr>
          <w:rFonts w:hint="eastAsia" w:ascii="仿宋" w:hAnsi="仿宋" w:eastAsia="仿宋" w:cs="仿宋"/>
          <w:color w:val="auto"/>
          <w:u w:val="none"/>
          <w:lang w:val="en-US" w:eastAsia="zh-CN"/>
        </w:rPr>
        <w:t>完</w:t>
      </w:r>
      <w:r>
        <w:rPr>
          <w:rFonts w:hint="eastAsia" w:ascii="仿宋" w:hAnsi="仿宋" w:eastAsia="仿宋" w:cs="仿宋"/>
          <w:color w:val="auto"/>
        </w:rPr>
        <w:t>工，并确保工程质量达到标准。拟派项目</w:t>
      </w:r>
      <w:r>
        <w:rPr>
          <w:rFonts w:hint="eastAsia" w:ascii="仿宋" w:hAnsi="仿宋" w:eastAsia="仿宋" w:cs="仿宋"/>
          <w:color w:val="auto"/>
          <w:lang w:eastAsia="zh-CN"/>
        </w:rPr>
        <w:t>经理</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，证书编号</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。我方同意本投标函在招标文件规定的提交投标文件截止时间后，在招标文件规定的投标有效期期满前对我方具有约束力，且随时准备接受你方发出的中标通知书。</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5、如果我方中标，我方将按照招标人规定时间足额提交合同履约保证金。</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6、我方保证以前递交的本工程相关资料和投标函中各种附件是真实可靠的，如有不实，我方将无条件接受招标人的处理决定，甚至自动退出投标，由此产生的一切后果均由我方负责。</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7、除非另外达成协议并生效，你方的中标通知书和本投标文件将构成约束我们双方的合同。</w:t>
      </w:r>
    </w:p>
    <w:p>
      <w:pPr>
        <w:pStyle w:val="31"/>
        <w:spacing w:before="0" w:beforeAutospacing="0" w:after="0" w:afterAutospacing="0" w:line="360" w:lineRule="auto"/>
        <w:ind w:firstLine="480" w:firstLineChars="200"/>
        <w:rPr>
          <w:rStyle w:val="37"/>
          <w:rFonts w:hint="eastAsia" w:ascii="仿宋" w:hAnsi="仿宋" w:eastAsia="仿宋" w:cs="仿宋"/>
          <w:b w:val="0"/>
          <w:bCs w:val="0"/>
          <w:color w:val="auto"/>
        </w:rPr>
      </w:pPr>
      <w:r>
        <w:rPr>
          <w:rFonts w:hint="eastAsia" w:ascii="仿宋" w:hAnsi="仿宋" w:eastAsia="仿宋" w:cs="仿宋"/>
          <w:color w:val="auto"/>
        </w:rPr>
        <w:t>8、我方的投标文件在开标后</w:t>
      </w:r>
      <w:r>
        <w:rPr>
          <w:rFonts w:hint="eastAsia" w:ascii="仿宋" w:hAnsi="仿宋" w:eastAsia="仿宋" w:cs="仿宋"/>
          <w:color w:val="auto"/>
          <w:u w:val="single"/>
          <w:lang w:val="en-US" w:eastAsia="zh-CN"/>
        </w:rPr>
        <w:t xml:space="preserve">     天</w:t>
      </w:r>
      <w:r>
        <w:rPr>
          <w:rFonts w:hint="eastAsia" w:ascii="仿宋" w:hAnsi="仿宋" w:eastAsia="仿宋" w:cs="仿宋"/>
          <w:color w:val="auto"/>
        </w:rPr>
        <w:t>有效，在投标有效期内不修改或撤回投标文件。</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9、我方理解你方及</w:t>
      </w:r>
      <w:r>
        <w:rPr>
          <w:rFonts w:hint="eastAsia" w:ascii="仿宋" w:hAnsi="仿宋" w:eastAsia="仿宋" w:cs="仿宋"/>
          <w:color w:val="auto"/>
          <w:lang w:eastAsia="zh-CN"/>
        </w:rPr>
        <w:t>招标代理机构</w:t>
      </w:r>
      <w:r>
        <w:rPr>
          <w:rFonts w:hint="eastAsia" w:ascii="仿宋" w:hAnsi="仿宋" w:eastAsia="仿宋" w:cs="仿宋"/>
          <w:color w:val="auto"/>
        </w:rPr>
        <w:t>不另负担我们的任何投标费用，无论我方总报价中是否包括投标费用，也无论是否能够中标，均不要求你方及</w:t>
      </w:r>
      <w:r>
        <w:rPr>
          <w:rFonts w:hint="eastAsia" w:ascii="仿宋" w:hAnsi="仿宋" w:eastAsia="仿宋" w:cs="仿宋"/>
          <w:color w:val="auto"/>
          <w:lang w:eastAsia="zh-CN"/>
        </w:rPr>
        <w:t>招标代理机构</w:t>
      </w:r>
      <w:r>
        <w:rPr>
          <w:rFonts w:hint="eastAsia" w:ascii="仿宋" w:hAnsi="仿宋" w:eastAsia="仿宋" w:cs="仿宋"/>
          <w:color w:val="auto"/>
        </w:rPr>
        <w:t>对投标费用做任何补偿。</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10、我方理解你方及</w:t>
      </w:r>
      <w:r>
        <w:rPr>
          <w:rFonts w:hint="eastAsia" w:ascii="仿宋" w:hAnsi="仿宋" w:eastAsia="仿宋" w:cs="仿宋"/>
          <w:color w:val="auto"/>
          <w:lang w:eastAsia="zh-CN"/>
        </w:rPr>
        <w:t>招标代理机构</w:t>
      </w:r>
      <w:r>
        <w:rPr>
          <w:rFonts w:hint="eastAsia" w:ascii="仿宋" w:hAnsi="仿宋" w:eastAsia="仿宋" w:cs="仿宋"/>
          <w:color w:val="auto"/>
        </w:rPr>
        <w:t>，我方不要求你方及</w:t>
      </w:r>
      <w:r>
        <w:rPr>
          <w:rFonts w:hint="eastAsia" w:ascii="仿宋" w:hAnsi="仿宋" w:eastAsia="仿宋" w:cs="仿宋"/>
          <w:color w:val="auto"/>
          <w:lang w:eastAsia="zh-CN"/>
        </w:rPr>
        <w:t>招标代理机构</w:t>
      </w:r>
      <w:r>
        <w:rPr>
          <w:rFonts w:hint="eastAsia" w:ascii="仿宋" w:hAnsi="仿宋" w:eastAsia="仿宋" w:cs="仿宋"/>
          <w:color w:val="auto"/>
        </w:rPr>
        <w:t>对未中标原因做任何解释，也不退回投标文件。</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11、如果因我方原因放弃中标，我方承诺，如果因我方原因放弃</w:t>
      </w:r>
      <w:r>
        <w:rPr>
          <w:rFonts w:hint="eastAsia" w:ascii="仿宋" w:hAnsi="仿宋" w:eastAsia="仿宋" w:cs="仿宋"/>
          <w:color w:val="auto"/>
          <w:lang w:eastAsia="zh-CN"/>
        </w:rPr>
        <w:t>成交</w:t>
      </w:r>
      <w:r>
        <w:rPr>
          <w:rFonts w:hint="eastAsia" w:ascii="仿宋" w:hAnsi="仿宋" w:eastAsia="仿宋" w:cs="仿宋"/>
          <w:color w:val="auto"/>
        </w:rPr>
        <w:t>，我方承诺，</w:t>
      </w:r>
      <w:r>
        <w:rPr>
          <w:rFonts w:hint="eastAsia" w:ascii="仿宋" w:hAnsi="仿宋" w:eastAsia="仿宋" w:cs="仿宋"/>
          <w:color w:val="auto"/>
          <w:lang w:eastAsia="zh-CN"/>
        </w:rPr>
        <w:t>将按照政府采购相关规定承担相应的责任</w:t>
      </w:r>
      <w:r>
        <w:rPr>
          <w:rFonts w:hint="eastAsia" w:ascii="仿宋" w:hAnsi="仿宋" w:eastAsia="仿宋" w:cs="仿宋"/>
          <w:color w:val="auto"/>
        </w:rPr>
        <w:t>。</w:t>
      </w:r>
    </w:p>
    <w:p>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12、若我方中标，将按时按规定缴纳招标代理服务费。</w:t>
      </w:r>
    </w:p>
    <w:p>
      <w:pPr>
        <w:pStyle w:val="31"/>
        <w:spacing w:before="0" w:beforeAutospacing="0" w:after="0" w:afterAutospacing="0" w:line="360" w:lineRule="auto"/>
        <w:ind w:firstLine="480" w:firstLineChars="200"/>
        <w:rPr>
          <w:rFonts w:hint="eastAsia" w:ascii="仿宋" w:hAnsi="仿宋" w:eastAsia="仿宋" w:cs="仿宋"/>
          <w:color w:val="auto"/>
        </w:rPr>
      </w:pPr>
    </w:p>
    <w:p>
      <w:pPr>
        <w:pStyle w:val="31"/>
        <w:spacing w:before="0" w:beforeAutospacing="0" w:after="0" w:afterAutospacing="0" w:line="360" w:lineRule="auto"/>
        <w:ind w:firstLine="480" w:firstLineChars="200"/>
        <w:rPr>
          <w:rFonts w:hint="eastAsia" w:ascii="仿宋" w:hAnsi="仿宋" w:eastAsia="仿宋" w:cs="仿宋"/>
          <w:color w:val="auto"/>
        </w:rPr>
      </w:pPr>
    </w:p>
    <w:p>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投标人：（盖章）</w:t>
      </w:r>
    </w:p>
    <w:p>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投标人电话：</w:t>
      </w:r>
    </w:p>
    <w:p>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法人代表</w:t>
      </w:r>
      <w:r>
        <w:rPr>
          <w:rFonts w:hint="eastAsia" w:ascii="仿宋" w:hAnsi="仿宋" w:eastAsia="仿宋" w:cs="仿宋"/>
          <w:color w:val="auto"/>
          <w:lang w:eastAsia="zh-CN"/>
        </w:rPr>
        <w:t>人</w:t>
      </w:r>
      <w:r>
        <w:rPr>
          <w:rFonts w:hint="eastAsia" w:ascii="仿宋" w:hAnsi="仿宋" w:eastAsia="仿宋" w:cs="仿宋"/>
          <w:color w:val="auto"/>
        </w:rPr>
        <w:t>或委托代理人：</w:t>
      </w:r>
      <w:r>
        <w:rPr>
          <w:rFonts w:hint="eastAsia" w:ascii="仿宋" w:hAnsi="仿宋" w:eastAsia="仿宋" w:cs="仿宋"/>
          <w:color w:val="auto"/>
          <w:lang w:val="en-US" w:eastAsia="zh-CN"/>
        </w:rPr>
        <w:t xml:space="preserve">             </w:t>
      </w:r>
      <w:r>
        <w:rPr>
          <w:rFonts w:hint="eastAsia" w:ascii="仿宋" w:hAnsi="仿宋" w:eastAsia="仿宋" w:cs="仿宋"/>
          <w:color w:val="auto"/>
        </w:rPr>
        <w:t>（签</w:t>
      </w:r>
      <w:r>
        <w:rPr>
          <w:rFonts w:hint="eastAsia" w:ascii="仿宋" w:hAnsi="仿宋" w:eastAsia="仿宋" w:cs="仿宋"/>
          <w:color w:val="auto"/>
          <w:lang w:eastAsia="zh-CN"/>
        </w:rPr>
        <w:t>字或盖</w:t>
      </w:r>
      <w:r>
        <w:rPr>
          <w:rFonts w:hint="eastAsia" w:ascii="仿宋" w:hAnsi="仿宋" w:eastAsia="仿宋" w:cs="仿宋"/>
          <w:color w:val="auto"/>
        </w:rPr>
        <w:t>章）</w:t>
      </w:r>
    </w:p>
    <w:p>
      <w:pPr>
        <w:pStyle w:val="31"/>
        <w:spacing w:before="0" w:beforeAutospacing="0" w:after="0" w:afterAutospacing="0" w:line="480" w:lineRule="auto"/>
        <w:ind w:firstLine="480" w:firstLineChars="200"/>
        <w:rPr>
          <w:rFonts w:hint="eastAsia" w:ascii="仿宋" w:hAnsi="仿宋" w:eastAsia="仿宋" w:cs="仿宋"/>
          <w:color w:val="auto"/>
          <w:lang w:eastAsia="zh-CN"/>
        </w:rPr>
      </w:pPr>
      <w:r>
        <w:rPr>
          <w:rFonts w:hint="eastAsia" w:ascii="仿宋" w:hAnsi="仿宋" w:eastAsia="仿宋" w:cs="仿宋"/>
          <w:color w:val="auto"/>
        </w:rPr>
        <w:t>投标人地址</w:t>
      </w:r>
      <w:r>
        <w:rPr>
          <w:rFonts w:hint="eastAsia" w:ascii="仿宋" w:hAnsi="仿宋" w:eastAsia="仿宋" w:cs="仿宋"/>
          <w:color w:val="auto"/>
          <w:lang w:eastAsia="zh-CN"/>
        </w:rPr>
        <w:t>：</w:t>
      </w:r>
    </w:p>
    <w:p>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日期：年　月　日</w:t>
      </w:r>
    </w:p>
    <w:p>
      <w:pPr>
        <w:pStyle w:val="31"/>
        <w:spacing w:before="0" w:beforeAutospacing="0" w:after="0" w:afterAutospacing="0" w:line="360" w:lineRule="auto"/>
        <w:ind w:firstLine="480" w:firstLineChars="200"/>
        <w:rPr>
          <w:rFonts w:hint="eastAsia" w:ascii="仿宋" w:hAnsi="仿宋" w:eastAsia="仿宋" w:cs="仿宋"/>
          <w:color w:val="auto"/>
        </w:rPr>
      </w:pPr>
    </w:p>
    <w:p>
      <w:pPr>
        <w:pStyle w:val="31"/>
        <w:spacing w:before="0" w:beforeAutospacing="0" w:after="0" w:afterAutospacing="0" w:line="360" w:lineRule="auto"/>
        <w:ind w:firstLine="480" w:firstLineChars="200"/>
        <w:rPr>
          <w:rFonts w:hint="eastAsia" w:ascii="仿宋" w:hAnsi="仿宋" w:eastAsia="仿宋" w:cs="仿宋"/>
          <w:color w:val="auto"/>
        </w:rPr>
      </w:pPr>
    </w:p>
    <w:p>
      <w:pPr>
        <w:keepLines/>
        <w:pageBreakBefore/>
        <w:jc w:val="center"/>
        <w:outlineLvl w:val="1"/>
        <w:rPr>
          <w:rFonts w:hint="eastAsia" w:ascii="仿宋" w:hAnsi="仿宋" w:eastAsia="仿宋" w:cs="仿宋"/>
          <w:b/>
          <w:bCs/>
          <w:color w:val="auto"/>
          <w:sz w:val="32"/>
          <w:szCs w:val="32"/>
        </w:rPr>
      </w:pPr>
      <w:bookmarkStart w:id="189" w:name="_Toc425240482"/>
      <w:bookmarkStart w:id="190" w:name="_Toc421778387"/>
      <w:bookmarkStart w:id="191" w:name="_Toc3816"/>
      <w:bookmarkStart w:id="192" w:name="_Toc18824"/>
      <w:bookmarkStart w:id="193" w:name="_Toc32443"/>
      <w:bookmarkStart w:id="194" w:name="_Toc29026"/>
      <w:bookmarkStart w:id="195" w:name="_Toc420591668"/>
      <w:bookmarkStart w:id="196" w:name="_Toc3994"/>
      <w:r>
        <w:rPr>
          <w:rFonts w:hint="eastAsia" w:ascii="仿宋" w:hAnsi="仿宋" w:eastAsia="仿宋" w:cs="仿宋"/>
          <w:b/>
          <w:bCs/>
          <w:color w:val="auto"/>
          <w:sz w:val="32"/>
          <w:szCs w:val="32"/>
        </w:rPr>
        <w:t>二、开标一览表</w:t>
      </w:r>
      <w:bookmarkEnd w:id="189"/>
      <w:bookmarkEnd w:id="190"/>
      <w:bookmarkEnd w:id="191"/>
      <w:bookmarkEnd w:id="192"/>
      <w:bookmarkEnd w:id="193"/>
      <w:bookmarkEnd w:id="194"/>
      <w:bookmarkEnd w:id="195"/>
      <w:bookmarkEnd w:id="196"/>
    </w:p>
    <w:p>
      <w:pPr>
        <w:spacing w:line="360" w:lineRule="auto"/>
        <w:ind w:firstLine="643" w:firstLineChars="200"/>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2.1开标一览表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bl>
      <w:tblPr>
        <w:tblStyle w:val="3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413"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投标报价（元）</w:t>
            </w:r>
          </w:p>
        </w:tc>
        <w:tc>
          <w:tcPr>
            <w:tcW w:w="6234"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小写：</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4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质量标准</w:t>
            </w:r>
          </w:p>
        </w:tc>
        <w:tc>
          <w:tcPr>
            <w:tcW w:w="6234"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4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计划总工期</w:t>
            </w:r>
          </w:p>
        </w:tc>
        <w:tc>
          <w:tcPr>
            <w:tcW w:w="6234"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自项目启动直至项目结束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4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234" w:type="dxa"/>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41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234" w:type="dxa"/>
            <w:vAlign w:val="center"/>
          </w:tcPr>
          <w:p>
            <w:pPr>
              <w:rPr>
                <w:rFonts w:hint="eastAsia" w:ascii="仿宋" w:hAnsi="仿宋" w:eastAsia="仿宋" w:cs="仿宋"/>
                <w:color w:val="auto"/>
                <w:sz w:val="24"/>
                <w:szCs w:val="24"/>
              </w:rPr>
            </w:pPr>
          </w:p>
        </w:tc>
      </w:tr>
    </w:tbl>
    <w:p>
      <w:pPr>
        <w:spacing w:line="120" w:lineRule="exact"/>
        <w:rPr>
          <w:rFonts w:hint="eastAsia" w:ascii="仿宋" w:hAnsi="仿宋" w:eastAsia="仿宋" w:cs="仿宋"/>
          <w:color w:val="auto"/>
          <w:sz w:val="24"/>
          <w:szCs w:val="24"/>
        </w:rPr>
      </w:pPr>
    </w:p>
    <w:p>
      <w:pPr>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注：1、以上表内报价内容以元为单位，保留小数点后两位。</w:t>
      </w:r>
    </w:p>
    <w:p>
      <w:pPr>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（加盖单位公章）</w:t>
      </w:r>
    </w:p>
    <w:p>
      <w:pPr>
        <w:spacing w:line="280" w:lineRule="exact"/>
        <w:ind w:right="540" w:rightChars="257" w:firstLine="360" w:firstLineChars="1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法定代表人/被授权人签</w:t>
      </w:r>
      <w:r>
        <w:rPr>
          <w:rFonts w:hint="eastAsia" w:ascii="仿宋" w:hAnsi="仿宋" w:eastAsia="仿宋" w:cs="仿宋"/>
          <w:color w:val="auto"/>
          <w:sz w:val="24"/>
          <w:szCs w:val="24"/>
          <w:lang w:eastAsia="zh-CN"/>
        </w:rPr>
        <w:t>字或盖</w:t>
      </w:r>
      <w:r>
        <w:rPr>
          <w:rFonts w:hint="eastAsia" w:ascii="仿宋" w:hAnsi="仿宋" w:eastAsia="仿宋" w:cs="仿宋"/>
          <w:color w:val="auto"/>
          <w:sz w:val="24"/>
          <w:szCs w:val="24"/>
        </w:rPr>
        <w:t>章：</w:t>
      </w: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jc w:val="left"/>
        <w:rPr>
          <w:rFonts w:hint="eastAsia" w:ascii="仿宋" w:hAnsi="仿宋" w:eastAsia="仿宋" w:cs="仿宋"/>
          <w:color w:val="auto"/>
          <w:sz w:val="24"/>
          <w:szCs w:val="24"/>
        </w:rPr>
      </w:pPr>
    </w:p>
    <w:p>
      <w:pPr>
        <w:spacing w:line="280" w:lineRule="exact"/>
        <w:ind w:right="540" w:rightChars="257" w:firstLine="4440" w:firstLineChars="1850"/>
        <w:rPr>
          <w:rFonts w:hint="eastAsia" w:ascii="仿宋" w:hAnsi="仿宋" w:eastAsia="仿宋" w:cs="仿宋"/>
          <w:b/>
          <w:bCs/>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Lines/>
        <w:pageBreakBefore/>
        <w:jc w:val="center"/>
        <w:outlineLvl w:val="1"/>
        <w:rPr>
          <w:rFonts w:hint="eastAsia" w:ascii="仿宋" w:hAnsi="仿宋" w:eastAsia="仿宋" w:cs="仿宋"/>
          <w:b/>
          <w:bCs/>
          <w:color w:val="auto"/>
          <w:sz w:val="32"/>
          <w:szCs w:val="32"/>
        </w:rPr>
        <w:sectPr>
          <w:pgSz w:w="11906" w:h="16838"/>
          <w:pgMar w:top="1417" w:right="1417" w:bottom="1417" w:left="1701" w:header="851" w:footer="992" w:gutter="0"/>
          <w:pgNumType w:fmt="decimal"/>
          <w:cols w:space="0" w:num="1"/>
          <w:docGrid w:type="lines" w:linePitch="312" w:charSpace="0"/>
        </w:sectPr>
      </w:pPr>
      <w:bookmarkStart w:id="197" w:name="_Toc17870"/>
      <w:bookmarkStart w:id="198" w:name="_Toc420591669"/>
      <w:bookmarkStart w:id="199" w:name="_Toc14400"/>
      <w:bookmarkStart w:id="200" w:name="_Toc421778388"/>
      <w:bookmarkStart w:id="201" w:name="_Toc425240483"/>
      <w:bookmarkStart w:id="202" w:name="_Toc24525"/>
      <w:bookmarkStart w:id="203" w:name="_Toc1813"/>
      <w:bookmarkStart w:id="204" w:name="_Toc8191"/>
    </w:p>
    <w:p>
      <w:pPr>
        <w:spacing w:line="360" w:lineRule="auto"/>
        <w:ind w:firstLine="643" w:firstLineChars="200"/>
        <w:jc w:val="center"/>
        <w:rPr>
          <w:rFonts w:hint="default"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lang w:val="en-US" w:eastAsia="zh-CN"/>
        </w:rPr>
        <w:t>2.2分项报价表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801"/>
        <w:gridCol w:w="1801"/>
        <w:gridCol w:w="208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800"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品目</w:t>
            </w:r>
          </w:p>
        </w:tc>
        <w:tc>
          <w:tcPr>
            <w:tcW w:w="180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单价</w:t>
            </w:r>
          </w:p>
        </w:tc>
        <w:tc>
          <w:tcPr>
            <w:tcW w:w="180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208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暂定量</w:t>
            </w:r>
          </w:p>
        </w:tc>
        <w:tc>
          <w:tcPr>
            <w:tcW w:w="152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800"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shd w:val="clear" w:color="auto" w:fill="FFFFFF"/>
                <w:lang w:val="en-US" w:eastAsia="zh-CN"/>
              </w:rPr>
              <w:t>拆除工程</w:t>
            </w:r>
          </w:p>
        </w:tc>
        <w:tc>
          <w:tcPr>
            <w:tcW w:w="180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c>
          <w:tcPr>
            <w:tcW w:w="180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元/平方米</w:t>
            </w:r>
          </w:p>
        </w:tc>
        <w:tc>
          <w:tcPr>
            <w:tcW w:w="208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default" w:ascii="仿宋" w:hAnsi="仿宋" w:eastAsia="仿宋" w:cs="仿宋"/>
                <w:color w:val="auto"/>
                <w:sz w:val="24"/>
                <w:szCs w:val="24"/>
                <w:shd w:val="clear" w:color="auto" w:fill="FFFFFF"/>
                <w:lang w:val="en-US" w:eastAsia="zh-CN"/>
              </w:rPr>
              <w:t>400000</w:t>
            </w:r>
            <w:r>
              <w:rPr>
                <w:rFonts w:hint="eastAsia" w:ascii="仿宋" w:hAnsi="仿宋" w:eastAsia="仿宋" w:cs="仿宋"/>
                <w:color w:val="auto"/>
                <w:sz w:val="24"/>
                <w:szCs w:val="24"/>
                <w:shd w:val="clear" w:color="auto" w:fill="FFFFFF"/>
                <w:lang w:val="en-US" w:eastAsia="zh-CN"/>
              </w:rPr>
              <w:t>平方米</w:t>
            </w:r>
          </w:p>
        </w:tc>
        <w:tc>
          <w:tcPr>
            <w:tcW w:w="152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00"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shd w:val="clear" w:color="auto" w:fill="FFFFFF"/>
                <w:lang w:val="en-US" w:eastAsia="zh-CN"/>
              </w:rPr>
              <w:t>地面破碎工程</w:t>
            </w:r>
          </w:p>
        </w:tc>
        <w:tc>
          <w:tcPr>
            <w:tcW w:w="180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c>
          <w:tcPr>
            <w:tcW w:w="180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元/平方米</w:t>
            </w:r>
          </w:p>
        </w:tc>
        <w:tc>
          <w:tcPr>
            <w:tcW w:w="208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226667.8平方米</w:t>
            </w:r>
          </w:p>
        </w:tc>
        <w:tc>
          <w:tcPr>
            <w:tcW w:w="152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00"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shd w:val="clear" w:color="auto" w:fill="FFFFFF"/>
                <w:lang w:val="en-US" w:eastAsia="zh-CN"/>
              </w:rPr>
              <w:t>垃圾清运工程</w:t>
            </w:r>
          </w:p>
        </w:tc>
        <w:tc>
          <w:tcPr>
            <w:tcW w:w="180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c>
          <w:tcPr>
            <w:tcW w:w="180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元/立方米</w:t>
            </w:r>
          </w:p>
        </w:tc>
        <w:tc>
          <w:tcPr>
            <w:tcW w:w="2081" w:type="dxa"/>
            <w:vAlign w:val="center"/>
          </w:tcPr>
          <w:p>
            <w:pPr>
              <w:spacing w:line="360" w:lineRule="auto"/>
              <w:jc w:val="center"/>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168000.34立方米</w:t>
            </w:r>
          </w:p>
        </w:tc>
        <w:tc>
          <w:tcPr>
            <w:tcW w:w="1521" w:type="dxa"/>
            <w:vAlign w:val="center"/>
          </w:tcPr>
          <w:p>
            <w:pPr>
              <w:spacing w:line="360" w:lineRule="auto"/>
              <w:jc w:val="center"/>
              <w:rPr>
                <w:rFonts w:hint="default" w:ascii="仿宋" w:hAnsi="仿宋" w:eastAsia="仿宋" w:cs="仿宋"/>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004" w:type="dxa"/>
            <w:gridSpan w:val="5"/>
            <w:vAlign w:val="center"/>
          </w:tcPr>
          <w:p>
            <w:pPr>
              <w:spacing w:line="360" w:lineRule="auto"/>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合计总价：大写：</w:t>
            </w:r>
          </w:p>
          <w:p>
            <w:pPr>
              <w:spacing w:line="360" w:lineRule="auto"/>
              <w:ind w:firstLine="1200" w:firstLineChars="500"/>
              <w:jc w:val="both"/>
              <w:rPr>
                <w:rFonts w:hint="default"/>
                <w:lang w:val="en-US" w:eastAsia="zh-CN"/>
              </w:rPr>
            </w:pPr>
            <w:r>
              <w:rPr>
                <w:rFonts w:hint="eastAsia" w:ascii="仿宋" w:hAnsi="仿宋" w:eastAsia="仿宋" w:cs="仿宋"/>
                <w:color w:val="auto"/>
                <w:sz w:val="24"/>
                <w:szCs w:val="24"/>
                <w:shd w:val="clear" w:color="auto" w:fill="FFFFFF"/>
                <w:lang w:val="en-US" w:eastAsia="zh-CN"/>
              </w:rPr>
              <w:t>小写:</w:t>
            </w:r>
          </w:p>
        </w:tc>
      </w:tr>
    </w:tbl>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（加盖单位公章）</w:t>
      </w:r>
    </w:p>
    <w:p>
      <w:pPr>
        <w:spacing w:line="280" w:lineRule="exact"/>
        <w:ind w:right="540" w:rightChars="257" w:firstLine="360" w:firstLineChars="1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法定代表人/被授权人签</w:t>
      </w:r>
      <w:r>
        <w:rPr>
          <w:rFonts w:hint="eastAsia" w:ascii="仿宋" w:hAnsi="仿宋" w:eastAsia="仿宋" w:cs="仿宋"/>
          <w:color w:val="auto"/>
          <w:sz w:val="24"/>
          <w:szCs w:val="24"/>
          <w:lang w:eastAsia="zh-CN"/>
        </w:rPr>
        <w:t>字或盖</w:t>
      </w:r>
      <w:r>
        <w:rPr>
          <w:rFonts w:hint="eastAsia" w:ascii="仿宋" w:hAnsi="仿宋" w:eastAsia="仿宋" w:cs="仿宋"/>
          <w:color w:val="auto"/>
          <w:sz w:val="24"/>
          <w:szCs w:val="24"/>
        </w:rPr>
        <w:t>章：</w:t>
      </w:r>
    </w:p>
    <w:p>
      <w:pPr>
        <w:spacing w:line="280" w:lineRule="exact"/>
        <w:ind w:right="540" w:rightChars="257" w:firstLine="4440" w:firstLineChars="1850"/>
        <w:jc w:val="left"/>
        <w:rPr>
          <w:rFonts w:hint="eastAsia" w:ascii="仿宋" w:hAnsi="仿宋" w:eastAsia="仿宋" w:cs="仿宋"/>
          <w:color w:val="auto"/>
          <w:sz w:val="24"/>
          <w:szCs w:val="24"/>
        </w:rPr>
      </w:pPr>
    </w:p>
    <w:p>
      <w:pPr>
        <w:spacing w:line="280" w:lineRule="exact"/>
        <w:ind w:right="540" w:rightChars="257"/>
        <w:jc w:val="left"/>
        <w:rPr>
          <w:rFonts w:hint="eastAsia" w:ascii="仿宋" w:hAnsi="仿宋" w:eastAsia="仿宋" w:cs="仿宋"/>
          <w:color w:val="auto"/>
          <w:sz w:val="24"/>
          <w:szCs w:val="24"/>
        </w:rPr>
      </w:pPr>
    </w:p>
    <w:p>
      <w:pPr>
        <w:spacing w:line="280" w:lineRule="exact"/>
        <w:ind w:right="540" w:rightChars="257" w:firstLine="4440" w:firstLineChars="1850"/>
        <w:rPr>
          <w:rFonts w:hint="eastAsia" w:ascii="仿宋" w:hAnsi="仿宋" w:eastAsia="仿宋" w:cs="仿宋"/>
          <w:b/>
          <w:bCs/>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Lines/>
        <w:pageBreakBefore/>
        <w:jc w:val="center"/>
        <w:outlineLvl w:val="1"/>
        <w:rPr>
          <w:rFonts w:hint="eastAsia" w:ascii="仿宋" w:hAnsi="仿宋" w:eastAsia="仿宋" w:cs="仿宋"/>
          <w:b/>
          <w:bCs/>
          <w:color w:val="auto"/>
          <w:sz w:val="32"/>
          <w:szCs w:val="32"/>
        </w:rPr>
        <w:sectPr>
          <w:pgSz w:w="11906" w:h="16838"/>
          <w:pgMar w:top="1417" w:right="1417" w:bottom="1417" w:left="1701" w:header="851" w:footer="992" w:gutter="0"/>
          <w:pgNumType w:fmt="decimal"/>
          <w:cols w:space="0" w:num="1"/>
          <w:docGrid w:type="lines" w:linePitch="312" w:charSpace="0"/>
        </w:sectPr>
      </w:pPr>
    </w:p>
    <w:p>
      <w:pPr>
        <w:keepLines/>
        <w:pageBreakBefore/>
        <w:jc w:val="center"/>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rPr>
        <w:t>三、法定代表人身份证明</w:t>
      </w:r>
      <w:bookmarkEnd w:id="197"/>
      <w:bookmarkEnd w:id="198"/>
      <w:bookmarkEnd w:id="199"/>
      <w:bookmarkEnd w:id="200"/>
      <w:bookmarkEnd w:id="201"/>
      <w:bookmarkEnd w:id="202"/>
      <w:bookmarkEnd w:id="203"/>
      <w:bookmarkEnd w:id="204"/>
    </w:p>
    <w:p>
      <w:pPr>
        <w:spacing w:line="360" w:lineRule="auto"/>
        <w:ind w:firstLine="420" w:firstLineChars="200"/>
        <w:rPr>
          <w:rFonts w:hint="eastAsia" w:ascii="仿宋" w:hAnsi="仿宋" w:eastAsia="仿宋" w:cs="仿宋"/>
          <w:color w:val="auto"/>
        </w:rPr>
      </w:pP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成立时间：年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p>
    <w:p>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系（投标人名称）的法定代表人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w:t>
      </w:r>
    </w:p>
    <w:p>
      <w:pPr>
        <w:spacing w:line="480" w:lineRule="auto"/>
        <w:ind w:firstLine="960" w:firstLineChars="400"/>
        <w:rPr>
          <w:rFonts w:hint="eastAsia" w:ascii="仿宋" w:hAnsi="仿宋" w:eastAsia="仿宋" w:cs="仿宋"/>
          <w:color w:val="auto"/>
          <w:sz w:val="24"/>
          <w:szCs w:val="24"/>
        </w:rPr>
      </w:pPr>
    </w:p>
    <w:p>
      <w:pPr>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0" w:firstLineChars="2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（盖章）</w:t>
      </w:r>
    </w:p>
    <w:p>
      <w:pPr>
        <w:spacing w:line="360" w:lineRule="auto"/>
        <w:ind w:firstLine="5160" w:firstLineChars="2150"/>
        <w:rPr>
          <w:rFonts w:hint="eastAsia" w:ascii="仿宋" w:hAnsi="仿宋" w:eastAsia="仿宋" w:cs="仿宋"/>
          <w:color w:val="auto"/>
          <w:sz w:val="24"/>
          <w:szCs w:val="24"/>
          <w:u w:val="single"/>
        </w:rPr>
      </w:pPr>
    </w:p>
    <w:p>
      <w:pPr>
        <w:spacing w:line="360" w:lineRule="auto"/>
        <w:ind w:firstLine="5040" w:firstLineChars="210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highlight w:val="none"/>
        </w:rPr>
      </w:pPr>
    </w:p>
    <w:p>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pPr>
        <w:rPr>
          <w:rFonts w:hint="eastAsia" w:ascii="仿宋" w:hAnsi="仿宋" w:eastAsia="仿宋" w:cs="仿宋"/>
          <w:color w:val="auto"/>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hint="eastAsia" w:ascii="仿宋" w:hAnsi="仿宋" w:eastAsia="仿宋" w:cs="仿宋"/>
          <w:b/>
          <w:bCs/>
          <w:color w:val="auto"/>
          <w:sz w:val="32"/>
          <w:szCs w:val="32"/>
        </w:rPr>
      </w:pPr>
      <w:bookmarkStart w:id="205" w:name="_Toc421778389"/>
      <w:bookmarkStart w:id="206" w:name="_Toc9626"/>
      <w:bookmarkStart w:id="207" w:name="_Toc13749"/>
      <w:bookmarkStart w:id="208" w:name="_Toc425240484"/>
      <w:bookmarkStart w:id="209" w:name="_Toc420591670"/>
      <w:bookmarkStart w:id="210" w:name="_Toc10384"/>
      <w:bookmarkStart w:id="211" w:name="_Toc13782"/>
      <w:bookmarkStart w:id="212" w:name="_Toc6444"/>
      <w:r>
        <w:rPr>
          <w:rFonts w:hint="eastAsia" w:ascii="仿宋" w:hAnsi="仿宋" w:eastAsia="仿宋" w:cs="仿宋"/>
          <w:b/>
          <w:bCs/>
          <w:color w:val="auto"/>
          <w:sz w:val="32"/>
          <w:szCs w:val="32"/>
        </w:rPr>
        <w:t>四、法人授权委托书</w:t>
      </w:r>
      <w:bookmarkEnd w:id="205"/>
      <w:bookmarkEnd w:id="206"/>
      <w:bookmarkEnd w:id="207"/>
      <w:bookmarkEnd w:id="208"/>
      <w:bookmarkEnd w:id="209"/>
      <w:bookmarkEnd w:id="210"/>
      <w:bookmarkEnd w:id="211"/>
      <w:bookmarkEnd w:id="212"/>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本人（姓名）系（投标人名称）的法定代表人，现委托（姓名）为我方代理人。代理人根据授权，以我方名义签署、澄清、说明、补正、递交、撤回、修改</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施工投标文件、签订合同和处理有关事宜，其法律后果由我方承担。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pPr>
        <w:spacing w:line="360" w:lineRule="auto"/>
        <w:ind w:firstLine="480" w:firstLineChars="200"/>
        <w:rPr>
          <w:rFonts w:hint="eastAsia" w:ascii="仿宋" w:hAnsi="仿宋" w:eastAsia="仿宋" w:cs="仿宋"/>
          <w:color w:val="auto"/>
          <w:sz w:val="24"/>
          <w:szCs w:val="24"/>
          <w:highlight w:val="none"/>
        </w:rPr>
      </w:pPr>
      <w:bookmarkStart w:id="213" w:name="_Toc214090947"/>
      <w:bookmarkStart w:id="214" w:name="_Toc201637979"/>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签字生效，特此证明！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none"/>
        </w:rPr>
        <w:t>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highlight w:val="none"/>
        </w:rPr>
        <w:t>签</w:t>
      </w:r>
      <w:r>
        <w:rPr>
          <w:rFonts w:hint="eastAsia" w:ascii="仿宋" w:hAnsi="仿宋" w:eastAsia="仿宋" w:cs="仿宋"/>
          <w:color w:val="auto"/>
          <w:sz w:val="24"/>
          <w:szCs w:val="24"/>
          <w:highlight w:val="none"/>
          <w:lang w:eastAsia="zh-CN"/>
        </w:rPr>
        <w:t>字或盖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被授权人签字</w:t>
      </w:r>
      <w:r>
        <w:rPr>
          <w:rFonts w:hint="eastAsia" w:ascii="仿宋" w:hAnsi="仿宋" w:eastAsia="仿宋" w:cs="仿宋"/>
          <w:color w:val="auto"/>
          <w:sz w:val="24"/>
          <w:szCs w:val="24"/>
        </w:rPr>
        <w:t>：</w:t>
      </w:r>
      <w:bookmarkEnd w:id="213"/>
      <w:bookmarkEnd w:id="214"/>
    </w:p>
    <w:p>
      <w:pPr>
        <w:spacing w:line="360" w:lineRule="auto"/>
        <w:ind w:firstLine="480" w:firstLineChars="200"/>
        <w:rPr>
          <w:rFonts w:hint="eastAsia" w:ascii="仿宋" w:hAnsi="仿宋" w:eastAsia="仿宋" w:cs="仿宋"/>
          <w:color w:val="auto"/>
          <w:sz w:val="24"/>
          <w:szCs w:val="24"/>
        </w:rPr>
      </w:pPr>
      <w:bookmarkStart w:id="215" w:name="_Toc201637980"/>
      <w:bookmarkStart w:id="216" w:name="_Toc214090948"/>
      <w:r>
        <w:rPr>
          <w:rFonts w:hint="eastAsia" w:ascii="仿宋" w:hAnsi="仿宋" w:eastAsia="仿宋" w:cs="仿宋"/>
          <w:color w:val="auto"/>
          <w:sz w:val="24"/>
          <w:szCs w:val="24"/>
        </w:rPr>
        <w:t>职务：</w:t>
      </w:r>
      <w:bookmarkEnd w:id="215"/>
      <w:bookmarkEnd w:id="216"/>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pPr>
        <w:spacing w:line="360" w:lineRule="auto"/>
        <w:rPr>
          <w:rFonts w:hint="eastAsia" w:ascii="仿宋" w:hAnsi="仿宋" w:eastAsia="仿宋" w:cs="仿宋"/>
          <w:color w:val="auto"/>
          <w:sz w:val="24"/>
          <w:szCs w:val="24"/>
        </w:rPr>
      </w:pPr>
    </w:p>
    <w:p>
      <w:pPr>
        <w:spacing w:line="360" w:lineRule="auto"/>
        <w:ind w:firstLine="240" w:firstLineChars="100"/>
        <w:rPr>
          <w:rFonts w:hint="eastAsia" w:ascii="仿宋" w:hAnsi="仿宋" w:eastAsia="仿宋" w:cs="仿宋"/>
          <w:color w:val="auto"/>
          <w:sz w:val="24"/>
          <w:szCs w:val="24"/>
        </w:rPr>
      </w:pPr>
      <w:bookmarkStart w:id="217" w:name="_Toc214090950"/>
      <w:bookmarkStart w:id="218" w:name="_Toc201637982"/>
      <w:r>
        <w:rPr>
          <w:rFonts w:hint="eastAsia" w:ascii="仿宋" w:hAnsi="仿宋" w:eastAsia="仿宋" w:cs="仿宋"/>
          <w:color w:val="auto"/>
          <w:sz w:val="24"/>
          <w:szCs w:val="24"/>
        </w:rPr>
        <w:t>附：法定代表人、被授权人身份证复印件。（</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w:t>
      </w:r>
      <w:bookmarkEnd w:id="217"/>
      <w:bookmarkEnd w:id="218"/>
    </w:p>
    <w:p>
      <w:pPr>
        <w:spacing w:line="360" w:lineRule="auto"/>
        <w:rPr>
          <w:rFonts w:hint="eastAsia" w:ascii="仿宋" w:hAnsi="仿宋" w:eastAsia="仿宋" w:cs="仿宋"/>
          <w:color w:val="auto"/>
          <w:sz w:val="24"/>
          <w:szCs w:val="24"/>
        </w:rPr>
      </w:pPr>
    </w:p>
    <w:p>
      <w:pPr>
        <w:spacing w:line="480" w:lineRule="auto"/>
        <w:ind w:left="424" w:leftChars="202" w:right="540" w:rightChars="257"/>
        <w:jc w:val="left"/>
        <w:rPr>
          <w:rFonts w:hint="eastAsia" w:ascii="仿宋" w:hAnsi="仿宋" w:eastAsia="仿宋" w:cs="仿宋"/>
          <w:color w:val="auto"/>
          <w:sz w:val="24"/>
          <w:szCs w:val="24"/>
          <w:highlight w:val="none"/>
        </w:rPr>
      </w:pPr>
      <w:bookmarkStart w:id="219" w:name="_Toc425240485"/>
      <w:bookmarkStart w:id="220" w:name="_Toc421778390"/>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right="540" w:rightChars="257" w:firstLine="3600" w:firstLineChars="15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（加盖单位公章）      </w:t>
      </w:r>
    </w:p>
    <w:p>
      <w:pPr>
        <w:spacing w:line="480" w:lineRule="auto"/>
        <w:ind w:right="540" w:rightChars="257" w:firstLine="6000" w:firstLineChars="25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eastAsia="zh-CN"/>
        </w:rPr>
        <w:t>注：法定代表人参加时无需提供。</w:t>
      </w:r>
      <w:r>
        <w:rPr>
          <w:rFonts w:hint="eastAsia" w:ascii="仿宋" w:hAnsi="仿宋" w:eastAsia="仿宋" w:cs="仿宋"/>
          <w:color w:val="auto"/>
          <w:sz w:val="24"/>
          <w:szCs w:val="24"/>
        </w:rPr>
        <w:br w:type="page"/>
      </w:r>
      <w:bookmarkStart w:id="221" w:name="_Toc3574"/>
      <w:bookmarkStart w:id="222" w:name="_Toc5947"/>
    </w:p>
    <w:p>
      <w:pPr>
        <w:keepLines/>
        <w:pageBreakBefore/>
        <w:jc w:val="center"/>
        <w:outlineLvl w:val="1"/>
        <w:rPr>
          <w:rFonts w:hint="eastAsia" w:ascii="仿宋" w:hAnsi="仿宋" w:eastAsia="仿宋" w:cs="仿宋"/>
          <w:b/>
          <w:bCs/>
          <w:color w:val="auto"/>
          <w:sz w:val="32"/>
          <w:szCs w:val="32"/>
        </w:rPr>
      </w:pPr>
      <w:bookmarkStart w:id="223" w:name="_Toc30225"/>
      <w:bookmarkStart w:id="224" w:name="_Toc21095"/>
      <w:bookmarkStart w:id="225" w:name="_Toc6747"/>
      <w:bookmarkStart w:id="226" w:name="_Toc15602"/>
      <w:bookmarkStart w:id="227" w:name="_Toc15646"/>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、商务响应与说明</w:t>
      </w:r>
      <w:bookmarkEnd w:id="223"/>
      <w:bookmarkEnd w:id="224"/>
      <w:bookmarkEnd w:id="225"/>
      <w:bookmarkEnd w:id="226"/>
      <w:bookmarkEnd w:id="227"/>
    </w:p>
    <w:p>
      <w:pPr>
        <w:spacing w:after="120"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spacing w:after="120"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按照招标文件的商务要求编制商务响应与说明，格式不限。但</w:t>
      </w:r>
      <w:r>
        <w:rPr>
          <w:rFonts w:hint="eastAsia" w:ascii="仿宋" w:hAnsi="仿宋" w:eastAsia="仿宋" w:cs="仿宋"/>
          <w:b/>
          <w:bCs/>
          <w:color w:val="auto"/>
          <w:sz w:val="24"/>
          <w:szCs w:val="24"/>
        </w:rPr>
        <w:t>内容至少应包括如下：</w:t>
      </w:r>
    </w:p>
    <w:p>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投标报价所包含的全部内容；</w:t>
      </w:r>
    </w:p>
    <w:p>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对投标工期、地点、验收、服务承诺、结算方式、合同条款等投标响应；</w:t>
      </w:r>
    </w:p>
    <w:p>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招标文件中要求的其它内容。</w:t>
      </w: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p>
    <w:p>
      <w:pPr>
        <w:keepLines/>
        <w:pageBreakBefore/>
        <w:jc w:val="center"/>
        <w:outlineLvl w:val="1"/>
        <w:rPr>
          <w:rFonts w:hint="eastAsia" w:ascii="仿宋" w:hAnsi="仿宋" w:eastAsia="仿宋" w:cs="仿宋"/>
          <w:b/>
          <w:bCs/>
          <w:color w:val="auto"/>
          <w:sz w:val="32"/>
          <w:szCs w:val="32"/>
          <w:lang w:eastAsia="zh-CN"/>
        </w:rPr>
      </w:pPr>
      <w:bookmarkStart w:id="228" w:name="_Toc25310"/>
      <w:bookmarkStart w:id="229" w:name="_Toc15320"/>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、承诺书</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 陕</w:t>
      </w:r>
      <w:r>
        <w:rPr>
          <w:rFonts w:hint="eastAsia" w:ascii="仿宋" w:hAnsi="仿宋" w:eastAsia="仿宋" w:cs="仿宋"/>
          <w:b/>
          <w:bCs/>
          <w:color w:val="auto"/>
          <w:sz w:val="30"/>
          <w:szCs w:val="30"/>
        </w:rPr>
        <w:t>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为响应党中央、国务院关于治理政府采购领域商业贿赂行为的号召，我公司在此庄严承诺：</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在参与政府采购活动中遵纪守法、诚信经营、公平竞标。</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不向政府采购人、采购代理机构和政府采购评审专家进行任何形式的商业贿赂以谋取交易机会。</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不向政府采购代理机构和采购人提供虚假资质文件或采用虚假应标方式参与政府采购市场竞争并谋取中标、成交。</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不采取“围标、陪标”等商业欺诈手段获得政府采购定单。</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不采取不正当手段诋毁、排挤其他供应商。</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不在提供商品和服务时“偷梁换柱、以次充好”损害采购人的合法权益。</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不与采购人、采购代理机构政府采购评审专家或其它供应商恶意串通，进行质疑和投诉，维护政府采购市场秩序。</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尊重和接受政府采购监督管理部门的监督和政府采购代理机构招标采购要求，承担因违约行为给采购人造成的损失。</w:t>
      </w:r>
    </w:p>
    <w:p>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不发生其他有悖于政府采购公开、公平、公正和诚信原则的行为。</w:t>
      </w:r>
      <w:r>
        <w:rPr>
          <w:rFonts w:hint="eastAsia" w:ascii="仿宋" w:hAnsi="仿宋" w:eastAsia="仿宋" w:cs="仿宋"/>
          <w:color w:val="auto"/>
        </w:rPr>
        <w:br w:type="textWrapping"/>
      </w:r>
    </w:p>
    <w:p>
      <w:pPr>
        <w:widowControl/>
        <w:spacing w:line="408" w:lineRule="auto"/>
        <w:ind w:left="239" w:leftChars="114"/>
        <w:jc w:val="left"/>
        <w:rPr>
          <w:rFonts w:hint="eastAsia" w:ascii="仿宋" w:hAnsi="仿宋" w:eastAsia="仿宋" w:cs="仿宋"/>
          <w:color w:val="auto"/>
        </w:rPr>
      </w:pPr>
      <w:r>
        <w:rPr>
          <w:rFonts w:hint="eastAsia" w:ascii="仿宋" w:hAnsi="仿宋" w:eastAsia="仿宋" w:cs="仿宋"/>
          <w:color w:val="auto"/>
        </w:rPr>
        <w:t>承诺单位：</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（盖章）</w:t>
      </w:r>
      <w:r>
        <w:rPr>
          <w:rFonts w:hint="eastAsia" w:ascii="仿宋" w:hAnsi="仿宋" w:eastAsia="仿宋" w:cs="仿宋"/>
          <w:color w:val="auto"/>
        </w:rPr>
        <w:br w:type="textWrapping"/>
      </w:r>
      <w:r>
        <w:rPr>
          <w:rFonts w:hint="eastAsia" w:ascii="仿宋" w:hAnsi="仿宋" w:eastAsia="仿宋" w:cs="仿宋"/>
          <w:color w:val="auto"/>
          <w:lang w:eastAsia="zh-CN"/>
        </w:rPr>
        <w:t>被授权人</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w:t>
      </w:r>
      <w:r>
        <w:rPr>
          <w:rFonts w:hint="eastAsia" w:ascii="仿宋" w:hAnsi="仿宋" w:eastAsia="仿宋" w:cs="仿宋"/>
          <w:color w:val="auto"/>
          <w:szCs w:val="24"/>
        </w:rPr>
        <w:t>签</w:t>
      </w:r>
      <w:r>
        <w:rPr>
          <w:rFonts w:hint="eastAsia" w:ascii="仿宋" w:hAnsi="仿宋" w:eastAsia="仿宋" w:cs="仿宋"/>
          <w:color w:val="auto"/>
          <w:szCs w:val="24"/>
          <w:lang w:eastAsia="zh-CN"/>
        </w:rPr>
        <w:t>字</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rPr>
        <w:t>地  址：</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  </w:t>
      </w:r>
    </w:p>
    <w:p>
      <w:pPr>
        <w:widowControl/>
        <w:spacing w:line="408" w:lineRule="auto"/>
        <w:ind w:left="239" w:leftChars="114"/>
        <w:jc w:val="left"/>
        <w:rPr>
          <w:rFonts w:hint="eastAsia" w:ascii="仿宋" w:hAnsi="仿宋" w:eastAsia="仿宋" w:cs="仿宋"/>
          <w:color w:val="auto"/>
        </w:rPr>
      </w:pPr>
      <w:r>
        <w:rPr>
          <w:rFonts w:hint="eastAsia" w:ascii="仿宋" w:hAnsi="仿宋" w:eastAsia="仿宋" w:cs="仿宋"/>
          <w:color w:val="auto"/>
        </w:rPr>
        <w:t>邮  编：</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br w:type="textWrapping"/>
      </w:r>
      <w:r>
        <w:rPr>
          <w:rFonts w:hint="eastAsia" w:ascii="仿宋" w:hAnsi="仿宋" w:eastAsia="仿宋" w:cs="仿宋"/>
          <w:color w:val="auto"/>
        </w:rPr>
        <w:t>电  话：</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年  月  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zh-CN" w:eastAsia="zh-CN"/>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lang w:val="zh-CN" w:eastAsia="zh-CN"/>
        </w:rPr>
        <w:t>投标人企业关系关联承诺书</w:t>
      </w:r>
    </w:p>
    <w:p>
      <w:pPr>
        <w:pStyle w:val="2"/>
        <w:rPr>
          <w:rFonts w:hint="eastAsia" w:ascii="仿宋" w:hAnsi="仿宋" w:eastAsia="仿宋" w:cs="仿宋"/>
          <w:color w:val="auto"/>
          <w:lang w:val="zh-CN" w:eastAsia="zh-CN"/>
        </w:rPr>
      </w:pPr>
    </w:p>
    <w:bookmarkEnd w:id="228"/>
    <w:bookmarkEnd w:id="229"/>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bookmarkStart w:id="230" w:name="_Toc9252"/>
      <w:bookmarkStart w:id="231" w:name="_Toc15279"/>
      <w:r>
        <w:rPr>
          <w:rFonts w:hint="eastAsia" w:ascii="仿宋" w:hAnsi="仿宋" w:eastAsia="仿宋" w:cs="仿宋"/>
          <w:b w:val="0"/>
          <w:bCs w:val="0"/>
          <w:color w:val="auto"/>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pPr>
        <w:pStyle w:val="2"/>
        <w:rPr>
          <w:rFonts w:hint="eastAsia" w:ascii="仿宋" w:hAnsi="仿宋" w:eastAsia="仿宋" w:cs="仿宋"/>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pStyle w:val="2"/>
        <w:rPr>
          <w:rFonts w:hint="eastAsia" w:ascii="仿宋" w:hAnsi="仿宋" w:eastAsia="仿宋" w:cs="仿宋"/>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numPr>
          <w:ilvl w:val="0"/>
          <w:numId w:val="0"/>
        </w:numPr>
        <w:jc w:val="center"/>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招标文件要求的其他文件或承诺</w:t>
      </w:r>
      <w:bookmarkEnd w:id="230"/>
      <w:bookmarkEnd w:id="231"/>
    </w:p>
    <w:p>
      <w:pPr>
        <w:pStyle w:val="2"/>
        <w:numPr>
          <w:ilvl w:val="0"/>
          <w:numId w:val="0"/>
        </w:numPr>
        <w:jc w:val="both"/>
        <w:rPr>
          <w:rFonts w:hint="eastAsia" w:ascii="仿宋" w:hAnsi="仿宋" w:eastAsia="仿宋" w:cs="仿宋"/>
          <w:color w:val="auto"/>
        </w:rPr>
      </w:pPr>
    </w:p>
    <w:p>
      <w:pPr>
        <w:ind w:firstLine="560" w:firstLineChars="20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基本存款账户开户许可证（基本账户信息表）。</w:t>
      </w:r>
    </w:p>
    <w:p>
      <w:pPr>
        <w:ind w:firstLine="560" w:firstLineChars="20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其他文件。</w:t>
      </w:r>
    </w:p>
    <w:p>
      <w:pPr>
        <w:rPr>
          <w:rFonts w:hint="eastAsia" w:ascii="仿宋" w:hAnsi="仿宋" w:eastAsia="仿宋" w:cs="仿宋"/>
          <w:color w:val="auto"/>
          <w:lang w:val="en-US" w:eastAsia="zh-CN"/>
        </w:rPr>
      </w:pPr>
    </w:p>
    <w:p>
      <w:pPr>
        <w:keepLines/>
        <w:pageBreakBefore/>
        <w:jc w:val="center"/>
        <w:outlineLvl w:val="1"/>
        <w:rPr>
          <w:rFonts w:hint="eastAsia" w:ascii="仿宋" w:hAnsi="仿宋" w:eastAsia="仿宋" w:cs="仿宋"/>
          <w:b/>
          <w:bCs/>
          <w:color w:val="auto"/>
          <w:sz w:val="32"/>
          <w:szCs w:val="32"/>
          <w:highlight w:val="none"/>
        </w:rPr>
      </w:pPr>
      <w:bookmarkStart w:id="232" w:name="_Toc16751"/>
      <w:bookmarkStart w:id="233" w:name="_Toc18840"/>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、其他可以证明</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实力的文件</w:t>
      </w:r>
      <w:bookmarkEnd w:id="232"/>
      <w:bookmarkEnd w:id="233"/>
      <w:r>
        <w:rPr>
          <w:rFonts w:hint="eastAsia" w:ascii="仿宋" w:hAnsi="仿宋" w:eastAsia="仿宋" w:cs="仿宋"/>
          <w:b/>
          <w:bCs/>
          <w:color w:val="auto"/>
          <w:sz w:val="32"/>
          <w:szCs w:val="32"/>
          <w:highlight w:val="none"/>
        </w:rPr>
        <w:t xml:space="preserve"> </w:t>
      </w:r>
    </w:p>
    <w:p>
      <w:pPr>
        <w:spacing w:line="408" w:lineRule="auto"/>
        <w:ind w:left="525" w:leftChars="250"/>
        <w:rPr>
          <w:rFonts w:hint="eastAsia" w:ascii="仿宋" w:hAnsi="仿宋" w:eastAsia="仿宋" w:cs="仿宋"/>
          <w:color w:val="auto"/>
          <w:sz w:val="24"/>
          <w:szCs w:val="24"/>
        </w:rPr>
      </w:pPr>
    </w:p>
    <w:p>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keepLines/>
        <w:pageBreakBefore/>
        <w:jc w:val="center"/>
        <w:outlineLvl w:val="1"/>
        <w:rPr>
          <w:rFonts w:hint="eastAsia" w:ascii="仿宋" w:hAnsi="仿宋" w:eastAsia="仿宋" w:cs="仿宋"/>
          <w:b/>
          <w:bCs/>
          <w:color w:val="auto"/>
          <w:sz w:val="32"/>
          <w:szCs w:val="32"/>
        </w:rPr>
      </w:pPr>
      <w:bookmarkStart w:id="234" w:name="_Toc7207"/>
      <w:bookmarkStart w:id="235" w:name="_Toc13506"/>
      <w:r>
        <w:rPr>
          <w:rFonts w:hint="eastAsia" w:ascii="仿宋" w:hAnsi="仿宋" w:eastAsia="仿宋" w:cs="仿宋"/>
          <w:b/>
          <w:bCs/>
          <w:color w:val="auto"/>
          <w:sz w:val="32"/>
          <w:szCs w:val="32"/>
        </w:rPr>
        <w:t>第二部分</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技术</w:t>
      </w:r>
      <w:bookmarkEnd w:id="221"/>
      <w:bookmarkEnd w:id="222"/>
      <w:r>
        <w:rPr>
          <w:rFonts w:hint="eastAsia" w:ascii="仿宋" w:hAnsi="仿宋" w:eastAsia="仿宋" w:cs="仿宋"/>
          <w:b/>
          <w:bCs/>
          <w:color w:val="auto"/>
          <w:sz w:val="32"/>
          <w:szCs w:val="32"/>
        </w:rPr>
        <w:t>标</w:t>
      </w:r>
      <w:bookmarkEnd w:id="234"/>
      <w:bookmarkEnd w:id="235"/>
    </w:p>
    <w:p>
      <w:pPr>
        <w:spacing w:after="12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pPr>
        <w:spacing w:after="12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投标人编制的施工组织设计包含以下内容：</w:t>
      </w:r>
    </w:p>
    <w:p>
      <w:pPr>
        <w:spacing w:line="5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）评标办法技术标要求的内容</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合理化建议</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投标人认为有必要说明的问题</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施工组织设计除采用文字表述外可附下列图表，图表及格式要求附后。</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附表一拟投入本工程的主要施工设备表</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附表二拟配备本工程的试验和检测仪器设备表</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附表三劳动力计划表</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附表四计划开、竣工日期和施工进度网络图</w:t>
      </w:r>
    </w:p>
    <w:p>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附表五临时用地表</w:t>
      </w:r>
    </w:p>
    <w:p>
      <w:pPr>
        <w:spacing w:line="580" w:lineRule="exact"/>
        <w:ind w:firstLine="480" w:firstLineChars="200"/>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spacing w:line="580" w:lineRule="exact"/>
        <w:ind w:firstLine="480" w:firstLineChars="200"/>
        <w:rPr>
          <w:rFonts w:hint="eastAsia" w:ascii="仿宋" w:hAnsi="仿宋" w:eastAsia="仿宋" w:cs="仿宋"/>
          <w:color w:val="auto"/>
          <w:sz w:val="24"/>
          <w:szCs w:val="24"/>
        </w:rPr>
      </w:pPr>
    </w:p>
    <w:p>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附表一：拟投入本工程的主要施工设备表</w:t>
      </w:r>
    </w:p>
    <w:tbl>
      <w:tblPr>
        <w:tblStyle w:val="34"/>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vAlign w:val="center"/>
          </w:tcPr>
          <w:p>
            <w:pPr>
              <w:jc w:val="center"/>
              <w:rPr>
                <w:rFonts w:hint="eastAsia" w:ascii="仿宋" w:hAnsi="仿宋" w:eastAsia="仿宋" w:cs="仿宋"/>
                <w:color w:val="auto"/>
              </w:rPr>
            </w:pPr>
            <w:r>
              <w:rPr>
                <w:rFonts w:hint="eastAsia" w:ascii="仿宋" w:hAnsi="仿宋" w:eastAsia="仿宋" w:cs="仿宋"/>
                <w:color w:val="auto"/>
              </w:rPr>
              <w:t>序号</w:t>
            </w:r>
          </w:p>
        </w:tc>
        <w:tc>
          <w:tcPr>
            <w:tcW w:w="1117" w:type="dxa"/>
            <w:vAlign w:val="center"/>
          </w:tcPr>
          <w:p>
            <w:pPr>
              <w:jc w:val="center"/>
              <w:rPr>
                <w:rFonts w:hint="eastAsia" w:ascii="仿宋" w:hAnsi="仿宋" w:eastAsia="仿宋" w:cs="仿宋"/>
                <w:color w:val="auto"/>
              </w:rPr>
            </w:pPr>
            <w:r>
              <w:rPr>
                <w:rFonts w:hint="eastAsia" w:ascii="仿宋" w:hAnsi="仿宋" w:eastAsia="仿宋" w:cs="仿宋"/>
                <w:color w:val="auto"/>
              </w:rPr>
              <w:t>设备</w:t>
            </w:r>
          </w:p>
          <w:p>
            <w:pPr>
              <w:jc w:val="center"/>
              <w:rPr>
                <w:rFonts w:hint="eastAsia" w:ascii="仿宋" w:hAnsi="仿宋" w:eastAsia="仿宋" w:cs="仿宋"/>
                <w:color w:val="auto"/>
              </w:rPr>
            </w:pPr>
            <w:r>
              <w:rPr>
                <w:rFonts w:hint="eastAsia" w:ascii="仿宋" w:hAnsi="仿宋" w:eastAsia="仿宋" w:cs="仿宋"/>
                <w:color w:val="auto"/>
              </w:rPr>
              <w:t>名称</w:t>
            </w:r>
          </w:p>
        </w:tc>
        <w:tc>
          <w:tcPr>
            <w:tcW w:w="992" w:type="dxa"/>
            <w:vAlign w:val="center"/>
          </w:tcPr>
          <w:p>
            <w:pPr>
              <w:jc w:val="center"/>
              <w:rPr>
                <w:rFonts w:hint="eastAsia" w:ascii="仿宋" w:hAnsi="仿宋" w:eastAsia="仿宋" w:cs="仿宋"/>
                <w:color w:val="auto"/>
              </w:rPr>
            </w:pPr>
            <w:r>
              <w:rPr>
                <w:rFonts w:hint="eastAsia" w:ascii="仿宋" w:hAnsi="仿宋" w:eastAsia="仿宋" w:cs="仿宋"/>
                <w:color w:val="auto"/>
              </w:rPr>
              <w:t>型号</w:t>
            </w:r>
          </w:p>
          <w:p>
            <w:pPr>
              <w:jc w:val="center"/>
              <w:rPr>
                <w:rFonts w:hint="eastAsia" w:ascii="仿宋" w:hAnsi="仿宋" w:eastAsia="仿宋" w:cs="仿宋"/>
                <w:color w:val="auto"/>
              </w:rPr>
            </w:pPr>
            <w:r>
              <w:rPr>
                <w:rFonts w:hint="eastAsia" w:ascii="仿宋" w:hAnsi="仿宋" w:eastAsia="仿宋" w:cs="仿宋"/>
                <w:color w:val="auto"/>
              </w:rPr>
              <w:t>规格</w:t>
            </w:r>
          </w:p>
        </w:tc>
        <w:tc>
          <w:tcPr>
            <w:tcW w:w="709" w:type="dxa"/>
            <w:vAlign w:val="center"/>
          </w:tcPr>
          <w:p>
            <w:pPr>
              <w:jc w:val="center"/>
              <w:rPr>
                <w:rFonts w:hint="eastAsia" w:ascii="仿宋" w:hAnsi="仿宋" w:eastAsia="仿宋" w:cs="仿宋"/>
                <w:color w:val="auto"/>
              </w:rPr>
            </w:pPr>
            <w:r>
              <w:rPr>
                <w:rFonts w:hint="eastAsia" w:ascii="仿宋" w:hAnsi="仿宋" w:eastAsia="仿宋" w:cs="仿宋"/>
                <w:color w:val="auto"/>
              </w:rPr>
              <w:t>数量</w:t>
            </w:r>
          </w:p>
        </w:tc>
        <w:tc>
          <w:tcPr>
            <w:tcW w:w="1134" w:type="dxa"/>
            <w:vAlign w:val="center"/>
          </w:tcPr>
          <w:p>
            <w:pPr>
              <w:jc w:val="center"/>
              <w:rPr>
                <w:rFonts w:hint="eastAsia" w:ascii="仿宋" w:hAnsi="仿宋" w:eastAsia="仿宋" w:cs="仿宋"/>
                <w:color w:val="auto"/>
              </w:rPr>
            </w:pPr>
            <w:r>
              <w:rPr>
                <w:rFonts w:hint="eastAsia" w:ascii="仿宋" w:hAnsi="仿宋" w:eastAsia="仿宋" w:cs="仿宋"/>
                <w:color w:val="auto"/>
              </w:rPr>
              <w:t>国别</w:t>
            </w:r>
          </w:p>
          <w:p>
            <w:pPr>
              <w:jc w:val="center"/>
              <w:rPr>
                <w:rFonts w:hint="eastAsia" w:ascii="仿宋" w:hAnsi="仿宋" w:eastAsia="仿宋" w:cs="仿宋"/>
                <w:color w:val="auto"/>
              </w:rPr>
            </w:pPr>
            <w:r>
              <w:rPr>
                <w:rFonts w:hint="eastAsia" w:ascii="仿宋" w:hAnsi="仿宋" w:eastAsia="仿宋" w:cs="仿宋"/>
                <w:color w:val="auto"/>
              </w:rPr>
              <w:t>产地</w:t>
            </w:r>
          </w:p>
        </w:tc>
        <w:tc>
          <w:tcPr>
            <w:tcW w:w="1134" w:type="dxa"/>
            <w:vAlign w:val="center"/>
          </w:tcPr>
          <w:p>
            <w:pPr>
              <w:jc w:val="center"/>
              <w:rPr>
                <w:rFonts w:hint="eastAsia" w:ascii="仿宋" w:hAnsi="仿宋" w:eastAsia="仿宋" w:cs="仿宋"/>
                <w:color w:val="auto"/>
              </w:rPr>
            </w:pPr>
            <w:r>
              <w:rPr>
                <w:rFonts w:hint="eastAsia" w:ascii="仿宋" w:hAnsi="仿宋" w:eastAsia="仿宋" w:cs="仿宋"/>
                <w:color w:val="auto"/>
              </w:rPr>
              <w:t>额定功率</w:t>
            </w:r>
          </w:p>
          <w:p>
            <w:pPr>
              <w:jc w:val="center"/>
              <w:rPr>
                <w:rFonts w:hint="eastAsia" w:ascii="仿宋" w:hAnsi="仿宋" w:eastAsia="仿宋" w:cs="仿宋"/>
                <w:color w:val="auto"/>
              </w:rPr>
            </w:pPr>
            <w:r>
              <w:rPr>
                <w:rFonts w:hint="eastAsia" w:ascii="仿宋" w:hAnsi="仿宋" w:eastAsia="仿宋" w:cs="仿宋"/>
                <w:color w:val="auto"/>
              </w:rPr>
              <w:t>（KW）</w:t>
            </w:r>
          </w:p>
        </w:tc>
        <w:tc>
          <w:tcPr>
            <w:tcW w:w="1843" w:type="dxa"/>
            <w:vAlign w:val="center"/>
          </w:tcPr>
          <w:p>
            <w:pPr>
              <w:jc w:val="center"/>
              <w:rPr>
                <w:rFonts w:hint="eastAsia" w:ascii="仿宋" w:hAnsi="仿宋" w:eastAsia="仿宋" w:cs="仿宋"/>
                <w:color w:val="auto"/>
              </w:rPr>
            </w:pPr>
            <w:r>
              <w:rPr>
                <w:rFonts w:hint="eastAsia" w:ascii="仿宋" w:hAnsi="仿宋" w:eastAsia="仿宋" w:cs="仿宋"/>
                <w:color w:val="auto"/>
              </w:rPr>
              <w:t>用于施工部位</w:t>
            </w:r>
          </w:p>
        </w:tc>
        <w:tc>
          <w:tcPr>
            <w:tcW w:w="1701" w:type="dxa"/>
            <w:vAlign w:val="center"/>
          </w:tcPr>
          <w:p>
            <w:pPr>
              <w:jc w:val="center"/>
              <w:rPr>
                <w:rFonts w:hint="eastAsia" w:ascii="仿宋" w:hAnsi="仿宋" w:eastAsia="仿宋" w:cs="仿宋"/>
                <w:color w:val="auto"/>
              </w:rPr>
            </w:pPr>
            <w:r>
              <w:rPr>
                <w:rFonts w:hint="eastAsia" w:ascii="仿宋" w:hAnsi="仿宋" w:eastAsia="仿宋" w:cs="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color w:val="auto"/>
              </w:rPr>
            </w:pPr>
          </w:p>
        </w:tc>
        <w:tc>
          <w:tcPr>
            <w:tcW w:w="1117" w:type="dxa"/>
            <w:vAlign w:val="center"/>
          </w:tcPr>
          <w:p>
            <w:pPr>
              <w:jc w:val="center"/>
              <w:rPr>
                <w:rFonts w:hint="eastAsia" w:ascii="仿宋" w:hAnsi="仿宋" w:eastAsia="仿宋" w:cs="仿宋"/>
                <w:color w:val="auto"/>
              </w:rPr>
            </w:pPr>
          </w:p>
        </w:tc>
        <w:tc>
          <w:tcPr>
            <w:tcW w:w="992" w:type="dxa"/>
            <w:vAlign w:val="center"/>
          </w:tcPr>
          <w:p>
            <w:pPr>
              <w:jc w:val="center"/>
              <w:rPr>
                <w:rFonts w:hint="eastAsia" w:ascii="仿宋" w:hAnsi="仿宋" w:eastAsia="仿宋" w:cs="仿宋"/>
                <w:color w:val="auto"/>
              </w:rPr>
            </w:pPr>
          </w:p>
        </w:tc>
        <w:tc>
          <w:tcPr>
            <w:tcW w:w="709"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134" w:type="dxa"/>
            <w:vAlign w:val="center"/>
          </w:tcPr>
          <w:p>
            <w:pPr>
              <w:jc w:val="center"/>
              <w:rPr>
                <w:rFonts w:hint="eastAsia" w:ascii="仿宋" w:hAnsi="仿宋" w:eastAsia="仿宋" w:cs="仿宋"/>
                <w:color w:val="auto"/>
              </w:rPr>
            </w:pPr>
          </w:p>
        </w:tc>
        <w:tc>
          <w:tcPr>
            <w:tcW w:w="1843" w:type="dxa"/>
            <w:vAlign w:val="center"/>
          </w:tcPr>
          <w:p>
            <w:pPr>
              <w:jc w:val="center"/>
              <w:rPr>
                <w:rFonts w:hint="eastAsia" w:ascii="仿宋" w:hAnsi="仿宋" w:eastAsia="仿宋" w:cs="仿宋"/>
                <w:color w:val="auto"/>
              </w:rPr>
            </w:pPr>
          </w:p>
        </w:tc>
        <w:tc>
          <w:tcPr>
            <w:tcW w:w="1701" w:type="dxa"/>
            <w:vAlign w:val="center"/>
          </w:tcPr>
          <w:p>
            <w:pPr>
              <w:jc w:val="center"/>
              <w:rPr>
                <w:rFonts w:hint="eastAsia" w:ascii="仿宋" w:hAnsi="仿宋" w:eastAsia="仿宋" w:cs="仿宋"/>
                <w:color w:val="auto"/>
              </w:rPr>
            </w:pPr>
          </w:p>
        </w:tc>
      </w:tr>
    </w:tbl>
    <w:p>
      <w:pPr>
        <w:spacing w:line="420" w:lineRule="exact"/>
        <w:rPr>
          <w:rFonts w:hint="eastAsia" w:ascii="仿宋" w:hAnsi="仿宋" w:eastAsia="仿宋" w:cs="仿宋"/>
          <w:color w:val="auto"/>
          <w:sz w:val="24"/>
          <w:szCs w:val="24"/>
        </w:rPr>
      </w:pPr>
    </w:p>
    <w:p>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rPr>
        <w:t>附表二：拟配备本工程的试验和检测仪器设备表</w:t>
      </w:r>
    </w:p>
    <w:tbl>
      <w:tblPr>
        <w:tblStyle w:val="3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color w:val="auto"/>
              </w:rPr>
            </w:pPr>
            <w:r>
              <w:rPr>
                <w:rFonts w:hint="eastAsia" w:ascii="仿宋" w:hAnsi="仿宋" w:eastAsia="仿宋" w:cs="仿宋"/>
                <w:color w:val="auto"/>
              </w:rPr>
              <w:t>序号</w:t>
            </w:r>
          </w:p>
        </w:tc>
        <w:tc>
          <w:tcPr>
            <w:tcW w:w="1624" w:type="dxa"/>
            <w:vAlign w:val="center"/>
          </w:tcPr>
          <w:p>
            <w:pPr>
              <w:jc w:val="center"/>
              <w:rPr>
                <w:rFonts w:hint="eastAsia" w:ascii="仿宋" w:hAnsi="仿宋" w:eastAsia="仿宋" w:cs="仿宋"/>
                <w:color w:val="auto"/>
              </w:rPr>
            </w:pPr>
            <w:r>
              <w:rPr>
                <w:rFonts w:hint="eastAsia" w:ascii="仿宋" w:hAnsi="仿宋" w:eastAsia="仿宋" w:cs="仿宋"/>
                <w:color w:val="auto"/>
              </w:rPr>
              <w:t>仪器设备名称</w:t>
            </w:r>
          </w:p>
        </w:tc>
        <w:tc>
          <w:tcPr>
            <w:tcW w:w="1362" w:type="dxa"/>
            <w:vAlign w:val="center"/>
          </w:tcPr>
          <w:p>
            <w:pPr>
              <w:jc w:val="center"/>
              <w:rPr>
                <w:rFonts w:hint="eastAsia" w:ascii="仿宋" w:hAnsi="仿宋" w:eastAsia="仿宋" w:cs="仿宋"/>
                <w:color w:val="auto"/>
              </w:rPr>
            </w:pPr>
            <w:r>
              <w:rPr>
                <w:rFonts w:hint="eastAsia" w:ascii="仿宋" w:hAnsi="仿宋" w:eastAsia="仿宋" w:cs="仿宋"/>
                <w:color w:val="auto"/>
              </w:rPr>
              <w:t>型号</w:t>
            </w:r>
          </w:p>
          <w:p>
            <w:pPr>
              <w:jc w:val="center"/>
              <w:rPr>
                <w:rFonts w:hint="eastAsia" w:ascii="仿宋" w:hAnsi="仿宋" w:eastAsia="仿宋" w:cs="仿宋"/>
                <w:color w:val="auto"/>
              </w:rPr>
            </w:pPr>
            <w:r>
              <w:rPr>
                <w:rFonts w:hint="eastAsia" w:ascii="仿宋" w:hAnsi="仿宋" w:eastAsia="仿宋" w:cs="仿宋"/>
                <w:color w:val="auto"/>
              </w:rPr>
              <w:t>规格</w:t>
            </w:r>
          </w:p>
        </w:tc>
        <w:tc>
          <w:tcPr>
            <w:tcW w:w="1001" w:type="dxa"/>
            <w:vAlign w:val="center"/>
          </w:tcPr>
          <w:p>
            <w:pPr>
              <w:jc w:val="center"/>
              <w:rPr>
                <w:rFonts w:hint="eastAsia" w:ascii="仿宋" w:hAnsi="仿宋" w:eastAsia="仿宋" w:cs="仿宋"/>
                <w:color w:val="auto"/>
              </w:rPr>
            </w:pPr>
            <w:r>
              <w:rPr>
                <w:rFonts w:hint="eastAsia" w:ascii="仿宋" w:hAnsi="仿宋" w:eastAsia="仿宋" w:cs="仿宋"/>
                <w:color w:val="auto"/>
              </w:rPr>
              <w:t>数量</w:t>
            </w:r>
          </w:p>
        </w:tc>
        <w:tc>
          <w:tcPr>
            <w:tcW w:w="1180" w:type="dxa"/>
            <w:vAlign w:val="center"/>
          </w:tcPr>
          <w:p>
            <w:pPr>
              <w:jc w:val="center"/>
              <w:rPr>
                <w:rFonts w:hint="eastAsia" w:ascii="仿宋" w:hAnsi="仿宋" w:eastAsia="仿宋" w:cs="仿宋"/>
                <w:color w:val="auto"/>
              </w:rPr>
            </w:pPr>
            <w:r>
              <w:rPr>
                <w:rFonts w:hint="eastAsia" w:ascii="仿宋" w:hAnsi="仿宋" w:eastAsia="仿宋" w:cs="仿宋"/>
                <w:color w:val="auto"/>
              </w:rPr>
              <w:t>国别</w:t>
            </w:r>
          </w:p>
          <w:p>
            <w:pPr>
              <w:jc w:val="center"/>
              <w:rPr>
                <w:rFonts w:hint="eastAsia" w:ascii="仿宋" w:hAnsi="仿宋" w:eastAsia="仿宋" w:cs="仿宋"/>
                <w:color w:val="auto"/>
              </w:rPr>
            </w:pPr>
            <w:r>
              <w:rPr>
                <w:rFonts w:hint="eastAsia" w:ascii="仿宋" w:hAnsi="仿宋" w:eastAsia="仿宋" w:cs="仿宋"/>
                <w:color w:val="auto"/>
              </w:rPr>
              <w:t>产地</w:t>
            </w:r>
          </w:p>
        </w:tc>
        <w:tc>
          <w:tcPr>
            <w:tcW w:w="1402" w:type="dxa"/>
            <w:vAlign w:val="center"/>
          </w:tcPr>
          <w:p>
            <w:pPr>
              <w:jc w:val="center"/>
              <w:rPr>
                <w:rFonts w:hint="eastAsia" w:ascii="仿宋" w:hAnsi="仿宋" w:eastAsia="仿宋" w:cs="仿宋"/>
                <w:color w:val="auto"/>
              </w:rPr>
            </w:pPr>
            <w:r>
              <w:rPr>
                <w:rFonts w:hint="eastAsia" w:ascii="仿宋" w:hAnsi="仿宋" w:eastAsia="仿宋" w:cs="仿宋"/>
                <w:color w:val="auto"/>
              </w:rPr>
              <w:t>用途</w:t>
            </w:r>
          </w:p>
        </w:tc>
        <w:tc>
          <w:tcPr>
            <w:tcW w:w="1279" w:type="dxa"/>
            <w:vAlign w:val="center"/>
          </w:tcPr>
          <w:p>
            <w:pPr>
              <w:jc w:val="center"/>
              <w:rPr>
                <w:rFonts w:hint="eastAsia" w:ascii="仿宋" w:hAnsi="仿宋" w:eastAsia="仿宋" w:cs="仿宋"/>
                <w:color w:val="auto"/>
              </w:rPr>
            </w:pPr>
            <w:r>
              <w:rPr>
                <w:rFonts w:hint="eastAsia" w:ascii="仿宋" w:hAnsi="仿宋" w:eastAsia="仿宋" w:cs="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color w:val="auto"/>
              </w:rPr>
            </w:pPr>
          </w:p>
        </w:tc>
        <w:tc>
          <w:tcPr>
            <w:tcW w:w="1624" w:type="dxa"/>
            <w:vAlign w:val="center"/>
          </w:tcPr>
          <w:p>
            <w:pPr>
              <w:jc w:val="center"/>
              <w:rPr>
                <w:rFonts w:hint="eastAsia" w:ascii="仿宋" w:hAnsi="仿宋" w:eastAsia="仿宋" w:cs="仿宋"/>
                <w:color w:val="auto"/>
              </w:rPr>
            </w:pPr>
          </w:p>
        </w:tc>
        <w:tc>
          <w:tcPr>
            <w:tcW w:w="1362" w:type="dxa"/>
            <w:vAlign w:val="center"/>
          </w:tcPr>
          <w:p>
            <w:pPr>
              <w:jc w:val="center"/>
              <w:rPr>
                <w:rFonts w:hint="eastAsia" w:ascii="仿宋" w:hAnsi="仿宋" w:eastAsia="仿宋" w:cs="仿宋"/>
                <w:color w:val="auto"/>
              </w:rPr>
            </w:pPr>
          </w:p>
        </w:tc>
        <w:tc>
          <w:tcPr>
            <w:tcW w:w="1001" w:type="dxa"/>
            <w:vAlign w:val="center"/>
          </w:tcPr>
          <w:p>
            <w:pPr>
              <w:jc w:val="center"/>
              <w:rPr>
                <w:rFonts w:hint="eastAsia" w:ascii="仿宋" w:hAnsi="仿宋" w:eastAsia="仿宋" w:cs="仿宋"/>
                <w:color w:val="auto"/>
              </w:rPr>
            </w:pPr>
          </w:p>
        </w:tc>
        <w:tc>
          <w:tcPr>
            <w:tcW w:w="1180" w:type="dxa"/>
            <w:vAlign w:val="center"/>
          </w:tcPr>
          <w:p>
            <w:pPr>
              <w:jc w:val="center"/>
              <w:rPr>
                <w:rFonts w:hint="eastAsia" w:ascii="仿宋" w:hAnsi="仿宋" w:eastAsia="仿宋" w:cs="仿宋"/>
                <w:color w:val="auto"/>
              </w:rPr>
            </w:pPr>
          </w:p>
        </w:tc>
        <w:tc>
          <w:tcPr>
            <w:tcW w:w="1402" w:type="dxa"/>
            <w:vAlign w:val="center"/>
          </w:tcPr>
          <w:p>
            <w:pPr>
              <w:jc w:val="center"/>
              <w:rPr>
                <w:rFonts w:hint="eastAsia" w:ascii="仿宋" w:hAnsi="仿宋" w:eastAsia="仿宋" w:cs="仿宋"/>
                <w:color w:val="auto"/>
              </w:rPr>
            </w:pPr>
          </w:p>
        </w:tc>
        <w:tc>
          <w:tcPr>
            <w:tcW w:w="1279" w:type="dxa"/>
            <w:vAlign w:val="center"/>
          </w:tcPr>
          <w:p>
            <w:pPr>
              <w:jc w:val="center"/>
              <w:rPr>
                <w:rFonts w:hint="eastAsia" w:ascii="仿宋" w:hAnsi="仿宋" w:eastAsia="仿宋" w:cs="仿宋"/>
                <w:color w:val="auto"/>
              </w:rPr>
            </w:pPr>
          </w:p>
        </w:tc>
      </w:tr>
    </w:tbl>
    <w:p>
      <w:pPr>
        <w:spacing w:beforeLines="50" w:afterLines="50" w:line="48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附表三：劳动力计划表</w:t>
      </w:r>
    </w:p>
    <w:p>
      <w:pPr>
        <w:spacing w:beforeLines="50" w:afterLines="50" w:line="48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单位：人</w:t>
      </w:r>
    </w:p>
    <w:tbl>
      <w:tblPr>
        <w:tblStyle w:val="3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hint="eastAsia" w:ascii="仿宋" w:hAnsi="仿宋" w:eastAsia="仿宋" w:cs="仿宋"/>
                <w:color w:val="auto"/>
              </w:rPr>
            </w:pPr>
            <w:r>
              <w:rPr>
                <w:rFonts w:hint="eastAsia" w:ascii="仿宋" w:hAnsi="仿宋" w:eastAsia="仿宋" w:cs="仿宋"/>
                <w:color w:val="auto"/>
              </w:rPr>
              <w:t>工种</w:t>
            </w:r>
          </w:p>
        </w:tc>
        <w:tc>
          <w:tcPr>
            <w:tcW w:w="7425" w:type="dxa"/>
            <w:gridSpan w:val="7"/>
            <w:vAlign w:val="center"/>
          </w:tcPr>
          <w:p>
            <w:pPr>
              <w:jc w:val="center"/>
              <w:rPr>
                <w:rFonts w:hint="eastAsia" w:ascii="仿宋" w:hAnsi="仿宋" w:eastAsia="仿宋" w:cs="仿宋"/>
                <w:color w:val="auto"/>
              </w:rPr>
            </w:pPr>
            <w:r>
              <w:rPr>
                <w:rFonts w:hint="eastAsia" w:ascii="仿宋" w:hAnsi="仿宋" w:eastAsia="仿宋" w:cs="仿宋"/>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color w:val="auto"/>
              </w:rPr>
            </w:pPr>
          </w:p>
        </w:tc>
        <w:tc>
          <w:tcPr>
            <w:tcW w:w="1047"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c>
          <w:tcPr>
            <w:tcW w:w="1063" w:type="dxa"/>
            <w:vAlign w:val="center"/>
          </w:tcPr>
          <w:p>
            <w:pPr>
              <w:spacing w:line="360" w:lineRule="auto"/>
              <w:jc w:val="center"/>
              <w:rPr>
                <w:rFonts w:hint="eastAsia" w:ascii="仿宋" w:hAnsi="仿宋" w:eastAsia="仿宋" w:cs="仿宋"/>
                <w:color w:val="auto"/>
              </w:rPr>
            </w:pPr>
          </w:p>
        </w:tc>
      </w:tr>
    </w:tbl>
    <w:p>
      <w:pPr>
        <w:spacing w:line="580" w:lineRule="exact"/>
        <w:rPr>
          <w:rFonts w:hint="eastAsia" w:ascii="仿宋" w:hAnsi="仿宋" w:eastAsia="仿宋" w:cs="仿宋"/>
          <w:b/>
          <w:bCs/>
          <w:color w:val="auto"/>
          <w:spacing w:val="4"/>
          <w:sz w:val="24"/>
          <w:szCs w:val="24"/>
        </w:rPr>
      </w:pPr>
    </w:p>
    <w:p>
      <w:pPr>
        <w:spacing w:beforeLines="50" w:afterLines="10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附表四：计划开、竣工日期和施工进度网络图</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投标人应递交施工进度网络图或施工进度表，说明按招标文件要求的计划工期进行施工的各个关键日期。</w:t>
      </w:r>
    </w:p>
    <w:p>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施工进度表可采用网络图或横道图表示。</w:t>
      </w:r>
    </w:p>
    <w:p>
      <w:pPr>
        <w:spacing w:beforeLines="50" w:afterLines="100" w:line="480" w:lineRule="auto"/>
        <w:rPr>
          <w:rFonts w:hint="eastAsia" w:ascii="仿宋" w:hAnsi="仿宋" w:eastAsia="仿宋" w:cs="仿宋"/>
          <w:color w:val="auto"/>
          <w:sz w:val="24"/>
          <w:szCs w:val="24"/>
        </w:rPr>
      </w:pPr>
    </w:p>
    <w:p>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color w:val="auto"/>
        </w:rPr>
        <w:br w:type="page"/>
      </w:r>
      <w:r>
        <w:rPr>
          <w:rFonts w:hint="eastAsia" w:ascii="仿宋" w:hAnsi="仿宋" w:eastAsia="仿宋" w:cs="仿宋"/>
          <w:b/>
          <w:bCs/>
          <w:color w:val="auto"/>
          <w:sz w:val="24"/>
          <w:szCs w:val="24"/>
        </w:rPr>
        <w:t>附表五：临时用地表</w:t>
      </w:r>
    </w:p>
    <w:tbl>
      <w:tblPr>
        <w:tblStyle w:val="3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color w:val="auto"/>
              </w:rPr>
            </w:pPr>
            <w:r>
              <w:rPr>
                <w:rFonts w:hint="eastAsia" w:ascii="仿宋" w:hAnsi="仿宋" w:eastAsia="仿宋" w:cs="仿宋"/>
                <w:color w:val="auto"/>
              </w:rPr>
              <w:t>用途</w:t>
            </w:r>
          </w:p>
        </w:tc>
        <w:tc>
          <w:tcPr>
            <w:tcW w:w="2082" w:type="dxa"/>
            <w:vAlign w:val="center"/>
          </w:tcPr>
          <w:p>
            <w:pPr>
              <w:jc w:val="center"/>
              <w:rPr>
                <w:rFonts w:hint="eastAsia" w:ascii="仿宋" w:hAnsi="仿宋" w:eastAsia="仿宋" w:cs="仿宋"/>
                <w:color w:val="auto"/>
              </w:rPr>
            </w:pPr>
            <w:r>
              <w:rPr>
                <w:rFonts w:hint="eastAsia" w:ascii="仿宋" w:hAnsi="仿宋" w:eastAsia="仿宋" w:cs="仿宋"/>
                <w:color w:val="auto"/>
              </w:rPr>
              <w:t>面积（平方米）</w:t>
            </w:r>
          </w:p>
        </w:tc>
        <w:tc>
          <w:tcPr>
            <w:tcW w:w="2082" w:type="dxa"/>
            <w:vAlign w:val="center"/>
          </w:tcPr>
          <w:p>
            <w:pPr>
              <w:jc w:val="center"/>
              <w:rPr>
                <w:rFonts w:hint="eastAsia" w:ascii="仿宋" w:hAnsi="仿宋" w:eastAsia="仿宋" w:cs="仿宋"/>
                <w:color w:val="auto"/>
              </w:rPr>
            </w:pPr>
            <w:r>
              <w:rPr>
                <w:rFonts w:hint="eastAsia" w:ascii="仿宋" w:hAnsi="仿宋" w:eastAsia="仿宋" w:cs="仿宋"/>
                <w:color w:val="auto"/>
              </w:rPr>
              <w:t>位置</w:t>
            </w:r>
          </w:p>
        </w:tc>
        <w:tc>
          <w:tcPr>
            <w:tcW w:w="2082" w:type="dxa"/>
            <w:vAlign w:val="center"/>
          </w:tcPr>
          <w:p>
            <w:pPr>
              <w:jc w:val="center"/>
              <w:rPr>
                <w:rFonts w:hint="eastAsia" w:ascii="仿宋" w:hAnsi="仿宋" w:eastAsia="仿宋" w:cs="仿宋"/>
                <w:color w:val="auto"/>
              </w:rPr>
            </w:pPr>
            <w:r>
              <w:rPr>
                <w:rFonts w:hint="eastAsia" w:ascii="仿宋" w:hAnsi="仿宋" w:eastAsia="仿宋" w:cs="仿宋"/>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c>
          <w:tcPr>
            <w:tcW w:w="2082" w:type="dxa"/>
          </w:tcPr>
          <w:p>
            <w:pPr>
              <w:rPr>
                <w:rFonts w:hint="eastAsia" w:ascii="仿宋" w:hAnsi="仿宋" w:eastAsia="仿宋" w:cs="仿宋"/>
                <w:color w:val="auto"/>
              </w:rPr>
            </w:pPr>
          </w:p>
        </w:tc>
      </w:tr>
    </w:tbl>
    <w:p>
      <w:pPr>
        <w:keepLines/>
        <w:pageBreakBefore/>
        <w:jc w:val="center"/>
        <w:outlineLvl w:val="1"/>
        <w:rPr>
          <w:rFonts w:hint="eastAsia" w:ascii="仿宋" w:hAnsi="仿宋" w:eastAsia="仿宋" w:cs="仿宋"/>
          <w:b/>
          <w:bCs/>
          <w:color w:val="auto"/>
          <w:sz w:val="32"/>
          <w:szCs w:val="32"/>
        </w:rPr>
      </w:pPr>
      <w:bookmarkStart w:id="236" w:name="_Toc12899"/>
      <w:bookmarkStart w:id="237" w:name="_Toc15616"/>
      <w:bookmarkStart w:id="238" w:name="_Toc16618"/>
      <w:bookmarkStart w:id="239" w:name="_Toc18300"/>
      <w:bookmarkStart w:id="240" w:name="_Toc20335"/>
      <w:r>
        <w:rPr>
          <w:rFonts w:hint="eastAsia" w:ascii="仿宋" w:hAnsi="仿宋" w:eastAsia="仿宋" w:cs="仿宋"/>
          <w:b/>
          <w:bCs/>
          <w:color w:val="auto"/>
          <w:sz w:val="32"/>
          <w:szCs w:val="32"/>
        </w:rPr>
        <w:t>第三部分</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资格标</w:t>
      </w:r>
      <w:bookmarkEnd w:id="236"/>
      <w:bookmarkEnd w:id="237"/>
    </w:p>
    <w:p>
      <w:pPr>
        <w:keepLines/>
        <w:pageBreakBefore/>
        <w:numPr>
          <w:ilvl w:val="0"/>
          <w:numId w:val="11"/>
        </w:numPr>
        <w:jc w:val="center"/>
        <w:outlineLvl w:val="1"/>
        <w:rPr>
          <w:rFonts w:hint="eastAsia" w:ascii="仿宋" w:hAnsi="仿宋" w:eastAsia="仿宋" w:cs="仿宋"/>
          <w:b/>
          <w:color w:val="auto"/>
          <w:sz w:val="32"/>
          <w:szCs w:val="32"/>
        </w:rPr>
      </w:pPr>
      <w:bookmarkStart w:id="241" w:name="_Toc504"/>
      <w:bookmarkStart w:id="242" w:name="_Toc28105"/>
      <w:r>
        <w:rPr>
          <w:rFonts w:hint="eastAsia" w:ascii="仿宋" w:hAnsi="仿宋" w:eastAsia="仿宋" w:cs="仿宋"/>
          <w:b/>
          <w:bCs/>
          <w:color w:val="auto"/>
          <w:sz w:val="32"/>
          <w:szCs w:val="32"/>
        </w:rPr>
        <w:t>投标人的基本情况介绍和资格声明</w:t>
      </w:r>
      <w:bookmarkEnd w:id="241"/>
      <w:bookmarkEnd w:id="242"/>
    </w:p>
    <w:p>
      <w:pPr>
        <w:numPr>
          <w:ilvl w:val="0"/>
          <w:numId w:val="12"/>
        </w:num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投标人的基本情况介绍</w:t>
      </w:r>
    </w:p>
    <w:p>
      <w:pPr>
        <w:jc w:val="center"/>
        <w:rPr>
          <w:rFonts w:hint="eastAsia" w:ascii="仿宋" w:hAnsi="仿宋" w:eastAsia="仿宋" w:cs="仿宋"/>
          <w:b/>
          <w:bCs/>
          <w:color w:val="auto"/>
          <w:sz w:val="32"/>
          <w:szCs w:val="32"/>
        </w:rPr>
        <w:sectPr>
          <w:pgSz w:w="11906" w:h="16838"/>
          <w:pgMar w:top="1417" w:right="1417" w:bottom="1417" w:left="1701" w:header="851" w:footer="992" w:gutter="0"/>
          <w:pgNumType w:fmt="decimal"/>
          <w:cols w:space="0" w:num="1"/>
          <w:docGrid w:type="lines" w:linePitch="312" w:charSpace="0"/>
        </w:sectPr>
      </w:pPr>
      <w:r>
        <w:rPr>
          <w:rFonts w:hint="eastAsia" w:ascii="仿宋" w:hAnsi="仿宋" w:eastAsia="仿宋" w:cs="仿宋"/>
          <w:b/>
          <w:bCs/>
          <w:color w:val="auto"/>
          <w:sz w:val="32"/>
          <w:szCs w:val="32"/>
        </w:rPr>
        <w:t>（格式自拟）</w:t>
      </w:r>
    </w:p>
    <w:p>
      <w:pPr>
        <w:numPr>
          <w:ilvl w:val="0"/>
          <w:numId w:val="12"/>
        </w:num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投标人资格声明</w:t>
      </w:r>
    </w:p>
    <w:p>
      <w:pPr>
        <w:rPr>
          <w:rFonts w:hint="eastAsia" w:ascii="仿宋" w:hAnsi="仿宋" w:eastAsia="仿宋" w:cs="仿宋"/>
          <w:color w:val="auto"/>
        </w:rPr>
      </w:pPr>
    </w:p>
    <w:p>
      <w:pPr>
        <w:numPr>
          <w:ilvl w:val="0"/>
          <w:numId w:val="13"/>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名称及其它情况</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投标人名称：____________________________________</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地   址：电  话：</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成立和注册日期：</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主管部门：</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公司性质：</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职工总人数：</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工程技术及管理人员数分别为：</w:t>
      </w:r>
    </w:p>
    <w:p>
      <w:pPr>
        <w:numPr>
          <w:ilvl w:val="0"/>
          <w:numId w:val="14"/>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本年度投标人的主要财务情况（到  </w:t>
      </w:r>
      <w:r>
        <w:rPr>
          <w:rFonts w:hint="eastAsia" w:ascii="仿宋" w:hAnsi="仿宋" w:eastAsia="仿宋" w:cs="仿宋"/>
          <w:color w:val="auto"/>
          <w:sz w:val="24"/>
          <w:szCs w:val="24"/>
          <w:u w:val="single"/>
        </w:rPr>
        <w:t xml:space="preserve">年  月  日 </w:t>
      </w:r>
      <w:r>
        <w:rPr>
          <w:rFonts w:hint="eastAsia" w:ascii="仿宋" w:hAnsi="仿宋" w:eastAsia="仿宋" w:cs="仿宋"/>
          <w:color w:val="auto"/>
          <w:sz w:val="24"/>
          <w:szCs w:val="24"/>
        </w:rPr>
        <w:t>止）</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固定资产：</w:t>
      </w:r>
    </w:p>
    <w:p>
      <w:pPr>
        <w:spacing w:line="52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原    值：</w:t>
      </w:r>
    </w:p>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净    值：</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流动资产：</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长期负债：</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短期负债：</w:t>
      </w:r>
    </w:p>
    <w:p>
      <w:pPr>
        <w:numPr>
          <w:ilvl w:val="0"/>
          <w:numId w:val="15"/>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销售收入/主营业务收入：</w:t>
      </w:r>
    </w:p>
    <w:p>
      <w:pPr>
        <w:numPr>
          <w:ilvl w:val="0"/>
          <w:numId w:val="13"/>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最近三年的年度总营业额：</w:t>
      </w:r>
    </w:p>
    <w:p>
      <w:pPr>
        <w:numPr>
          <w:ilvl w:val="0"/>
          <w:numId w:val="13"/>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投标人最近三年法律纠纷情况</w:t>
      </w:r>
    </w:p>
    <w:tbl>
      <w:tblPr>
        <w:tblStyle w:val="34"/>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280" w:type="dxa"/>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案由</w:t>
            </w:r>
          </w:p>
        </w:tc>
        <w:tc>
          <w:tcPr>
            <w:tcW w:w="1826" w:type="dxa"/>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涉及金额</w:t>
            </w:r>
          </w:p>
        </w:tc>
        <w:tc>
          <w:tcPr>
            <w:tcW w:w="2919" w:type="dxa"/>
            <w:vAlign w:val="center"/>
          </w:tcPr>
          <w:p>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color w:val="auto"/>
                <w:sz w:val="24"/>
                <w:szCs w:val="24"/>
              </w:rPr>
            </w:pPr>
          </w:p>
        </w:tc>
        <w:tc>
          <w:tcPr>
            <w:tcW w:w="2280" w:type="dxa"/>
          </w:tcPr>
          <w:p>
            <w:pPr>
              <w:spacing w:line="520" w:lineRule="exact"/>
              <w:jc w:val="left"/>
              <w:rPr>
                <w:rFonts w:hint="eastAsia" w:ascii="仿宋" w:hAnsi="仿宋" w:eastAsia="仿宋" w:cs="仿宋"/>
                <w:color w:val="auto"/>
                <w:sz w:val="24"/>
                <w:szCs w:val="24"/>
              </w:rPr>
            </w:pPr>
          </w:p>
        </w:tc>
        <w:tc>
          <w:tcPr>
            <w:tcW w:w="1826" w:type="dxa"/>
          </w:tcPr>
          <w:p>
            <w:pPr>
              <w:spacing w:line="520" w:lineRule="exact"/>
              <w:jc w:val="left"/>
              <w:rPr>
                <w:rFonts w:hint="eastAsia" w:ascii="仿宋" w:hAnsi="仿宋" w:eastAsia="仿宋" w:cs="仿宋"/>
                <w:color w:val="auto"/>
                <w:sz w:val="24"/>
                <w:szCs w:val="24"/>
              </w:rPr>
            </w:pPr>
          </w:p>
        </w:tc>
        <w:tc>
          <w:tcPr>
            <w:tcW w:w="2919" w:type="dxa"/>
          </w:tcPr>
          <w:p>
            <w:pPr>
              <w:spacing w:line="5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color w:val="auto"/>
                <w:sz w:val="24"/>
                <w:szCs w:val="24"/>
              </w:rPr>
            </w:pPr>
          </w:p>
        </w:tc>
        <w:tc>
          <w:tcPr>
            <w:tcW w:w="2280" w:type="dxa"/>
          </w:tcPr>
          <w:p>
            <w:pPr>
              <w:spacing w:line="520" w:lineRule="exact"/>
              <w:jc w:val="left"/>
              <w:rPr>
                <w:rFonts w:hint="eastAsia" w:ascii="仿宋" w:hAnsi="仿宋" w:eastAsia="仿宋" w:cs="仿宋"/>
                <w:color w:val="auto"/>
                <w:sz w:val="24"/>
                <w:szCs w:val="24"/>
              </w:rPr>
            </w:pPr>
          </w:p>
        </w:tc>
        <w:tc>
          <w:tcPr>
            <w:tcW w:w="1826" w:type="dxa"/>
          </w:tcPr>
          <w:p>
            <w:pPr>
              <w:spacing w:line="520" w:lineRule="exact"/>
              <w:jc w:val="left"/>
              <w:rPr>
                <w:rFonts w:hint="eastAsia" w:ascii="仿宋" w:hAnsi="仿宋" w:eastAsia="仿宋" w:cs="仿宋"/>
                <w:color w:val="auto"/>
                <w:sz w:val="24"/>
                <w:szCs w:val="24"/>
              </w:rPr>
            </w:pPr>
          </w:p>
        </w:tc>
        <w:tc>
          <w:tcPr>
            <w:tcW w:w="2919" w:type="dxa"/>
          </w:tcPr>
          <w:p>
            <w:pPr>
              <w:spacing w:line="5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color w:val="auto"/>
                <w:sz w:val="24"/>
                <w:szCs w:val="24"/>
              </w:rPr>
            </w:pPr>
          </w:p>
        </w:tc>
        <w:tc>
          <w:tcPr>
            <w:tcW w:w="2280" w:type="dxa"/>
          </w:tcPr>
          <w:p>
            <w:pPr>
              <w:spacing w:line="520" w:lineRule="exact"/>
              <w:jc w:val="left"/>
              <w:rPr>
                <w:rFonts w:hint="eastAsia" w:ascii="仿宋" w:hAnsi="仿宋" w:eastAsia="仿宋" w:cs="仿宋"/>
                <w:color w:val="auto"/>
                <w:sz w:val="24"/>
                <w:szCs w:val="24"/>
              </w:rPr>
            </w:pPr>
          </w:p>
        </w:tc>
        <w:tc>
          <w:tcPr>
            <w:tcW w:w="1826" w:type="dxa"/>
          </w:tcPr>
          <w:p>
            <w:pPr>
              <w:spacing w:line="520" w:lineRule="exact"/>
              <w:jc w:val="left"/>
              <w:rPr>
                <w:rFonts w:hint="eastAsia" w:ascii="仿宋" w:hAnsi="仿宋" w:eastAsia="仿宋" w:cs="仿宋"/>
                <w:color w:val="auto"/>
                <w:sz w:val="24"/>
                <w:szCs w:val="24"/>
              </w:rPr>
            </w:pPr>
          </w:p>
        </w:tc>
        <w:tc>
          <w:tcPr>
            <w:tcW w:w="2919" w:type="dxa"/>
          </w:tcPr>
          <w:p>
            <w:pPr>
              <w:spacing w:line="520" w:lineRule="exact"/>
              <w:jc w:val="left"/>
              <w:rPr>
                <w:rFonts w:hint="eastAsia" w:ascii="仿宋" w:hAnsi="仿宋" w:eastAsia="仿宋" w:cs="仿宋"/>
                <w:color w:val="auto"/>
                <w:sz w:val="24"/>
                <w:szCs w:val="24"/>
              </w:rPr>
            </w:pPr>
          </w:p>
        </w:tc>
      </w:tr>
    </w:tbl>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4、有关银行的名称和地址：</w:t>
      </w:r>
    </w:p>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5、其他情况：</w:t>
      </w:r>
    </w:p>
    <w:p>
      <w:pPr>
        <w:spacing w:line="520" w:lineRule="exact"/>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授权代表签字：</w:t>
      </w:r>
    </w:p>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授权代表的职务：</w:t>
      </w:r>
    </w:p>
    <w:p>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电话号和传真号：</w:t>
      </w:r>
    </w:p>
    <w:p>
      <w:pPr>
        <w:spacing w:line="520" w:lineRule="exact"/>
        <w:ind w:right="960"/>
        <w:rPr>
          <w:rFonts w:hint="eastAsia" w:ascii="仿宋" w:hAnsi="仿宋" w:eastAsia="仿宋" w:cs="仿宋"/>
          <w:color w:val="auto"/>
          <w:sz w:val="24"/>
          <w:szCs w:val="24"/>
        </w:rPr>
      </w:pPr>
    </w:p>
    <w:p>
      <w:pPr>
        <w:spacing w:line="520" w:lineRule="exact"/>
        <w:ind w:right="960" w:firstLine="5400" w:firstLineChars="2250"/>
        <w:rPr>
          <w:rFonts w:hint="eastAsia" w:ascii="仿宋" w:hAnsi="仿宋" w:eastAsia="仿宋" w:cs="仿宋"/>
          <w:color w:val="auto"/>
          <w:sz w:val="24"/>
          <w:szCs w:val="24"/>
        </w:rPr>
      </w:pPr>
      <w:r>
        <w:rPr>
          <w:rFonts w:hint="eastAsia" w:ascii="仿宋" w:hAnsi="仿宋" w:eastAsia="仿宋" w:cs="仿宋"/>
          <w:color w:val="auto"/>
          <w:sz w:val="24"/>
          <w:szCs w:val="24"/>
        </w:rPr>
        <w:t xml:space="preserve"> 公   章:</w:t>
      </w:r>
    </w:p>
    <w:p>
      <w:pPr>
        <w:wordWrap w:val="0"/>
        <w:spacing w:line="520" w:lineRule="exact"/>
        <w:ind w:right="480"/>
        <w:jc w:val="right"/>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tabs>
          <w:tab w:val="left" w:pos="1799"/>
        </w:tabs>
        <w:jc w:val="left"/>
        <w:rPr>
          <w:rFonts w:hint="eastAsia" w:ascii="仿宋" w:hAnsi="仿宋" w:eastAsia="仿宋" w:cs="仿宋"/>
          <w:b/>
          <w:bCs/>
          <w:color w:val="auto"/>
          <w:sz w:val="24"/>
          <w:szCs w:val="24"/>
        </w:rPr>
      </w:pPr>
    </w:p>
    <w:p>
      <w:pPr>
        <w:keepLines/>
        <w:pageBreakBefore/>
        <w:jc w:val="center"/>
        <w:outlineLvl w:val="1"/>
        <w:rPr>
          <w:rFonts w:hint="eastAsia" w:ascii="仿宋" w:hAnsi="仿宋" w:eastAsia="仿宋" w:cs="仿宋"/>
          <w:b/>
          <w:bCs/>
          <w:color w:val="auto"/>
          <w:sz w:val="32"/>
          <w:szCs w:val="32"/>
        </w:rPr>
      </w:pPr>
      <w:bookmarkStart w:id="243" w:name="_Toc3088"/>
      <w:bookmarkStart w:id="244" w:name="_Toc19158"/>
      <w:r>
        <w:rPr>
          <w:rFonts w:hint="eastAsia" w:ascii="仿宋" w:hAnsi="仿宋" w:eastAsia="仿宋" w:cs="仿宋"/>
          <w:b/>
          <w:bCs/>
          <w:color w:val="auto"/>
          <w:sz w:val="32"/>
          <w:szCs w:val="32"/>
        </w:rPr>
        <w:t>二、投标人资格证明文件</w:t>
      </w:r>
      <w:bookmarkEnd w:id="243"/>
      <w:bookmarkEnd w:id="244"/>
    </w:p>
    <w:p>
      <w:pPr>
        <w:pStyle w:val="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（见</w:t>
      </w:r>
      <w:r>
        <w:rPr>
          <w:rFonts w:hint="eastAsia" w:ascii="仿宋" w:hAnsi="仿宋" w:eastAsia="仿宋" w:cs="仿宋"/>
          <w:b/>
          <w:bCs/>
          <w:color w:val="auto"/>
          <w:sz w:val="24"/>
          <w:szCs w:val="24"/>
          <w:highlight w:val="none"/>
          <w:lang w:eastAsia="zh-CN"/>
        </w:rPr>
        <w:t>初步审查要素表</w:t>
      </w:r>
      <w:r>
        <w:rPr>
          <w:rFonts w:hint="eastAsia" w:ascii="仿宋" w:hAnsi="仿宋" w:eastAsia="仿宋" w:cs="仿宋"/>
          <w:b/>
          <w:bCs/>
          <w:color w:val="auto"/>
          <w:sz w:val="24"/>
          <w:szCs w:val="24"/>
          <w:highlight w:val="none"/>
        </w:rPr>
        <w:t>）</w:t>
      </w:r>
    </w:p>
    <w:bookmarkEnd w:id="219"/>
    <w:bookmarkEnd w:id="220"/>
    <w:bookmarkEnd w:id="238"/>
    <w:bookmarkEnd w:id="239"/>
    <w:bookmarkEnd w:id="240"/>
    <w:p>
      <w:pPr>
        <w:keepNext w:val="0"/>
        <w:keepLines/>
        <w:pageBreakBefore/>
        <w:widowControl w:val="0"/>
        <w:kinsoku/>
        <w:wordWrap/>
        <w:overflowPunct/>
        <w:topLinePunct w:val="0"/>
        <w:autoSpaceDE/>
        <w:autoSpaceDN/>
        <w:bidi w:val="0"/>
        <w:adjustRightInd/>
        <w:snapToGrid/>
        <w:spacing w:before="100" w:beforeAutospacing="1" w:afterLines="50" w:line="360" w:lineRule="auto"/>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附件1：</w:t>
      </w:r>
    </w:p>
    <w:p>
      <w:pPr>
        <w:pStyle w:val="5"/>
        <w:keepNext/>
        <w:keepLines/>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中小企业声明函（工程、服务）</w:t>
      </w:r>
    </w:p>
    <w:p>
      <w:pPr>
        <w:pStyle w:val="2"/>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textAlignment w:val="auto"/>
        <w:outlineLvl w:val="9"/>
        <w:rPr>
          <w:rFonts w:hint="eastAsia" w:ascii="仿宋" w:hAnsi="仿宋" w:eastAsia="仿宋" w:cs="仿宋"/>
          <w:b w:val="0"/>
          <w:bCs w:val="0"/>
          <w:color w:val="auto"/>
          <w:spacing w:val="-2"/>
          <w:sz w:val="32"/>
          <w:szCs w:val="32"/>
        </w:rPr>
      </w:pPr>
    </w:p>
    <w:p>
      <w:pPr>
        <w:pStyle w:val="2"/>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jc w:val="left"/>
        <w:textAlignment w:val="auto"/>
        <w:outlineLvl w:val="9"/>
        <w:rPr>
          <w:rFonts w:hint="eastAsia" w:ascii="仿宋" w:hAnsi="仿宋" w:eastAsia="仿宋" w:cs="仿宋"/>
          <w:b w:val="0"/>
          <w:bCs w:val="0"/>
          <w:color w:val="auto"/>
          <w:spacing w:val="-2"/>
          <w:sz w:val="24"/>
          <w:szCs w:val="24"/>
        </w:rPr>
      </w:pPr>
      <w:r>
        <w:rPr>
          <w:rFonts w:hint="eastAsia" w:ascii="仿宋" w:hAnsi="仿宋" w:eastAsia="仿宋" w:cs="仿宋"/>
          <w:b w:val="0"/>
          <w:bCs w:val="0"/>
          <w:color w:val="auto"/>
          <w:spacing w:val="-2"/>
          <w:sz w:val="24"/>
          <w:szCs w:val="24"/>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sz w:val="24"/>
          <w:szCs w:val="24"/>
          <w:u w:val="single"/>
        </w:rPr>
        <w:t>（单位名称）</w:t>
      </w:r>
      <w:r>
        <w:rPr>
          <w:rFonts w:hint="eastAsia" w:ascii="仿宋" w:hAnsi="仿宋" w:eastAsia="仿宋" w:cs="仿宋"/>
          <w:b w:val="0"/>
          <w:bCs w:val="0"/>
          <w:color w:val="auto"/>
          <w:spacing w:val="-2"/>
          <w:sz w:val="24"/>
          <w:szCs w:val="24"/>
        </w:rPr>
        <w:t>的</w:t>
      </w:r>
      <w:r>
        <w:rPr>
          <w:rFonts w:hint="eastAsia" w:ascii="仿宋" w:hAnsi="仿宋" w:eastAsia="仿宋" w:cs="仿宋"/>
          <w:b w:val="0"/>
          <w:bCs w:val="0"/>
          <w:color w:val="auto"/>
          <w:spacing w:val="-2"/>
          <w:sz w:val="24"/>
          <w:szCs w:val="24"/>
          <w:u w:val="single"/>
        </w:rPr>
        <w:t>（项目名称）</w:t>
      </w:r>
      <w:r>
        <w:rPr>
          <w:rFonts w:hint="eastAsia" w:ascii="仿宋" w:hAnsi="仿宋" w:eastAsia="仿宋" w:cs="仿宋"/>
          <w:b w:val="0"/>
          <w:bCs w:val="0"/>
          <w:color w:val="auto"/>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3"/>
        <w:pageBreakBefore w:val="0"/>
        <w:numPr>
          <w:ilvl w:val="0"/>
          <w:numId w:val="16"/>
        </w:numPr>
        <w:kinsoku/>
        <w:wordWrap/>
        <w:overflowPunct/>
        <w:topLinePunct w:val="0"/>
        <w:autoSpaceDE/>
        <w:autoSpaceDN/>
        <w:bidi w:val="0"/>
        <w:adjustRightInd/>
        <w:snapToGrid/>
        <w:spacing w:line="360" w:lineRule="auto"/>
        <w:ind w:right="386" w:rightChars="184"/>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zh-CN" w:eastAsia="zh-CN"/>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zh-CN" w:eastAsia="zh-CN"/>
        </w:rPr>
        <w:t>（采购文件中明确的所属行业）</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pPr>
        <w:pStyle w:val="113"/>
        <w:pageBreakBefore w:val="0"/>
        <w:numPr>
          <w:ilvl w:val="0"/>
          <w:numId w:val="16"/>
        </w:numPr>
        <w:kinsoku/>
        <w:wordWrap/>
        <w:overflowPunct/>
        <w:topLinePunct w:val="0"/>
        <w:autoSpaceDE/>
        <w:autoSpaceDN/>
        <w:bidi w:val="0"/>
        <w:adjustRightInd/>
        <w:snapToGrid/>
        <w:spacing w:line="360" w:lineRule="auto"/>
        <w:ind w:right="386" w:rightChars="184"/>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zh-CN" w:eastAsia="zh-CN"/>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zh-CN" w:eastAsia="zh-CN"/>
        </w:rPr>
        <w:t>（采购文件中明确的所属行业）</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w:t>
      </w:r>
    </w:p>
    <w:p>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w:t>
      </w:r>
    </w:p>
    <w:p>
      <w:pPr>
        <w:pStyle w:val="113"/>
        <w:pageBreakBefore w:val="0"/>
        <w:numPr>
          <w:ilvl w:val="0"/>
          <w:numId w:val="0"/>
        </w:numPr>
        <w:kinsoku/>
        <w:wordWrap/>
        <w:overflowPunct/>
        <w:topLinePunct w:val="0"/>
        <w:autoSpaceDE/>
        <w:autoSpaceDN/>
        <w:bidi w:val="0"/>
        <w:adjustRightInd/>
        <w:snapToGrid/>
        <w:spacing w:line="360" w:lineRule="auto"/>
        <w:ind w:right="386" w:rightChars="184"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以上企业，不属于大企业的分支机构，不存在控股股东为大企业的情形，也不存在与大企业的负责人为同一人的情形。</w:t>
      </w:r>
    </w:p>
    <w:p>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本企业对上述声明内容的真实性负责。如有虚假，将依法承担相应责任。</w:t>
      </w:r>
    </w:p>
    <w:p>
      <w:pPr>
        <w:pStyle w:val="113"/>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p>
    <w:p>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企业名称（盖章）：</w:t>
      </w:r>
    </w:p>
    <w:p>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日期：</w:t>
      </w:r>
    </w:p>
    <w:p>
      <w:pPr>
        <w:pStyle w:val="113"/>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p>
    <w:p>
      <w:pPr>
        <w:pStyle w:val="113"/>
        <w:pageBreakBefore w:val="0"/>
        <w:kinsoku/>
        <w:wordWrap/>
        <w:overflowPunct/>
        <w:topLinePunct w:val="0"/>
        <w:autoSpaceDE/>
        <w:autoSpaceDN/>
        <w:bidi w:val="0"/>
        <w:adjustRightInd/>
        <w:snapToGrid/>
        <w:spacing w:line="360" w:lineRule="auto"/>
        <w:ind w:left="720" w:leftChars="0" w:right="386" w:rightChars="184" w:hanging="720" w:hangingChars="300"/>
        <w:textAlignment w:val="auto"/>
        <w:rPr>
          <w:rFonts w:hint="eastAsia" w:ascii="仿宋" w:hAnsi="仿宋" w:eastAsia="仿宋" w:cs="仿宋"/>
          <w:color w:val="auto"/>
          <w:spacing w:val="-8"/>
          <w:sz w:val="21"/>
          <w:szCs w:val="21"/>
          <w:lang w:eastAsia="zh-CN"/>
        </w:rPr>
      </w:pPr>
      <w:r>
        <w:rPr>
          <w:rFonts w:hint="eastAsia" w:ascii="仿宋" w:hAnsi="仿宋" w:eastAsia="仿宋" w:cs="仿宋"/>
          <w:color w:val="auto"/>
          <w:sz w:val="24"/>
          <w:szCs w:val="24"/>
          <w:lang w:eastAsia="zh-CN"/>
        </w:rPr>
        <w:t>备</w:t>
      </w:r>
      <w:r>
        <w:rPr>
          <w:rFonts w:hint="eastAsia" w:ascii="仿宋" w:hAnsi="仿宋" w:eastAsia="仿宋" w:cs="仿宋"/>
          <w:color w:val="auto"/>
          <w:sz w:val="21"/>
          <w:szCs w:val="21"/>
          <w:lang w:eastAsia="zh-CN"/>
        </w:rPr>
        <w:t>注：</w:t>
      </w:r>
      <w:r>
        <w:rPr>
          <w:rFonts w:hint="eastAsia" w:ascii="仿宋" w:hAnsi="仿宋" w:eastAsia="仿宋" w:cs="仿宋"/>
          <w:color w:val="auto"/>
          <w:sz w:val="21"/>
          <w:szCs w:val="21"/>
          <w:lang w:val="en-US" w:eastAsia="zh-CN"/>
        </w:rPr>
        <w:t>1、</w:t>
      </w:r>
      <w:r>
        <w:rPr>
          <w:rFonts w:hint="eastAsia" w:ascii="仿宋" w:hAnsi="仿宋" w:eastAsia="仿宋" w:cs="仿宋"/>
          <w:color w:val="auto"/>
          <w:spacing w:val="-8"/>
          <w:sz w:val="21"/>
          <w:szCs w:val="21"/>
        </w:rPr>
        <w:t>中小企业参加政府采购活动，应当按照</w:t>
      </w:r>
      <w:r>
        <w:rPr>
          <w:rFonts w:hint="eastAsia" w:ascii="仿宋" w:hAnsi="仿宋" w:eastAsia="仿宋" w:cs="仿宋"/>
          <w:color w:val="auto"/>
          <w:spacing w:val="-8"/>
          <w:sz w:val="21"/>
          <w:szCs w:val="21"/>
          <w:lang w:eastAsia="zh-CN"/>
        </w:rPr>
        <w:t>《政府采购促进中小企业发展管理办法》（财库〔2020〕46号）</w:t>
      </w:r>
      <w:r>
        <w:rPr>
          <w:rFonts w:hint="eastAsia" w:ascii="仿宋" w:hAnsi="仿宋" w:eastAsia="仿宋" w:cs="仿宋"/>
          <w:color w:val="auto"/>
          <w:spacing w:val="-8"/>
          <w:sz w:val="21"/>
          <w:szCs w:val="21"/>
        </w:rPr>
        <w:t>规定和《中小企业划型标准规定》（工信部联企业〔2011〕300号），如实填写并</w:t>
      </w:r>
      <w:r>
        <w:rPr>
          <w:rFonts w:hint="eastAsia" w:ascii="仿宋" w:hAnsi="仿宋" w:eastAsia="仿宋" w:cs="仿宋"/>
          <w:color w:val="auto"/>
          <w:spacing w:val="-8"/>
          <w:sz w:val="21"/>
          <w:szCs w:val="21"/>
          <w:lang w:eastAsia="zh-CN"/>
        </w:rPr>
        <w:t>提交本</w:t>
      </w:r>
      <w:r>
        <w:rPr>
          <w:rFonts w:hint="eastAsia" w:ascii="仿宋" w:hAnsi="仿宋" w:eastAsia="仿宋" w:cs="仿宋"/>
          <w:color w:val="auto"/>
          <w:spacing w:val="-8"/>
          <w:sz w:val="21"/>
          <w:szCs w:val="21"/>
        </w:rPr>
        <w:t>《中小企业声明函》</w:t>
      </w:r>
      <w:r>
        <w:rPr>
          <w:rFonts w:hint="eastAsia" w:ascii="仿宋" w:hAnsi="仿宋" w:eastAsia="仿宋" w:cs="仿宋"/>
          <w:color w:val="auto"/>
          <w:spacing w:val="-8"/>
          <w:sz w:val="21"/>
          <w:szCs w:val="21"/>
          <w:lang w:eastAsia="zh-CN"/>
        </w:rPr>
        <w:t>。</w:t>
      </w:r>
    </w:p>
    <w:p>
      <w:pPr>
        <w:pStyle w:val="113"/>
        <w:pageBreakBefore w:val="0"/>
        <w:kinsoku/>
        <w:wordWrap/>
        <w:overflowPunct/>
        <w:topLinePunct w:val="0"/>
        <w:autoSpaceDE/>
        <w:autoSpaceDN/>
        <w:bidi w:val="0"/>
        <w:adjustRightInd/>
        <w:snapToGrid/>
        <w:spacing w:line="360" w:lineRule="auto"/>
        <w:ind w:left="615" w:leftChars="293" w:right="386" w:rightChars="184" w:firstLine="19" w:firstLineChars="1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8"/>
          <w:sz w:val="21"/>
          <w:szCs w:val="21"/>
          <w:lang w:val="en-US" w:eastAsia="zh-CN"/>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100" w:beforeAutospacing="0" w:after="156" w:afterLines="50" w:line="360" w:lineRule="auto"/>
        <w:textAlignment w:val="auto"/>
        <w:outlineLvl w:val="2"/>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附件</w:t>
      </w:r>
      <w:r>
        <w:rPr>
          <w:rFonts w:hint="eastAsia" w:ascii="仿宋" w:hAnsi="仿宋" w:eastAsia="仿宋" w:cs="仿宋"/>
          <w:b/>
          <w:bCs/>
          <w:color w:val="auto"/>
          <w:spacing w:val="6"/>
          <w:sz w:val="30"/>
          <w:szCs w:val="30"/>
          <w:lang w:val="en-US" w:eastAsia="zh-CN"/>
        </w:rPr>
        <w:t>2</w:t>
      </w:r>
      <w:r>
        <w:rPr>
          <w:rFonts w:hint="eastAsia" w:ascii="仿宋" w:hAnsi="仿宋" w:eastAsia="仿宋" w:cs="仿宋"/>
          <w:b/>
          <w:bCs/>
          <w:color w:val="auto"/>
          <w:spacing w:val="6"/>
          <w:sz w:val="30"/>
          <w:szCs w:val="30"/>
        </w:rPr>
        <w:t>：</w:t>
      </w:r>
    </w:p>
    <w:p>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仿宋" w:hAnsi="仿宋" w:eastAsia="仿宋" w:cs="仿宋"/>
          <w:b/>
          <w:color w:val="auto"/>
          <w:spacing w:val="6"/>
          <w:sz w:val="32"/>
          <w:szCs w:val="32"/>
        </w:rPr>
      </w:pPr>
      <w:bookmarkStart w:id="245" w:name="OLE_LINK13"/>
      <w:bookmarkStart w:id="246" w:name="OLE_LINK14"/>
      <w:r>
        <w:rPr>
          <w:rFonts w:hint="eastAsia" w:ascii="仿宋" w:hAnsi="仿宋" w:eastAsia="仿宋" w:cs="仿宋"/>
          <w:b/>
          <w:color w:val="auto"/>
          <w:spacing w:val="6"/>
          <w:sz w:val="32"/>
          <w:szCs w:val="32"/>
        </w:rPr>
        <w:t>残疾人福利性单位声明函</w:t>
      </w:r>
    </w:p>
    <w:bookmarkEnd w:id="245"/>
    <w:bookmarkEnd w:id="246"/>
    <w:p>
      <w:pPr>
        <w:spacing w:line="588" w:lineRule="exact"/>
        <w:rPr>
          <w:rFonts w:hint="eastAsia" w:ascii="仿宋" w:hAnsi="仿宋" w:eastAsia="仿宋" w:cs="仿宋"/>
          <w:b/>
          <w:color w:val="auto"/>
          <w:spacing w:val="6"/>
          <w:sz w:val="30"/>
          <w:szCs w:val="30"/>
        </w:rPr>
      </w:pPr>
    </w:p>
    <w:p>
      <w:pPr>
        <w:spacing w:line="588"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 民政部 中国残疾人联合会关于促进残疾人就业政府采购政策的通知》（财库</w:t>
      </w:r>
      <w:r>
        <w:rPr>
          <w:rFonts w:hint="eastAsia" w:ascii="仿宋" w:hAnsi="仿宋" w:eastAsia="仿宋" w:cs="仿宋"/>
          <w:color w:val="auto"/>
          <w:sz w:val="24"/>
          <w:szCs w:val="24"/>
        </w:rPr>
        <w:t>〔2017〕 141</w:t>
      </w:r>
      <w:r>
        <w:rPr>
          <w:rFonts w:hint="eastAsia" w:ascii="仿宋" w:hAnsi="仿宋" w:eastAsia="仿宋" w:cs="仿宋"/>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szCs w:val="24"/>
        </w:rPr>
      </w:pPr>
    </w:p>
    <w:p>
      <w:pPr>
        <w:spacing w:line="588" w:lineRule="exact"/>
        <w:ind w:firstLine="504" w:firstLineChars="200"/>
        <w:rPr>
          <w:rFonts w:hint="eastAsia" w:ascii="仿宋" w:hAnsi="仿宋" w:eastAsia="仿宋" w:cs="仿宋"/>
          <w:color w:val="auto"/>
          <w:spacing w:val="6"/>
          <w:sz w:val="24"/>
          <w:szCs w:val="24"/>
        </w:rPr>
      </w:pPr>
    </w:p>
    <w:p>
      <w:pPr>
        <w:spacing w:line="588" w:lineRule="exact"/>
        <w:ind w:firstLine="504" w:firstLineChars="200"/>
        <w:rPr>
          <w:rFonts w:hint="eastAsia" w:ascii="仿宋" w:hAnsi="仿宋" w:eastAsia="仿宋" w:cs="仿宋"/>
          <w:color w:val="auto"/>
          <w:spacing w:val="6"/>
          <w:sz w:val="24"/>
          <w:szCs w:val="24"/>
        </w:rPr>
      </w:pPr>
    </w:p>
    <w:p>
      <w:pPr>
        <w:spacing w:line="588" w:lineRule="exact"/>
        <w:ind w:firstLine="504" w:firstLineChars="200"/>
        <w:rPr>
          <w:rFonts w:hint="eastAsia" w:ascii="仿宋" w:hAnsi="仿宋" w:eastAsia="仿宋" w:cs="仿宋"/>
          <w:color w:val="auto"/>
          <w:spacing w:val="6"/>
          <w:sz w:val="24"/>
          <w:szCs w:val="24"/>
        </w:rPr>
      </w:pP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日    期：</w:t>
      </w:r>
    </w:p>
    <w:p>
      <w:pPr>
        <w:tabs>
          <w:tab w:val="left" w:pos="1620"/>
          <w:tab w:val="left" w:pos="1800"/>
        </w:tabs>
        <w:spacing w:line="440" w:lineRule="exact"/>
        <w:ind w:right="540" w:rightChars="257"/>
        <w:rPr>
          <w:rFonts w:hint="eastAsia" w:ascii="仿宋" w:hAnsi="仿宋" w:eastAsia="仿宋" w:cs="仿宋"/>
          <w:color w:val="auto"/>
          <w:sz w:val="24"/>
          <w:szCs w:val="24"/>
        </w:rPr>
      </w:pPr>
    </w:p>
    <w:p>
      <w:pPr>
        <w:spacing w:line="360" w:lineRule="auto"/>
        <w:ind w:right="640"/>
        <w:rPr>
          <w:rFonts w:hint="eastAsia" w:ascii="仿宋" w:hAnsi="仿宋" w:eastAsia="仿宋" w:cs="仿宋"/>
          <w:color w:val="auto"/>
          <w:sz w:val="24"/>
          <w:szCs w:val="24"/>
        </w:rPr>
      </w:pPr>
    </w:p>
    <w:p>
      <w:pPr>
        <w:spacing w:line="360" w:lineRule="auto"/>
        <w:ind w:right="640"/>
        <w:rPr>
          <w:rFonts w:hint="eastAsia" w:ascii="仿宋" w:hAnsi="仿宋" w:eastAsia="仿宋" w:cs="仿宋"/>
          <w:color w:val="auto"/>
          <w:sz w:val="24"/>
          <w:szCs w:val="24"/>
        </w:rPr>
      </w:pPr>
    </w:p>
    <w:p>
      <w:pPr>
        <w:spacing w:line="550" w:lineRule="exact"/>
        <w:ind w:right="640"/>
        <w:rPr>
          <w:rFonts w:hint="eastAsia" w:ascii="仿宋" w:hAnsi="仿宋" w:eastAsia="仿宋" w:cs="仿宋"/>
          <w:color w:val="auto"/>
          <w:sz w:val="24"/>
          <w:szCs w:val="24"/>
        </w:rPr>
      </w:pPr>
    </w:p>
    <w:bookmarkEnd w:id="163"/>
    <w:bookmarkEnd w:id="164"/>
    <w:bookmarkEnd w:id="165"/>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符合条件的残疾人福利性单位在参加政府采购活动时，应当提供《残疾人福利性单位声明函》，并对声明的真实性负责；非残疾人福利性单位无需提供。</w:t>
      </w: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仿宋" w:hAnsi="仿宋" w:eastAsia="仿宋" w:cs="仿宋"/>
          <w:b/>
          <w:bCs/>
          <w:color w:val="auto"/>
          <w:spacing w:val="6"/>
          <w:sz w:val="30"/>
          <w:szCs w:val="30"/>
          <w:lang w:val="en-US" w:eastAsia="zh-CN"/>
        </w:rPr>
      </w:pPr>
      <w:r>
        <w:rPr>
          <w:rFonts w:hint="eastAsia" w:ascii="仿宋" w:hAnsi="仿宋" w:eastAsia="仿宋" w:cs="仿宋"/>
          <w:b/>
          <w:bCs/>
          <w:color w:val="auto"/>
          <w:spacing w:val="6"/>
          <w:kern w:val="0"/>
          <w:sz w:val="30"/>
          <w:szCs w:val="30"/>
          <w:lang w:val="en-US" w:eastAsia="zh-CN" w:bidi="ar-SA"/>
        </w:rPr>
        <w:t>附件3</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监狱企业证明文件</w:t>
      </w:r>
    </w:p>
    <w:p>
      <w:pPr>
        <w:spacing w:line="500" w:lineRule="exact"/>
        <w:ind w:firstLine="420" w:firstLineChars="200"/>
        <w:jc w:val="left"/>
        <w:rPr>
          <w:rFonts w:hint="eastAsia" w:ascii="仿宋" w:hAnsi="仿宋" w:eastAsia="仿宋" w:cs="仿宋"/>
          <w:color w:val="auto"/>
        </w:rPr>
      </w:pPr>
      <w:r>
        <w:rPr>
          <w:rFonts w:hint="eastAsia" w:ascii="仿宋" w:hAnsi="仿宋" w:eastAsia="仿宋" w:cs="仿宋"/>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22" w:firstLineChars="200"/>
        <w:jc w:val="left"/>
        <w:rPr>
          <w:rFonts w:hint="eastAsia" w:ascii="仿宋" w:hAnsi="仿宋" w:eastAsia="仿宋" w:cs="仿宋"/>
          <w:b/>
          <w:bCs/>
          <w:color w:val="auto"/>
        </w:rPr>
      </w:pPr>
      <w:r>
        <w:rPr>
          <w:rFonts w:hint="eastAsia" w:ascii="仿宋" w:hAnsi="仿宋" w:eastAsia="仿宋" w:cs="仿宋"/>
          <w:b/>
          <w:bCs/>
          <w:color w:val="auto"/>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auto"/>
          <w:lang w:eastAsia="zh-CN"/>
        </w:rPr>
        <w:t>，非监狱企业无需提供</w:t>
      </w:r>
      <w:r>
        <w:rPr>
          <w:rFonts w:hint="eastAsia" w:ascii="仿宋" w:hAnsi="仿宋" w:eastAsia="仿宋" w:cs="仿宋"/>
          <w:b/>
          <w:bCs/>
          <w:color w:val="auto"/>
        </w:rPr>
        <w:t>。</w:t>
      </w:r>
    </w:p>
    <w:p>
      <w:pPr>
        <w:pStyle w:val="2"/>
        <w:rPr>
          <w:rFonts w:hint="eastAsia" w:ascii="仿宋" w:hAnsi="仿宋" w:eastAsia="仿宋" w:cs="仿宋"/>
          <w:color w:val="auto"/>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eastAsia="宋体"/>
        <w:lang w:val="en-US" w:eastAsia="zh-CN"/>
      </w:rPr>
    </w:pPr>
    <w:r>
      <w:rPr>
        <w:rFonts w:hint="eastAsia" w:cs="宋体"/>
        <w:lang w:eastAsia="zh-CN"/>
      </w:rPr>
      <w:t>华夏国际项目管理有限公司</w:t>
    </w:r>
    <w:r>
      <w:rPr>
        <w:rFonts w:hint="eastAsia" w:cs="宋体"/>
        <w:lang w:val="en-US" w:eastAsia="zh-CN"/>
      </w:rPr>
      <w:t xml:space="preserve">                             </w:t>
    </w:r>
    <w:r>
      <w:rPr>
        <w:rFonts w:hint="eastAsia"/>
        <w:sz w:val="18"/>
        <w:szCs w:val="18"/>
        <w:lang w:eastAsia="zh-CN"/>
      </w:rPr>
      <w:tab/>
    </w:r>
    <w:r>
      <w:rPr>
        <w:rFonts w:hint="eastAsia"/>
        <w:sz w:val="18"/>
        <w:szCs w:val="18"/>
        <w:lang w:eastAsia="zh-CN"/>
      </w:rPr>
      <w:t>地址：西安市高新区科技五路8号数字大厦11楼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pStyle w:val="2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hint="eastAsia" w:ascii="仿宋" w:hAnsi="仿宋" w:eastAsia="仿宋" w:cs="仿宋"/>
      </w:rPr>
    </w:pPr>
    <w:r>
      <w:rPr>
        <w:rFonts w:hint="eastAsia" w:ascii="仿宋" w:hAnsi="仿宋" w:eastAsia="仿宋" w:cs="仿宋"/>
      </w:rPr>
      <w:t>三桥街道阿房一路集体土地拆除项目</w:t>
    </w:r>
    <w:r>
      <w:rPr>
        <w:rFonts w:hint="eastAsia" w:ascii="仿宋" w:hAnsi="仿宋" w:eastAsia="仿宋" w:cs="仿宋"/>
      </w:rPr>
      <w:tab/>
    </w:r>
    <w:r>
      <w:rPr>
        <w:rFonts w:hint="eastAsia" w:ascii="仿宋" w:hAnsi="仿宋" w:eastAsia="仿宋" w:cs="仿宋"/>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92F9"/>
    <w:multiLevelType w:val="singleLevel"/>
    <w:tmpl w:val="82E992F9"/>
    <w:lvl w:ilvl="0" w:tentative="0">
      <w:start w:val="5"/>
      <w:numFmt w:val="chineseCounting"/>
      <w:suff w:val="space"/>
      <w:lvlText w:val="第%1章"/>
      <w:lvlJc w:val="left"/>
      <w:rPr>
        <w:rFonts w:hint="eastAsia"/>
      </w:rPr>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A9004123"/>
    <w:multiLevelType w:val="singleLevel"/>
    <w:tmpl w:val="A9004123"/>
    <w:lvl w:ilvl="0" w:tentative="0">
      <w:start w:val="1"/>
      <w:numFmt w:val="decimal"/>
      <w:lvlText w:val="%1."/>
      <w:lvlJc w:val="left"/>
      <w:pPr>
        <w:tabs>
          <w:tab w:val="left" w:pos="312"/>
        </w:tabs>
        <w:ind w:left="-26"/>
      </w:pPr>
    </w:lvl>
  </w:abstractNum>
  <w:abstractNum w:abstractNumId="3">
    <w:nsid w:val="B9A1F9B7"/>
    <w:multiLevelType w:val="singleLevel"/>
    <w:tmpl w:val="B9A1F9B7"/>
    <w:lvl w:ilvl="0" w:tentative="0">
      <w:start w:val="6"/>
      <w:numFmt w:val="chineseCounting"/>
      <w:suff w:val="nothing"/>
      <w:lvlText w:val="%1、"/>
      <w:lvlJc w:val="left"/>
      <w:rPr>
        <w:rFonts w:hint="eastAsia"/>
      </w:rPr>
    </w:lvl>
  </w:abstractNum>
  <w:abstractNum w:abstractNumId="4">
    <w:nsid w:val="E000030F"/>
    <w:multiLevelType w:val="singleLevel"/>
    <w:tmpl w:val="E000030F"/>
    <w:lvl w:ilvl="0" w:tentative="0">
      <w:start w:val="1"/>
      <w:numFmt w:val="decimal"/>
      <w:lvlText w:val="(%1)"/>
      <w:lvlJc w:val="left"/>
      <w:pPr>
        <w:tabs>
          <w:tab w:val="left" w:pos="420"/>
        </w:tabs>
        <w:ind w:left="0" w:leftChars="0" w:firstLine="0" w:firstLineChars="0"/>
      </w:pPr>
      <w:rPr>
        <w:rFonts w:hint="default"/>
      </w:rPr>
    </w:lvl>
  </w:abstractNum>
  <w:abstractNum w:abstractNumId="5">
    <w:nsid w:val="E7FC1343"/>
    <w:multiLevelType w:val="singleLevel"/>
    <w:tmpl w:val="E7FC1343"/>
    <w:lvl w:ilvl="0" w:tentative="0">
      <w:start w:val="1"/>
      <w:numFmt w:val="decimal"/>
      <w:suff w:val="nothing"/>
      <w:lvlText w:val="（%1）"/>
      <w:lvlJc w:val="left"/>
    </w:lvl>
  </w:abstractNum>
  <w:abstractNum w:abstractNumId="6">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7">
    <w:nsid w:val="0A3ED1F8"/>
    <w:multiLevelType w:val="singleLevel"/>
    <w:tmpl w:val="0A3ED1F8"/>
    <w:lvl w:ilvl="0" w:tentative="0">
      <w:start w:val="1"/>
      <w:numFmt w:val="decimal"/>
      <w:suff w:val="nothing"/>
      <w:lvlText w:val="（%1）"/>
      <w:lvlJc w:val="left"/>
    </w:lvl>
  </w:abstractNum>
  <w:abstractNum w:abstractNumId="8">
    <w:nsid w:val="166C4085"/>
    <w:multiLevelType w:val="singleLevel"/>
    <w:tmpl w:val="166C4085"/>
    <w:lvl w:ilvl="0" w:tentative="0">
      <w:start w:val="1"/>
      <w:numFmt w:val="decimal"/>
      <w:suff w:val="nothing"/>
      <w:lvlText w:val="%1、"/>
      <w:lvlJc w:val="left"/>
    </w:lvl>
  </w:abstractNum>
  <w:abstractNum w:abstractNumId="9">
    <w:nsid w:val="1C0BC805"/>
    <w:multiLevelType w:val="singleLevel"/>
    <w:tmpl w:val="1C0BC805"/>
    <w:lvl w:ilvl="0" w:tentative="0">
      <w:start w:val="1"/>
      <w:numFmt w:val="decimal"/>
      <w:lvlText w:val="(%1)"/>
      <w:lvlJc w:val="left"/>
      <w:pPr>
        <w:tabs>
          <w:tab w:val="left" w:pos="420"/>
        </w:tabs>
        <w:ind w:left="0" w:leftChars="0" w:firstLine="0" w:firstLineChars="0"/>
      </w:pPr>
      <w:rPr>
        <w:rFonts w:hint="default"/>
      </w:rPr>
    </w:lvl>
  </w:abstractNum>
  <w:abstractNum w:abstractNumId="10">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1">
    <w:nsid w:val="3D876073"/>
    <w:multiLevelType w:val="singleLevel"/>
    <w:tmpl w:val="3D876073"/>
    <w:lvl w:ilvl="0" w:tentative="0">
      <w:start w:val="11"/>
      <w:numFmt w:val="decimal"/>
      <w:suff w:val="nothing"/>
      <w:lvlText w:val="%1．"/>
      <w:lvlJc w:val="left"/>
    </w:lvl>
  </w:abstractNum>
  <w:abstractNum w:abstractNumId="12">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3">
    <w:nsid w:val="5913EF14"/>
    <w:multiLevelType w:val="singleLevel"/>
    <w:tmpl w:val="5913EF14"/>
    <w:lvl w:ilvl="0" w:tentative="0">
      <w:start w:val="1"/>
      <w:numFmt w:val="chineseCounting"/>
      <w:suff w:val="nothing"/>
      <w:lvlText w:val="%1、"/>
      <w:lvlJc w:val="left"/>
    </w:lvl>
  </w:abstractNum>
  <w:abstractNum w:abstractNumId="14">
    <w:nsid w:val="5913EF5B"/>
    <w:multiLevelType w:val="singleLevel"/>
    <w:tmpl w:val="5913EF5B"/>
    <w:lvl w:ilvl="0" w:tentative="0">
      <w:start w:val="1"/>
      <w:numFmt w:val="chineseCounting"/>
      <w:suff w:val="nothing"/>
      <w:lvlText w:val="（%1）"/>
      <w:lvlJc w:val="left"/>
    </w:lvl>
  </w:abstractNum>
  <w:abstractNum w:abstractNumId="15">
    <w:nsid w:val="7ED0A0DE"/>
    <w:multiLevelType w:val="singleLevel"/>
    <w:tmpl w:val="7ED0A0DE"/>
    <w:lvl w:ilvl="0" w:tentative="0">
      <w:start w:val="1"/>
      <w:numFmt w:val="decimal"/>
      <w:suff w:val="nothing"/>
      <w:lvlText w:val="%1、"/>
      <w:lvlJc w:val="left"/>
    </w:lvl>
  </w:abstractNum>
  <w:num w:numId="1">
    <w:abstractNumId w:val="3"/>
  </w:num>
  <w:num w:numId="2">
    <w:abstractNumId w:val="9"/>
  </w:num>
  <w:num w:numId="3">
    <w:abstractNumId w:val="11"/>
  </w:num>
  <w:num w:numId="4">
    <w:abstractNumId w:val="4"/>
  </w:num>
  <w:num w:numId="5">
    <w:abstractNumId w:val="2"/>
  </w:num>
  <w:num w:numId="6">
    <w:abstractNumId w:val="7"/>
  </w:num>
  <w:num w:numId="7">
    <w:abstractNumId w:val="5"/>
  </w:num>
  <w:num w:numId="8">
    <w:abstractNumId w:val="0"/>
  </w:num>
  <w:num w:numId="9">
    <w:abstractNumId w:val="8"/>
  </w:num>
  <w:num w:numId="10">
    <w:abstractNumId w:val="1"/>
  </w:num>
  <w:num w:numId="11">
    <w:abstractNumId w:val="13"/>
  </w:num>
  <w:num w:numId="12">
    <w:abstractNumId w:val="14"/>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YmJhODUzYzQwNjBhMDU1MjQyMjQ5ZmE3MmY0NzE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68AF"/>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63AB"/>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332"/>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2A1D4B"/>
    <w:rsid w:val="01382DB4"/>
    <w:rsid w:val="0145646D"/>
    <w:rsid w:val="01457F6F"/>
    <w:rsid w:val="01747D1E"/>
    <w:rsid w:val="019D2E47"/>
    <w:rsid w:val="01B63198"/>
    <w:rsid w:val="01C43576"/>
    <w:rsid w:val="01C47CF3"/>
    <w:rsid w:val="01CF1907"/>
    <w:rsid w:val="01E4051A"/>
    <w:rsid w:val="01F178BE"/>
    <w:rsid w:val="022A1AA9"/>
    <w:rsid w:val="023006A7"/>
    <w:rsid w:val="0252665D"/>
    <w:rsid w:val="025F19CF"/>
    <w:rsid w:val="028376D4"/>
    <w:rsid w:val="028A13E5"/>
    <w:rsid w:val="02FF7A7B"/>
    <w:rsid w:val="035203D6"/>
    <w:rsid w:val="03610DE0"/>
    <w:rsid w:val="0361681B"/>
    <w:rsid w:val="03ED1CC0"/>
    <w:rsid w:val="03EE1902"/>
    <w:rsid w:val="04253FDA"/>
    <w:rsid w:val="0458071C"/>
    <w:rsid w:val="045C66B2"/>
    <w:rsid w:val="04641540"/>
    <w:rsid w:val="048A515F"/>
    <w:rsid w:val="0491498E"/>
    <w:rsid w:val="04A41675"/>
    <w:rsid w:val="04C4729C"/>
    <w:rsid w:val="04C837E3"/>
    <w:rsid w:val="04D253F8"/>
    <w:rsid w:val="05084354"/>
    <w:rsid w:val="0525422D"/>
    <w:rsid w:val="053B4857"/>
    <w:rsid w:val="05650543"/>
    <w:rsid w:val="056B1564"/>
    <w:rsid w:val="058B77B2"/>
    <w:rsid w:val="05A671DA"/>
    <w:rsid w:val="05B9261D"/>
    <w:rsid w:val="05D473BB"/>
    <w:rsid w:val="06176B56"/>
    <w:rsid w:val="0623601E"/>
    <w:rsid w:val="06597543"/>
    <w:rsid w:val="068C612B"/>
    <w:rsid w:val="06C33709"/>
    <w:rsid w:val="06D0743C"/>
    <w:rsid w:val="075E2523"/>
    <w:rsid w:val="077B5F48"/>
    <w:rsid w:val="07944BFB"/>
    <w:rsid w:val="079E63BC"/>
    <w:rsid w:val="07D26F91"/>
    <w:rsid w:val="07E439B3"/>
    <w:rsid w:val="081101EB"/>
    <w:rsid w:val="08377730"/>
    <w:rsid w:val="086C26E0"/>
    <w:rsid w:val="08822685"/>
    <w:rsid w:val="088C0A16"/>
    <w:rsid w:val="088E2F64"/>
    <w:rsid w:val="08C52D6F"/>
    <w:rsid w:val="08CE7D60"/>
    <w:rsid w:val="08E0433D"/>
    <w:rsid w:val="090A441A"/>
    <w:rsid w:val="09154278"/>
    <w:rsid w:val="0929584C"/>
    <w:rsid w:val="092E340E"/>
    <w:rsid w:val="093431FC"/>
    <w:rsid w:val="094E4EF9"/>
    <w:rsid w:val="0966617B"/>
    <w:rsid w:val="09AC0586"/>
    <w:rsid w:val="09DE12BD"/>
    <w:rsid w:val="09EF5D45"/>
    <w:rsid w:val="09F63589"/>
    <w:rsid w:val="0A193000"/>
    <w:rsid w:val="0A4038E0"/>
    <w:rsid w:val="0A726387"/>
    <w:rsid w:val="0B243B52"/>
    <w:rsid w:val="0B591E2E"/>
    <w:rsid w:val="0B6049A4"/>
    <w:rsid w:val="0B982B1A"/>
    <w:rsid w:val="0BCC1C74"/>
    <w:rsid w:val="0BCD1763"/>
    <w:rsid w:val="0C1D75EE"/>
    <w:rsid w:val="0C293640"/>
    <w:rsid w:val="0C5F0057"/>
    <w:rsid w:val="0C641ED9"/>
    <w:rsid w:val="0C691C6B"/>
    <w:rsid w:val="0C8619B5"/>
    <w:rsid w:val="0CB50A66"/>
    <w:rsid w:val="0CC06DF7"/>
    <w:rsid w:val="0CC35518"/>
    <w:rsid w:val="0D3B3F1D"/>
    <w:rsid w:val="0D8A250C"/>
    <w:rsid w:val="0DAF4501"/>
    <w:rsid w:val="0DEF62B6"/>
    <w:rsid w:val="0E3C75E8"/>
    <w:rsid w:val="0E5C591E"/>
    <w:rsid w:val="0E66157A"/>
    <w:rsid w:val="0E8419FF"/>
    <w:rsid w:val="0EB47E28"/>
    <w:rsid w:val="0EEA0A05"/>
    <w:rsid w:val="0EEE65D1"/>
    <w:rsid w:val="0F1152E7"/>
    <w:rsid w:val="0F4E27DE"/>
    <w:rsid w:val="0F6D575B"/>
    <w:rsid w:val="0F971E23"/>
    <w:rsid w:val="0FE02217"/>
    <w:rsid w:val="103A162C"/>
    <w:rsid w:val="105C346F"/>
    <w:rsid w:val="107431BA"/>
    <w:rsid w:val="109B03CC"/>
    <w:rsid w:val="109E452C"/>
    <w:rsid w:val="11127111"/>
    <w:rsid w:val="113D42B9"/>
    <w:rsid w:val="11515D18"/>
    <w:rsid w:val="11634A72"/>
    <w:rsid w:val="11645423"/>
    <w:rsid w:val="118B5AD6"/>
    <w:rsid w:val="11942369"/>
    <w:rsid w:val="12912E05"/>
    <w:rsid w:val="12A44024"/>
    <w:rsid w:val="12A97B84"/>
    <w:rsid w:val="12C03463"/>
    <w:rsid w:val="12FF1D3F"/>
    <w:rsid w:val="130A040F"/>
    <w:rsid w:val="13327318"/>
    <w:rsid w:val="13451321"/>
    <w:rsid w:val="134770B1"/>
    <w:rsid w:val="1366079D"/>
    <w:rsid w:val="13887B1A"/>
    <w:rsid w:val="13AA413F"/>
    <w:rsid w:val="13D778B6"/>
    <w:rsid w:val="13E65301"/>
    <w:rsid w:val="140B4870"/>
    <w:rsid w:val="14162C01"/>
    <w:rsid w:val="141E411D"/>
    <w:rsid w:val="14234490"/>
    <w:rsid w:val="142D62D8"/>
    <w:rsid w:val="14417073"/>
    <w:rsid w:val="144615BF"/>
    <w:rsid w:val="14565413"/>
    <w:rsid w:val="14954993"/>
    <w:rsid w:val="14974E0A"/>
    <w:rsid w:val="14D56784"/>
    <w:rsid w:val="14E3269E"/>
    <w:rsid w:val="14E4621D"/>
    <w:rsid w:val="1508348E"/>
    <w:rsid w:val="150E2655"/>
    <w:rsid w:val="15203C88"/>
    <w:rsid w:val="15242DBE"/>
    <w:rsid w:val="1526273B"/>
    <w:rsid w:val="15317A6C"/>
    <w:rsid w:val="154842EA"/>
    <w:rsid w:val="15B21729"/>
    <w:rsid w:val="15EB4E7C"/>
    <w:rsid w:val="15F92FD8"/>
    <w:rsid w:val="1620557D"/>
    <w:rsid w:val="167071E4"/>
    <w:rsid w:val="16733962"/>
    <w:rsid w:val="16757268"/>
    <w:rsid w:val="16AC5172"/>
    <w:rsid w:val="16FF19EA"/>
    <w:rsid w:val="172179B8"/>
    <w:rsid w:val="17DC4231"/>
    <w:rsid w:val="182944A3"/>
    <w:rsid w:val="1852743B"/>
    <w:rsid w:val="188B43D5"/>
    <w:rsid w:val="19024013"/>
    <w:rsid w:val="19414DFD"/>
    <w:rsid w:val="19420680"/>
    <w:rsid w:val="194C318E"/>
    <w:rsid w:val="195F115C"/>
    <w:rsid w:val="198A04EB"/>
    <w:rsid w:val="19AF5431"/>
    <w:rsid w:val="19CF3767"/>
    <w:rsid w:val="19E96131"/>
    <w:rsid w:val="19FC75E6"/>
    <w:rsid w:val="1A1041D0"/>
    <w:rsid w:val="1A247A97"/>
    <w:rsid w:val="1A3A7593"/>
    <w:rsid w:val="1A7C1301"/>
    <w:rsid w:val="1A985769"/>
    <w:rsid w:val="1A9C7638"/>
    <w:rsid w:val="1AA530AD"/>
    <w:rsid w:val="1ACC4497"/>
    <w:rsid w:val="1AFB58F2"/>
    <w:rsid w:val="1B2E3201"/>
    <w:rsid w:val="1B376301"/>
    <w:rsid w:val="1B380F38"/>
    <w:rsid w:val="1B6B6A0B"/>
    <w:rsid w:val="1B995899"/>
    <w:rsid w:val="1BDA585C"/>
    <w:rsid w:val="1C154F6E"/>
    <w:rsid w:val="1C197E29"/>
    <w:rsid w:val="1C463390"/>
    <w:rsid w:val="1C4A49B2"/>
    <w:rsid w:val="1C4F6C7E"/>
    <w:rsid w:val="1C611926"/>
    <w:rsid w:val="1C625C9F"/>
    <w:rsid w:val="1C6C3B15"/>
    <w:rsid w:val="1C912F6B"/>
    <w:rsid w:val="1CD30C0D"/>
    <w:rsid w:val="1CF2284B"/>
    <w:rsid w:val="1D047EAE"/>
    <w:rsid w:val="1D6E70D6"/>
    <w:rsid w:val="1D7A568E"/>
    <w:rsid w:val="1DB3788D"/>
    <w:rsid w:val="1DB530CD"/>
    <w:rsid w:val="1DC23799"/>
    <w:rsid w:val="1DC24C84"/>
    <w:rsid w:val="1E2101FE"/>
    <w:rsid w:val="1E3B28B6"/>
    <w:rsid w:val="1E5E66D2"/>
    <w:rsid w:val="1E9130C5"/>
    <w:rsid w:val="1EA416D1"/>
    <w:rsid w:val="1EE61241"/>
    <w:rsid w:val="1F010A0B"/>
    <w:rsid w:val="1F06691B"/>
    <w:rsid w:val="1F1C0F96"/>
    <w:rsid w:val="1F1F7A4B"/>
    <w:rsid w:val="1F271CAA"/>
    <w:rsid w:val="1F3C63CC"/>
    <w:rsid w:val="1F602E2D"/>
    <w:rsid w:val="1F895B24"/>
    <w:rsid w:val="1F8A0ACB"/>
    <w:rsid w:val="1FCD7EB9"/>
    <w:rsid w:val="200A5B20"/>
    <w:rsid w:val="20163B31"/>
    <w:rsid w:val="20201EC2"/>
    <w:rsid w:val="204C14F0"/>
    <w:rsid w:val="20585C30"/>
    <w:rsid w:val="205E2AA9"/>
    <w:rsid w:val="207A3E5E"/>
    <w:rsid w:val="20E91E42"/>
    <w:rsid w:val="219463BD"/>
    <w:rsid w:val="21C76D7B"/>
    <w:rsid w:val="21E736FC"/>
    <w:rsid w:val="221E379A"/>
    <w:rsid w:val="221E3F06"/>
    <w:rsid w:val="22645564"/>
    <w:rsid w:val="229628CB"/>
    <w:rsid w:val="22CC223E"/>
    <w:rsid w:val="22D20532"/>
    <w:rsid w:val="22D66F38"/>
    <w:rsid w:val="22DC346F"/>
    <w:rsid w:val="230B04B3"/>
    <w:rsid w:val="2364201F"/>
    <w:rsid w:val="23A52A88"/>
    <w:rsid w:val="23B0469D"/>
    <w:rsid w:val="23C1773C"/>
    <w:rsid w:val="24470995"/>
    <w:rsid w:val="24482291"/>
    <w:rsid w:val="25013D92"/>
    <w:rsid w:val="258E2D61"/>
    <w:rsid w:val="25BF6788"/>
    <w:rsid w:val="260F5480"/>
    <w:rsid w:val="26414BCF"/>
    <w:rsid w:val="268D1C16"/>
    <w:rsid w:val="269D1C78"/>
    <w:rsid w:val="26A06F6E"/>
    <w:rsid w:val="26B639D7"/>
    <w:rsid w:val="26CC2619"/>
    <w:rsid w:val="26DE0FD1"/>
    <w:rsid w:val="26E31B2E"/>
    <w:rsid w:val="26EE1790"/>
    <w:rsid w:val="26FE21D3"/>
    <w:rsid w:val="272E1546"/>
    <w:rsid w:val="2781405D"/>
    <w:rsid w:val="28010842"/>
    <w:rsid w:val="280B3FC1"/>
    <w:rsid w:val="285E3505"/>
    <w:rsid w:val="287149A1"/>
    <w:rsid w:val="28AF344A"/>
    <w:rsid w:val="28B14910"/>
    <w:rsid w:val="28DC6898"/>
    <w:rsid w:val="29651877"/>
    <w:rsid w:val="296A7081"/>
    <w:rsid w:val="29854031"/>
    <w:rsid w:val="29880BEA"/>
    <w:rsid w:val="298B6CA9"/>
    <w:rsid w:val="29980F12"/>
    <w:rsid w:val="29F91A02"/>
    <w:rsid w:val="2A1A4572"/>
    <w:rsid w:val="2A230DAE"/>
    <w:rsid w:val="2A3B04C1"/>
    <w:rsid w:val="2A423861"/>
    <w:rsid w:val="2AB22C1B"/>
    <w:rsid w:val="2AC5168D"/>
    <w:rsid w:val="2AEA3A1A"/>
    <w:rsid w:val="2B267866"/>
    <w:rsid w:val="2B320F6B"/>
    <w:rsid w:val="2B3C72FC"/>
    <w:rsid w:val="2B4E725B"/>
    <w:rsid w:val="2B714350"/>
    <w:rsid w:val="2C25678C"/>
    <w:rsid w:val="2C623061"/>
    <w:rsid w:val="2CBB07AB"/>
    <w:rsid w:val="2CEF21C5"/>
    <w:rsid w:val="2D452F54"/>
    <w:rsid w:val="2D5A676F"/>
    <w:rsid w:val="2D5C36BA"/>
    <w:rsid w:val="2D6F1F0F"/>
    <w:rsid w:val="2DBD6096"/>
    <w:rsid w:val="2DC77CAA"/>
    <w:rsid w:val="2E00469C"/>
    <w:rsid w:val="2E257A8C"/>
    <w:rsid w:val="2E701821"/>
    <w:rsid w:val="2EC36149"/>
    <w:rsid w:val="2ECC1AD7"/>
    <w:rsid w:val="2F0D2540"/>
    <w:rsid w:val="2F386C07"/>
    <w:rsid w:val="2F7552B2"/>
    <w:rsid w:val="2FCE0F61"/>
    <w:rsid w:val="2FD62A87"/>
    <w:rsid w:val="304D1C49"/>
    <w:rsid w:val="305D6C29"/>
    <w:rsid w:val="30771B9B"/>
    <w:rsid w:val="307D149D"/>
    <w:rsid w:val="30C10EB6"/>
    <w:rsid w:val="30D7336F"/>
    <w:rsid w:val="30E531BD"/>
    <w:rsid w:val="30EB624E"/>
    <w:rsid w:val="311D09DC"/>
    <w:rsid w:val="312F5E08"/>
    <w:rsid w:val="3157337F"/>
    <w:rsid w:val="318254C8"/>
    <w:rsid w:val="318A5CEF"/>
    <w:rsid w:val="319A5D04"/>
    <w:rsid w:val="31B44F8F"/>
    <w:rsid w:val="31F9640B"/>
    <w:rsid w:val="3204001F"/>
    <w:rsid w:val="32242AD2"/>
    <w:rsid w:val="322A3DF1"/>
    <w:rsid w:val="328234D4"/>
    <w:rsid w:val="328E1B6C"/>
    <w:rsid w:val="32C91C94"/>
    <w:rsid w:val="32ED5142"/>
    <w:rsid w:val="32F66563"/>
    <w:rsid w:val="32F93DAF"/>
    <w:rsid w:val="330672EA"/>
    <w:rsid w:val="333F0CA1"/>
    <w:rsid w:val="336921DA"/>
    <w:rsid w:val="33C92B36"/>
    <w:rsid w:val="33CE41B8"/>
    <w:rsid w:val="33D72119"/>
    <w:rsid w:val="33F73CD2"/>
    <w:rsid w:val="342324BA"/>
    <w:rsid w:val="34270272"/>
    <w:rsid w:val="344779A5"/>
    <w:rsid w:val="34933B51"/>
    <w:rsid w:val="34A90CC0"/>
    <w:rsid w:val="34F27A73"/>
    <w:rsid w:val="35216666"/>
    <w:rsid w:val="353F7ACA"/>
    <w:rsid w:val="35610FCE"/>
    <w:rsid w:val="358E1AEB"/>
    <w:rsid w:val="35A03CE6"/>
    <w:rsid w:val="35B80C45"/>
    <w:rsid w:val="35C032BE"/>
    <w:rsid w:val="35D579E0"/>
    <w:rsid w:val="35E84964"/>
    <w:rsid w:val="366D46DB"/>
    <w:rsid w:val="36820DFD"/>
    <w:rsid w:val="368D718F"/>
    <w:rsid w:val="36CB087B"/>
    <w:rsid w:val="36DB4D0F"/>
    <w:rsid w:val="371812F1"/>
    <w:rsid w:val="374D0B1B"/>
    <w:rsid w:val="375201D1"/>
    <w:rsid w:val="37910FBB"/>
    <w:rsid w:val="37BD5302"/>
    <w:rsid w:val="3810198E"/>
    <w:rsid w:val="384A2968"/>
    <w:rsid w:val="385641FC"/>
    <w:rsid w:val="385D6C32"/>
    <w:rsid w:val="386B671F"/>
    <w:rsid w:val="38997FF4"/>
    <w:rsid w:val="389D2BD1"/>
    <w:rsid w:val="38EE3475"/>
    <w:rsid w:val="38FD41B0"/>
    <w:rsid w:val="390A7481"/>
    <w:rsid w:val="392169C0"/>
    <w:rsid w:val="393F0C84"/>
    <w:rsid w:val="39BB7346"/>
    <w:rsid w:val="39BD488A"/>
    <w:rsid w:val="39D20B92"/>
    <w:rsid w:val="39EB029D"/>
    <w:rsid w:val="39FC7DAF"/>
    <w:rsid w:val="39FD3633"/>
    <w:rsid w:val="3A0B4374"/>
    <w:rsid w:val="3A29797A"/>
    <w:rsid w:val="3A70021B"/>
    <w:rsid w:val="3A73272E"/>
    <w:rsid w:val="3ACB7183"/>
    <w:rsid w:val="3AEE2E06"/>
    <w:rsid w:val="3AF634CD"/>
    <w:rsid w:val="3B191137"/>
    <w:rsid w:val="3B6405FB"/>
    <w:rsid w:val="3C1C362D"/>
    <w:rsid w:val="3C26613B"/>
    <w:rsid w:val="3C94676F"/>
    <w:rsid w:val="3CA96714"/>
    <w:rsid w:val="3CC66044"/>
    <w:rsid w:val="3CE974FE"/>
    <w:rsid w:val="3D264530"/>
    <w:rsid w:val="3D327577"/>
    <w:rsid w:val="3D393E77"/>
    <w:rsid w:val="3D493E51"/>
    <w:rsid w:val="3D61263F"/>
    <w:rsid w:val="3D8C258A"/>
    <w:rsid w:val="3DBE36DC"/>
    <w:rsid w:val="3DEC58B0"/>
    <w:rsid w:val="3DF95BCC"/>
    <w:rsid w:val="3DFA2BBE"/>
    <w:rsid w:val="3DFE50A4"/>
    <w:rsid w:val="3E0F3A5D"/>
    <w:rsid w:val="3F0874F8"/>
    <w:rsid w:val="3F39320C"/>
    <w:rsid w:val="3F423951"/>
    <w:rsid w:val="3F69137B"/>
    <w:rsid w:val="3F6F5F91"/>
    <w:rsid w:val="3FA12730"/>
    <w:rsid w:val="3FDE08F5"/>
    <w:rsid w:val="40112738"/>
    <w:rsid w:val="401776B5"/>
    <w:rsid w:val="402639E9"/>
    <w:rsid w:val="404D1AA1"/>
    <w:rsid w:val="408D22B4"/>
    <w:rsid w:val="40A57735"/>
    <w:rsid w:val="40C50AD3"/>
    <w:rsid w:val="40CF052E"/>
    <w:rsid w:val="40E65833"/>
    <w:rsid w:val="40F137ED"/>
    <w:rsid w:val="414B09AC"/>
    <w:rsid w:val="418A654E"/>
    <w:rsid w:val="41947EA6"/>
    <w:rsid w:val="41D47F93"/>
    <w:rsid w:val="41F43D04"/>
    <w:rsid w:val="41F533C3"/>
    <w:rsid w:val="42004FD7"/>
    <w:rsid w:val="42014C57"/>
    <w:rsid w:val="4211049B"/>
    <w:rsid w:val="42772D77"/>
    <w:rsid w:val="42C07614"/>
    <w:rsid w:val="42C42797"/>
    <w:rsid w:val="42C8103A"/>
    <w:rsid w:val="42D178AE"/>
    <w:rsid w:val="43053A31"/>
    <w:rsid w:val="431B5BB6"/>
    <w:rsid w:val="432418C0"/>
    <w:rsid w:val="433B61F6"/>
    <w:rsid w:val="435C3C0F"/>
    <w:rsid w:val="43713BB4"/>
    <w:rsid w:val="438B4FB1"/>
    <w:rsid w:val="439B601B"/>
    <w:rsid w:val="43A12317"/>
    <w:rsid w:val="43A37114"/>
    <w:rsid w:val="43A45F3A"/>
    <w:rsid w:val="43AE11BC"/>
    <w:rsid w:val="43EA211A"/>
    <w:rsid w:val="442339D8"/>
    <w:rsid w:val="44563ED5"/>
    <w:rsid w:val="44605A3B"/>
    <w:rsid w:val="446169B5"/>
    <w:rsid w:val="448F588F"/>
    <w:rsid w:val="44A25EB8"/>
    <w:rsid w:val="44D25AAC"/>
    <w:rsid w:val="44F92736"/>
    <w:rsid w:val="44FC29B6"/>
    <w:rsid w:val="45030AC7"/>
    <w:rsid w:val="452E55D2"/>
    <w:rsid w:val="453749EF"/>
    <w:rsid w:val="453D2F11"/>
    <w:rsid w:val="45441531"/>
    <w:rsid w:val="45647867"/>
    <w:rsid w:val="45913BAE"/>
    <w:rsid w:val="459833CC"/>
    <w:rsid w:val="45A4454B"/>
    <w:rsid w:val="45C66607"/>
    <w:rsid w:val="45DF5413"/>
    <w:rsid w:val="4607231F"/>
    <w:rsid w:val="46295027"/>
    <w:rsid w:val="4650656B"/>
    <w:rsid w:val="465E3302"/>
    <w:rsid w:val="46683FFE"/>
    <w:rsid w:val="46C75188"/>
    <w:rsid w:val="47051512"/>
    <w:rsid w:val="47567722"/>
    <w:rsid w:val="478E1953"/>
    <w:rsid w:val="47C13D17"/>
    <w:rsid w:val="47D01EDF"/>
    <w:rsid w:val="47DD782E"/>
    <w:rsid w:val="481822D3"/>
    <w:rsid w:val="48340FE8"/>
    <w:rsid w:val="48AF49E7"/>
    <w:rsid w:val="48B17C16"/>
    <w:rsid w:val="48BA5B20"/>
    <w:rsid w:val="48BF3D66"/>
    <w:rsid w:val="491A30CE"/>
    <w:rsid w:val="498C34BA"/>
    <w:rsid w:val="499E6ADA"/>
    <w:rsid w:val="49B8117F"/>
    <w:rsid w:val="4A5329DB"/>
    <w:rsid w:val="4ABD162D"/>
    <w:rsid w:val="4ACE2F74"/>
    <w:rsid w:val="4AEA39F4"/>
    <w:rsid w:val="4B092247"/>
    <w:rsid w:val="4B1160EC"/>
    <w:rsid w:val="4B383176"/>
    <w:rsid w:val="4B3F2B00"/>
    <w:rsid w:val="4B8B517E"/>
    <w:rsid w:val="4B9B51B7"/>
    <w:rsid w:val="4BB11B9C"/>
    <w:rsid w:val="4BD03E62"/>
    <w:rsid w:val="4C0751FE"/>
    <w:rsid w:val="4C0C69D1"/>
    <w:rsid w:val="4C4A4923"/>
    <w:rsid w:val="4C5C78B0"/>
    <w:rsid w:val="4C8F3727"/>
    <w:rsid w:val="4CB06962"/>
    <w:rsid w:val="4CD01F92"/>
    <w:rsid w:val="4D304619"/>
    <w:rsid w:val="4D490586"/>
    <w:rsid w:val="4D5D700D"/>
    <w:rsid w:val="4D5E2AFB"/>
    <w:rsid w:val="4D761EBE"/>
    <w:rsid w:val="4D7A64BE"/>
    <w:rsid w:val="4D7E0E31"/>
    <w:rsid w:val="4E0C3F18"/>
    <w:rsid w:val="4E6D2CB8"/>
    <w:rsid w:val="4ED032E7"/>
    <w:rsid w:val="4ED97DE9"/>
    <w:rsid w:val="4F45079D"/>
    <w:rsid w:val="4F7C2E75"/>
    <w:rsid w:val="5027550C"/>
    <w:rsid w:val="5054095A"/>
    <w:rsid w:val="507B081A"/>
    <w:rsid w:val="50A75D18"/>
    <w:rsid w:val="50CD3844"/>
    <w:rsid w:val="512A4843"/>
    <w:rsid w:val="513A40D0"/>
    <w:rsid w:val="514946EA"/>
    <w:rsid w:val="515A6B83"/>
    <w:rsid w:val="517A073C"/>
    <w:rsid w:val="517F6B8D"/>
    <w:rsid w:val="519B2E9C"/>
    <w:rsid w:val="51A161BE"/>
    <w:rsid w:val="51D714C7"/>
    <w:rsid w:val="51E00412"/>
    <w:rsid w:val="51F562DF"/>
    <w:rsid w:val="52121BB5"/>
    <w:rsid w:val="521D0102"/>
    <w:rsid w:val="522100B0"/>
    <w:rsid w:val="525154C4"/>
    <w:rsid w:val="526F78B2"/>
    <w:rsid w:val="52B513BE"/>
    <w:rsid w:val="52EC03EB"/>
    <w:rsid w:val="530B1DCC"/>
    <w:rsid w:val="530C225C"/>
    <w:rsid w:val="531F0928"/>
    <w:rsid w:val="532F5343"/>
    <w:rsid w:val="533E08F9"/>
    <w:rsid w:val="5346672E"/>
    <w:rsid w:val="5357444A"/>
    <w:rsid w:val="53820B12"/>
    <w:rsid w:val="54267F9B"/>
    <w:rsid w:val="54F31517"/>
    <w:rsid w:val="5509025D"/>
    <w:rsid w:val="551556A5"/>
    <w:rsid w:val="55401D6C"/>
    <w:rsid w:val="554558D8"/>
    <w:rsid w:val="55754AD4"/>
    <w:rsid w:val="557708B5"/>
    <w:rsid w:val="55B735B4"/>
    <w:rsid w:val="55C43625"/>
    <w:rsid w:val="55DB77D0"/>
    <w:rsid w:val="55ED318A"/>
    <w:rsid w:val="55FA625C"/>
    <w:rsid w:val="563E54BC"/>
    <w:rsid w:val="565B7F3A"/>
    <w:rsid w:val="56A31EE4"/>
    <w:rsid w:val="56F51BA4"/>
    <w:rsid w:val="56FD77F1"/>
    <w:rsid w:val="571E12FD"/>
    <w:rsid w:val="571F24A8"/>
    <w:rsid w:val="573E3DB0"/>
    <w:rsid w:val="578A642E"/>
    <w:rsid w:val="578B67CD"/>
    <w:rsid w:val="578C1931"/>
    <w:rsid w:val="57A3063E"/>
    <w:rsid w:val="57A7215B"/>
    <w:rsid w:val="57D24E7C"/>
    <w:rsid w:val="58425BDC"/>
    <w:rsid w:val="5873171A"/>
    <w:rsid w:val="588562C6"/>
    <w:rsid w:val="58D6513A"/>
    <w:rsid w:val="59522196"/>
    <w:rsid w:val="597102E2"/>
    <w:rsid w:val="59972EFA"/>
    <w:rsid w:val="59A92BA5"/>
    <w:rsid w:val="59AA2204"/>
    <w:rsid w:val="59EC260F"/>
    <w:rsid w:val="5A006E37"/>
    <w:rsid w:val="5A2202AE"/>
    <w:rsid w:val="5A595071"/>
    <w:rsid w:val="5A6C3F68"/>
    <w:rsid w:val="5ABF32C5"/>
    <w:rsid w:val="5ADE5CD3"/>
    <w:rsid w:val="5AEE3DBE"/>
    <w:rsid w:val="5B0F6FF4"/>
    <w:rsid w:val="5B343F5B"/>
    <w:rsid w:val="5B715A14"/>
    <w:rsid w:val="5B7F2E79"/>
    <w:rsid w:val="5B8945B3"/>
    <w:rsid w:val="5B9C20DB"/>
    <w:rsid w:val="5BD313DB"/>
    <w:rsid w:val="5BD347B4"/>
    <w:rsid w:val="5BD42235"/>
    <w:rsid w:val="5BDD2B45"/>
    <w:rsid w:val="5BE701AC"/>
    <w:rsid w:val="5C2563D2"/>
    <w:rsid w:val="5C493E38"/>
    <w:rsid w:val="5C497C75"/>
    <w:rsid w:val="5C9024CB"/>
    <w:rsid w:val="5CD765E0"/>
    <w:rsid w:val="5D1660D4"/>
    <w:rsid w:val="5D385380"/>
    <w:rsid w:val="5D444935"/>
    <w:rsid w:val="5D6F7A58"/>
    <w:rsid w:val="5D9D39C5"/>
    <w:rsid w:val="5DA80EB7"/>
    <w:rsid w:val="5DD067F8"/>
    <w:rsid w:val="5DF606E4"/>
    <w:rsid w:val="5DFA2766"/>
    <w:rsid w:val="5E12784F"/>
    <w:rsid w:val="5E26061F"/>
    <w:rsid w:val="5EC84538"/>
    <w:rsid w:val="5ED50624"/>
    <w:rsid w:val="5ED8702A"/>
    <w:rsid w:val="5EE81179"/>
    <w:rsid w:val="5F164911"/>
    <w:rsid w:val="5F3560BF"/>
    <w:rsid w:val="5FA60727"/>
    <w:rsid w:val="5FD50E80"/>
    <w:rsid w:val="5FDF4E3C"/>
    <w:rsid w:val="603921BF"/>
    <w:rsid w:val="60467201"/>
    <w:rsid w:val="611B369C"/>
    <w:rsid w:val="617A613E"/>
    <w:rsid w:val="61855A0A"/>
    <w:rsid w:val="62146209"/>
    <w:rsid w:val="623A4E7F"/>
    <w:rsid w:val="623F1E5F"/>
    <w:rsid w:val="62796CEF"/>
    <w:rsid w:val="627B71A0"/>
    <w:rsid w:val="627D0929"/>
    <w:rsid w:val="62C16C71"/>
    <w:rsid w:val="62F135FC"/>
    <w:rsid w:val="63130619"/>
    <w:rsid w:val="63483071"/>
    <w:rsid w:val="634E6169"/>
    <w:rsid w:val="63756682"/>
    <w:rsid w:val="637B25BA"/>
    <w:rsid w:val="63800859"/>
    <w:rsid w:val="64423289"/>
    <w:rsid w:val="645B1696"/>
    <w:rsid w:val="645F60EA"/>
    <w:rsid w:val="64713024"/>
    <w:rsid w:val="64857557"/>
    <w:rsid w:val="64901066"/>
    <w:rsid w:val="649C3F62"/>
    <w:rsid w:val="64B1636B"/>
    <w:rsid w:val="64D14660"/>
    <w:rsid w:val="65367019"/>
    <w:rsid w:val="655A434A"/>
    <w:rsid w:val="659A6D3E"/>
    <w:rsid w:val="65D920A6"/>
    <w:rsid w:val="6619093D"/>
    <w:rsid w:val="664107D0"/>
    <w:rsid w:val="666979C8"/>
    <w:rsid w:val="667A6BE2"/>
    <w:rsid w:val="667B19B6"/>
    <w:rsid w:val="667C162B"/>
    <w:rsid w:val="66990B2F"/>
    <w:rsid w:val="66A02B92"/>
    <w:rsid w:val="66B229A3"/>
    <w:rsid w:val="66CC7AB7"/>
    <w:rsid w:val="66EC34BE"/>
    <w:rsid w:val="670E46A1"/>
    <w:rsid w:val="67456D79"/>
    <w:rsid w:val="67602EBD"/>
    <w:rsid w:val="67666032"/>
    <w:rsid w:val="676C7B91"/>
    <w:rsid w:val="67706CC4"/>
    <w:rsid w:val="67742D74"/>
    <w:rsid w:val="677A5055"/>
    <w:rsid w:val="678655E4"/>
    <w:rsid w:val="679B7D49"/>
    <w:rsid w:val="67B14957"/>
    <w:rsid w:val="67BC5ABE"/>
    <w:rsid w:val="68120C6A"/>
    <w:rsid w:val="683F2814"/>
    <w:rsid w:val="68511835"/>
    <w:rsid w:val="686D58E2"/>
    <w:rsid w:val="688A7410"/>
    <w:rsid w:val="68B50ACE"/>
    <w:rsid w:val="690B5432"/>
    <w:rsid w:val="6923630A"/>
    <w:rsid w:val="692E7F1E"/>
    <w:rsid w:val="6974674E"/>
    <w:rsid w:val="698F343B"/>
    <w:rsid w:val="699636A9"/>
    <w:rsid w:val="69AC6C0B"/>
    <w:rsid w:val="69B279D6"/>
    <w:rsid w:val="6A015CF8"/>
    <w:rsid w:val="6A3D00DC"/>
    <w:rsid w:val="6A491970"/>
    <w:rsid w:val="6A5C2B8F"/>
    <w:rsid w:val="6A9A0475"/>
    <w:rsid w:val="6AE37104"/>
    <w:rsid w:val="6AEA5C76"/>
    <w:rsid w:val="6BB256BF"/>
    <w:rsid w:val="6BC31BD8"/>
    <w:rsid w:val="6BF74B2E"/>
    <w:rsid w:val="6C05197D"/>
    <w:rsid w:val="6C272092"/>
    <w:rsid w:val="6C2B07E3"/>
    <w:rsid w:val="6C3706BD"/>
    <w:rsid w:val="6C3A689C"/>
    <w:rsid w:val="6C6241DE"/>
    <w:rsid w:val="6C8F7D1B"/>
    <w:rsid w:val="6CAD2E04"/>
    <w:rsid w:val="6CBD35F3"/>
    <w:rsid w:val="6CD509F7"/>
    <w:rsid w:val="6CDC28EF"/>
    <w:rsid w:val="6D302924"/>
    <w:rsid w:val="6D400349"/>
    <w:rsid w:val="6D474FD5"/>
    <w:rsid w:val="6D727209"/>
    <w:rsid w:val="6D756624"/>
    <w:rsid w:val="6DAA1F76"/>
    <w:rsid w:val="6DAF3180"/>
    <w:rsid w:val="6DD01259"/>
    <w:rsid w:val="6DF54920"/>
    <w:rsid w:val="6E077F01"/>
    <w:rsid w:val="6E0E0CE3"/>
    <w:rsid w:val="6E20323A"/>
    <w:rsid w:val="6E2668FA"/>
    <w:rsid w:val="6E4E2A84"/>
    <w:rsid w:val="6E500DC6"/>
    <w:rsid w:val="6EA64798"/>
    <w:rsid w:val="6EB66959"/>
    <w:rsid w:val="6EDC35ED"/>
    <w:rsid w:val="6EFC1923"/>
    <w:rsid w:val="6EFC51A7"/>
    <w:rsid w:val="6F147640"/>
    <w:rsid w:val="6FE633B4"/>
    <w:rsid w:val="6FEE0256"/>
    <w:rsid w:val="700C1760"/>
    <w:rsid w:val="701170EC"/>
    <w:rsid w:val="703716AB"/>
    <w:rsid w:val="70406A16"/>
    <w:rsid w:val="70593DDE"/>
    <w:rsid w:val="706A37E2"/>
    <w:rsid w:val="70A319BE"/>
    <w:rsid w:val="70A367DC"/>
    <w:rsid w:val="70B6663A"/>
    <w:rsid w:val="70B97668"/>
    <w:rsid w:val="70BF5182"/>
    <w:rsid w:val="70DA0EB4"/>
    <w:rsid w:val="70DE1F36"/>
    <w:rsid w:val="71311D99"/>
    <w:rsid w:val="714A2FA6"/>
    <w:rsid w:val="715304D9"/>
    <w:rsid w:val="716866D4"/>
    <w:rsid w:val="718B3B25"/>
    <w:rsid w:val="71920663"/>
    <w:rsid w:val="719E6674"/>
    <w:rsid w:val="72057764"/>
    <w:rsid w:val="724C7A91"/>
    <w:rsid w:val="72510C2D"/>
    <w:rsid w:val="726F7A40"/>
    <w:rsid w:val="727A2B5F"/>
    <w:rsid w:val="728D3B4B"/>
    <w:rsid w:val="72C267D6"/>
    <w:rsid w:val="72D95730"/>
    <w:rsid w:val="73166260"/>
    <w:rsid w:val="733C5638"/>
    <w:rsid w:val="7359610E"/>
    <w:rsid w:val="73807E8C"/>
    <w:rsid w:val="7396227D"/>
    <w:rsid w:val="73B1065D"/>
    <w:rsid w:val="73C64D7F"/>
    <w:rsid w:val="73C85151"/>
    <w:rsid w:val="73C93A07"/>
    <w:rsid w:val="73DF76FC"/>
    <w:rsid w:val="740D74D1"/>
    <w:rsid w:val="74887320"/>
    <w:rsid w:val="74944C62"/>
    <w:rsid w:val="74964153"/>
    <w:rsid w:val="74A024E4"/>
    <w:rsid w:val="74A677B5"/>
    <w:rsid w:val="74A9289C"/>
    <w:rsid w:val="74C0081A"/>
    <w:rsid w:val="74CF3C20"/>
    <w:rsid w:val="74E81B55"/>
    <w:rsid w:val="75011284"/>
    <w:rsid w:val="752175BA"/>
    <w:rsid w:val="756D74E4"/>
    <w:rsid w:val="75A17482"/>
    <w:rsid w:val="75B76E85"/>
    <w:rsid w:val="75C42647"/>
    <w:rsid w:val="75D00657"/>
    <w:rsid w:val="75D100C4"/>
    <w:rsid w:val="762F7C0A"/>
    <w:rsid w:val="765C3ABF"/>
    <w:rsid w:val="7663757C"/>
    <w:rsid w:val="767720EA"/>
    <w:rsid w:val="76853969"/>
    <w:rsid w:val="768C07D8"/>
    <w:rsid w:val="76FB7CCC"/>
    <w:rsid w:val="772B760F"/>
    <w:rsid w:val="772D6395"/>
    <w:rsid w:val="77543BCA"/>
    <w:rsid w:val="77560455"/>
    <w:rsid w:val="778238A1"/>
    <w:rsid w:val="778D1C32"/>
    <w:rsid w:val="77E83E49"/>
    <w:rsid w:val="77FB2266"/>
    <w:rsid w:val="78173D95"/>
    <w:rsid w:val="78304CBF"/>
    <w:rsid w:val="78711EA5"/>
    <w:rsid w:val="78F227FE"/>
    <w:rsid w:val="78FC3F32"/>
    <w:rsid w:val="79573F75"/>
    <w:rsid w:val="7980083C"/>
    <w:rsid w:val="79BD3F25"/>
    <w:rsid w:val="7A8315F1"/>
    <w:rsid w:val="7A905722"/>
    <w:rsid w:val="7AA51E44"/>
    <w:rsid w:val="7AD0650C"/>
    <w:rsid w:val="7B04588B"/>
    <w:rsid w:val="7B4F3A26"/>
    <w:rsid w:val="7B5D15F3"/>
    <w:rsid w:val="7BB3741F"/>
    <w:rsid w:val="7BBB1C1E"/>
    <w:rsid w:val="7BC36BAD"/>
    <w:rsid w:val="7BFC0976"/>
    <w:rsid w:val="7C5B3A94"/>
    <w:rsid w:val="7C6552DE"/>
    <w:rsid w:val="7C8313D5"/>
    <w:rsid w:val="7C8B640D"/>
    <w:rsid w:val="7C8E7766"/>
    <w:rsid w:val="7C985AF7"/>
    <w:rsid w:val="7CA9768F"/>
    <w:rsid w:val="7CAD6D0A"/>
    <w:rsid w:val="7CDC328D"/>
    <w:rsid w:val="7CEA45AE"/>
    <w:rsid w:val="7CEF6506"/>
    <w:rsid w:val="7CFA011A"/>
    <w:rsid w:val="7D237F9B"/>
    <w:rsid w:val="7D4071CA"/>
    <w:rsid w:val="7D9E6DEE"/>
    <w:rsid w:val="7DC93C6B"/>
    <w:rsid w:val="7DD532C9"/>
    <w:rsid w:val="7DE56188"/>
    <w:rsid w:val="7DF34AAF"/>
    <w:rsid w:val="7E0A3E44"/>
    <w:rsid w:val="7E286E4E"/>
    <w:rsid w:val="7E4A0D41"/>
    <w:rsid w:val="7E5252B7"/>
    <w:rsid w:val="7E620CB9"/>
    <w:rsid w:val="7ECD2214"/>
    <w:rsid w:val="7EFC4E05"/>
    <w:rsid w:val="7F242240"/>
    <w:rsid w:val="7F2C6E61"/>
    <w:rsid w:val="7F5B0B7E"/>
    <w:rsid w:val="7F5D1C11"/>
    <w:rsid w:val="7F656F0F"/>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360" w:lineRule="auto"/>
      <w:outlineLvl w:val="0"/>
    </w:pPr>
    <w:rPr>
      <w:b/>
      <w:bCs/>
      <w:kern w:val="44"/>
      <w:sz w:val="32"/>
      <w:szCs w:val="32"/>
    </w:rPr>
  </w:style>
  <w:style w:type="paragraph" w:styleId="4">
    <w:name w:val="heading 2"/>
    <w:basedOn w:val="1"/>
    <w:next w:val="1"/>
    <w:link w:val="5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2"/>
    <w:qFormat/>
    <w:uiPriority w:val="99"/>
    <w:pPr>
      <w:keepNext/>
      <w:keepLines/>
      <w:spacing w:line="360" w:lineRule="auto"/>
      <w:outlineLvl w:val="2"/>
    </w:pPr>
    <w:rPr>
      <w:b/>
      <w:bCs/>
      <w:sz w:val="24"/>
      <w:szCs w:val="24"/>
    </w:rPr>
  </w:style>
  <w:style w:type="paragraph" w:styleId="6">
    <w:name w:val="heading 4"/>
    <w:basedOn w:val="1"/>
    <w:next w:val="1"/>
    <w:link w:val="53"/>
    <w:qFormat/>
    <w:uiPriority w:val="99"/>
    <w:pPr>
      <w:keepNext/>
      <w:keepLines/>
      <w:spacing w:line="360" w:lineRule="auto"/>
      <w:outlineLvl w:val="3"/>
    </w:pPr>
    <w:rPr>
      <w:rFonts w:ascii="Arial" w:hAnsi="Arial" w:cs="Arial"/>
      <w:b/>
      <w:bCs/>
    </w:rPr>
  </w:style>
  <w:style w:type="paragraph" w:styleId="7">
    <w:name w:val="heading 5"/>
    <w:basedOn w:val="1"/>
    <w:next w:val="1"/>
    <w:link w:val="54"/>
    <w:qFormat/>
    <w:uiPriority w:val="99"/>
    <w:pPr>
      <w:keepNext/>
      <w:keepLines/>
      <w:spacing w:before="280" w:after="290" w:line="376" w:lineRule="auto"/>
      <w:outlineLvl w:val="4"/>
    </w:pPr>
    <w:rPr>
      <w:b/>
      <w:bCs/>
      <w:sz w:val="28"/>
      <w:szCs w:val="28"/>
    </w:rPr>
  </w:style>
  <w:style w:type="paragraph" w:styleId="8">
    <w:name w:val="heading 6"/>
    <w:basedOn w:val="1"/>
    <w:next w:val="1"/>
    <w:link w:val="55"/>
    <w:qFormat/>
    <w:uiPriority w:val="99"/>
    <w:pPr>
      <w:keepNext/>
      <w:keepLines/>
      <w:spacing w:before="240" w:after="64" w:line="320" w:lineRule="auto"/>
      <w:outlineLvl w:val="5"/>
    </w:pPr>
    <w:rPr>
      <w:rFonts w:ascii="Arial" w:hAnsi="Arial" w:eastAsia="黑体" w:cs="Arial"/>
      <w:b/>
      <w:bCs/>
      <w:sz w:val="24"/>
      <w:szCs w:val="24"/>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8"/>
    <w:semiHidden/>
    <w:qFormat/>
    <w:uiPriority w:val="99"/>
    <w:pPr>
      <w:shd w:val="clear" w:color="auto" w:fill="000080"/>
    </w:pPr>
  </w:style>
  <w:style w:type="paragraph" w:styleId="12">
    <w:name w:val="annotation text"/>
    <w:basedOn w:val="1"/>
    <w:link w:val="56"/>
    <w:semiHidden/>
    <w:qFormat/>
    <w:uiPriority w:val="99"/>
    <w:pPr>
      <w:jc w:val="left"/>
    </w:pPr>
  </w:style>
  <w:style w:type="paragraph" w:styleId="13">
    <w:name w:val="Body Text 3"/>
    <w:basedOn w:val="1"/>
    <w:link w:val="59"/>
    <w:qFormat/>
    <w:uiPriority w:val="99"/>
    <w:rPr>
      <w:rFonts w:ascii="宋体" w:cs="宋体"/>
      <w:sz w:val="24"/>
      <w:szCs w:val="24"/>
    </w:rPr>
  </w:style>
  <w:style w:type="paragraph" w:styleId="14">
    <w:name w:val="Body Text Indent"/>
    <w:basedOn w:val="1"/>
    <w:link w:val="61"/>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semiHidden/>
    <w:qFormat/>
    <w:uiPriority w:val="99"/>
    <w:pPr>
      <w:ind w:left="420"/>
      <w:jc w:val="left"/>
    </w:pPr>
    <w:rPr>
      <w:rFonts w:ascii="Calibri" w:hAnsi="Calibri" w:cs="Calibri"/>
      <w:i/>
      <w:iCs/>
      <w:sz w:val="20"/>
      <w:szCs w:val="20"/>
    </w:rPr>
  </w:style>
  <w:style w:type="paragraph" w:styleId="17">
    <w:name w:val="Plain Text"/>
    <w:basedOn w:val="1"/>
    <w:link w:val="62"/>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3"/>
    <w:qFormat/>
    <w:uiPriority w:val="99"/>
    <w:pPr>
      <w:ind w:left="100" w:leftChars="2500"/>
    </w:pPr>
  </w:style>
  <w:style w:type="paragraph" w:styleId="20">
    <w:name w:val="Body Text Indent 2"/>
    <w:basedOn w:val="1"/>
    <w:link w:val="64"/>
    <w:qFormat/>
    <w:uiPriority w:val="99"/>
    <w:pPr>
      <w:spacing w:line="480" w:lineRule="exact"/>
      <w:ind w:left="-1"/>
    </w:pPr>
    <w:rPr>
      <w:sz w:val="24"/>
      <w:szCs w:val="24"/>
    </w:rPr>
  </w:style>
  <w:style w:type="paragraph" w:styleId="21">
    <w:name w:val="Balloon Text"/>
    <w:basedOn w:val="1"/>
    <w:link w:val="65"/>
    <w:semiHidden/>
    <w:qFormat/>
    <w:uiPriority w:val="99"/>
    <w:rPr>
      <w:sz w:val="18"/>
      <w:szCs w:val="18"/>
    </w:rPr>
  </w:style>
  <w:style w:type="paragraph" w:styleId="22">
    <w:name w:val="footer"/>
    <w:basedOn w:val="1"/>
    <w:link w:val="66"/>
    <w:qFormat/>
    <w:uiPriority w:val="99"/>
    <w:pPr>
      <w:tabs>
        <w:tab w:val="center" w:pos="4153"/>
        <w:tab w:val="right" w:pos="8306"/>
      </w:tabs>
      <w:snapToGrid w:val="0"/>
      <w:jc w:val="left"/>
    </w:pPr>
    <w:rPr>
      <w:sz w:val="18"/>
      <w:szCs w:val="18"/>
    </w:rPr>
  </w:style>
  <w:style w:type="paragraph" w:styleId="23">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8"/>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69"/>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7"/>
    <w:semiHidden/>
    <w:qFormat/>
    <w:uiPriority w:val="99"/>
    <w:rPr>
      <w:b/>
      <w:bCs/>
    </w:rPr>
  </w:style>
  <w:style w:type="paragraph" w:styleId="33">
    <w:name w:val="Body Text First Indent"/>
    <w:basedOn w:val="2"/>
    <w:unhideWhenUsed/>
    <w:qFormat/>
    <w:locked/>
    <w:uiPriority w:val="99"/>
    <w:pPr>
      <w:ind w:firstLine="420" w:firstLineChars="100"/>
    </w:pPr>
    <w:rPr>
      <w:szCs w:val="24"/>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auto"/>
      <w:u w:val="none"/>
    </w:rPr>
  </w:style>
  <w:style w:type="character" w:styleId="40">
    <w:name w:val="Emphasis"/>
    <w:basedOn w:val="36"/>
    <w:qFormat/>
    <w:uiPriority w:val="99"/>
    <w:rPr>
      <w:i/>
      <w:iCs/>
    </w:rPr>
  </w:style>
  <w:style w:type="character" w:styleId="41">
    <w:name w:val="HTML Definition"/>
    <w:basedOn w:val="36"/>
    <w:qFormat/>
    <w:uiPriority w:val="99"/>
  </w:style>
  <w:style w:type="character" w:styleId="42">
    <w:name w:val="HTML Acronym"/>
    <w:basedOn w:val="36"/>
    <w:qFormat/>
    <w:uiPriority w:val="99"/>
  </w:style>
  <w:style w:type="character" w:styleId="43">
    <w:name w:val="HTML Variable"/>
    <w:basedOn w:val="36"/>
    <w:qFormat/>
    <w:uiPriority w:val="99"/>
  </w:style>
  <w:style w:type="character" w:styleId="44">
    <w:name w:val="Hyperlink"/>
    <w:basedOn w:val="36"/>
    <w:qFormat/>
    <w:uiPriority w:val="99"/>
    <w:rPr>
      <w:color w:val="auto"/>
      <w:u w:val="none"/>
    </w:rPr>
  </w:style>
  <w:style w:type="character" w:styleId="45">
    <w:name w:val="HTML Code"/>
    <w:basedOn w:val="36"/>
    <w:qFormat/>
    <w:uiPriority w:val="99"/>
    <w:rPr>
      <w:rFonts w:ascii="monospace" w:hAnsi="monospace" w:cs="monospace"/>
      <w:sz w:val="24"/>
      <w:szCs w:val="24"/>
    </w:rPr>
  </w:style>
  <w:style w:type="character" w:styleId="46">
    <w:name w:val="annotation reference"/>
    <w:basedOn w:val="36"/>
    <w:semiHidden/>
    <w:qFormat/>
    <w:uiPriority w:val="99"/>
    <w:rPr>
      <w:sz w:val="21"/>
      <w:szCs w:val="21"/>
    </w:rPr>
  </w:style>
  <w:style w:type="character" w:styleId="47">
    <w:name w:val="HTML Cite"/>
    <w:basedOn w:val="36"/>
    <w:qFormat/>
    <w:uiPriority w:val="99"/>
  </w:style>
  <w:style w:type="character" w:styleId="48">
    <w:name w:val="HTML Keyboard"/>
    <w:basedOn w:val="36"/>
    <w:qFormat/>
    <w:uiPriority w:val="99"/>
    <w:rPr>
      <w:rFonts w:ascii="monospace" w:hAnsi="monospace" w:cs="monospace"/>
      <w:sz w:val="24"/>
      <w:szCs w:val="24"/>
    </w:rPr>
  </w:style>
  <w:style w:type="character" w:styleId="49">
    <w:name w:val="HTML Sample"/>
    <w:basedOn w:val="36"/>
    <w:qFormat/>
    <w:uiPriority w:val="99"/>
    <w:rPr>
      <w:rFonts w:ascii="monospace" w:hAnsi="monospace" w:cs="monospace"/>
      <w:sz w:val="24"/>
      <w:szCs w:val="24"/>
    </w:rPr>
  </w:style>
  <w:style w:type="character" w:customStyle="1" w:styleId="50">
    <w:name w:val="标题 1 Char"/>
    <w:basedOn w:val="36"/>
    <w:link w:val="3"/>
    <w:qFormat/>
    <w:locked/>
    <w:uiPriority w:val="99"/>
    <w:rPr>
      <w:b/>
      <w:bCs/>
      <w:kern w:val="44"/>
      <w:sz w:val="44"/>
      <w:szCs w:val="44"/>
    </w:rPr>
  </w:style>
  <w:style w:type="character" w:customStyle="1" w:styleId="51">
    <w:name w:val="标题 2 Char"/>
    <w:basedOn w:val="36"/>
    <w:link w:val="4"/>
    <w:qFormat/>
    <w:locked/>
    <w:uiPriority w:val="99"/>
    <w:rPr>
      <w:rFonts w:ascii="Cambria" w:hAnsi="Cambria" w:cs="Cambria"/>
      <w:b/>
      <w:bCs/>
      <w:kern w:val="2"/>
      <w:sz w:val="32"/>
      <w:szCs w:val="32"/>
    </w:rPr>
  </w:style>
  <w:style w:type="character" w:customStyle="1" w:styleId="52">
    <w:name w:val="标题 3 Char"/>
    <w:basedOn w:val="36"/>
    <w:link w:val="5"/>
    <w:qFormat/>
    <w:locked/>
    <w:uiPriority w:val="99"/>
    <w:rPr>
      <w:b/>
      <w:bCs/>
      <w:kern w:val="2"/>
      <w:sz w:val="32"/>
      <w:szCs w:val="32"/>
    </w:rPr>
  </w:style>
  <w:style w:type="character" w:customStyle="1" w:styleId="53">
    <w:name w:val="标题 4 Char"/>
    <w:basedOn w:val="36"/>
    <w:link w:val="6"/>
    <w:semiHidden/>
    <w:qFormat/>
    <w:locked/>
    <w:uiPriority w:val="99"/>
    <w:rPr>
      <w:rFonts w:ascii="Cambria" w:hAnsi="Cambria" w:eastAsia="宋体" w:cs="Cambria"/>
      <w:b/>
      <w:bCs/>
      <w:sz w:val="28"/>
      <w:szCs w:val="28"/>
    </w:rPr>
  </w:style>
  <w:style w:type="character" w:customStyle="1" w:styleId="54">
    <w:name w:val="标题 5 Char"/>
    <w:basedOn w:val="36"/>
    <w:link w:val="7"/>
    <w:qFormat/>
    <w:locked/>
    <w:uiPriority w:val="99"/>
    <w:rPr>
      <w:b/>
      <w:bCs/>
      <w:kern w:val="2"/>
      <w:sz w:val="28"/>
      <w:szCs w:val="28"/>
    </w:rPr>
  </w:style>
  <w:style w:type="character" w:customStyle="1" w:styleId="55">
    <w:name w:val="标题 6 Char"/>
    <w:basedOn w:val="36"/>
    <w:link w:val="8"/>
    <w:semiHidden/>
    <w:qFormat/>
    <w:locked/>
    <w:uiPriority w:val="99"/>
    <w:rPr>
      <w:rFonts w:ascii="Cambria" w:hAnsi="Cambria" w:eastAsia="宋体" w:cs="Cambria"/>
      <w:b/>
      <w:bCs/>
      <w:sz w:val="24"/>
      <w:szCs w:val="24"/>
    </w:rPr>
  </w:style>
  <w:style w:type="character" w:customStyle="1" w:styleId="56">
    <w:name w:val="批注文字 Char"/>
    <w:basedOn w:val="36"/>
    <w:link w:val="12"/>
    <w:semiHidden/>
    <w:qFormat/>
    <w:locked/>
    <w:uiPriority w:val="99"/>
    <w:rPr>
      <w:sz w:val="21"/>
      <w:szCs w:val="21"/>
    </w:rPr>
  </w:style>
  <w:style w:type="character" w:customStyle="1" w:styleId="57">
    <w:name w:val="批注主题 Char"/>
    <w:basedOn w:val="56"/>
    <w:link w:val="32"/>
    <w:semiHidden/>
    <w:qFormat/>
    <w:locked/>
    <w:uiPriority w:val="99"/>
    <w:rPr>
      <w:b/>
      <w:bCs/>
    </w:rPr>
  </w:style>
  <w:style w:type="character" w:customStyle="1" w:styleId="58">
    <w:name w:val="文档结构图 Char"/>
    <w:basedOn w:val="36"/>
    <w:link w:val="11"/>
    <w:semiHidden/>
    <w:qFormat/>
    <w:locked/>
    <w:uiPriority w:val="99"/>
    <w:rPr>
      <w:sz w:val="2"/>
      <w:szCs w:val="2"/>
    </w:rPr>
  </w:style>
  <w:style w:type="character" w:customStyle="1" w:styleId="59">
    <w:name w:val="正文文本 3 Char"/>
    <w:basedOn w:val="36"/>
    <w:link w:val="13"/>
    <w:semiHidden/>
    <w:qFormat/>
    <w:locked/>
    <w:uiPriority w:val="99"/>
    <w:rPr>
      <w:sz w:val="16"/>
      <w:szCs w:val="16"/>
    </w:rPr>
  </w:style>
  <w:style w:type="character" w:customStyle="1" w:styleId="60">
    <w:name w:val="正文文本 Char"/>
    <w:basedOn w:val="36"/>
    <w:link w:val="2"/>
    <w:qFormat/>
    <w:locked/>
    <w:uiPriority w:val="99"/>
    <w:rPr>
      <w:rFonts w:eastAsia="宋体"/>
      <w:kern w:val="2"/>
      <w:sz w:val="21"/>
      <w:szCs w:val="21"/>
      <w:lang w:val="en-US" w:eastAsia="zh-CN"/>
    </w:rPr>
  </w:style>
  <w:style w:type="character" w:customStyle="1" w:styleId="61">
    <w:name w:val="正文文本缩进 Char"/>
    <w:basedOn w:val="36"/>
    <w:link w:val="14"/>
    <w:qFormat/>
    <w:locked/>
    <w:uiPriority w:val="99"/>
    <w:rPr>
      <w:snapToGrid w:val="0"/>
      <w:sz w:val="24"/>
      <w:szCs w:val="24"/>
    </w:rPr>
  </w:style>
  <w:style w:type="character" w:customStyle="1" w:styleId="62">
    <w:name w:val="纯文本 Char"/>
    <w:basedOn w:val="36"/>
    <w:link w:val="17"/>
    <w:qFormat/>
    <w:locked/>
    <w:uiPriority w:val="99"/>
    <w:rPr>
      <w:rFonts w:ascii="宋体" w:hAnsi="Courier New" w:eastAsia="宋体" w:cs="宋体"/>
      <w:kern w:val="2"/>
      <w:sz w:val="21"/>
      <w:szCs w:val="21"/>
      <w:lang w:val="en-US" w:eastAsia="zh-CN"/>
    </w:rPr>
  </w:style>
  <w:style w:type="character" w:customStyle="1" w:styleId="63">
    <w:name w:val="日期 Char"/>
    <w:basedOn w:val="36"/>
    <w:link w:val="19"/>
    <w:semiHidden/>
    <w:qFormat/>
    <w:locked/>
    <w:uiPriority w:val="99"/>
    <w:rPr>
      <w:sz w:val="21"/>
      <w:szCs w:val="21"/>
    </w:rPr>
  </w:style>
  <w:style w:type="character" w:customStyle="1" w:styleId="64">
    <w:name w:val="正文文本缩进 2 Char"/>
    <w:basedOn w:val="36"/>
    <w:link w:val="20"/>
    <w:qFormat/>
    <w:locked/>
    <w:uiPriority w:val="99"/>
    <w:rPr>
      <w:snapToGrid w:val="0"/>
      <w:sz w:val="24"/>
      <w:szCs w:val="24"/>
    </w:rPr>
  </w:style>
  <w:style w:type="character" w:customStyle="1" w:styleId="65">
    <w:name w:val="批注框文本 Char"/>
    <w:basedOn w:val="36"/>
    <w:link w:val="21"/>
    <w:qFormat/>
    <w:locked/>
    <w:uiPriority w:val="99"/>
    <w:rPr>
      <w:kern w:val="2"/>
      <w:sz w:val="18"/>
      <w:szCs w:val="18"/>
    </w:rPr>
  </w:style>
  <w:style w:type="character" w:customStyle="1" w:styleId="66">
    <w:name w:val="页脚 Char"/>
    <w:basedOn w:val="36"/>
    <w:link w:val="22"/>
    <w:qFormat/>
    <w:locked/>
    <w:uiPriority w:val="99"/>
    <w:rPr>
      <w:rFonts w:eastAsia="宋体"/>
      <w:kern w:val="2"/>
      <w:sz w:val="18"/>
      <w:szCs w:val="18"/>
      <w:lang w:val="en-US" w:eastAsia="zh-CN"/>
    </w:rPr>
  </w:style>
  <w:style w:type="character" w:customStyle="1" w:styleId="67">
    <w:name w:val="页眉 Char"/>
    <w:basedOn w:val="36"/>
    <w:link w:val="23"/>
    <w:semiHidden/>
    <w:qFormat/>
    <w:locked/>
    <w:uiPriority w:val="99"/>
    <w:rPr>
      <w:sz w:val="18"/>
      <w:szCs w:val="18"/>
    </w:rPr>
  </w:style>
  <w:style w:type="character" w:customStyle="1" w:styleId="68">
    <w:name w:val="正文文本缩进 3 Char"/>
    <w:basedOn w:val="36"/>
    <w:link w:val="27"/>
    <w:qFormat/>
    <w:locked/>
    <w:uiPriority w:val="99"/>
    <w:rPr>
      <w:rFonts w:ascii="宋体" w:eastAsia="宋体" w:cs="宋体"/>
      <w:snapToGrid w:val="0"/>
      <w:sz w:val="24"/>
      <w:szCs w:val="24"/>
    </w:rPr>
  </w:style>
  <w:style w:type="character" w:customStyle="1" w:styleId="69">
    <w:name w:val="正文文本 2 Char"/>
    <w:basedOn w:val="36"/>
    <w:link w:val="30"/>
    <w:qFormat/>
    <w:locked/>
    <w:uiPriority w:val="99"/>
    <w:rPr>
      <w:rFonts w:ascii="宋体" w:cs="宋体"/>
      <w:kern w:val="2"/>
      <w:sz w:val="24"/>
      <w:szCs w:val="24"/>
    </w:rPr>
  </w:style>
  <w:style w:type="character" w:customStyle="1" w:styleId="70">
    <w:name w:val="Char Char24"/>
    <w:qFormat/>
    <w:locked/>
    <w:uiPriority w:val="99"/>
    <w:rPr>
      <w:rFonts w:eastAsia="宋体"/>
      <w:b/>
      <w:bCs/>
      <w:kern w:val="2"/>
      <w:sz w:val="32"/>
      <w:szCs w:val="32"/>
      <w:lang w:val="en-US" w:eastAsia="zh-CN"/>
    </w:rPr>
  </w:style>
  <w:style w:type="character" w:customStyle="1" w:styleId="71">
    <w:name w:val="t_tag"/>
    <w:basedOn w:val="36"/>
    <w:qFormat/>
    <w:uiPriority w:val="99"/>
  </w:style>
  <w:style w:type="character" w:customStyle="1" w:styleId="72">
    <w:name w:val="Char Char3"/>
    <w:qFormat/>
    <w:uiPriority w:val="99"/>
    <w:rPr>
      <w:rFonts w:eastAsia="宋体"/>
      <w:kern w:val="2"/>
      <w:sz w:val="24"/>
      <w:szCs w:val="24"/>
      <w:lang w:val="en-US" w:eastAsia="zh-CN"/>
    </w:rPr>
  </w:style>
  <w:style w:type="paragraph" w:customStyle="1" w:styleId="73">
    <w:name w:val="Char Char Char Char"/>
    <w:basedOn w:val="1"/>
    <w:qFormat/>
    <w:uiPriority w:val="99"/>
    <w:rPr>
      <w:rFonts w:ascii="Tahoma" w:hAnsi="Tahoma" w:cs="Tahoma"/>
      <w:sz w:val="24"/>
      <w:szCs w:val="24"/>
    </w:rPr>
  </w:style>
  <w:style w:type="paragraph" w:customStyle="1" w:styleId="74">
    <w:name w:val="Char Char Char"/>
    <w:basedOn w:val="1"/>
    <w:qFormat/>
    <w:uiPriority w:val="99"/>
    <w:pPr>
      <w:spacing w:line="360" w:lineRule="auto"/>
    </w:pPr>
  </w:style>
  <w:style w:type="paragraph" w:customStyle="1" w:styleId="75">
    <w:name w:val="列出段落1"/>
    <w:basedOn w:val="1"/>
    <w:qFormat/>
    <w:uiPriority w:val="99"/>
    <w:pPr>
      <w:ind w:firstLine="420" w:firstLineChars="200"/>
    </w:pPr>
    <w:rPr>
      <w:rFonts w:ascii="Calibri" w:hAnsi="Calibri" w:cs="Calibri"/>
    </w:rPr>
  </w:style>
  <w:style w:type="paragraph" w:customStyle="1" w:styleId="76">
    <w:name w:val="Char"/>
    <w:basedOn w:val="1"/>
    <w:qFormat/>
    <w:uiPriority w:val="99"/>
    <w:pPr>
      <w:spacing w:line="360" w:lineRule="auto"/>
    </w:pPr>
    <w:rPr>
      <w:rFonts w:ascii="仿宋_GB2312" w:eastAsia="仿宋_GB2312" w:cs="仿宋_GB2312"/>
      <w:b/>
      <w:bCs/>
      <w:sz w:val="32"/>
      <w:szCs w:val="32"/>
    </w:rPr>
  </w:style>
  <w:style w:type="paragraph" w:customStyle="1" w:styleId="77">
    <w:name w:val="保留正文"/>
    <w:basedOn w:val="2"/>
    <w:qFormat/>
    <w:uiPriority w:val="99"/>
    <w:pPr>
      <w:keepNext/>
      <w:spacing w:after="160"/>
      <w:jc w:val="both"/>
    </w:pPr>
  </w:style>
  <w:style w:type="paragraph" w:customStyle="1" w:styleId="78">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9">
    <w:name w:val="目录"/>
    <w:basedOn w:val="1"/>
    <w:qFormat/>
    <w:uiPriority w:val="99"/>
    <w:pPr>
      <w:widowControl/>
      <w:jc w:val="center"/>
    </w:pPr>
    <w:rPr>
      <w:rFonts w:ascii="宋体" w:cs="宋体"/>
      <w:b/>
      <w:bCs/>
      <w:sz w:val="36"/>
      <w:szCs w:val="36"/>
    </w:rPr>
  </w:style>
  <w:style w:type="paragraph" w:customStyle="1" w:styleId="80">
    <w:name w:val="Char Char Char Char1"/>
    <w:basedOn w:val="1"/>
    <w:qFormat/>
    <w:uiPriority w:val="99"/>
    <w:pPr>
      <w:adjustRightInd w:val="0"/>
      <w:spacing w:line="440" w:lineRule="exact"/>
    </w:pPr>
    <w:rPr>
      <w:sz w:val="20"/>
      <w:szCs w:val="20"/>
    </w:rPr>
  </w:style>
  <w:style w:type="character" w:customStyle="1" w:styleId="81">
    <w:name w:val="ui-bz-bg-hover"/>
    <w:basedOn w:val="36"/>
    <w:qFormat/>
    <w:uiPriority w:val="99"/>
    <w:rPr>
      <w:shd w:val="clear" w:color="auto" w:fill="000000"/>
    </w:rPr>
  </w:style>
  <w:style w:type="character" w:customStyle="1" w:styleId="82">
    <w:name w:val="ui-bz-bg-hover1"/>
    <w:basedOn w:val="36"/>
    <w:qFormat/>
    <w:uiPriority w:val="99"/>
  </w:style>
  <w:style w:type="character" w:customStyle="1" w:styleId="83">
    <w:name w:val="top-icon"/>
    <w:basedOn w:val="36"/>
    <w:qFormat/>
    <w:uiPriority w:val="99"/>
  </w:style>
  <w:style w:type="character" w:customStyle="1" w:styleId="84">
    <w:name w:val="t-tag"/>
    <w:basedOn w:val="36"/>
    <w:qFormat/>
    <w:uiPriority w:val="99"/>
    <w:rPr>
      <w:color w:val="FFFFFF"/>
      <w:sz w:val="18"/>
      <w:szCs w:val="18"/>
      <w:shd w:val="clear" w:color="auto" w:fill="auto"/>
    </w:rPr>
  </w:style>
  <w:style w:type="character" w:customStyle="1" w:styleId="85">
    <w:name w:val="bds_more2"/>
    <w:basedOn w:val="36"/>
    <w:qFormat/>
    <w:uiPriority w:val="99"/>
  </w:style>
  <w:style w:type="character" w:customStyle="1" w:styleId="86">
    <w:name w:val="bds_more3"/>
    <w:basedOn w:val="36"/>
    <w:qFormat/>
    <w:uiPriority w:val="99"/>
  </w:style>
  <w:style w:type="character" w:customStyle="1" w:styleId="87">
    <w:name w:val="f-star"/>
    <w:basedOn w:val="36"/>
    <w:qFormat/>
    <w:uiPriority w:val="99"/>
    <w:rPr>
      <w:color w:val="auto"/>
      <w:sz w:val="21"/>
      <w:szCs w:val="21"/>
    </w:rPr>
  </w:style>
  <w:style w:type="character" w:customStyle="1" w:styleId="88">
    <w:name w:val="bds_nopic"/>
    <w:basedOn w:val="36"/>
    <w:qFormat/>
    <w:uiPriority w:val="99"/>
  </w:style>
  <w:style w:type="character" w:customStyle="1" w:styleId="89">
    <w:name w:val="orange"/>
    <w:basedOn w:val="36"/>
    <w:qFormat/>
    <w:uiPriority w:val="99"/>
    <w:rPr>
      <w:color w:val="auto"/>
    </w:rPr>
  </w:style>
  <w:style w:type="character" w:customStyle="1" w:styleId="90">
    <w:name w:val="org_name"/>
    <w:basedOn w:val="36"/>
    <w:qFormat/>
    <w:uiPriority w:val="99"/>
  </w:style>
  <w:style w:type="character" w:customStyle="1" w:styleId="91">
    <w:name w:val="no42"/>
    <w:basedOn w:val="36"/>
    <w:qFormat/>
    <w:uiPriority w:val="99"/>
  </w:style>
  <w:style w:type="character" w:customStyle="1" w:styleId="92">
    <w:name w:val="no52"/>
    <w:basedOn w:val="36"/>
    <w:qFormat/>
    <w:uiPriority w:val="99"/>
  </w:style>
  <w:style w:type="character" w:customStyle="1" w:styleId="93">
    <w:name w:val="no62"/>
    <w:basedOn w:val="36"/>
    <w:qFormat/>
    <w:uiPriority w:val="99"/>
  </w:style>
  <w:style w:type="character" w:customStyle="1" w:styleId="94">
    <w:name w:val="no72"/>
    <w:basedOn w:val="36"/>
    <w:qFormat/>
    <w:uiPriority w:val="99"/>
  </w:style>
  <w:style w:type="character" w:customStyle="1" w:styleId="95">
    <w:name w:val="ico-jiang"/>
    <w:basedOn w:val="36"/>
    <w:qFormat/>
    <w:uiPriority w:val="99"/>
  </w:style>
  <w:style w:type="character" w:customStyle="1" w:styleId="96">
    <w:name w:val="ico-jiang1"/>
    <w:basedOn w:val="36"/>
    <w:qFormat/>
    <w:uiPriority w:val="99"/>
  </w:style>
  <w:style w:type="character" w:customStyle="1" w:styleId="97">
    <w:name w:val="my-notice1"/>
    <w:basedOn w:val="36"/>
    <w:qFormat/>
    <w:uiPriority w:val="99"/>
  </w:style>
  <w:style w:type="character" w:customStyle="1" w:styleId="98">
    <w:name w:val="my-class"/>
    <w:basedOn w:val="36"/>
    <w:qFormat/>
    <w:uiPriority w:val="99"/>
  </w:style>
  <w:style w:type="character" w:customStyle="1" w:styleId="99">
    <w:name w:val="tip10"/>
    <w:basedOn w:val="36"/>
    <w:qFormat/>
    <w:uiPriority w:val="99"/>
    <w:rPr>
      <w:vanish/>
      <w:color w:val="FF0000"/>
      <w:sz w:val="18"/>
      <w:szCs w:val="18"/>
    </w:rPr>
  </w:style>
  <w:style w:type="character" w:customStyle="1" w:styleId="100">
    <w:name w:val="my-class2"/>
    <w:basedOn w:val="36"/>
    <w:qFormat/>
    <w:uiPriority w:val="99"/>
  </w:style>
  <w:style w:type="character" w:customStyle="1" w:styleId="101">
    <w:name w:val="bds_more"/>
    <w:basedOn w:val="36"/>
    <w:qFormat/>
    <w:uiPriority w:val="99"/>
  </w:style>
  <w:style w:type="character" w:customStyle="1" w:styleId="102">
    <w:name w:val="bds_more1"/>
    <w:basedOn w:val="36"/>
    <w:qFormat/>
    <w:uiPriority w:val="99"/>
    <w:rPr>
      <w:rFonts w:ascii="宋体" w:hAnsi="宋体" w:eastAsia="宋体" w:cs="宋体"/>
    </w:rPr>
  </w:style>
  <w:style w:type="character" w:customStyle="1" w:styleId="103">
    <w:name w:val="bds_nopic1"/>
    <w:basedOn w:val="36"/>
    <w:qFormat/>
    <w:uiPriority w:val="99"/>
  </w:style>
  <w:style w:type="character" w:customStyle="1" w:styleId="104">
    <w:name w:val="bds_nopic2"/>
    <w:basedOn w:val="36"/>
    <w:qFormat/>
    <w:uiPriority w:val="99"/>
  </w:style>
  <w:style w:type="character" w:customStyle="1" w:styleId="105">
    <w:name w:val="orange6"/>
    <w:basedOn w:val="36"/>
    <w:qFormat/>
    <w:uiPriority w:val="99"/>
    <w:rPr>
      <w:color w:val="auto"/>
    </w:rPr>
  </w:style>
  <w:style w:type="character" w:customStyle="1" w:styleId="106">
    <w:name w:val="font31"/>
    <w:basedOn w:val="36"/>
    <w:qFormat/>
    <w:uiPriority w:val="99"/>
    <w:rPr>
      <w:rFonts w:ascii="font-weight : 400" w:hAnsi="font-weight : 400" w:cs="font-weight : 400"/>
      <w:color w:val="000000"/>
      <w:sz w:val="20"/>
      <w:szCs w:val="20"/>
      <w:u w:val="none"/>
      <w:vertAlign w:val="superscript"/>
    </w:rPr>
  </w:style>
  <w:style w:type="character" w:customStyle="1" w:styleId="107">
    <w:name w:val="font01"/>
    <w:basedOn w:val="36"/>
    <w:qFormat/>
    <w:uiPriority w:val="99"/>
    <w:rPr>
      <w:rFonts w:ascii="宋体" w:hAnsi="宋体" w:eastAsia="宋体" w:cs="宋体"/>
      <w:color w:val="FF0000"/>
      <w:sz w:val="20"/>
      <w:szCs w:val="20"/>
      <w:u w:val="none"/>
    </w:rPr>
  </w:style>
  <w:style w:type="character" w:customStyle="1" w:styleId="108">
    <w:name w:val="font11"/>
    <w:basedOn w:val="36"/>
    <w:qFormat/>
    <w:uiPriority w:val="99"/>
    <w:rPr>
      <w:rFonts w:ascii="宋体" w:hAnsi="宋体" w:eastAsia="宋体" w:cs="宋体"/>
      <w:color w:val="000000"/>
      <w:sz w:val="20"/>
      <w:szCs w:val="20"/>
      <w:u w:val="none"/>
    </w:rPr>
  </w:style>
  <w:style w:type="paragraph" w:customStyle="1" w:styleId="109">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0">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1">
    <w:name w:val="List Paragraph"/>
    <w:basedOn w:val="1"/>
    <w:qFormat/>
    <w:uiPriority w:val="34"/>
    <w:pPr>
      <w:ind w:firstLine="420" w:firstLineChars="200"/>
    </w:pPr>
  </w:style>
  <w:style w:type="paragraph" w:customStyle="1" w:styleId="112">
    <w:name w:val="目录文字"/>
    <w:basedOn w:val="1"/>
    <w:qFormat/>
    <w:uiPriority w:val="0"/>
    <w:pPr>
      <w:widowControl/>
      <w:spacing w:line="480" w:lineRule="auto"/>
      <w:jc w:val="left"/>
    </w:pPr>
    <w:rPr>
      <w:rFonts w:ascii="宋体" w:hAnsi="宋体"/>
      <w:kern w:val="0"/>
      <w:sz w:val="24"/>
      <w:szCs w:val="20"/>
    </w:rPr>
  </w:style>
  <w:style w:type="paragraph" w:customStyle="1" w:styleId="113">
    <w:name w:val="正文缩进1"/>
    <w:basedOn w:val="1"/>
    <w:qFormat/>
    <w:uiPriority w:val="0"/>
    <w:pPr>
      <w:ind w:firstLine="420" w:firstLineChars="200"/>
    </w:pPr>
  </w:style>
  <w:style w:type="paragraph" w:customStyle="1" w:styleId="114">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5">
    <w:name w:val="样式 首行缩进:  2 字符"/>
    <w:basedOn w:val="1"/>
    <w:qFormat/>
    <w:uiPriority w:val="0"/>
    <w:pPr>
      <w:ind w:firstLine="560"/>
    </w:pPr>
    <w:rPr>
      <w:rFonts w:eastAsia="仿宋_GB2312"/>
      <w:szCs w:val="20"/>
    </w:rPr>
  </w:style>
  <w:style w:type="character" w:customStyle="1" w:styleId="116">
    <w:name w:val="ca-31"/>
    <w:basedOn w:val="36"/>
    <w:qFormat/>
    <w:uiPriority w:val="0"/>
  </w:style>
  <w:style w:type="paragraph" w:customStyle="1" w:styleId="117">
    <w:name w:val="p0"/>
    <w:basedOn w:val="1"/>
    <w:qFormat/>
    <w:uiPriority w:val="0"/>
    <w:pPr>
      <w:spacing w:line="365" w:lineRule="atLeast"/>
      <w:ind w:left="1"/>
    </w:pPr>
    <w:rPr>
      <w:sz w:val="20"/>
      <w:szCs w:val="20"/>
    </w:rPr>
  </w:style>
  <w:style w:type="paragraph" w:customStyle="1" w:styleId="11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29044</Words>
  <Characters>30997</Characters>
  <Lines>97</Lines>
  <Paragraphs>102</Paragraphs>
  <TotalTime>7</TotalTime>
  <ScaleCrop>false</ScaleCrop>
  <LinksUpToDate>false</LinksUpToDate>
  <CharactersWithSpaces>32485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2017-05-10T10:09:00Z</cp:lastPrinted>
  <dcterms:modified xsi:type="dcterms:W3CDTF">2022-07-11T07:32:23Z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CB79B303F60344E28423CBBBB5DE4D85</vt:lpwstr>
  </property>
</Properties>
</file>