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 w:hAnsi="仿宋" w:eastAsia="仿宋" w:cs="仿宋"/>
          <w:b/>
          <w:bCs/>
          <w:sz w:val="32"/>
          <w:szCs w:val="32"/>
        </w:rPr>
      </w:pPr>
    </w:p>
    <w:p>
      <w:pPr>
        <w:rPr>
          <w:rFonts w:hint="eastAsia" w:ascii="仿宋" w:hAnsi="仿宋" w:eastAsia="仿宋" w:cs="仿宋"/>
          <w:b/>
          <w:bCs/>
          <w:color w:val="FF0000"/>
          <w:sz w:val="32"/>
          <w:szCs w:val="32"/>
        </w:rPr>
      </w:pPr>
      <w:r>
        <w:rPr>
          <w:rFonts w:hint="eastAsia" w:ascii="仿宋" w:hAnsi="仿宋" w:eastAsia="仿宋" w:cs="仿宋"/>
          <w:b/>
          <w:bCs/>
          <w:sz w:val="32"/>
          <w:szCs w:val="32"/>
        </w:rPr>
        <w:t>项目编号：XXGC-2022-000171-4</w:t>
      </w:r>
    </w:p>
    <w:p>
      <w:pPr>
        <w:rPr>
          <w:rFonts w:hint="eastAsia" w:ascii="仿宋" w:hAnsi="仿宋" w:eastAsia="仿宋" w:cs="仿宋"/>
          <w:b/>
          <w:bCs/>
          <w:sz w:val="36"/>
          <w:szCs w:val="36"/>
        </w:rPr>
      </w:pPr>
    </w:p>
    <w:p>
      <w:pPr>
        <w:rPr>
          <w:rFonts w:hint="eastAsia" w:ascii="仿宋" w:hAnsi="仿宋" w:eastAsia="仿宋" w:cs="仿宋"/>
          <w:b/>
          <w:bCs/>
          <w:sz w:val="36"/>
          <w:szCs w:val="36"/>
        </w:rPr>
      </w:pPr>
    </w:p>
    <w:p>
      <w:pPr>
        <w:rPr>
          <w:rFonts w:hint="eastAsia" w:ascii="仿宋" w:hAnsi="仿宋" w:eastAsia="仿宋" w:cs="仿宋"/>
          <w:b/>
          <w:bCs/>
          <w:sz w:val="70"/>
          <w:szCs w:val="70"/>
        </w:rPr>
      </w:pPr>
    </w:p>
    <w:p>
      <w:pPr>
        <w:jc w:val="center"/>
        <w:rPr>
          <w:rFonts w:hint="eastAsia" w:ascii="仿宋" w:hAnsi="仿宋" w:eastAsia="仿宋" w:cs="仿宋"/>
          <w:b/>
          <w:bCs/>
          <w:sz w:val="36"/>
          <w:szCs w:val="36"/>
          <w:lang w:eastAsia="zh-CN"/>
        </w:rPr>
      </w:pPr>
      <w:r>
        <w:rPr>
          <w:rFonts w:hint="eastAsia" w:ascii="仿宋" w:hAnsi="仿宋" w:eastAsia="仿宋" w:cs="仿宋"/>
          <w:b/>
          <w:bCs/>
          <w:sz w:val="52"/>
          <w:szCs w:val="52"/>
          <w:lang w:eastAsia="zh-CN"/>
        </w:rPr>
        <w:t>西咸新区沣东新城三桥街道零散地块拆迁项目</w:t>
      </w: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96"/>
          <w:szCs w:val="96"/>
        </w:rPr>
      </w:pPr>
      <w:bookmarkStart w:id="0" w:name="_Toc363463325"/>
      <w:r>
        <w:rPr>
          <w:rFonts w:hint="eastAsia" w:ascii="仿宋" w:hAnsi="仿宋" w:eastAsia="仿宋" w:cs="仿宋"/>
          <w:b/>
          <w:bCs/>
          <w:sz w:val="96"/>
          <w:szCs w:val="96"/>
        </w:rPr>
        <w:t>招标文件</w:t>
      </w:r>
    </w:p>
    <w:p>
      <w:pPr>
        <w:rPr>
          <w:rFonts w:hint="eastAsia" w:ascii="仿宋" w:hAnsi="仿宋" w:eastAsia="仿宋" w:cs="仿宋"/>
        </w:rPr>
      </w:pPr>
    </w:p>
    <w:p>
      <w:pPr>
        <w:rPr>
          <w:rFonts w:hint="eastAsia" w:ascii="仿宋" w:hAnsi="仿宋" w:eastAsia="仿宋" w:cs="仿宋"/>
        </w:rPr>
      </w:pPr>
    </w:p>
    <w:bookmarkEnd w:id="0"/>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jc w:val="center"/>
        <w:rPr>
          <w:rFonts w:hint="eastAsia" w:ascii="仿宋" w:hAnsi="仿宋" w:eastAsia="仿宋" w:cs="仿宋"/>
          <w:b/>
          <w:bCs/>
          <w:sz w:val="32"/>
          <w:szCs w:val="32"/>
        </w:rPr>
      </w:pPr>
      <w:r>
        <w:rPr>
          <w:rFonts w:hint="eastAsia" w:ascii="仿宋" w:hAnsi="仿宋" w:eastAsia="仿宋" w:cs="仿宋"/>
          <w:b/>
          <w:bCs/>
          <w:sz w:val="32"/>
          <w:szCs w:val="32"/>
        </w:rPr>
        <w:t>华夏国际项目管理有限公司</w:t>
      </w:r>
    </w:p>
    <w:p>
      <w:pPr>
        <w:tabs>
          <w:tab w:val="left" w:pos="525"/>
        </w:tabs>
        <w:jc w:val="center"/>
        <w:rPr>
          <w:rFonts w:hint="eastAsia" w:ascii="仿宋" w:hAnsi="仿宋" w:eastAsia="仿宋" w:cs="仿宋"/>
          <w:b/>
          <w:bCs/>
          <w:sz w:val="32"/>
          <w:szCs w:val="32"/>
        </w:rPr>
      </w:pPr>
      <w:r>
        <w:rPr>
          <w:rFonts w:hint="eastAsia" w:ascii="仿宋" w:hAnsi="仿宋" w:eastAsia="仿宋" w:cs="仿宋"/>
          <w:b/>
          <w:bCs/>
          <w:sz w:val="32"/>
          <w:szCs w:val="32"/>
        </w:rPr>
        <w:t>二〇二二年十一月</w:t>
      </w:r>
    </w:p>
    <w:p>
      <w:pPr>
        <w:spacing w:beforeLines="100" w:line="500" w:lineRule="exact"/>
        <w:jc w:val="center"/>
        <w:rPr>
          <w:rFonts w:hint="eastAsia" w:ascii="仿宋" w:hAnsi="仿宋" w:eastAsia="仿宋" w:cs="仿宋"/>
          <w:b/>
          <w:bCs/>
          <w:sz w:val="36"/>
          <w:szCs w:val="36"/>
        </w:rPr>
      </w:pPr>
      <w:bookmarkStart w:id="1" w:name="_Toc389582033"/>
      <w:bookmarkStart w:id="2" w:name="_Toc20858"/>
      <w:bookmarkStart w:id="3" w:name="_Toc21518"/>
      <w:bookmarkStart w:id="4" w:name="_Toc16218"/>
      <w:bookmarkStart w:id="5" w:name="_Toc438073527"/>
      <w:bookmarkStart w:id="6" w:name="_Toc20652"/>
      <w:bookmarkStart w:id="7" w:name="_Toc19886"/>
      <w:bookmarkStart w:id="8" w:name="_Toc5293"/>
      <w:r>
        <w:rPr>
          <w:rFonts w:hint="eastAsia" w:ascii="仿宋" w:hAnsi="仿宋" w:eastAsia="仿宋" w:cs="仿宋"/>
          <w:b/>
          <w:bCs/>
          <w:sz w:val="36"/>
          <w:szCs w:val="36"/>
        </w:rPr>
        <w:t>特别提示</w:t>
      </w:r>
    </w:p>
    <w:p>
      <w:pPr>
        <w:spacing w:line="560" w:lineRule="exact"/>
        <w:rPr>
          <w:rFonts w:hint="eastAsia" w:ascii="仿宋" w:hAnsi="仿宋" w:eastAsia="仿宋" w:cs="仿宋"/>
          <w:sz w:val="24"/>
          <w:szCs w:val="24"/>
        </w:rPr>
      </w:pPr>
      <w:r>
        <w:rPr>
          <w:rFonts w:hint="eastAsia" w:ascii="仿宋" w:hAnsi="仿宋" w:eastAsia="仿宋" w:cs="仿宋"/>
          <w:sz w:val="24"/>
          <w:szCs w:val="24"/>
        </w:rPr>
        <w:t>各供应商，在此我们特别提醒您注意以下事项：</w:t>
      </w:r>
    </w:p>
    <w:p>
      <w:pPr>
        <w:spacing w:line="560" w:lineRule="exact"/>
        <w:rPr>
          <w:rFonts w:hint="eastAsia" w:ascii="仿宋" w:hAnsi="仿宋" w:eastAsia="仿宋" w:cs="仿宋"/>
          <w:b/>
          <w:bCs/>
          <w:sz w:val="24"/>
          <w:szCs w:val="24"/>
        </w:rPr>
      </w:pPr>
      <w:r>
        <w:rPr>
          <w:rFonts w:hint="eastAsia" w:ascii="仿宋" w:hAnsi="仿宋" w:eastAsia="仿宋" w:cs="仿宋"/>
          <w:b/>
          <w:bCs/>
          <w:sz w:val="24"/>
          <w:szCs w:val="24"/>
        </w:rPr>
        <w:t>一、有关投标文件：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1、请仔细阅读招标文件并正确理解招标文件中各项具体要求。如您对招标文件有疑问，请在招标文件规定的时间内以书面形式提出，逾期将被拒绝受理。</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2、请严格按照招标文件载明的投标文件的格式要求编制投标文件，投标文件须胶装成册。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3、请仔细核对投标文件是否已按照招标文件的要求签字、签章和加盖单位公章，实质性条款是否满足招标文件要求，投标文件中所附资格证明等资料是否齐全、有效且是否满足招标文件要求。</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4、请按照招标文件要求密封投标文件，并正确标记。</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提示：投标文件若不满足以上条件将有被否决的风险。</w:t>
      </w:r>
    </w:p>
    <w:p>
      <w:pPr>
        <w:spacing w:line="560" w:lineRule="exact"/>
        <w:rPr>
          <w:rFonts w:hint="eastAsia" w:ascii="仿宋" w:hAnsi="仿宋" w:eastAsia="仿宋" w:cs="仿宋"/>
          <w:b/>
          <w:bCs/>
          <w:sz w:val="24"/>
          <w:szCs w:val="24"/>
        </w:rPr>
      </w:pPr>
      <w:r>
        <w:rPr>
          <w:rFonts w:hint="eastAsia" w:ascii="仿宋" w:hAnsi="仿宋" w:eastAsia="仿宋" w:cs="仿宋"/>
          <w:b/>
          <w:bCs/>
          <w:sz w:val="24"/>
          <w:szCs w:val="24"/>
        </w:rPr>
        <w:t>二、有关开标：</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1、除招标文件要求递交的文件和资料外，请随身携带招标文件要求提供的其他备查文件原件。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2、请务必考虑天气情况、交通情况以及您对开标地址的路线熟悉等情况于招标公告规定的时间及地点递交投标文件，投标文件逾期到达，将被拒绝接收。</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3、各供应商限派一名代表（法定代表人或授权代表）参加开标活动，省内人员须持西安市一码通绿码，省外人员须符合西安市疫情防控的相关规定。</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4、请到达文件递交地点后及时到投标文件接收处签字登记。</w:t>
      </w:r>
    </w:p>
    <w:p>
      <w:pPr>
        <w:spacing w:line="560" w:lineRule="exact"/>
        <w:rPr>
          <w:rFonts w:hint="eastAsia" w:ascii="仿宋" w:hAnsi="仿宋" w:eastAsia="仿宋" w:cs="仿宋"/>
          <w:b/>
          <w:bCs/>
          <w:sz w:val="24"/>
          <w:szCs w:val="24"/>
        </w:rPr>
      </w:pPr>
      <w:r>
        <w:rPr>
          <w:rFonts w:hint="eastAsia" w:ascii="仿宋" w:hAnsi="仿宋" w:eastAsia="仿宋" w:cs="仿宋"/>
          <w:b/>
          <w:bCs/>
          <w:sz w:val="24"/>
          <w:szCs w:val="24"/>
        </w:rPr>
        <w:t>三、关于弃标的说明：</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spacing w:line="560" w:lineRule="exact"/>
        <w:rPr>
          <w:rFonts w:hint="eastAsia" w:ascii="仿宋" w:hAnsi="仿宋" w:eastAsia="仿宋" w:cs="仿宋"/>
          <w:b/>
          <w:bCs/>
          <w:sz w:val="24"/>
          <w:szCs w:val="24"/>
        </w:rPr>
      </w:pPr>
      <w:r>
        <w:rPr>
          <w:rFonts w:hint="eastAsia" w:ascii="仿宋" w:hAnsi="仿宋" w:eastAsia="仿宋" w:cs="仿宋"/>
          <w:b/>
          <w:bCs/>
          <w:sz w:val="24"/>
          <w:szCs w:val="24"/>
        </w:rPr>
        <w:t>四、关于供应商注册登记提醒：</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请各投标单位仔细阅读上述提示。如需帮助，请您与我们的工作人员联系，我们将非常高兴地为您服务。</w:t>
      </w:r>
    </w:p>
    <w:p>
      <w:pPr>
        <w:pStyle w:val="2"/>
        <w:rPr>
          <w:rFonts w:hint="eastAsia" w:ascii="仿宋" w:hAnsi="仿宋" w:eastAsia="仿宋" w:cs="仿宋"/>
        </w:rPr>
        <w:sectPr>
          <w:headerReference r:id="rId3" w:type="default"/>
          <w:footerReference r:id="rId4" w:type="default"/>
          <w:pgSz w:w="11906" w:h="16838"/>
          <w:pgMar w:top="1417" w:right="1417" w:bottom="1417" w:left="1701" w:header="851" w:footer="992" w:gutter="0"/>
          <w:pgNumType w:start="1"/>
          <w:cols w:space="0" w:num="1"/>
          <w:docGrid w:type="lines" w:linePitch="312" w:charSpace="0"/>
        </w:sectPr>
      </w:pPr>
    </w:p>
    <w:p>
      <w:pPr>
        <w:spacing w:line="460" w:lineRule="atLeast"/>
        <w:ind w:firstLine="600" w:firstLineChars="200"/>
        <w:rPr>
          <w:rFonts w:hint="eastAsia" w:ascii="仿宋" w:hAnsi="仿宋" w:eastAsia="仿宋" w:cs="仿宋"/>
          <w:sz w:val="30"/>
          <w:szCs w:val="30"/>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pPr>
        <w:pStyle w:val="27"/>
        <w:tabs>
          <w:tab w:val="right" w:leader="dot" w:pos="8788"/>
        </w:tabs>
        <w:spacing w:line="360" w:lineRule="auto"/>
        <w:rPr>
          <w:rFonts w:hint="eastAsia" w:ascii="仿宋" w:hAnsi="仿宋" w:eastAsia="仿宋" w:cs="仿宋"/>
          <w:bCs/>
          <w:caps/>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"1-1" \h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"_Toc25487" </w:instrText>
      </w:r>
      <w:r>
        <w:rPr>
          <w:rFonts w:hint="eastAsia" w:ascii="仿宋" w:hAnsi="仿宋" w:eastAsia="仿宋" w:cs="仿宋"/>
        </w:rPr>
        <w:fldChar w:fldCharType="separate"/>
      </w:r>
      <w:r>
        <w:rPr>
          <w:rFonts w:hint="eastAsia" w:ascii="仿宋" w:hAnsi="仿宋" w:eastAsia="仿宋" w:cs="仿宋"/>
          <w:bCs/>
          <w:caps/>
          <w:sz w:val="30"/>
          <w:szCs w:val="30"/>
        </w:rPr>
        <w:t>第一章  招标公告</w:t>
      </w:r>
      <w:r>
        <w:rPr>
          <w:rFonts w:hint="eastAsia" w:ascii="仿宋" w:hAnsi="仿宋" w:eastAsia="仿宋" w:cs="仿宋"/>
          <w:bCs/>
          <w:caps/>
          <w:sz w:val="30"/>
          <w:szCs w:val="30"/>
        </w:rPr>
        <w:tab/>
      </w:r>
      <w:r>
        <w:rPr>
          <w:rFonts w:hint="eastAsia" w:ascii="仿宋" w:hAnsi="仿宋" w:eastAsia="仿宋" w:cs="仿宋"/>
          <w:bCs/>
          <w:caps/>
          <w:sz w:val="30"/>
          <w:szCs w:val="30"/>
        </w:rPr>
        <w:fldChar w:fldCharType="begin"/>
      </w:r>
      <w:r>
        <w:rPr>
          <w:rFonts w:hint="eastAsia" w:ascii="仿宋" w:hAnsi="仿宋" w:eastAsia="仿宋" w:cs="仿宋"/>
          <w:bCs/>
          <w:caps/>
          <w:sz w:val="30"/>
          <w:szCs w:val="30"/>
        </w:rPr>
        <w:instrText xml:space="preserve"> PAGEREF _Toc25487 </w:instrText>
      </w:r>
      <w:r>
        <w:rPr>
          <w:rFonts w:hint="eastAsia" w:ascii="仿宋" w:hAnsi="仿宋" w:eastAsia="仿宋" w:cs="仿宋"/>
          <w:bCs/>
          <w:caps/>
          <w:sz w:val="30"/>
          <w:szCs w:val="30"/>
        </w:rPr>
        <w:fldChar w:fldCharType="separate"/>
      </w:r>
      <w:r>
        <w:rPr>
          <w:rFonts w:hint="eastAsia" w:ascii="仿宋" w:hAnsi="仿宋" w:eastAsia="仿宋" w:cs="仿宋"/>
          <w:bCs/>
          <w:caps/>
          <w:sz w:val="30"/>
          <w:szCs w:val="30"/>
        </w:rPr>
        <w:t>1</w:t>
      </w:r>
      <w:r>
        <w:rPr>
          <w:rFonts w:hint="eastAsia" w:ascii="仿宋" w:hAnsi="仿宋" w:eastAsia="仿宋" w:cs="仿宋"/>
          <w:bCs/>
          <w:caps/>
          <w:sz w:val="30"/>
          <w:szCs w:val="30"/>
        </w:rPr>
        <w:fldChar w:fldCharType="end"/>
      </w:r>
      <w:r>
        <w:rPr>
          <w:rFonts w:hint="eastAsia" w:ascii="仿宋" w:hAnsi="仿宋" w:eastAsia="仿宋" w:cs="仿宋"/>
          <w:bCs/>
          <w:caps/>
          <w:sz w:val="30"/>
          <w:szCs w:val="30"/>
        </w:rPr>
        <w:fldChar w:fldCharType="end"/>
      </w:r>
    </w:p>
    <w:p>
      <w:pPr>
        <w:pStyle w:val="27"/>
        <w:tabs>
          <w:tab w:val="right" w:leader="dot" w:pos="8788"/>
        </w:tabs>
        <w:spacing w:line="360" w:lineRule="auto"/>
        <w:rPr>
          <w:rFonts w:hint="eastAsia" w:ascii="仿宋" w:hAnsi="仿宋" w:eastAsia="仿宋" w:cs="仿宋"/>
          <w:bCs/>
          <w:caps/>
          <w:sz w:val="30"/>
          <w:szCs w:val="30"/>
        </w:rPr>
      </w:pPr>
      <w:r>
        <w:rPr>
          <w:rFonts w:hint="eastAsia" w:ascii="仿宋" w:hAnsi="仿宋" w:eastAsia="仿宋" w:cs="仿宋"/>
        </w:rPr>
        <w:fldChar w:fldCharType="begin"/>
      </w:r>
      <w:r>
        <w:rPr>
          <w:rFonts w:hint="eastAsia" w:ascii="仿宋" w:hAnsi="仿宋" w:eastAsia="仿宋" w:cs="仿宋"/>
        </w:rPr>
        <w:instrText xml:space="preserve"> HYPERLINK \l "_Toc25538" </w:instrText>
      </w:r>
      <w:r>
        <w:rPr>
          <w:rFonts w:hint="eastAsia" w:ascii="仿宋" w:hAnsi="仿宋" w:eastAsia="仿宋" w:cs="仿宋"/>
        </w:rPr>
        <w:fldChar w:fldCharType="separate"/>
      </w:r>
      <w:r>
        <w:rPr>
          <w:rFonts w:hint="eastAsia" w:ascii="仿宋" w:hAnsi="仿宋" w:eastAsia="仿宋" w:cs="仿宋"/>
          <w:bCs/>
          <w:caps/>
          <w:sz w:val="30"/>
          <w:szCs w:val="30"/>
        </w:rPr>
        <w:t>第二章  投标人须知</w:t>
      </w:r>
      <w:r>
        <w:rPr>
          <w:rFonts w:hint="eastAsia" w:ascii="仿宋" w:hAnsi="仿宋" w:eastAsia="仿宋" w:cs="仿宋"/>
          <w:bCs/>
          <w:caps/>
          <w:sz w:val="30"/>
          <w:szCs w:val="30"/>
        </w:rPr>
        <w:tab/>
      </w:r>
      <w:r>
        <w:rPr>
          <w:rFonts w:hint="eastAsia" w:ascii="仿宋" w:hAnsi="仿宋" w:eastAsia="仿宋" w:cs="仿宋"/>
          <w:bCs/>
          <w:caps/>
          <w:sz w:val="30"/>
          <w:szCs w:val="30"/>
        </w:rPr>
        <w:fldChar w:fldCharType="begin"/>
      </w:r>
      <w:r>
        <w:rPr>
          <w:rFonts w:hint="eastAsia" w:ascii="仿宋" w:hAnsi="仿宋" w:eastAsia="仿宋" w:cs="仿宋"/>
          <w:bCs/>
          <w:caps/>
          <w:sz w:val="30"/>
          <w:szCs w:val="30"/>
        </w:rPr>
        <w:instrText xml:space="preserve"> PAGEREF _Toc25538 </w:instrText>
      </w:r>
      <w:r>
        <w:rPr>
          <w:rFonts w:hint="eastAsia" w:ascii="仿宋" w:hAnsi="仿宋" w:eastAsia="仿宋" w:cs="仿宋"/>
          <w:bCs/>
          <w:caps/>
          <w:sz w:val="30"/>
          <w:szCs w:val="30"/>
        </w:rPr>
        <w:fldChar w:fldCharType="separate"/>
      </w:r>
      <w:r>
        <w:rPr>
          <w:rFonts w:hint="eastAsia" w:ascii="仿宋" w:hAnsi="仿宋" w:eastAsia="仿宋" w:cs="仿宋"/>
          <w:bCs/>
          <w:caps/>
          <w:sz w:val="30"/>
          <w:szCs w:val="30"/>
        </w:rPr>
        <w:t>5</w:t>
      </w:r>
      <w:r>
        <w:rPr>
          <w:rFonts w:hint="eastAsia" w:ascii="仿宋" w:hAnsi="仿宋" w:eastAsia="仿宋" w:cs="仿宋"/>
          <w:bCs/>
          <w:caps/>
          <w:sz w:val="30"/>
          <w:szCs w:val="30"/>
        </w:rPr>
        <w:fldChar w:fldCharType="end"/>
      </w:r>
      <w:r>
        <w:rPr>
          <w:rFonts w:hint="eastAsia" w:ascii="仿宋" w:hAnsi="仿宋" w:eastAsia="仿宋" w:cs="仿宋"/>
          <w:bCs/>
          <w:caps/>
          <w:sz w:val="30"/>
          <w:szCs w:val="30"/>
        </w:rPr>
        <w:fldChar w:fldCharType="end"/>
      </w:r>
    </w:p>
    <w:p>
      <w:pPr>
        <w:pStyle w:val="27"/>
        <w:tabs>
          <w:tab w:val="right" w:leader="dot" w:pos="8788"/>
        </w:tabs>
        <w:spacing w:line="360" w:lineRule="auto"/>
        <w:rPr>
          <w:rFonts w:hint="eastAsia" w:ascii="仿宋" w:hAnsi="仿宋" w:eastAsia="仿宋" w:cs="仿宋"/>
          <w:bCs/>
          <w:caps/>
          <w:sz w:val="30"/>
          <w:szCs w:val="30"/>
        </w:rPr>
      </w:pPr>
      <w:r>
        <w:rPr>
          <w:rFonts w:hint="eastAsia" w:ascii="仿宋" w:hAnsi="仿宋" w:eastAsia="仿宋" w:cs="仿宋"/>
        </w:rPr>
        <w:fldChar w:fldCharType="begin"/>
      </w:r>
      <w:r>
        <w:rPr>
          <w:rFonts w:hint="eastAsia" w:ascii="仿宋" w:hAnsi="仿宋" w:eastAsia="仿宋" w:cs="仿宋"/>
        </w:rPr>
        <w:instrText xml:space="preserve"> HYPERLINK \l "_Toc13400" </w:instrText>
      </w:r>
      <w:r>
        <w:rPr>
          <w:rFonts w:hint="eastAsia" w:ascii="仿宋" w:hAnsi="仿宋" w:eastAsia="仿宋" w:cs="仿宋"/>
        </w:rPr>
        <w:fldChar w:fldCharType="separate"/>
      </w:r>
      <w:r>
        <w:rPr>
          <w:rFonts w:hint="eastAsia" w:ascii="仿宋" w:hAnsi="仿宋" w:eastAsia="仿宋" w:cs="仿宋"/>
          <w:bCs/>
          <w:caps/>
          <w:sz w:val="30"/>
          <w:szCs w:val="30"/>
        </w:rPr>
        <w:t>投标人须知正文部分</w:t>
      </w:r>
      <w:r>
        <w:rPr>
          <w:rFonts w:hint="eastAsia" w:ascii="仿宋" w:hAnsi="仿宋" w:eastAsia="仿宋" w:cs="仿宋"/>
          <w:bCs/>
          <w:caps/>
          <w:sz w:val="30"/>
          <w:szCs w:val="30"/>
        </w:rPr>
        <w:tab/>
      </w:r>
      <w:r>
        <w:rPr>
          <w:rFonts w:hint="eastAsia" w:ascii="仿宋" w:hAnsi="仿宋" w:eastAsia="仿宋" w:cs="仿宋"/>
          <w:bCs/>
          <w:caps/>
          <w:sz w:val="30"/>
          <w:szCs w:val="30"/>
        </w:rPr>
        <w:fldChar w:fldCharType="begin"/>
      </w:r>
      <w:r>
        <w:rPr>
          <w:rFonts w:hint="eastAsia" w:ascii="仿宋" w:hAnsi="仿宋" w:eastAsia="仿宋" w:cs="仿宋"/>
          <w:bCs/>
          <w:caps/>
          <w:sz w:val="30"/>
          <w:szCs w:val="30"/>
        </w:rPr>
        <w:instrText xml:space="preserve"> PAGEREF _Toc13400 </w:instrText>
      </w:r>
      <w:r>
        <w:rPr>
          <w:rFonts w:hint="eastAsia" w:ascii="仿宋" w:hAnsi="仿宋" w:eastAsia="仿宋" w:cs="仿宋"/>
          <w:bCs/>
          <w:caps/>
          <w:sz w:val="30"/>
          <w:szCs w:val="30"/>
        </w:rPr>
        <w:fldChar w:fldCharType="separate"/>
      </w:r>
      <w:r>
        <w:rPr>
          <w:rFonts w:hint="eastAsia" w:ascii="仿宋" w:hAnsi="仿宋" w:eastAsia="仿宋" w:cs="仿宋"/>
          <w:bCs/>
          <w:caps/>
          <w:sz w:val="30"/>
          <w:szCs w:val="30"/>
        </w:rPr>
        <w:t>13</w:t>
      </w:r>
      <w:r>
        <w:rPr>
          <w:rFonts w:hint="eastAsia" w:ascii="仿宋" w:hAnsi="仿宋" w:eastAsia="仿宋" w:cs="仿宋"/>
          <w:bCs/>
          <w:caps/>
          <w:sz w:val="30"/>
          <w:szCs w:val="30"/>
        </w:rPr>
        <w:fldChar w:fldCharType="end"/>
      </w:r>
      <w:r>
        <w:rPr>
          <w:rFonts w:hint="eastAsia" w:ascii="仿宋" w:hAnsi="仿宋" w:eastAsia="仿宋" w:cs="仿宋"/>
          <w:bCs/>
          <w:caps/>
          <w:sz w:val="30"/>
          <w:szCs w:val="30"/>
        </w:rPr>
        <w:fldChar w:fldCharType="end"/>
      </w:r>
    </w:p>
    <w:p>
      <w:pPr>
        <w:pStyle w:val="27"/>
        <w:tabs>
          <w:tab w:val="right" w:leader="dot" w:pos="8788"/>
        </w:tabs>
        <w:spacing w:line="360" w:lineRule="auto"/>
        <w:rPr>
          <w:rFonts w:hint="eastAsia" w:ascii="仿宋" w:hAnsi="仿宋" w:eastAsia="仿宋" w:cs="仿宋"/>
          <w:bCs/>
          <w:caps/>
          <w:sz w:val="30"/>
          <w:szCs w:val="30"/>
        </w:rPr>
      </w:pPr>
      <w:r>
        <w:rPr>
          <w:rFonts w:hint="eastAsia" w:ascii="仿宋" w:hAnsi="仿宋" w:eastAsia="仿宋" w:cs="仿宋"/>
        </w:rPr>
        <w:fldChar w:fldCharType="begin"/>
      </w:r>
      <w:r>
        <w:rPr>
          <w:rFonts w:hint="eastAsia" w:ascii="仿宋" w:hAnsi="仿宋" w:eastAsia="仿宋" w:cs="仿宋"/>
        </w:rPr>
        <w:instrText xml:space="preserve"> HYPERLINK \l "_Toc2488" </w:instrText>
      </w:r>
      <w:r>
        <w:rPr>
          <w:rFonts w:hint="eastAsia" w:ascii="仿宋" w:hAnsi="仿宋" w:eastAsia="仿宋" w:cs="仿宋"/>
        </w:rPr>
        <w:fldChar w:fldCharType="separate"/>
      </w:r>
      <w:r>
        <w:rPr>
          <w:rFonts w:hint="eastAsia" w:ascii="仿宋" w:hAnsi="仿宋" w:eastAsia="仿宋" w:cs="仿宋"/>
          <w:bCs/>
          <w:caps/>
          <w:sz w:val="30"/>
          <w:szCs w:val="30"/>
        </w:rPr>
        <w:t>第三章  评标办法</w:t>
      </w:r>
      <w:r>
        <w:rPr>
          <w:rFonts w:hint="eastAsia" w:ascii="仿宋" w:hAnsi="仿宋" w:eastAsia="仿宋" w:cs="仿宋"/>
          <w:bCs/>
          <w:caps/>
          <w:sz w:val="30"/>
          <w:szCs w:val="30"/>
        </w:rPr>
        <w:tab/>
      </w:r>
      <w:r>
        <w:rPr>
          <w:rFonts w:hint="eastAsia" w:ascii="仿宋" w:hAnsi="仿宋" w:eastAsia="仿宋" w:cs="仿宋"/>
          <w:bCs/>
          <w:caps/>
          <w:sz w:val="30"/>
          <w:szCs w:val="30"/>
        </w:rPr>
        <w:fldChar w:fldCharType="begin"/>
      </w:r>
      <w:r>
        <w:rPr>
          <w:rFonts w:hint="eastAsia" w:ascii="仿宋" w:hAnsi="仿宋" w:eastAsia="仿宋" w:cs="仿宋"/>
          <w:bCs/>
          <w:caps/>
          <w:sz w:val="30"/>
          <w:szCs w:val="30"/>
        </w:rPr>
        <w:instrText xml:space="preserve"> PAGEREF _Toc2488 </w:instrText>
      </w:r>
      <w:r>
        <w:rPr>
          <w:rFonts w:hint="eastAsia" w:ascii="仿宋" w:hAnsi="仿宋" w:eastAsia="仿宋" w:cs="仿宋"/>
          <w:bCs/>
          <w:caps/>
          <w:sz w:val="30"/>
          <w:szCs w:val="30"/>
        </w:rPr>
        <w:fldChar w:fldCharType="separate"/>
      </w:r>
      <w:r>
        <w:rPr>
          <w:rFonts w:hint="eastAsia" w:ascii="仿宋" w:hAnsi="仿宋" w:eastAsia="仿宋" w:cs="仿宋"/>
          <w:bCs/>
          <w:caps/>
          <w:sz w:val="30"/>
          <w:szCs w:val="30"/>
        </w:rPr>
        <w:t>26</w:t>
      </w:r>
      <w:r>
        <w:rPr>
          <w:rFonts w:hint="eastAsia" w:ascii="仿宋" w:hAnsi="仿宋" w:eastAsia="仿宋" w:cs="仿宋"/>
          <w:bCs/>
          <w:caps/>
          <w:sz w:val="30"/>
          <w:szCs w:val="30"/>
        </w:rPr>
        <w:fldChar w:fldCharType="end"/>
      </w:r>
      <w:r>
        <w:rPr>
          <w:rFonts w:hint="eastAsia" w:ascii="仿宋" w:hAnsi="仿宋" w:eastAsia="仿宋" w:cs="仿宋"/>
          <w:bCs/>
          <w:caps/>
          <w:sz w:val="30"/>
          <w:szCs w:val="30"/>
        </w:rPr>
        <w:fldChar w:fldCharType="end"/>
      </w:r>
    </w:p>
    <w:p>
      <w:pPr>
        <w:pStyle w:val="27"/>
        <w:tabs>
          <w:tab w:val="right" w:leader="dot" w:pos="8788"/>
        </w:tabs>
        <w:spacing w:line="360" w:lineRule="auto"/>
        <w:rPr>
          <w:rFonts w:hint="eastAsia" w:ascii="仿宋" w:hAnsi="仿宋" w:eastAsia="仿宋" w:cs="仿宋"/>
          <w:bCs/>
          <w:caps/>
          <w:sz w:val="30"/>
          <w:szCs w:val="30"/>
        </w:rPr>
      </w:pPr>
      <w:r>
        <w:rPr>
          <w:rFonts w:hint="eastAsia" w:ascii="仿宋" w:hAnsi="仿宋" w:eastAsia="仿宋" w:cs="仿宋"/>
        </w:rPr>
        <w:fldChar w:fldCharType="begin"/>
      </w:r>
      <w:r>
        <w:rPr>
          <w:rFonts w:hint="eastAsia" w:ascii="仿宋" w:hAnsi="仿宋" w:eastAsia="仿宋" w:cs="仿宋"/>
        </w:rPr>
        <w:instrText xml:space="preserve"> HYPERLINK \l "_Toc17440" </w:instrText>
      </w:r>
      <w:r>
        <w:rPr>
          <w:rFonts w:hint="eastAsia" w:ascii="仿宋" w:hAnsi="仿宋" w:eastAsia="仿宋" w:cs="仿宋"/>
        </w:rPr>
        <w:fldChar w:fldCharType="separate"/>
      </w:r>
      <w:r>
        <w:rPr>
          <w:rFonts w:hint="eastAsia" w:ascii="仿宋" w:hAnsi="仿宋" w:eastAsia="仿宋" w:cs="仿宋"/>
          <w:bCs/>
          <w:caps/>
          <w:sz w:val="30"/>
          <w:szCs w:val="30"/>
        </w:rPr>
        <w:t>第四章  合同条款及格式</w:t>
      </w:r>
      <w:r>
        <w:rPr>
          <w:rFonts w:hint="eastAsia" w:ascii="仿宋" w:hAnsi="仿宋" w:eastAsia="仿宋" w:cs="仿宋"/>
          <w:bCs/>
          <w:caps/>
          <w:sz w:val="30"/>
          <w:szCs w:val="30"/>
        </w:rPr>
        <w:tab/>
      </w:r>
      <w:r>
        <w:rPr>
          <w:rFonts w:hint="eastAsia" w:ascii="仿宋" w:hAnsi="仿宋" w:eastAsia="仿宋" w:cs="仿宋"/>
          <w:bCs/>
          <w:caps/>
          <w:sz w:val="30"/>
          <w:szCs w:val="30"/>
        </w:rPr>
        <w:fldChar w:fldCharType="begin"/>
      </w:r>
      <w:r>
        <w:rPr>
          <w:rFonts w:hint="eastAsia" w:ascii="仿宋" w:hAnsi="仿宋" w:eastAsia="仿宋" w:cs="仿宋"/>
          <w:bCs/>
          <w:caps/>
          <w:sz w:val="30"/>
          <w:szCs w:val="30"/>
        </w:rPr>
        <w:instrText xml:space="preserve"> PAGEREF _Toc17440 </w:instrText>
      </w:r>
      <w:r>
        <w:rPr>
          <w:rFonts w:hint="eastAsia" w:ascii="仿宋" w:hAnsi="仿宋" w:eastAsia="仿宋" w:cs="仿宋"/>
          <w:bCs/>
          <w:caps/>
          <w:sz w:val="30"/>
          <w:szCs w:val="30"/>
        </w:rPr>
        <w:fldChar w:fldCharType="separate"/>
      </w:r>
      <w:r>
        <w:rPr>
          <w:rFonts w:hint="eastAsia" w:ascii="仿宋" w:hAnsi="仿宋" w:eastAsia="仿宋" w:cs="仿宋"/>
          <w:bCs/>
          <w:caps/>
          <w:sz w:val="30"/>
          <w:szCs w:val="30"/>
        </w:rPr>
        <w:t>36</w:t>
      </w:r>
      <w:r>
        <w:rPr>
          <w:rFonts w:hint="eastAsia" w:ascii="仿宋" w:hAnsi="仿宋" w:eastAsia="仿宋" w:cs="仿宋"/>
          <w:bCs/>
          <w:caps/>
          <w:sz w:val="30"/>
          <w:szCs w:val="30"/>
        </w:rPr>
        <w:fldChar w:fldCharType="end"/>
      </w:r>
      <w:r>
        <w:rPr>
          <w:rFonts w:hint="eastAsia" w:ascii="仿宋" w:hAnsi="仿宋" w:eastAsia="仿宋" w:cs="仿宋"/>
          <w:bCs/>
          <w:caps/>
          <w:sz w:val="30"/>
          <w:szCs w:val="30"/>
        </w:rPr>
        <w:fldChar w:fldCharType="end"/>
      </w:r>
    </w:p>
    <w:p>
      <w:pPr>
        <w:pStyle w:val="27"/>
        <w:tabs>
          <w:tab w:val="right" w:leader="dot" w:pos="8788"/>
        </w:tabs>
        <w:spacing w:line="360" w:lineRule="auto"/>
        <w:rPr>
          <w:rFonts w:hint="eastAsia" w:ascii="仿宋" w:hAnsi="仿宋" w:eastAsia="仿宋" w:cs="仿宋"/>
          <w:bCs/>
          <w:caps/>
          <w:sz w:val="30"/>
          <w:szCs w:val="30"/>
        </w:rPr>
      </w:pPr>
      <w:r>
        <w:rPr>
          <w:rFonts w:hint="eastAsia" w:ascii="仿宋" w:hAnsi="仿宋" w:eastAsia="仿宋" w:cs="仿宋"/>
        </w:rPr>
        <w:fldChar w:fldCharType="begin"/>
      </w:r>
      <w:r>
        <w:rPr>
          <w:rFonts w:hint="eastAsia" w:ascii="仿宋" w:hAnsi="仿宋" w:eastAsia="仿宋" w:cs="仿宋"/>
        </w:rPr>
        <w:instrText xml:space="preserve"> HYPERLINK \l "_Toc30085" </w:instrText>
      </w:r>
      <w:r>
        <w:rPr>
          <w:rFonts w:hint="eastAsia" w:ascii="仿宋" w:hAnsi="仿宋" w:eastAsia="仿宋" w:cs="仿宋"/>
        </w:rPr>
        <w:fldChar w:fldCharType="separate"/>
      </w:r>
      <w:r>
        <w:rPr>
          <w:rFonts w:hint="eastAsia" w:ascii="仿宋" w:hAnsi="仿宋" w:eastAsia="仿宋" w:cs="仿宋"/>
          <w:bCs/>
          <w:caps/>
          <w:sz w:val="30"/>
          <w:szCs w:val="30"/>
        </w:rPr>
        <w:t>第</w:t>
      </w:r>
      <w:r>
        <w:rPr>
          <w:rFonts w:hint="eastAsia" w:ascii="仿宋" w:hAnsi="仿宋" w:eastAsia="仿宋" w:cs="仿宋"/>
          <w:bCs/>
          <w:caps/>
          <w:kern w:val="44"/>
          <w:sz w:val="30"/>
          <w:szCs w:val="30"/>
        </w:rPr>
        <w:t xml:space="preserve">五章  </w:t>
      </w:r>
      <w:r>
        <w:rPr>
          <w:rFonts w:hint="eastAsia" w:ascii="仿宋" w:hAnsi="仿宋" w:eastAsia="仿宋" w:cs="仿宋"/>
          <w:bCs/>
          <w:caps/>
          <w:sz w:val="30"/>
          <w:szCs w:val="30"/>
        </w:rPr>
        <w:t>项目概况及要求</w:t>
      </w:r>
      <w:r>
        <w:rPr>
          <w:rFonts w:hint="eastAsia" w:ascii="仿宋" w:hAnsi="仿宋" w:eastAsia="仿宋" w:cs="仿宋"/>
          <w:bCs/>
          <w:caps/>
          <w:sz w:val="30"/>
          <w:szCs w:val="30"/>
        </w:rPr>
        <w:tab/>
      </w:r>
      <w:r>
        <w:rPr>
          <w:rFonts w:hint="eastAsia" w:ascii="仿宋" w:hAnsi="仿宋" w:eastAsia="仿宋" w:cs="仿宋"/>
          <w:bCs/>
          <w:caps/>
          <w:sz w:val="30"/>
          <w:szCs w:val="30"/>
        </w:rPr>
        <w:fldChar w:fldCharType="begin"/>
      </w:r>
      <w:r>
        <w:rPr>
          <w:rFonts w:hint="eastAsia" w:ascii="仿宋" w:hAnsi="仿宋" w:eastAsia="仿宋" w:cs="仿宋"/>
          <w:bCs/>
          <w:caps/>
          <w:sz w:val="30"/>
          <w:szCs w:val="30"/>
        </w:rPr>
        <w:instrText xml:space="preserve"> PAGEREF _Toc30085 </w:instrText>
      </w:r>
      <w:r>
        <w:rPr>
          <w:rFonts w:hint="eastAsia" w:ascii="仿宋" w:hAnsi="仿宋" w:eastAsia="仿宋" w:cs="仿宋"/>
          <w:bCs/>
          <w:caps/>
          <w:sz w:val="30"/>
          <w:szCs w:val="30"/>
        </w:rPr>
        <w:fldChar w:fldCharType="separate"/>
      </w:r>
      <w:r>
        <w:rPr>
          <w:rFonts w:hint="eastAsia" w:ascii="仿宋" w:hAnsi="仿宋" w:eastAsia="仿宋" w:cs="仿宋"/>
          <w:bCs/>
          <w:caps/>
          <w:sz w:val="30"/>
          <w:szCs w:val="30"/>
        </w:rPr>
        <w:t>52</w:t>
      </w:r>
      <w:r>
        <w:rPr>
          <w:rFonts w:hint="eastAsia" w:ascii="仿宋" w:hAnsi="仿宋" w:eastAsia="仿宋" w:cs="仿宋"/>
          <w:bCs/>
          <w:caps/>
          <w:sz w:val="30"/>
          <w:szCs w:val="30"/>
        </w:rPr>
        <w:fldChar w:fldCharType="end"/>
      </w:r>
      <w:r>
        <w:rPr>
          <w:rFonts w:hint="eastAsia" w:ascii="仿宋" w:hAnsi="仿宋" w:eastAsia="仿宋" w:cs="仿宋"/>
          <w:bCs/>
          <w:caps/>
          <w:sz w:val="30"/>
          <w:szCs w:val="30"/>
        </w:rPr>
        <w:fldChar w:fldCharType="end"/>
      </w:r>
    </w:p>
    <w:p>
      <w:pPr>
        <w:pStyle w:val="27"/>
        <w:tabs>
          <w:tab w:val="right" w:leader="dot" w:pos="8788"/>
        </w:tabs>
        <w:spacing w:line="360" w:lineRule="auto"/>
        <w:rPr>
          <w:rFonts w:hint="eastAsia" w:ascii="仿宋" w:hAnsi="仿宋" w:eastAsia="仿宋" w:cs="仿宋"/>
          <w:bCs/>
          <w:caps/>
          <w:szCs w:val="20"/>
        </w:rPr>
      </w:pPr>
      <w:r>
        <w:rPr>
          <w:rFonts w:hint="eastAsia" w:ascii="仿宋" w:hAnsi="仿宋" w:eastAsia="仿宋" w:cs="仿宋"/>
        </w:rPr>
        <w:fldChar w:fldCharType="begin"/>
      </w:r>
      <w:r>
        <w:rPr>
          <w:rFonts w:hint="eastAsia" w:ascii="仿宋" w:hAnsi="仿宋" w:eastAsia="仿宋" w:cs="仿宋"/>
        </w:rPr>
        <w:instrText xml:space="preserve"> HYPERLINK \l "_Toc20206" </w:instrText>
      </w:r>
      <w:r>
        <w:rPr>
          <w:rFonts w:hint="eastAsia" w:ascii="仿宋" w:hAnsi="仿宋" w:eastAsia="仿宋" w:cs="仿宋"/>
        </w:rPr>
        <w:fldChar w:fldCharType="separate"/>
      </w:r>
      <w:r>
        <w:rPr>
          <w:rFonts w:hint="eastAsia" w:ascii="仿宋" w:hAnsi="仿宋" w:eastAsia="仿宋" w:cs="仿宋"/>
          <w:bCs/>
          <w:caps/>
          <w:sz w:val="30"/>
          <w:szCs w:val="30"/>
        </w:rPr>
        <w:t>第六章  投标文件构成及格式</w:t>
      </w:r>
      <w:r>
        <w:rPr>
          <w:rFonts w:hint="eastAsia" w:ascii="仿宋" w:hAnsi="仿宋" w:eastAsia="仿宋" w:cs="仿宋"/>
          <w:bCs/>
          <w:caps/>
          <w:sz w:val="30"/>
          <w:szCs w:val="30"/>
        </w:rPr>
        <w:tab/>
      </w:r>
      <w:r>
        <w:rPr>
          <w:rFonts w:hint="eastAsia" w:ascii="仿宋" w:hAnsi="仿宋" w:eastAsia="仿宋" w:cs="仿宋"/>
          <w:bCs/>
          <w:caps/>
          <w:sz w:val="30"/>
          <w:szCs w:val="30"/>
        </w:rPr>
        <w:fldChar w:fldCharType="begin"/>
      </w:r>
      <w:r>
        <w:rPr>
          <w:rFonts w:hint="eastAsia" w:ascii="仿宋" w:hAnsi="仿宋" w:eastAsia="仿宋" w:cs="仿宋"/>
          <w:bCs/>
          <w:caps/>
          <w:sz w:val="30"/>
          <w:szCs w:val="30"/>
        </w:rPr>
        <w:instrText xml:space="preserve"> PAGEREF _Toc20206 </w:instrText>
      </w:r>
      <w:r>
        <w:rPr>
          <w:rFonts w:hint="eastAsia" w:ascii="仿宋" w:hAnsi="仿宋" w:eastAsia="仿宋" w:cs="仿宋"/>
          <w:bCs/>
          <w:caps/>
          <w:sz w:val="30"/>
          <w:szCs w:val="30"/>
        </w:rPr>
        <w:fldChar w:fldCharType="separate"/>
      </w:r>
      <w:r>
        <w:rPr>
          <w:rFonts w:hint="eastAsia" w:ascii="仿宋" w:hAnsi="仿宋" w:eastAsia="仿宋" w:cs="仿宋"/>
          <w:bCs/>
          <w:caps/>
          <w:sz w:val="30"/>
          <w:szCs w:val="30"/>
        </w:rPr>
        <w:t>55</w:t>
      </w:r>
      <w:r>
        <w:rPr>
          <w:rFonts w:hint="eastAsia" w:ascii="仿宋" w:hAnsi="仿宋" w:eastAsia="仿宋" w:cs="仿宋"/>
          <w:bCs/>
          <w:caps/>
          <w:sz w:val="30"/>
          <w:szCs w:val="30"/>
        </w:rPr>
        <w:fldChar w:fldCharType="end"/>
      </w:r>
      <w:r>
        <w:rPr>
          <w:rFonts w:hint="eastAsia" w:ascii="仿宋" w:hAnsi="仿宋" w:eastAsia="仿宋" w:cs="仿宋"/>
          <w:bCs/>
          <w:caps/>
          <w:sz w:val="30"/>
          <w:szCs w:val="30"/>
        </w:rPr>
        <w:fldChar w:fldCharType="end"/>
      </w:r>
    </w:p>
    <w:p>
      <w:pPr>
        <w:pStyle w:val="27"/>
        <w:tabs>
          <w:tab w:val="right" w:leader="dot" w:pos="8787"/>
        </w:tabs>
        <w:spacing w:line="480" w:lineRule="auto"/>
        <w:rPr>
          <w:rFonts w:hint="eastAsia" w:ascii="仿宋" w:hAnsi="仿宋" w:eastAsia="仿宋" w:cs="仿宋"/>
          <w:sz w:val="24"/>
          <w:szCs w:val="24"/>
        </w:rPr>
      </w:pPr>
      <w:r>
        <w:rPr>
          <w:rFonts w:hint="eastAsia" w:ascii="仿宋" w:hAnsi="仿宋" w:eastAsia="仿宋" w:cs="仿宋"/>
          <w:bCs/>
          <w:caps/>
          <w:szCs w:val="24"/>
        </w:rPr>
        <w:fldChar w:fldCharType="end"/>
      </w:r>
    </w:p>
    <w:p>
      <w:pPr>
        <w:rPr>
          <w:rFonts w:hint="eastAsia" w:ascii="仿宋" w:hAnsi="仿宋" w:eastAsia="仿宋" w:cs="仿宋"/>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bookmarkEnd w:id="1"/>
    <w:bookmarkEnd w:id="2"/>
    <w:bookmarkEnd w:id="3"/>
    <w:bookmarkEnd w:id="4"/>
    <w:bookmarkEnd w:id="5"/>
    <w:bookmarkEnd w:id="6"/>
    <w:bookmarkEnd w:id="7"/>
    <w:bookmarkEnd w:id="8"/>
    <w:p>
      <w:pPr>
        <w:widowControl/>
        <w:spacing w:line="360" w:lineRule="auto"/>
        <w:ind w:firstLine="482" w:firstLineChars="150"/>
        <w:jc w:val="center"/>
        <w:outlineLvl w:val="0"/>
        <w:rPr>
          <w:rFonts w:hint="eastAsia" w:ascii="仿宋" w:hAnsi="仿宋" w:eastAsia="仿宋" w:cs="仿宋"/>
          <w:b/>
          <w:bCs/>
          <w:sz w:val="32"/>
          <w:szCs w:val="32"/>
        </w:rPr>
        <w:sectPr>
          <w:footerReference r:id="rId5" w:type="default"/>
          <w:pgSz w:w="11906" w:h="16838"/>
          <w:pgMar w:top="1417" w:right="1417" w:bottom="1417" w:left="1701" w:header="851" w:footer="992" w:gutter="0"/>
          <w:pgNumType w:start="1"/>
          <w:cols w:space="0" w:num="1"/>
          <w:docGrid w:type="lines" w:linePitch="312" w:charSpace="0"/>
        </w:sectPr>
      </w:pPr>
      <w:bookmarkStart w:id="9" w:name="_Toc452384741"/>
      <w:bookmarkStart w:id="10" w:name="_Toc16698"/>
    </w:p>
    <w:p>
      <w:pPr>
        <w:widowControl/>
        <w:spacing w:line="360" w:lineRule="auto"/>
        <w:ind w:firstLine="482" w:firstLineChars="150"/>
        <w:jc w:val="center"/>
        <w:outlineLvl w:val="0"/>
        <w:rPr>
          <w:rFonts w:hint="eastAsia" w:ascii="仿宋" w:hAnsi="仿宋" w:eastAsia="仿宋" w:cs="仿宋"/>
          <w:b/>
          <w:bCs/>
          <w:sz w:val="32"/>
          <w:szCs w:val="32"/>
        </w:rPr>
      </w:pPr>
      <w:bookmarkStart w:id="11" w:name="_Toc25487"/>
      <w:r>
        <w:rPr>
          <w:rFonts w:hint="eastAsia" w:ascii="仿宋" w:hAnsi="仿宋" w:eastAsia="仿宋" w:cs="仿宋"/>
          <w:b/>
          <w:bCs/>
          <w:sz w:val="32"/>
          <w:szCs w:val="32"/>
        </w:rPr>
        <w:t>第一章</w:t>
      </w:r>
      <w:bookmarkEnd w:id="9"/>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招标公告</w:t>
      </w:r>
      <w:bookmarkEnd w:id="10"/>
      <w:bookmarkEnd w:id="11"/>
    </w:p>
    <w:p>
      <w:pPr>
        <w:pStyle w:val="34"/>
        <w:tabs>
          <w:tab w:val="left" w:pos="480"/>
        </w:tabs>
        <w:spacing w:before="0" w:beforeAutospacing="0" w:after="0" w:afterAutospacing="0" w:line="440" w:lineRule="exact"/>
        <w:rPr>
          <w:rFonts w:hint="eastAsia" w:ascii="仿宋" w:hAnsi="仿宋" w:eastAsia="仿宋" w:cs="仿宋"/>
          <w:b/>
          <w:color w:val="333333"/>
          <w:shd w:val="clear" w:color="auto" w:fill="FFFFFF"/>
        </w:rPr>
      </w:pPr>
      <w:r>
        <w:rPr>
          <w:rFonts w:hint="eastAsia" w:ascii="仿宋" w:hAnsi="仿宋" w:eastAsia="仿宋" w:cs="仿宋"/>
          <w:b/>
          <w:color w:val="333333"/>
          <w:shd w:val="clear" w:color="auto" w:fill="FFFFFF"/>
        </w:rPr>
        <w:t>项目概况</w:t>
      </w:r>
    </w:p>
    <w:p>
      <w:pPr>
        <w:pStyle w:val="34"/>
        <w:tabs>
          <w:tab w:val="left" w:pos="480"/>
        </w:tabs>
        <w:spacing w:before="0" w:beforeAutospacing="0" w:after="0" w:afterAutospacing="0" w:line="440" w:lineRule="exact"/>
        <w:ind w:firstLine="482" w:firstLineChars="200"/>
        <w:rPr>
          <w:rFonts w:hint="eastAsia" w:ascii="仿宋" w:hAnsi="仿宋" w:eastAsia="仿宋" w:cs="仿宋"/>
          <w:b/>
          <w:color w:val="333333"/>
          <w:shd w:val="clear" w:color="auto" w:fill="FFFFFF"/>
        </w:rPr>
      </w:pPr>
      <w:r>
        <w:rPr>
          <w:rFonts w:hint="eastAsia" w:ascii="仿宋" w:hAnsi="仿宋" w:eastAsia="仿宋" w:cs="仿宋"/>
          <w:b/>
          <w:color w:val="333333"/>
          <w:shd w:val="clear" w:color="auto" w:fill="FFFFFF"/>
        </w:rPr>
        <w:t>西咸新区沣东新城三桥街道零散地块拆迁项目</w:t>
      </w:r>
      <w:r>
        <w:rPr>
          <w:rFonts w:hint="eastAsia" w:ascii="仿宋" w:hAnsi="仿宋" w:eastAsia="仿宋" w:cs="仿宋"/>
          <w:bCs/>
          <w:color w:val="333333"/>
          <w:shd w:val="clear" w:color="auto" w:fill="FFFFFF"/>
        </w:rPr>
        <w:t>的潜在供应商应在</w:t>
      </w:r>
      <w:r>
        <w:rPr>
          <w:rFonts w:hint="eastAsia" w:ascii="仿宋" w:hAnsi="仿宋" w:eastAsia="仿宋" w:cs="仿宋"/>
          <w:bCs/>
          <w:shd w:val="clear" w:color="auto" w:fill="FFFFFF"/>
        </w:rPr>
        <w:t>全国公共资源交易平台（陕西省西咸新区）直接下载获取招标文件</w:t>
      </w:r>
      <w:r>
        <w:rPr>
          <w:rFonts w:hint="eastAsia" w:ascii="仿宋" w:hAnsi="仿宋" w:eastAsia="仿宋" w:cs="仿宋"/>
          <w:bCs/>
          <w:color w:val="333333"/>
          <w:shd w:val="clear" w:color="auto" w:fill="FFFFFF"/>
        </w:rPr>
        <w:t>，并于 2022年</w:t>
      </w:r>
      <w:r>
        <w:rPr>
          <w:rFonts w:hint="eastAsia" w:ascii="仿宋" w:hAnsi="仿宋" w:eastAsia="仿宋" w:cs="仿宋"/>
          <w:bCs/>
          <w:color w:val="333333"/>
          <w:shd w:val="clear" w:color="auto" w:fill="FFFFFF"/>
          <w:lang w:val="en-US" w:eastAsia="zh-CN"/>
        </w:rPr>
        <w:t>12</w:t>
      </w:r>
      <w:r>
        <w:rPr>
          <w:rFonts w:hint="eastAsia" w:ascii="仿宋" w:hAnsi="仿宋" w:eastAsia="仿宋" w:cs="仿宋"/>
          <w:bCs/>
          <w:color w:val="333333"/>
          <w:shd w:val="clear" w:color="auto" w:fill="FFFFFF"/>
        </w:rPr>
        <w:t>月</w:t>
      </w:r>
      <w:r>
        <w:rPr>
          <w:rFonts w:hint="eastAsia" w:ascii="仿宋" w:hAnsi="仿宋" w:eastAsia="仿宋" w:cs="仿宋"/>
          <w:bCs/>
          <w:color w:val="333333"/>
          <w:shd w:val="clear" w:color="auto" w:fill="FFFFFF"/>
          <w:lang w:val="en-US" w:eastAsia="zh-CN"/>
        </w:rPr>
        <w:t>20</w:t>
      </w:r>
      <w:r>
        <w:rPr>
          <w:rFonts w:hint="eastAsia" w:ascii="仿宋" w:hAnsi="仿宋" w:eastAsia="仿宋" w:cs="仿宋"/>
          <w:bCs/>
          <w:color w:val="333333"/>
          <w:shd w:val="clear" w:color="auto" w:fill="FFFFFF"/>
        </w:rPr>
        <w:t>日 09时</w:t>
      </w:r>
      <w:r>
        <w:rPr>
          <w:rFonts w:hint="eastAsia" w:ascii="仿宋" w:hAnsi="仿宋" w:eastAsia="仿宋" w:cs="仿宋"/>
          <w:bCs/>
          <w:color w:val="333333"/>
          <w:shd w:val="clear" w:color="auto" w:fill="FFFFFF"/>
          <w:lang w:val="en-US" w:eastAsia="zh-CN"/>
        </w:rPr>
        <w:t>30</w:t>
      </w:r>
      <w:r>
        <w:rPr>
          <w:rFonts w:hint="eastAsia" w:ascii="仿宋" w:hAnsi="仿宋" w:eastAsia="仿宋" w:cs="仿宋"/>
          <w:bCs/>
          <w:color w:val="333333"/>
          <w:shd w:val="clear" w:color="auto" w:fill="FFFFFF"/>
        </w:rPr>
        <w:t>分 （北京时间）前提交投标文件。</w:t>
      </w:r>
    </w:p>
    <w:p>
      <w:pPr>
        <w:pStyle w:val="34"/>
        <w:numPr>
          <w:ilvl w:val="0"/>
          <w:numId w:val="1"/>
        </w:numPr>
        <w:spacing w:before="0" w:beforeAutospacing="0" w:after="0" w:afterAutospacing="0" w:line="440" w:lineRule="exact"/>
        <w:rPr>
          <w:rFonts w:hint="eastAsia" w:ascii="仿宋" w:hAnsi="仿宋" w:eastAsia="仿宋" w:cs="仿宋"/>
          <w:b/>
          <w:color w:val="333333"/>
          <w:shd w:val="clear" w:color="auto" w:fill="FFFFFF"/>
        </w:rPr>
      </w:pPr>
      <w:r>
        <w:rPr>
          <w:rFonts w:hint="eastAsia" w:ascii="仿宋" w:hAnsi="仿宋" w:eastAsia="仿宋" w:cs="仿宋"/>
          <w:b/>
          <w:color w:val="333333"/>
          <w:shd w:val="clear" w:color="auto" w:fill="FFFFFF"/>
        </w:rPr>
        <w:t>项目基本情况</w:t>
      </w:r>
    </w:p>
    <w:p>
      <w:pPr>
        <w:pStyle w:val="34"/>
        <w:spacing w:before="0" w:beforeAutospacing="0" w:after="0" w:afterAutospacing="0" w:line="440" w:lineRule="exact"/>
        <w:rPr>
          <w:rFonts w:hint="eastAsia" w:ascii="仿宋" w:hAnsi="仿宋" w:eastAsia="仿宋" w:cs="仿宋"/>
          <w:bCs/>
          <w:color w:val="FF0000"/>
          <w:shd w:val="clear" w:color="auto" w:fill="FFFFFF"/>
        </w:rPr>
      </w:pPr>
      <w:r>
        <w:rPr>
          <w:rFonts w:hint="eastAsia" w:ascii="仿宋" w:hAnsi="仿宋" w:eastAsia="仿宋" w:cs="仿宋"/>
          <w:bCs/>
          <w:color w:val="333333"/>
          <w:shd w:val="clear" w:color="auto" w:fill="FFFFFF"/>
        </w:rPr>
        <w:t>项目编号：XXGC-2022-000171-4</w:t>
      </w:r>
    </w:p>
    <w:p>
      <w:pPr>
        <w:pStyle w:val="34"/>
        <w:spacing w:before="0" w:beforeAutospacing="0" w:after="0" w:afterAutospacing="0" w:line="440" w:lineRule="exact"/>
        <w:rPr>
          <w:rFonts w:hint="eastAsia" w:ascii="仿宋" w:hAnsi="仿宋" w:eastAsia="仿宋" w:cs="仿宋"/>
          <w:bCs/>
          <w:color w:val="333333"/>
          <w:shd w:val="clear" w:color="auto" w:fill="FFFFFF"/>
          <w:lang w:eastAsia="zh-CN"/>
        </w:rPr>
      </w:pPr>
      <w:r>
        <w:rPr>
          <w:rFonts w:hint="eastAsia" w:ascii="仿宋" w:hAnsi="仿宋" w:eastAsia="仿宋" w:cs="仿宋"/>
          <w:bCs/>
          <w:color w:val="333333"/>
          <w:shd w:val="clear" w:color="auto" w:fill="FFFFFF"/>
        </w:rPr>
        <w:t>项目名称：</w:t>
      </w:r>
      <w:r>
        <w:rPr>
          <w:rFonts w:hint="eastAsia" w:ascii="仿宋" w:hAnsi="仿宋" w:eastAsia="仿宋" w:cs="仿宋"/>
          <w:bCs/>
          <w:color w:val="333333"/>
          <w:shd w:val="clear" w:color="auto" w:fill="FFFFFF"/>
          <w:lang w:eastAsia="zh-CN"/>
        </w:rPr>
        <w:t>西咸新区沣东新城三桥街道零散地块拆迁项目</w:t>
      </w:r>
    </w:p>
    <w:p>
      <w:pPr>
        <w:pStyle w:val="34"/>
        <w:spacing w:before="0" w:beforeAutospacing="0" w:after="0" w:afterAutospacing="0" w:line="440" w:lineRule="exact"/>
        <w:rPr>
          <w:rFonts w:hint="eastAsia" w:ascii="仿宋" w:hAnsi="仿宋" w:eastAsia="仿宋" w:cs="仿宋"/>
          <w:bCs/>
          <w:color w:val="333333"/>
          <w:shd w:val="clear" w:color="auto" w:fill="FFFFFF"/>
        </w:rPr>
      </w:pPr>
      <w:r>
        <w:rPr>
          <w:rFonts w:hint="eastAsia" w:ascii="仿宋" w:hAnsi="仿宋" w:eastAsia="仿宋" w:cs="仿宋"/>
          <w:bCs/>
          <w:color w:val="333333"/>
          <w:shd w:val="clear" w:color="auto" w:fill="FFFFFF"/>
        </w:rPr>
        <w:t>采购方式：公开招标</w:t>
      </w:r>
    </w:p>
    <w:p>
      <w:pPr>
        <w:pStyle w:val="34"/>
        <w:spacing w:before="0" w:beforeAutospacing="0" w:after="0" w:afterAutospacing="0" w:line="440" w:lineRule="exact"/>
        <w:rPr>
          <w:rFonts w:hint="eastAsia" w:ascii="仿宋" w:hAnsi="仿宋" w:eastAsia="仿宋" w:cs="仿宋"/>
          <w:bCs/>
          <w:color w:val="333333"/>
          <w:shd w:val="clear" w:color="auto" w:fill="FFFFFF"/>
        </w:rPr>
      </w:pPr>
      <w:r>
        <w:rPr>
          <w:rFonts w:hint="eastAsia" w:ascii="仿宋" w:hAnsi="仿宋" w:eastAsia="仿宋" w:cs="仿宋"/>
          <w:bCs/>
          <w:color w:val="333333"/>
          <w:shd w:val="clear" w:color="auto" w:fill="FFFFFF"/>
        </w:rPr>
        <w:t>预算金额：</w:t>
      </w:r>
      <w:r>
        <w:rPr>
          <w:rFonts w:hint="eastAsia" w:ascii="仿宋" w:hAnsi="仿宋" w:eastAsia="仿宋" w:cs="仿宋"/>
          <w:bCs/>
          <w:color w:val="333333"/>
          <w:shd w:val="clear" w:color="auto" w:fill="FFFFFF"/>
          <w:lang w:eastAsia="zh-CN"/>
        </w:rPr>
        <w:t>9,599,520.00</w:t>
      </w:r>
      <w:r>
        <w:rPr>
          <w:rFonts w:hint="eastAsia" w:ascii="仿宋" w:hAnsi="仿宋" w:eastAsia="仿宋" w:cs="仿宋"/>
          <w:bCs/>
          <w:color w:val="333333"/>
          <w:shd w:val="clear" w:color="auto" w:fill="FFFFFF"/>
        </w:rPr>
        <w:t>元</w:t>
      </w:r>
    </w:p>
    <w:p>
      <w:pPr>
        <w:pStyle w:val="34"/>
        <w:spacing w:before="0" w:beforeAutospacing="0" w:after="0" w:afterAutospacing="0" w:line="440" w:lineRule="exact"/>
        <w:rPr>
          <w:rFonts w:hint="eastAsia" w:ascii="仿宋" w:hAnsi="仿宋" w:eastAsia="仿宋" w:cs="仿宋"/>
          <w:bCs/>
          <w:color w:val="333333"/>
          <w:shd w:val="clear" w:color="auto" w:fill="FFFFFF"/>
        </w:rPr>
      </w:pPr>
      <w:r>
        <w:rPr>
          <w:rFonts w:hint="eastAsia" w:ascii="仿宋" w:hAnsi="仿宋" w:eastAsia="仿宋" w:cs="仿宋"/>
          <w:bCs/>
          <w:color w:val="333333"/>
          <w:shd w:val="clear" w:color="auto" w:fill="FFFFFF"/>
        </w:rPr>
        <w:t>采购需求：</w:t>
      </w:r>
    </w:p>
    <w:p>
      <w:pPr>
        <w:pStyle w:val="34"/>
        <w:spacing w:before="0" w:beforeAutospacing="0" w:after="0" w:afterAutospacing="0" w:line="440" w:lineRule="exact"/>
        <w:rPr>
          <w:rFonts w:hint="eastAsia" w:ascii="仿宋" w:hAnsi="仿宋" w:eastAsia="仿宋" w:cs="仿宋"/>
          <w:bCs/>
          <w:color w:val="333333"/>
          <w:shd w:val="clear" w:color="auto" w:fill="FFFFFF"/>
        </w:rPr>
      </w:pPr>
      <w:r>
        <w:rPr>
          <w:rFonts w:hint="eastAsia" w:ascii="仿宋" w:hAnsi="仿宋" w:eastAsia="仿宋" w:cs="仿宋"/>
          <w:bCs/>
          <w:color w:val="333333"/>
          <w:shd w:val="clear" w:color="auto" w:fill="FFFFFF"/>
        </w:rPr>
        <w:t>合同包1</w:t>
      </w:r>
      <w:r>
        <w:rPr>
          <w:rFonts w:hint="eastAsia" w:ascii="仿宋" w:hAnsi="仿宋" w:eastAsia="仿宋" w:cs="仿宋"/>
          <w:color w:val="333333"/>
          <w:shd w:val="clear" w:color="auto" w:fill="FFFFFF"/>
        </w:rPr>
        <w:t>(</w:t>
      </w:r>
      <w:r>
        <w:rPr>
          <w:rFonts w:hint="eastAsia" w:ascii="仿宋" w:hAnsi="仿宋" w:eastAsia="仿宋" w:cs="仿宋"/>
          <w:color w:val="333333"/>
          <w:shd w:val="clear" w:color="auto" w:fill="FFFFFF"/>
          <w:lang w:eastAsia="zh-CN"/>
        </w:rPr>
        <w:t>西咸新区沣东新城</w:t>
      </w:r>
      <w:r>
        <w:rPr>
          <w:rFonts w:hint="eastAsia" w:ascii="仿宋" w:hAnsi="仿宋" w:eastAsia="仿宋" w:cs="仿宋"/>
          <w:color w:val="333333"/>
          <w:shd w:val="clear" w:color="auto" w:fill="FFFFFF"/>
        </w:rPr>
        <w:t>三桥街道零散地块拆迁项目）</w:t>
      </w:r>
      <w:r>
        <w:rPr>
          <w:rFonts w:hint="eastAsia" w:ascii="仿宋" w:hAnsi="仿宋" w:eastAsia="仿宋" w:cs="仿宋"/>
          <w:bCs/>
          <w:color w:val="333333"/>
          <w:shd w:val="clear" w:color="auto" w:fill="FFFFFF"/>
        </w:rPr>
        <w:t>:</w:t>
      </w:r>
    </w:p>
    <w:p>
      <w:pPr>
        <w:pStyle w:val="34"/>
        <w:spacing w:before="0" w:beforeAutospacing="0" w:after="0" w:afterAutospacing="0" w:line="440" w:lineRule="exact"/>
        <w:rPr>
          <w:rFonts w:hint="eastAsia" w:ascii="仿宋" w:hAnsi="仿宋" w:eastAsia="仿宋" w:cs="仿宋"/>
          <w:bCs/>
          <w:color w:val="333333"/>
          <w:shd w:val="clear" w:color="auto" w:fill="FFFFFF"/>
        </w:rPr>
      </w:pPr>
      <w:r>
        <w:rPr>
          <w:rFonts w:hint="eastAsia" w:ascii="仿宋" w:hAnsi="仿宋" w:eastAsia="仿宋" w:cs="仿宋"/>
          <w:bCs/>
          <w:color w:val="333333"/>
          <w:shd w:val="clear" w:color="auto" w:fill="FFFFFF"/>
        </w:rPr>
        <w:t>合同包预算金额：</w:t>
      </w:r>
      <w:r>
        <w:rPr>
          <w:rFonts w:hint="eastAsia" w:ascii="仿宋" w:hAnsi="仿宋" w:eastAsia="仿宋" w:cs="仿宋"/>
          <w:bCs/>
          <w:color w:val="333333"/>
          <w:shd w:val="clear" w:color="auto" w:fill="FFFFFF"/>
          <w:lang w:eastAsia="zh-CN"/>
        </w:rPr>
        <w:t>9,599,520.00</w:t>
      </w:r>
      <w:r>
        <w:rPr>
          <w:rFonts w:hint="eastAsia" w:ascii="仿宋" w:hAnsi="仿宋" w:eastAsia="仿宋" w:cs="仿宋"/>
          <w:bCs/>
          <w:color w:val="333333"/>
          <w:shd w:val="clear" w:color="auto" w:fill="FFFFFF"/>
        </w:rPr>
        <w:t>元</w:t>
      </w:r>
    </w:p>
    <w:p>
      <w:pPr>
        <w:pStyle w:val="34"/>
        <w:spacing w:before="0" w:beforeAutospacing="0" w:after="0" w:afterAutospacing="0" w:line="440" w:lineRule="exact"/>
        <w:rPr>
          <w:rFonts w:hint="eastAsia" w:ascii="仿宋" w:hAnsi="仿宋" w:eastAsia="仿宋" w:cs="仿宋"/>
          <w:bCs/>
          <w:color w:val="333333"/>
          <w:shd w:val="clear" w:color="auto" w:fill="FFFFFF"/>
        </w:rPr>
      </w:pPr>
      <w:r>
        <w:rPr>
          <w:rFonts w:hint="eastAsia" w:ascii="仿宋" w:hAnsi="仿宋" w:eastAsia="仿宋" w:cs="仿宋"/>
          <w:bCs/>
          <w:color w:val="333333"/>
          <w:shd w:val="clear" w:color="auto" w:fill="FFFFFF"/>
        </w:rPr>
        <w:t>合同包最高限价：</w:t>
      </w:r>
      <w:r>
        <w:rPr>
          <w:rFonts w:hint="eastAsia" w:ascii="仿宋" w:hAnsi="仿宋" w:eastAsia="仿宋" w:cs="仿宋"/>
          <w:bCs/>
          <w:color w:val="333333"/>
          <w:shd w:val="clear" w:color="auto" w:fill="FFFFFF"/>
          <w:lang w:eastAsia="zh-CN"/>
        </w:rPr>
        <w:t>9,599,520.00</w:t>
      </w:r>
      <w:r>
        <w:rPr>
          <w:rFonts w:hint="eastAsia" w:ascii="仿宋" w:hAnsi="仿宋" w:eastAsia="仿宋" w:cs="仿宋"/>
          <w:bCs/>
          <w:color w:val="333333"/>
          <w:shd w:val="clear" w:color="auto" w:fill="FFFFFF"/>
        </w:rPr>
        <w:t>元</w:t>
      </w:r>
    </w:p>
    <w:tbl>
      <w:tblPr>
        <w:tblStyle w:val="49"/>
        <w:tblpPr w:leftFromText="180" w:rightFromText="180" w:vertAnchor="text" w:horzAnchor="page" w:tblpX="1443" w:tblpY="429"/>
        <w:tblOverlap w:val="never"/>
        <w:tblW w:w="96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85"/>
        <w:gridCol w:w="1699"/>
        <w:gridCol w:w="1218"/>
        <w:gridCol w:w="1272"/>
        <w:gridCol w:w="1637"/>
        <w:gridCol w:w="1616"/>
        <w:gridCol w:w="1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59" w:hRule="atLeast"/>
          <w:tblHeader/>
        </w:trPr>
        <w:tc>
          <w:tcPr>
            <w:tcW w:w="6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b/>
                <w:bCs/>
              </w:rPr>
            </w:pPr>
            <w:r>
              <w:rPr>
                <w:rFonts w:hint="eastAsia" w:ascii="仿宋" w:hAnsi="仿宋" w:eastAsia="仿宋" w:cs="仿宋"/>
                <w:kern w:val="0"/>
              </w:rPr>
              <w:t>品目</w:t>
            </w:r>
            <w:r>
              <w:rPr>
                <w:rFonts w:hint="eastAsia" w:ascii="仿宋" w:hAnsi="仿宋" w:eastAsia="仿宋" w:cs="仿宋"/>
                <w:b w:val="0"/>
                <w:bCs w:val="0"/>
                <w:kern w:val="0"/>
              </w:rPr>
              <w:t>号</w:t>
            </w:r>
          </w:p>
        </w:tc>
        <w:tc>
          <w:tcPr>
            <w:tcW w:w="1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b/>
                <w:bCs/>
              </w:rPr>
            </w:pPr>
            <w:r>
              <w:rPr>
                <w:rFonts w:hint="eastAsia" w:ascii="仿宋" w:hAnsi="仿宋" w:eastAsia="仿宋" w:cs="仿宋"/>
                <w:b/>
                <w:bCs/>
                <w:kern w:val="0"/>
              </w:rPr>
              <w:t>品目名称</w:t>
            </w:r>
          </w:p>
        </w:tc>
        <w:tc>
          <w:tcPr>
            <w:tcW w:w="12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b/>
                <w:bCs/>
              </w:rPr>
            </w:pPr>
            <w:r>
              <w:rPr>
                <w:rFonts w:hint="eastAsia" w:ascii="仿宋" w:hAnsi="仿宋" w:eastAsia="仿宋" w:cs="仿宋"/>
                <w:b/>
                <w:bCs/>
                <w:kern w:val="0"/>
              </w:rPr>
              <w:t>采购标的</w:t>
            </w:r>
          </w:p>
        </w:tc>
        <w:tc>
          <w:tcPr>
            <w:tcW w:w="12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b/>
                <w:bCs/>
                <w:kern w:val="0"/>
              </w:rPr>
            </w:pPr>
            <w:r>
              <w:rPr>
                <w:rFonts w:hint="eastAsia" w:ascii="仿宋" w:hAnsi="仿宋" w:eastAsia="仿宋" w:cs="仿宋"/>
                <w:b/>
                <w:bCs/>
                <w:kern w:val="0"/>
              </w:rPr>
              <w:t>数量</w:t>
            </w:r>
          </w:p>
          <w:p>
            <w:pPr>
              <w:widowControl/>
              <w:wordWrap w:val="0"/>
              <w:spacing w:line="360" w:lineRule="auto"/>
              <w:jc w:val="center"/>
              <w:rPr>
                <w:rFonts w:hint="eastAsia" w:ascii="仿宋" w:hAnsi="仿宋" w:eastAsia="仿宋" w:cs="仿宋"/>
                <w:b/>
                <w:bCs/>
              </w:rPr>
            </w:pPr>
            <w:r>
              <w:rPr>
                <w:rFonts w:hint="eastAsia" w:ascii="仿宋" w:hAnsi="仿宋" w:eastAsia="仿宋" w:cs="仿宋"/>
                <w:b/>
                <w:bCs/>
                <w:kern w:val="0"/>
              </w:rPr>
              <w:t>（单位）</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b/>
                <w:bCs/>
              </w:rPr>
            </w:pPr>
            <w:r>
              <w:rPr>
                <w:rFonts w:hint="eastAsia" w:ascii="仿宋" w:hAnsi="仿宋" w:eastAsia="仿宋" w:cs="仿宋"/>
                <w:b/>
                <w:bCs/>
                <w:kern w:val="0"/>
              </w:rPr>
              <w:t>技术规格、参数及要求</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b/>
                <w:bCs/>
                <w:kern w:val="0"/>
              </w:rPr>
            </w:pPr>
            <w:r>
              <w:rPr>
                <w:rFonts w:hint="eastAsia" w:ascii="仿宋" w:hAnsi="仿宋" w:eastAsia="仿宋" w:cs="仿宋"/>
                <w:b/>
                <w:bCs/>
                <w:kern w:val="0"/>
              </w:rPr>
              <w:t>品目预算</w:t>
            </w:r>
          </w:p>
          <w:p>
            <w:pPr>
              <w:widowControl/>
              <w:wordWrap w:val="0"/>
              <w:spacing w:line="360" w:lineRule="auto"/>
              <w:jc w:val="center"/>
              <w:rPr>
                <w:rFonts w:hint="eastAsia" w:ascii="仿宋" w:hAnsi="仿宋" w:eastAsia="仿宋" w:cs="仿宋"/>
                <w:b/>
                <w:bCs/>
              </w:rPr>
            </w:pPr>
            <w:r>
              <w:rPr>
                <w:rFonts w:hint="eastAsia" w:ascii="仿宋" w:hAnsi="仿宋" w:eastAsia="仿宋" w:cs="仿宋"/>
                <w:b/>
                <w:bCs/>
                <w:kern w:val="0"/>
              </w:rPr>
              <w:t>(元)</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b/>
                <w:bCs/>
              </w:rPr>
            </w:pPr>
            <w:r>
              <w:rPr>
                <w:rFonts w:hint="eastAsia" w:ascii="仿宋" w:hAnsi="仿宋" w:eastAsia="仿宋" w:cs="仿宋"/>
                <w:b/>
                <w:bCs/>
                <w:kern w:val="0"/>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82" w:hRule="atLeast"/>
        </w:trPr>
        <w:tc>
          <w:tcPr>
            <w:tcW w:w="6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1-1</w:t>
            </w:r>
          </w:p>
        </w:tc>
        <w:tc>
          <w:tcPr>
            <w:tcW w:w="1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拆除工程</w:t>
            </w:r>
          </w:p>
        </w:tc>
        <w:tc>
          <w:tcPr>
            <w:tcW w:w="12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地块拆除</w:t>
            </w:r>
          </w:p>
        </w:tc>
        <w:tc>
          <w:tcPr>
            <w:tcW w:w="12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400,000</w:t>
            </w:r>
          </w:p>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(平方米)</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详见采购文件</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500,000.00</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1.25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82" w:hRule="atLeast"/>
        </w:trPr>
        <w:tc>
          <w:tcPr>
            <w:tcW w:w="6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1-2</w:t>
            </w:r>
          </w:p>
        </w:tc>
        <w:tc>
          <w:tcPr>
            <w:tcW w:w="1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拆除工程</w:t>
            </w:r>
          </w:p>
        </w:tc>
        <w:tc>
          <w:tcPr>
            <w:tcW w:w="12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地面破碎</w:t>
            </w:r>
          </w:p>
        </w:tc>
        <w:tc>
          <w:tcPr>
            <w:tcW w:w="12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117647</w:t>
            </w:r>
          </w:p>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(平方米)</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详见采购文件</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2,000,000.00</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17.00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trPr>
        <w:tc>
          <w:tcPr>
            <w:tcW w:w="6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1-3</w:t>
            </w:r>
          </w:p>
        </w:tc>
        <w:tc>
          <w:tcPr>
            <w:tcW w:w="1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工地平整和清理</w:t>
            </w:r>
          </w:p>
        </w:tc>
        <w:tc>
          <w:tcPr>
            <w:tcW w:w="12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垃圾清运</w:t>
            </w:r>
          </w:p>
        </w:tc>
        <w:tc>
          <w:tcPr>
            <w:tcW w:w="12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69230.75</w:t>
            </w:r>
          </w:p>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(立方米)</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详见采购文件</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4,500,000.00</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65.00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trPr>
        <w:tc>
          <w:tcPr>
            <w:tcW w:w="6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1-4</w:t>
            </w:r>
          </w:p>
        </w:tc>
        <w:tc>
          <w:tcPr>
            <w:tcW w:w="1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工地平整和清理</w:t>
            </w:r>
          </w:p>
        </w:tc>
        <w:tc>
          <w:tcPr>
            <w:tcW w:w="12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场内倒运</w:t>
            </w:r>
          </w:p>
        </w:tc>
        <w:tc>
          <w:tcPr>
            <w:tcW w:w="12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1（项）</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详见采购文件</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1,800,000.00</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1,800,000.00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82" w:hRule="atLeast"/>
        </w:trPr>
        <w:tc>
          <w:tcPr>
            <w:tcW w:w="6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1-5</w:t>
            </w:r>
          </w:p>
        </w:tc>
        <w:tc>
          <w:tcPr>
            <w:tcW w:w="1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其他工程准备</w:t>
            </w:r>
          </w:p>
        </w:tc>
        <w:tc>
          <w:tcPr>
            <w:tcW w:w="12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机械台班</w:t>
            </w:r>
          </w:p>
        </w:tc>
        <w:tc>
          <w:tcPr>
            <w:tcW w:w="12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1（项）</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详见采购文件</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500,000.00</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500,000.00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82" w:hRule="atLeast"/>
        </w:trPr>
        <w:tc>
          <w:tcPr>
            <w:tcW w:w="6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1-6</w:t>
            </w:r>
          </w:p>
        </w:tc>
        <w:tc>
          <w:tcPr>
            <w:tcW w:w="1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其他工程准备</w:t>
            </w:r>
          </w:p>
        </w:tc>
        <w:tc>
          <w:tcPr>
            <w:tcW w:w="12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围墙圈建</w:t>
            </w:r>
          </w:p>
        </w:tc>
        <w:tc>
          <w:tcPr>
            <w:tcW w:w="12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512（延米）</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详见采购文件</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299,520.00</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hint="eastAsia" w:ascii="仿宋" w:hAnsi="仿宋" w:eastAsia="仿宋" w:cs="仿宋"/>
                <w:kern w:val="0"/>
              </w:rPr>
            </w:pPr>
            <w:r>
              <w:rPr>
                <w:rFonts w:hint="eastAsia" w:ascii="仿宋" w:hAnsi="仿宋" w:eastAsia="仿宋" w:cs="仿宋"/>
                <w:kern w:val="0"/>
              </w:rPr>
              <w:t>585.00</w:t>
            </w:r>
          </w:p>
        </w:tc>
      </w:tr>
    </w:tbl>
    <w:p>
      <w:pPr>
        <w:pStyle w:val="34"/>
        <w:spacing w:before="0" w:beforeAutospacing="0" w:after="0" w:afterAutospacing="0" w:line="360" w:lineRule="auto"/>
        <w:rPr>
          <w:rFonts w:hint="eastAsia" w:ascii="仿宋" w:hAnsi="仿宋" w:eastAsia="仿宋" w:cs="仿宋"/>
          <w:bCs/>
          <w:color w:val="333333"/>
          <w:shd w:val="clear" w:color="auto" w:fill="FFFFFF"/>
        </w:rPr>
      </w:pPr>
      <w:r>
        <w:rPr>
          <w:rFonts w:hint="eastAsia" w:ascii="仿宋" w:hAnsi="仿宋" w:eastAsia="仿宋" w:cs="仿宋"/>
          <w:bCs/>
          <w:color w:val="333333"/>
          <w:shd w:val="clear" w:color="auto" w:fill="FFFFFF"/>
        </w:rPr>
        <w:t>本合同包不接受联合体投标</w:t>
      </w:r>
    </w:p>
    <w:p>
      <w:pPr>
        <w:pStyle w:val="34"/>
        <w:spacing w:before="0" w:beforeAutospacing="0" w:after="0" w:afterAutospacing="0" w:line="440" w:lineRule="exact"/>
        <w:rPr>
          <w:rFonts w:hint="eastAsia" w:ascii="仿宋" w:hAnsi="仿宋" w:eastAsia="仿宋" w:cs="仿宋"/>
          <w:bCs/>
          <w:color w:val="auto"/>
          <w:highlight w:val="none"/>
          <w:shd w:val="clear" w:color="auto" w:fill="FFFFFF"/>
        </w:rPr>
      </w:pPr>
      <w:r>
        <w:rPr>
          <w:rFonts w:hint="eastAsia" w:ascii="仿宋" w:hAnsi="仿宋" w:eastAsia="仿宋" w:cs="仿宋"/>
          <w:bCs/>
          <w:color w:val="auto"/>
          <w:highlight w:val="none"/>
          <w:shd w:val="clear" w:color="auto" w:fill="FFFFFF"/>
        </w:rPr>
        <w:t>合同履行期限：1年</w:t>
      </w:r>
    </w:p>
    <w:p>
      <w:pPr>
        <w:pStyle w:val="34"/>
        <w:spacing w:before="0" w:beforeAutospacing="0" w:after="0" w:afterAutospacing="0" w:line="440" w:lineRule="exact"/>
        <w:rPr>
          <w:rFonts w:hint="eastAsia" w:ascii="仿宋" w:hAnsi="仿宋" w:eastAsia="仿宋" w:cs="仿宋"/>
          <w:b/>
          <w:color w:val="auto"/>
          <w:highlight w:val="none"/>
          <w:shd w:val="clear" w:color="auto" w:fill="FFFFFF"/>
        </w:rPr>
      </w:pPr>
      <w:r>
        <w:rPr>
          <w:rFonts w:hint="eastAsia" w:ascii="仿宋" w:hAnsi="仿宋" w:eastAsia="仿宋" w:cs="仿宋"/>
          <w:b/>
          <w:color w:val="auto"/>
          <w:highlight w:val="none"/>
          <w:shd w:val="clear" w:color="auto" w:fill="FFFFFF"/>
        </w:rPr>
        <w:t>二、 申请人的资格要求：</w:t>
      </w:r>
    </w:p>
    <w:p>
      <w:pPr>
        <w:pStyle w:val="34"/>
        <w:spacing w:before="0" w:beforeAutospacing="0" w:after="0" w:afterAutospacing="0" w:line="44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1.满足《中华人民共和国政府采购法》第二十二条规定;</w:t>
      </w:r>
    </w:p>
    <w:p>
      <w:pPr>
        <w:pStyle w:val="34"/>
        <w:spacing w:before="0" w:beforeAutospacing="0" w:after="0" w:afterAutospacing="0" w:line="44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2.落实政府采购政策需满足的资格要求：</w:t>
      </w:r>
    </w:p>
    <w:p>
      <w:pPr>
        <w:pStyle w:val="34"/>
        <w:spacing w:before="0" w:beforeAutospacing="0" w:after="0" w:afterAutospacing="0" w:line="44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合同包1(西咸新区沣东新城三桥街道零散地块拆迁项目)落实政府采购政策需满足的资格要求如下:</w:t>
      </w:r>
    </w:p>
    <w:p>
      <w:pPr>
        <w:pStyle w:val="34"/>
        <w:spacing w:before="0" w:beforeAutospacing="0" w:after="0" w:afterAutospacing="0" w:line="44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本项目专门面向中小企业采购，供应商应为中型小微企业或监狱企业或残疾人福利性单位。</w:t>
      </w:r>
    </w:p>
    <w:p>
      <w:pPr>
        <w:pStyle w:val="34"/>
        <w:spacing w:before="0" w:beforeAutospacing="0" w:after="0" w:afterAutospacing="0" w:line="44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3.本项目的特定资格要求：</w:t>
      </w:r>
    </w:p>
    <w:p>
      <w:pPr>
        <w:pStyle w:val="34"/>
        <w:spacing w:before="0" w:beforeAutospacing="0" w:after="0" w:afterAutospacing="0" w:line="44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合同包1(西咸新区沣东新城三桥街道零散地块拆迁项目)特定资格要求如下:</w:t>
      </w:r>
    </w:p>
    <w:p>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1）法定代表人身份证明/法定代表人授权委托书：法定代表人直接参加投标的，须提供法定代表人身份证明及其身份证复印件加盖供应商公章；法定代表人授权他人参加投标的，须提供法定代表人授权委托书（附法定代表人、被授权人身份证复印件加盖供应商公章）；（2）具备建设行政主管部门颁发的建筑工程施工总承包三级及以上资质证书，同时具有合格有效的安全生产许可证；（3）拟派项目经理须具有建筑工程专业二级及以上注册建造师证书和有效的安全生产考核证书（B证）在本单位注册且无在建工程、无不良记录（提供无在建工程、无不良记录承诺书）；（4）供应商未被“信用中国”网站（www.creditchina.gov.cn）列入失信被执行人和重大税收违法失信主体，未被中国政府采购网（www.ccgp.gov.cn）列入政府采购严重违法失信行为记录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left"/>
        <w:textAlignment w:val="auto"/>
        <w:rPr>
          <w:rFonts w:hint="eastAsia" w:ascii="仿宋" w:hAnsi="仿宋" w:eastAsia="仿宋" w:cs="仿宋"/>
          <w:b/>
          <w:bCs w:val="0"/>
          <w:color w:val="auto"/>
          <w:kern w:val="2"/>
          <w:sz w:val="24"/>
          <w:szCs w:val="24"/>
          <w:highlight w:val="none"/>
          <w:shd w:val="clear" w:color="auto" w:fill="FFFFFF"/>
          <w:lang w:val="en-US" w:eastAsia="zh-CN" w:bidi="ar-SA"/>
        </w:rPr>
      </w:pPr>
      <w:r>
        <w:rPr>
          <w:rFonts w:hint="eastAsia" w:ascii="仿宋" w:hAnsi="仿宋" w:eastAsia="仿宋" w:cs="仿宋"/>
          <w:b/>
          <w:bCs w:val="0"/>
          <w:color w:val="auto"/>
          <w:kern w:val="2"/>
          <w:sz w:val="24"/>
          <w:szCs w:val="24"/>
          <w:highlight w:val="none"/>
          <w:shd w:val="clear" w:color="auto" w:fill="FFFFFF"/>
          <w:lang w:val="en-US" w:eastAsia="zh-CN" w:bidi="ar-SA"/>
        </w:rPr>
        <w:t>三、获取招标文件</w:t>
      </w:r>
    </w:p>
    <w:p>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时间： 2022年11月30日 至 2022年12月06日 ，每天上午 09:00:00 至 12:00:00 ，下午 12:00:00 至 17:00:00 （北京时间）</w:t>
      </w:r>
    </w:p>
    <w:p>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途径：全国公共资源交易平台（陕西省西咸新区）直接下载</w:t>
      </w:r>
    </w:p>
    <w:p>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方式：在线获取</w:t>
      </w:r>
    </w:p>
    <w:p>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售价： 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left"/>
        <w:textAlignment w:val="auto"/>
        <w:rPr>
          <w:rFonts w:hint="eastAsia" w:ascii="仿宋" w:hAnsi="仿宋" w:eastAsia="仿宋" w:cs="仿宋"/>
          <w:b/>
          <w:bCs w:val="0"/>
          <w:color w:val="auto"/>
          <w:kern w:val="2"/>
          <w:sz w:val="24"/>
          <w:szCs w:val="24"/>
          <w:highlight w:val="none"/>
          <w:shd w:val="clear" w:color="auto" w:fill="FFFFFF"/>
          <w:lang w:val="en-US" w:eastAsia="zh-CN" w:bidi="ar-SA"/>
        </w:rPr>
      </w:pPr>
      <w:r>
        <w:rPr>
          <w:rFonts w:hint="eastAsia" w:ascii="仿宋" w:hAnsi="仿宋" w:eastAsia="仿宋" w:cs="仿宋"/>
          <w:b/>
          <w:bCs w:val="0"/>
          <w:color w:val="auto"/>
          <w:kern w:val="2"/>
          <w:sz w:val="24"/>
          <w:szCs w:val="24"/>
          <w:highlight w:val="none"/>
          <w:shd w:val="clear" w:color="auto" w:fill="FFFFFF"/>
          <w:lang w:val="en-US" w:eastAsia="zh-CN" w:bidi="ar-SA"/>
        </w:rPr>
        <w:t>四、提交投标文件截止时间、开标时间和地点</w:t>
      </w:r>
    </w:p>
    <w:p>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时间： 2022年12月20日 09时30分00秒 （北京时间）</w:t>
      </w:r>
    </w:p>
    <w:p>
      <w:pPr>
        <w:pStyle w:val="34"/>
        <w:spacing w:before="0" w:beforeAutospacing="0" w:after="0" w:afterAutospacing="0" w:line="440" w:lineRule="exact"/>
        <w:ind w:firstLine="480" w:firstLineChars="2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提交投标文件地点：西咸新区公共资源交易中心开标室13</w:t>
      </w:r>
    </w:p>
    <w:p>
      <w:pPr>
        <w:pStyle w:val="34"/>
        <w:spacing w:before="0" w:beforeAutospacing="0" w:after="0" w:afterAutospacing="0" w:line="440" w:lineRule="exact"/>
        <w:ind w:firstLine="480" w:firstLineChars="200"/>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开标地点：西咸新区公共资源交易中心开标室13</w:t>
      </w:r>
    </w:p>
    <w:p>
      <w:pPr>
        <w:pStyle w:val="34"/>
        <w:spacing w:before="0" w:beforeAutospacing="0" w:after="0" w:afterAutospacing="0" w:line="440" w:lineRule="exact"/>
        <w:rPr>
          <w:rFonts w:hint="eastAsia" w:ascii="仿宋" w:hAnsi="仿宋" w:eastAsia="仿宋" w:cs="仿宋"/>
          <w:b/>
          <w:color w:val="auto"/>
          <w:highlight w:val="none"/>
          <w:shd w:val="clear" w:color="auto" w:fill="FFFFFF"/>
        </w:rPr>
      </w:pPr>
      <w:r>
        <w:rPr>
          <w:rFonts w:hint="eastAsia" w:ascii="仿宋" w:hAnsi="仿宋" w:eastAsia="仿宋" w:cs="仿宋"/>
          <w:b/>
          <w:color w:val="auto"/>
          <w:highlight w:val="none"/>
          <w:shd w:val="clear" w:color="auto" w:fill="FFFFFF"/>
        </w:rPr>
        <w:t>五、公告期限</w:t>
      </w:r>
    </w:p>
    <w:p>
      <w:pPr>
        <w:pStyle w:val="34"/>
        <w:spacing w:before="0" w:beforeAutospacing="0" w:after="0" w:afterAutospacing="0" w:line="44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自本公告发布之日起5个工作日。</w:t>
      </w:r>
    </w:p>
    <w:p>
      <w:pPr>
        <w:pStyle w:val="34"/>
        <w:numPr>
          <w:ilvl w:val="0"/>
          <w:numId w:val="2"/>
        </w:numPr>
        <w:spacing w:before="0" w:beforeAutospacing="0" w:after="0" w:afterAutospacing="0" w:line="440" w:lineRule="exact"/>
        <w:rPr>
          <w:rFonts w:hint="eastAsia" w:ascii="仿宋" w:hAnsi="仿宋" w:eastAsia="仿宋" w:cs="仿宋"/>
          <w:b/>
          <w:color w:val="auto"/>
          <w:highlight w:val="none"/>
          <w:shd w:val="clear" w:color="auto" w:fill="FFFFFF"/>
        </w:rPr>
      </w:pPr>
      <w:r>
        <w:rPr>
          <w:rFonts w:hint="eastAsia" w:ascii="仿宋" w:hAnsi="仿宋" w:eastAsia="仿宋" w:cs="仿宋"/>
          <w:b/>
          <w:color w:val="auto"/>
          <w:highlight w:val="none"/>
          <w:shd w:val="clear" w:color="auto" w:fill="FFFFFF"/>
        </w:rPr>
        <w:t>其他补充事宜</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本项目开标地点：西咸新区公共资源交易中心开标室</w:t>
      </w:r>
      <w:r>
        <w:rPr>
          <w:rFonts w:hint="eastAsia" w:ascii="仿宋" w:hAnsi="仿宋" w:eastAsia="仿宋" w:cs="仿宋"/>
          <w:color w:val="auto"/>
          <w:highlight w:val="none"/>
          <w:shd w:val="clear" w:color="auto" w:fill="FFFFFF"/>
          <w:lang w:val="en-US" w:eastAsia="zh-CN"/>
        </w:rPr>
        <w:t>13</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1、最高限价：1）地块拆除</w:t>
      </w:r>
      <w:r>
        <w:rPr>
          <w:rFonts w:hint="eastAsia" w:ascii="仿宋" w:hAnsi="仿宋" w:eastAsia="仿宋" w:cs="仿宋"/>
          <w:color w:val="auto"/>
          <w:highlight w:val="none"/>
          <w:shd w:val="clear" w:color="auto" w:fill="FFFFFF"/>
          <w:lang w:eastAsia="zh-CN"/>
        </w:rPr>
        <w:t>（</w:t>
      </w:r>
      <w:r>
        <w:rPr>
          <w:rFonts w:hint="eastAsia" w:ascii="仿宋" w:hAnsi="仿宋" w:eastAsia="仿宋" w:cs="仿宋"/>
          <w:color w:val="auto"/>
          <w:highlight w:val="none"/>
          <w:shd w:val="clear" w:color="auto" w:fill="FFFFFF"/>
        </w:rPr>
        <w:t>拆除机械费</w:t>
      </w:r>
      <w:r>
        <w:rPr>
          <w:rFonts w:hint="eastAsia" w:ascii="仿宋" w:hAnsi="仿宋" w:eastAsia="仿宋" w:cs="仿宋"/>
          <w:color w:val="auto"/>
          <w:highlight w:val="none"/>
          <w:shd w:val="clear" w:color="auto" w:fill="FFFFFF"/>
          <w:lang w:eastAsia="zh-CN"/>
        </w:rPr>
        <w:t>）</w:t>
      </w:r>
      <w:r>
        <w:rPr>
          <w:rFonts w:hint="eastAsia" w:ascii="仿宋" w:hAnsi="仿宋" w:eastAsia="仿宋" w:cs="仿宋"/>
          <w:color w:val="auto"/>
          <w:highlight w:val="none"/>
          <w:shd w:val="clear" w:color="auto" w:fill="FFFFFF"/>
        </w:rPr>
        <w:t xml:space="preserve">：不高于1.25元/平方米（以拆除项目范围内房屋建筑面积为准）  </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2）地面破碎费：不高于17元/平方米（以拆除项目范围内房屋地基、硬化地面及道路面积为准）；</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3）垃圾清运工程： 65元/立方米（包含10公里基准运距及有关开挖、装载、垃圾清理、场内及场外运输、倾倒、填埋处置、环境保护、管理费、规费、增值税等费用；超过10公里基准运距后，每增加1公里运费增加1元，最高增加不超过40元/立方米，运距由行业主管部门和实施单位共同确认。 )；</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4）场内倒运：场内倒运价格（运距以测量为准）:</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（1）机械推移100米以内（含100米）：不高于7元／立方米；</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（2）倒运距离公里以内（含1公里）：不高于20元／立方米；</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（3）倒运距离1-2公里（含2公里）：不高于22元／立方米；</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（4）倒运距离2-3公里（含3公里）：不高于25元／立方米；</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（5）倒运距离3-4公里（含4公里）：不高于28元／立方米；</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（6）倒运距离4-5公里（含5公里）：不高于30元／立方米。</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5）机械台班价格（未经采购人同意，原则上不使用机械台班）：</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（1）50型装载机：不高于2000元／台班；</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（2）挖掘机（1.2立方米）：不高于3000元／台班；</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（3）135型推土机：不高于1500元／台班。</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6）围墙圈建：585.00元/延米。</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号）；（11）其他需要落实的政府采购政策，详见招标文件。</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 xml:space="preserve">3、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 </w:t>
      </w:r>
    </w:p>
    <w:p>
      <w:pPr>
        <w:pStyle w:val="34"/>
        <w:spacing w:before="0" w:beforeAutospacing="0" w:after="0" w:afterAutospacing="0" w:line="44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4、请供应商按照陕西省财政厅关于政府采购供应商注册登记有关事项的通知中的要求，通过陕西省政府采购网（http://www.ccgp-shaanxi.gov.cn/）注册登记加入陕西省政府采购供应商库。</w:t>
      </w:r>
    </w:p>
    <w:p>
      <w:pPr>
        <w:pStyle w:val="34"/>
        <w:numPr>
          <w:ilvl w:val="0"/>
          <w:numId w:val="2"/>
        </w:numPr>
        <w:spacing w:before="0" w:beforeAutospacing="0" w:after="0" w:afterAutospacing="0" w:line="440" w:lineRule="exact"/>
        <w:rPr>
          <w:rFonts w:hint="eastAsia" w:ascii="仿宋" w:hAnsi="仿宋" w:eastAsia="仿宋" w:cs="仿宋"/>
          <w:b/>
          <w:color w:val="auto"/>
          <w:highlight w:val="none"/>
          <w:shd w:val="clear" w:color="auto" w:fill="FFFFFF"/>
        </w:rPr>
      </w:pPr>
      <w:r>
        <w:rPr>
          <w:rFonts w:hint="eastAsia" w:ascii="仿宋" w:hAnsi="仿宋" w:eastAsia="仿宋" w:cs="仿宋"/>
          <w:b/>
          <w:color w:val="auto"/>
          <w:highlight w:val="none"/>
          <w:shd w:val="clear" w:color="auto" w:fill="FFFFFF"/>
        </w:rPr>
        <w:t>对本次招标提出询问，请按以下方式联系。</w:t>
      </w:r>
    </w:p>
    <w:p>
      <w:pPr>
        <w:pStyle w:val="8"/>
        <w:keepNext w:val="0"/>
        <w:keepLines w:val="0"/>
        <w:widowControl/>
        <w:spacing w:before="0" w:after="0" w:line="440" w:lineRule="exact"/>
        <w:jc w:val="left"/>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shd w:val="clear" w:color="auto" w:fill="FFFFFF"/>
        </w:rPr>
        <w:t>1.采购人信息</w:t>
      </w:r>
    </w:p>
    <w:p>
      <w:pPr>
        <w:pStyle w:val="34"/>
        <w:spacing w:before="0" w:beforeAutospacing="0" w:after="0" w:afterAutospacing="0" w:line="440" w:lineRule="exact"/>
        <w:ind w:firstLine="48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名称：西安市未央区三桥街道办事处</w:t>
      </w:r>
    </w:p>
    <w:p>
      <w:pPr>
        <w:pStyle w:val="34"/>
        <w:spacing w:before="0" w:beforeAutospacing="0" w:after="0" w:afterAutospacing="0" w:line="440" w:lineRule="exact"/>
        <w:ind w:firstLine="48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地址：西安市未央区三桥新街139号</w:t>
      </w:r>
    </w:p>
    <w:p>
      <w:pPr>
        <w:pStyle w:val="34"/>
        <w:spacing w:before="0" w:beforeAutospacing="0" w:after="0" w:afterAutospacing="0" w:line="440" w:lineRule="exact"/>
        <w:ind w:firstLine="48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联系方式：029-84515457</w:t>
      </w:r>
    </w:p>
    <w:p>
      <w:pPr>
        <w:pStyle w:val="8"/>
        <w:keepNext w:val="0"/>
        <w:keepLines w:val="0"/>
        <w:widowControl/>
        <w:spacing w:before="0" w:after="0" w:line="440" w:lineRule="exact"/>
        <w:jc w:val="left"/>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shd w:val="clear" w:color="auto" w:fill="FFFFFF"/>
        </w:rPr>
        <w:t>2.采购代理机构信息</w:t>
      </w:r>
    </w:p>
    <w:p>
      <w:pPr>
        <w:pStyle w:val="34"/>
        <w:spacing w:before="0" w:beforeAutospacing="0" w:after="0" w:afterAutospacing="0" w:line="440" w:lineRule="exact"/>
        <w:ind w:firstLine="48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名称：华夏国际项目管理有限公司</w:t>
      </w:r>
    </w:p>
    <w:p>
      <w:pPr>
        <w:pStyle w:val="34"/>
        <w:spacing w:before="0" w:beforeAutospacing="0" w:after="0" w:afterAutospacing="0" w:line="440" w:lineRule="exact"/>
        <w:ind w:firstLine="48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地址：西安市高新区科技五路8号数字大厦11楼</w:t>
      </w:r>
    </w:p>
    <w:p>
      <w:pPr>
        <w:pStyle w:val="34"/>
        <w:spacing w:before="0" w:beforeAutospacing="0" w:after="0" w:afterAutospacing="0" w:line="440" w:lineRule="exact"/>
        <w:ind w:firstLine="48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联系方式：029-88899970-819</w:t>
      </w:r>
    </w:p>
    <w:p>
      <w:pPr>
        <w:pStyle w:val="8"/>
        <w:keepNext w:val="0"/>
        <w:keepLines w:val="0"/>
        <w:widowControl/>
        <w:spacing w:before="0" w:after="0" w:line="440" w:lineRule="exact"/>
        <w:jc w:val="left"/>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shd w:val="clear" w:color="auto" w:fill="FFFFFF"/>
        </w:rPr>
        <w:t>3.项目联系方式</w:t>
      </w:r>
    </w:p>
    <w:p>
      <w:pPr>
        <w:pStyle w:val="34"/>
        <w:spacing w:before="0" w:beforeAutospacing="0" w:after="0" w:afterAutospacing="0" w:line="440" w:lineRule="exact"/>
        <w:ind w:firstLine="48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项目联系人：康敏茹、张艳萍、李莹</w:t>
      </w:r>
    </w:p>
    <w:p>
      <w:pPr>
        <w:pStyle w:val="34"/>
        <w:spacing w:before="0" w:beforeAutospacing="0" w:after="0" w:afterAutospacing="0" w:line="440" w:lineRule="exact"/>
        <w:ind w:firstLine="48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电话：029-88899970-819</w:t>
      </w:r>
    </w:p>
    <w:p>
      <w:pPr>
        <w:pStyle w:val="34"/>
        <w:spacing w:before="0" w:beforeAutospacing="0" w:after="0" w:afterAutospacing="0" w:line="440" w:lineRule="exact"/>
        <w:ind w:firstLine="420"/>
        <w:jc w:val="center"/>
        <w:rPr>
          <w:rFonts w:hint="eastAsia" w:ascii="仿宋" w:hAnsi="仿宋" w:eastAsia="仿宋" w:cs="仿宋"/>
          <w:color w:val="auto"/>
          <w:highlight w:val="none"/>
          <w:shd w:val="clear" w:color="auto" w:fill="FFFFFF"/>
        </w:rPr>
      </w:pPr>
    </w:p>
    <w:p>
      <w:pPr>
        <w:pStyle w:val="34"/>
        <w:spacing w:before="0" w:beforeAutospacing="0" w:after="0" w:afterAutospacing="0" w:line="440" w:lineRule="exact"/>
        <w:ind w:firstLine="420"/>
        <w:jc w:val="right"/>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华夏国际项目管理有限公司</w:t>
      </w:r>
    </w:p>
    <w:p>
      <w:pPr>
        <w:pStyle w:val="34"/>
        <w:spacing w:before="0" w:beforeAutospacing="0" w:after="0" w:afterAutospacing="0" w:line="440" w:lineRule="exact"/>
        <w:ind w:firstLine="420"/>
        <w:jc w:val="right"/>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2022年</w:t>
      </w:r>
      <w:r>
        <w:rPr>
          <w:rFonts w:hint="eastAsia" w:ascii="仿宋" w:hAnsi="仿宋" w:eastAsia="仿宋" w:cs="仿宋"/>
          <w:color w:val="auto"/>
          <w:highlight w:val="none"/>
          <w:shd w:val="clear" w:color="auto" w:fill="FFFFFF"/>
          <w:lang w:val="en-US" w:eastAsia="zh-CN"/>
        </w:rPr>
        <w:t>11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29</w:t>
      </w:r>
      <w:r>
        <w:rPr>
          <w:rFonts w:hint="eastAsia" w:ascii="仿宋" w:hAnsi="仿宋" w:eastAsia="仿宋" w:cs="仿宋"/>
          <w:color w:val="auto"/>
          <w:highlight w:val="none"/>
          <w:shd w:val="clear" w:color="auto" w:fill="FFFFFF"/>
        </w:rPr>
        <w:t>日</w:t>
      </w:r>
    </w:p>
    <w:p>
      <w:pPr>
        <w:pStyle w:val="3"/>
        <w:keepNext w:val="0"/>
        <w:pageBreakBefore/>
        <w:spacing w:line="350" w:lineRule="auto"/>
        <w:jc w:val="center"/>
        <w:rPr>
          <w:rFonts w:hint="eastAsia" w:ascii="仿宋" w:hAnsi="仿宋" w:eastAsia="仿宋" w:cs="仿宋"/>
        </w:rPr>
      </w:pPr>
      <w:bookmarkStart w:id="12" w:name="_Toc421778363"/>
      <w:bookmarkStart w:id="13" w:name="_Toc32575"/>
      <w:bookmarkStart w:id="14" w:name="_Toc25538"/>
      <w:r>
        <w:rPr>
          <w:rFonts w:hint="eastAsia" w:ascii="仿宋" w:hAnsi="仿宋" w:eastAsia="仿宋" w:cs="仿宋"/>
        </w:rPr>
        <w:t>第二章</w:t>
      </w:r>
      <w:r>
        <w:rPr>
          <w:rFonts w:hint="eastAsia" w:ascii="仿宋" w:hAnsi="仿宋" w:eastAsia="仿宋" w:cs="仿宋"/>
          <w:lang w:val="en-US" w:eastAsia="zh-CN"/>
        </w:rPr>
        <w:t xml:space="preserve">  </w:t>
      </w:r>
      <w:r>
        <w:rPr>
          <w:rFonts w:hint="eastAsia" w:ascii="仿宋" w:hAnsi="仿宋" w:eastAsia="仿宋" w:cs="仿宋"/>
        </w:rPr>
        <w:t>投标人须知</w:t>
      </w:r>
      <w:bookmarkEnd w:id="12"/>
      <w:bookmarkEnd w:id="13"/>
      <w:bookmarkEnd w:id="14"/>
    </w:p>
    <w:p>
      <w:pPr>
        <w:spacing w:line="360" w:lineRule="auto"/>
        <w:jc w:val="center"/>
        <w:outlineLvl w:val="1"/>
        <w:rPr>
          <w:rFonts w:hint="eastAsia" w:ascii="仿宋" w:hAnsi="仿宋" w:eastAsia="仿宋" w:cs="仿宋"/>
          <w:b/>
          <w:bCs/>
          <w:sz w:val="28"/>
          <w:szCs w:val="28"/>
        </w:rPr>
      </w:pPr>
      <w:bookmarkStart w:id="15" w:name="_Toc17687"/>
      <w:bookmarkStart w:id="16" w:name="_Toc1429"/>
      <w:bookmarkStart w:id="17" w:name="_Toc420591642"/>
      <w:bookmarkStart w:id="18" w:name="_Toc421778364"/>
      <w:r>
        <w:rPr>
          <w:rFonts w:hint="eastAsia" w:ascii="仿宋" w:hAnsi="仿宋" w:eastAsia="仿宋" w:cs="仿宋"/>
          <w:b/>
          <w:bCs/>
          <w:sz w:val="28"/>
          <w:szCs w:val="28"/>
        </w:rPr>
        <w:t>投标人须知前附表</w:t>
      </w:r>
      <w:bookmarkEnd w:id="15"/>
      <w:bookmarkEnd w:id="16"/>
      <w:bookmarkEnd w:id="17"/>
      <w:bookmarkEnd w:id="18"/>
    </w:p>
    <w:tbl>
      <w:tblPr>
        <w:tblStyle w:val="49"/>
        <w:tblW w:w="97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492"/>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76"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条款号</w:t>
            </w:r>
          </w:p>
        </w:tc>
        <w:tc>
          <w:tcPr>
            <w:tcW w:w="2492"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6238"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1.1.2</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6238"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招标人：西安市未央区三桥街道办事处</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地址：西安市未央区三桥新街139号</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联系人：杨老师</w:t>
            </w:r>
          </w:p>
          <w:p>
            <w:pPr>
              <w:spacing w:line="360" w:lineRule="auto"/>
              <w:rPr>
                <w:rFonts w:hint="eastAsia" w:ascii="仿宋" w:hAnsi="仿宋" w:eastAsia="仿宋" w:cs="仿宋"/>
                <w:color w:val="auto"/>
              </w:rPr>
            </w:pPr>
            <w:r>
              <w:rPr>
                <w:rFonts w:hint="eastAsia" w:ascii="仿宋" w:hAnsi="仿宋" w:eastAsia="仿宋" w:cs="仿宋"/>
                <w:color w:val="auto"/>
                <w:sz w:val="24"/>
                <w:szCs w:val="24"/>
              </w:rPr>
              <w:t>电话：029-84515457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1.1.3</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招标代理机构</w:t>
            </w:r>
          </w:p>
        </w:tc>
        <w:tc>
          <w:tcPr>
            <w:tcW w:w="6238"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名称：华夏国际项目管理有限公司</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地址：西安市高新区科技五路8号数字大厦11楼</w:t>
            </w:r>
          </w:p>
          <w:p>
            <w:pPr>
              <w:spacing w:line="360" w:lineRule="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联系人：康敏茹 李莹 张艳萍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电话：88899970/72/73/75-819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1.1.5</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建设地点</w:t>
            </w:r>
          </w:p>
        </w:tc>
        <w:tc>
          <w:tcPr>
            <w:tcW w:w="6238"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1.2.1</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资金来源</w:t>
            </w:r>
          </w:p>
        </w:tc>
        <w:tc>
          <w:tcPr>
            <w:tcW w:w="6238"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1.2.2</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出资比例</w:t>
            </w:r>
          </w:p>
        </w:tc>
        <w:tc>
          <w:tcPr>
            <w:tcW w:w="623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政府投资100%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1.2.3</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资金落实情况</w:t>
            </w:r>
          </w:p>
        </w:tc>
        <w:tc>
          <w:tcPr>
            <w:tcW w:w="6238"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1.2.3</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采购预算</w:t>
            </w:r>
          </w:p>
        </w:tc>
        <w:tc>
          <w:tcPr>
            <w:tcW w:w="6238"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9,599,520.00</w:t>
            </w:r>
            <w:r>
              <w:rPr>
                <w:rFonts w:hint="eastAsia" w:ascii="仿宋" w:hAnsi="仿宋" w:eastAsia="仿宋" w:cs="仿宋"/>
                <w:color w:val="auto"/>
                <w:sz w:val="24"/>
                <w:szCs w:val="24"/>
              </w:rPr>
              <w:t>元</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最高限价：1、地块拆除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拆除机械费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：不高于1.25元/平方米（以拆除项目范围内房屋建筑面积为准）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2、地面破碎费：不高于17元/平方米（以拆除项目范围内房屋地基、硬化地面及道路面积为准）；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3、垃圾清运工程： 65元/立方米（包含10公里基准运距及有关开挖、装载、垃圾清理、场内及场外运输、倾倒、填埋处置、环境保护、管理费、规费、增值税等费用；超过10公里基准运距后，每增加1公里运费增加1元，最高增加不超过40元/立方米，运距由行业主管部门和实施单位共同确认。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4、场内倒运：场内倒运价格（运距以测量为准）: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1）机械推移100米以内（含100米）：不高于7元／立方米；</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2）倒运距离公里以内（含1公里）：不高于20元／立方米；</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3）倒运距离1-2公里（含2公里）：不高于22元／立方米；</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4）倒运距离2-3公里（含3公里）：不高于25元／立方米；</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5）倒运距离3-4公里（含4公里）：不高于28元／立方米；</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6）倒运距离4-5公里（含5公里）：不高于30元／立方</w:t>
            </w:r>
            <w:r>
              <w:rPr>
                <w:rFonts w:hint="eastAsia" w:ascii="仿宋" w:hAnsi="仿宋" w:eastAsia="仿宋" w:cs="仿宋"/>
                <w:color w:val="auto"/>
                <w:sz w:val="24"/>
                <w:szCs w:val="24"/>
                <w:highlight w:val="none"/>
              </w:rPr>
              <w:t>米。</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5、机械台班价格（未经采购人同意，原则上不使用机械台班）：</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1）50型装载机：不高于2000元／台班；</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2）挖掘机（1.2立方米）：不高于3000元／台班；</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3）135型推土机：不高于1500元／台班。</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6、围墙圈建：585.00元/延米。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1.3.1</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招标范围</w:t>
            </w:r>
          </w:p>
        </w:tc>
        <w:tc>
          <w:tcPr>
            <w:tcW w:w="6238"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西咸新区沣东新城</w:t>
            </w:r>
            <w:r>
              <w:rPr>
                <w:rFonts w:hint="eastAsia" w:ascii="仿宋" w:hAnsi="仿宋" w:eastAsia="仿宋" w:cs="仿宋"/>
                <w:color w:val="auto"/>
                <w:sz w:val="24"/>
                <w:szCs w:val="24"/>
              </w:rPr>
              <w:t>三桥街道零散地块拆迁项目地块拆除工程约400000平方米、地面破碎工程约117647平方米、垃圾清运工程约69230.75立方米、场内倒运1项、机械台班1项、围墙圈建约512延米。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1.3.2</w:t>
            </w:r>
          </w:p>
        </w:tc>
        <w:tc>
          <w:tcPr>
            <w:tcW w:w="2492"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计划工期</w:t>
            </w:r>
          </w:p>
        </w:tc>
        <w:tc>
          <w:tcPr>
            <w:tcW w:w="6238" w:type="dxa"/>
            <w:vAlign w:val="center"/>
          </w:tcPr>
          <w:p>
            <w:pPr>
              <w:pStyle w:val="10"/>
              <w:spacing w:line="360" w:lineRule="auto"/>
              <w:rPr>
                <w:rFonts w:hint="eastAsia" w:ascii="仿宋" w:hAnsi="仿宋" w:eastAsia="仿宋" w:cs="仿宋"/>
                <w:sz w:val="24"/>
                <w:szCs w:val="24"/>
              </w:rPr>
            </w:pPr>
            <w:r>
              <w:rPr>
                <w:rFonts w:hint="eastAsia" w:ascii="仿宋" w:hAnsi="仿宋" w:eastAsia="仿宋" w:cs="仿宋"/>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1.3.3</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质量标准</w:t>
            </w:r>
          </w:p>
        </w:tc>
        <w:tc>
          <w:tcPr>
            <w:tcW w:w="6238" w:type="dxa"/>
            <w:vAlign w:val="center"/>
          </w:tcPr>
          <w:p>
            <w:pPr>
              <w:spacing w:line="360" w:lineRule="auto"/>
              <w:rPr>
                <w:rFonts w:hint="eastAsia" w:ascii="仿宋" w:hAnsi="仿宋" w:eastAsia="仿宋" w:cs="仿宋"/>
                <w:sz w:val="24"/>
                <w:szCs w:val="24"/>
              </w:rPr>
            </w:pPr>
            <w:bookmarkStart w:id="19" w:name="OLE_LINK18"/>
            <w:bookmarkStart w:id="20" w:name="OLE_LINK34"/>
            <w:r>
              <w:rPr>
                <w:rFonts w:hint="eastAsia" w:ascii="仿宋" w:hAnsi="仿宋" w:eastAsia="仿宋" w:cs="仿宋"/>
                <w:kern w:val="0"/>
                <w:sz w:val="24"/>
                <w:szCs w:val="24"/>
              </w:rPr>
              <w:t>符合国家现行有关施工质量验收规范“合格”要求。</w:t>
            </w:r>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1.4.1</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资质证明文件</w:t>
            </w:r>
          </w:p>
        </w:tc>
        <w:tc>
          <w:tcPr>
            <w:tcW w:w="6238" w:type="dxa"/>
            <w:vAlign w:val="center"/>
          </w:tcPr>
          <w:p>
            <w:pPr>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1、基本资格条件：符合《中华人民共和国政府采购法》第二十二条的规定，并提供以下资料；</w:t>
            </w:r>
          </w:p>
          <w:p>
            <w:pPr>
              <w:numPr>
                <w:ilvl w:val="0"/>
                <w:numId w:val="3"/>
              </w:numPr>
              <w:spacing w:line="360" w:lineRule="auto"/>
              <w:rPr>
                <w:rFonts w:hint="eastAsia" w:ascii="仿宋" w:hAnsi="仿宋" w:eastAsia="仿宋" w:cs="仿宋"/>
                <w:sz w:val="24"/>
                <w:szCs w:val="24"/>
              </w:rPr>
            </w:pPr>
            <w:r>
              <w:rPr>
                <w:rFonts w:hint="eastAsia" w:ascii="仿宋" w:hAnsi="仿宋" w:eastAsia="仿宋" w:cs="仿宋"/>
                <w:sz w:val="24"/>
                <w:szCs w:val="24"/>
              </w:rPr>
              <w:t>提供合格有效的法人或者其他组织的营业执照等证明文件，自然人的身份证明；</w:t>
            </w:r>
          </w:p>
          <w:p>
            <w:pPr>
              <w:spacing w:line="360" w:lineRule="auto"/>
              <w:rPr>
                <w:rFonts w:hint="eastAsia" w:ascii="仿宋" w:hAnsi="仿宋" w:eastAsia="仿宋" w:cs="仿宋"/>
                <w:sz w:val="24"/>
                <w:szCs w:val="24"/>
              </w:rPr>
            </w:pPr>
            <w:r>
              <w:rPr>
                <w:rFonts w:hint="eastAsia" w:ascii="仿宋" w:hAnsi="仿宋" w:eastAsia="仿宋" w:cs="仿宋"/>
                <w:sz w:val="24"/>
                <w:szCs w:val="24"/>
              </w:rPr>
              <w:t>投标人是法人或其他组织的应提供营业执照等证明文件，投标人是自然人的应提供有效的自然人身份证明。</w:t>
            </w:r>
          </w:p>
          <w:p>
            <w:pPr>
              <w:numPr>
                <w:ilvl w:val="0"/>
                <w:numId w:val="3"/>
              </w:num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提</w:t>
            </w:r>
            <w:r>
              <w:rPr>
                <w:rFonts w:hint="eastAsia" w:ascii="仿宋" w:hAnsi="仿宋" w:eastAsia="仿宋" w:cs="仿宋"/>
                <w:color w:val="auto"/>
                <w:kern w:val="0"/>
                <w:sz w:val="24"/>
                <w:szCs w:val="24"/>
              </w:rPr>
              <w:t>供2021年度经审计的财务</w:t>
            </w:r>
            <w:r>
              <w:rPr>
                <w:rFonts w:hint="eastAsia" w:ascii="仿宋" w:hAnsi="仿宋" w:eastAsia="仿宋" w:cs="仿宋"/>
                <w:kern w:val="0"/>
                <w:sz w:val="24"/>
                <w:szCs w:val="24"/>
              </w:rPr>
              <w:t>报告（包括“四表一注”即《资产负债表》《利润表》《现金流量表》《所有者权益变动表》及其附注；成立时间至提交投标文件截止时间不足一年的可提供成立后任意时段的资产负债表）或基本存款账户开户银行出具的资信证明及基本存款账户开户许可证（基本账户信息</w:t>
            </w:r>
            <w:r>
              <w:rPr>
                <w:rFonts w:hint="eastAsia" w:ascii="仿宋" w:hAnsi="仿宋" w:eastAsia="仿宋" w:cs="仿宋"/>
                <w:sz w:val="24"/>
                <w:szCs w:val="24"/>
              </w:rPr>
              <w:t>）或财政部门认可的政府采购专业担保机构出具的投标担保函；</w:t>
            </w:r>
          </w:p>
          <w:p>
            <w:pPr>
              <w:numPr>
                <w:ilvl w:val="0"/>
                <w:numId w:val="3"/>
              </w:num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提供具有履行合同所必需的设备和专业技术能力的承诺；</w:t>
            </w:r>
          </w:p>
          <w:p>
            <w:pPr>
              <w:numPr>
                <w:ilvl w:val="0"/>
                <w:numId w:val="3"/>
              </w:num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提供投标截止日前一年内已缴纳的至少一个月的纳税证明或完税证明，依法免税的单位应提供相关证明材料；</w:t>
            </w:r>
          </w:p>
          <w:p>
            <w:pPr>
              <w:numPr>
                <w:ilvl w:val="0"/>
                <w:numId w:val="3"/>
              </w:numPr>
              <w:spacing w:line="360" w:lineRule="auto"/>
              <w:rPr>
                <w:rFonts w:hint="eastAsia" w:ascii="仿宋" w:hAnsi="仿宋" w:eastAsia="仿宋" w:cs="仿宋"/>
                <w:sz w:val="24"/>
                <w:szCs w:val="24"/>
              </w:rPr>
            </w:pPr>
            <w:r>
              <w:rPr>
                <w:rFonts w:hint="eastAsia" w:ascii="仿宋" w:hAnsi="仿宋" w:eastAsia="仿宋" w:cs="仿宋"/>
                <w:kern w:val="0"/>
                <w:sz w:val="24"/>
                <w:szCs w:val="24"/>
              </w:rPr>
              <w:t>提供投标截止日前一年内已缴存的至少一个月的社会保障资金缴存单据或社保机构开具的社会保险参保缴费情况证明，依法不需要缴纳社会保障资金的单位应提供相关证明材料；</w:t>
            </w:r>
          </w:p>
          <w:p>
            <w:pPr>
              <w:numPr>
                <w:ilvl w:val="0"/>
                <w:numId w:val="3"/>
              </w:numPr>
              <w:spacing w:line="360" w:lineRule="auto"/>
              <w:rPr>
                <w:rFonts w:hint="eastAsia" w:ascii="仿宋" w:hAnsi="仿宋" w:eastAsia="仿宋" w:cs="仿宋"/>
                <w:sz w:val="24"/>
                <w:szCs w:val="24"/>
              </w:rPr>
            </w:pPr>
            <w:r>
              <w:rPr>
                <w:rFonts w:hint="eastAsia" w:ascii="仿宋" w:hAnsi="仿宋" w:eastAsia="仿宋" w:cs="仿宋"/>
                <w:kern w:val="0"/>
                <w:sz w:val="24"/>
                <w:szCs w:val="24"/>
              </w:rPr>
              <w:t>参加政府采购活动前3年内，在经营活动中没有重大违法记录的书面声明。</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2、落实政府采购政策需满足的资格要求：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3、特定资格条件：</w:t>
            </w:r>
          </w:p>
          <w:p>
            <w:pPr>
              <w:spacing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（1）法定代表人身份证明/法定代表人授权委托书：法定代表人直接参加投标的，须提供法定代表人身份证明及其身份证复印件加盖供应商公章； 法定代表人授权他人参加投标的，须提供法定代表人授权委托书（附法定代表人、被授权人身份证复印件加盖供应商公章）；</w:t>
            </w:r>
          </w:p>
          <w:p>
            <w:pPr>
              <w:spacing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（2）具备建设行政主管部门颁发的建筑工程施工总承包三级及以上资质证书，同时具有合格有效的安全生产许可证；</w:t>
            </w:r>
          </w:p>
          <w:p>
            <w:pPr>
              <w:spacing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（3）拟派项目经理须具有建筑工程专业二级及以上注册建造师证书和有效的安全生产考核证书（B证）在本单位注册且无在建工程、无不良记录（提供无在建工程、无不良记录承诺书）；</w:t>
            </w:r>
          </w:p>
          <w:p>
            <w:pPr>
              <w:spacing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供应商不得为“信用中国”网站（www.creditchina.gov.cn）中列入失信被执行人和重大税收违法失信主体，不得为中国政府采购网（www.ccgp.gov.cn）政府采购严重违法失信行为记录名单中被财政部门禁止参加政府采购活动的供应商。</w:t>
            </w:r>
          </w:p>
          <w:p>
            <w:pPr>
              <w:spacing w:line="360" w:lineRule="auto"/>
              <w:ind w:firstLine="482" w:firstLineChars="200"/>
              <w:rPr>
                <w:rFonts w:hint="eastAsia" w:ascii="仿宋" w:hAnsi="仿宋" w:eastAsia="仿宋" w:cs="仿宋"/>
                <w:b/>
                <w:sz w:val="28"/>
                <w:szCs w:val="28"/>
              </w:rPr>
            </w:pPr>
            <w:r>
              <w:rPr>
                <w:rFonts w:hint="eastAsia" w:ascii="仿宋" w:hAnsi="仿宋" w:eastAsia="仿宋" w:cs="仿宋"/>
                <w:b/>
                <w:sz w:val="24"/>
                <w:szCs w:val="24"/>
              </w:rPr>
              <w:t>以上为必备资格要求，缺一项或某项达不到要求，按无效投标处理。除法定代表人授权书需将原件装订在投标文件正本中外，其他所有资质证件的复印件必须加盖单位公章附在投标文件中。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未注明要求原件（</w:t>
            </w:r>
            <w:r>
              <w:rPr>
                <w:rFonts w:hint="eastAsia" w:ascii="仿宋" w:hAnsi="仿宋" w:eastAsia="仿宋" w:cs="仿宋"/>
                <w:b/>
                <w:sz w:val="24"/>
                <w:szCs w:val="24"/>
              </w:rPr>
              <w:t>特定资格条件2、3除外</w:t>
            </w:r>
            <w:r>
              <w:rPr>
                <w:rFonts w:hint="eastAsia" w:ascii="仿宋" w:hAnsi="仿宋" w:eastAsia="仿宋" w:cs="仿宋"/>
                <w:sz w:val="24"/>
                <w:szCs w:val="24"/>
              </w:rPr>
              <w:t>）的资格证明文件，在开标后的任何时间，评标委员会都有权随时要求审查原件（</w:t>
            </w:r>
            <w:r>
              <w:rPr>
                <w:rFonts w:hint="eastAsia" w:ascii="仿宋" w:hAnsi="仿宋" w:eastAsia="仿宋" w:cs="仿宋"/>
                <w:b/>
                <w:sz w:val="24"/>
                <w:szCs w:val="24"/>
              </w:rPr>
              <w:t>特定资格条件2、3除外</w:t>
            </w:r>
            <w:r>
              <w:rPr>
                <w:rFonts w:hint="eastAsia" w:ascii="仿宋" w:hAnsi="仿宋" w:eastAsia="仿宋" w:cs="仿宋"/>
                <w:sz w:val="24"/>
                <w:szCs w:val="24"/>
              </w:rPr>
              <w:t>），如果不能按规定时间提供，</w:t>
            </w:r>
            <w:r>
              <w:rPr>
                <w:rFonts w:hint="eastAsia" w:ascii="仿宋" w:hAnsi="仿宋" w:eastAsia="仿宋" w:cs="仿宋"/>
                <w:bCs/>
                <w:sz w:val="24"/>
                <w:szCs w:val="24"/>
              </w:rPr>
              <w:t>对投标人造成的不利后果</w:t>
            </w:r>
            <w:r>
              <w:rPr>
                <w:rFonts w:hint="eastAsia" w:ascii="仿宋" w:hAnsi="仿宋" w:eastAsia="仿宋" w:cs="仿宋"/>
                <w:sz w:val="24"/>
                <w:szCs w:val="24"/>
              </w:rPr>
              <w:t>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踏勘现场</w:t>
            </w:r>
          </w:p>
        </w:tc>
        <w:tc>
          <w:tcPr>
            <w:tcW w:w="6238" w:type="dxa"/>
            <w:vAlign w:val="center"/>
          </w:tcPr>
          <w:p>
            <w:pPr>
              <w:pStyle w:val="2"/>
              <w:spacing w:line="360" w:lineRule="auto"/>
              <w:jc w:val="both"/>
              <w:rPr>
                <w:rFonts w:hint="default" w:ascii="仿宋" w:hAnsi="仿宋" w:eastAsia="宋体" w:cs="仿宋"/>
                <w:sz w:val="24"/>
                <w:szCs w:val="24"/>
                <w:lang w:val="en-US" w:eastAsia="zh-CN"/>
              </w:rPr>
            </w:pPr>
            <w:r>
              <w:rPr>
                <w:rFonts w:hint="eastAsia" w:ascii="仿宋" w:hAnsi="仿宋" w:eastAsia="仿宋" w:cs="仿宋"/>
                <w:kern w:val="0"/>
                <w:sz w:val="24"/>
                <w:szCs w:val="24"/>
                <w:lang w:val="en-US" w:eastAsia="zh-CN"/>
              </w:rPr>
              <w:t>不组织</w:t>
            </w:r>
            <w:r>
              <w:rPr>
                <w:rFonts w:hint="eastAsia" w:ascii="仿宋" w:hAnsi="仿宋" w:eastAsia="仿宋" w:cs="仿宋"/>
                <w:kern w:val="0"/>
                <w:sz w:val="24"/>
                <w:szCs w:val="24"/>
              </w:rPr>
              <w:t>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1.10</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投标答疑会</w:t>
            </w:r>
          </w:p>
        </w:tc>
        <w:tc>
          <w:tcPr>
            <w:tcW w:w="6238"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不召开；若有疑问，均应在投标截止时间10日内以书面形式向招标代理机构提出。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1.11.1</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评标办法</w:t>
            </w:r>
          </w:p>
        </w:tc>
        <w:tc>
          <w:tcPr>
            <w:tcW w:w="6238"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1.12</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分包</w:t>
            </w:r>
          </w:p>
        </w:tc>
        <w:tc>
          <w:tcPr>
            <w:tcW w:w="62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不允许</w:t>
            </w:r>
          </w:p>
        </w:tc>
      </w:tr>
      <w:tr>
        <w:tblPrEx>
          <w:tblLayout w:type="fixed"/>
          <w:tblCellMar>
            <w:top w:w="0" w:type="dxa"/>
            <w:left w:w="108" w:type="dxa"/>
            <w:bottom w:w="0" w:type="dxa"/>
            <w:right w:w="108" w:type="dxa"/>
          </w:tblCellMar>
        </w:tblPrEx>
        <w:trPr>
          <w:trHeight w:val="581"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构成招标文件的</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其他材料</w:t>
            </w:r>
          </w:p>
        </w:tc>
        <w:tc>
          <w:tcPr>
            <w:tcW w:w="62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澄清、修改、答疑文件、项目概况及要求等相关材料。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2.2.2</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招标人澄清</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招标文件的截止时间</w:t>
            </w:r>
          </w:p>
        </w:tc>
        <w:tc>
          <w:tcPr>
            <w:tcW w:w="6238" w:type="dxa"/>
            <w:vAlign w:val="center"/>
          </w:tcPr>
          <w:p>
            <w:pPr>
              <w:spacing w:line="360" w:lineRule="auto"/>
              <w:rPr>
                <w:rFonts w:hint="eastAsia" w:ascii="仿宋" w:hAnsi="仿宋" w:eastAsia="仿宋" w:cs="仿宋"/>
                <w:sz w:val="24"/>
                <w:szCs w:val="24"/>
                <w:highlight w:val="yellow"/>
              </w:rPr>
            </w:pPr>
            <w:r>
              <w:rPr>
                <w:rFonts w:hint="eastAsia" w:ascii="仿宋" w:hAnsi="仿宋" w:eastAsia="仿宋" w:cs="仿宋"/>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2.2.3</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投标人对招标文件的疑问</w:t>
            </w:r>
          </w:p>
        </w:tc>
        <w:tc>
          <w:tcPr>
            <w:tcW w:w="6238" w:type="dxa"/>
            <w:vAlign w:val="center"/>
          </w:tcPr>
          <w:p>
            <w:pPr>
              <w:pStyle w:val="10"/>
              <w:spacing w:line="360" w:lineRule="auto"/>
              <w:rPr>
                <w:rFonts w:hint="eastAsia" w:ascii="仿宋" w:hAnsi="仿宋" w:eastAsia="仿宋" w:cs="仿宋"/>
                <w:sz w:val="24"/>
                <w:szCs w:val="24"/>
                <w:highlight w:val="yellow"/>
              </w:rPr>
            </w:pPr>
            <w:r>
              <w:rPr>
                <w:rFonts w:hint="eastAsia" w:ascii="仿宋" w:hAnsi="仿宋" w:eastAsia="仿宋" w:cs="仿宋"/>
                <w:sz w:val="24"/>
                <w:szCs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3.1.1</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构成投标文件的</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其他材料</w:t>
            </w:r>
          </w:p>
        </w:tc>
        <w:tc>
          <w:tcPr>
            <w:tcW w:w="62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投标人按照招标文件的要求认为有利于投标的材料。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3.2.1</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工程计价方式</w:t>
            </w:r>
          </w:p>
        </w:tc>
        <w:tc>
          <w:tcPr>
            <w:tcW w:w="62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3.2.4</w:t>
            </w:r>
          </w:p>
        </w:tc>
        <w:tc>
          <w:tcPr>
            <w:tcW w:w="249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本工程计划开工日期</w:t>
            </w:r>
          </w:p>
        </w:tc>
        <w:tc>
          <w:tcPr>
            <w:tcW w:w="6238"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3.3.1</w:t>
            </w:r>
          </w:p>
        </w:tc>
        <w:tc>
          <w:tcPr>
            <w:tcW w:w="249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23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90日历天（从投标文件递交截止之日算起）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3.4</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6238" w:type="dxa"/>
            <w:vAlign w:val="center"/>
          </w:tcPr>
          <w:p>
            <w:pPr>
              <w:pStyle w:val="20"/>
              <w:spacing w:line="360" w:lineRule="auto"/>
              <w:jc w:val="left"/>
              <w:rPr>
                <w:rFonts w:hint="eastAsia" w:ascii="仿宋" w:hAnsi="仿宋" w:eastAsia="仿宋" w:cs="仿宋"/>
                <w:sz w:val="24"/>
                <w:szCs w:val="24"/>
              </w:rPr>
            </w:pPr>
            <w:r>
              <w:rPr>
                <w:rFonts w:hint="eastAsia" w:ascii="仿宋" w:hAnsi="仿宋" w:eastAsia="仿宋" w:cs="仿宋"/>
                <w:kern w:val="0"/>
                <w:sz w:val="24"/>
                <w:szCs w:val="22"/>
                <w:lang w:eastAsia="zh-CN"/>
              </w:rPr>
              <w:t>□</w:t>
            </w:r>
            <w:r>
              <w:rPr>
                <w:rFonts w:hint="eastAsia" w:ascii="仿宋" w:hAnsi="仿宋" w:eastAsia="仿宋" w:cs="仿宋"/>
                <w:kern w:val="0"/>
                <w:sz w:val="24"/>
                <w:szCs w:val="22"/>
              </w:rPr>
              <w:t xml:space="preserve"> </w:t>
            </w:r>
            <w:r>
              <w:rPr>
                <w:rFonts w:hint="eastAsia" w:ascii="仿宋" w:hAnsi="仿宋" w:eastAsia="仿宋" w:cs="仿宋"/>
                <w:kern w:val="0"/>
                <w:sz w:val="24"/>
                <w:szCs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3.5</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是否允许递交</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备选投标方案</w:t>
            </w:r>
          </w:p>
        </w:tc>
        <w:tc>
          <w:tcPr>
            <w:tcW w:w="62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允许</w:t>
            </w:r>
          </w:p>
          <w:p>
            <w:pPr>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3.6.3</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签字或盖章要求</w:t>
            </w:r>
          </w:p>
        </w:tc>
        <w:tc>
          <w:tcPr>
            <w:tcW w:w="6238"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投标文件封面、投标函及其它有要求处必须加盖投标人公章并经法定代表人或其委托代理人签字或盖章。</w:t>
            </w:r>
            <w:bookmarkStart w:id="21" w:name="_Toc34351134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投标文件应无涂改或行间插字和增删。如确需修改，修改处必须由投标人加盖投标人公章并经法定代表人或其委托代理人签字或盖章。</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3.6.4</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投标文件份数</w:t>
            </w:r>
          </w:p>
        </w:tc>
        <w:tc>
          <w:tcPr>
            <w:tcW w:w="62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正本的份数：壹份；</w:t>
            </w:r>
          </w:p>
          <w:p>
            <w:pPr>
              <w:spacing w:line="360" w:lineRule="auto"/>
              <w:rPr>
                <w:rFonts w:hint="eastAsia" w:ascii="仿宋" w:hAnsi="仿宋" w:eastAsia="仿宋" w:cs="仿宋"/>
                <w:sz w:val="24"/>
                <w:szCs w:val="24"/>
              </w:rPr>
            </w:pPr>
            <w:r>
              <w:rPr>
                <w:rFonts w:hint="eastAsia" w:ascii="仿宋" w:hAnsi="仿宋" w:eastAsia="仿宋" w:cs="仿宋"/>
                <w:sz w:val="24"/>
                <w:szCs w:val="24"/>
              </w:rPr>
              <w:t>副本的份数：贰份；</w:t>
            </w:r>
          </w:p>
          <w:p>
            <w:pPr>
              <w:spacing w:line="360" w:lineRule="auto"/>
              <w:rPr>
                <w:rFonts w:hint="eastAsia" w:ascii="仿宋" w:hAnsi="仿宋" w:eastAsia="仿宋" w:cs="仿宋"/>
                <w:sz w:val="24"/>
                <w:szCs w:val="24"/>
              </w:rPr>
            </w:pPr>
            <w:r>
              <w:rPr>
                <w:rFonts w:hint="eastAsia" w:ascii="仿宋" w:hAnsi="仿宋" w:eastAsia="仿宋" w:cs="仿宋"/>
                <w:sz w:val="24"/>
                <w:szCs w:val="24"/>
              </w:rPr>
              <w:t>开标一览表：壹份；</w:t>
            </w:r>
          </w:p>
          <w:p>
            <w:pPr>
              <w:spacing w:line="360" w:lineRule="auto"/>
              <w:rPr>
                <w:rFonts w:hint="eastAsia" w:ascii="仿宋" w:hAnsi="仿宋" w:eastAsia="仿宋" w:cs="仿宋"/>
                <w:sz w:val="24"/>
                <w:szCs w:val="24"/>
              </w:rPr>
            </w:pPr>
            <w:r>
              <w:rPr>
                <w:rFonts w:hint="eastAsia" w:ascii="仿宋" w:hAnsi="仿宋" w:eastAsia="仿宋" w:cs="仿宋"/>
                <w:sz w:val="24"/>
                <w:szCs w:val="24"/>
              </w:rPr>
              <w:t>电子版（U盘）：壹份（需在盘面上标注投标人全称、项目名称、编号）。</w:t>
            </w:r>
          </w:p>
          <w:p>
            <w:pPr>
              <w:spacing w:line="360" w:lineRule="auto"/>
              <w:rPr>
                <w:rFonts w:hint="eastAsia" w:ascii="仿宋" w:hAnsi="仿宋" w:eastAsia="仿宋" w:cs="仿宋"/>
                <w:sz w:val="24"/>
                <w:szCs w:val="24"/>
              </w:rPr>
            </w:pPr>
            <w:r>
              <w:rPr>
                <w:rFonts w:hint="eastAsia" w:ascii="仿宋" w:hAnsi="仿宋" w:eastAsia="仿宋" w:cs="仿宋"/>
                <w:sz w:val="24"/>
                <w:szCs w:val="24"/>
              </w:rPr>
              <w:t>电子版包括：</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（1）word版投标文件；</w:t>
            </w:r>
          </w:p>
          <w:p>
            <w:pPr>
              <w:pStyle w:val="2"/>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（2）投标文件正本签字盖章后的PDF格式扫描件，与正本具有同等法律效力。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4.1.2</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密封要求</w:t>
            </w:r>
          </w:p>
        </w:tc>
        <w:tc>
          <w:tcPr>
            <w:tcW w:w="62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投标人应将投标文件正本、所有的副本、电子版本、开标一览表分别单独密封在封袋中（封袋不得有破损）。封袋应加贴封条，并在封线处加盖投标人公章。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4.1.3</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封套上写明</w:t>
            </w:r>
          </w:p>
        </w:tc>
        <w:tc>
          <w:tcPr>
            <w:tcW w:w="6238" w:type="dxa"/>
            <w:vAlign w:val="center"/>
          </w:tcPr>
          <w:p>
            <w:pPr>
              <w:spacing w:line="360" w:lineRule="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1、招标人名称：西安市未央区三桥街道办事处</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2、投标人名称以及标注“正本”、“副本”、“开标一览表”、“电子版”字样，密封处应加盖投标人公章。</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投标文件在</w:t>
            </w:r>
            <w:r>
              <w:rPr>
                <w:rFonts w:hint="eastAsia" w:ascii="仿宋" w:hAnsi="仿宋" w:eastAsia="仿宋" w:cs="仿宋"/>
                <w:color w:val="auto"/>
                <w:sz w:val="24"/>
                <w:szCs w:val="24"/>
                <w:u w:val="single"/>
              </w:rPr>
              <w:t>2022</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lang w:val="en-US" w:eastAsia="zh-CN"/>
              </w:rPr>
              <w:t>20</w:t>
            </w:r>
            <w:r>
              <w:rPr>
                <w:rFonts w:hint="eastAsia" w:ascii="仿宋" w:hAnsi="仿宋" w:eastAsia="仿宋" w:cs="仿宋"/>
                <w:color w:val="auto"/>
                <w:sz w:val="24"/>
                <w:szCs w:val="24"/>
              </w:rPr>
              <w:t>日</w:t>
            </w:r>
            <w:r>
              <w:rPr>
                <w:rFonts w:hint="eastAsia" w:ascii="仿宋" w:hAnsi="仿宋" w:eastAsia="仿宋" w:cs="仿宋"/>
                <w:color w:val="auto"/>
                <w:sz w:val="24"/>
                <w:szCs w:val="24"/>
                <w:u w:val="single"/>
              </w:rPr>
              <w:t>9</w:t>
            </w:r>
            <w:r>
              <w:rPr>
                <w:rFonts w:hint="eastAsia" w:ascii="仿宋" w:hAnsi="仿宋" w:eastAsia="仿宋" w:cs="仿宋"/>
                <w:color w:val="auto"/>
                <w:sz w:val="24"/>
                <w:szCs w:val="24"/>
              </w:rPr>
              <w:t>时</w:t>
            </w:r>
            <w:r>
              <w:rPr>
                <w:rFonts w:hint="eastAsia" w:ascii="仿宋" w:hAnsi="仿宋" w:eastAsia="仿宋" w:cs="仿宋"/>
                <w:color w:val="auto"/>
                <w:sz w:val="24"/>
                <w:szCs w:val="24"/>
                <w:u w:val="single"/>
              </w:rPr>
              <w:t>30</w:t>
            </w:r>
            <w:r>
              <w:rPr>
                <w:rFonts w:hint="eastAsia" w:ascii="仿宋" w:hAnsi="仿宋" w:eastAsia="仿宋" w:cs="仿宋"/>
                <w:color w:val="auto"/>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4.2.2</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递交投标文件截止时间、地点</w:t>
            </w:r>
          </w:p>
        </w:tc>
        <w:tc>
          <w:tcPr>
            <w:tcW w:w="6238"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时间：见招标公告</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4.2.3</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是否退还投标文件</w:t>
            </w:r>
          </w:p>
        </w:tc>
        <w:tc>
          <w:tcPr>
            <w:tcW w:w="6238"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5.1</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开标时间和地点</w:t>
            </w:r>
          </w:p>
        </w:tc>
        <w:tc>
          <w:tcPr>
            <w:tcW w:w="6238"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开标时间：同投标文件递交截止时间</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6.1.1</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评标委员会</w:t>
            </w:r>
          </w:p>
        </w:tc>
        <w:tc>
          <w:tcPr>
            <w:tcW w:w="62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由招标人代表和具备相关专业的专家等5人以上单数组成评标委员会，其中采购人代表须持有授权书。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7.1</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是否授权评标委员会</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确定中标人</w:t>
            </w:r>
          </w:p>
        </w:tc>
        <w:tc>
          <w:tcPr>
            <w:tcW w:w="62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否,</w:t>
            </w:r>
            <w:bookmarkStart w:id="22" w:name="OLE_LINK6"/>
            <w:r>
              <w:rPr>
                <w:rFonts w:hint="eastAsia" w:ascii="仿宋" w:hAnsi="仿宋" w:eastAsia="仿宋" w:cs="仿宋"/>
                <w:sz w:val="24"/>
                <w:szCs w:val="24"/>
              </w:rPr>
              <w:t>推荐3名中标候选人</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7.3.1</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履约担保</w:t>
            </w:r>
          </w:p>
        </w:tc>
        <w:tc>
          <w:tcPr>
            <w:tcW w:w="6238"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履约担保的形式：/</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履约担保的金额：/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7.3.2</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支付担保</w:t>
            </w:r>
          </w:p>
        </w:tc>
        <w:tc>
          <w:tcPr>
            <w:tcW w:w="6238"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支付担保的形式：/</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支付担保的金额：/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8730" w:type="dxa"/>
            <w:gridSpan w:val="2"/>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11.1</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是否实行计算机辅助评标</w:t>
            </w:r>
          </w:p>
        </w:tc>
        <w:tc>
          <w:tcPr>
            <w:tcW w:w="6238"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11.2</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知识产权</w:t>
            </w:r>
          </w:p>
        </w:tc>
        <w:tc>
          <w:tcPr>
            <w:tcW w:w="6238"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11.3</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重新招标的其他情形</w:t>
            </w:r>
          </w:p>
        </w:tc>
        <w:tc>
          <w:tcPr>
            <w:tcW w:w="6238"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11.4</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同义词语</w:t>
            </w:r>
          </w:p>
        </w:tc>
        <w:tc>
          <w:tcPr>
            <w:tcW w:w="6238"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构成招标文件组成部分的“通用合同条款”、“专用合同条款”、“项目概况及要求”等章节中出现的措辞“发包人”和“承包人”，在招标投标阶段应当分别按“招标人”和“投标人”进行理解。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11.5</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解释权</w:t>
            </w:r>
          </w:p>
        </w:tc>
        <w:tc>
          <w:tcPr>
            <w:tcW w:w="6238"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本招标文件由招标人和招标代理机构负责解释。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11.7</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招标代理服务费账户</w:t>
            </w:r>
          </w:p>
        </w:tc>
        <w:tc>
          <w:tcPr>
            <w:tcW w:w="6238"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户名：华夏国际项目管理有限公司西咸新区分公司</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开户行：光大银行西安南二环支行</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账号：78620188000199459</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联行号：303791000169</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请中标供应商按照要求将招标代理服务费汇入以上指定账户，如因自身原因发生错误，产生的不利后果均由成交供应商自行承担。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11.8</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采购项目需要落实的政府采购政策</w:t>
            </w:r>
          </w:p>
        </w:tc>
        <w:tc>
          <w:tcPr>
            <w:tcW w:w="62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8" w:hRule="atLeast"/>
          <w:jc w:val="center"/>
        </w:trPr>
        <w:tc>
          <w:tcPr>
            <w:tcW w:w="976"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11.9</w:t>
            </w:r>
          </w:p>
        </w:tc>
        <w:tc>
          <w:tcPr>
            <w:tcW w:w="249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招标代理服务费</w:t>
            </w:r>
          </w:p>
        </w:tc>
        <w:tc>
          <w:tcPr>
            <w:tcW w:w="62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以采购预算为基数，参照国家计委颁发的《招标代理服务收费管理暂行办法》（计价格[2002]1980号）和国家发展改革委员会办公厅颁发的《关于招标代理服务收费有关问题的通知》（发改办价格[2003]857号）的有关规定执行。</w:t>
            </w:r>
          </w:p>
          <w:p>
            <w:pPr>
              <w:spacing w:line="360" w:lineRule="auto"/>
              <w:rPr>
                <w:rFonts w:hint="eastAsia" w:ascii="仿宋" w:hAnsi="仿宋" w:eastAsia="仿宋" w:cs="仿宋"/>
                <w:sz w:val="24"/>
                <w:szCs w:val="24"/>
              </w:rPr>
            </w:pPr>
            <w:r>
              <w:rPr>
                <w:rFonts w:hint="eastAsia" w:ascii="仿宋" w:hAnsi="仿宋" w:eastAsia="仿宋" w:cs="仿宋"/>
                <w:sz w:val="24"/>
                <w:szCs w:val="24"/>
              </w:rPr>
              <w:t>中标单位在领取中标通知书前，须向采购代理机构一次性支付招标代理服务费。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0" w:hRule="atLeast"/>
          <w:jc w:val="center"/>
        </w:trPr>
        <w:tc>
          <w:tcPr>
            <w:tcW w:w="976"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11.10</w:t>
            </w:r>
          </w:p>
        </w:tc>
        <w:tc>
          <w:tcPr>
            <w:tcW w:w="2492" w:type="dxa"/>
            <w:vAlign w:val="center"/>
          </w:tcPr>
          <w:p>
            <w:pPr>
              <w:spacing w:line="500" w:lineRule="exact"/>
              <w:rPr>
                <w:rFonts w:hint="eastAsia" w:ascii="仿宋" w:hAnsi="仿宋" w:eastAsia="仿宋" w:cs="仿宋"/>
                <w:sz w:val="24"/>
                <w:szCs w:val="24"/>
              </w:rPr>
            </w:pPr>
            <w:bookmarkStart w:id="23" w:name="_Toc1185"/>
            <w:r>
              <w:rPr>
                <w:rFonts w:hint="eastAsia" w:ascii="仿宋" w:hAnsi="仿宋" w:eastAsia="仿宋" w:cs="仿宋"/>
                <w:sz w:val="24"/>
                <w:szCs w:val="24"/>
              </w:rPr>
              <w:t>信用担保</w:t>
            </w:r>
            <w:bookmarkEnd w:id="23"/>
            <w:r>
              <w:rPr>
                <w:rFonts w:hint="eastAsia" w:ascii="仿宋" w:hAnsi="仿宋" w:eastAsia="仿宋" w:cs="仿宋"/>
                <w:sz w:val="24"/>
                <w:szCs w:val="24"/>
              </w:rPr>
              <w:t>及信用融资</w:t>
            </w:r>
          </w:p>
        </w:tc>
        <w:tc>
          <w:tcPr>
            <w:tcW w:w="6238"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根据《陕西省财政厅关于印发&lt;陕西省中小企业政府采购信用融资办法&gt;的通知》（陕财办采〔2018〕23号）相关政策，有融资需求的供应商可根据自身情况，在陕西省政府采购信用融资平台（网址：http://www.ccgp-shaanxi.gov.cn/zcdservice/zcd/shanxi/）按照相关业务流程自主选择金融机构及其融资产品，凭政府采购中标（成交）通知书或政府采购合同向金融机构提出融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76"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11.11</w:t>
            </w:r>
          </w:p>
        </w:tc>
        <w:tc>
          <w:tcPr>
            <w:tcW w:w="2492"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其他</w:t>
            </w:r>
          </w:p>
        </w:tc>
        <w:tc>
          <w:tcPr>
            <w:tcW w:w="62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（1）本项目属性为</w:t>
            </w:r>
            <w:r>
              <w:rPr>
                <w:rFonts w:hint="eastAsia" w:ascii="仿宋" w:hAnsi="仿宋" w:eastAsia="仿宋" w:cs="仿宋"/>
                <w:sz w:val="24"/>
                <w:szCs w:val="24"/>
                <w:u w:val="single"/>
              </w:rPr>
              <w:t xml:space="preserve">  工程  </w:t>
            </w:r>
            <w:r>
              <w:rPr>
                <w:rFonts w:hint="eastAsia" w:ascii="仿宋" w:hAnsi="仿宋" w:eastAsia="仿宋" w:cs="仿宋"/>
                <w:sz w:val="24"/>
                <w:szCs w:val="24"/>
              </w:rPr>
              <w:t>。</w:t>
            </w:r>
          </w:p>
          <w:p>
            <w:pPr>
              <w:spacing w:line="500" w:lineRule="exact"/>
              <w:rPr>
                <w:rFonts w:hint="eastAsia" w:ascii="仿宋" w:hAnsi="仿宋" w:eastAsia="仿宋" w:cs="仿宋"/>
                <w:sz w:val="24"/>
                <w:szCs w:val="24"/>
              </w:rPr>
            </w:pPr>
            <w:r>
              <w:rPr>
                <w:rFonts w:hint="eastAsia" w:ascii="仿宋" w:hAnsi="仿宋" w:eastAsia="仿宋" w:cs="仿宋"/>
                <w:sz w:val="24"/>
                <w:szCs w:val="24"/>
              </w:rPr>
              <w:t>（2）本项目采购标的所属行业为：</w:t>
            </w:r>
            <w:r>
              <w:rPr>
                <w:rFonts w:hint="eastAsia" w:ascii="仿宋" w:hAnsi="仿宋" w:eastAsia="仿宋" w:cs="仿宋"/>
                <w:sz w:val="24"/>
                <w:szCs w:val="24"/>
                <w:u w:val="single"/>
              </w:rPr>
              <w:t>建筑业</w:t>
            </w:r>
            <w:r>
              <w:rPr>
                <w:rFonts w:hint="eastAsia" w:ascii="仿宋" w:hAnsi="仿宋" w:eastAsia="仿宋" w:cs="仿宋"/>
                <w:sz w:val="24"/>
                <w:szCs w:val="24"/>
              </w:rPr>
              <w:t>。</w:t>
            </w:r>
            <w:r>
              <w:rPr>
                <w:rFonts w:hint="eastAsia" w:ascii="仿宋" w:hAnsi="仿宋" w:eastAsia="仿宋" w:cs="仿宋"/>
                <w:kern w:val="0"/>
                <w:sz w:val="24"/>
                <w:szCs w:val="22"/>
              </w:rPr>
              <w:t>（按照《工信部 国家统计局 发改委 财政部 工信部联企业》中小企业划型标准（〔2011〕300号）规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pPr>
        <w:spacing w:line="360" w:lineRule="auto"/>
        <w:jc w:val="left"/>
        <w:rPr>
          <w:rFonts w:hint="eastAsia" w:ascii="仿宋" w:hAnsi="仿宋" w:eastAsia="仿宋" w:cs="仿宋"/>
          <w:sz w:val="24"/>
          <w:szCs w:val="24"/>
        </w:rPr>
        <w:sectPr>
          <w:footerReference r:id="rId6" w:type="default"/>
          <w:pgSz w:w="11906" w:h="16838"/>
          <w:pgMar w:top="1417" w:right="1417" w:bottom="1417" w:left="1701" w:header="851" w:footer="992" w:gutter="0"/>
          <w:pgNumType w:fmt="decimal" w:start="1"/>
          <w:cols w:space="0" w:num="1"/>
          <w:docGrid w:type="lines" w:linePitch="312" w:charSpace="0"/>
        </w:sectPr>
      </w:pPr>
    </w:p>
    <w:p>
      <w:pPr>
        <w:pStyle w:val="3"/>
        <w:jc w:val="center"/>
        <w:rPr>
          <w:rFonts w:hint="eastAsia" w:ascii="仿宋" w:hAnsi="仿宋" w:eastAsia="仿宋" w:cs="仿宋"/>
        </w:rPr>
      </w:pPr>
      <w:bookmarkStart w:id="24" w:name="_Toc13400"/>
      <w:bookmarkStart w:id="25" w:name="_Toc18046"/>
      <w:bookmarkStart w:id="26" w:name="_Toc462213641"/>
      <w:bookmarkStart w:id="27" w:name="_Toc465432091"/>
      <w:bookmarkStart w:id="28" w:name="_Toc462213769"/>
      <w:bookmarkStart w:id="29" w:name="_Toc10069"/>
      <w:bookmarkStart w:id="30" w:name="_Toc420591643"/>
      <w:bookmarkStart w:id="31" w:name="_Toc421778365"/>
      <w:bookmarkStart w:id="32" w:name="_Toc425240464"/>
      <w:r>
        <w:rPr>
          <w:rFonts w:hint="eastAsia" w:ascii="仿宋" w:hAnsi="仿宋" w:eastAsia="仿宋" w:cs="仿宋"/>
        </w:rPr>
        <w:t>投标人须知正文部分</w:t>
      </w:r>
      <w:bookmarkEnd w:id="24"/>
      <w:bookmarkEnd w:id="25"/>
      <w:bookmarkEnd w:id="26"/>
      <w:bookmarkEnd w:id="27"/>
      <w:bookmarkEnd w:id="28"/>
      <w:bookmarkEnd w:id="29"/>
    </w:p>
    <w:p>
      <w:pPr>
        <w:spacing w:line="500" w:lineRule="exact"/>
        <w:jc w:val="left"/>
        <w:outlineLvl w:val="1"/>
        <w:rPr>
          <w:rFonts w:hint="eastAsia" w:ascii="仿宋" w:hAnsi="仿宋" w:eastAsia="仿宋" w:cs="仿宋"/>
          <w:b/>
          <w:bCs/>
          <w:sz w:val="24"/>
          <w:szCs w:val="24"/>
        </w:rPr>
      </w:pPr>
      <w:bookmarkStart w:id="33" w:name="_Toc511"/>
      <w:bookmarkStart w:id="34" w:name="_Toc12614"/>
      <w:r>
        <w:rPr>
          <w:rFonts w:hint="eastAsia" w:ascii="仿宋" w:hAnsi="仿宋" w:eastAsia="仿宋" w:cs="仿宋"/>
          <w:b/>
          <w:bCs/>
          <w:sz w:val="24"/>
          <w:szCs w:val="24"/>
        </w:rPr>
        <w:t>1．总则</w:t>
      </w:r>
      <w:bookmarkEnd w:id="30"/>
      <w:bookmarkEnd w:id="31"/>
      <w:bookmarkEnd w:id="32"/>
      <w:bookmarkEnd w:id="33"/>
      <w:bookmarkEnd w:id="34"/>
    </w:p>
    <w:p>
      <w:pPr>
        <w:spacing w:line="500" w:lineRule="exact"/>
        <w:ind w:firstLine="482" w:firstLineChars="200"/>
        <w:outlineLvl w:val="2"/>
        <w:rPr>
          <w:rFonts w:hint="eastAsia" w:ascii="仿宋" w:hAnsi="仿宋" w:eastAsia="仿宋" w:cs="仿宋"/>
          <w:b/>
          <w:bCs/>
          <w:sz w:val="24"/>
          <w:szCs w:val="24"/>
        </w:rPr>
      </w:pPr>
      <w:bookmarkStart w:id="35" w:name="_Toc22450"/>
      <w:bookmarkStart w:id="36" w:name="_Toc29220"/>
      <w:r>
        <w:rPr>
          <w:rFonts w:hint="eastAsia" w:ascii="仿宋" w:hAnsi="仿宋" w:eastAsia="仿宋" w:cs="仿宋"/>
          <w:b/>
          <w:bCs/>
          <w:sz w:val="24"/>
          <w:szCs w:val="24"/>
        </w:rPr>
        <w:t>1.1 项目概况</w:t>
      </w:r>
      <w:bookmarkEnd w:id="35"/>
      <w:bookmarkEnd w:id="36"/>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 根据《中华人民共和国政府采购法》、《中华人民共和国招标投标法》、《中华人民共和国招标投标法实施条例》等有关法律、法规和规章的规定，本招标项目已具备招标条件，现对本招标项目施工进行招标。</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 本招标项目招标人：见投标人须知前附表。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1.1.3 本招标项目招标代理机构：见投标人须知前附表。</w:t>
      </w:r>
    </w:p>
    <w:p>
      <w:pPr>
        <w:tabs>
          <w:tab w:val="left" w:pos="7665"/>
        </w:tabs>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1.1.4本招标项目监督机构：</w:t>
      </w:r>
      <w:r>
        <w:rPr>
          <w:rFonts w:hint="eastAsia" w:ascii="仿宋" w:hAnsi="仿宋" w:eastAsia="仿宋" w:cs="仿宋"/>
          <w:sz w:val="24"/>
          <w:szCs w:val="22"/>
        </w:rPr>
        <w:t>同级人民政府财政部门及有关部门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1.1.5本招标项目建设地点：见投标人须知前附表。</w:t>
      </w:r>
    </w:p>
    <w:p>
      <w:pPr>
        <w:spacing w:line="500" w:lineRule="exact"/>
        <w:ind w:firstLine="482" w:firstLineChars="200"/>
        <w:outlineLvl w:val="2"/>
        <w:rPr>
          <w:rFonts w:hint="eastAsia" w:ascii="仿宋" w:hAnsi="仿宋" w:eastAsia="仿宋" w:cs="仿宋"/>
          <w:b/>
          <w:bCs/>
          <w:sz w:val="24"/>
          <w:szCs w:val="24"/>
        </w:rPr>
      </w:pPr>
      <w:bookmarkStart w:id="37" w:name="_Toc343"/>
      <w:bookmarkStart w:id="38" w:name="_Toc30006"/>
      <w:r>
        <w:rPr>
          <w:rFonts w:hint="eastAsia" w:ascii="仿宋" w:hAnsi="仿宋" w:eastAsia="仿宋" w:cs="仿宋"/>
          <w:b/>
          <w:bCs/>
          <w:sz w:val="24"/>
          <w:szCs w:val="24"/>
        </w:rPr>
        <w:t>1.2 资金来源和落实情况</w:t>
      </w:r>
      <w:bookmarkEnd w:id="37"/>
      <w:bookmarkEnd w:id="38"/>
    </w:p>
    <w:p>
      <w:pPr>
        <w:spacing w:line="500" w:lineRule="exact"/>
        <w:ind w:firstLine="420"/>
        <w:rPr>
          <w:rFonts w:hint="eastAsia" w:ascii="仿宋" w:hAnsi="仿宋" w:eastAsia="仿宋" w:cs="仿宋"/>
          <w:sz w:val="24"/>
        </w:rPr>
      </w:pPr>
      <w:r>
        <w:rPr>
          <w:rFonts w:hint="eastAsia" w:ascii="仿宋" w:hAnsi="仿宋" w:eastAsia="仿宋" w:cs="仿宋"/>
          <w:sz w:val="24"/>
        </w:rPr>
        <w:t>1.2.1 本招标项目的资金来源：见投标人须知前附表。</w:t>
      </w:r>
    </w:p>
    <w:p>
      <w:pPr>
        <w:spacing w:line="500" w:lineRule="exact"/>
        <w:ind w:firstLine="420"/>
        <w:rPr>
          <w:rFonts w:hint="eastAsia" w:ascii="仿宋" w:hAnsi="仿宋" w:eastAsia="仿宋" w:cs="仿宋"/>
          <w:sz w:val="24"/>
        </w:rPr>
      </w:pPr>
      <w:r>
        <w:rPr>
          <w:rFonts w:hint="eastAsia" w:ascii="仿宋" w:hAnsi="仿宋" w:eastAsia="仿宋" w:cs="仿宋"/>
          <w:sz w:val="24"/>
        </w:rPr>
        <w:t>1.2.2 本招标项目的出资比例：见投标人须知前附表。</w:t>
      </w:r>
    </w:p>
    <w:p>
      <w:pPr>
        <w:spacing w:line="500" w:lineRule="exact"/>
        <w:ind w:firstLine="420"/>
        <w:rPr>
          <w:rFonts w:hint="eastAsia" w:ascii="仿宋" w:hAnsi="仿宋" w:eastAsia="仿宋" w:cs="仿宋"/>
          <w:sz w:val="24"/>
        </w:rPr>
      </w:pPr>
      <w:r>
        <w:rPr>
          <w:rFonts w:hint="eastAsia" w:ascii="仿宋" w:hAnsi="仿宋" w:eastAsia="仿宋" w:cs="仿宋"/>
          <w:sz w:val="24"/>
        </w:rPr>
        <w:t>1.2.3 本招标项目的资金落实情况：见投标人须知前附表。</w:t>
      </w:r>
    </w:p>
    <w:p>
      <w:pPr>
        <w:spacing w:line="500" w:lineRule="exact"/>
        <w:ind w:firstLine="480" w:firstLineChars="200"/>
        <w:rPr>
          <w:rFonts w:hint="eastAsia" w:ascii="仿宋" w:hAnsi="仿宋" w:eastAsia="仿宋" w:cs="仿宋"/>
          <w:b/>
          <w:bCs/>
          <w:sz w:val="24"/>
          <w:szCs w:val="24"/>
        </w:rPr>
      </w:pPr>
      <w:r>
        <w:rPr>
          <w:rFonts w:hint="eastAsia" w:ascii="仿宋" w:hAnsi="仿宋" w:eastAsia="仿宋" w:cs="仿宋"/>
          <w:sz w:val="24"/>
        </w:rPr>
        <w:t>1.2.4 本招标项目的采购预算：见投标人须知前附表。</w:t>
      </w:r>
    </w:p>
    <w:p>
      <w:pPr>
        <w:spacing w:line="500" w:lineRule="exact"/>
        <w:ind w:firstLine="482" w:firstLineChars="200"/>
        <w:outlineLvl w:val="2"/>
        <w:rPr>
          <w:rFonts w:hint="eastAsia" w:ascii="仿宋" w:hAnsi="仿宋" w:eastAsia="仿宋" w:cs="仿宋"/>
          <w:b/>
          <w:bCs/>
          <w:sz w:val="24"/>
          <w:szCs w:val="24"/>
        </w:rPr>
      </w:pPr>
      <w:bookmarkStart w:id="39" w:name="_Toc7690"/>
      <w:bookmarkStart w:id="40" w:name="_Toc4540"/>
      <w:r>
        <w:rPr>
          <w:rFonts w:hint="eastAsia" w:ascii="仿宋" w:hAnsi="仿宋" w:eastAsia="仿宋" w:cs="仿宋"/>
          <w:b/>
          <w:bCs/>
          <w:sz w:val="24"/>
          <w:szCs w:val="24"/>
        </w:rPr>
        <w:t>1.3 招标范围、计划工期和质量</w:t>
      </w:r>
      <w:bookmarkEnd w:id="39"/>
      <w:bookmarkEnd w:id="40"/>
      <w:r>
        <w:rPr>
          <w:rFonts w:hint="eastAsia" w:ascii="仿宋" w:hAnsi="仿宋" w:eastAsia="仿宋" w:cs="仿宋"/>
          <w:b/>
          <w:bCs/>
          <w:sz w:val="24"/>
          <w:szCs w:val="24"/>
        </w:rPr>
        <w:t>标准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1.3.1 本次招标范围：见投标人须知前附表。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1.3.2 本招标项目的计划工期：</w:t>
      </w:r>
      <w:bookmarkStart w:id="41" w:name="OLE_LINK8"/>
      <w:r>
        <w:rPr>
          <w:rFonts w:hint="eastAsia" w:ascii="仿宋" w:hAnsi="仿宋" w:eastAsia="仿宋" w:cs="仿宋"/>
          <w:sz w:val="24"/>
          <w:szCs w:val="24"/>
        </w:rPr>
        <w:t>见投标人须知前附表。</w:t>
      </w:r>
      <w:bookmarkEnd w:id="41"/>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1.3.3 本招标项目的质量标准：见投标人须知前附表。</w:t>
      </w:r>
    </w:p>
    <w:p>
      <w:pPr>
        <w:spacing w:line="500" w:lineRule="exact"/>
        <w:ind w:firstLine="482" w:firstLineChars="200"/>
        <w:outlineLvl w:val="2"/>
        <w:rPr>
          <w:rFonts w:hint="eastAsia" w:ascii="仿宋" w:hAnsi="仿宋" w:eastAsia="仿宋" w:cs="仿宋"/>
          <w:b/>
          <w:bCs/>
          <w:sz w:val="24"/>
          <w:szCs w:val="24"/>
        </w:rPr>
      </w:pPr>
      <w:bookmarkStart w:id="42" w:name="_Toc10791"/>
      <w:bookmarkStart w:id="43" w:name="_Toc27134"/>
      <w:r>
        <w:rPr>
          <w:rFonts w:hint="eastAsia" w:ascii="仿宋" w:hAnsi="仿宋" w:eastAsia="仿宋" w:cs="仿宋"/>
          <w:b/>
          <w:bCs/>
          <w:sz w:val="24"/>
          <w:szCs w:val="24"/>
        </w:rPr>
        <w:t>1.4 投标人资格要求</w:t>
      </w:r>
      <w:bookmarkEnd w:id="42"/>
      <w:bookmarkEnd w:id="43"/>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1.4.1资格审查条件：见投标人须知前附表。</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1.4.2 投标人不得存在下列情形之一，否则，按有关法律、法规处理。</w:t>
      </w:r>
    </w:p>
    <w:p>
      <w:pPr>
        <w:spacing w:line="500" w:lineRule="exact"/>
        <w:ind w:firstLine="410" w:firstLineChars="171"/>
        <w:rPr>
          <w:rFonts w:hint="eastAsia" w:ascii="仿宋" w:hAnsi="仿宋" w:eastAsia="仿宋" w:cs="仿宋"/>
          <w:sz w:val="24"/>
        </w:rPr>
      </w:pPr>
      <w:r>
        <w:rPr>
          <w:rFonts w:hint="eastAsia" w:ascii="仿宋" w:hAnsi="仿宋" w:eastAsia="仿宋" w:cs="仿宋"/>
          <w:sz w:val="24"/>
        </w:rPr>
        <w:t>（1）为招标人不具有独立法人资格的附属机构（单位）；</w:t>
      </w:r>
    </w:p>
    <w:p>
      <w:pPr>
        <w:spacing w:line="500" w:lineRule="exact"/>
        <w:ind w:firstLine="410" w:firstLineChars="171"/>
        <w:rPr>
          <w:rFonts w:hint="eastAsia" w:ascii="仿宋" w:hAnsi="仿宋" w:eastAsia="仿宋" w:cs="仿宋"/>
          <w:sz w:val="24"/>
        </w:rPr>
      </w:pPr>
      <w:r>
        <w:rPr>
          <w:rFonts w:hint="eastAsia" w:ascii="仿宋" w:hAnsi="仿宋" w:eastAsia="仿宋" w:cs="仿宋"/>
          <w:sz w:val="24"/>
        </w:rPr>
        <w:t xml:space="preserve">（2）为本招标项目前期准备提供设计或咨询服务的，但设计施工总承包的除外； </w:t>
      </w:r>
    </w:p>
    <w:p>
      <w:pPr>
        <w:spacing w:line="500" w:lineRule="exact"/>
        <w:ind w:firstLine="410" w:firstLineChars="171"/>
        <w:rPr>
          <w:rFonts w:hint="eastAsia" w:ascii="仿宋" w:hAnsi="仿宋" w:eastAsia="仿宋" w:cs="仿宋"/>
          <w:sz w:val="24"/>
        </w:rPr>
      </w:pPr>
      <w:r>
        <w:rPr>
          <w:rFonts w:hint="eastAsia" w:ascii="仿宋" w:hAnsi="仿宋" w:eastAsia="仿宋" w:cs="仿宋"/>
          <w:sz w:val="24"/>
        </w:rPr>
        <w:t>（3）为本招标项目的监理人；</w:t>
      </w:r>
    </w:p>
    <w:p>
      <w:pPr>
        <w:spacing w:line="500" w:lineRule="exact"/>
        <w:ind w:firstLine="410" w:firstLineChars="171"/>
        <w:rPr>
          <w:rFonts w:hint="eastAsia" w:ascii="仿宋" w:hAnsi="仿宋" w:eastAsia="仿宋" w:cs="仿宋"/>
          <w:sz w:val="24"/>
        </w:rPr>
      </w:pPr>
      <w:r>
        <w:rPr>
          <w:rFonts w:hint="eastAsia" w:ascii="仿宋" w:hAnsi="仿宋" w:eastAsia="仿宋" w:cs="仿宋"/>
          <w:sz w:val="24"/>
        </w:rPr>
        <w:t xml:space="preserve">（4）为本招标项目的代建人； </w:t>
      </w:r>
    </w:p>
    <w:p>
      <w:pPr>
        <w:spacing w:line="500" w:lineRule="exact"/>
        <w:ind w:firstLine="410" w:firstLineChars="171"/>
        <w:rPr>
          <w:rFonts w:hint="eastAsia" w:ascii="仿宋" w:hAnsi="仿宋" w:eastAsia="仿宋" w:cs="仿宋"/>
          <w:sz w:val="24"/>
        </w:rPr>
      </w:pPr>
      <w:r>
        <w:rPr>
          <w:rFonts w:hint="eastAsia" w:ascii="仿宋" w:hAnsi="仿宋" w:eastAsia="仿宋" w:cs="仿宋"/>
          <w:sz w:val="24"/>
        </w:rPr>
        <w:t xml:space="preserve">（5）为本招标项目提供招标代理服务的； </w:t>
      </w:r>
    </w:p>
    <w:p>
      <w:pPr>
        <w:spacing w:line="500" w:lineRule="exact"/>
        <w:ind w:firstLine="410" w:firstLineChars="171"/>
        <w:rPr>
          <w:rFonts w:hint="eastAsia" w:ascii="仿宋" w:hAnsi="仿宋" w:eastAsia="仿宋" w:cs="仿宋"/>
          <w:sz w:val="24"/>
        </w:rPr>
      </w:pPr>
      <w:r>
        <w:rPr>
          <w:rFonts w:hint="eastAsia" w:ascii="仿宋" w:hAnsi="仿宋" w:eastAsia="仿宋" w:cs="仿宋"/>
          <w:sz w:val="24"/>
        </w:rPr>
        <w:t>（6）与本招标项目的监理人或代建人或招标代理机构同为一个法定代表人的；</w:t>
      </w:r>
    </w:p>
    <w:p>
      <w:pPr>
        <w:spacing w:line="500" w:lineRule="exact"/>
        <w:ind w:firstLine="410" w:firstLineChars="171"/>
        <w:rPr>
          <w:rFonts w:hint="eastAsia" w:ascii="仿宋" w:hAnsi="仿宋" w:eastAsia="仿宋" w:cs="仿宋"/>
          <w:sz w:val="24"/>
        </w:rPr>
      </w:pPr>
      <w:r>
        <w:rPr>
          <w:rFonts w:hint="eastAsia" w:ascii="仿宋" w:hAnsi="仿宋" w:eastAsia="仿宋" w:cs="仿宋"/>
          <w:sz w:val="24"/>
        </w:rPr>
        <w:t>（7）与本招标项目的监理人或代建人或招标代理机构相互控股或参股的；</w:t>
      </w:r>
    </w:p>
    <w:p>
      <w:pPr>
        <w:spacing w:line="500" w:lineRule="exact"/>
        <w:ind w:firstLine="410" w:firstLineChars="171"/>
        <w:rPr>
          <w:rFonts w:hint="eastAsia" w:ascii="仿宋" w:hAnsi="仿宋" w:eastAsia="仿宋" w:cs="仿宋"/>
          <w:sz w:val="24"/>
        </w:rPr>
      </w:pPr>
      <w:r>
        <w:rPr>
          <w:rFonts w:hint="eastAsia" w:ascii="仿宋" w:hAnsi="仿宋" w:eastAsia="仿宋" w:cs="仿宋"/>
          <w:sz w:val="24"/>
        </w:rPr>
        <w:t>（8）与本招标项目的监理人或代建人或招标代理机构相互任职或工作的；</w:t>
      </w:r>
    </w:p>
    <w:p>
      <w:pPr>
        <w:spacing w:line="500" w:lineRule="exact"/>
        <w:ind w:firstLine="410" w:firstLineChars="171"/>
        <w:rPr>
          <w:rFonts w:hint="eastAsia" w:ascii="仿宋" w:hAnsi="仿宋" w:eastAsia="仿宋" w:cs="仿宋"/>
          <w:sz w:val="24"/>
        </w:rPr>
      </w:pPr>
      <w:r>
        <w:rPr>
          <w:rFonts w:hint="eastAsia" w:ascii="仿宋" w:hAnsi="仿宋" w:eastAsia="仿宋" w:cs="仿宋"/>
          <w:sz w:val="24"/>
        </w:rPr>
        <w:t xml:space="preserve">（9）被责令停业的； </w:t>
      </w:r>
    </w:p>
    <w:p>
      <w:pPr>
        <w:spacing w:line="500" w:lineRule="exact"/>
        <w:ind w:firstLine="410" w:firstLineChars="171"/>
        <w:rPr>
          <w:rFonts w:hint="eastAsia" w:ascii="仿宋" w:hAnsi="仿宋" w:eastAsia="仿宋" w:cs="仿宋"/>
          <w:sz w:val="24"/>
        </w:rPr>
      </w:pPr>
      <w:r>
        <w:rPr>
          <w:rFonts w:hint="eastAsia" w:ascii="仿宋" w:hAnsi="仿宋" w:eastAsia="仿宋" w:cs="仿宋"/>
          <w:sz w:val="24"/>
        </w:rPr>
        <w:t xml:space="preserve">（10）被暂停或取消投标资格的； </w:t>
      </w:r>
    </w:p>
    <w:p>
      <w:pPr>
        <w:spacing w:line="500" w:lineRule="exact"/>
        <w:ind w:firstLine="410" w:firstLineChars="171"/>
        <w:rPr>
          <w:rFonts w:hint="eastAsia" w:ascii="仿宋" w:hAnsi="仿宋" w:eastAsia="仿宋" w:cs="仿宋"/>
          <w:sz w:val="24"/>
        </w:rPr>
      </w:pPr>
      <w:r>
        <w:rPr>
          <w:rFonts w:hint="eastAsia" w:ascii="仿宋" w:hAnsi="仿宋" w:eastAsia="仿宋" w:cs="仿宋"/>
          <w:sz w:val="24"/>
        </w:rPr>
        <w:t>（11）财产被接管或冻结的；</w:t>
      </w:r>
    </w:p>
    <w:p>
      <w:pPr>
        <w:spacing w:line="500" w:lineRule="exact"/>
        <w:ind w:firstLine="410" w:firstLineChars="171"/>
        <w:rPr>
          <w:rFonts w:hint="eastAsia" w:ascii="仿宋" w:hAnsi="仿宋" w:eastAsia="仿宋" w:cs="仿宋"/>
          <w:sz w:val="24"/>
        </w:rPr>
      </w:pPr>
      <w:r>
        <w:rPr>
          <w:rFonts w:hint="eastAsia" w:ascii="仿宋" w:hAnsi="仿宋" w:eastAsia="仿宋" w:cs="仿宋"/>
          <w:sz w:val="24"/>
        </w:rPr>
        <w:t>（12）在最近三年内有骗取中标或严重违约或重大工程质量问题的。</w:t>
      </w:r>
    </w:p>
    <w:p>
      <w:pPr>
        <w:spacing w:line="500" w:lineRule="exact"/>
        <w:ind w:firstLine="482" w:firstLineChars="200"/>
        <w:outlineLvl w:val="2"/>
        <w:rPr>
          <w:rFonts w:hint="eastAsia" w:ascii="仿宋" w:hAnsi="仿宋" w:eastAsia="仿宋" w:cs="仿宋"/>
          <w:b/>
          <w:bCs/>
          <w:sz w:val="24"/>
          <w:szCs w:val="24"/>
        </w:rPr>
      </w:pPr>
      <w:bookmarkStart w:id="44" w:name="_Toc28514"/>
      <w:bookmarkStart w:id="45" w:name="_Toc23849"/>
      <w:r>
        <w:rPr>
          <w:rFonts w:hint="eastAsia" w:ascii="仿宋" w:hAnsi="仿宋" w:eastAsia="仿宋" w:cs="仿宋"/>
          <w:b/>
          <w:bCs/>
          <w:sz w:val="24"/>
          <w:szCs w:val="24"/>
        </w:rPr>
        <w:t>1.5 费用承担</w:t>
      </w:r>
      <w:bookmarkEnd w:id="44"/>
      <w:bookmarkEnd w:id="45"/>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投标人准备和参加投标活动所发生的一切费用自理。</w:t>
      </w:r>
    </w:p>
    <w:p>
      <w:pPr>
        <w:spacing w:line="500" w:lineRule="exact"/>
        <w:ind w:firstLine="482" w:firstLineChars="200"/>
        <w:outlineLvl w:val="2"/>
        <w:rPr>
          <w:rFonts w:hint="eastAsia" w:ascii="仿宋" w:hAnsi="仿宋" w:eastAsia="仿宋" w:cs="仿宋"/>
          <w:b/>
          <w:bCs/>
          <w:sz w:val="24"/>
          <w:szCs w:val="24"/>
        </w:rPr>
      </w:pPr>
      <w:bookmarkStart w:id="46" w:name="_Toc1793"/>
      <w:bookmarkStart w:id="47" w:name="_Toc10985"/>
      <w:r>
        <w:rPr>
          <w:rFonts w:hint="eastAsia" w:ascii="仿宋" w:hAnsi="仿宋" w:eastAsia="仿宋" w:cs="仿宋"/>
          <w:b/>
          <w:bCs/>
          <w:sz w:val="24"/>
          <w:szCs w:val="24"/>
        </w:rPr>
        <w:t>1.6 保密</w:t>
      </w:r>
      <w:bookmarkEnd w:id="46"/>
      <w:bookmarkEnd w:id="47"/>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参与招标投标活动的各方应对招标文件和投标文件中的商业和技术等秘密保密，违者应对由此造成的后果承担法律责任。</w:t>
      </w:r>
    </w:p>
    <w:p>
      <w:pPr>
        <w:spacing w:line="500" w:lineRule="exact"/>
        <w:ind w:firstLine="482" w:firstLineChars="200"/>
        <w:outlineLvl w:val="2"/>
        <w:rPr>
          <w:rFonts w:hint="eastAsia" w:ascii="仿宋" w:hAnsi="仿宋" w:eastAsia="仿宋" w:cs="仿宋"/>
          <w:b/>
          <w:bCs/>
          <w:sz w:val="24"/>
          <w:szCs w:val="24"/>
        </w:rPr>
      </w:pPr>
      <w:bookmarkStart w:id="48" w:name="_Toc29346"/>
      <w:bookmarkStart w:id="49" w:name="_Toc9756"/>
      <w:r>
        <w:rPr>
          <w:rFonts w:hint="eastAsia" w:ascii="仿宋" w:hAnsi="仿宋" w:eastAsia="仿宋" w:cs="仿宋"/>
          <w:b/>
          <w:bCs/>
          <w:sz w:val="24"/>
          <w:szCs w:val="24"/>
        </w:rPr>
        <w:t>1.7 语言文字</w:t>
      </w:r>
      <w:bookmarkEnd w:id="48"/>
      <w:bookmarkEnd w:id="49"/>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除专用术语外，与招标投标有关的语言均使用中文。必要时专用术语应附有中文注释。</w:t>
      </w:r>
    </w:p>
    <w:p>
      <w:pPr>
        <w:spacing w:line="500" w:lineRule="exact"/>
        <w:ind w:firstLine="482" w:firstLineChars="200"/>
        <w:outlineLvl w:val="2"/>
        <w:rPr>
          <w:rFonts w:hint="eastAsia" w:ascii="仿宋" w:hAnsi="仿宋" w:eastAsia="仿宋" w:cs="仿宋"/>
          <w:b/>
          <w:bCs/>
          <w:sz w:val="24"/>
          <w:szCs w:val="24"/>
        </w:rPr>
      </w:pPr>
      <w:bookmarkStart w:id="50" w:name="_Toc6335"/>
      <w:bookmarkStart w:id="51" w:name="_Toc16086"/>
      <w:r>
        <w:rPr>
          <w:rFonts w:hint="eastAsia" w:ascii="仿宋" w:hAnsi="仿宋" w:eastAsia="仿宋" w:cs="仿宋"/>
          <w:b/>
          <w:bCs/>
          <w:sz w:val="24"/>
          <w:szCs w:val="24"/>
        </w:rPr>
        <w:t>1.8 计量单位</w:t>
      </w:r>
      <w:bookmarkEnd w:id="50"/>
      <w:bookmarkEnd w:id="51"/>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所有计量均采用中华人民共和国法定计量单位。</w:t>
      </w:r>
    </w:p>
    <w:p>
      <w:pPr>
        <w:spacing w:line="500" w:lineRule="exact"/>
        <w:ind w:firstLine="482" w:firstLineChars="200"/>
        <w:outlineLvl w:val="2"/>
        <w:rPr>
          <w:rFonts w:hint="eastAsia" w:ascii="仿宋" w:hAnsi="仿宋" w:eastAsia="仿宋" w:cs="仿宋"/>
          <w:b/>
          <w:bCs/>
          <w:sz w:val="24"/>
          <w:szCs w:val="24"/>
        </w:rPr>
      </w:pPr>
      <w:bookmarkStart w:id="52" w:name="_Toc28348"/>
      <w:bookmarkStart w:id="53" w:name="_Toc10752"/>
      <w:r>
        <w:rPr>
          <w:rFonts w:hint="eastAsia" w:ascii="仿宋" w:hAnsi="仿宋" w:eastAsia="仿宋" w:cs="仿宋"/>
          <w:b/>
          <w:bCs/>
          <w:sz w:val="24"/>
          <w:szCs w:val="24"/>
        </w:rPr>
        <w:t>1.9 踏勘现场</w:t>
      </w:r>
      <w:bookmarkEnd w:id="52"/>
      <w:bookmarkEnd w:id="53"/>
    </w:p>
    <w:p>
      <w:pPr>
        <w:spacing w:line="500" w:lineRule="exact"/>
        <w:ind w:firstLine="360" w:firstLineChars="150"/>
        <w:rPr>
          <w:rFonts w:hint="eastAsia" w:ascii="仿宋" w:hAnsi="仿宋" w:eastAsia="仿宋" w:cs="仿宋"/>
          <w:sz w:val="24"/>
        </w:rPr>
      </w:pPr>
      <w:bookmarkStart w:id="54" w:name="_Toc14629"/>
      <w:bookmarkStart w:id="55" w:name="_Toc7228"/>
      <w:r>
        <w:rPr>
          <w:rFonts w:hint="eastAsia" w:ascii="仿宋" w:hAnsi="仿宋" w:eastAsia="仿宋" w:cs="仿宋"/>
          <w:sz w:val="24"/>
        </w:rPr>
        <w:t xml:space="preserve">1.9.1 投标人须知前附表规定组织踏勘现场的，采购人按投标人须知前附表规定的时间、地点组织投标人踏勘项目现场。 </w:t>
      </w:r>
    </w:p>
    <w:p>
      <w:pPr>
        <w:spacing w:line="500" w:lineRule="exact"/>
        <w:ind w:firstLine="360" w:firstLineChars="150"/>
        <w:rPr>
          <w:rFonts w:hint="eastAsia" w:ascii="仿宋" w:hAnsi="仿宋" w:eastAsia="仿宋" w:cs="仿宋"/>
          <w:sz w:val="24"/>
        </w:rPr>
      </w:pPr>
      <w:r>
        <w:rPr>
          <w:rFonts w:hint="eastAsia" w:ascii="仿宋" w:hAnsi="仿宋" w:eastAsia="仿宋" w:cs="仿宋"/>
          <w:sz w:val="24"/>
        </w:rPr>
        <w:t>1.9.2 投标人踏勘现场发生的费用自理。</w:t>
      </w:r>
    </w:p>
    <w:p>
      <w:pPr>
        <w:spacing w:line="500" w:lineRule="exact"/>
        <w:ind w:firstLine="360" w:firstLineChars="150"/>
        <w:rPr>
          <w:rFonts w:hint="eastAsia" w:ascii="仿宋" w:hAnsi="仿宋" w:eastAsia="仿宋" w:cs="仿宋"/>
          <w:sz w:val="24"/>
        </w:rPr>
      </w:pPr>
      <w:r>
        <w:rPr>
          <w:rFonts w:hint="eastAsia" w:ascii="仿宋" w:hAnsi="仿宋" w:eastAsia="仿宋" w:cs="仿宋"/>
          <w:sz w:val="24"/>
        </w:rPr>
        <w:t>1.9.3 除招标人的原因外，投标人自行负责在踏勘现场中所发生的人员伤亡和财产损失。</w:t>
      </w:r>
    </w:p>
    <w:p>
      <w:pPr>
        <w:spacing w:line="500" w:lineRule="exact"/>
        <w:ind w:firstLine="360" w:firstLineChars="150"/>
        <w:rPr>
          <w:rFonts w:hint="eastAsia" w:ascii="仿宋" w:hAnsi="仿宋" w:eastAsia="仿宋" w:cs="仿宋"/>
          <w:sz w:val="24"/>
        </w:rPr>
      </w:pPr>
      <w:r>
        <w:rPr>
          <w:rFonts w:hint="eastAsia" w:ascii="仿宋" w:hAnsi="仿宋" w:eastAsia="仿宋" w:cs="仿宋"/>
          <w:sz w:val="24"/>
        </w:rPr>
        <w:t>1.9.4 采购人在踏勘现场中介绍的工程场地和相关的周边环境情况，供投标人在编制投标文件时参考，采购人不对投标人据此作出的判断和决策负责。</w:t>
      </w:r>
    </w:p>
    <w:p>
      <w:pPr>
        <w:spacing w:line="500" w:lineRule="exact"/>
        <w:ind w:firstLine="482" w:firstLineChars="200"/>
        <w:outlineLvl w:val="2"/>
        <w:rPr>
          <w:rFonts w:hint="eastAsia" w:ascii="仿宋" w:hAnsi="仿宋" w:eastAsia="仿宋" w:cs="仿宋"/>
          <w:sz w:val="24"/>
          <w:szCs w:val="24"/>
        </w:rPr>
      </w:pPr>
      <w:r>
        <w:rPr>
          <w:rFonts w:hint="eastAsia" w:ascii="仿宋" w:hAnsi="仿宋" w:eastAsia="仿宋" w:cs="仿宋"/>
          <w:b/>
          <w:bCs/>
          <w:sz w:val="24"/>
          <w:szCs w:val="24"/>
        </w:rPr>
        <w:t>1.10 投标答疑会</w:t>
      </w:r>
      <w:bookmarkEnd w:id="54"/>
      <w:bookmarkEnd w:id="55"/>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不召开投标答疑会，投标人对招标文件、项目概况及要求以及施工现场条件等的疑问和要求澄清的内容，均应在投标截止时间10日前以书面形式向招标代理机构提出，招标人和招标代理机构做出统一解答和必要澄清后在开标前7天以书面的《招标答疑纪要》发送所有投标人。答疑纪要为招标文件的组成部分，与招标文件具有同等法律效力。</w:t>
      </w:r>
      <w:bookmarkStart w:id="56" w:name="_Toc462213652"/>
      <w:bookmarkStart w:id="57" w:name="_Toc420591644"/>
      <w:bookmarkStart w:id="58" w:name="_Toc421778366"/>
      <w:bookmarkStart w:id="59" w:name="_Toc425240465"/>
    </w:p>
    <w:p>
      <w:pPr>
        <w:pStyle w:val="5"/>
        <w:spacing w:line="500" w:lineRule="exact"/>
        <w:ind w:firstLine="482" w:firstLineChars="200"/>
        <w:rPr>
          <w:rFonts w:hint="eastAsia" w:ascii="仿宋" w:hAnsi="仿宋" w:eastAsia="仿宋" w:cs="仿宋"/>
        </w:rPr>
      </w:pPr>
      <w:bookmarkStart w:id="60" w:name="_Toc6609"/>
      <w:bookmarkStart w:id="61" w:name="_Toc6635"/>
      <w:r>
        <w:rPr>
          <w:rFonts w:hint="eastAsia" w:ascii="仿宋" w:hAnsi="仿宋" w:eastAsia="仿宋" w:cs="仿宋"/>
        </w:rPr>
        <w:t>1.11 评标办法</w:t>
      </w:r>
      <w:bookmarkEnd w:id="56"/>
      <w:bookmarkEnd w:id="60"/>
      <w:bookmarkEnd w:id="61"/>
    </w:p>
    <w:p>
      <w:pPr>
        <w:spacing w:line="500" w:lineRule="exact"/>
        <w:ind w:firstLine="480"/>
        <w:rPr>
          <w:rFonts w:hint="eastAsia" w:ascii="仿宋" w:hAnsi="仿宋" w:eastAsia="仿宋" w:cs="仿宋"/>
          <w:sz w:val="24"/>
        </w:rPr>
      </w:pPr>
      <w:r>
        <w:rPr>
          <w:rFonts w:hint="eastAsia" w:ascii="仿宋" w:hAnsi="仿宋" w:eastAsia="仿宋" w:cs="仿宋"/>
          <w:sz w:val="24"/>
        </w:rPr>
        <w:t>1.11.1评标办法：见投标人须知前附表。</w:t>
      </w:r>
    </w:p>
    <w:p>
      <w:pPr>
        <w:spacing w:line="500" w:lineRule="exact"/>
        <w:ind w:firstLine="480"/>
        <w:rPr>
          <w:rFonts w:hint="eastAsia" w:ascii="仿宋" w:hAnsi="仿宋" w:eastAsia="仿宋" w:cs="仿宋"/>
          <w:b/>
          <w:bCs/>
          <w:sz w:val="24"/>
        </w:rPr>
      </w:pPr>
      <w:r>
        <w:rPr>
          <w:rFonts w:hint="eastAsia" w:ascii="仿宋" w:hAnsi="仿宋" w:eastAsia="仿宋" w:cs="仿宋"/>
          <w:sz w:val="24"/>
        </w:rPr>
        <w:t>1.11.2评标细则：详见第三章</w:t>
      </w:r>
      <w:r>
        <w:rPr>
          <w:rFonts w:hint="eastAsia" w:ascii="仿宋" w:hAnsi="仿宋" w:eastAsia="仿宋" w:cs="仿宋"/>
          <w:b/>
          <w:bCs/>
          <w:sz w:val="24"/>
        </w:rPr>
        <w:t>。</w:t>
      </w:r>
    </w:p>
    <w:p>
      <w:pPr>
        <w:pStyle w:val="5"/>
        <w:spacing w:line="500" w:lineRule="exact"/>
        <w:ind w:firstLine="482" w:firstLineChars="200"/>
        <w:rPr>
          <w:rFonts w:hint="eastAsia" w:ascii="仿宋" w:hAnsi="仿宋" w:eastAsia="仿宋" w:cs="仿宋"/>
        </w:rPr>
      </w:pPr>
      <w:bookmarkStart w:id="62" w:name="_Toc2090"/>
      <w:bookmarkStart w:id="63" w:name="_Toc462213653"/>
      <w:bookmarkStart w:id="64" w:name="_Toc5572"/>
      <w:r>
        <w:rPr>
          <w:rFonts w:hint="eastAsia" w:ascii="仿宋" w:hAnsi="仿宋" w:eastAsia="仿宋" w:cs="仿宋"/>
        </w:rPr>
        <w:t>1.12 分包</w:t>
      </w:r>
      <w:bookmarkEnd w:id="62"/>
      <w:bookmarkEnd w:id="63"/>
      <w:bookmarkEnd w:id="64"/>
    </w:p>
    <w:p>
      <w:pPr>
        <w:spacing w:line="500" w:lineRule="exact"/>
        <w:ind w:firstLine="420"/>
        <w:rPr>
          <w:rFonts w:hint="eastAsia" w:ascii="仿宋" w:hAnsi="仿宋" w:eastAsia="仿宋" w:cs="仿宋"/>
          <w:sz w:val="24"/>
        </w:rPr>
      </w:pPr>
      <w:r>
        <w:rPr>
          <w:rFonts w:hint="eastAsia" w:ascii="仿宋" w:hAnsi="仿宋" w:eastAsia="仿宋" w:cs="仿宋"/>
          <w:sz w:val="24"/>
        </w:rPr>
        <w:t>本项目不允许分包。</w:t>
      </w:r>
    </w:p>
    <w:p>
      <w:pPr>
        <w:pStyle w:val="5"/>
        <w:spacing w:line="500" w:lineRule="exact"/>
        <w:ind w:firstLine="482" w:firstLineChars="200"/>
        <w:rPr>
          <w:rFonts w:hint="eastAsia" w:ascii="仿宋" w:hAnsi="仿宋" w:eastAsia="仿宋" w:cs="仿宋"/>
        </w:rPr>
      </w:pPr>
      <w:bookmarkStart w:id="65" w:name="_Toc28423"/>
      <w:bookmarkStart w:id="66" w:name="_Toc6698"/>
      <w:r>
        <w:rPr>
          <w:rFonts w:hint="eastAsia" w:ascii="仿宋" w:hAnsi="仿宋" w:eastAsia="仿宋" w:cs="仿宋"/>
        </w:rPr>
        <w:t>1.13偏离</w:t>
      </w:r>
      <w:bookmarkEnd w:id="65"/>
      <w:bookmarkEnd w:id="66"/>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不满足评标办法中初步评审标准的，视为发生重大偏离，其投标被否决。其余偏离视为细微偏离，评标委员会将通过澄清方式对细微偏离进行澄清或修改。</w:t>
      </w:r>
    </w:p>
    <w:p>
      <w:pPr>
        <w:spacing w:line="500" w:lineRule="exact"/>
        <w:jc w:val="left"/>
        <w:outlineLvl w:val="1"/>
        <w:rPr>
          <w:rFonts w:hint="eastAsia" w:ascii="仿宋" w:hAnsi="仿宋" w:eastAsia="仿宋" w:cs="仿宋"/>
          <w:b/>
          <w:bCs/>
          <w:sz w:val="24"/>
          <w:szCs w:val="24"/>
        </w:rPr>
      </w:pPr>
      <w:bookmarkStart w:id="67" w:name="_Toc25251"/>
      <w:bookmarkStart w:id="68" w:name="_Toc14937"/>
      <w:r>
        <w:rPr>
          <w:rFonts w:hint="eastAsia" w:ascii="仿宋" w:hAnsi="仿宋" w:eastAsia="仿宋" w:cs="仿宋"/>
          <w:b/>
          <w:bCs/>
          <w:sz w:val="24"/>
          <w:szCs w:val="24"/>
        </w:rPr>
        <w:t>2．招标文件</w:t>
      </w:r>
      <w:bookmarkEnd w:id="57"/>
      <w:bookmarkEnd w:id="58"/>
      <w:bookmarkEnd w:id="59"/>
      <w:bookmarkEnd w:id="67"/>
      <w:bookmarkEnd w:id="68"/>
    </w:p>
    <w:p>
      <w:pPr>
        <w:spacing w:line="500" w:lineRule="exact"/>
        <w:ind w:firstLine="482" w:firstLineChars="200"/>
        <w:outlineLvl w:val="2"/>
        <w:rPr>
          <w:rFonts w:hint="eastAsia" w:ascii="仿宋" w:hAnsi="仿宋" w:eastAsia="仿宋" w:cs="仿宋"/>
          <w:b/>
          <w:bCs/>
          <w:sz w:val="24"/>
          <w:szCs w:val="24"/>
        </w:rPr>
      </w:pPr>
      <w:bookmarkStart w:id="69" w:name="_Toc4031"/>
      <w:bookmarkStart w:id="70" w:name="_Toc22469"/>
      <w:r>
        <w:rPr>
          <w:rFonts w:hint="eastAsia" w:ascii="仿宋" w:hAnsi="仿宋" w:eastAsia="仿宋" w:cs="仿宋"/>
          <w:b/>
          <w:bCs/>
          <w:sz w:val="24"/>
          <w:szCs w:val="24"/>
        </w:rPr>
        <w:t>2.1 招标文件的组成</w:t>
      </w:r>
      <w:bookmarkEnd w:id="69"/>
      <w:bookmarkEnd w:id="70"/>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本招标文件包括：</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(1）招标公告；</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(2）投标人须知；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(3）评标办法；</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(4）合同条款及格式；</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(5）项目概况及要求；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(6）投标文件格式。</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根据本章第1.10 款和第2.2 款对招标文件所作的澄清、修改，构成招标文件的组成部分。</w:t>
      </w:r>
    </w:p>
    <w:p>
      <w:pPr>
        <w:spacing w:line="500" w:lineRule="exact"/>
        <w:ind w:firstLine="482" w:firstLineChars="200"/>
        <w:outlineLvl w:val="2"/>
        <w:rPr>
          <w:rFonts w:hint="eastAsia" w:ascii="仿宋" w:hAnsi="仿宋" w:eastAsia="仿宋" w:cs="仿宋"/>
          <w:b/>
          <w:bCs/>
          <w:sz w:val="24"/>
          <w:szCs w:val="24"/>
        </w:rPr>
      </w:pPr>
      <w:bookmarkStart w:id="71" w:name="_Toc12033"/>
      <w:bookmarkStart w:id="72" w:name="_Toc13127"/>
      <w:r>
        <w:rPr>
          <w:rFonts w:hint="eastAsia" w:ascii="仿宋" w:hAnsi="仿宋" w:eastAsia="仿宋" w:cs="仿宋"/>
          <w:b/>
          <w:bCs/>
          <w:sz w:val="24"/>
          <w:szCs w:val="24"/>
        </w:rPr>
        <w:t>2.2 招标文件的澄清及修改</w:t>
      </w:r>
      <w:bookmarkEnd w:id="71"/>
      <w:bookmarkEnd w:id="72"/>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2.2.1采购人或采购代理机构如果对已发出的招标文件进行必要的澄清或者修改，将在原公告发布媒体上发布澄清公告。澄清或者修改的内容为招标文件的组成部分。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2.2.2澄清或者修改的内容可能影响投标文件编制的，采购代理机构将在投标截止时间至少15日前，以书面形式通知所有获取招标文件的潜在投标人；不足15日的，采购代理机构将顺延提交投标文件的截止时间。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2.2.3已经获取招标文件的投标人对招标文件有疑问的，</w:t>
      </w:r>
      <w:r>
        <w:rPr>
          <w:rFonts w:hint="eastAsia" w:ascii="仿宋" w:hAnsi="仿宋" w:eastAsia="仿宋" w:cs="仿宋"/>
          <w:sz w:val="24"/>
        </w:rPr>
        <w:t>均应在投标截止日前10日内以书面形式向采购代理机构提出，</w:t>
      </w:r>
      <w:r>
        <w:rPr>
          <w:rFonts w:hint="eastAsia" w:ascii="仿宋" w:hAnsi="仿宋" w:eastAsia="仿宋" w:cs="仿宋"/>
          <w:sz w:val="24"/>
          <w:szCs w:val="24"/>
        </w:rPr>
        <w:t>采购代理机构将在3日内采用适当方式予以澄清或以书面形式予以答复。</w:t>
      </w:r>
    </w:p>
    <w:p>
      <w:pPr>
        <w:spacing w:line="50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2.2.4投标人在收到上述通知后，应立即向招标代理机构回函确认。</w:t>
      </w:r>
    </w:p>
    <w:p>
      <w:pPr>
        <w:spacing w:line="500" w:lineRule="exact"/>
        <w:jc w:val="left"/>
        <w:outlineLvl w:val="1"/>
        <w:rPr>
          <w:rFonts w:hint="eastAsia" w:ascii="仿宋" w:hAnsi="仿宋" w:eastAsia="仿宋" w:cs="仿宋"/>
          <w:b/>
          <w:bCs/>
          <w:sz w:val="24"/>
          <w:szCs w:val="24"/>
        </w:rPr>
      </w:pPr>
      <w:bookmarkStart w:id="73" w:name="_Toc12195"/>
      <w:bookmarkStart w:id="74" w:name="_Toc421778367"/>
      <w:bookmarkStart w:id="75" w:name="_Toc28395"/>
      <w:bookmarkStart w:id="76" w:name="_Toc425240466"/>
      <w:bookmarkStart w:id="77" w:name="_Toc420591645"/>
      <w:r>
        <w:rPr>
          <w:rFonts w:hint="eastAsia" w:ascii="仿宋" w:hAnsi="仿宋" w:eastAsia="仿宋" w:cs="仿宋"/>
          <w:b/>
          <w:bCs/>
          <w:sz w:val="24"/>
          <w:szCs w:val="24"/>
        </w:rPr>
        <w:t>3．投标文件</w:t>
      </w:r>
      <w:bookmarkEnd w:id="73"/>
      <w:bookmarkEnd w:id="74"/>
      <w:bookmarkEnd w:id="75"/>
      <w:bookmarkEnd w:id="76"/>
      <w:bookmarkEnd w:id="77"/>
    </w:p>
    <w:p>
      <w:pPr>
        <w:pStyle w:val="10"/>
        <w:spacing w:line="500" w:lineRule="exact"/>
        <w:ind w:firstLine="482" w:firstLineChars="200"/>
        <w:outlineLvl w:val="2"/>
        <w:rPr>
          <w:rFonts w:hint="eastAsia" w:ascii="仿宋" w:hAnsi="仿宋" w:eastAsia="仿宋" w:cs="仿宋"/>
          <w:b/>
          <w:bCs/>
          <w:sz w:val="24"/>
          <w:szCs w:val="24"/>
        </w:rPr>
      </w:pPr>
      <w:bookmarkStart w:id="78" w:name="_Toc25037"/>
      <w:bookmarkStart w:id="79" w:name="_Toc20313"/>
      <w:r>
        <w:rPr>
          <w:rFonts w:hint="eastAsia" w:ascii="仿宋" w:hAnsi="仿宋" w:eastAsia="仿宋" w:cs="仿宋"/>
          <w:b/>
          <w:bCs/>
          <w:sz w:val="24"/>
          <w:szCs w:val="24"/>
        </w:rPr>
        <w:t>3.1 投标文件的要求</w:t>
      </w:r>
      <w:bookmarkEnd w:id="78"/>
      <w:bookmarkEnd w:id="79"/>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3.1.1 投标文件应包括下列内容：</w:t>
      </w:r>
    </w:p>
    <w:p>
      <w:pPr>
        <w:spacing w:line="5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第一部分    商务标</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一、投标函</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二、开标一览表</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三、法定代表人身份证明</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四、法人授权委托书</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五、商务响应与说明</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六、承诺书</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七、招标文件要求的其他文件或承诺</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八、其他可以证明投标人实力的文件</w:t>
      </w:r>
    </w:p>
    <w:p>
      <w:pPr>
        <w:spacing w:line="5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第二部分    技术标</w:t>
      </w:r>
    </w:p>
    <w:p>
      <w:pPr>
        <w:spacing w:line="5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第三部分    资格标</w:t>
      </w:r>
    </w:p>
    <w:p>
      <w:pPr>
        <w:spacing w:line="50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一、投标人的基本情况介绍和资格声明</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二、投标人资格证明文件</w:t>
      </w:r>
    </w:p>
    <w:p>
      <w:pPr>
        <w:spacing w:line="500" w:lineRule="exact"/>
        <w:ind w:firstLine="482" w:firstLineChars="200"/>
        <w:outlineLvl w:val="2"/>
        <w:rPr>
          <w:rFonts w:hint="eastAsia" w:ascii="仿宋" w:hAnsi="仿宋" w:eastAsia="仿宋" w:cs="仿宋"/>
          <w:b/>
          <w:bCs/>
          <w:sz w:val="24"/>
          <w:szCs w:val="24"/>
        </w:rPr>
      </w:pPr>
      <w:bookmarkStart w:id="80" w:name="_Toc3633"/>
      <w:bookmarkStart w:id="81" w:name="_Toc11654"/>
      <w:r>
        <w:rPr>
          <w:rFonts w:hint="eastAsia" w:ascii="仿宋" w:hAnsi="仿宋" w:eastAsia="仿宋" w:cs="仿宋"/>
          <w:b/>
          <w:bCs/>
          <w:sz w:val="24"/>
          <w:szCs w:val="24"/>
        </w:rPr>
        <w:t>3.2 投标报价</w:t>
      </w:r>
      <w:bookmarkEnd w:id="80"/>
      <w:bookmarkEnd w:id="81"/>
    </w:p>
    <w:p>
      <w:pPr>
        <w:spacing w:line="500" w:lineRule="exact"/>
        <w:ind w:firstLine="496" w:firstLineChars="207"/>
        <w:rPr>
          <w:rFonts w:hint="eastAsia" w:ascii="仿宋" w:hAnsi="仿宋" w:eastAsia="仿宋" w:cs="仿宋"/>
          <w:color w:val="FF0000"/>
          <w:sz w:val="24"/>
          <w:szCs w:val="24"/>
        </w:rPr>
      </w:pPr>
      <w:r>
        <w:rPr>
          <w:rFonts w:hint="eastAsia" w:ascii="仿宋" w:hAnsi="仿宋" w:eastAsia="仿宋" w:cs="仿宋"/>
          <w:sz w:val="24"/>
          <w:szCs w:val="24"/>
        </w:rPr>
        <w:t>3.2.1工程计价方式：见投标人须知前附表</w:t>
      </w:r>
    </w:p>
    <w:p>
      <w:pPr>
        <w:spacing w:line="500" w:lineRule="exact"/>
        <w:ind w:firstLine="496" w:firstLineChars="207"/>
        <w:rPr>
          <w:rFonts w:hint="eastAsia" w:ascii="仿宋" w:hAnsi="仿宋" w:eastAsia="仿宋" w:cs="仿宋"/>
          <w:sz w:val="24"/>
          <w:szCs w:val="24"/>
        </w:rPr>
      </w:pPr>
      <w:r>
        <w:rPr>
          <w:rFonts w:hint="eastAsia" w:ascii="仿宋" w:hAnsi="仿宋" w:eastAsia="仿宋" w:cs="仿宋"/>
          <w:sz w:val="24"/>
          <w:szCs w:val="24"/>
        </w:rPr>
        <w:t>3.2.2 投标人应按第五章“项目概况及要求”的要求填写。</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3.2.3投标报价应按照项目概况及要求、补充通知、答疑纪要、合同条款、施工现场实际情况、拟定的施工方案或施工组织设计的相关内容及要求，并在满足招标文件要求的前提下，结合企业自身技术力量、设备装备水平、企业管理水平、市场价格行情自主报价。组价时应充分考虑相关费用在施工期间的政策调整、市场变动幅度、自然灾害、停电、停水、停工、窝工、施工现场条件及施工过程中发生的不可预见的风险因素，中标后综合单价不可作调整。</w:t>
      </w:r>
    </w:p>
    <w:p>
      <w:pPr>
        <w:spacing w:line="500" w:lineRule="exact"/>
        <w:ind w:firstLine="496" w:firstLineChars="207"/>
        <w:rPr>
          <w:rFonts w:hint="eastAsia" w:ascii="仿宋" w:hAnsi="仿宋" w:eastAsia="仿宋" w:cs="仿宋"/>
          <w:sz w:val="24"/>
          <w:szCs w:val="24"/>
        </w:rPr>
      </w:pPr>
      <w:r>
        <w:rPr>
          <w:rFonts w:hint="eastAsia" w:ascii="仿宋" w:hAnsi="仿宋" w:eastAsia="仿宋" w:cs="仿宋"/>
          <w:sz w:val="24"/>
          <w:szCs w:val="24"/>
        </w:rPr>
        <w:t>3.2.4</w:t>
      </w:r>
      <w:bookmarkStart w:id="82" w:name="OLE_LINK44"/>
      <w:r>
        <w:rPr>
          <w:rFonts w:hint="eastAsia" w:ascii="仿宋" w:hAnsi="仿宋" w:eastAsia="仿宋" w:cs="仿宋"/>
          <w:sz w:val="24"/>
          <w:szCs w:val="24"/>
        </w:rPr>
        <w:t>本工程计划开工日期：见投标人须知前附表，投标组价时应妥善考虑，正式施工时固定综合单价不因国家法律、行政法规和国家政策变化及原材料市场价发生变化等进行调整。</w:t>
      </w:r>
    </w:p>
    <w:bookmarkEnd w:id="82"/>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w:t>
      </w:r>
      <w:bookmarkStart w:id="83" w:name="OLE_LINK24"/>
      <w:r>
        <w:rPr>
          <w:rFonts w:hint="eastAsia" w:ascii="仿宋" w:hAnsi="仿宋" w:eastAsia="仿宋" w:cs="仿宋"/>
          <w:sz w:val="24"/>
          <w:szCs w:val="24"/>
        </w:rPr>
        <w:t>5投标人应按招标文件中提供的单价限价进行计价，不得修改工程量。</w:t>
      </w:r>
    </w:p>
    <w:bookmarkEnd w:id="83"/>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3.2.6除非招标人或招标代理机构对招标文件予以修改，投标人应按本招标文件要求，依据招标文件要求规定的计价办法填报单价和合价。每一分项工程只允许有一个报价，任何有选择的报价将不予接受。投标人未填单价或合价的分项工程（零报价），视为该项费用已包括在其他价款的单价或合价内，并在工程实施后，招标人将不予支付，承包人必须按发包人代表指令完成清单中未填入单价或合价的工程分项；若投标人未填单价或合价的工程分项在实施中发生变更，无论变更增加或减少均按合同约定执行而且必须无条件执行发包人发出的变更通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3.2.7投标人应先到工地踏勘以充分了解项目位置、现状、道路、储存空间、装卸限制及任何其他足以影响投标价的情况，任何因投标人忽视或误解工地情况而导致的其提出的任何索赔或工期延长申请将不被批准。凡因投标人对招标文件阅读疏忽或误解，或因对施工现场、施工环境、市场行情等了解不清而造成的后果和风险，均由投标人负责。</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3.2.8编制投标报价的其他约定</w:t>
      </w:r>
    </w:p>
    <w:p>
      <w:pPr>
        <w:spacing w:line="500" w:lineRule="exact"/>
        <w:ind w:firstLine="480" w:firstLineChars="200"/>
        <w:rPr>
          <w:rFonts w:hint="eastAsia" w:ascii="仿宋" w:hAnsi="仿宋" w:eastAsia="仿宋" w:cs="仿宋"/>
          <w:sz w:val="24"/>
          <w:szCs w:val="24"/>
        </w:rPr>
      </w:pPr>
      <w:bookmarkStart w:id="84" w:name="OLE_LINK21"/>
      <w:r>
        <w:rPr>
          <w:rFonts w:hint="eastAsia" w:ascii="仿宋" w:hAnsi="仿宋" w:eastAsia="仿宋" w:cs="仿宋"/>
          <w:sz w:val="24"/>
          <w:szCs w:val="24"/>
        </w:rPr>
        <w:t>3.2.8.</w:t>
      </w:r>
      <w:bookmarkEnd w:id="84"/>
      <w:r>
        <w:rPr>
          <w:rFonts w:hint="eastAsia" w:ascii="仿宋" w:hAnsi="仿宋" w:eastAsia="仿宋" w:cs="仿宋"/>
          <w:sz w:val="24"/>
          <w:szCs w:val="24"/>
        </w:rPr>
        <w:t>1投标人根据自行确定的施工组织设计或施工方案进行自主报价。</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3.2.8.2投标人应针对拟建工程编制保证安全施工、文明施工和环境保护的技术措施方案，并按招标文件的措施项目清单提供的数量报价。</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3.2.8.3规费、税金为不可竞争费，投标人不可随意改动，按规定标准计取。</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3.2.8.4投标人因承包本合同工程需缴纳的一切税费均由投标人自行承担，并包含在所报的单价或总价内。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3.2.8.5投标人应为建设工程和施工场地内自有人员及第三方人员生命财产及运至施工场地内用于工程的材料和待安装设备办理保险，投标人的投标价中应含的保险费，承包人装备险和承包人职工的（人身）事故险由投标人在其他项目清单保险费栏内自主列报，中标后包干使用。施工期间在施工区域内因非招标人原因发生的设备、材料、人员等的损害、伤害，招标人不再承担任何责任和费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3.2.8.6投标报价中的总价要与综合单价相对应。所有清单每个项目报价中的单价乘以工程量必须等于该项合价，合价累计必须等于合计。</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3.2.8.7投标函中的投标报价应与“投标总价”表中的投标总价数字相符，不允许在投标文件中出现两个报价。任何有选择的报价将不予接受,否则按无效投标处理。</w:t>
      </w:r>
      <w:bookmarkStart w:id="85" w:name="OLE_LINK113"/>
      <w:bookmarkStart w:id="86" w:name="OLE_LINK64"/>
      <w:bookmarkStart w:id="87" w:name="OLE_LINK20"/>
      <w:bookmarkStart w:id="88" w:name="OLE_LINK63"/>
      <w:bookmarkStart w:id="89" w:name="OLE_LINK74"/>
      <w:bookmarkStart w:id="90" w:name="OLE_LINK114"/>
    </w:p>
    <w:bookmarkEnd w:id="85"/>
    <w:bookmarkEnd w:id="86"/>
    <w:bookmarkEnd w:id="87"/>
    <w:bookmarkEnd w:id="88"/>
    <w:bookmarkEnd w:id="89"/>
    <w:bookmarkEnd w:id="90"/>
    <w:p>
      <w:pPr>
        <w:spacing w:line="500" w:lineRule="exact"/>
        <w:ind w:firstLine="482" w:firstLineChars="200"/>
        <w:outlineLvl w:val="2"/>
        <w:rPr>
          <w:rFonts w:hint="eastAsia" w:ascii="仿宋" w:hAnsi="仿宋" w:eastAsia="仿宋" w:cs="仿宋"/>
          <w:b/>
          <w:bCs/>
          <w:sz w:val="24"/>
          <w:szCs w:val="24"/>
        </w:rPr>
      </w:pPr>
      <w:bookmarkStart w:id="91" w:name="_Toc10242"/>
      <w:bookmarkStart w:id="92" w:name="_Toc25373"/>
      <w:r>
        <w:rPr>
          <w:rFonts w:hint="eastAsia" w:ascii="仿宋" w:hAnsi="仿宋" w:eastAsia="仿宋" w:cs="仿宋"/>
          <w:b/>
          <w:bCs/>
          <w:sz w:val="24"/>
          <w:szCs w:val="24"/>
        </w:rPr>
        <w:t>3.3 投标有效期</w:t>
      </w:r>
      <w:bookmarkEnd w:id="91"/>
      <w:bookmarkEnd w:id="92"/>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3.3.1 在投标人须知前附表规定的投标有效期内，投标人不得要求撤销或修改其投标文件。</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3.3.2 出现特殊情况需要延长投标有效期的，招标人以书面形式通知所有投标人延长投标有效期。</w:t>
      </w:r>
    </w:p>
    <w:p>
      <w:pPr>
        <w:spacing w:line="500" w:lineRule="exact"/>
        <w:ind w:firstLine="482" w:firstLineChars="200"/>
        <w:outlineLvl w:val="2"/>
        <w:rPr>
          <w:rFonts w:hint="eastAsia" w:ascii="仿宋" w:hAnsi="仿宋" w:eastAsia="仿宋" w:cs="仿宋"/>
          <w:b/>
          <w:bCs/>
          <w:sz w:val="24"/>
          <w:szCs w:val="24"/>
        </w:rPr>
      </w:pPr>
      <w:bookmarkStart w:id="93" w:name="_Toc23174"/>
      <w:bookmarkStart w:id="94" w:name="_Toc21169"/>
      <w:r>
        <w:rPr>
          <w:rFonts w:hint="eastAsia" w:ascii="仿宋" w:hAnsi="仿宋" w:eastAsia="仿宋" w:cs="仿宋"/>
          <w:b/>
          <w:bCs/>
          <w:sz w:val="24"/>
          <w:szCs w:val="24"/>
        </w:rPr>
        <w:t>3.4 投标保证金</w:t>
      </w:r>
      <w:bookmarkEnd w:id="93"/>
      <w:bookmarkEnd w:id="94"/>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3.4.1本项目不要求提交投标保证金。</w:t>
      </w:r>
    </w:p>
    <w:p>
      <w:pPr>
        <w:spacing w:line="500" w:lineRule="exact"/>
        <w:ind w:firstLine="482" w:firstLineChars="200"/>
        <w:outlineLvl w:val="2"/>
        <w:rPr>
          <w:rFonts w:hint="eastAsia" w:ascii="仿宋" w:hAnsi="仿宋" w:eastAsia="仿宋" w:cs="仿宋"/>
          <w:b/>
          <w:bCs/>
          <w:sz w:val="24"/>
          <w:szCs w:val="24"/>
        </w:rPr>
      </w:pPr>
      <w:bookmarkStart w:id="95" w:name="_Toc14511"/>
      <w:bookmarkStart w:id="96" w:name="_Toc17524"/>
      <w:r>
        <w:rPr>
          <w:rFonts w:hint="eastAsia" w:ascii="仿宋" w:hAnsi="仿宋" w:eastAsia="仿宋" w:cs="仿宋"/>
          <w:b/>
          <w:bCs/>
          <w:sz w:val="24"/>
          <w:szCs w:val="24"/>
        </w:rPr>
        <w:t>3.5备选投标方案</w:t>
      </w:r>
      <w:bookmarkEnd w:id="95"/>
      <w:bookmarkEnd w:id="96"/>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除投标人须知前附表另有规定外，投标人不得递交备选投标方案。</w:t>
      </w:r>
    </w:p>
    <w:p>
      <w:pPr>
        <w:spacing w:line="500" w:lineRule="exact"/>
        <w:ind w:firstLine="482" w:firstLineChars="200"/>
        <w:outlineLvl w:val="2"/>
        <w:rPr>
          <w:rFonts w:hint="eastAsia" w:ascii="仿宋" w:hAnsi="仿宋" w:eastAsia="仿宋" w:cs="仿宋"/>
          <w:b/>
          <w:bCs/>
          <w:sz w:val="24"/>
          <w:szCs w:val="24"/>
        </w:rPr>
      </w:pPr>
      <w:bookmarkStart w:id="97" w:name="_Toc30537"/>
      <w:bookmarkStart w:id="98" w:name="_Toc15902"/>
      <w:r>
        <w:rPr>
          <w:rFonts w:hint="eastAsia" w:ascii="仿宋" w:hAnsi="仿宋" w:eastAsia="仿宋" w:cs="仿宋"/>
          <w:b/>
          <w:bCs/>
          <w:sz w:val="24"/>
          <w:szCs w:val="24"/>
        </w:rPr>
        <w:t>3.6投标文件的编制</w:t>
      </w:r>
      <w:bookmarkEnd w:id="97"/>
      <w:bookmarkEnd w:id="98"/>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3.6.1 投标文件应按“投标文件格式”进行编写，如有必要，可以增加附页，作为投标文件的组成部分。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3.6.2 投标文件应当对招标文件有关工期、投标有效期、质量要求、技术标准和要求、招标范围等实质性内容作出响应。</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3.6.3 投标文件应用不褪色的材料书写或打印，并由投标人的法定代表人或其委托代理人签字或盖章。委托代理人签字的，投标文件应附法定代表人签署的授权委托书。投标文件应尽量避免涂改、行间插字或删除。如果出现上述情况，改动之处应加盖投标人公章或由投标人的法定代表人或其授权的代理人签字确认。所有要求签字（名）处，均须由签字（名）者本人用不褪色的蓝(黑)色墨水(汁)书写，不得用任何形式的图章代替。</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3.6.4 投标文件正本、副本、电子版、开标一览表份数及要求详见“投标人须知前附表”。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3.6.5 所有投标文件正本须按第六章规定的顺序编排、编制目录逐页标注连续页码，并分别胶装成册。</w:t>
      </w:r>
    </w:p>
    <w:p>
      <w:pPr>
        <w:spacing w:line="500" w:lineRule="exact"/>
        <w:jc w:val="left"/>
        <w:outlineLvl w:val="1"/>
        <w:rPr>
          <w:rFonts w:hint="eastAsia" w:ascii="仿宋" w:hAnsi="仿宋" w:eastAsia="仿宋" w:cs="仿宋"/>
          <w:b/>
          <w:bCs/>
          <w:sz w:val="24"/>
          <w:szCs w:val="24"/>
        </w:rPr>
      </w:pPr>
      <w:bookmarkStart w:id="99" w:name="_Toc16810"/>
      <w:bookmarkStart w:id="100" w:name="_Toc420591646"/>
      <w:bookmarkStart w:id="101" w:name="_Toc421778368"/>
      <w:bookmarkStart w:id="102" w:name="_Toc425240467"/>
      <w:bookmarkStart w:id="103" w:name="_Toc29425"/>
      <w:r>
        <w:rPr>
          <w:rFonts w:hint="eastAsia" w:ascii="仿宋" w:hAnsi="仿宋" w:eastAsia="仿宋" w:cs="仿宋"/>
          <w:b/>
          <w:bCs/>
          <w:sz w:val="24"/>
          <w:szCs w:val="24"/>
        </w:rPr>
        <w:t>4．投标</w:t>
      </w:r>
      <w:bookmarkEnd w:id="99"/>
      <w:bookmarkEnd w:id="100"/>
      <w:bookmarkEnd w:id="101"/>
      <w:bookmarkEnd w:id="102"/>
      <w:bookmarkEnd w:id="103"/>
    </w:p>
    <w:p>
      <w:pPr>
        <w:spacing w:line="500" w:lineRule="exact"/>
        <w:ind w:firstLine="482" w:firstLineChars="200"/>
        <w:outlineLvl w:val="2"/>
        <w:rPr>
          <w:rFonts w:hint="eastAsia" w:ascii="仿宋" w:hAnsi="仿宋" w:eastAsia="仿宋" w:cs="仿宋"/>
          <w:b/>
          <w:bCs/>
          <w:sz w:val="24"/>
          <w:szCs w:val="24"/>
        </w:rPr>
      </w:pPr>
      <w:bookmarkStart w:id="104" w:name="_Toc2086"/>
      <w:bookmarkStart w:id="105" w:name="_Toc22127"/>
      <w:r>
        <w:rPr>
          <w:rFonts w:hint="eastAsia" w:ascii="仿宋" w:hAnsi="仿宋" w:eastAsia="仿宋" w:cs="仿宋"/>
          <w:b/>
          <w:bCs/>
          <w:sz w:val="24"/>
          <w:szCs w:val="24"/>
        </w:rPr>
        <w:t>4.1 投标文件的密封和标记</w:t>
      </w:r>
      <w:bookmarkEnd w:id="104"/>
      <w:bookmarkEnd w:id="105"/>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4.1.1为方便开标唱标，开标一览表除投标文件内装订外，再单独制作一份密封在封袋中。封线处加贴封条并加盖投标人公章，封袋正面要粘贴标识，单独递交（该单独密封开标一览表的投标报价必须与投标文件正本中的开标一览表（报价表）的投标报价一致，若不一致，则按单独密封的开标一览表为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szCs w:val="24"/>
        </w:rPr>
        <w:t>4.1.2</w:t>
      </w:r>
      <w:r>
        <w:rPr>
          <w:rFonts w:hint="eastAsia" w:ascii="仿宋" w:hAnsi="仿宋" w:eastAsia="仿宋" w:cs="仿宋"/>
          <w:sz w:val="24"/>
        </w:rPr>
        <w:t>投标文件密封要求见投标人须知前附表。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rPr>
        <w:t>4.1.3封套要求见投标人须知前附表。</w:t>
      </w:r>
    </w:p>
    <w:p>
      <w:pPr>
        <w:spacing w:line="500" w:lineRule="exact"/>
        <w:ind w:firstLine="480" w:firstLineChars="200"/>
        <w:rPr>
          <w:rFonts w:hint="eastAsia" w:ascii="仿宋" w:hAnsi="仿宋" w:eastAsia="仿宋" w:cs="仿宋"/>
          <w:sz w:val="24"/>
        </w:rPr>
      </w:pPr>
      <w:bookmarkStart w:id="106" w:name="_Toc23367"/>
      <w:bookmarkStart w:id="107" w:name="_Toc12225"/>
      <w:r>
        <w:rPr>
          <w:rFonts w:hint="eastAsia" w:ascii="仿宋" w:hAnsi="仿宋" w:eastAsia="仿宋" w:cs="仿宋"/>
          <w:sz w:val="24"/>
        </w:rPr>
        <w:t>4.1.4如果投标人未对投标文件按上述要求进行完好密封，由此产生的不利后果由投标人自行承担。</w:t>
      </w:r>
    </w:p>
    <w:p>
      <w:pPr>
        <w:spacing w:line="500" w:lineRule="exact"/>
        <w:ind w:firstLine="482" w:firstLineChars="200"/>
        <w:outlineLvl w:val="2"/>
        <w:rPr>
          <w:rFonts w:hint="eastAsia" w:ascii="仿宋" w:hAnsi="仿宋" w:eastAsia="仿宋" w:cs="仿宋"/>
          <w:b/>
          <w:bCs/>
          <w:sz w:val="24"/>
          <w:szCs w:val="24"/>
        </w:rPr>
      </w:pPr>
      <w:r>
        <w:rPr>
          <w:rFonts w:hint="eastAsia" w:ascii="仿宋" w:hAnsi="仿宋" w:eastAsia="仿宋" w:cs="仿宋"/>
          <w:b/>
          <w:bCs/>
          <w:sz w:val="24"/>
          <w:szCs w:val="24"/>
        </w:rPr>
        <w:t>4.2 投标文件的递交</w:t>
      </w:r>
      <w:bookmarkEnd w:id="106"/>
      <w:bookmarkEnd w:id="107"/>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4.2.1 投标人应在投标人须知前附表第4.2.2 项规定的投标截止时间前递交投标文件。</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4.2.2 投标人递交投标文件的地点：见投标人须知前附表。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4.2.3 </w:t>
      </w:r>
      <w:r>
        <w:rPr>
          <w:rFonts w:hint="eastAsia" w:ascii="仿宋" w:hAnsi="仿宋" w:eastAsia="仿宋" w:cs="仿宋"/>
          <w:sz w:val="24"/>
        </w:rPr>
        <w:t>采购代理机构工作人员对递交的投标文件进行登记并妥善保管。</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4.2.4逾期送达的或者未送达指定地点的投标文件，招标代理机构不予受理。</w:t>
      </w:r>
    </w:p>
    <w:p>
      <w:pPr>
        <w:spacing w:line="500" w:lineRule="exact"/>
        <w:ind w:firstLine="482" w:firstLineChars="200"/>
        <w:outlineLvl w:val="2"/>
        <w:rPr>
          <w:rFonts w:hint="eastAsia" w:ascii="仿宋" w:hAnsi="仿宋" w:eastAsia="仿宋" w:cs="仿宋"/>
          <w:b/>
          <w:bCs/>
          <w:sz w:val="24"/>
          <w:szCs w:val="24"/>
        </w:rPr>
      </w:pPr>
      <w:bookmarkStart w:id="108" w:name="_Toc26588"/>
      <w:bookmarkStart w:id="109" w:name="_Toc15192"/>
      <w:r>
        <w:rPr>
          <w:rFonts w:hint="eastAsia" w:ascii="仿宋" w:hAnsi="仿宋" w:eastAsia="仿宋" w:cs="仿宋"/>
          <w:b/>
          <w:bCs/>
          <w:sz w:val="24"/>
          <w:szCs w:val="24"/>
        </w:rPr>
        <w:t>4.3 投标文件的修改与撤回</w:t>
      </w:r>
      <w:bookmarkEnd w:id="108"/>
      <w:bookmarkEnd w:id="109"/>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4.3.1 在投标人须知前附表第4.2.2 项规定的投标截止时间前，投标人可以修改或撤回已递交的投标文件，但应以书面形式通知招标人。</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4.3.2 投标人修改或撤回已递交投标文件的书面通知应按照本章第3.6.5项的要求签字和盖章。</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4.3.3 修改的内容为投标文件的组成部分。修改的投标文件应按照本章第3 条、第4 条规定进行编制、密封、标记和递交，并标明“修改”字样。</w:t>
      </w:r>
    </w:p>
    <w:p>
      <w:pPr>
        <w:spacing w:line="500" w:lineRule="exact"/>
        <w:jc w:val="left"/>
        <w:outlineLvl w:val="1"/>
        <w:rPr>
          <w:rFonts w:hint="eastAsia" w:ascii="仿宋" w:hAnsi="仿宋" w:eastAsia="仿宋" w:cs="仿宋"/>
          <w:b/>
          <w:bCs/>
          <w:sz w:val="24"/>
          <w:szCs w:val="24"/>
        </w:rPr>
      </w:pPr>
      <w:bookmarkStart w:id="110" w:name="_Toc421778369"/>
      <w:bookmarkStart w:id="111" w:name="_Toc420591647"/>
      <w:bookmarkStart w:id="112" w:name="_Toc803"/>
      <w:bookmarkStart w:id="113" w:name="_Toc10525"/>
      <w:bookmarkStart w:id="114" w:name="_Toc425240468"/>
      <w:r>
        <w:rPr>
          <w:rFonts w:hint="eastAsia" w:ascii="仿宋" w:hAnsi="仿宋" w:eastAsia="仿宋" w:cs="仿宋"/>
          <w:b/>
          <w:bCs/>
          <w:sz w:val="24"/>
          <w:szCs w:val="24"/>
        </w:rPr>
        <w:t>5．开标</w:t>
      </w:r>
      <w:bookmarkEnd w:id="110"/>
      <w:bookmarkEnd w:id="111"/>
      <w:bookmarkEnd w:id="112"/>
      <w:bookmarkEnd w:id="113"/>
      <w:bookmarkEnd w:id="114"/>
    </w:p>
    <w:p>
      <w:pPr>
        <w:spacing w:line="500" w:lineRule="exact"/>
        <w:ind w:firstLine="482" w:firstLineChars="200"/>
        <w:outlineLvl w:val="2"/>
        <w:rPr>
          <w:rFonts w:hint="eastAsia" w:ascii="仿宋" w:hAnsi="仿宋" w:eastAsia="仿宋" w:cs="仿宋"/>
          <w:sz w:val="24"/>
          <w:szCs w:val="24"/>
        </w:rPr>
      </w:pPr>
      <w:bookmarkStart w:id="115" w:name="_Toc13670"/>
      <w:bookmarkStart w:id="116" w:name="_Toc26779"/>
      <w:r>
        <w:rPr>
          <w:rFonts w:hint="eastAsia" w:ascii="仿宋" w:hAnsi="仿宋" w:eastAsia="仿宋" w:cs="仿宋"/>
          <w:b/>
          <w:bCs/>
          <w:sz w:val="24"/>
          <w:szCs w:val="24"/>
        </w:rPr>
        <w:t>5.1 开标时间和地点：</w:t>
      </w:r>
      <w:r>
        <w:rPr>
          <w:rFonts w:hint="eastAsia" w:ascii="仿宋" w:hAnsi="仿宋" w:eastAsia="仿宋" w:cs="仿宋"/>
          <w:sz w:val="24"/>
          <w:szCs w:val="24"/>
        </w:rPr>
        <w:t>见投标人须知前附表。</w:t>
      </w:r>
      <w:bookmarkEnd w:id="115"/>
      <w:bookmarkEnd w:id="116"/>
    </w:p>
    <w:p>
      <w:pPr>
        <w:pStyle w:val="5"/>
        <w:spacing w:line="500" w:lineRule="exact"/>
        <w:ind w:firstLine="482" w:firstLineChars="200"/>
        <w:rPr>
          <w:rFonts w:hint="eastAsia" w:ascii="仿宋" w:hAnsi="仿宋" w:eastAsia="仿宋" w:cs="仿宋"/>
        </w:rPr>
      </w:pPr>
      <w:bookmarkStart w:id="117" w:name="_Toc31942"/>
      <w:bookmarkStart w:id="118" w:name="_Toc8302"/>
      <w:r>
        <w:rPr>
          <w:rFonts w:hint="eastAsia" w:ascii="仿宋" w:hAnsi="仿宋" w:eastAsia="仿宋" w:cs="仿宋"/>
        </w:rPr>
        <w:t>5.2开标程序</w:t>
      </w:r>
      <w:bookmarkEnd w:id="117"/>
      <w:bookmarkEnd w:id="118"/>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5.2.1主持人按下列程序进行开标：</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（1）宣布招标项目名称及投标文件接收截止时间，终止一切投标文件的接收工作，并宣布开标会开始；</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（2）介绍招标人、招标代理机构、招标监督管理部门和招标工作人员；</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（3）宣布本项目投标人签到名单；</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（4）宣布开标会议纪律；</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（5）按照投标人须知前附表规定检查投标文件的密封情况；</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（6）开启密封符合要求的投标文件，宣读商务标中投标总报价、措施项目费、质量及工期等；</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（7）设有招标最高限价的，公布或重申招标最高限价；</w:t>
      </w:r>
    </w:p>
    <w:p>
      <w:pPr>
        <w:spacing w:line="500" w:lineRule="exact"/>
        <w:ind w:firstLine="480" w:firstLineChars="200"/>
        <w:rPr>
          <w:rFonts w:hint="eastAsia" w:ascii="仿宋" w:hAnsi="仿宋" w:eastAsia="仿宋" w:cs="仿宋"/>
          <w:sz w:val="24"/>
          <w:szCs w:val="24"/>
        </w:rPr>
      </w:pPr>
      <w:bookmarkStart w:id="119" w:name="OLE_LINK61"/>
      <w:r>
        <w:rPr>
          <w:rFonts w:hint="eastAsia" w:ascii="仿宋" w:hAnsi="仿宋" w:eastAsia="仿宋" w:cs="仿宋"/>
          <w:sz w:val="24"/>
          <w:szCs w:val="24"/>
        </w:rPr>
        <w:t>（8）</w:t>
      </w:r>
      <w:bookmarkEnd w:id="119"/>
      <w:r>
        <w:rPr>
          <w:rFonts w:hint="eastAsia" w:ascii="仿宋" w:hAnsi="仿宋" w:eastAsia="仿宋" w:cs="仿宋"/>
          <w:sz w:val="24"/>
          <w:szCs w:val="24"/>
        </w:rPr>
        <w:t>投标人代表、招标人代表、监标人、记录人等有关人员在开标记录上签字确认；</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（9）在监标人的监督下，将合格的投标文件送交评标委员会评审；</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（10）开标结束。</w:t>
      </w:r>
    </w:p>
    <w:p>
      <w:pPr>
        <w:spacing w:line="500" w:lineRule="exact"/>
        <w:jc w:val="left"/>
        <w:outlineLvl w:val="1"/>
        <w:rPr>
          <w:rFonts w:hint="eastAsia" w:ascii="仿宋" w:hAnsi="仿宋" w:eastAsia="仿宋" w:cs="仿宋"/>
          <w:b/>
          <w:bCs/>
          <w:sz w:val="24"/>
          <w:szCs w:val="24"/>
        </w:rPr>
      </w:pPr>
      <w:bookmarkStart w:id="120" w:name="_Toc9220"/>
      <w:bookmarkStart w:id="121" w:name="_Toc3292"/>
      <w:r>
        <w:rPr>
          <w:rFonts w:hint="eastAsia" w:ascii="仿宋" w:hAnsi="仿宋" w:eastAsia="仿宋" w:cs="仿宋"/>
          <w:b/>
          <w:bCs/>
          <w:sz w:val="24"/>
          <w:szCs w:val="24"/>
        </w:rPr>
        <w:t>6.评标</w:t>
      </w:r>
    </w:p>
    <w:p>
      <w:pPr>
        <w:spacing w:line="500" w:lineRule="exact"/>
        <w:ind w:firstLine="482" w:firstLineChars="200"/>
        <w:outlineLvl w:val="2"/>
        <w:rPr>
          <w:rFonts w:hint="eastAsia" w:ascii="仿宋" w:hAnsi="仿宋" w:eastAsia="仿宋" w:cs="仿宋"/>
          <w:sz w:val="24"/>
          <w:szCs w:val="24"/>
        </w:rPr>
      </w:pPr>
      <w:r>
        <w:rPr>
          <w:rFonts w:hint="eastAsia" w:ascii="仿宋" w:hAnsi="仿宋" w:eastAsia="仿宋" w:cs="仿宋"/>
          <w:b/>
          <w:bCs/>
          <w:sz w:val="24"/>
          <w:szCs w:val="24"/>
        </w:rPr>
        <w:t>6.1 评标委员会</w:t>
      </w:r>
      <w:bookmarkEnd w:id="120"/>
      <w:bookmarkEnd w:id="121"/>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6.1.1 评标由招标人依法组建的评标委员会负责。评标委员会组成：见投标人须知前附表。评标委员会按照招标文件规定的评审方法独立进行评审工作。</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6.1.2 评标委员会成员有下列情形之一的，应当回避：</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(1)投标人或者投标人主要负责人的近亲属；</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(2)项目主管部门或者行政监督部门的人员；</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(3)与投标人有利害关系，可能影响对投标公正评审的；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(4)为投标人编制投标文件的人员；</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(5)在招标投标活动中有违法行为而受过行政处罚或者刑事处罚的人员。</w:t>
      </w:r>
    </w:p>
    <w:p>
      <w:pPr>
        <w:spacing w:line="500" w:lineRule="exact"/>
        <w:ind w:firstLine="482" w:firstLineChars="200"/>
        <w:outlineLvl w:val="2"/>
        <w:rPr>
          <w:rFonts w:hint="eastAsia" w:ascii="仿宋" w:hAnsi="仿宋" w:eastAsia="仿宋" w:cs="仿宋"/>
          <w:b/>
          <w:bCs/>
          <w:sz w:val="24"/>
          <w:szCs w:val="24"/>
        </w:rPr>
      </w:pPr>
      <w:bookmarkStart w:id="122" w:name="_Toc26598"/>
      <w:bookmarkStart w:id="123" w:name="_Toc11841"/>
      <w:r>
        <w:rPr>
          <w:rFonts w:hint="eastAsia" w:ascii="仿宋" w:hAnsi="仿宋" w:eastAsia="仿宋" w:cs="仿宋"/>
          <w:b/>
          <w:bCs/>
          <w:sz w:val="24"/>
          <w:szCs w:val="24"/>
        </w:rPr>
        <w:t>6.2 评标原则</w:t>
      </w:r>
      <w:bookmarkEnd w:id="122"/>
      <w:bookmarkEnd w:id="123"/>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评标活动遵循公平、公正、科学和择优的原则。</w:t>
      </w:r>
    </w:p>
    <w:p>
      <w:pPr>
        <w:spacing w:line="500" w:lineRule="exact"/>
        <w:ind w:firstLine="482" w:firstLineChars="200"/>
        <w:outlineLvl w:val="2"/>
        <w:rPr>
          <w:rFonts w:hint="eastAsia" w:ascii="仿宋" w:hAnsi="仿宋" w:eastAsia="仿宋" w:cs="仿宋"/>
          <w:b/>
          <w:bCs/>
          <w:sz w:val="24"/>
          <w:szCs w:val="24"/>
        </w:rPr>
      </w:pPr>
      <w:bookmarkStart w:id="124" w:name="_Toc15125"/>
      <w:bookmarkStart w:id="125" w:name="_Toc19961"/>
      <w:r>
        <w:rPr>
          <w:rFonts w:hint="eastAsia" w:ascii="仿宋" w:hAnsi="仿宋" w:eastAsia="仿宋" w:cs="仿宋"/>
          <w:b/>
          <w:bCs/>
          <w:sz w:val="24"/>
          <w:szCs w:val="24"/>
        </w:rPr>
        <w:t>6.3 评标</w:t>
      </w:r>
      <w:bookmarkEnd w:id="124"/>
      <w:bookmarkEnd w:id="125"/>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6.3.1评标委员会按照第三章“评标办法”规定的方法、评审因素、标准和程序对投标文件进行评审。第三章“评标办法”没有规定的方法、评审因素和标准，不作为评标依据。</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6.3.2评标过程的保密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（1）开标后，直至授予中标人合同为止，凡属于对投标文件的审查、补遗、评价和比较的有关资料以及中标候选人的推荐情况等均严格保密。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（2）在投标文件的评审、中标候选人推荐以及授予合同的过程中，投标人向招标人和评标委员会施加影响的任何行为，都将会导致其投标被拒绝直至取消其中标资格。</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（3）中标人确定后，招标人不对未中标人就评标过程以及未能中标原因作出任何解释。未中标人不得向评标委员会组成人员或其他有关人员索问评标过程的情况和材料。</w:t>
      </w:r>
    </w:p>
    <w:p>
      <w:pPr>
        <w:spacing w:line="500" w:lineRule="exact"/>
        <w:jc w:val="left"/>
        <w:outlineLvl w:val="1"/>
        <w:rPr>
          <w:rFonts w:hint="eastAsia" w:ascii="仿宋" w:hAnsi="仿宋" w:eastAsia="仿宋" w:cs="仿宋"/>
          <w:b/>
          <w:bCs/>
          <w:sz w:val="24"/>
          <w:szCs w:val="24"/>
        </w:rPr>
      </w:pPr>
      <w:bookmarkStart w:id="126" w:name="_Toc16916"/>
      <w:bookmarkStart w:id="127" w:name="_Toc421778371"/>
      <w:bookmarkStart w:id="128" w:name="_Toc420591649"/>
      <w:bookmarkStart w:id="129" w:name="_Toc31541"/>
      <w:bookmarkStart w:id="130" w:name="_Toc425240470"/>
      <w:r>
        <w:rPr>
          <w:rFonts w:hint="eastAsia" w:ascii="仿宋" w:hAnsi="仿宋" w:eastAsia="仿宋" w:cs="仿宋"/>
          <w:b/>
          <w:bCs/>
          <w:sz w:val="24"/>
          <w:szCs w:val="24"/>
        </w:rPr>
        <w:t>7．合同授予</w:t>
      </w:r>
      <w:bookmarkEnd w:id="126"/>
      <w:bookmarkEnd w:id="127"/>
      <w:bookmarkEnd w:id="128"/>
      <w:bookmarkEnd w:id="129"/>
      <w:bookmarkEnd w:id="130"/>
    </w:p>
    <w:p>
      <w:pPr>
        <w:spacing w:line="500" w:lineRule="exact"/>
        <w:ind w:firstLine="482" w:firstLineChars="200"/>
        <w:outlineLvl w:val="2"/>
        <w:rPr>
          <w:rFonts w:hint="eastAsia" w:ascii="仿宋" w:hAnsi="仿宋" w:eastAsia="仿宋" w:cs="仿宋"/>
          <w:b/>
          <w:bCs/>
          <w:sz w:val="24"/>
          <w:szCs w:val="24"/>
        </w:rPr>
      </w:pPr>
      <w:bookmarkStart w:id="131" w:name="_Toc25384"/>
      <w:bookmarkStart w:id="132" w:name="_Toc14145"/>
      <w:r>
        <w:rPr>
          <w:rFonts w:hint="eastAsia" w:ascii="仿宋" w:hAnsi="仿宋" w:eastAsia="仿宋" w:cs="仿宋"/>
          <w:b/>
          <w:bCs/>
          <w:sz w:val="24"/>
          <w:szCs w:val="24"/>
        </w:rPr>
        <w:t>7.1 定标方式</w:t>
      </w:r>
      <w:bookmarkEnd w:id="131"/>
      <w:bookmarkEnd w:id="132"/>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评标委员会推荐3名中标候选人，并标明推荐顺序，招标人依据评标委员会推荐的中标候选人确定中标人。</w:t>
      </w:r>
    </w:p>
    <w:p>
      <w:pPr>
        <w:spacing w:line="500" w:lineRule="exact"/>
        <w:ind w:firstLine="482" w:firstLineChars="200"/>
        <w:outlineLvl w:val="2"/>
        <w:rPr>
          <w:rFonts w:hint="eastAsia" w:ascii="仿宋" w:hAnsi="仿宋" w:eastAsia="仿宋" w:cs="仿宋"/>
          <w:b/>
          <w:bCs/>
          <w:sz w:val="24"/>
          <w:szCs w:val="24"/>
        </w:rPr>
      </w:pPr>
      <w:bookmarkStart w:id="133" w:name="_Toc15631"/>
      <w:bookmarkStart w:id="134" w:name="_Toc30374"/>
      <w:r>
        <w:rPr>
          <w:rFonts w:hint="eastAsia" w:ascii="仿宋" w:hAnsi="仿宋" w:eastAsia="仿宋" w:cs="仿宋"/>
          <w:b/>
          <w:bCs/>
          <w:sz w:val="24"/>
          <w:szCs w:val="24"/>
        </w:rPr>
        <w:t>7.2 中标通知</w:t>
      </w:r>
      <w:bookmarkEnd w:id="133"/>
      <w:bookmarkEnd w:id="134"/>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在本章第3.3 款规定的投标有效期内，经招标人同意由招标代理机构以书面形式向中标人发出中标通知书。</w:t>
      </w:r>
      <w:r>
        <w:rPr>
          <w:rFonts w:hint="eastAsia" w:ascii="仿宋" w:hAnsi="仿宋" w:eastAsia="仿宋" w:cs="仿宋"/>
          <w:b/>
          <w:bCs/>
          <w:sz w:val="24"/>
          <w:szCs w:val="24"/>
        </w:rPr>
        <w:t>中标人领取中标通知书时须携带法定代表人授权书及加盖单位公章的被授权人身份证复印件。</w:t>
      </w:r>
    </w:p>
    <w:p>
      <w:pPr>
        <w:spacing w:line="500" w:lineRule="exact"/>
        <w:ind w:firstLine="482" w:firstLineChars="200"/>
        <w:outlineLvl w:val="2"/>
        <w:rPr>
          <w:rFonts w:hint="eastAsia" w:ascii="仿宋" w:hAnsi="仿宋" w:eastAsia="仿宋" w:cs="仿宋"/>
          <w:b/>
          <w:bCs/>
          <w:sz w:val="24"/>
          <w:szCs w:val="24"/>
        </w:rPr>
      </w:pPr>
      <w:bookmarkStart w:id="135" w:name="_Toc19753"/>
      <w:bookmarkStart w:id="136" w:name="_Toc393"/>
      <w:r>
        <w:rPr>
          <w:rFonts w:hint="eastAsia" w:ascii="仿宋" w:hAnsi="仿宋" w:eastAsia="仿宋" w:cs="仿宋"/>
          <w:b/>
          <w:bCs/>
          <w:sz w:val="24"/>
          <w:szCs w:val="24"/>
        </w:rPr>
        <w:t>7.3 履约担保及支付担保</w:t>
      </w:r>
      <w:bookmarkEnd w:id="135"/>
      <w:bookmarkEnd w:id="136"/>
    </w:p>
    <w:p>
      <w:pPr>
        <w:spacing w:line="500" w:lineRule="exact"/>
        <w:ind w:firstLine="420"/>
        <w:rPr>
          <w:rFonts w:hint="eastAsia" w:ascii="仿宋" w:hAnsi="仿宋" w:eastAsia="仿宋" w:cs="仿宋"/>
          <w:sz w:val="24"/>
        </w:rPr>
      </w:pPr>
      <w:r>
        <w:rPr>
          <w:rFonts w:hint="eastAsia" w:ascii="仿宋" w:hAnsi="仿宋" w:eastAsia="仿宋" w:cs="仿宋"/>
          <w:sz w:val="24"/>
        </w:rPr>
        <w:t>7.3.1在签订合同前，中标人应按投标人须知前附表规定的金额、担保形式和招标文件第五章“合同条款及格式”规定的履约担保格式向招标人提交履约担保。</w:t>
      </w:r>
    </w:p>
    <w:p>
      <w:pPr>
        <w:spacing w:line="500" w:lineRule="exact"/>
        <w:ind w:firstLine="420"/>
        <w:rPr>
          <w:rFonts w:hint="eastAsia" w:ascii="仿宋" w:hAnsi="仿宋" w:eastAsia="仿宋" w:cs="仿宋"/>
          <w:sz w:val="24"/>
        </w:rPr>
      </w:pPr>
      <w:r>
        <w:rPr>
          <w:rFonts w:hint="eastAsia" w:ascii="仿宋" w:hAnsi="仿宋" w:eastAsia="仿宋" w:cs="仿宋"/>
          <w:sz w:val="24"/>
        </w:rPr>
        <w:t>7.3.2 中标人不能按本章第7.3.1项要求提交履约担保的，视为放弃中标，并按规定承担相应的责任。</w:t>
      </w:r>
    </w:p>
    <w:p>
      <w:pPr>
        <w:spacing w:line="500" w:lineRule="exact"/>
        <w:ind w:firstLine="420"/>
        <w:rPr>
          <w:rFonts w:hint="eastAsia" w:ascii="仿宋" w:hAnsi="仿宋" w:eastAsia="仿宋" w:cs="仿宋"/>
          <w:sz w:val="24"/>
        </w:rPr>
      </w:pPr>
      <w:r>
        <w:rPr>
          <w:rFonts w:hint="eastAsia" w:ascii="仿宋" w:hAnsi="仿宋" w:eastAsia="仿宋" w:cs="仿宋"/>
          <w:sz w:val="24"/>
        </w:rPr>
        <w:t>7.3.3</w:t>
      </w:r>
      <w:r>
        <w:rPr>
          <w:rFonts w:hint="eastAsia" w:ascii="仿宋" w:hAnsi="仿宋" w:eastAsia="仿宋" w:cs="仿宋"/>
          <w:sz w:val="24"/>
          <w:szCs w:val="24"/>
        </w:rPr>
        <w:t>招标人要求中标人提供履约担保的，招标人应当同时向中标人提供工程款支付担保。</w:t>
      </w:r>
      <w:r>
        <w:rPr>
          <w:rFonts w:hint="eastAsia" w:ascii="仿宋" w:hAnsi="仿宋" w:eastAsia="仿宋" w:cs="仿宋"/>
          <w:sz w:val="24"/>
        </w:rPr>
        <w:t>支付担保形式及金额：见投标人须知前附表。</w:t>
      </w:r>
    </w:p>
    <w:p>
      <w:pPr>
        <w:pStyle w:val="5"/>
        <w:spacing w:line="500" w:lineRule="exact"/>
        <w:ind w:firstLine="482" w:firstLineChars="200"/>
        <w:rPr>
          <w:rFonts w:hint="eastAsia" w:ascii="仿宋" w:hAnsi="仿宋" w:eastAsia="仿宋" w:cs="仿宋"/>
        </w:rPr>
      </w:pPr>
      <w:r>
        <w:rPr>
          <w:rFonts w:hint="eastAsia" w:ascii="仿宋" w:hAnsi="仿宋" w:eastAsia="仿宋" w:cs="仿宋"/>
        </w:rPr>
        <w:t>7.4 签订合同</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7.4.1 招标人和中标人应当自中标通知书发出之日起30天内，根据招标文件和中标人的投标文件订立书面合同；中标人应在领取中标通知书时向招标代理机构一次性支付招标代理服务费。中标人无正当理由拒签合同或拒绝缴纳招标代理服务费的，招标人取消其中标资格，中标人应按照相关规定承担相应的责任。</w:t>
      </w:r>
    </w:p>
    <w:p>
      <w:pPr>
        <w:spacing w:line="500" w:lineRule="exact"/>
        <w:ind w:firstLine="480" w:firstLineChars="200"/>
        <w:rPr>
          <w:rFonts w:hint="eastAsia" w:ascii="仿宋" w:hAnsi="仿宋" w:eastAsia="仿宋" w:cs="仿宋"/>
        </w:rPr>
      </w:pPr>
      <w:r>
        <w:rPr>
          <w:rFonts w:hint="eastAsia" w:ascii="仿宋" w:hAnsi="仿宋" w:eastAsia="仿宋" w:cs="仿宋"/>
          <w:sz w:val="24"/>
          <w:szCs w:val="24"/>
        </w:rPr>
        <w:t>7.4.2采购人自政府采购合同签订之日起2个工作日内，将政府采购合同在省级以上人民政府财政部门指定的媒体上公告，但政府采购合同中涉及国家秘密、商业秘密的内容除外。</w:t>
      </w:r>
    </w:p>
    <w:p>
      <w:pPr>
        <w:spacing w:line="500" w:lineRule="exact"/>
        <w:jc w:val="left"/>
        <w:outlineLvl w:val="1"/>
        <w:rPr>
          <w:rFonts w:hint="eastAsia" w:ascii="仿宋" w:hAnsi="仿宋" w:eastAsia="仿宋" w:cs="仿宋"/>
          <w:b/>
          <w:bCs/>
          <w:sz w:val="24"/>
          <w:szCs w:val="24"/>
        </w:rPr>
      </w:pPr>
      <w:bookmarkStart w:id="137" w:name="_Toc18187"/>
      <w:bookmarkStart w:id="138" w:name="_Toc421778372"/>
      <w:bookmarkStart w:id="139" w:name="_Toc30488"/>
      <w:bookmarkStart w:id="140" w:name="_Toc425240471"/>
      <w:bookmarkStart w:id="141" w:name="_Toc420591650"/>
      <w:r>
        <w:rPr>
          <w:rFonts w:hint="eastAsia" w:ascii="仿宋" w:hAnsi="仿宋" w:eastAsia="仿宋" w:cs="仿宋"/>
          <w:b/>
          <w:bCs/>
          <w:sz w:val="24"/>
          <w:szCs w:val="24"/>
        </w:rPr>
        <w:t>8．重新招标和不再招标</w:t>
      </w:r>
      <w:bookmarkEnd w:id="137"/>
      <w:bookmarkEnd w:id="138"/>
      <w:bookmarkEnd w:id="139"/>
      <w:bookmarkEnd w:id="140"/>
      <w:bookmarkEnd w:id="141"/>
    </w:p>
    <w:p>
      <w:pPr>
        <w:spacing w:line="500" w:lineRule="exact"/>
        <w:ind w:firstLine="482" w:firstLineChars="200"/>
        <w:outlineLvl w:val="2"/>
        <w:rPr>
          <w:rFonts w:hint="eastAsia" w:ascii="仿宋" w:hAnsi="仿宋" w:eastAsia="仿宋" w:cs="仿宋"/>
          <w:b/>
          <w:bCs/>
          <w:sz w:val="24"/>
          <w:szCs w:val="24"/>
        </w:rPr>
      </w:pPr>
      <w:bookmarkStart w:id="142" w:name="_Toc3989"/>
      <w:bookmarkStart w:id="143" w:name="_Toc23717"/>
      <w:r>
        <w:rPr>
          <w:rFonts w:hint="eastAsia" w:ascii="仿宋" w:hAnsi="仿宋" w:eastAsia="仿宋" w:cs="仿宋"/>
          <w:b/>
          <w:bCs/>
          <w:sz w:val="24"/>
          <w:szCs w:val="24"/>
        </w:rPr>
        <w:t>8.1 重新招标</w:t>
      </w:r>
      <w:bookmarkEnd w:id="142"/>
      <w:bookmarkEnd w:id="143"/>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有下列情形之一的，招标人将重新招标：</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（l）投标截止时间止，投标人少于3个的；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（2）经评标委员会评审后否决所有投标的。</w:t>
      </w:r>
    </w:p>
    <w:p>
      <w:pPr>
        <w:spacing w:line="500" w:lineRule="exact"/>
        <w:ind w:firstLine="482" w:firstLineChars="200"/>
        <w:outlineLvl w:val="2"/>
        <w:rPr>
          <w:rFonts w:hint="eastAsia" w:ascii="仿宋" w:hAnsi="仿宋" w:eastAsia="仿宋" w:cs="仿宋"/>
          <w:b/>
          <w:bCs/>
          <w:sz w:val="24"/>
          <w:szCs w:val="24"/>
        </w:rPr>
      </w:pPr>
      <w:bookmarkStart w:id="144" w:name="_Toc26419"/>
      <w:bookmarkStart w:id="145" w:name="_Toc15596"/>
      <w:r>
        <w:rPr>
          <w:rFonts w:hint="eastAsia" w:ascii="仿宋" w:hAnsi="仿宋" w:eastAsia="仿宋" w:cs="仿宋"/>
          <w:b/>
          <w:bCs/>
          <w:sz w:val="24"/>
          <w:szCs w:val="24"/>
        </w:rPr>
        <w:t>8.2 不再招标</w:t>
      </w:r>
      <w:bookmarkEnd w:id="144"/>
      <w:bookmarkEnd w:id="145"/>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重新招标后投标人仍少于3个或者所有投标被否决的，属于必须审批或核准的工程建设项目，经原审批或核准部门批准后不再进行招标。</w:t>
      </w:r>
    </w:p>
    <w:p>
      <w:pPr>
        <w:spacing w:line="500" w:lineRule="exact"/>
        <w:jc w:val="left"/>
        <w:outlineLvl w:val="1"/>
        <w:rPr>
          <w:rFonts w:hint="eastAsia" w:ascii="仿宋" w:hAnsi="仿宋" w:eastAsia="仿宋" w:cs="仿宋"/>
          <w:b/>
          <w:bCs/>
          <w:sz w:val="24"/>
          <w:szCs w:val="24"/>
        </w:rPr>
      </w:pPr>
      <w:bookmarkStart w:id="146" w:name="_Toc421778373"/>
      <w:bookmarkStart w:id="147" w:name="_Toc420591651"/>
      <w:bookmarkStart w:id="148" w:name="_Toc32389"/>
      <w:bookmarkStart w:id="149" w:name="_Toc425240472"/>
      <w:bookmarkStart w:id="150" w:name="_Toc4420"/>
      <w:r>
        <w:rPr>
          <w:rFonts w:hint="eastAsia" w:ascii="仿宋" w:hAnsi="仿宋" w:eastAsia="仿宋" w:cs="仿宋"/>
          <w:b/>
          <w:bCs/>
          <w:sz w:val="24"/>
          <w:szCs w:val="24"/>
        </w:rPr>
        <w:t>9．纪律和监督</w:t>
      </w:r>
      <w:bookmarkEnd w:id="146"/>
      <w:bookmarkEnd w:id="147"/>
      <w:bookmarkEnd w:id="148"/>
      <w:bookmarkEnd w:id="149"/>
      <w:bookmarkEnd w:id="150"/>
    </w:p>
    <w:p>
      <w:pPr>
        <w:spacing w:line="500" w:lineRule="exact"/>
        <w:ind w:firstLine="482" w:firstLineChars="200"/>
        <w:outlineLvl w:val="2"/>
        <w:rPr>
          <w:rFonts w:hint="eastAsia" w:ascii="仿宋" w:hAnsi="仿宋" w:eastAsia="仿宋" w:cs="仿宋"/>
          <w:b/>
          <w:bCs/>
          <w:sz w:val="24"/>
          <w:szCs w:val="24"/>
        </w:rPr>
      </w:pPr>
      <w:bookmarkStart w:id="151" w:name="_Toc350"/>
      <w:bookmarkStart w:id="152" w:name="_Toc962"/>
      <w:r>
        <w:rPr>
          <w:rFonts w:hint="eastAsia" w:ascii="仿宋" w:hAnsi="仿宋" w:eastAsia="仿宋" w:cs="仿宋"/>
          <w:b/>
          <w:bCs/>
          <w:sz w:val="24"/>
          <w:szCs w:val="24"/>
        </w:rPr>
        <w:t>9.1 对招标人的纪律要求</w:t>
      </w:r>
      <w:bookmarkEnd w:id="151"/>
      <w:bookmarkEnd w:id="152"/>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招标人不得泄漏招标投标活动中应当保密的情况和资料，不得与投标人串通损害国家利益、社会公共利益或者他人合法权益。</w:t>
      </w:r>
    </w:p>
    <w:p>
      <w:pPr>
        <w:spacing w:line="500" w:lineRule="exact"/>
        <w:ind w:firstLine="482" w:firstLineChars="200"/>
        <w:outlineLvl w:val="2"/>
        <w:rPr>
          <w:rFonts w:hint="eastAsia" w:ascii="仿宋" w:hAnsi="仿宋" w:eastAsia="仿宋" w:cs="仿宋"/>
          <w:b/>
          <w:bCs/>
          <w:sz w:val="24"/>
          <w:szCs w:val="24"/>
        </w:rPr>
      </w:pPr>
      <w:bookmarkStart w:id="153" w:name="_Toc5401"/>
      <w:bookmarkStart w:id="154" w:name="_Toc4068"/>
      <w:r>
        <w:rPr>
          <w:rFonts w:hint="eastAsia" w:ascii="仿宋" w:hAnsi="仿宋" w:eastAsia="仿宋" w:cs="仿宋"/>
          <w:b/>
          <w:bCs/>
          <w:sz w:val="24"/>
          <w:szCs w:val="24"/>
        </w:rPr>
        <w:t>9.2 对投标人的纪律要求</w:t>
      </w:r>
      <w:bookmarkEnd w:id="153"/>
      <w:bookmarkEnd w:id="154"/>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500" w:lineRule="exact"/>
        <w:ind w:firstLine="482" w:firstLineChars="200"/>
        <w:outlineLvl w:val="2"/>
        <w:rPr>
          <w:rFonts w:hint="eastAsia" w:ascii="仿宋" w:hAnsi="仿宋" w:eastAsia="仿宋" w:cs="仿宋"/>
          <w:b/>
          <w:bCs/>
          <w:sz w:val="24"/>
          <w:szCs w:val="24"/>
        </w:rPr>
      </w:pPr>
      <w:bookmarkStart w:id="155" w:name="_Toc27523"/>
      <w:bookmarkStart w:id="156" w:name="_Toc24478"/>
      <w:r>
        <w:rPr>
          <w:rFonts w:hint="eastAsia" w:ascii="仿宋" w:hAnsi="仿宋" w:eastAsia="仿宋" w:cs="仿宋"/>
          <w:b/>
          <w:bCs/>
          <w:sz w:val="24"/>
          <w:szCs w:val="24"/>
        </w:rPr>
        <w:t>9.3 对评标委员会成员的纪律要求</w:t>
      </w:r>
      <w:bookmarkEnd w:id="155"/>
      <w:bookmarkEnd w:id="156"/>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500" w:lineRule="exact"/>
        <w:ind w:firstLine="482" w:firstLineChars="200"/>
        <w:jc w:val="left"/>
        <w:outlineLvl w:val="2"/>
        <w:rPr>
          <w:rFonts w:hint="eastAsia" w:ascii="仿宋" w:hAnsi="仿宋" w:eastAsia="仿宋" w:cs="仿宋"/>
          <w:b/>
          <w:bCs/>
          <w:sz w:val="24"/>
          <w:szCs w:val="24"/>
        </w:rPr>
      </w:pPr>
      <w:bookmarkStart w:id="157" w:name="_Toc30530"/>
      <w:bookmarkStart w:id="158" w:name="_Toc16418"/>
      <w:r>
        <w:rPr>
          <w:rFonts w:hint="eastAsia" w:ascii="仿宋" w:hAnsi="仿宋" w:eastAsia="仿宋" w:cs="仿宋"/>
          <w:b/>
          <w:bCs/>
          <w:sz w:val="24"/>
          <w:szCs w:val="24"/>
        </w:rPr>
        <w:t>9.4 对与评标活动有关的工作人员的纪律要求</w:t>
      </w:r>
      <w:bookmarkEnd w:id="157"/>
      <w:bookmarkEnd w:id="158"/>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500" w:lineRule="exact"/>
        <w:ind w:firstLine="482" w:firstLineChars="200"/>
        <w:jc w:val="left"/>
        <w:outlineLvl w:val="2"/>
        <w:rPr>
          <w:rFonts w:hint="eastAsia" w:ascii="仿宋" w:hAnsi="仿宋" w:eastAsia="仿宋" w:cs="仿宋"/>
          <w:b/>
          <w:bCs/>
          <w:sz w:val="24"/>
          <w:szCs w:val="24"/>
        </w:rPr>
      </w:pPr>
      <w:bookmarkStart w:id="159" w:name="_Toc21662"/>
      <w:bookmarkStart w:id="160" w:name="_Toc12879"/>
      <w:r>
        <w:rPr>
          <w:rFonts w:hint="eastAsia" w:ascii="仿宋" w:hAnsi="仿宋" w:eastAsia="仿宋" w:cs="仿宋"/>
          <w:b/>
          <w:bCs/>
          <w:sz w:val="24"/>
          <w:szCs w:val="24"/>
        </w:rPr>
        <w:t>9.5 投诉</w:t>
      </w:r>
      <w:bookmarkEnd w:id="159"/>
      <w:bookmarkEnd w:id="160"/>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投标人和其他利害关系人认为本次招标活动违反法律、法规和规章规定的，有权向有关行政监督部门投诉。</w:t>
      </w:r>
    </w:p>
    <w:p>
      <w:pPr>
        <w:spacing w:line="500" w:lineRule="exact"/>
        <w:jc w:val="left"/>
        <w:outlineLvl w:val="1"/>
        <w:rPr>
          <w:rFonts w:hint="eastAsia" w:ascii="仿宋" w:hAnsi="仿宋" w:eastAsia="仿宋" w:cs="仿宋"/>
          <w:b/>
          <w:bCs/>
          <w:sz w:val="24"/>
          <w:szCs w:val="24"/>
        </w:rPr>
      </w:pPr>
      <w:bookmarkStart w:id="161" w:name="_Toc21077"/>
      <w:bookmarkStart w:id="162" w:name="_Toc30705"/>
      <w:r>
        <w:rPr>
          <w:rFonts w:hint="eastAsia" w:ascii="仿宋" w:hAnsi="仿宋" w:eastAsia="仿宋" w:cs="仿宋"/>
          <w:b/>
          <w:bCs/>
          <w:sz w:val="24"/>
          <w:szCs w:val="24"/>
        </w:rPr>
        <w:t>10．质疑</w:t>
      </w:r>
      <w:bookmarkEnd w:id="161"/>
      <w:bookmarkEnd w:id="162"/>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10.1投标人认为招标文件、招标过程、中标结果使自己的权益受到损害的，可以在知道或者应知其权益受到损害之日起7个工作日内，以书面形式向采购人、采购代理机构提出质疑。</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10.2投标人必须在法定质疑期内一次性提出针对同一采购程序环节的质疑。</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10.4以联合体形式参加政府采购活动的，其质疑应当由组成联合体的所有投标人共同提出。</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10.5投标人提出质疑应当提交质疑函和必要的证明材料。质疑函应当包括下列内容：</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10.5.1投标人的姓名或者名称、地址、邮编、联系人及联系电话；</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10.5.2质疑项目的名称、编号；</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10.5.3具体、明确的质疑事项和与质疑事项相关的请求；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10.5.4事实依据；</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10.5.5必要的法律依据；</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10.5.6提出质疑的日期。</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10.6有下列情形之一的，属于无效质疑，采购代理机构和采购人不予受理：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10.6.1质疑投标人不是参与本次政府采购项目的投标人；</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10.6.2质疑投标人与质疑事项不存在利害关系的；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10.6.3未在法定期限内提出质疑的；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10.6.4质疑未以书面形式提出，或质疑函主要内容构成不完整的；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10.6.5应当提交授权书而未提交的；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10.6.6以非法手段取得证据、材料的；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10.6.7质疑答复后，同一质疑人就同一事项或同一采购程序环节再次提出质疑的；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10.6.8不符合法律、法规、规章和政府采购监管机构规定的其他条件的。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10.7质疑答复</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10.7.1采购人或采购代理机构在收到质疑函后7个工作日内作出答复，并以书面形式通知质疑投标人和其他有关投标人。</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10.7.2质疑投标人对采购人、采购代理机构的答复不满意，或者采购人、采购代理机构未在规定时间内作出答复的，可以在答复期满后15个工作日内向同级人民政府财政部门提起投诉。</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10.8其他需要说明的事项</w:t>
      </w:r>
    </w:p>
    <w:p>
      <w:pPr>
        <w:pStyle w:val="112"/>
        <w:spacing w:line="500" w:lineRule="exact"/>
        <w:ind w:firstLine="480" w:firstLineChars="0"/>
        <w:jc w:val="left"/>
        <w:rPr>
          <w:rFonts w:hint="eastAsia" w:ascii="仿宋" w:hAnsi="仿宋" w:eastAsia="仿宋" w:cs="仿宋"/>
          <w:sz w:val="24"/>
          <w:szCs w:val="24"/>
        </w:rPr>
      </w:pPr>
      <w:bookmarkStart w:id="163" w:name="_Toc421778374"/>
      <w:bookmarkStart w:id="164" w:name="_Toc420591652"/>
      <w:bookmarkStart w:id="165" w:name="_Toc425240473"/>
      <w:r>
        <w:rPr>
          <w:rFonts w:hint="eastAsia" w:ascii="仿宋" w:hAnsi="仿宋" w:eastAsia="仿宋" w:cs="仿宋"/>
          <w:sz w:val="24"/>
          <w:szCs w:val="24"/>
        </w:rPr>
        <w:t>10.8.1质疑函须按财政部《质疑函范本》给定的格式进行填写，范本下载详见【财政部国库司（gks.mof.gov.cn）】网站〖首页·政府采购管理〗栏目中的《政府采购供应商质疑函范本》。《政府采购供应商质疑函范本》链接地址：</w:t>
      </w:r>
    </w:p>
    <w:p>
      <w:pPr>
        <w:pStyle w:val="112"/>
        <w:spacing w:line="500" w:lineRule="exact"/>
        <w:ind w:firstLine="480" w:firstLineChars="0"/>
        <w:jc w:val="left"/>
        <w:rPr>
          <w:rFonts w:hint="eastAsia" w:ascii="仿宋" w:hAnsi="仿宋" w:eastAsia="仿宋" w:cs="仿宋"/>
          <w:sz w:val="24"/>
          <w:szCs w:val="24"/>
        </w:rPr>
      </w:pPr>
      <w:r>
        <w:rPr>
          <w:rFonts w:hint="eastAsia" w:ascii="仿宋" w:hAnsi="仿宋" w:eastAsia="仿宋" w:cs="仿宋"/>
          <w:sz w:val="24"/>
          <w:szCs w:val="24"/>
        </w:rPr>
        <w:t>http://gks.mof.gov.cn/ztztz/zhengfucaigouguanli/201802/t20180201_2804589.htm</w:t>
      </w:r>
    </w:p>
    <w:p>
      <w:pPr>
        <w:pStyle w:val="112"/>
        <w:spacing w:line="500" w:lineRule="exact"/>
        <w:ind w:firstLine="480" w:firstLineChars="0"/>
        <w:jc w:val="left"/>
        <w:rPr>
          <w:rFonts w:hint="eastAsia" w:ascii="仿宋" w:hAnsi="仿宋" w:eastAsia="仿宋" w:cs="仿宋"/>
          <w:sz w:val="24"/>
          <w:szCs w:val="24"/>
        </w:rPr>
      </w:pPr>
      <w:r>
        <w:rPr>
          <w:rFonts w:hint="eastAsia" w:ascii="仿宋" w:hAnsi="仿宋" w:eastAsia="仿宋" w:cs="仿宋"/>
          <w:sz w:val="24"/>
          <w:szCs w:val="24"/>
        </w:rPr>
        <w:t>10.8.2接收质疑函的方式：书面形式</w:t>
      </w:r>
    </w:p>
    <w:p>
      <w:pPr>
        <w:pStyle w:val="112"/>
        <w:spacing w:line="500" w:lineRule="exact"/>
        <w:ind w:firstLine="480" w:firstLineChars="0"/>
        <w:jc w:val="left"/>
        <w:rPr>
          <w:rFonts w:hint="eastAsia" w:ascii="仿宋" w:hAnsi="仿宋" w:eastAsia="仿宋" w:cs="仿宋"/>
          <w:sz w:val="24"/>
          <w:szCs w:val="24"/>
        </w:rPr>
      </w:pPr>
      <w:r>
        <w:rPr>
          <w:rFonts w:hint="eastAsia" w:ascii="仿宋" w:hAnsi="仿宋" w:eastAsia="仿宋" w:cs="仿宋"/>
          <w:sz w:val="24"/>
          <w:szCs w:val="24"/>
        </w:rPr>
        <w:t>10.8.3联系部门：华夏国际项目管理有限公司招标部</w:t>
      </w:r>
    </w:p>
    <w:p>
      <w:pPr>
        <w:pStyle w:val="112"/>
        <w:spacing w:line="500" w:lineRule="exact"/>
        <w:ind w:firstLine="480" w:firstLineChars="0"/>
        <w:jc w:val="left"/>
        <w:rPr>
          <w:rFonts w:hint="eastAsia" w:ascii="仿宋" w:hAnsi="仿宋" w:eastAsia="仿宋" w:cs="仿宋"/>
          <w:sz w:val="24"/>
          <w:szCs w:val="24"/>
        </w:rPr>
      </w:pPr>
      <w:r>
        <w:rPr>
          <w:rFonts w:hint="eastAsia" w:ascii="仿宋" w:hAnsi="仿宋" w:eastAsia="仿宋" w:cs="仿宋"/>
          <w:sz w:val="24"/>
          <w:szCs w:val="24"/>
        </w:rPr>
        <w:t>10.8.4联系电话：见投标人须知前附表</w:t>
      </w:r>
    </w:p>
    <w:p>
      <w:pPr>
        <w:pStyle w:val="112"/>
        <w:spacing w:line="500" w:lineRule="exact"/>
        <w:ind w:firstLine="480" w:firstLineChars="0"/>
        <w:jc w:val="left"/>
        <w:rPr>
          <w:rFonts w:hint="eastAsia" w:ascii="仿宋" w:hAnsi="仿宋" w:eastAsia="仿宋" w:cs="仿宋"/>
          <w:sz w:val="24"/>
          <w:szCs w:val="24"/>
        </w:rPr>
      </w:pPr>
      <w:r>
        <w:rPr>
          <w:rFonts w:hint="eastAsia" w:ascii="仿宋" w:hAnsi="仿宋" w:eastAsia="仿宋" w:cs="仿宋"/>
          <w:sz w:val="24"/>
          <w:szCs w:val="24"/>
        </w:rPr>
        <w:t>10.8.5通讯地址：西安市高新区科技五路8号数字大厦11楼</w:t>
      </w:r>
    </w:p>
    <w:p>
      <w:pPr>
        <w:numPr>
          <w:ilvl w:val="0"/>
          <w:numId w:val="4"/>
        </w:numPr>
        <w:spacing w:line="500" w:lineRule="exact"/>
        <w:jc w:val="left"/>
        <w:outlineLvl w:val="1"/>
        <w:rPr>
          <w:rFonts w:hint="eastAsia" w:ascii="仿宋" w:hAnsi="仿宋" w:eastAsia="仿宋" w:cs="仿宋"/>
          <w:b/>
          <w:bCs/>
          <w:sz w:val="24"/>
          <w:szCs w:val="24"/>
        </w:rPr>
      </w:pPr>
      <w:bookmarkStart w:id="166" w:name="_Toc3230"/>
      <w:bookmarkStart w:id="167" w:name="_Toc4381"/>
      <w:r>
        <w:rPr>
          <w:rFonts w:hint="eastAsia" w:ascii="仿宋" w:hAnsi="仿宋" w:eastAsia="仿宋" w:cs="仿宋"/>
          <w:b/>
          <w:bCs/>
          <w:sz w:val="24"/>
          <w:szCs w:val="24"/>
        </w:rPr>
        <w:t>需要补充的其他内容</w:t>
      </w:r>
      <w:bookmarkStart w:id="168" w:name="_Toc356305901"/>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见投标人须知前附表</w:t>
      </w:r>
      <w:bookmarkEnd w:id="168"/>
      <w:r>
        <w:rPr>
          <w:rFonts w:hint="eastAsia" w:ascii="仿宋" w:hAnsi="仿宋" w:eastAsia="仿宋" w:cs="仿宋"/>
          <w:sz w:val="24"/>
          <w:szCs w:val="24"/>
        </w:rPr>
        <w:t>。</w:t>
      </w:r>
      <w:bookmarkEnd w:id="163"/>
      <w:bookmarkEnd w:id="164"/>
      <w:bookmarkEnd w:id="165"/>
      <w:bookmarkEnd w:id="166"/>
      <w:bookmarkEnd w:id="167"/>
    </w:p>
    <w:p>
      <w:pPr>
        <w:pStyle w:val="2"/>
        <w:spacing w:line="360" w:lineRule="auto"/>
        <w:jc w:val="left"/>
        <w:outlineLvl w:val="1"/>
        <w:rPr>
          <w:rFonts w:hint="eastAsia" w:ascii="仿宋" w:hAnsi="仿宋" w:eastAsia="仿宋" w:cs="仿宋"/>
          <w:b/>
          <w:bCs/>
          <w:sz w:val="24"/>
          <w:szCs w:val="24"/>
        </w:rPr>
      </w:pPr>
      <w:bookmarkStart w:id="169" w:name="_Toc29494"/>
      <w:bookmarkStart w:id="170" w:name="_Toc10952"/>
      <w:r>
        <w:rPr>
          <w:rFonts w:hint="eastAsia" w:ascii="仿宋" w:hAnsi="仿宋" w:eastAsia="仿宋" w:cs="仿宋"/>
          <w:b/>
          <w:bCs/>
          <w:sz w:val="24"/>
          <w:szCs w:val="24"/>
        </w:rPr>
        <w:t>12．合同鉴证</w:t>
      </w:r>
      <w:bookmarkEnd w:id="169"/>
      <w:bookmarkEnd w:id="170"/>
    </w:p>
    <w:p>
      <w:pPr>
        <w:pStyle w:val="10"/>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本项目不收取合同鉴证费。</w:t>
      </w:r>
    </w:p>
    <w:p>
      <w:pPr>
        <w:pStyle w:val="2"/>
        <w:spacing w:line="360" w:lineRule="auto"/>
        <w:jc w:val="both"/>
        <w:rPr>
          <w:rFonts w:hint="eastAsia" w:ascii="仿宋" w:hAnsi="仿宋" w:eastAsia="仿宋" w:cs="仿宋"/>
          <w:b/>
          <w:bCs/>
          <w:color w:val="FF0000"/>
          <w:sz w:val="24"/>
          <w:szCs w:val="24"/>
        </w:rPr>
        <w:sectPr>
          <w:pgSz w:w="11906" w:h="16838"/>
          <w:pgMar w:top="1417" w:right="1417" w:bottom="1417" w:left="1701" w:header="851" w:footer="992" w:gutter="0"/>
          <w:pgNumType w:fmt="decimal"/>
          <w:cols w:space="0" w:num="1"/>
          <w:docGrid w:type="lines" w:linePitch="312" w:charSpace="0"/>
        </w:sectPr>
      </w:pPr>
    </w:p>
    <w:p>
      <w:pPr>
        <w:pStyle w:val="3"/>
        <w:spacing w:line="500" w:lineRule="exact"/>
        <w:jc w:val="center"/>
        <w:rPr>
          <w:rFonts w:hint="eastAsia" w:ascii="仿宋" w:hAnsi="仿宋" w:eastAsia="仿宋" w:cs="仿宋"/>
        </w:rPr>
      </w:pPr>
      <w:bookmarkStart w:id="171" w:name="_Toc421778376"/>
      <w:bookmarkStart w:id="172" w:name="_Toc26917"/>
      <w:bookmarkStart w:id="173" w:name="_Toc2488"/>
      <w:r>
        <w:rPr>
          <w:rFonts w:hint="eastAsia" w:ascii="仿宋" w:hAnsi="仿宋" w:eastAsia="仿宋" w:cs="仿宋"/>
        </w:rPr>
        <w:t>第三章</w:t>
      </w:r>
      <w:r>
        <w:rPr>
          <w:rFonts w:hint="eastAsia" w:ascii="仿宋" w:hAnsi="仿宋" w:eastAsia="仿宋" w:cs="仿宋"/>
          <w:lang w:val="en-US" w:eastAsia="zh-CN"/>
        </w:rPr>
        <w:t xml:space="preserve">  </w:t>
      </w:r>
      <w:r>
        <w:rPr>
          <w:rFonts w:hint="eastAsia" w:ascii="仿宋" w:hAnsi="仿宋" w:eastAsia="仿宋" w:cs="仿宋"/>
        </w:rPr>
        <w:t>评标办法</w:t>
      </w:r>
      <w:bookmarkEnd w:id="171"/>
      <w:bookmarkEnd w:id="172"/>
      <w:bookmarkEnd w:id="173"/>
    </w:p>
    <w:p>
      <w:pPr>
        <w:pStyle w:val="4"/>
        <w:spacing w:before="0" w:after="0" w:line="500" w:lineRule="exact"/>
        <w:rPr>
          <w:rFonts w:hint="eastAsia" w:ascii="仿宋" w:hAnsi="仿宋" w:eastAsia="仿宋" w:cs="仿宋"/>
          <w:sz w:val="24"/>
          <w:szCs w:val="24"/>
        </w:rPr>
      </w:pPr>
      <w:r>
        <w:rPr>
          <w:rFonts w:hint="eastAsia" w:ascii="仿宋" w:hAnsi="仿宋" w:eastAsia="仿宋" w:cs="仿宋"/>
          <w:sz w:val="24"/>
          <w:szCs w:val="24"/>
        </w:rPr>
        <w:t>一、评标方法</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照《中华人民共和国政府采购法》及实施条例、《中华人民共和国招标投标法》及实施条例的规定，本次评标采用综合评分法，即在最大限度地满足招标文件实质性要求前提下，按照招标文件中规定的各项因素和相应的权重分值进行综合评审后，以总得分最高的投标人作为中标候选人并依次排序（最低报价不是中标的唯一标准）。</w:t>
      </w:r>
    </w:p>
    <w:p>
      <w:pPr>
        <w:pStyle w:val="4"/>
        <w:spacing w:before="0" w:after="0" w:line="500" w:lineRule="exact"/>
        <w:rPr>
          <w:rFonts w:hint="eastAsia" w:ascii="仿宋" w:hAnsi="仿宋" w:eastAsia="仿宋" w:cs="仿宋"/>
          <w:sz w:val="24"/>
          <w:szCs w:val="24"/>
        </w:rPr>
      </w:pPr>
      <w:r>
        <w:rPr>
          <w:rFonts w:hint="eastAsia" w:ascii="仿宋" w:hAnsi="仿宋" w:eastAsia="仿宋" w:cs="仿宋"/>
          <w:sz w:val="24"/>
          <w:szCs w:val="24"/>
        </w:rPr>
        <w:t>二、评标程序</w:t>
      </w:r>
    </w:p>
    <w:p>
      <w:pPr>
        <w:pStyle w:val="5"/>
        <w:spacing w:line="500" w:lineRule="exact"/>
        <w:rPr>
          <w:rFonts w:hint="eastAsia" w:ascii="仿宋" w:hAnsi="仿宋" w:eastAsia="仿宋" w:cs="仿宋"/>
        </w:rPr>
      </w:pPr>
      <w:r>
        <w:rPr>
          <w:rFonts w:hint="eastAsia" w:ascii="仿宋" w:hAnsi="仿宋" w:eastAsia="仿宋" w:cs="仿宋"/>
        </w:rPr>
        <w:t>1、本采购项目评标按照下列工作程序进行</w:t>
      </w:r>
    </w:p>
    <w:p>
      <w:pPr>
        <w:spacing w:line="500" w:lineRule="exact"/>
        <w:ind w:firstLine="495"/>
        <w:rPr>
          <w:rFonts w:hint="eastAsia" w:ascii="仿宋" w:hAnsi="仿宋" w:eastAsia="仿宋" w:cs="仿宋"/>
          <w:sz w:val="24"/>
        </w:rPr>
      </w:pPr>
      <w:r>
        <w:rPr>
          <w:rFonts w:hint="eastAsia" w:ascii="仿宋" w:hAnsi="仿宋" w:eastAsia="仿宋" w:cs="仿宋"/>
          <w:sz w:val="24"/>
        </w:rPr>
        <w:t>（1）投标文件初审；</w:t>
      </w:r>
    </w:p>
    <w:p>
      <w:pPr>
        <w:spacing w:line="500" w:lineRule="exact"/>
        <w:ind w:firstLine="495"/>
        <w:rPr>
          <w:rFonts w:hint="eastAsia" w:ascii="仿宋" w:hAnsi="仿宋" w:eastAsia="仿宋" w:cs="仿宋"/>
          <w:sz w:val="24"/>
        </w:rPr>
      </w:pPr>
      <w:r>
        <w:rPr>
          <w:rFonts w:hint="eastAsia" w:ascii="仿宋" w:hAnsi="仿宋" w:eastAsia="仿宋" w:cs="仿宋"/>
          <w:sz w:val="24"/>
        </w:rPr>
        <w:t>（2）澄清有关问题；</w:t>
      </w:r>
    </w:p>
    <w:p>
      <w:pPr>
        <w:spacing w:line="500" w:lineRule="exact"/>
        <w:ind w:firstLine="495"/>
        <w:rPr>
          <w:rFonts w:hint="eastAsia" w:ascii="仿宋" w:hAnsi="仿宋" w:eastAsia="仿宋" w:cs="仿宋"/>
          <w:sz w:val="24"/>
        </w:rPr>
      </w:pPr>
      <w:r>
        <w:rPr>
          <w:rFonts w:hint="eastAsia" w:ascii="仿宋" w:hAnsi="仿宋" w:eastAsia="仿宋" w:cs="仿宋"/>
          <w:sz w:val="24"/>
        </w:rPr>
        <w:t>（3）比较与评价；</w:t>
      </w:r>
    </w:p>
    <w:p>
      <w:pPr>
        <w:spacing w:line="500" w:lineRule="exact"/>
        <w:ind w:firstLine="495"/>
        <w:rPr>
          <w:rFonts w:hint="eastAsia" w:ascii="仿宋" w:hAnsi="仿宋" w:eastAsia="仿宋" w:cs="仿宋"/>
          <w:sz w:val="24"/>
        </w:rPr>
      </w:pPr>
      <w:r>
        <w:rPr>
          <w:rFonts w:hint="eastAsia" w:ascii="仿宋" w:hAnsi="仿宋" w:eastAsia="仿宋" w:cs="仿宋"/>
          <w:sz w:val="24"/>
        </w:rPr>
        <w:t>（4）推荐中标候选人名单；</w:t>
      </w:r>
    </w:p>
    <w:p>
      <w:pPr>
        <w:spacing w:line="500" w:lineRule="exact"/>
        <w:ind w:firstLine="495"/>
        <w:rPr>
          <w:rFonts w:hint="eastAsia" w:ascii="仿宋" w:hAnsi="仿宋" w:eastAsia="仿宋" w:cs="仿宋"/>
          <w:sz w:val="24"/>
        </w:rPr>
      </w:pPr>
      <w:r>
        <w:rPr>
          <w:rFonts w:hint="eastAsia" w:ascii="仿宋" w:hAnsi="仿宋" w:eastAsia="仿宋" w:cs="仿宋"/>
          <w:sz w:val="24"/>
        </w:rPr>
        <w:t>（5）编写评标报告。</w:t>
      </w:r>
    </w:p>
    <w:p>
      <w:pPr>
        <w:spacing w:line="500" w:lineRule="exact"/>
        <w:ind w:firstLine="480" w:firstLineChars="200"/>
        <w:rPr>
          <w:rFonts w:hint="eastAsia" w:ascii="仿宋" w:hAnsi="仿宋" w:eastAsia="仿宋" w:cs="仿宋"/>
        </w:rPr>
      </w:pPr>
      <w:r>
        <w:rPr>
          <w:rFonts w:hint="eastAsia" w:ascii="仿宋" w:hAnsi="仿宋" w:eastAsia="仿宋" w:cs="仿宋"/>
          <w:bCs/>
          <w:sz w:val="24"/>
        </w:rPr>
        <w:t>在上一步评审中被认定无效投标者，不进入下一步的评审。</w:t>
      </w:r>
    </w:p>
    <w:p>
      <w:pPr>
        <w:pStyle w:val="5"/>
        <w:spacing w:line="500" w:lineRule="exact"/>
        <w:rPr>
          <w:rFonts w:hint="eastAsia" w:ascii="仿宋" w:hAnsi="仿宋" w:eastAsia="仿宋" w:cs="仿宋"/>
        </w:rPr>
      </w:pPr>
      <w:r>
        <w:rPr>
          <w:rFonts w:hint="eastAsia" w:ascii="仿宋" w:hAnsi="仿宋" w:eastAsia="仿宋" w:cs="仿宋"/>
        </w:rPr>
        <w:t>2、投标文件初审</w:t>
      </w:r>
    </w:p>
    <w:p>
      <w:pPr>
        <w:tabs>
          <w:tab w:val="left" w:pos="0"/>
        </w:tabs>
        <w:adjustRightInd w:val="0"/>
        <w:snapToGrid w:val="0"/>
        <w:spacing w:line="500" w:lineRule="exact"/>
        <w:ind w:firstLine="470" w:firstLineChars="196"/>
        <w:rPr>
          <w:rFonts w:hint="eastAsia" w:ascii="仿宋" w:hAnsi="仿宋" w:eastAsia="仿宋" w:cs="仿宋"/>
          <w:color w:val="000000"/>
          <w:sz w:val="24"/>
        </w:rPr>
      </w:pPr>
      <w:r>
        <w:rPr>
          <w:rFonts w:hint="eastAsia" w:ascii="仿宋" w:hAnsi="仿宋" w:eastAsia="仿宋" w:cs="仿宋"/>
          <w:color w:val="000000"/>
          <w:sz w:val="24"/>
        </w:rPr>
        <w:t>2.1资格性审查：评标委员会根据</w:t>
      </w:r>
      <w:r>
        <w:rPr>
          <w:rFonts w:hint="eastAsia" w:ascii="仿宋" w:hAnsi="仿宋" w:eastAsia="仿宋" w:cs="仿宋"/>
          <w:sz w:val="24"/>
        </w:rPr>
        <w:t>本章“四、评审标准 1、初步评审标准”第1.1项规定的</w:t>
      </w:r>
      <w:r>
        <w:rPr>
          <w:rFonts w:hint="eastAsia" w:ascii="仿宋" w:hAnsi="仿宋" w:eastAsia="仿宋" w:cs="仿宋"/>
          <w:color w:val="000000"/>
          <w:sz w:val="24"/>
        </w:rPr>
        <w:t>评审标准对投标人进行资格性审查。有一项不符合评审标准的，将被认定为无效投标。</w:t>
      </w:r>
    </w:p>
    <w:p>
      <w:pPr>
        <w:tabs>
          <w:tab w:val="left" w:pos="0"/>
        </w:tabs>
        <w:adjustRightInd w:val="0"/>
        <w:snapToGrid w:val="0"/>
        <w:spacing w:line="500" w:lineRule="exact"/>
        <w:ind w:firstLine="470" w:firstLineChars="196"/>
        <w:rPr>
          <w:rFonts w:hint="eastAsia" w:ascii="仿宋" w:hAnsi="仿宋" w:eastAsia="仿宋" w:cs="仿宋"/>
          <w:color w:val="000000"/>
          <w:sz w:val="24"/>
        </w:rPr>
      </w:pPr>
      <w:r>
        <w:rPr>
          <w:rFonts w:hint="eastAsia" w:ascii="仿宋" w:hAnsi="仿宋" w:eastAsia="仿宋" w:cs="仿宋"/>
          <w:color w:val="000000"/>
          <w:sz w:val="24"/>
        </w:rPr>
        <w:t>2.2符合性审查：评标委员会根据本章“四、评审标准 1、初步评审标准”第1.2项规定的评审标准对投标文件进行符合性评审。有一项不符合评审标准的，评标委员会应当否决其投标。</w:t>
      </w:r>
    </w:p>
    <w:p>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2.3在资格性审查阶段，不符合招标文件要求的，不得进入符合性审查，在符合性审查时未通过的，不得进入后续评审环节。</w:t>
      </w:r>
    </w:p>
    <w:p>
      <w:pPr>
        <w:pStyle w:val="5"/>
        <w:spacing w:line="500" w:lineRule="exact"/>
        <w:rPr>
          <w:rFonts w:hint="eastAsia" w:ascii="仿宋" w:hAnsi="仿宋" w:eastAsia="仿宋" w:cs="仿宋"/>
        </w:rPr>
      </w:pPr>
      <w:r>
        <w:rPr>
          <w:rFonts w:hint="eastAsia" w:ascii="仿宋" w:hAnsi="仿宋" w:eastAsia="仿宋" w:cs="仿宋"/>
        </w:rPr>
        <w:t>3、投标文件的澄清</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授权代表签字。投标人的澄清、说明或者补正不得超出投标文件的范围或者改变投标文件的实质性内容。评标委员会不接受投标人主动提出的澄清、说明。</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3.2有效的书面澄清材料，是投标文件的补充材料，成为投标文件的组成部分。</w:t>
      </w:r>
    </w:p>
    <w:p>
      <w:pPr>
        <w:spacing w:line="500" w:lineRule="exact"/>
        <w:ind w:firstLine="480" w:firstLineChars="200"/>
        <w:rPr>
          <w:rFonts w:hint="eastAsia" w:ascii="仿宋" w:hAnsi="仿宋" w:eastAsia="仿宋" w:cs="仿宋"/>
          <w:spacing w:val="4"/>
          <w:sz w:val="24"/>
          <w:szCs w:val="24"/>
        </w:rPr>
      </w:pPr>
      <w:r>
        <w:rPr>
          <w:rFonts w:hint="eastAsia" w:ascii="仿宋" w:hAnsi="仿宋" w:eastAsia="仿宋" w:cs="仿宋"/>
          <w:sz w:val="24"/>
        </w:rPr>
        <w:t>3.3评标委员会发现投标人的报价明显低于其他投标报价、或明显低于市场价格，使得其投标报价可能低于其成本的，有可能影响产品质量或者不能诚信履约的，应当要求其在合理的时间内做出书面说明并提交相关证明材料。投标人不能证明其报价合理性的，由评标委员会认定该投标人以低于成本报价竞标，将其作为无效投标处理。</w:t>
      </w:r>
    </w:p>
    <w:p>
      <w:pPr>
        <w:spacing w:line="500" w:lineRule="exact"/>
        <w:ind w:firstLine="496" w:firstLineChars="200"/>
        <w:rPr>
          <w:rFonts w:hint="eastAsia" w:ascii="仿宋" w:hAnsi="仿宋" w:eastAsia="仿宋" w:cs="仿宋"/>
          <w:spacing w:val="4"/>
          <w:sz w:val="24"/>
          <w:szCs w:val="24"/>
        </w:rPr>
      </w:pPr>
      <w:r>
        <w:rPr>
          <w:rFonts w:hint="eastAsia" w:ascii="仿宋" w:hAnsi="仿宋" w:eastAsia="仿宋" w:cs="仿宋"/>
          <w:spacing w:val="4"/>
          <w:sz w:val="24"/>
          <w:szCs w:val="24"/>
        </w:rPr>
        <w:t>3.4对于投标文件中可能出现的不一致和算术计算错误按以下方法更正：</w:t>
      </w:r>
    </w:p>
    <w:p>
      <w:pPr>
        <w:numPr>
          <w:ilvl w:val="0"/>
          <w:numId w:val="5"/>
        </w:numPr>
        <w:spacing w:line="500" w:lineRule="exact"/>
        <w:ind w:firstLine="419" w:firstLineChars="169"/>
        <w:rPr>
          <w:rFonts w:hint="eastAsia" w:ascii="仿宋" w:hAnsi="仿宋" w:eastAsia="仿宋" w:cs="仿宋"/>
          <w:spacing w:val="4"/>
          <w:sz w:val="24"/>
          <w:szCs w:val="24"/>
        </w:rPr>
      </w:pPr>
      <w:r>
        <w:rPr>
          <w:rFonts w:hint="eastAsia" w:ascii="仿宋" w:hAnsi="仿宋" w:eastAsia="仿宋" w:cs="仿宋"/>
          <w:spacing w:val="4"/>
          <w:sz w:val="24"/>
          <w:szCs w:val="24"/>
        </w:rPr>
        <w:t>投标文件中开标一览表(报价表)内容与投标文件中明细表内容不一致的，以开标一览表(报价表)为准；</w:t>
      </w:r>
    </w:p>
    <w:p>
      <w:pPr>
        <w:numPr>
          <w:ilvl w:val="0"/>
          <w:numId w:val="5"/>
        </w:numPr>
        <w:spacing w:line="500" w:lineRule="exact"/>
        <w:ind w:firstLine="419" w:firstLineChars="169"/>
        <w:rPr>
          <w:rFonts w:hint="eastAsia" w:ascii="仿宋" w:hAnsi="仿宋" w:eastAsia="仿宋" w:cs="仿宋"/>
          <w:sz w:val="24"/>
        </w:rPr>
      </w:pPr>
      <w:r>
        <w:rPr>
          <w:rFonts w:hint="eastAsia" w:ascii="仿宋" w:hAnsi="仿宋" w:eastAsia="仿宋" w:cs="仿宋"/>
          <w:spacing w:val="4"/>
          <w:sz w:val="24"/>
          <w:szCs w:val="24"/>
        </w:rPr>
        <w:t>投标文件的大写金额和小写金额不一致的，以大写金额为准；总价金额与按单价汇总金额不一致的，以单价金额计算结果为准；单价金额小数点有明显错位的，应以总价为准，并修改单价；</w:t>
      </w:r>
    </w:p>
    <w:p>
      <w:pPr>
        <w:numPr>
          <w:ilvl w:val="0"/>
          <w:numId w:val="5"/>
        </w:numPr>
        <w:spacing w:line="500" w:lineRule="exact"/>
        <w:ind w:firstLine="419" w:firstLineChars="169"/>
        <w:rPr>
          <w:rFonts w:hint="eastAsia" w:ascii="仿宋" w:hAnsi="仿宋" w:eastAsia="仿宋" w:cs="仿宋"/>
          <w:sz w:val="24"/>
        </w:rPr>
      </w:pPr>
      <w:r>
        <w:rPr>
          <w:rFonts w:hint="eastAsia" w:ascii="仿宋" w:hAnsi="仿宋" w:eastAsia="仿宋" w:cs="仿宋"/>
          <w:spacing w:val="4"/>
          <w:sz w:val="24"/>
          <w:szCs w:val="24"/>
        </w:rPr>
        <w:t>如果单独密封的“开标一览表”中的投标报价与投标正本的投标报价不一致，以单独密封的“开标一览表”中的投标报价为准。如果投标人不接受对其错误的更正，其投标将按无效投标处理。</w:t>
      </w:r>
    </w:p>
    <w:p>
      <w:pPr>
        <w:pStyle w:val="5"/>
        <w:spacing w:line="500" w:lineRule="exact"/>
        <w:rPr>
          <w:rFonts w:hint="eastAsia" w:ascii="仿宋" w:hAnsi="仿宋" w:eastAsia="仿宋" w:cs="仿宋"/>
        </w:rPr>
      </w:pPr>
      <w:r>
        <w:rPr>
          <w:rFonts w:hint="eastAsia" w:ascii="仿宋" w:hAnsi="仿宋" w:eastAsia="仿宋" w:cs="仿宋"/>
        </w:rPr>
        <w:t>4、投标文件比较与评价</w:t>
      </w:r>
    </w:p>
    <w:p>
      <w:pPr>
        <w:tabs>
          <w:tab w:val="left" w:pos="0"/>
        </w:tabs>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w:t>
      </w:r>
      <w:r>
        <w:rPr>
          <w:rFonts w:hint="eastAsia" w:ascii="仿宋" w:hAnsi="仿宋" w:eastAsia="仿宋" w:cs="仿宋"/>
          <w:bCs/>
          <w:sz w:val="24"/>
          <w:szCs w:val="24"/>
        </w:rPr>
        <w:t>评委委员会应按照招标文件中规定的评标方法</w:t>
      </w:r>
      <w:r>
        <w:rPr>
          <w:rFonts w:hint="eastAsia" w:ascii="仿宋" w:hAnsi="仿宋" w:eastAsia="仿宋" w:cs="仿宋"/>
          <w:sz w:val="24"/>
          <w:szCs w:val="24"/>
        </w:rPr>
        <w:t>和标准，</w:t>
      </w:r>
      <w:r>
        <w:rPr>
          <w:rFonts w:hint="eastAsia" w:ascii="仿宋" w:hAnsi="仿宋" w:eastAsia="仿宋" w:cs="仿宋"/>
          <w:bCs/>
          <w:sz w:val="24"/>
          <w:szCs w:val="24"/>
        </w:rPr>
        <w:t>对</w:t>
      </w:r>
      <w:r>
        <w:rPr>
          <w:rFonts w:hint="eastAsia" w:ascii="仿宋" w:hAnsi="仿宋" w:eastAsia="仿宋" w:cs="仿宋"/>
          <w:sz w:val="24"/>
          <w:szCs w:val="24"/>
        </w:rPr>
        <w:t>资格性检查和符合性检查</w:t>
      </w:r>
      <w:r>
        <w:rPr>
          <w:rFonts w:hint="eastAsia" w:ascii="仿宋" w:hAnsi="仿宋" w:eastAsia="仿宋" w:cs="仿宋"/>
          <w:bCs/>
          <w:sz w:val="24"/>
          <w:szCs w:val="24"/>
        </w:rPr>
        <w:t>合格的投标文件进行商务和技术评估，综合比较与评价。</w:t>
      </w:r>
    </w:p>
    <w:p>
      <w:pPr>
        <w:spacing w:line="5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4.2如果投标文件没有实质性响应招标文件的要求，评委会将予以拒绝。投标人不得通过修正或撤消不合要求的偏离或保留，从而使其投标成为实质性响应的投标。</w:t>
      </w:r>
    </w:p>
    <w:p>
      <w:pPr>
        <w:keepNext/>
        <w:keepLines/>
        <w:spacing w:line="500" w:lineRule="exact"/>
        <w:outlineLvl w:val="1"/>
        <w:rPr>
          <w:rFonts w:hint="eastAsia" w:ascii="仿宋" w:hAnsi="仿宋" w:eastAsia="仿宋" w:cs="仿宋"/>
          <w:b/>
          <w:bCs/>
          <w:sz w:val="24"/>
          <w:szCs w:val="24"/>
        </w:rPr>
      </w:pPr>
      <w:r>
        <w:rPr>
          <w:rFonts w:hint="eastAsia" w:ascii="仿宋" w:hAnsi="仿宋" w:eastAsia="仿宋" w:cs="仿宋"/>
          <w:b/>
          <w:bCs/>
          <w:sz w:val="24"/>
          <w:szCs w:val="24"/>
        </w:rPr>
        <w:t>三、政策性扣减</w:t>
      </w:r>
    </w:p>
    <w:p>
      <w:pPr>
        <w:keepNext/>
        <w:keepLines/>
        <w:spacing w:line="500" w:lineRule="exact"/>
        <w:ind w:firstLine="482" w:firstLineChars="200"/>
        <w:outlineLvl w:val="2"/>
        <w:rPr>
          <w:rFonts w:hint="eastAsia" w:ascii="仿宋" w:hAnsi="仿宋" w:eastAsia="仿宋" w:cs="仿宋"/>
          <w:b/>
          <w:bCs/>
          <w:sz w:val="24"/>
          <w:szCs w:val="24"/>
        </w:rPr>
      </w:pPr>
      <w:r>
        <w:rPr>
          <w:rFonts w:hint="eastAsia" w:ascii="仿宋" w:hAnsi="仿宋" w:eastAsia="仿宋" w:cs="仿宋"/>
          <w:b/>
          <w:bCs/>
          <w:sz w:val="24"/>
          <w:szCs w:val="24"/>
        </w:rPr>
        <w:t>1、政策性扣减范围</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1.1供应商符合小型、微型企业或监狱企业、残疾人福利性单位条件的，其投标报价价格评审时将按相应比例进行扣减。</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1.2依据关于印发《政府采购促进中小企业发展管理办法》的通知（财库〔2020〕46号）的规定，在政府采购活动中，供应商提供的货物、工程或者服务符合下列情形的，享受中小企业扶持政策：</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（2）在货物采购项目中，供应商提供的货物既有中小企业制造货物，也有大型企业制造货物的，不享受本办法规定的中小企业扶持政策。</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（3）以联合体形式参加政府采购活动，联合体各方均为中小企业的，联合体视同中小企业。其中，联合体各方均为小微企业的，联合体视同小微企业。</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(4)中小企业参加政府采购活动，应当出具符合财库〔2020〕46号规定的《中小企业声明函》,否则不得享受相关中小企业扶持政策。</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1.3采购人拟采购产品属于优先采购节能、环境标志产品范围的，应当优先采购节能、环境标志产品；拟采购产品符合政府采购强制采购政策的，实行强制采购。</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1.3.1采购人依据节能产品、环境标志产品品目清单和节能、环境标志产品认证证书实施政府优先采购和强制采购。</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spacing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sz w:val="24"/>
          <w:szCs w:val="24"/>
        </w:rPr>
        <w:t>1.4监狱企业参加政府采购活动时，应当提供由省级以上监狱管理局、戒毒管理局(含新疆生产建设兵团)出具的属于监狱企业的证明文件。</w:t>
      </w:r>
      <w:r>
        <w:rPr>
          <w:rFonts w:hint="eastAsia" w:ascii="仿宋" w:hAnsi="仿宋" w:eastAsia="仿宋" w:cs="仿宋"/>
          <w:color w:val="000000"/>
          <w:sz w:val="24"/>
          <w:szCs w:val="24"/>
        </w:rPr>
        <w:t>监狱企业参加政府采购活动时，视同小型、微型企业。</w:t>
      </w:r>
    </w:p>
    <w:p>
      <w:pPr>
        <w:spacing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sz w:val="24"/>
          <w:szCs w:val="24"/>
        </w:rPr>
        <w:t>1.5符合条件的残疾人福利性单位在参加政府采购活动时，应当提供《残疾人福利性单位声明函》，并对声明的真实性负责。残疾人福利性单位</w:t>
      </w:r>
      <w:r>
        <w:rPr>
          <w:rFonts w:hint="eastAsia" w:ascii="仿宋" w:hAnsi="仿宋" w:eastAsia="仿宋" w:cs="仿宋"/>
          <w:color w:val="000000"/>
          <w:sz w:val="24"/>
          <w:szCs w:val="24"/>
        </w:rPr>
        <w:t>参加政府采购活动时，视同小型、微型企业；</w:t>
      </w:r>
      <w:r>
        <w:rPr>
          <w:rFonts w:hint="eastAsia" w:ascii="仿宋" w:hAnsi="仿宋" w:eastAsia="仿宋" w:cs="仿宋"/>
          <w:sz w:val="24"/>
          <w:szCs w:val="24"/>
        </w:rPr>
        <w:t>残疾人福利性单位属于小型、微型企业的，不重复享受政策。</w:t>
      </w:r>
    </w:p>
    <w:p>
      <w:pPr>
        <w:spacing w:line="500" w:lineRule="exact"/>
        <w:ind w:firstLine="482" w:firstLineChars="200"/>
        <w:jc w:val="left"/>
        <w:outlineLvl w:val="2"/>
        <w:rPr>
          <w:rFonts w:hint="eastAsia" w:ascii="仿宋" w:hAnsi="仿宋" w:eastAsia="仿宋" w:cs="仿宋"/>
          <w:b/>
          <w:bCs/>
          <w:sz w:val="24"/>
          <w:szCs w:val="24"/>
        </w:rPr>
      </w:pPr>
      <w:r>
        <w:rPr>
          <w:rFonts w:hint="eastAsia" w:ascii="仿宋" w:hAnsi="仿宋" w:eastAsia="仿宋" w:cs="仿宋"/>
          <w:b/>
          <w:bCs/>
          <w:sz w:val="24"/>
          <w:szCs w:val="24"/>
        </w:rPr>
        <w:t>2、政策性扣减方式</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2.1根据《政府采购促进中小企业发展管理办法》（财库〔2020〕46号）、《陕西省财政厅关于进一步加大政府采购支持中小企业力度的通知》（陕财办采〔2022〕5号），对于</w:t>
      </w:r>
      <w:r>
        <w:rPr>
          <w:rFonts w:hint="eastAsia" w:ascii="仿宋" w:hAnsi="仿宋" w:eastAsia="仿宋" w:cs="仿宋"/>
          <w:spacing w:val="8"/>
          <w:sz w:val="24"/>
          <w:szCs w:val="24"/>
        </w:rPr>
        <w:t>未预留份额专门</w:t>
      </w:r>
      <w:r>
        <w:rPr>
          <w:rFonts w:hint="eastAsia" w:ascii="仿宋" w:hAnsi="仿宋" w:eastAsia="仿宋" w:cs="仿宋"/>
          <w:sz w:val="24"/>
          <w:szCs w:val="24"/>
        </w:rPr>
        <w:t>面向中小企业采购的采购项目，以及预留份额项目的非预</w:t>
      </w:r>
      <w:r>
        <w:rPr>
          <w:rFonts w:hint="eastAsia" w:ascii="仿宋" w:hAnsi="仿宋" w:eastAsia="仿宋" w:cs="仿宋"/>
          <w:spacing w:val="-2"/>
          <w:sz w:val="24"/>
          <w:szCs w:val="24"/>
        </w:rPr>
        <w:t>留部分采购包中</w:t>
      </w:r>
      <w:r>
        <w:rPr>
          <w:rFonts w:hint="eastAsia" w:ascii="仿宋" w:hAnsi="仿宋" w:eastAsia="仿宋" w:cs="仿宋"/>
          <w:sz w:val="24"/>
          <w:szCs w:val="24"/>
        </w:rPr>
        <w:t>符合条件的小微企业，在评标时在采用原报价进行评分的基础上增加其价格得分的3%作为其价格分。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2.2接受大中型企业与小微企业组成联合体或者允许大中型企业向一家或者多家小微企业分包的采购项目，对于联合协议或者分包意向协议约定小微企业的合同份额占到合同总金额 30%以上的，在评标时在采用原报价进行评分的基础上增加其价格得分的1%作为其价格分；组成联合体或者接受分包的小微企业与联合体内其他企业、分包企业之间存在直接控股、管理关系的，不享受价格加分优惠政策。</w:t>
      </w:r>
      <w:r>
        <w:rPr>
          <w:rFonts w:hint="eastAsia" w:ascii="仿宋" w:hAnsi="仿宋" w:eastAsia="仿宋" w:cs="仿宋"/>
          <w:b/>
          <w:bCs/>
          <w:sz w:val="24"/>
          <w:szCs w:val="24"/>
        </w:rPr>
        <w:t>享受扶持政策获得政府采购合同的，小微企业不得将合同分包给大中型企业，中型企业不得将合同分包给大型企业。</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2.3监狱企业、残疾人福利性单位视同小微企业，享受预留份额、评审中价格加分等促进中小企业发展的政府采购政策。监狱企业、残疾人福利性单位属于小微企业的，不重复享受政策。</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2.4供应商享受支持中小型企业发展政策优惠的，可以同时享受节能、环境标志产品优先采购政策。</w:t>
      </w:r>
    </w:p>
    <w:p>
      <w:pPr>
        <w:pStyle w:val="4"/>
        <w:spacing w:before="0" w:after="0" w:line="500" w:lineRule="exact"/>
        <w:rPr>
          <w:rFonts w:hint="eastAsia" w:ascii="仿宋" w:hAnsi="仿宋" w:eastAsia="仿宋" w:cs="仿宋"/>
          <w:sz w:val="24"/>
          <w:szCs w:val="24"/>
        </w:rPr>
      </w:pPr>
      <w:r>
        <w:rPr>
          <w:rFonts w:hint="eastAsia" w:ascii="仿宋" w:hAnsi="仿宋" w:eastAsia="仿宋" w:cs="仿宋"/>
          <w:sz w:val="24"/>
          <w:szCs w:val="24"/>
        </w:rPr>
        <w:t>四、评审标准</w:t>
      </w:r>
    </w:p>
    <w:p>
      <w:pPr>
        <w:pStyle w:val="5"/>
        <w:spacing w:line="500" w:lineRule="exact"/>
        <w:ind w:firstLine="482" w:firstLineChars="200"/>
        <w:rPr>
          <w:rFonts w:hint="eastAsia" w:ascii="仿宋" w:hAnsi="仿宋" w:eastAsia="仿宋" w:cs="仿宋"/>
        </w:rPr>
      </w:pPr>
      <w:r>
        <w:rPr>
          <w:rFonts w:hint="eastAsia" w:ascii="仿宋" w:hAnsi="仿宋" w:eastAsia="仿宋" w:cs="仿宋"/>
        </w:rPr>
        <w:t>1、初步评审标准</w:t>
      </w:r>
    </w:p>
    <w:p>
      <w:pPr>
        <w:tabs>
          <w:tab w:val="left" w:pos="0"/>
        </w:tabs>
        <w:adjustRightInd w:val="0"/>
        <w:snapToGrid w:val="0"/>
        <w:spacing w:line="500" w:lineRule="exact"/>
        <w:ind w:firstLine="470" w:firstLineChars="196"/>
        <w:rPr>
          <w:rFonts w:hint="eastAsia" w:ascii="仿宋" w:hAnsi="仿宋" w:eastAsia="仿宋" w:cs="仿宋"/>
          <w:color w:val="000000"/>
          <w:kern w:val="0"/>
          <w:sz w:val="24"/>
          <w:szCs w:val="24"/>
        </w:rPr>
      </w:pPr>
      <w:r>
        <w:rPr>
          <w:rFonts w:hint="eastAsia" w:ascii="仿宋" w:hAnsi="仿宋" w:eastAsia="仿宋" w:cs="仿宋"/>
          <w:color w:val="000000"/>
          <w:sz w:val="24"/>
          <w:szCs w:val="24"/>
        </w:rPr>
        <w:t>1.1资格性审查标准：见附件1初步审查要素表</w:t>
      </w:r>
    </w:p>
    <w:p>
      <w:pPr>
        <w:tabs>
          <w:tab w:val="left" w:pos="0"/>
        </w:tabs>
        <w:adjustRightInd w:val="0"/>
        <w:snapToGrid w:val="0"/>
        <w:spacing w:line="500" w:lineRule="exact"/>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1.2符合性审查标准：见附件1初步审查要素表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1.3否决投标条件：见附件3 否决投标条件</w:t>
      </w:r>
    </w:p>
    <w:p>
      <w:pPr>
        <w:pStyle w:val="5"/>
        <w:spacing w:line="500" w:lineRule="exact"/>
        <w:ind w:firstLine="482" w:firstLineChars="200"/>
        <w:rPr>
          <w:rFonts w:hint="eastAsia" w:ascii="仿宋" w:hAnsi="仿宋" w:eastAsia="仿宋" w:cs="仿宋"/>
        </w:rPr>
      </w:pPr>
      <w:r>
        <w:rPr>
          <w:rFonts w:hint="eastAsia" w:ascii="仿宋" w:hAnsi="仿宋" w:eastAsia="仿宋" w:cs="仿宋"/>
        </w:rPr>
        <w:t>2、分值构成与评分标准</w:t>
      </w:r>
    </w:p>
    <w:p>
      <w:pPr>
        <w:tabs>
          <w:tab w:val="left" w:pos="0"/>
        </w:tabs>
        <w:adjustRightInd w:val="0"/>
        <w:snapToGrid w:val="0"/>
        <w:spacing w:line="500" w:lineRule="exact"/>
        <w:ind w:firstLine="470" w:firstLineChars="196"/>
        <w:rPr>
          <w:rFonts w:hint="eastAsia" w:ascii="仿宋" w:hAnsi="仿宋" w:eastAsia="仿宋" w:cs="仿宋"/>
          <w:b/>
          <w:spacing w:val="4"/>
          <w:sz w:val="24"/>
          <w:szCs w:val="24"/>
        </w:rPr>
      </w:pPr>
      <w:r>
        <w:rPr>
          <w:rFonts w:hint="eastAsia" w:ascii="仿宋" w:hAnsi="仿宋" w:eastAsia="仿宋" w:cs="仿宋"/>
          <w:bCs/>
          <w:color w:val="000000"/>
          <w:sz w:val="24"/>
          <w:szCs w:val="24"/>
        </w:rPr>
        <w:t>2.1分值构成：见附件2评标因素及权重分值表</w:t>
      </w:r>
    </w:p>
    <w:p>
      <w:pPr>
        <w:spacing w:line="440" w:lineRule="exact"/>
        <w:ind w:right="40" w:rightChars="19" w:firstLine="480" w:firstLineChars="200"/>
        <w:rPr>
          <w:rFonts w:hint="eastAsia" w:ascii="仿宋" w:hAnsi="仿宋" w:eastAsia="仿宋" w:cs="仿宋"/>
          <w:sz w:val="24"/>
          <w:szCs w:val="24"/>
        </w:rPr>
      </w:pPr>
    </w:p>
    <w:p>
      <w:pPr>
        <w:pStyle w:val="2"/>
        <w:rPr>
          <w:rFonts w:hint="eastAsia" w:ascii="仿宋" w:hAnsi="仿宋" w:eastAsia="仿宋" w:cs="仿宋"/>
          <w:sz w:val="24"/>
          <w:szCs w:val="24"/>
        </w:rPr>
      </w:pPr>
      <w:r>
        <w:rPr>
          <w:rFonts w:hint="eastAsia" w:ascii="仿宋" w:hAnsi="仿宋" w:eastAsia="仿宋" w:cs="仿宋"/>
          <w:sz w:val="24"/>
          <w:szCs w:val="24"/>
        </w:rPr>
        <w:br w:type="page"/>
      </w:r>
    </w:p>
    <w:p>
      <w:pPr>
        <w:pStyle w:val="5"/>
        <w:rPr>
          <w:rFonts w:hint="eastAsia" w:ascii="仿宋" w:hAnsi="仿宋" w:eastAsia="仿宋" w:cs="仿宋"/>
        </w:rPr>
      </w:pPr>
      <w:r>
        <w:rPr>
          <w:rFonts w:hint="eastAsia" w:ascii="仿宋" w:hAnsi="仿宋" w:eastAsia="仿宋" w:cs="仿宋"/>
        </w:rPr>
        <w:t>附件1：</w:t>
      </w:r>
    </w:p>
    <w:p>
      <w:pPr>
        <w:pStyle w:val="5"/>
        <w:jc w:val="center"/>
        <w:rPr>
          <w:rFonts w:hint="eastAsia" w:ascii="仿宋" w:hAnsi="仿宋" w:eastAsia="仿宋" w:cs="仿宋"/>
        </w:rPr>
      </w:pPr>
      <w:r>
        <w:rPr>
          <w:rFonts w:hint="eastAsia" w:ascii="仿宋" w:hAnsi="仿宋" w:eastAsia="仿宋" w:cs="仿宋"/>
        </w:rPr>
        <w:t>初步审查要素表</w:t>
      </w:r>
    </w:p>
    <w:p>
      <w:pPr>
        <w:rPr>
          <w:rFonts w:hint="eastAsia" w:ascii="仿宋" w:hAnsi="仿宋" w:eastAsia="仿宋" w:cs="仿宋"/>
          <w:b/>
          <w:bCs/>
          <w:sz w:val="24"/>
          <w:szCs w:val="24"/>
        </w:rPr>
      </w:pPr>
    </w:p>
    <w:tbl>
      <w:tblPr>
        <w:tblStyle w:val="49"/>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439"/>
        <w:gridCol w:w="2193"/>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1203" w:type="dxa"/>
            <w:gridSpan w:val="2"/>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条款号</w:t>
            </w:r>
          </w:p>
        </w:tc>
        <w:tc>
          <w:tcPr>
            <w:tcW w:w="2193" w:type="dxa"/>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评审因素</w:t>
            </w:r>
          </w:p>
        </w:tc>
        <w:tc>
          <w:tcPr>
            <w:tcW w:w="6123" w:type="dxa"/>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64" w:type="dxa"/>
            <w:vMerge w:val="restart"/>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2.1</w:t>
            </w:r>
          </w:p>
        </w:tc>
        <w:tc>
          <w:tcPr>
            <w:tcW w:w="439" w:type="dxa"/>
            <w:vMerge w:val="restart"/>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资格评审</w:t>
            </w:r>
          </w:p>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标准</w:t>
            </w:r>
          </w:p>
        </w:tc>
        <w:tc>
          <w:tcPr>
            <w:tcW w:w="2193" w:type="dxa"/>
            <w:vMerge w:val="restart"/>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基本资格条件</w:t>
            </w:r>
          </w:p>
        </w:tc>
        <w:tc>
          <w:tcPr>
            <w:tcW w:w="6123" w:type="dxa"/>
            <w:vAlign w:val="center"/>
          </w:tcPr>
          <w:p>
            <w:pPr>
              <w:tabs>
                <w:tab w:val="left" w:pos="0"/>
              </w:tabs>
              <w:adjustRightInd w:val="0"/>
              <w:snapToGrid w:val="0"/>
              <w:ind w:left="-69" w:leftChars="-33" w:firstLine="79" w:firstLineChars="38"/>
              <w:jc w:val="left"/>
              <w:rPr>
                <w:rFonts w:hint="eastAsia" w:ascii="仿宋" w:hAnsi="仿宋" w:eastAsia="仿宋" w:cs="仿宋"/>
                <w:bCs/>
              </w:rPr>
            </w:pPr>
            <w:r>
              <w:rPr>
                <w:rFonts w:hint="eastAsia" w:ascii="仿宋" w:hAnsi="仿宋" w:eastAsia="仿宋" w:cs="仿宋"/>
                <w:bCs/>
              </w:rPr>
              <w:t>1、提供合格有效的法人或者其他组织的营业执照等证明文件，自然人的身份证明；</w:t>
            </w:r>
          </w:p>
          <w:p>
            <w:pPr>
              <w:tabs>
                <w:tab w:val="left" w:pos="0"/>
              </w:tabs>
              <w:adjustRightInd w:val="0"/>
              <w:snapToGrid w:val="0"/>
              <w:ind w:left="-69" w:leftChars="-33" w:firstLine="79" w:firstLineChars="38"/>
              <w:jc w:val="left"/>
              <w:rPr>
                <w:rFonts w:hint="eastAsia" w:ascii="仿宋" w:hAnsi="仿宋" w:eastAsia="仿宋" w:cs="仿宋"/>
                <w:bCs/>
              </w:rPr>
            </w:pPr>
            <w:r>
              <w:rPr>
                <w:rFonts w:hint="eastAsia" w:ascii="仿宋" w:hAnsi="仿宋" w:eastAsia="仿宋" w:cs="仿宋"/>
                <w:bCs/>
              </w:rPr>
              <w:t>投标人是法人或其他组织的应提供营业执照等证明文件，投标人是自然人的应提供有效的自然人身份证明。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764" w:type="dxa"/>
            <w:vMerge w:val="continue"/>
            <w:vAlign w:val="center"/>
          </w:tcPr>
          <w:p>
            <w:pPr>
              <w:tabs>
                <w:tab w:val="left" w:pos="0"/>
              </w:tabs>
              <w:adjustRightInd w:val="0"/>
              <w:snapToGrid w:val="0"/>
              <w:jc w:val="center"/>
              <w:rPr>
                <w:rFonts w:hint="eastAsia" w:ascii="仿宋" w:hAnsi="仿宋" w:eastAsia="仿宋" w:cs="仿宋"/>
                <w:bCs/>
              </w:rPr>
            </w:pPr>
          </w:p>
        </w:tc>
        <w:tc>
          <w:tcPr>
            <w:tcW w:w="439" w:type="dxa"/>
            <w:vMerge w:val="continue"/>
            <w:vAlign w:val="center"/>
          </w:tcPr>
          <w:p>
            <w:pPr>
              <w:tabs>
                <w:tab w:val="left" w:pos="0"/>
              </w:tabs>
              <w:adjustRightInd w:val="0"/>
              <w:snapToGrid w:val="0"/>
              <w:jc w:val="center"/>
              <w:rPr>
                <w:rFonts w:hint="eastAsia" w:ascii="仿宋" w:hAnsi="仿宋" w:eastAsia="仿宋" w:cs="仿宋"/>
                <w:bCs/>
              </w:rPr>
            </w:pPr>
          </w:p>
        </w:tc>
        <w:tc>
          <w:tcPr>
            <w:tcW w:w="2193" w:type="dxa"/>
            <w:vMerge w:val="continue"/>
            <w:vAlign w:val="center"/>
          </w:tcPr>
          <w:p>
            <w:pPr>
              <w:tabs>
                <w:tab w:val="left" w:pos="0"/>
              </w:tabs>
              <w:adjustRightInd w:val="0"/>
              <w:snapToGrid w:val="0"/>
              <w:jc w:val="center"/>
              <w:rPr>
                <w:rFonts w:hint="eastAsia" w:ascii="仿宋" w:hAnsi="仿宋" w:eastAsia="仿宋" w:cs="仿宋"/>
                <w:bCs/>
              </w:rPr>
            </w:pPr>
          </w:p>
        </w:tc>
        <w:tc>
          <w:tcPr>
            <w:tcW w:w="6123" w:type="dxa"/>
            <w:vAlign w:val="center"/>
          </w:tcPr>
          <w:p>
            <w:pPr>
              <w:tabs>
                <w:tab w:val="left" w:pos="0"/>
              </w:tabs>
              <w:adjustRightInd w:val="0"/>
              <w:snapToGrid w:val="0"/>
              <w:ind w:left="-69" w:leftChars="-33" w:firstLine="79" w:firstLineChars="38"/>
              <w:jc w:val="left"/>
              <w:rPr>
                <w:rFonts w:hint="eastAsia" w:ascii="仿宋" w:hAnsi="仿宋" w:eastAsia="仿宋" w:cs="仿宋"/>
                <w:bCs/>
              </w:rPr>
            </w:pPr>
            <w:r>
              <w:rPr>
                <w:rFonts w:hint="eastAsia" w:ascii="仿宋" w:hAnsi="仿宋" w:eastAsia="仿宋" w:cs="仿宋"/>
                <w:bCs/>
              </w:rPr>
              <w:t>2、提供2021年度经审计的财务报告（</w:t>
            </w:r>
            <w:r>
              <w:rPr>
                <w:rFonts w:hint="eastAsia" w:ascii="仿宋" w:hAnsi="仿宋" w:eastAsia="仿宋" w:cs="仿宋"/>
              </w:rPr>
              <w:t>包括“四表一注”即《资产负债表》《利润表》《现金流量表》《所有者权益变动表》及其附注；</w:t>
            </w:r>
            <w:r>
              <w:rPr>
                <w:rFonts w:hint="eastAsia" w:ascii="仿宋" w:hAnsi="仿宋" w:eastAsia="仿宋" w:cs="仿宋"/>
                <w:bCs/>
              </w:rPr>
              <w:t>成立时间至提交投标文件截止时间不足一年的可提供成立后任意时段的资产负债表）或基本存款账户开户银行出具的资信证明及基本存款账户开户许可证（基本账户信息）或财政部门认可的政府采购专业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仿宋" w:hAnsi="仿宋" w:eastAsia="仿宋" w:cs="仿宋"/>
                <w:bCs/>
              </w:rPr>
            </w:pPr>
          </w:p>
        </w:tc>
        <w:tc>
          <w:tcPr>
            <w:tcW w:w="439" w:type="dxa"/>
            <w:vMerge w:val="continue"/>
            <w:vAlign w:val="center"/>
          </w:tcPr>
          <w:p>
            <w:pPr>
              <w:tabs>
                <w:tab w:val="left" w:pos="0"/>
              </w:tabs>
              <w:adjustRightInd w:val="0"/>
              <w:snapToGrid w:val="0"/>
              <w:jc w:val="center"/>
              <w:rPr>
                <w:rFonts w:hint="eastAsia" w:ascii="仿宋" w:hAnsi="仿宋" w:eastAsia="仿宋" w:cs="仿宋"/>
                <w:bCs/>
              </w:rPr>
            </w:pPr>
          </w:p>
        </w:tc>
        <w:tc>
          <w:tcPr>
            <w:tcW w:w="2193" w:type="dxa"/>
            <w:vMerge w:val="continue"/>
            <w:vAlign w:val="center"/>
          </w:tcPr>
          <w:p>
            <w:pPr>
              <w:tabs>
                <w:tab w:val="left" w:pos="0"/>
              </w:tabs>
              <w:adjustRightInd w:val="0"/>
              <w:snapToGrid w:val="0"/>
              <w:jc w:val="center"/>
              <w:rPr>
                <w:rFonts w:hint="eastAsia" w:ascii="仿宋" w:hAnsi="仿宋" w:eastAsia="仿宋" w:cs="仿宋"/>
                <w:bCs/>
              </w:rPr>
            </w:pPr>
          </w:p>
        </w:tc>
        <w:tc>
          <w:tcPr>
            <w:tcW w:w="6123" w:type="dxa"/>
            <w:vAlign w:val="center"/>
          </w:tcPr>
          <w:p>
            <w:pPr>
              <w:tabs>
                <w:tab w:val="left" w:pos="0"/>
              </w:tabs>
              <w:adjustRightInd w:val="0"/>
              <w:snapToGrid w:val="0"/>
              <w:ind w:left="-69" w:leftChars="-33" w:firstLine="79" w:firstLineChars="38"/>
              <w:jc w:val="left"/>
              <w:rPr>
                <w:rFonts w:hint="eastAsia" w:ascii="仿宋" w:hAnsi="仿宋" w:eastAsia="仿宋" w:cs="仿宋"/>
                <w:bCs/>
              </w:rPr>
            </w:pPr>
            <w:r>
              <w:rPr>
                <w:rFonts w:hint="eastAsia" w:ascii="仿宋" w:hAnsi="仿宋" w:eastAsia="仿宋" w:cs="仿宋"/>
                <w:bCs/>
              </w:rPr>
              <w:t>3、提供投标截止日前一年内已缴纳的至少一个月的纳税证明或完税证明，依法免税的单位应提供相关证明材料；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仿宋" w:hAnsi="仿宋" w:eastAsia="仿宋" w:cs="仿宋"/>
                <w:bCs/>
              </w:rPr>
            </w:pPr>
          </w:p>
        </w:tc>
        <w:tc>
          <w:tcPr>
            <w:tcW w:w="439" w:type="dxa"/>
            <w:vMerge w:val="continue"/>
            <w:vAlign w:val="center"/>
          </w:tcPr>
          <w:p>
            <w:pPr>
              <w:tabs>
                <w:tab w:val="left" w:pos="0"/>
              </w:tabs>
              <w:adjustRightInd w:val="0"/>
              <w:snapToGrid w:val="0"/>
              <w:jc w:val="center"/>
              <w:rPr>
                <w:rFonts w:hint="eastAsia" w:ascii="仿宋" w:hAnsi="仿宋" w:eastAsia="仿宋" w:cs="仿宋"/>
                <w:bCs/>
              </w:rPr>
            </w:pPr>
          </w:p>
        </w:tc>
        <w:tc>
          <w:tcPr>
            <w:tcW w:w="2193" w:type="dxa"/>
            <w:vMerge w:val="continue"/>
            <w:vAlign w:val="center"/>
          </w:tcPr>
          <w:p>
            <w:pPr>
              <w:tabs>
                <w:tab w:val="left" w:pos="0"/>
              </w:tabs>
              <w:adjustRightInd w:val="0"/>
              <w:snapToGrid w:val="0"/>
              <w:jc w:val="center"/>
              <w:rPr>
                <w:rFonts w:hint="eastAsia" w:ascii="仿宋" w:hAnsi="仿宋" w:eastAsia="仿宋" w:cs="仿宋"/>
                <w:bCs/>
              </w:rPr>
            </w:pPr>
          </w:p>
        </w:tc>
        <w:tc>
          <w:tcPr>
            <w:tcW w:w="6123" w:type="dxa"/>
            <w:vAlign w:val="center"/>
          </w:tcPr>
          <w:p>
            <w:pPr>
              <w:tabs>
                <w:tab w:val="left" w:pos="0"/>
              </w:tabs>
              <w:adjustRightInd w:val="0"/>
              <w:snapToGrid w:val="0"/>
              <w:ind w:left="-69" w:leftChars="-33" w:firstLine="79" w:firstLineChars="38"/>
              <w:jc w:val="left"/>
              <w:rPr>
                <w:rFonts w:hint="eastAsia" w:ascii="仿宋" w:hAnsi="仿宋" w:eastAsia="仿宋" w:cs="仿宋"/>
                <w:bCs/>
              </w:rPr>
            </w:pPr>
            <w:r>
              <w:rPr>
                <w:rFonts w:hint="eastAsia" w:ascii="仿宋" w:hAnsi="仿宋" w:eastAsia="仿宋" w:cs="仿宋"/>
                <w:bCs/>
              </w:rPr>
              <w:t>4、提供投标截止日前一年内已缴存的至少一个月的社会保障资金缴存单据或社保机构开具的社会保险参保缴费情况证明，依法不需要缴纳社会保障资金的单位应提供相关证明材料；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764" w:type="dxa"/>
            <w:vMerge w:val="continue"/>
            <w:vAlign w:val="center"/>
          </w:tcPr>
          <w:p>
            <w:pPr>
              <w:tabs>
                <w:tab w:val="left" w:pos="0"/>
              </w:tabs>
              <w:adjustRightInd w:val="0"/>
              <w:snapToGrid w:val="0"/>
              <w:jc w:val="center"/>
              <w:rPr>
                <w:rFonts w:hint="eastAsia" w:ascii="仿宋" w:hAnsi="仿宋" w:eastAsia="仿宋" w:cs="仿宋"/>
                <w:bCs/>
              </w:rPr>
            </w:pPr>
          </w:p>
        </w:tc>
        <w:tc>
          <w:tcPr>
            <w:tcW w:w="439" w:type="dxa"/>
            <w:vMerge w:val="continue"/>
            <w:vAlign w:val="center"/>
          </w:tcPr>
          <w:p>
            <w:pPr>
              <w:tabs>
                <w:tab w:val="left" w:pos="0"/>
              </w:tabs>
              <w:adjustRightInd w:val="0"/>
              <w:snapToGrid w:val="0"/>
              <w:jc w:val="center"/>
              <w:rPr>
                <w:rFonts w:hint="eastAsia" w:ascii="仿宋" w:hAnsi="仿宋" w:eastAsia="仿宋" w:cs="仿宋"/>
                <w:bCs/>
              </w:rPr>
            </w:pPr>
          </w:p>
        </w:tc>
        <w:tc>
          <w:tcPr>
            <w:tcW w:w="2193" w:type="dxa"/>
            <w:vMerge w:val="continue"/>
            <w:vAlign w:val="center"/>
          </w:tcPr>
          <w:p>
            <w:pPr>
              <w:tabs>
                <w:tab w:val="left" w:pos="0"/>
              </w:tabs>
              <w:adjustRightInd w:val="0"/>
              <w:snapToGrid w:val="0"/>
              <w:jc w:val="center"/>
              <w:rPr>
                <w:rFonts w:hint="eastAsia" w:ascii="仿宋" w:hAnsi="仿宋" w:eastAsia="仿宋" w:cs="仿宋"/>
                <w:bCs/>
              </w:rPr>
            </w:pPr>
          </w:p>
        </w:tc>
        <w:tc>
          <w:tcPr>
            <w:tcW w:w="6123" w:type="dxa"/>
            <w:vAlign w:val="center"/>
          </w:tcPr>
          <w:p>
            <w:pPr>
              <w:tabs>
                <w:tab w:val="left" w:pos="0"/>
              </w:tabs>
              <w:adjustRightInd w:val="0"/>
              <w:snapToGrid w:val="0"/>
              <w:ind w:left="-69" w:leftChars="-33" w:firstLine="79" w:firstLineChars="38"/>
              <w:jc w:val="left"/>
              <w:rPr>
                <w:rFonts w:hint="eastAsia" w:ascii="仿宋" w:hAnsi="仿宋" w:eastAsia="仿宋" w:cs="仿宋"/>
                <w:bCs/>
              </w:rPr>
            </w:pPr>
            <w:r>
              <w:rPr>
                <w:rFonts w:hint="eastAsia" w:ascii="仿宋" w:hAnsi="仿宋" w:eastAsia="仿宋" w:cs="仿宋"/>
                <w:bCs/>
              </w:rPr>
              <w:t>5、提供具有履行合同所必需的设备和专业技术能力的承诺；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64" w:type="dxa"/>
            <w:vMerge w:val="continue"/>
            <w:vAlign w:val="center"/>
          </w:tcPr>
          <w:p>
            <w:pPr>
              <w:tabs>
                <w:tab w:val="left" w:pos="0"/>
              </w:tabs>
              <w:adjustRightInd w:val="0"/>
              <w:snapToGrid w:val="0"/>
              <w:jc w:val="center"/>
              <w:rPr>
                <w:rFonts w:hint="eastAsia" w:ascii="仿宋" w:hAnsi="仿宋" w:eastAsia="仿宋" w:cs="仿宋"/>
                <w:bCs/>
              </w:rPr>
            </w:pPr>
          </w:p>
        </w:tc>
        <w:tc>
          <w:tcPr>
            <w:tcW w:w="439" w:type="dxa"/>
            <w:vMerge w:val="continue"/>
            <w:vAlign w:val="center"/>
          </w:tcPr>
          <w:p>
            <w:pPr>
              <w:tabs>
                <w:tab w:val="left" w:pos="0"/>
              </w:tabs>
              <w:adjustRightInd w:val="0"/>
              <w:snapToGrid w:val="0"/>
              <w:jc w:val="center"/>
              <w:rPr>
                <w:rFonts w:hint="eastAsia" w:ascii="仿宋" w:hAnsi="仿宋" w:eastAsia="仿宋" w:cs="仿宋"/>
                <w:bCs/>
              </w:rPr>
            </w:pPr>
          </w:p>
        </w:tc>
        <w:tc>
          <w:tcPr>
            <w:tcW w:w="2193" w:type="dxa"/>
            <w:vMerge w:val="continue"/>
            <w:vAlign w:val="center"/>
          </w:tcPr>
          <w:p>
            <w:pPr>
              <w:tabs>
                <w:tab w:val="left" w:pos="0"/>
              </w:tabs>
              <w:adjustRightInd w:val="0"/>
              <w:snapToGrid w:val="0"/>
              <w:jc w:val="center"/>
              <w:rPr>
                <w:rFonts w:hint="eastAsia" w:ascii="仿宋" w:hAnsi="仿宋" w:eastAsia="仿宋" w:cs="仿宋"/>
                <w:bCs/>
              </w:rPr>
            </w:pPr>
          </w:p>
        </w:tc>
        <w:tc>
          <w:tcPr>
            <w:tcW w:w="6123" w:type="dxa"/>
            <w:vAlign w:val="center"/>
          </w:tcPr>
          <w:p>
            <w:pPr>
              <w:rPr>
                <w:rFonts w:hint="eastAsia" w:ascii="仿宋" w:hAnsi="仿宋" w:eastAsia="仿宋" w:cs="仿宋"/>
              </w:rPr>
            </w:pPr>
            <w:r>
              <w:rPr>
                <w:rFonts w:hint="eastAsia" w:ascii="仿宋" w:hAnsi="仿宋" w:eastAsia="仿宋" w:cs="仿宋"/>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64" w:type="dxa"/>
            <w:vMerge w:val="continue"/>
            <w:vAlign w:val="center"/>
          </w:tcPr>
          <w:p>
            <w:pPr>
              <w:tabs>
                <w:tab w:val="left" w:pos="0"/>
              </w:tabs>
              <w:adjustRightInd w:val="0"/>
              <w:snapToGrid w:val="0"/>
              <w:jc w:val="center"/>
              <w:rPr>
                <w:rFonts w:hint="eastAsia" w:ascii="仿宋" w:hAnsi="仿宋" w:eastAsia="仿宋" w:cs="仿宋"/>
                <w:bCs/>
              </w:rPr>
            </w:pPr>
          </w:p>
        </w:tc>
        <w:tc>
          <w:tcPr>
            <w:tcW w:w="439" w:type="dxa"/>
            <w:vMerge w:val="continue"/>
            <w:vAlign w:val="center"/>
          </w:tcPr>
          <w:p>
            <w:pPr>
              <w:tabs>
                <w:tab w:val="left" w:pos="0"/>
              </w:tabs>
              <w:adjustRightInd w:val="0"/>
              <w:snapToGrid w:val="0"/>
              <w:jc w:val="center"/>
              <w:rPr>
                <w:rFonts w:hint="eastAsia" w:ascii="仿宋" w:hAnsi="仿宋" w:eastAsia="仿宋" w:cs="仿宋"/>
                <w:bCs/>
              </w:rPr>
            </w:pPr>
          </w:p>
        </w:tc>
        <w:tc>
          <w:tcPr>
            <w:tcW w:w="2193" w:type="dxa"/>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rPr>
              <w:t>落实政府采购政策需满足的资格要求</w:t>
            </w:r>
          </w:p>
        </w:tc>
        <w:tc>
          <w:tcPr>
            <w:tcW w:w="6123" w:type="dxa"/>
            <w:vAlign w:val="center"/>
          </w:tcPr>
          <w:p>
            <w:pPr>
              <w:rPr>
                <w:rFonts w:hint="eastAsia" w:ascii="仿宋" w:hAnsi="仿宋" w:eastAsia="仿宋" w:cs="仿宋"/>
              </w:rPr>
            </w:pPr>
            <w:r>
              <w:rPr>
                <w:rFonts w:hint="eastAsia" w:ascii="仿宋" w:hAnsi="仿宋" w:eastAsia="仿宋" w:cs="仿宋"/>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764" w:type="dxa"/>
            <w:vMerge w:val="continue"/>
            <w:vAlign w:val="center"/>
          </w:tcPr>
          <w:p>
            <w:pPr>
              <w:tabs>
                <w:tab w:val="left" w:pos="0"/>
              </w:tabs>
              <w:adjustRightInd w:val="0"/>
              <w:snapToGrid w:val="0"/>
              <w:jc w:val="center"/>
              <w:rPr>
                <w:rFonts w:hint="eastAsia" w:ascii="仿宋" w:hAnsi="仿宋" w:eastAsia="仿宋" w:cs="仿宋"/>
                <w:bCs/>
              </w:rPr>
            </w:pPr>
          </w:p>
        </w:tc>
        <w:tc>
          <w:tcPr>
            <w:tcW w:w="439" w:type="dxa"/>
            <w:vMerge w:val="continue"/>
            <w:vAlign w:val="center"/>
          </w:tcPr>
          <w:p>
            <w:pPr>
              <w:tabs>
                <w:tab w:val="left" w:pos="0"/>
              </w:tabs>
              <w:adjustRightInd w:val="0"/>
              <w:snapToGrid w:val="0"/>
              <w:jc w:val="center"/>
              <w:rPr>
                <w:rFonts w:hint="eastAsia" w:ascii="仿宋" w:hAnsi="仿宋" w:eastAsia="仿宋" w:cs="仿宋"/>
                <w:bCs/>
              </w:rPr>
            </w:pPr>
          </w:p>
        </w:tc>
        <w:tc>
          <w:tcPr>
            <w:tcW w:w="2193" w:type="dxa"/>
            <w:vMerge w:val="restart"/>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特定资格条件</w:t>
            </w:r>
          </w:p>
          <w:p>
            <w:pPr>
              <w:tabs>
                <w:tab w:val="left" w:pos="0"/>
              </w:tabs>
              <w:adjustRightInd w:val="0"/>
              <w:snapToGrid w:val="0"/>
              <w:jc w:val="center"/>
              <w:rPr>
                <w:rFonts w:hint="eastAsia" w:ascii="仿宋" w:hAnsi="仿宋" w:eastAsia="仿宋" w:cs="仿宋"/>
                <w:bCs/>
              </w:rPr>
            </w:pPr>
          </w:p>
        </w:tc>
        <w:tc>
          <w:tcPr>
            <w:tcW w:w="6123" w:type="dxa"/>
            <w:vAlign w:val="center"/>
          </w:tcPr>
          <w:p>
            <w:pPr>
              <w:tabs>
                <w:tab w:val="left" w:pos="0"/>
              </w:tabs>
              <w:adjustRightInd w:val="0"/>
              <w:snapToGrid w:val="0"/>
              <w:ind w:left="-69" w:leftChars="-33" w:firstLine="79" w:firstLineChars="38"/>
              <w:jc w:val="left"/>
              <w:rPr>
                <w:rFonts w:hint="eastAsia" w:ascii="仿宋" w:hAnsi="仿宋" w:eastAsia="仿宋" w:cs="仿宋"/>
                <w:bCs/>
              </w:rPr>
            </w:pPr>
            <w:r>
              <w:rPr>
                <w:rFonts w:hint="eastAsia" w:ascii="仿宋" w:hAnsi="仿宋" w:eastAsia="仿宋" w:cs="仿宋"/>
                <w:bCs/>
              </w:rPr>
              <w:t>1、法定代表人身份证明/法定代表人授权委托书：法定代表人直接参加投标的，须提供法定代表人身份证明及其身份证复印件加盖供应商公章；法定代表人授权他人参加投标的，须提供法定代表人授权委托书（附法定代表人、被授权人身份证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764" w:type="dxa"/>
            <w:vMerge w:val="continue"/>
            <w:vAlign w:val="center"/>
          </w:tcPr>
          <w:p>
            <w:pPr>
              <w:tabs>
                <w:tab w:val="left" w:pos="0"/>
              </w:tabs>
              <w:adjustRightInd w:val="0"/>
              <w:snapToGrid w:val="0"/>
              <w:jc w:val="center"/>
              <w:rPr>
                <w:rFonts w:hint="eastAsia" w:ascii="仿宋" w:hAnsi="仿宋" w:eastAsia="仿宋" w:cs="仿宋"/>
                <w:bCs/>
              </w:rPr>
            </w:pPr>
          </w:p>
        </w:tc>
        <w:tc>
          <w:tcPr>
            <w:tcW w:w="439" w:type="dxa"/>
            <w:vMerge w:val="continue"/>
            <w:vAlign w:val="center"/>
          </w:tcPr>
          <w:p>
            <w:pPr>
              <w:tabs>
                <w:tab w:val="left" w:pos="0"/>
              </w:tabs>
              <w:adjustRightInd w:val="0"/>
              <w:snapToGrid w:val="0"/>
              <w:jc w:val="center"/>
              <w:rPr>
                <w:rFonts w:hint="eastAsia" w:ascii="仿宋" w:hAnsi="仿宋" w:eastAsia="仿宋" w:cs="仿宋"/>
                <w:bCs/>
              </w:rPr>
            </w:pPr>
          </w:p>
        </w:tc>
        <w:tc>
          <w:tcPr>
            <w:tcW w:w="2193" w:type="dxa"/>
            <w:vMerge w:val="continue"/>
            <w:vAlign w:val="center"/>
          </w:tcPr>
          <w:p>
            <w:pPr>
              <w:tabs>
                <w:tab w:val="left" w:pos="0"/>
              </w:tabs>
              <w:adjustRightInd w:val="0"/>
              <w:snapToGrid w:val="0"/>
              <w:jc w:val="center"/>
              <w:rPr>
                <w:rFonts w:hint="eastAsia" w:ascii="仿宋" w:hAnsi="仿宋" w:eastAsia="仿宋" w:cs="仿宋"/>
                <w:bCs/>
              </w:rPr>
            </w:pPr>
          </w:p>
        </w:tc>
        <w:tc>
          <w:tcPr>
            <w:tcW w:w="6123" w:type="dxa"/>
            <w:vAlign w:val="center"/>
          </w:tcPr>
          <w:p>
            <w:pPr>
              <w:tabs>
                <w:tab w:val="left" w:pos="0"/>
              </w:tabs>
              <w:adjustRightInd w:val="0"/>
              <w:snapToGrid w:val="0"/>
              <w:ind w:left="-69" w:leftChars="-33" w:firstLine="79" w:firstLineChars="38"/>
              <w:jc w:val="left"/>
              <w:rPr>
                <w:rFonts w:hint="eastAsia" w:ascii="仿宋" w:hAnsi="仿宋" w:eastAsia="仿宋" w:cs="仿宋"/>
                <w:color w:val="FF0000"/>
              </w:rPr>
            </w:pPr>
            <w:r>
              <w:rPr>
                <w:rFonts w:hint="eastAsia" w:ascii="仿宋" w:hAnsi="仿宋" w:eastAsia="仿宋" w:cs="仿宋"/>
                <w:bCs/>
              </w:rPr>
              <w:t>2、具备建设行政主管部门颁发的建筑工程施工总承包三级及以上资质证书，同时具有合格有效的安全生产许可证；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764" w:type="dxa"/>
            <w:vMerge w:val="continue"/>
            <w:vAlign w:val="center"/>
          </w:tcPr>
          <w:p>
            <w:pPr>
              <w:tabs>
                <w:tab w:val="left" w:pos="0"/>
              </w:tabs>
              <w:adjustRightInd w:val="0"/>
              <w:snapToGrid w:val="0"/>
              <w:jc w:val="center"/>
              <w:rPr>
                <w:rFonts w:hint="eastAsia" w:ascii="仿宋" w:hAnsi="仿宋" w:eastAsia="仿宋" w:cs="仿宋"/>
                <w:bCs/>
              </w:rPr>
            </w:pPr>
          </w:p>
        </w:tc>
        <w:tc>
          <w:tcPr>
            <w:tcW w:w="439" w:type="dxa"/>
            <w:vMerge w:val="continue"/>
            <w:vAlign w:val="center"/>
          </w:tcPr>
          <w:p>
            <w:pPr>
              <w:tabs>
                <w:tab w:val="left" w:pos="0"/>
              </w:tabs>
              <w:adjustRightInd w:val="0"/>
              <w:snapToGrid w:val="0"/>
              <w:jc w:val="center"/>
              <w:rPr>
                <w:rFonts w:hint="eastAsia" w:ascii="仿宋" w:hAnsi="仿宋" w:eastAsia="仿宋" w:cs="仿宋"/>
                <w:bCs/>
              </w:rPr>
            </w:pPr>
          </w:p>
        </w:tc>
        <w:tc>
          <w:tcPr>
            <w:tcW w:w="2193" w:type="dxa"/>
            <w:vMerge w:val="continue"/>
            <w:vAlign w:val="center"/>
          </w:tcPr>
          <w:p>
            <w:pPr>
              <w:tabs>
                <w:tab w:val="left" w:pos="0"/>
              </w:tabs>
              <w:adjustRightInd w:val="0"/>
              <w:snapToGrid w:val="0"/>
              <w:jc w:val="center"/>
              <w:rPr>
                <w:rFonts w:hint="eastAsia" w:ascii="仿宋" w:hAnsi="仿宋" w:eastAsia="仿宋" w:cs="仿宋"/>
                <w:bCs/>
              </w:rPr>
            </w:pPr>
          </w:p>
        </w:tc>
        <w:tc>
          <w:tcPr>
            <w:tcW w:w="6123" w:type="dxa"/>
            <w:vAlign w:val="center"/>
          </w:tcPr>
          <w:p>
            <w:pPr>
              <w:tabs>
                <w:tab w:val="left" w:pos="0"/>
              </w:tabs>
              <w:adjustRightInd w:val="0"/>
              <w:snapToGrid w:val="0"/>
              <w:ind w:left="-69" w:leftChars="-33" w:firstLine="79" w:firstLineChars="38"/>
              <w:jc w:val="left"/>
              <w:rPr>
                <w:rFonts w:hint="eastAsia" w:ascii="仿宋" w:hAnsi="仿宋" w:eastAsia="仿宋" w:cs="仿宋"/>
                <w:color w:val="FF0000"/>
              </w:rPr>
            </w:pPr>
            <w:r>
              <w:rPr>
                <w:rFonts w:hint="eastAsia" w:ascii="仿宋" w:hAnsi="仿宋" w:eastAsia="仿宋" w:cs="仿宋"/>
                <w:bCs/>
              </w:rPr>
              <w:t>3、拟派项目经理须具有建筑工程专业二级及以上注册建造师证书和有效的安全生产考核证书（B证）在本单位注册且无在建工程、无不良记录（提供无在建工程、无不良记录承诺书）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764" w:type="dxa"/>
            <w:vMerge w:val="continue"/>
            <w:vAlign w:val="center"/>
          </w:tcPr>
          <w:p>
            <w:pPr>
              <w:tabs>
                <w:tab w:val="left" w:pos="0"/>
              </w:tabs>
              <w:adjustRightInd w:val="0"/>
              <w:snapToGrid w:val="0"/>
              <w:jc w:val="center"/>
              <w:rPr>
                <w:rFonts w:hint="eastAsia" w:ascii="仿宋" w:hAnsi="仿宋" w:eastAsia="仿宋" w:cs="仿宋"/>
                <w:bCs/>
              </w:rPr>
            </w:pPr>
          </w:p>
        </w:tc>
        <w:tc>
          <w:tcPr>
            <w:tcW w:w="439" w:type="dxa"/>
            <w:vMerge w:val="continue"/>
            <w:vAlign w:val="center"/>
          </w:tcPr>
          <w:p>
            <w:pPr>
              <w:tabs>
                <w:tab w:val="left" w:pos="0"/>
              </w:tabs>
              <w:adjustRightInd w:val="0"/>
              <w:snapToGrid w:val="0"/>
              <w:jc w:val="center"/>
              <w:rPr>
                <w:rFonts w:hint="eastAsia" w:ascii="仿宋" w:hAnsi="仿宋" w:eastAsia="仿宋" w:cs="仿宋"/>
                <w:bCs/>
              </w:rPr>
            </w:pPr>
          </w:p>
        </w:tc>
        <w:tc>
          <w:tcPr>
            <w:tcW w:w="2193" w:type="dxa"/>
            <w:vMerge w:val="continue"/>
            <w:vAlign w:val="center"/>
          </w:tcPr>
          <w:p>
            <w:pPr>
              <w:tabs>
                <w:tab w:val="left" w:pos="0"/>
              </w:tabs>
              <w:adjustRightInd w:val="0"/>
              <w:snapToGrid w:val="0"/>
              <w:jc w:val="center"/>
              <w:rPr>
                <w:rFonts w:hint="eastAsia" w:ascii="仿宋" w:hAnsi="仿宋" w:eastAsia="仿宋" w:cs="仿宋"/>
                <w:bCs/>
              </w:rPr>
            </w:pPr>
          </w:p>
        </w:tc>
        <w:tc>
          <w:tcPr>
            <w:tcW w:w="6123" w:type="dxa"/>
            <w:vAlign w:val="center"/>
          </w:tcPr>
          <w:p>
            <w:pPr>
              <w:tabs>
                <w:tab w:val="left" w:pos="0"/>
              </w:tabs>
              <w:adjustRightInd w:val="0"/>
              <w:snapToGrid w:val="0"/>
              <w:ind w:left="-69" w:leftChars="-33" w:firstLine="79" w:firstLineChars="38"/>
              <w:jc w:val="left"/>
              <w:rPr>
                <w:rFonts w:hint="eastAsia" w:ascii="仿宋" w:hAnsi="仿宋" w:eastAsia="仿宋" w:cs="仿宋"/>
                <w:color w:val="FF0000"/>
              </w:rPr>
            </w:pPr>
            <w:r>
              <w:rPr>
                <w:rFonts w:hint="eastAsia" w:ascii="仿宋" w:hAnsi="仿宋" w:eastAsia="仿宋" w:cs="仿宋"/>
                <w:bCs/>
              </w:rPr>
              <w:t>4、“信用中国”网站（www.creditchina.gov.cn）和“中国政府采购网”（ccgp.gov.cn）为供应商信用信息查询渠道，如果供应商被查实在投标文件递交截止时间前已列入失信被执行人、重大税收违法案件当事人名单（税收违法黑名单）、政府采购严重违法失信行为记录名单及其他不符合《中华人民共和国政府采购法》第二十二条规定的，其投标文件无效。采购代理机构将打印查询记录作为证据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19" w:type="dxa"/>
            <w:gridSpan w:val="4"/>
            <w:vAlign w:val="center"/>
          </w:tcPr>
          <w:p>
            <w:pPr>
              <w:tabs>
                <w:tab w:val="left" w:pos="0"/>
              </w:tabs>
              <w:adjustRightInd w:val="0"/>
              <w:snapToGrid w:val="0"/>
              <w:jc w:val="left"/>
              <w:rPr>
                <w:rFonts w:hint="eastAsia" w:ascii="仿宋" w:hAnsi="仿宋" w:eastAsia="仿宋" w:cs="仿宋"/>
              </w:rPr>
            </w:pPr>
            <w:r>
              <w:rPr>
                <w:rFonts w:hint="eastAsia" w:ascii="仿宋" w:hAnsi="仿宋" w:eastAsia="仿宋" w:cs="仿宋"/>
              </w:rPr>
              <w:t>注：以上为必备资格条件，缺一项或某项达不到要求，按无效投标处理。资格审查时以投标文件中所附证明材料（信用中国和中国政府采购网信用记录可不提供，由代理机构查询并留存）为准，原件备查。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764" w:type="dxa"/>
            <w:vMerge w:val="restart"/>
            <w:vAlign w:val="center"/>
          </w:tcPr>
          <w:p>
            <w:pPr>
              <w:tabs>
                <w:tab w:val="left" w:pos="0"/>
              </w:tabs>
              <w:adjustRightInd w:val="0"/>
              <w:snapToGrid w:val="0"/>
              <w:spacing w:line="360" w:lineRule="auto"/>
              <w:rPr>
                <w:rFonts w:hint="eastAsia" w:ascii="仿宋" w:hAnsi="仿宋" w:eastAsia="仿宋" w:cs="仿宋"/>
                <w:bCs/>
              </w:rPr>
            </w:pPr>
            <w:r>
              <w:rPr>
                <w:rFonts w:hint="eastAsia" w:ascii="仿宋" w:hAnsi="仿宋" w:eastAsia="仿宋" w:cs="仿宋"/>
                <w:bCs/>
              </w:rPr>
              <w:t>2.2</w:t>
            </w:r>
          </w:p>
        </w:tc>
        <w:tc>
          <w:tcPr>
            <w:tcW w:w="439" w:type="dxa"/>
            <w:vMerge w:val="restart"/>
            <w:vAlign w:val="center"/>
          </w:tcPr>
          <w:p>
            <w:pPr>
              <w:tabs>
                <w:tab w:val="left" w:pos="0"/>
              </w:tabs>
              <w:adjustRightInd w:val="0"/>
              <w:snapToGrid w:val="0"/>
              <w:jc w:val="center"/>
              <w:rPr>
                <w:rFonts w:hint="eastAsia" w:ascii="仿宋" w:hAnsi="仿宋" w:eastAsia="仿宋" w:cs="仿宋"/>
                <w:bCs/>
              </w:rPr>
            </w:pPr>
          </w:p>
          <w:p>
            <w:pPr>
              <w:tabs>
                <w:tab w:val="left" w:pos="0"/>
              </w:tabs>
              <w:adjustRightInd w:val="0"/>
              <w:snapToGrid w:val="0"/>
              <w:jc w:val="center"/>
              <w:rPr>
                <w:rFonts w:hint="eastAsia" w:ascii="仿宋" w:hAnsi="仿宋" w:eastAsia="仿宋" w:cs="仿宋"/>
                <w:bCs/>
              </w:rPr>
            </w:pPr>
          </w:p>
          <w:p>
            <w:pPr>
              <w:tabs>
                <w:tab w:val="left" w:pos="0"/>
              </w:tabs>
              <w:adjustRightInd w:val="0"/>
              <w:snapToGrid w:val="0"/>
              <w:jc w:val="center"/>
              <w:rPr>
                <w:rFonts w:hint="eastAsia" w:ascii="仿宋" w:hAnsi="仿宋" w:eastAsia="仿宋" w:cs="仿宋"/>
                <w:bCs/>
              </w:rPr>
            </w:pPr>
          </w:p>
          <w:p>
            <w:pPr>
              <w:tabs>
                <w:tab w:val="left" w:pos="0"/>
              </w:tabs>
              <w:adjustRightInd w:val="0"/>
              <w:snapToGrid w:val="0"/>
              <w:jc w:val="center"/>
              <w:rPr>
                <w:rFonts w:hint="eastAsia" w:ascii="仿宋" w:hAnsi="仿宋" w:eastAsia="仿宋" w:cs="仿宋"/>
                <w:bCs/>
              </w:rPr>
            </w:pPr>
          </w:p>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符合性评审标准</w:t>
            </w:r>
          </w:p>
        </w:tc>
        <w:tc>
          <w:tcPr>
            <w:tcW w:w="2193" w:type="dxa"/>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投标文件的签署盖章</w:t>
            </w:r>
          </w:p>
        </w:tc>
        <w:tc>
          <w:tcPr>
            <w:tcW w:w="6123" w:type="dxa"/>
            <w:vAlign w:val="center"/>
          </w:tcPr>
          <w:p>
            <w:pPr>
              <w:tabs>
                <w:tab w:val="left" w:pos="0"/>
              </w:tabs>
              <w:adjustRightInd w:val="0"/>
              <w:snapToGrid w:val="0"/>
              <w:rPr>
                <w:rFonts w:hint="eastAsia" w:ascii="仿宋" w:hAnsi="仿宋" w:eastAsia="仿宋" w:cs="仿宋"/>
                <w:bCs/>
              </w:rPr>
            </w:pPr>
            <w:r>
              <w:rPr>
                <w:rFonts w:hint="eastAsia" w:ascii="仿宋" w:hAnsi="仿宋" w:eastAsia="仿宋" w:cs="仿宋"/>
                <w:bCs/>
              </w:rPr>
              <w:t>法定代表人或被授权人的签字齐全并加盖公章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仿宋" w:hAnsi="仿宋" w:eastAsia="仿宋" w:cs="仿宋"/>
                <w:bCs/>
              </w:rPr>
            </w:pPr>
          </w:p>
        </w:tc>
        <w:tc>
          <w:tcPr>
            <w:tcW w:w="439" w:type="dxa"/>
            <w:vMerge w:val="continue"/>
          </w:tcPr>
          <w:p>
            <w:pPr>
              <w:tabs>
                <w:tab w:val="left" w:pos="0"/>
              </w:tabs>
              <w:adjustRightInd w:val="0"/>
              <w:snapToGrid w:val="0"/>
              <w:spacing w:line="360" w:lineRule="auto"/>
              <w:rPr>
                <w:rFonts w:hint="eastAsia" w:ascii="仿宋" w:hAnsi="仿宋" w:eastAsia="仿宋" w:cs="仿宋"/>
                <w:bCs/>
              </w:rPr>
            </w:pPr>
          </w:p>
        </w:tc>
        <w:tc>
          <w:tcPr>
            <w:tcW w:w="2193" w:type="dxa"/>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投标文件格式</w:t>
            </w:r>
          </w:p>
        </w:tc>
        <w:tc>
          <w:tcPr>
            <w:tcW w:w="6123" w:type="dxa"/>
            <w:vAlign w:val="center"/>
          </w:tcPr>
          <w:p>
            <w:pPr>
              <w:tabs>
                <w:tab w:val="left" w:pos="0"/>
              </w:tabs>
              <w:adjustRightInd w:val="0"/>
              <w:snapToGrid w:val="0"/>
              <w:rPr>
                <w:rFonts w:hint="eastAsia" w:ascii="仿宋" w:hAnsi="仿宋" w:eastAsia="仿宋" w:cs="仿宋"/>
                <w:bCs/>
              </w:rPr>
            </w:pPr>
            <w:r>
              <w:rPr>
                <w:rFonts w:hint="eastAsia" w:ascii="仿宋" w:hAnsi="仿宋" w:eastAsia="仿宋" w:cs="仿宋"/>
                <w:bCs/>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仿宋" w:hAnsi="仿宋" w:eastAsia="仿宋" w:cs="仿宋"/>
                <w:bCs/>
              </w:rPr>
            </w:pPr>
          </w:p>
        </w:tc>
        <w:tc>
          <w:tcPr>
            <w:tcW w:w="439" w:type="dxa"/>
            <w:vMerge w:val="continue"/>
          </w:tcPr>
          <w:p>
            <w:pPr>
              <w:tabs>
                <w:tab w:val="left" w:pos="0"/>
              </w:tabs>
              <w:adjustRightInd w:val="0"/>
              <w:snapToGrid w:val="0"/>
              <w:spacing w:line="360" w:lineRule="auto"/>
              <w:rPr>
                <w:rFonts w:hint="eastAsia" w:ascii="仿宋" w:hAnsi="仿宋" w:eastAsia="仿宋" w:cs="仿宋"/>
                <w:bCs/>
              </w:rPr>
            </w:pPr>
          </w:p>
        </w:tc>
        <w:tc>
          <w:tcPr>
            <w:tcW w:w="2193" w:type="dxa"/>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报价</w:t>
            </w:r>
          </w:p>
        </w:tc>
        <w:tc>
          <w:tcPr>
            <w:tcW w:w="6123" w:type="dxa"/>
            <w:vAlign w:val="center"/>
          </w:tcPr>
          <w:p>
            <w:pPr>
              <w:tabs>
                <w:tab w:val="left" w:pos="0"/>
              </w:tabs>
              <w:adjustRightInd w:val="0"/>
              <w:snapToGrid w:val="0"/>
              <w:rPr>
                <w:rFonts w:hint="eastAsia" w:ascii="仿宋" w:hAnsi="仿宋" w:eastAsia="仿宋" w:cs="仿宋"/>
                <w:bCs/>
              </w:rPr>
            </w:pPr>
            <w:r>
              <w:rPr>
                <w:rFonts w:hint="eastAsia" w:ascii="仿宋" w:hAnsi="仿宋" w:eastAsia="仿宋" w:cs="仿宋"/>
                <w:bCs/>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仿宋" w:hAnsi="仿宋" w:eastAsia="仿宋" w:cs="仿宋"/>
                <w:bCs/>
              </w:rPr>
            </w:pPr>
          </w:p>
        </w:tc>
        <w:tc>
          <w:tcPr>
            <w:tcW w:w="439" w:type="dxa"/>
            <w:vMerge w:val="continue"/>
            <w:vAlign w:val="center"/>
          </w:tcPr>
          <w:p>
            <w:pPr>
              <w:tabs>
                <w:tab w:val="left" w:pos="0"/>
              </w:tabs>
              <w:adjustRightInd w:val="0"/>
              <w:snapToGrid w:val="0"/>
              <w:jc w:val="center"/>
              <w:rPr>
                <w:rFonts w:hint="eastAsia" w:ascii="仿宋" w:hAnsi="仿宋" w:eastAsia="仿宋" w:cs="仿宋"/>
                <w:bCs/>
              </w:rPr>
            </w:pPr>
          </w:p>
        </w:tc>
        <w:tc>
          <w:tcPr>
            <w:tcW w:w="2193" w:type="dxa"/>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投标文件份数</w:t>
            </w:r>
          </w:p>
        </w:tc>
        <w:tc>
          <w:tcPr>
            <w:tcW w:w="6123" w:type="dxa"/>
            <w:vAlign w:val="center"/>
          </w:tcPr>
          <w:p>
            <w:pPr>
              <w:tabs>
                <w:tab w:val="left" w:pos="0"/>
              </w:tabs>
              <w:adjustRightInd w:val="0"/>
              <w:snapToGrid w:val="0"/>
              <w:rPr>
                <w:rFonts w:hint="eastAsia" w:ascii="仿宋" w:hAnsi="仿宋" w:eastAsia="仿宋" w:cs="仿宋"/>
                <w:bCs/>
              </w:rPr>
            </w:pPr>
            <w:r>
              <w:rPr>
                <w:rFonts w:hint="eastAsia" w:ascii="仿宋" w:hAnsi="仿宋" w:eastAsia="仿宋" w:cs="仿宋"/>
                <w:bCs/>
              </w:rPr>
              <w:t>应符合“投标人须知前附表”规定的正本、副本、电子文件、开标一览表数量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仿宋" w:hAnsi="仿宋" w:eastAsia="仿宋" w:cs="仿宋"/>
                <w:bCs/>
              </w:rPr>
            </w:pPr>
          </w:p>
        </w:tc>
        <w:tc>
          <w:tcPr>
            <w:tcW w:w="439" w:type="dxa"/>
            <w:vMerge w:val="continue"/>
            <w:vAlign w:val="center"/>
          </w:tcPr>
          <w:p>
            <w:pPr>
              <w:tabs>
                <w:tab w:val="left" w:pos="0"/>
              </w:tabs>
              <w:adjustRightInd w:val="0"/>
              <w:snapToGrid w:val="0"/>
              <w:jc w:val="center"/>
              <w:rPr>
                <w:rFonts w:hint="eastAsia" w:ascii="仿宋" w:hAnsi="仿宋" w:eastAsia="仿宋" w:cs="仿宋"/>
                <w:bCs/>
              </w:rPr>
            </w:pPr>
          </w:p>
        </w:tc>
        <w:tc>
          <w:tcPr>
            <w:tcW w:w="2193" w:type="dxa"/>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对招标文件响应程度</w:t>
            </w:r>
          </w:p>
        </w:tc>
        <w:tc>
          <w:tcPr>
            <w:tcW w:w="6123" w:type="dxa"/>
            <w:vAlign w:val="center"/>
          </w:tcPr>
          <w:p>
            <w:pPr>
              <w:tabs>
                <w:tab w:val="left" w:pos="0"/>
              </w:tabs>
              <w:adjustRightInd w:val="0"/>
              <w:snapToGrid w:val="0"/>
              <w:rPr>
                <w:rFonts w:hint="eastAsia" w:ascii="仿宋" w:hAnsi="仿宋" w:eastAsia="仿宋" w:cs="仿宋"/>
                <w:bCs/>
              </w:rPr>
            </w:pPr>
            <w:r>
              <w:rPr>
                <w:rFonts w:hint="eastAsia" w:ascii="仿宋" w:hAnsi="仿宋" w:eastAsia="仿宋" w:cs="仿宋"/>
                <w:bCs/>
              </w:rPr>
              <w:t>要求实质性条款全部响应，不能有采购人不能接受的附加条件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仿宋" w:hAnsi="仿宋" w:eastAsia="仿宋" w:cs="仿宋"/>
                <w:bCs/>
              </w:rPr>
            </w:pPr>
          </w:p>
        </w:tc>
        <w:tc>
          <w:tcPr>
            <w:tcW w:w="439" w:type="dxa"/>
            <w:vMerge w:val="continue"/>
          </w:tcPr>
          <w:p>
            <w:pPr>
              <w:tabs>
                <w:tab w:val="left" w:pos="0"/>
              </w:tabs>
              <w:adjustRightInd w:val="0"/>
              <w:snapToGrid w:val="0"/>
              <w:spacing w:line="360" w:lineRule="auto"/>
              <w:rPr>
                <w:rFonts w:hint="eastAsia" w:ascii="仿宋" w:hAnsi="仿宋" w:eastAsia="仿宋" w:cs="仿宋"/>
                <w:bCs/>
              </w:rPr>
            </w:pPr>
          </w:p>
        </w:tc>
        <w:tc>
          <w:tcPr>
            <w:tcW w:w="2193" w:type="dxa"/>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计划工期</w:t>
            </w:r>
          </w:p>
        </w:tc>
        <w:tc>
          <w:tcPr>
            <w:tcW w:w="6123" w:type="dxa"/>
            <w:vAlign w:val="center"/>
          </w:tcPr>
          <w:p>
            <w:pPr>
              <w:tabs>
                <w:tab w:val="left" w:pos="0"/>
              </w:tabs>
              <w:adjustRightInd w:val="0"/>
              <w:snapToGrid w:val="0"/>
              <w:rPr>
                <w:rFonts w:hint="eastAsia" w:ascii="仿宋" w:hAnsi="仿宋" w:eastAsia="仿宋" w:cs="仿宋"/>
                <w:bCs/>
              </w:rPr>
            </w:pPr>
            <w:r>
              <w:rPr>
                <w:rFonts w:hint="eastAsia" w:ascii="仿宋" w:hAnsi="仿宋" w:eastAsia="仿宋" w:cs="仿宋"/>
                <w:bCs/>
              </w:rPr>
              <w:t>应满足招标文件中要求的计划工期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仿宋" w:hAnsi="仿宋" w:eastAsia="仿宋" w:cs="仿宋"/>
                <w:bCs/>
              </w:rPr>
            </w:pPr>
          </w:p>
        </w:tc>
        <w:tc>
          <w:tcPr>
            <w:tcW w:w="439" w:type="dxa"/>
            <w:vMerge w:val="continue"/>
          </w:tcPr>
          <w:p>
            <w:pPr>
              <w:tabs>
                <w:tab w:val="left" w:pos="0"/>
              </w:tabs>
              <w:adjustRightInd w:val="0"/>
              <w:snapToGrid w:val="0"/>
              <w:spacing w:line="360" w:lineRule="auto"/>
              <w:rPr>
                <w:rFonts w:hint="eastAsia" w:ascii="仿宋" w:hAnsi="仿宋" w:eastAsia="仿宋" w:cs="仿宋"/>
                <w:bCs/>
              </w:rPr>
            </w:pPr>
          </w:p>
        </w:tc>
        <w:tc>
          <w:tcPr>
            <w:tcW w:w="2193" w:type="dxa"/>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施工地点</w:t>
            </w:r>
          </w:p>
        </w:tc>
        <w:tc>
          <w:tcPr>
            <w:tcW w:w="6123" w:type="dxa"/>
            <w:vAlign w:val="center"/>
          </w:tcPr>
          <w:p>
            <w:pPr>
              <w:tabs>
                <w:tab w:val="left" w:pos="0"/>
              </w:tabs>
              <w:adjustRightInd w:val="0"/>
              <w:snapToGrid w:val="0"/>
              <w:rPr>
                <w:rFonts w:hint="eastAsia" w:ascii="仿宋" w:hAnsi="仿宋" w:eastAsia="仿宋" w:cs="仿宋"/>
                <w:bCs/>
              </w:rPr>
            </w:pPr>
            <w:r>
              <w:rPr>
                <w:rFonts w:hint="eastAsia" w:ascii="仿宋" w:hAnsi="仿宋" w:eastAsia="仿宋" w:cs="仿宋"/>
                <w:bCs/>
              </w:rPr>
              <w:t>应满足招标文件中要求的施工地点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仿宋" w:hAnsi="仿宋" w:eastAsia="仿宋" w:cs="仿宋"/>
                <w:bCs/>
              </w:rPr>
            </w:pPr>
          </w:p>
        </w:tc>
        <w:tc>
          <w:tcPr>
            <w:tcW w:w="439" w:type="dxa"/>
            <w:vMerge w:val="continue"/>
          </w:tcPr>
          <w:p>
            <w:pPr>
              <w:tabs>
                <w:tab w:val="left" w:pos="0"/>
              </w:tabs>
              <w:adjustRightInd w:val="0"/>
              <w:snapToGrid w:val="0"/>
              <w:spacing w:line="360" w:lineRule="auto"/>
              <w:rPr>
                <w:rFonts w:hint="eastAsia" w:ascii="仿宋" w:hAnsi="仿宋" w:eastAsia="仿宋" w:cs="仿宋"/>
                <w:bCs/>
              </w:rPr>
            </w:pPr>
          </w:p>
        </w:tc>
        <w:tc>
          <w:tcPr>
            <w:tcW w:w="2193" w:type="dxa"/>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投标有效期</w:t>
            </w:r>
          </w:p>
        </w:tc>
        <w:tc>
          <w:tcPr>
            <w:tcW w:w="6123" w:type="dxa"/>
            <w:vAlign w:val="center"/>
          </w:tcPr>
          <w:p>
            <w:pPr>
              <w:tabs>
                <w:tab w:val="left" w:pos="0"/>
              </w:tabs>
              <w:adjustRightInd w:val="0"/>
              <w:snapToGrid w:val="0"/>
              <w:rPr>
                <w:rFonts w:hint="eastAsia" w:ascii="仿宋" w:hAnsi="仿宋" w:eastAsia="仿宋" w:cs="仿宋"/>
                <w:bCs/>
              </w:rPr>
            </w:pPr>
            <w:r>
              <w:rPr>
                <w:rFonts w:hint="eastAsia" w:ascii="仿宋" w:hAnsi="仿宋" w:eastAsia="仿宋" w:cs="仿宋"/>
                <w:bCs/>
              </w:rPr>
              <w:t>应满足招标文件中的规定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仿宋" w:hAnsi="仿宋" w:eastAsia="仿宋" w:cs="仿宋"/>
                <w:bCs/>
              </w:rPr>
            </w:pPr>
          </w:p>
        </w:tc>
        <w:tc>
          <w:tcPr>
            <w:tcW w:w="439" w:type="dxa"/>
            <w:vMerge w:val="continue"/>
          </w:tcPr>
          <w:p>
            <w:pPr>
              <w:tabs>
                <w:tab w:val="left" w:pos="0"/>
              </w:tabs>
              <w:adjustRightInd w:val="0"/>
              <w:snapToGrid w:val="0"/>
              <w:spacing w:line="360" w:lineRule="auto"/>
              <w:rPr>
                <w:rFonts w:hint="eastAsia" w:ascii="仿宋" w:hAnsi="仿宋" w:eastAsia="仿宋" w:cs="仿宋"/>
                <w:bCs/>
              </w:rPr>
            </w:pPr>
          </w:p>
        </w:tc>
        <w:tc>
          <w:tcPr>
            <w:tcW w:w="2193" w:type="dxa"/>
            <w:vAlign w:val="center"/>
          </w:tcPr>
          <w:p>
            <w:pPr>
              <w:tabs>
                <w:tab w:val="left" w:pos="0"/>
              </w:tabs>
              <w:adjustRightInd w:val="0"/>
              <w:snapToGrid w:val="0"/>
              <w:jc w:val="center"/>
              <w:rPr>
                <w:rFonts w:hint="eastAsia" w:ascii="仿宋" w:hAnsi="仿宋" w:eastAsia="仿宋" w:cs="仿宋"/>
                <w:bCs/>
              </w:rPr>
            </w:pPr>
            <w:r>
              <w:rPr>
                <w:rFonts w:hint="eastAsia" w:ascii="仿宋" w:hAnsi="仿宋" w:eastAsia="仿宋" w:cs="仿宋"/>
                <w:bCs/>
              </w:rPr>
              <w:t>其他</w:t>
            </w:r>
          </w:p>
        </w:tc>
        <w:tc>
          <w:tcPr>
            <w:tcW w:w="6123" w:type="dxa"/>
            <w:vAlign w:val="center"/>
          </w:tcPr>
          <w:p>
            <w:pPr>
              <w:tabs>
                <w:tab w:val="left" w:pos="0"/>
              </w:tabs>
              <w:adjustRightInd w:val="0"/>
              <w:snapToGrid w:val="0"/>
              <w:rPr>
                <w:rFonts w:hint="eastAsia" w:ascii="仿宋" w:hAnsi="仿宋" w:eastAsia="仿宋" w:cs="仿宋"/>
                <w:bCs/>
              </w:rPr>
            </w:pPr>
            <w:r>
              <w:rPr>
                <w:rFonts w:hint="eastAsia" w:ascii="仿宋" w:hAnsi="仿宋" w:eastAsia="仿宋" w:cs="仿宋"/>
                <w:bCs/>
                <w:color w:val="000000" w:themeColor="text1"/>
              </w:rPr>
              <w:t>不存在</w:t>
            </w:r>
            <w:r>
              <w:rPr>
                <w:rFonts w:hint="eastAsia" w:ascii="仿宋" w:hAnsi="仿宋" w:eastAsia="仿宋" w:cs="仿宋"/>
                <w:bCs/>
              </w:rPr>
              <w:t>法律、法规和招标文件规定的其他无效投标情形</w:t>
            </w:r>
          </w:p>
        </w:tc>
      </w:tr>
    </w:tbl>
    <w:p>
      <w:pPr>
        <w:pStyle w:val="2"/>
        <w:rPr>
          <w:rFonts w:hint="eastAsia" w:ascii="仿宋" w:hAnsi="仿宋" w:eastAsia="仿宋" w:cs="仿宋"/>
        </w:rPr>
      </w:pPr>
    </w:p>
    <w:p>
      <w:pPr>
        <w:spacing w:line="440" w:lineRule="exact"/>
        <w:ind w:right="40" w:rightChars="19" w:firstLine="562" w:firstLineChars="200"/>
        <w:rPr>
          <w:rFonts w:hint="eastAsia" w:ascii="仿宋" w:hAnsi="仿宋" w:eastAsia="仿宋" w:cs="仿宋"/>
          <w:b/>
          <w:sz w:val="28"/>
          <w:szCs w:val="28"/>
          <w:highlight w:val="yellow"/>
        </w:rPr>
      </w:pPr>
    </w:p>
    <w:p>
      <w:pPr>
        <w:spacing w:line="440" w:lineRule="exact"/>
        <w:ind w:right="40" w:rightChars="19" w:firstLine="562" w:firstLineChars="200"/>
        <w:rPr>
          <w:rFonts w:hint="eastAsia" w:ascii="仿宋" w:hAnsi="仿宋" w:eastAsia="仿宋" w:cs="仿宋"/>
          <w:b/>
          <w:sz w:val="28"/>
          <w:szCs w:val="28"/>
          <w:highlight w:val="yellow"/>
        </w:rPr>
      </w:pPr>
    </w:p>
    <w:p>
      <w:pPr>
        <w:spacing w:line="440" w:lineRule="exact"/>
        <w:ind w:right="40" w:rightChars="19" w:firstLine="562" w:firstLineChars="200"/>
        <w:rPr>
          <w:rFonts w:hint="eastAsia" w:ascii="仿宋" w:hAnsi="仿宋" w:eastAsia="仿宋" w:cs="仿宋"/>
          <w:b/>
          <w:sz w:val="28"/>
          <w:szCs w:val="28"/>
          <w:highlight w:val="yellow"/>
        </w:rPr>
      </w:pPr>
    </w:p>
    <w:p>
      <w:pPr>
        <w:spacing w:line="440" w:lineRule="exact"/>
        <w:ind w:right="40" w:rightChars="19" w:firstLine="562" w:firstLineChars="200"/>
        <w:rPr>
          <w:rFonts w:hint="eastAsia" w:ascii="仿宋" w:hAnsi="仿宋" w:eastAsia="仿宋" w:cs="仿宋"/>
          <w:b/>
          <w:sz w:val="28"/>
          <w:szCs w:val="28"/>
          <w:highlight w:val="yellow"/>
        </w:rPr>
      </w:pPr>
    </w:p>
    <w:p>
      <w:pPr>
        <w:spacing w:line="440" w:lineRule="exact"/>
        <w:ind w:right="40" w:rightChars="19" w:firstLine="562" w:firstLineChars="200"/>
        <w:rPr>
          <w:rFonts w:hint="eastAsia" w:ascii="仿宋" w:hAnsi="仿宋" w:eastAsia="仿宋" w:cs="仿宋"/>
          <w:b/>
          <w:sz w:val="28"/>
          <w:szCs w:val="28"/>
          <w:highlight w:val="yellow"/>
        </w:rPr>
      </w:pPr>
    </w:p>
    <w:p>
      <w:pPr>
        <w:spacing w:line="440" w:lineRule="exact"/>
        <w:ind w:right="40" w:rightChars="19" w:firstLine="562" w:firstLineChars="200"/>
        <w:rPr>
          <w:rFonts w:hint="eastAsia" w:ascii="仿宋" w:hAnsi="仿宋" w:eastAsia="仿宋" w:cs="仿宋"/>
          <w:b/>
          <w:sz w:val="28"/>
          <w:szCs w:val="28"/>
          <w:highlight w:val="yellow"/>
        </w:rPr>
      </w:pPr>
    </w:p>
    <w:p>
      <w:pPr>
        <w:spacing w:line="440" w:lineRule="exact"/>
        <w:ind w:right="40" w:rightChars="19" w:firstLine="562" w:firstLineChars="200"/>
        <w:rPr>
          <w:rFonts w:hint="eastAsia" w:ascii="仿宋" w:hAnsi="仿宋" w:eastAsia="仿宋" w:cs="仿宋"/>
          <w:b/>
          <w:sz w:val="28"/>
          <w:szCs w:val="28"/>
          <w:highlight w:val="yellow"/>
        </w:rPr>
      </w:pPr>
    </w:p>
    <w:p>
      <w:pPr>
        <w:spacing w:line="440" w:lineRule="exact"/>
        <w:ind w:right="40" w:rightChars="19" w:firstLine="562" w:firstLineChars="200"/>
        <w:rPr>
          <w:rFonts w:hint="eastAsia" w:ascii="仿宋" w:hAnsi="仿宋" w:eastAsia="仿宋" w:cs="仿宋"/>
          <w:b/>
          <w:sz w:val="28"/>
          <w:szCs w:val="28"/>
          <w:highlight w:val="yellow"/>
        </w:rPr>
      </w:pPr>
    </w:p>
    <w:p>
      <w:pPr>
        <w:spacing w:line="440" w:lineRule="exact"/>
        <w:ind w:right="40" w:rightChars="19" w:firstLine="562" w:firstLineChars="200"/>
        <w:rPr>
          <w:rFonts w:hint="eastAsia" w:ascii="仿宋" w:hAnsi="仿宋" w:eastAsia="仿宋" w:cs="仿宋"/>
          <w:b/>
          <w:sz w:val="28"/>
          <w:szCs w:val="28"/>
          <w:highlight w:val="yellow"/>
        </w:rPr>
      </w:pPr>
    </w:p>
    <w:p>
      <w:pPr>
        <w:spacing w:line="440" w:lineRule="exact"/>
        <w:ind w:right="40" w:rightChars="19" w:firstLine="562" w:firstLineChars="200"/>
        <w:rPr>
          <w:rFonts w:hint="eastAsia" w:ascii="仿宋" w:hAnsi="仿宋" w:eastAsia="仿宋" w:cs="仿宋"/>
          <w:b/>
          <w:sz w:val="28"/>
          <w:szCs w:val="28"/>
          <w:highlight w:val="yellow"/>
        </w:rPr>
      </w:pPr>
    </w:p>
    <w:p>
      <w:pPr>
        <w:spacing w:line="440" w:lineRule="exact"/>
        <w:ind w:right="40" w:rightChars="19" w:firstLine="562" w:firstLineChars="200"/>
        <w:rPr>
          <w:rFonts w:hint="eastAsia" w:ascii="仿宋" w:hAnsi="仿宋" w:eastAsia="仿宋" w:cs="仿宋"/>
          <w:b/>
          <w:sz w:val="28"/>
          <w:szCs w:val="28"/>
          <w:highlight w:val="yellow"/>
        </w:rPr>
      </w:pPr>
    </w:p>
    <w:p>
      <w:pPr>
        <w:spacing w:line="440" w:lineRule="exact"/>
        <w:ind w:right="40" w:rightChars="19" w:firstLine="562" w:firstLineChars="200"/>
        <w:rPr>
          <w:rFonts w:hint="eastAsia" w:ascii="仿宋" w:hAnsi="仿宋" w:eastAsia="仿宋" w:cs="仿宋"/>
          <w:b/>
          <w:sz w:val="28"/>
          <w:szCs w:val="28"/>
          <w:highlight w:val="yellow"/>
        </w:rPr>
      </w:pPr>
    </w:p>
    <w:p>
      <w:pPr>
        <w:spacing w:line="440" w:lineRule="exact"/>
        <w:ind w:right="40" w:rightChars="19" w:firstLine="562" w:firstLineChars="200"/>
        <w:rPr>
          <w:rFonts w:hint="eastAsia" w:ascii="仿宋" w:hAnsi="仿宋" w:eastAsia="仿宋" w:cs="仿宋"/>
          <w:b/>
          <w:sz w:val="28"/>
          <w:szCs w:val="28"/>
          <w:highlight w:val="yellow"/>
        </w:rPr>
      </w:pPr>
    </w:p>
    <w:p>
      <w:pPr>
        <w:pStyle w:val="2"/>
        <w:rPr>
          <w:rFonts w:hint="eastAsia" w:ascii="仿宋" w:hAnsi="仿宋" w:eastAsia="仿宋" w:cs="仿宋"/>
          <w:b/>
          <w:sz w:val="28"/>
          <w:szCs w:val="28"/>
          <w:highlight w:val="yellow"/>
        </w:rPr>
      </w:pPr>
    </w:p>
    <w:p>
      <w:pPr>
        <w:pStyle w:val="5"/>
        <w:rPr>
          <w:rFonts w:hint="eastAsia" w:ascii="仿宋" w:hAnsi="仿宋" w:eastAsia="仿宋" w:cs="仿宋"/>
        </w:rPr>
      </w:pPr>
      <w:r>
        <w:rPr>
          <w:rFonts w:hint="eastAsia" w:ascii="仿宋" w:hAnsi="仿宋" w:eastAsia="仿宋" w:cs="仿宋"/>
        </w:rPr>
        <w:t>附件2：</w:t>
      </w:r>
    </w:p>
    <w:p>
      <w:pPr>
        <w:pStyle w:val="5"/>
        <w:jc w:val="center"/>
        <w:rPr>
          <w:rFonts w:hint="eastAsia" w:ascii="仿宋" w:hAnsi="仿宋" w:eastAsia="仿宋" w:cs="仿宋"/>
        </w:rPr>
      </w:pPr>
      <w:r>
        <w:rPr>
          <w:rFonts w:hint="eastAsia" w:ascii="仿宋" w:hAnsi="仿宋" w:eastAsia="仿宋" w:cs="仿宋"/>
        </w:rPr>
        <w:t>评标因素及权重分值表</w:t>
      </w:r>
    </w:p>
    <w:tbl>
      <w:tblPr>
        <w:tblStyle w:val="49"/>
        <w:tblpPr w:leftFromText="180" w:rightFromText="180" w:vertAnchor="text" w:horzAnchor="page" w:tblpX="1558" w:tblpY="443"/>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131"/>
        <w:gridCol w:w="6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238"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评审</w:t>
            </w:r>
          </w:p>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1131"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bCs/>
                <w:sz w:val="24"/>
                <w:szCs w:val="24"/>
              </w:rPr>
              <w:t>分值</w:t>
            </w:r>
          </w:p>
        </w:tc>
        <w:tc>
          <w:tcPr>
            <w:tcW w:w="6918"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评标因素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1238"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投标</w:t>
            </w:r>
          </w:p>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价格</w:t>
            </w:r>
          </w:p>
        </w:tc>
        <w:tc>
          <w:tcPr>
            <w:tcW w:w="1131"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40分</w:t>
            </w:r>
          </w:p>
        </w:tc>
        <w:tc>
          <w:tcPr>
            <w:tcW w:w="6918" w:type="dxa"/>
            <w:vAlign w:val="center"/>
          </w:tcPr>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1.经初审合格的投标文件，其投标报价为有效投标报价。</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2.价格分值：</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2.1拆除机械（单价）价格分为3分；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2.2地面破碎（单价）价格分为3分；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2.3垃圾清运（单价）价格分为4分；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2.4机械推移100米以内（含100米）（单价）价格分为3分；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2.5倒运距离公里以内（含1公里）（单价）价格分为3分；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2.6倒运距离1-2公里（含2公里）价格分为3分；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2.7倒运距离2-3公里（含3公里）价格分为3分；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2.8倒运距离3-4公里（含4公里）价格分为3分；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2.9倒运距离4-5公里（含5公里）价格分为3分；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2.10 50型装载机价格分为3分；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2.11挖掘机（1.2立方米）价格分为3分；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2.12 135型推土机价格分为3分；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2.13围墙圈建价格分为3分；满分合计40分。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3.有效投标单项报价的算术平均值作为评标基准价。</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4.单项投标报价等于评标基准价得满分，每高1％扣1分，每低1％扣0.5分，扣完为止。不足1%，按插值法计算；投标报价总得分等于13项单项报价总和。</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6.投标报价不完整的，不进入评标基准价的计算，本项得0分。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8"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技术标</w:t>
            </w:r>
          </w:p>
        </w:tc>
        <w:tc>
          <w:tcPr>
            <w:tcW w:w="1131"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50分</w:t>
            </w:r>
          </w:p>
        </w:tc>
        <w:tc>
          <w:tcPr>
            <w:tcW w:w="6918" w:type="dxa"/>
            <w:vAlign w:val="center"/>
          </w:tcPr>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①项目经理部组成人员，合理可行得0-5分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②政策落实到位及突发事件处理方案，合理可行得0-5分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③地块拆除、与征收人及周边环境的配合协调及合理化建议得0-5分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④地面破碎方案，合理可行得0-5分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⑤垃圾清运方案，合理可行得0-5分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⑥进度安排与工程质量保证措施，进度安排合理，保证措施合理、详细得0-5分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⑦施工机械配备和材料投入计划，合理可行得0-5分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⑧现场文明施工及安全保障措施，合理可行得0-5分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⑨环境保护及治污减霾措施，合理可行得0-5分</w:t>
            </w:r>
          </w:p>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⑩雨季施工管理及防范措施，合理可行得0-5分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238" w:type="dxa"/>
            <w:vAlign w:val="center"/>
          </w:tcPr>
          <w:p>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业绩</w:t>
            </w:r>
          </w:p>
        </w:tc>
        <w:tc>
          <w:tcPr>
            <w:tcW w:w="1131" w:type="dxa"/>
            <w:vAlign w:val="center"/>
          </w:tcPr>
          <w:p>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4分</w:t>
            </w:r>
          </w:p>
        </w:tc>
        <w:tc>
          <w:tcPr>
            <w:tcW w:w="6918" w:type="dxa"/>
            <w:vAlign w:val="center"/>
          </w:tcPr>
          <w:p>
            <w:pPr>
              <w:pStyle w:val="25"/>
              <w:spacing w:line="400" w:lineRule="exact"/>
              <w:rPr>
                <w:rFonts w:hint="eastAsia" w:ascii="仿宋" w:hAnsi="仿宋" w:eastAsia="仿宋" w:cs="仿宋"/>
                <w:sz w:val="24"/>
                <w:szCs w:val="24"/>
              </w:rPr>
            </w:pPr>
            <w:r>
              <w:rPr>
                <w:rFonts w:hint="eastAsia" w:ascii="仿宋" w:hAnsi="仿宋" w:eastAsia="仿宋" w:cs="仿宋"/>
                <w:sz w:val="24"/>
                <w:szCs w:val="24"/>
              </w:rPr>
              <w:t>投标人提供2019年11月至今类似项目业绩，每提供一份得2分，最高得4分。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8" w:type="dxa"/>
            <w:vAlign w:val="center"/>
          </w:tcPr>
          <w:p>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工程质量承诺</w:t>
            </w:r>
          </w:p>
        </w:tc>
        <w:tc>
          <w:tcPr>
            <w:tcW w:w="1131"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3分</w:t>
            </w:r>
          </w:p>
        </w:tc>
        <w:tc>
          <w:tcPr>
            <w:tcW w:w="6918" w:type="dxa"/>
            <w:vAlign w:val="center"/>
          </w:tcPr>
          <w:p>
            <w:pPr>
              <w:pStyle w:val="10"/>
              <w:rPr>
                <w:rFonts w:hint="eastAsia" w:ascii="仿宋" w:hAnsi="仿宋" w:eastAsia="仿宋" w:cs="仿宋"/>
                <w:sz w:val="24"/>
                <w:szCs w:val="24"/>
              </w:rPr>
            </w:pPr>
            <w:r>
              <w:rPr>
                <w:rFonts w:hint="eastAsia" w:ascii="仿宋" w:hAnsi="仿宋" w:eastAsia="仿宋" w:cs="仿宋"/>
                <w:sz w:val="24"/>
                <w:szCs w:val="24"/>
              </w:rPr>
              <w:t>工程质量承诺完整、合理得0-3分。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238" w:type="dxa"/>
            <w:vAlign w:val="center"/>
          </w:tcPr>
          <w:p>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后续服务</w:t>
            </w:r>
          </w:p>
        </w:tc>
        <w:tc>
          <w:tcPr>
            <w:tcW w:w="1131"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3分</w:t>
            </w:r>
          </w:p>
        </w:tc>
        <w:tc>
          <w:tcPr>
            <w:tcW w:w="6918" w:type="dxa"/>
            <w:vAlign w:val="center"/>
          </w:tcPr>
          <w:p>
            <w:pPr>
              <w:spacing w:line="400" w:lineRule="exact"/>
              <w:ind w:left="-94" w:leftChars="-45" w:firstLine="120" w:firstLineChars="50"/>
              <w:rPr>
                <w:rFonts w:hint="eastAsia" w:ascii="仿宋" w:hAnsi="仿宋" w:eastAsia="仿宋" w:cs="仿宋"/>
                <w:sz w:val="24"/>
                <w:szCs w:val="24"/>
              </w:rPr>
            </w:pPr>
            <w:r>
              <w:rPr>
                <w:rFonts w:hint="eastAsia" w:ascii="仿宋" w:hAnsi="仿宋" w:eastAsia="仿宋" w:cs="仿宋"/>
                <w:sz w:val="24"/>
                <w:szCs w:val="24"/>
              </w:rPr>
              <w:t>后续服务条款具体、可行；并有详细的后续服务措施承诺且具体、可行0-3分。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1" w:hRule="atLeast"/>
        </w:trPr>
        <w:tc>
          <w:tcPr>
            <w:tcW w:w="1238" w:type="dxa"/>
            <w:vAlign w:val="center"/>
          </w:tcPr>
          <w:p>
            <w:pPr>
              <w:spacing w:line="400" w:lineRule="exact"/>
              <w:jc w:val="center"/>
              <w:rPr>
                <w:rFonts w:hint="eastAsia" w:ascii="仿宋" w:hAnsi="仿宋" w:eastAsia="仿宋" w:cs="仿宋"/>
                <w:b/>
                <w:bCs/>
                <w:sz w:val="24"/>
                <w:szCs w:val="24"/>
              </w:rPr>
            </w:pPr>
            <w:r>
              <w:rPr>
                <w:rFonts w:hint="eastAsia" w:ascii="仿宋" w:hAnsi="仿宋" w:eastAsia="仿宋" w:cs="仿宋"/>
                <w:b/>
                <w:bCs/>
                <w:kern w:val="0"/>
                <w:sz w:val="24"/>
                <w:szCs w:val="24"/>
              </w:rPr>
              <w:t>备注</w:t>
            </w:r>
          </w:p>
        </w:tc>
        <w:tc>
          <w:tcPr>
            <w:tcW w:w="8049" w:type="dxa"/>
            <w:gridSpan w:val="2"/>
            <w:vAlign w:val="center"/>
          </w:tcPr>
          <w:p>
            <w:pPr>
              <w:spacing w:line="288" w:lineRule="auto"/>
              <w:rPr>
                <w:rFonts w:hint="eastAsia" w:ascii="仿宋" w:hAnsi="仿宋" w:eastAsia="仿宋" w:cs="仿宋"/>
                <w:sz w:val="24"/>
                <w:szCs w:val="24"/>
              </w:rPr>
            </w:pPr>
            <w:r>
              <w:rPr>
                <w:rFonts w:hint="eastAsia" w:ascii="仿宋" w:hAnsi="仿宋" w:eastAsia="仿宋" w:cs="仿宋"/>
                <w:sz w:val="24"/>
                <w:szCs w:val="24"/>
              </w:rPr>
              <w:t>1、各评委应按照本评标办法独立打分。</w:t>
            </w:r>
          </w:p>
          <w:p>
            <w:pPr>
              <w:spacing w:line="288" w:lineRule="auto"/>
              <w:rPr>
                <w:rFonts w:hint="eastAsia" w:ascii="仿宋" w:hAnsi="仿宋" w:eastAsia="仿宋" w:cs="仿宋"/>
                <w:sz w:val="24"/>
                <w:szCs w:val="24"/>
              </w:rPr>
            </w:pPr>
            <w:r>
              <w:rPr>
                <w:rFonts w:hint="eastAsia" w:ascii="仿宋" w:hAnsi="仿宋" w:eastAsia="仿宋" w:cs="仿宋"/>
                <w:sz w:val="24"/>
                <w:szCs w:val="24"/>
              </w:rPr>
              <w:t>2、分项评分超出评分标准范围或评标委员会对客观评审因素评分不一致时，采购代理机构可以要求评标委员会复核或者书面说明理由，评标委员会拒绝的，应予记录并向监管部门报告。</w:t>
            </w:r>
          </w:p>
          <w:p>
            <w:pPr>
              <w:spacing w:line="288" w:lineRule="auto"/>
              <w:rPr>
                <w:rFonts w:hint="eastAsia" w:ascii="仿宋" w:hAnsi="仿宋" w:eastAsia="仿宋" w:cs="仿宋"/>
                <w:sz w:val="24"/>
                <w:szCs w:val="24"/>
              </w:rPr>
            </w:pPr>
            <w:r>
              <w:rPr>
                <w:rFonts w:hint="eastAsia" w:ascii="仿宋" w:hAnsi="仿宋" w:eastAsia="仿宋" w:cs="仿宋"/>
                <w:sz w:val="24"/>
                <w:szCs w:val="24"/>
              </w:rPr>
              <w:t>3、若出现综合得分并列时，比较价格得分，此分项得分高者排序在前；若价格得分仍相同，比较技术得分，此分项得分高者排序在前；若技术得分仍相同，则由全体评标委员会无记名投票，得票高者排序在前。</w:t>
            </w:r>
          </w:p>
          <w:p>
            <w:pPr>
              <w:spacing w:line="288" w:lineRule="auto"/>
              <w:rPr>
                <w:rFonts w:hint="eastAsia" w:ascii="仿宋" w:hAnsi="仿宋" w:eastAsia="仿宋" w:cs="仿宋"/>
                <w:sz w:val="24"/>
                <w:szCs w:val="24"/>
              </w:rPr>
            </w:pPr>
            <w:r>
              <w:rPr>
                <w:rFonts w:hint="eastAsia" w:ascii="仿宋" w:hAnsi="仿宋" w:eastAsia="仿宋" w:cs="仿宋"/>
                <w:sz w:val="24"/>
                <w:szCs w:val="24"/>
              </w:rPr>
              <w:t>4、计算结果保留两位小数，第三位“四舍五入”。</w:t>
            </w:r>
          </w:p>
          <w:p>
            <w:pPr>
              <w:spacing w:line="400" w:lineRule="exact"/>
              <w:rPr>
                <w:rFonts w:hint="eastAsia" w:ascii="仿宋" w:hAnsi="仿宋" w:eastAsia="仿宋" w:cs="仿宋"/>
                <w:sz w:val="24"/>
                <w:szCs w:val="24"/>
              </w:rPr>
            </w:pPr>
            <w:r>
              <w:rPr>
                <w:rFonts w:hint="eastAsia" w:ascii="仿宋" w:hAnsi="仿宋" w:eastAsia="仿宋" w:cs="仿宋"/>
                <w:sz w:val="24"/>
                <w:szCs w:val="24"/>
              </w:rPr>
              <w:t>5、评标过程中，若出现特殊情况时，由评标委员会决定暂停评标，并提出具体处理意见。</w:t>
            </w:r>
          </w:p>
        </w:tc>
      </w:tr>
    </w:tbl>
    <w:p>
      <w:pPr>
        <w:pStyle w:val="4"/>
        <w:spacing w:before="0" w:after="0" w:line="360" w:lineRule="auto"/>
        <w:rPr>
          <w:rFonts w:hint="eastAsia" w:ascii="仿宋" w:hAnsi="仿宋" w:eastAsia="仿宋" w:cs="仿宋"/>
          <w:color w:val="FF0000"/>
          <w:sz w:val="28"/>
          <w:szCs w:val="28"/>
        </w:rPr>
      </w:pPr>
      <w:r>
        <w:rPr>
          <w:rFonts w:hint="eastAsia" w:ascii="仿宋" w:hAnsi="仿宋" w:eastAsia="仿宋" w:cs="仿宋"/>
          <w:sz w:val="28"/>
          <w:szCs w:val="28"/>
          <w:highlight w:val="yellow"/>
        </w:rPr>
        <w:br w:type="page"/>
      </w:r>
      <w:bookmarkStart w:id="174" w:name="_Toc291488641"/>
      <w:bookmarkStart w:id="175" w:name="_Toc451935981"/>
      <w:bookmarkStart w:id="176" w:name="_Toc446841667"/>
      <w:r>
        <w:rPr>
          <w:rStyle w:val="53"/>
          <w:rFonts w:hint="eastAsia" w:ascii="仿宋" w:hAnsi="仿宋" w:eastAsia="仿宋" w:cs="仿宋"/>
          <w:b/>
          <w:bCs/>
          <w:sz w:val="24"/>
          <w:szCs w:val="24"/>
        </w:rPr>
        <w:t>附件</w:t>
      </w:r>
      <w:bookmarkEnd w:id="174"/>
      <w:bookmarkEnd w:id="175"/>
      <w:bookmarkEnd w:id="176"/>
      <w:r>
        <w:rPr>
          <w:rStyle w:val="53"/>
          <w:rFonts w:hint="eastAsia" w:ascii="仿宋" w:hAnsi="仿宋" w:eastAsia="仿宋" w:cs="仿宋"/>
          <w:b/>
          <w:bCs/>
          <w:sz w:val="24"/>
          <w:szCs w:val="24"/>
        </w:rPr>
        <w:t>3：</w:t>
      </w:r>
    </w:p>
    <w:p>
      <w:pPr>
        <w:pStyle w:val="5"/>
        <w:jc w:val="center"/>
        <w:rPr>
          <w:rFonts w:hint="eastAsia" w:ascii="仿宋" w:hAnsi="仿宋" w:eastAsia="仿宋" w:cs="仿宋"/>
        </w:rPr>
      </w:pPr>
      <w:r>
        <w:rPr>
          <w:rFonts w:hint="eastAsia" w:ascii="仿宋" w:hAnsi="仿宋" w:eastAsia="仿宋" w:cs="仿宋"/>
        </w:rPr>
        <w:t>否决投标条件</w:t>
      </w:r>
    </w:p>
    <w:p>
      <w:pPr>
        <w:pStyle w:val="6"/>
        <w:keepNext w:val="0"/>
        <w:keepLines w:val="0"/>
        <w:rPr>
          <w:rFonts w:hint="eastAsia" w:ascii="仿宋" w:hAnsi="仿宋" w:eastAsia="仿宋" w:cs="仿宋"/>
          <w:sz w:val="24"/>
          <w:szCs w:val="24"/>
        </w:rPr>
      </w:pPr>
      <w:r>
        <w:rPr>
          <w:rFonts w:hint="eastAsia" w:ascii="仿宋" w:hAnsi="仿宋" w:eastAsia="仿宋" w:cs="仿宋"/>
          <w:sz w:val="24"/>
          <w:szCs w:val="24"/>
        </w:rPr>
        <w:t>A0.总  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本附件所集中列示的否决投标条件，是本章“评标办法”的组成部分，是对本章正文部分所规定的否决投标条件的总结和补充，如果出现相互矛盾的情况，以本章正文部分的规定为准。</w:t>
      </w:r>
    </w:p>
    <w:p>
      <w:pPr>
        <w:pStyle w:val="6"/>
        <w:keepNext w:val="0"/>
        <w:keepLines w:val="0"/>
        <w:rPr>
          <w:rFonts w:hint="eastAsia" w:ascii="仿宋" w:hAnsi="仿宋" w:eastAsia="仿宋" w:cs="仿宋"/>
          <w:sz w:val="24"/>
          <w:szCs w:val="24"/>
        </w:rPr>
      </w:pPr>
      <w:r>
        <w:rPr>
          <w:rFonts w:hint="eastAsia" w:ascii="仿宋" w:hAnsi="仿宋" w:eastAsia="仿宋" w:cs="仿宋"/>
          <w:sz w:val="24"/>
          <w:szCs w:val="24"/>
        </w:rPr>
        <w:t>A1.否决投标条件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投标人或其投标文件有下列情形之一的，否决其投标：</w:t>
      </w:r>
    </w:p>
    <w:p>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有串通投标或弄虚作假或有其他违法行为的。</w:t>
      </w:r>
    </w:p>
    <w:p>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不按评标委员会要求澄清、说明或补正的。</w:t>
      </w:r>
    </w:p>
    <w:p>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投标文件完整性不符合招标文件第二章“投标人须知”第3.6.4项规定的投标。</w:t>
      </w:r>
    </w:p>
    <w:p>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未按招标文件规定的格式填写，或者关键内容不全或关键字迹模糊、无法辨认的投标。</w:t>
      </w:r>
    </w:p>
    <w:p>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投标人名称和公章不一致的。</w:t>
      </w:r>
    </w:p>
    <w:p>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投标工期、质量标准、投标有效期不符合招标文件规定的。</w:t>
      </w:r>
    </w:p>
    <w:p>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投标人递交两份或多份内容不同的投标文件，或在一份投标文件中对同一招标项目有两个或多个报价的。</w:t>
      </w:r>
    </w:p>
    <w:p>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评标委员会认定投标人以低于成本报价竞标的，且投标人不能合理说明或者不能提供相应证明材料的。</w:t>
      </w:r>
    </w:p>
    <w:p>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其他经评委会确认的未能实质性响应招标文件要求的投标。</w:t>
      </w:r>
    </w:p>
    <w:p>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与资格预审项目经理不一致的。</w:t>
      </w:r>
    </w:p>
    <w:p>
      <w:pPr>
        <w:numPr>
          <w:ilvl w:val="0"/>
          <w:numId w:val="6"/>
        </w:numPr>
        <w:spacing w:line="360" w:lineRule="auto"/>
        <w:ind w:firstLine="480" w:firstLineChars="200"/>
        <w:rPr>
          <w:rFonts w:hint="eastAsia" w:ascii="仿宋" w:hAnsi="仿宋" w:eastAsia="仿宋" w:cs="仿宋"/>
        </w:rPr>
      </w:pPr>
      <w:r>
        <w:rPr>
          <w:rFonts w:hint="eastAsia" w:ascii="仿宋" w:hAnsi="仿宋" w:eastAsia="仿宋" w:cs="仿宋"/>
          <w:sz w:val="24"/>
          <w:szCs w:val="24"/>
        </w:rPr>
        <w:t>电子标书打不开或打开无内容的。</w:t>
      </w:r>
    </w:p>
    <w:p>
      <w:pPr>
        <w:numPr>
          <w:ilvl w:val="0"/>
          <w:numId w:val="6"/>
        </w:numPr>
        <w:spacing w:line="360" w:lineRule="auto"/>
        <w:ind w:firstLine="480" w:firstLineChars="200"/>
        <w:rPr>
          <w:rFonts w:hint="eastAsia" w:ascii="仿宋" w:hAnsi="仿宋" w:eastAsia="仿宋" w:cs="仿宋"/>
        </w:rPr>
      </w:pPr>
      <w:r>
        <w:rPr>
          <w:rFonts w:hint="eastAsia" w:ascii="仿宋" w:hAnsi="仿宋" w:eastAsia="仿宋" w:cs="仿宋"/>
          <w:sz w:val="24"/>
          <w:szCs w:val="24"/>
        </w:rPr>
        <w:t>法律、法规及行业有规定的其他情形。</w:t>
      </w:r>
    </w:p>
    <w:p>
      <w:pPr>
        <w:pStyle w:val="6"/>
        <w:keepNext w:val="0"/>
        <w:keepLines w:val="0"/>
        <w:rPr>
          <w:rFonts w:hint="eastAsia" w:ascii="仿宋" w:hAnsi="仿宋" w:eastAsia="仿宋" w:cs="仿宋"/>
          <w:sz w:val="24"/>
          <w:szCs w:val="24"/>
        </w:rPr>
      </w:pPr>
      <w:r>
        <w:rPr>
          <w:rFonts w:hint="eastAsia" w:ascii="仿宋" w:hAnsi="仿宋" w:eastAsia="仿宋" w:cs="仿宋"/>
          <w:sz w:val="24"/>
          <w:szCs w:val="24"/>
        </w:rPr>
        <w:t>A2.串通投标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1、有下列情形之一的，属于投标人相互串通投标：</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（1）投标人之间协商投标报价等投标文件的实质性内容；</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（2）投标人之间约定中标人；</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（3）投标人之间约定部分投标人放弃投标或者中标；</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（4）属于同一集团、协会、商会等组织成员的投标人按照该组织要求协同投标；</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（5）投标人之间为谋取中标或者排斥特定投标人而采取的其他联合行动。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2、有下列情形之一的，视为投标人相互串通投标：</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（1）不同投标人的投标文件由同一单位或者个人编制；</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（2）不同投标人委托同一单位或者个人办理投标事宜；</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（3）不同投标人的投标文件载明的项目管理成员为同一人；</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（4）不同投标人的投标文件异常一致或者投标报价呈规律性差异；</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（5）不同投标人的投标文件相互混装。</w:t>
      </w:r>
    </w:p>
    <w:p>
      <w:pPr>
        <w:pStyle w:val="6"/>
        <w:keepNext w:val="0"/>
        <w:keepLines w:val="0"/>
        <w:rPr>
          <w:rFonts w:hint="eastAsia" w:ascii="仿宋" w:hAnsi="仿宋" w:eastAsia="仿宋" w:cs="仿宋"/>
          <w:sz w:val="24"/>
          <w:szCs w:val="24"/>
        </w:rPr>
      </w:pPr>
      <w:r>
        <w:rPr>
          <w:rFonts w:hint="eastAsia" w:ascii="仿宋" w:hAnsi="仿宋" w:eastAsia="仿宋" w:cs="仿宋"/>
          <w:sz w:val="24"/>
          <w:szCs w:val="24"/>
        </w:rPr>
        <w:t>A3.弄虚作假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投标人有下列情形之一的，属于弄虚作假的行为：</w:t>
      </w:r>
    </w:p>
    <w:p>
      <w:pPr>
        <w:numPr>
          <w:ilvl w:val="0"/>
          <w:numId w:val="7"/>
        </w:num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使用伪造、变造的许可证件；</w:t>
      </w:r>
    </w:p>
    <w:p>
      <w:pPr>
        <w:numPr>
          <w:ilvl w:val="0"/>
          <w:numId w:val="7"/>
        </w:num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提供虚假的财务状况或者业绩；</w:t>
      </w:r>
    </w:p>
    <w:p>
      <w:pPr>
        <w:numPr>
          <w:ilvl w:val="0"/>
          <w:numId w:val="7"/>
        </w:num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提供虚假的项目负责人或者主要技术人员简历、劳动关系证明；</w:t>
      </w:r>
    </w:p>
    <w:p>
      <w:pPr>
        <w:numPr>
          <w:ilvl w:val="0"/>
          <w:numId w:val="7"/>
        </w:num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提供虚假的信用状况；</w:t>
      </w:r>
    </w:p>
    <w:p>
      <w:pPr>
        <w:numPr>
          <w:ilvl w:val="0"/>
          <w:numId w:val="7"/>
        </w:num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其他弄虚作假的行为。</w:t>
      </w:r>
    </w:p>
    <w:p>
      <w:pPr>
        <w:spacing w:line="360" w:lineRule="auto"/>
        <w:ind w:firstLine="600" w:firstLineChars="250"/>
        <w:rPr>
          <w:rFonts w:hint="eastAsia" w:ascii="仿宋" w:hAnsi="仿宋" w:eastAsia="仿宋" w:cs="仿宋"/>
          <w:sz w:val="24"/>
          <w:szCs w:val="24"/>
        </w:rPr>
      </w:pPr>
    </w:p>
    <w:p>
      <w:pPr>
        <w:rPr>
          <w:rFonts w:hint="eastAsia" w:ascii="仿宋" w:hAnsi="仿宋" w:eastAsia="仿宋" w:cs="仿宋"/>
        </w:rPr>
      </w:pPr>
      <w:bookmarkStart w:id="177" w:name="_Hlt128276530"/>
      <w:bookmarkEnd w:id="177"/>
      <w:bookmarkStart w:id="178" w:name="_Hlt128276537"/>
      <w:bookmarkEnd w:id="178"/>
      <w:bookmarkStart w:id="179" w:name="_Hlt128276660"/>
      <w:bookmarkEnd w:id="179"/>
      <w:bookmarkStart w:id="180" w:name="_Toc11044"/>
      <w:bookmarkStart w:id="181" w:name="_Toc421778381"/>
      <w:bookmarkStart w:id="182" w:name="_Toc421778377"/>
      <w:bookmarkStart w:id="183" w:name="_Toc351989128"/>
      <w:bookmarkStart w:id="184" w:name="_Toc221523521"/>
      <w:r>
        <w:rPr>
          <w:rFonts w:hint="eastAsia" w:ascii="仿宋" w:hAnsi="仿宋" w:eastAsia="仿宋" w:cs="仿宋"/>
        </w:rPr>
        <w:br w:type="page"/>
      </w:r>
    </w:p>
    <w:p>
      <w:pPr>
        <w:pStyle w:val="3"/>
        <w:spacing w:line="350" w:lineRule="auto"/>
        <w:jc w:val="center"/>
        <w:rPr>
          <w:rFonts w:hint="eastAsia" w:ascii="仿宋" w:hAnsi="仿宋" w:eastAsia="仿宋" w:cs="仿宋"/>
        </w:rPr>
      </w:pPr>
      <w:bookmarkStart w:id="185" w:name="_Toc17440"/>
      <w:r>
        <w:rPr>
          <w:rFonts w:hint="eastAsia" w:ascii="仿宋" w:hAnsi="仿宋" w:eastAsia="仿宋" w:cs="仿宋"/>
        </w:rPr>
        <w:t>第四章</w:t>
      </w:r>
      <w:r>
        <w:rPr>
          <w:rFonts w:hint="eastAsia" w:ascii="仿宋" w:hAnsi="仿宋" w:eastAsia="仿宋" w:cs="仿宋"/>
          <w:lang w:val="en-US" w:eastAsia="zh-CN"/>
        </w:rPr>
        <w:t xml:space="preserve"> </w:t>
      </w:r>
      <w:r>
        <w:rPr>
          <w:rFonts w:hint="eastAsia" w:ascii="仿宋" w:hAnsi="仿宋" w:eastAsia="仿宋" w:cs="仿宋"/>
        </w:rPr>
        <w:t xml:space="preserve"> 合同条款及格式</w:t>
      </w:r>
      <w:bookmarkEnd w:id="180"/>
      <w:bookmarkEnd w:id="185"/>
    </w:p>
    <w:p>
      <w:pPr>
        <w:spacing w:line="360" w:lineRule="auto"/>
        <w:rPr>
          <w:rFonts w:hint="eastAsia" w:ascii="仿宋" w:hAnsi="仿宋" w:eastAsia="仿宋" w:cs="仿宋"/>
        </w:rPr>
      </w:pPr>
    </w:p>
    <w:p>
      <w:pPr>
        <w:spacing w:line="360" w:lineRule="auto"/>
        <w:rPr>
          <w:rFonts w:hint="eastAsia" w:ascii="仿宋" w:hAnsi="仿宋" w:eastAsia="仿宋" w:cs="仿宋"/>
          <w:b/>
          <w:color w:val="000000"/>
          <w:sz w:val="36"/>
          <w:szCs w:val="36"/>
        </w:rPr>
      </w:pPr>
    </w:p>
    <w:p>
      <w:pPr>
        <w:spacing w:line="360" w:lineRule="auto"/>
        <w:jc w:val="center"/>
        <w:rPr>
          <w:rFonts w:hint="eastAsia" w:ascii="仿宋" w:hAnsi="仿宋" w:eastAsia="仿宋" w:cs="仿宋"/>
          <w:b/>
          <w:bCs/>
          <w:sz w:val="24"/>
          <w:szCs w:val="24"/>
        </w:rPr>
      </w:pPr>
      <w:r>
        <w:rPr>
          <w:rFonts w:hint="eastAsia" w:ascii="仿宋" w:hAnsi="仿宋" w:eastAsia="仿宋" w:cs="仿宋"/>
          <w:b/>
          <w:color w:val="000000"/>
          <w:sz w:val="28"/>
          <w:szCs w:val="28"/>
        </w:rPr>
        <w:t>本合同为中小企业预留合同</w:t>
      </w:r>
    </w:p>
    <w:p>
      <w:pPr>
        <w:pStyle w:val="6"/>
        <w:rPr>
          <w:rFonts w:hint="eastAsia" w:ascii="仿宋" w:hAnsi="仿宋" w:eastAsia="仿宋" w:cs="仿宋"/>
          <w:sz w:val="32"/>
          <w:szCs w:val="32"/>
        </w:rPr>
      </w:pPr>
    </w:p>
    <w:p>
      <w:pPr>
        <w:rPr>
          <w:rFonts w:hint="eastAsia" w:ascii="仿宋" w:hAnsi="仿宋" w:eastAsia="仿宋" w:cs="仿宋"/>
          <w:b/>
          <w:bCs/>
          <w:sz w:val="32"/>
          <w:szCs w:val="32"/>
        </w:rPr>
      </w:pPr>
    </w:p>
    <w:p>
      <w:pPr>
        <w:pStyle w:val="6"/>
        <w:rPr>
          <w:rFonts w:hint="eastAsia" w:ascii="仿宋" w:hAnsi="仿宋" w:eastAsia="仿宋" w:cs="仿宋"/>
        </w:rPr>
      </w:pPr>
    </w:p>
    <w:p>
      <w:pPr>
        <w:jc w:val="center"/>
        <w:rPr>
          <w:rFonts w:hint="eastAsia" w:ascii="仿宋" w:hAnsi="仿宋" w:eastAsia="仿宋" w:cs="仿宋"/>
          <w:b/>
          <w:bCs/>
          <w:sz w:val="28"/>
        </w:rPr>
        <w:sectPr>
          <w:pgSz w:w="11906" w:h="16838"/>
          <w:pgMar w:top="1417" w:right="1418" w:bottom="1417" w:left="1417" w:header="1134" w:footer="850" w:gutter="0"/>
          <w:pgNumType w:fmt="decimal"/>
          <w:cols w:space="720" w:num="1"/>
          <w:docGrid w:type="lines" w:linePitch="312" w:charSpace="0"/>
        </w:sectPr>
      </w:pPr>
      <w:r>
        <w:rPr>
          <w:rFonts w:hint="eastAsia" w:ascii="仿宋" w:hAnsi="仿宋" w:eastAsia="仿宋" w:cs="仿宋"/>
          <w:b/>
          <w:bCs/>
          <w:sz w:val="28"/>
        </w:rPr>
        <w:t>（参考格式，除实质性内容外其余内容可根据实际情况进行调整）</w:t>
      </w:r>
    </w:p>
    <w:p>
      <w:pPr>
        <w:snapToGrid w:val="0"/>
        <w:spacing w:line="560" w:lineRule="exact"/>
        <w:jc w:val="center"/>
        <w:rPr>
          <w:rFonts w:hint="eastAsia" w:ascii="仿宋" w:hAnsi="仿宋" w:eastAsia="仿宋" w:cs="仿宋"/>
          <w:b/>
          <w:bCs/>
          <w:sz w:val="32"/>
          <w:szCs w:val="32"/>
        </w:rPr>
      </w:pPr>
      <w:r>
        <w:rPr>
          <w:rFonts w:hint="eastAsia" w:ascii="仿宋" w:hAnsi="仿宋" w:eastAsia="仿宋" w:cs="仿宋"/>
          <w:bCs/>
          <w:sz w:val="44"/>
          <w:szCs w:val="44"/>
        </w:rPr>
        <w:t>西咸新区沣东新城</w:t>
      </w:r>
      <w:r>
        <w:rPr>
          <w:rFonts w:hint="eastAsia" w:ascii="仿宋" w:hAnsi="仿宋" w:eastAsia="仿宋" w:cs="仿宋"/>
          <w:bCs/>
          <w:sz w:val="44"/>
          <w:szCs w:val="44"/>
          <w:u w:val="single"/>
        </w:rPr>
        <w:t xml:space="preserve">      </w:t>
      </w:r>
      <w:r>
        <w:rPr>
          <w:rFonts w:hint="eastAsia" w:ascii="仿宋" w:hAnsi="仿宋" w:eastAsia="仿宋" w:cs="仿宋"/>
          <w:bCs/>
          <w:sz w:val="44"/>
          <w:szCs w:val="44"/>
        </w:rPr>
        <w:t>街道零散地块拆迁项目施工合同</w:t>
      </w:r>
    </w:p>
    <w:p>
      <w:pPr>
        <w:spacing w:line="560" w:lineRule="exact"/>
        <w:rPr>
          <w:rFonts w:hint="eastAsia" w:ascii="仿宋" w:hAnsi="仿宋" w:eastAsia="仿宋" w:cs="仿宋"/>
          <w:b/>
          <w:bCs/>
          <w:sz w:val="24"/>
          <w:szCs w:val="24"/>
        </w:rPr>
      </w:pPr>
      <w:r>
        <w:rPr>
          <w:rFonts w:hint="eastAsia" w:ascii="仿宋" w:hAnsi="仿宋" w:eastAsia="仿宋" w:cs="仿宋"/>
          <w:b/>
          <w:bCs/>
          <w:sz w:val="24"/>
          <w:szCs w:val="24"/>
        </w:rPr>
        <w:t>甲方：</w:t>
      </w:r>
      <w:r>
        <w:rPr>
          <w:rFonts w:hint="eastAsia" w:ascii="仿宋" w:hAnsi="仿宋" w:eastAsia="仿宋" w:cs="仿宋"/>
          <w:b/>
          <w:bCs/>
          <w:sz w:val="24"/>
          <w:szCs w:val="24"/>
          <w:u w:val="single"/>
        </w:rPr>
        <w:t xml:space="preserve">                            </w:t>
      </w:r>
    </w:p>
    <w:p>
      <w:pPr>
        <w:spacing w:line="560" w:lineRule="exact"/>
        <w:rPr>
          <w:rFonts w:hint="eastAsia" w:ascii="仿宋" w:hAnsi="仿宋" w:eastAsia="仿宋" w:cs="仿宋"/>
          <w:b/>
          <w:bCs/>
          <w:sz w:val="24"/>
          <w:szCs w:val="24"/>
          <w:u w:val="single"/>
        </w:rPr>
      </w:pPr>
      <w:r>
        <w:rPr>
          <w:rFonts w:hint="eastAsia" w:ascii="仿宋" w:hAnsi="仿宋" w:eastAsia="仿宋" w:cs="仿宋"/>
          <w:b/>
          <w:bCs/>
          <w:sz w:val="24"/>
          <w:szCs w:val="24"/>
        </w:rPr>
        <w:t>乙方：</w:t>
      </w:r>
      <w:r>
        <w:rPr>
          <w:rFonts w:hint="eastAsia" w:ascii="仿宋" w:hAnsi="仿宋" w:eastAsia="仿宋" w:cs="仿宋"/>
          <w:b/>
          <w:bCs/>
          <w:sz w:val="24"/>
          <w:szCs w:val="24"/>
          <w:u w:val="single"/>
        </w:rPr>
        <w:t xml:space="preserve">                            </w:t>
      </w:r>
    </w:p>
    <w:p>
      <w:pPr>
        <w:snapToGrid w:val="0"/>
        <w:spacing w:line="560" w:lineRule="exact"/>
        <w:ind w:firstLine="480" w:firstLineChars="200"/>
        <w:rPr>
          <w:rFonts w:hint="eastAsia" w:ascii="仿宋" w:hAnsi="仿宋" w:eastAsia="仿宋" w:cs="仿宋"/>
          <w:sz w:val="24"/>
          <w:szCs w:val="24"/>
        </w:rPr>
      </w:pPr>
    </w:p>
    <w:p>
      <w:pPr>
        <w:snapToGrid w:val="0"/>
        <w:spacing w:line="560" w:lineRule="exact"/>
        <w:ind w:firstLine="480" w:firstLineChars="200"/>
        <w:rPr>
          <w:rFonts w:hint="eastAsia" w:ascii="仿宋" w:hAnsi="仿宋" w:eastAsia="仿宋" w:cs="仿宋"/>
          <w:sz w:val="24"/>
          <w:szCs w:val="24"/>
          <w:shd w:val="clear" w:color="auto" w:fill="D9D9D9"/>
        </w:rPr>
      </w:pPr>
      <w:r>
        <w:rPr>
          <w:rFonts w:hint="eastAsia" w:ascii="仿宋" w:hAnsi="仿宋" w:eastAsia="仿宋" w:cs="仿宋"/>
          <w:sz w:val="24"/>
          <w:szCs w:val="24"/>
        </w:rPr>
        <w:t>甲方经履行政府采购相关手续，将</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街道零散地块拆迁项目工作委托乙方实施，依照《中华人民共和国民法典》等法律规定，遵循平等、自愿、公平和诚实信用的原则，甲乙双方经协商一致签订本合同。</w:t>
      </w:r>
    </w:p>
    <w:p>
      <w:pPr>
        <w:spacing w:line="56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一、工程概况</w:t>
      </w:r>
    </w:p>
    <w:p>
      <w:pPr>
        <w:spacing w:line="560" w:lineRule="exact"/>
        <w:ind w:firstLine="480" w:firstLineChars="200"/>
        <w:outlineLvl w:val="0"/>
        <w:rPr>
          <w:rFonts w:hint="eastAsia" w:ascii="仿宋" w:hAnsi="仿宋" w:eastAsia="仿宋" w:cs="仿宋"/>
          <w:sz w:val="24"/>
          <w:szCs w:val="24"/>
        </w:rPr>
      </w:pPr>
      <w:r>
        <w:rPr>
          <w:rFonts w:hint="eastAsia" w:ascii="仿宋" w:hAnsi="仿宋" w:eastAsia="仿宋" w:cs="仿宋"/>
          <w:bCs/>
          <w:sz w:val="24"/>
          <w:szCs w:val="24"/>
        </w:rPr>
        <w:t>（一）</w:t>
      </w:r>
      <w:r>
        <w:rPr>
          <w:rFonts w:hint="eastAsia" w:ascii="仿宋" w:hAnsi="仿宋" w:eastAsia="仿宋" w:cs="仿宋"/>
          <w:bCs/>
          <w:sz w:val="24"/>
          <w:szCs w:val="24"/>
          <w:u w:val="single"/>
        </w:rPr>
        <w:t xml:space="preserve">     </w:t>
      </w:r>
      <w:r>
        <w:rPr>
          <w:rFonts w:hint="eastAsia" w:ascii="仿宋" w:hAnsi="仿宋" w:eastAsia="仿宋" w:cs="仿宋"/>
          <w:sz w:val="24"/>
          <w:szCs w:val="24"/>
        </w:rPr>
        <w:t>街道范围内零散地块拆迁项目因其特殊性，项目涉及村组，占地面积，宅基地及企业户数，建筑面积等以实际发生计入，相关数据最终以第三方中介单位有效技术报告所载明数据为准。</w:t>
      </w:r>
    </w:p>
    <w:p>
      <w:pPr>
        <w:spacing w:line="560" w:lineRule="exact"/>
        <w:ind w:firstLine="482" w:firstLineChars="200"/>
        <w:outlineLvl w:val="0"/>
        <w:rPr>
          <w:rFonts w:hint="eastAsia" w:ascii="仿宋" w:hAnsi="仿宋" w:eastAsia="仿宋" w:cs="仿宋"/>
          <w:bCs/>
          <w:sz w:val="24"/>
          <w:szCs w:val="24"/>
        </w:rPr>
      </w:pPr>
      <w:r>
        <w:rPr>
          <w:rFonts w:hint="eastAsia" w:ascii="仿宋" w:hAnsi="仿宋" w:eastAsia="仿宋" w:cs="仿宋"/>
          <w:b/>
          <w:sz w:val="24"/>
          <w:szCs w:val="24"/>
        </w:rPr>
        <w:t>（二）服务期限：</w:t>
      </w:r>
      <w:r>
        <w:rPr>
          <w:rFonts w:hint="eastAsia" w:ascii="仿宋" w:hAnsi="仿宋" w:eastAsia="仿宋" w:cs="仿宋"/>
          <w:sz w:val="24"/>
          <w:szCs w:val="24"/>
        </w:rPr>
        <w:t>自合同签订后一年。</w:t>
      </w:r>
    </w:p>
    <w:p>
      <w:pPr>
        <w:spacing w:line="56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二、施工范围及施工内容</w:t>
      </w:r>
    </w:p>
    <w:p>
      <w:pPr>
        <w:spacing w:line="56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sz w:val="24"/>
          <w:szCs w:val="24"/>
        </w:rPr>
        <w:t>宅基地及集体土地上建（构）筑物地坪（指室内地坪，下同）以上部分拆除及产生建筑垃圾的清运；</w:t>
      </w:r>
    </w:p>
    <w:p>
      <w:pPr>
        <w:spacing w:line="56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sz w:val="24"/>
          <w:szCs w:val="24"/>
        </w:rPr>
        <w:t>宅基地及集体土地上建（构）筑物地坪及地坪以下部分、硬化地面、道路路面破碎及产生建筑垃圾的清运（下挖至黄土裸露，场地自然平整，硬化类型含水泥、混凝土、水磨石等）；</w:t>
      </w:r>
    </w:p>
    <w:p>
      <w:pPr>
        <w:spacing w:line="56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3.</w:t>
      </w:r>
      <w:r>
        <w:rPr>
          <w:rFonts w:hint="eastAsia" w:ascii="仿宋" w:hAnsi="仿宋" w:eastAsia="仿宋" w:cs="仿宋"/>
          <w:sz w:val="24"/>
          <w:szCs w:val="24"/>
        </w:rPr>
        <w:t>宅基地及集体土地上苗木清理（含苗木、杂草及其根基和相应腐殖土清理外运）；</w:t>
      </w:r>
    </w:p>
    <w:p>
      <w:pPr>
        <w:spacing w:line="56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4.</w:t>
      </w:r>
      <w:r>
        <w:rPr>
          <w:rFonts w:hint="eastAsia" w:ascii="仿宋" w:hAnsi="仿宋" w:eastAsia="仿宋" w:cs="仿宋"/>
          <w:sz w:val="24"/>
          <w:szCs w:val="24"/>
        </w:rPr>
        <w:t>宅基地及集体土地场地平整；</w:t>
      </w:r>
    </w:p>
    <w:p>
      <w:pPr>
        <w:spacing w:line="56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5.</w:t>
      </w:r>
      <w:r>
        <w:rPr>
          <w:rFonts w:hint="eastAsia" w:ascii="仿宋" w:hAnsi="仿宋" w:eastAsia="仿宋" w:cs="仿宋"/>
          <w:sz w:val="24"/>
          <w:szCs w:val="24"/>
        </w:rPr>
        <w:t>按照项目相关要求对场地内垃圾进行内倒；</w:t>
      </w:r>
    </w:p>
    <w:p>
      <w:pPr>
        <w:spacing w:line="56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6.</w:t>
      </w:r>
      <w:r>
        <w:rPr>
          <w:rFonts w:hint="eastAsia" w:ascii="仿宋" w:hAnsi="仿宋" w:eastAsia="仿宋" w:cs="仿宋"/>
          <w:sz w:val="24"/>
          <w:szCs w:val="24"/>
        </w:rPr>
        <w:t>宅基地及集体土地指定范围内的围墙圈建。普通、景观围墙：开挖沟槽、铺设垫层、砌筑砖基础、原土回填、砌筑砖墙、柱、压顶、抹灰、刷白、完工清场等。</w:t>
      </w:r>
    </w:p>
    <w:p>
      <w:pPr>
        <w:spacing w:line="48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7.</w:t>
      </w:r>
      <w:r>
        <w:rPr>
          <w:rFonts w:hint="eastAsia" w:ascii="仿宋" w:hAnsi="仿宋" w:eastAsia="仿宋" w:cs="仿宋"/>
          <w:sz w:val="24"/>
          <w:szCs w:val="24"/>
        </w:rPr>
        <w:t>上述施工范围内相关的安全生产、治污减霾、场地看护等工作。</w:t>
      </w:r>
    </w:p>
    <w:p>
      <w:pPr>
        <w:spacing w:line="56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三、计量计价标准</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（一）工程量计算</w:t>
      </w:r>
    </w:p>
    <w:p>
      <w:pPr>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1.建（构）筑物地坪以上部分拆除及产生建筑垃圾的清运</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拆除工程量：合同暂定量按照前期摸底建（构）筑物总面积计算，最终以第三方中介单位（下同）有效估价报告所载明建筑面积据实结算；</w:t>
      </w:r>
    </w:p>
    <w:p>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建筑垃圾清运量：合同暂定量按照前期摸底建（构）筑物总面积乘以垃圾折算系数计算，最终以有效估价报告所载明建筑面积乘以垃圾折算系数据实结算（其中：集体土地砖混及框架结构为0.35，钢结构及其他零星构筑物为0.1；宅基地砖混及框架结构为0.45，钢结构及其他零星构筑物为0.1），或最终以第三方中介单位出具的测量成果据实结算。</w:t>
      </w:r>
    </w:p>
    <w:p>
      <w:pPr>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2.建（构）筑物地坪及地坪以下部分、硬化地面、道路路面破碎及产生建筑垃圾的清运</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破碎工程量：合同暂定量按照前期摸底占地面积计算，最终以有效估价报告所载明面积据实结算或最终以第三方中介单位出具的测量成果据实结算；</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建筑垃圾清运量：合同暂定量按照前期摸底占地面积下挖30厘米计算，最终以清运前后两次测量高程叠加方量据实结算。</w:t>
      </w:r>
    </w:p>
    <w:p>
      <w:pPr>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3.苗木清理</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合同暂定量按照苗木前期摸底占地面积计算，最终以有效测量报告所载明项目实际清理面积据实结算。</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4.场平垃圾清运</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按甲方要求将指定范围内土地平整至约定要求，最终以第三方中介单位出具的测量成果据实结算。</w:t>
      </w:r>
    </w:p>
    <w:p>
      <w:pPr>
        <w:spacing w:line="48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（二）</w:t>
      </w:r>
      <w:r>
        <w:rPr>
          <w:rFonts w:hint="eastAsia" w:ascii="仿宋" w:hAnsi="仿宋" w:eastAsia="仿宋" w:cs="仿宋"/>
          <w:sz w:val="24"/>
          <w:szCs w:val="24"/>
        </w:rPr>
        <w:t xml:space="preserve">本合同单价为含税全费用单价。其中：垃圾清运单价包含10公里基准运距及有关开挖、装载、垃圾清理、场内及场外运输、倾倒、填埋处置、环境保护、管理费、规费、增值税等费用；超过10公里基准运距后，每增加1公里运费增加1元，最高增加不超过40元/立方米，运距由行业主管部门、城改事务中心和实施单位共同确认。 </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（三）计价标准</w:t>
      </w:r>
    </w:p>
    <w:p>
      <w:pPr>
        <w:spacing w:line="48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1.</w:t>
      </w:r>
      <w:r>
        <w:rPr>
          <w:rFonts w:hint="eastAsia" w:ascii="仿宋" w:hAnsi="仿宋" w:eastAsia="仿宋" w:cs="仿宋"/>
          <w:sz w:val="24"/>
          <w:szCs w:val="24"/>
        </w:rPr>
        <w:t>拆除机械费：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元/平方米（以拆除项目范围内房屋建筑面积为准）；</w:t>
      </w:r>
    </w:p>
    <w:p>
      <w:pPr>
        <w:spacing w:line="48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2.</w:t>
      </w:r>
      <w:r>
        <w:rPr>
          <w:rFonts w:hint="eastAsia" w:ascii="仿宋" w:hAnsi="仿宋" w:eastAsia="仿宋" w:cs="仿宋"/>
          <w:sz w:val="24"/>
          <w:szCs w:val="24"/>
        </w:rPr>
        <w:t>地面破碎费：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元/平方米（以拆除项目范围内房屋地基、硬化地面及道路面积为准）；</w:t>
      </w:r>
    </w:p>
    <w:p>
      <w:pPr>
        <w:spacing w:line="48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sz w:val="24"/>
          <w:szCs w:val="24"/>
        </w:rPr>
        <w:t>垃圾清运费：10公里基准运距内价格限价为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元/立方米；超过10公里基准运距后，每增加1公里增加1元/立方米，最高不超过40元/立方米。</w:t>
      </w:r>
    </w:p>
    <w:p>
      <w:pPr>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4.场内倒运价格（运距以测量为准）:</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1）机械推移100米以内（含100米）：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元／立方米；</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2）倒运距离公里以内（含1公里）：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元／立方米；</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3）倒运距离1-2公里（含2公里）：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元／立方米；</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4）倒运距离2-3公里（含3公里）：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元／立方米；</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5）倒运距离3-4公里（含4公里）：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元／立方米；</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6）倒运距离4-5公里（含5公里）：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元／立方米。</w:t>
      </w:r>
    </w:p>
    <w:p>
      <w:pPr>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5.机械台班（未经甲方同意，不使用机械台班，且机械台班费用与本合同约定的其他工程费用不重复计算）：</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1）50型装载机：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元／台班；</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2）挖掘机（1.2立方米）：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元／台班；</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3）135型推土机：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元／台班。</w:t>
      </w:r>
    </w:p>
    <w:p>
      <w:pPr>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6.围墙圈建</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根据围墙施工图乙方包工包料，普通围墙</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元/延米；景观围墙以相关部门所提供的投资评审造价为准，最终工程量待竣工验收合格后，据实结算。</w:t>
      </w:r>
    </w:p>
    <w:p>
      <w:pPr>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7.苗木清理</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合同暂定量按照苗木前期摸底占地面积计算，最终以有效测量报告所载明项目实际清理面积据实结算。</w:t>
      </w:r>
    </w:p>
    <w:p>
      <w:pPr>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8.其他情况</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如遇拆除现场新增项目或现状遗留问题等超出上述工作内容情形，经城改事务中心同意后，可由甲方、监理单位与乙方办理签证，费用以城改事务中心委托的第三方中介单位审定金额为准。</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乙方施工范围仅包含上述施工内容中的部分，则以实际施工内容确定相应工程量（但仍遵守本合同其他约定），以上述标准确定工程价款，按本协议约定的方式进行竣工验收、结算和付款。本合同没有明确约定的施工内容和单价的，乙方施工前应当征得甲方同意和确认，否则不得按本合同约定进行结算和付款。</w:t>
      </w:r>
    </w:p>
    <w:p>
      <w:pPr>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四、竣工验收及付款方式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因零散地块拆迁项目的特殊性，故以单个项目工程进度据实结算。</w:t>
      </w:r>
    </w:p>
    <w:p>
      <w:pPr>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（一）项目竣工验收采取分阶段验收方式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1.乙方完成建（构）筑物地坪以上拆除工程量的95%以上，甲方可书面向城改事务中心申请组织相关单位进行验收，验收合格后，出具地坪以上拆除部分验收单（附件1），剩余不足5%部分可作为“甩项”处理。</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2.乙方按照合同约定对地坪以上拆除垃圾清运完成后，甲方可书面向城改事务中心申请组织相关单位进行验收，验收合格后，出具地坪以上垃圾清运部分验收单（附件1）。</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3.甲方对地坪、硬化地面、道路路面等地面高程进行测量，</w:t>
      </w:r>
    </w:p>
    <w:p>
      <w:pPr>
        <w:spacing w:line="560" w:lineRule="exact"/>
        <w:rPr>
          <w:rFonts w:hint="eastAsia" w:ascii="仿宋" w:hAnsi="仿宋" w:eastAsia="仿宋" w:cs="仿宋"/>
          <w:sz w:val="24"/>
          <w:szCs w:val="24"/>
        </w:rPr>
      </w:pPr>
      <w:r>
        <w:rPr>
          <w:rFonts w:hint="eastAsia" w:ascii="仿宋" w:hAnsi="仿宋" w:eastAsia="仿宋" w:cs="仿宋"/>
          <w:sz w:val="24"/>
          <w:szCs w:val="24"/>
        </w:rPr>
        <w:t>城改事务中心委托进行同步复核，共同确认初始测量成果；初测成果确定后，乙方方可实施破碎、清运工作。破碎、清运、苗木、杂草及其根基和相应腐殖土清理工作完成达到黄土裸露、自然平整后，甲方对破碎、清运后地面高程进行竣工测量，同时对苗木清理面积进行测量，城改事务中心进行同步复核，共同确认竣工测量成果。甲方书面向城改事务中心申请组织相关单位进行验收，验收合格后，出具本项目的竣工验收单（附件1）。上述测量技术工作由甲方、城改事务中心各自委托第三方中介单位实施。</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4.苗木清理前</w:t>
      </w:r>
      <w:r>
        <w:rPr>
          <w:rFonts w:hint="eastAsia" w:ascii="仿宋" w:hAnsi="仿宋" w:eastAsia="仿宋" w:cs="仿宋"/>
          <w:sz w:val="24"/>
          <w:szCs w:val="24"/>
        </w:rPr>
        <w:t>，甲方同城改事务中心和乙方共同对清理苗木进行清点确认，或者按照苗木前期摸底占地面积计算。清理完成后甲方向城改事务中心申请竣工验收，并组织城改事务中心、乙方、监理单位进行验收，验收合格后，出具竣工验收单。最终以有效测量报告所载明项目实际清理面积为准。</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5.乙方完成围墙施工后，甲方向城改事务中心申请竣工验收，并组织城改事务中心、乙方、监理单位进行验收，验收合格后，出具竣工验收单。</w:t>
      </w:r>
    </w:p>
    <w:p>
      <w:pPr>
        <w:adjustRightIn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围墙正常使用期限不得低于6个月，正常使用期内如发生围墙坍塌、裂陷等问题，均由乙方无条件返修直至恢复正常使用。</w:t>
      </w:r>
    </w:p>
    <w:p>
      <w:pPr>
        <w:pStyle w:val="20"/>
        <w:spacing w:line="560" w:lineRule="exact"/>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rPr>
        <w:t>（二）付款方式</w:t>
      </w:r>
    </w:p>
    <w:p>
      <w:pPr>
        <w:kinsoku w:val="0"/>
        <w:overflowPunct w:val="0"/>
        <w:autoSpaceDE w:val="0"/>
        <w:autoSpaceDN w:val="0"/>
        <w:adjustRightIn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乙方按月向甲方提交实际工作量，甲方及时核算费用。</w:t>
      </w:r>
    </w:p>
    <w:p>
      <w:pPr>
        <w:kinsoku w:val="0"/>
        <w:overflowPunct w:val="0"/>
        <w:autoSpaceDE w:val="0"/>
        <w:autoSpaceDN w:val="0"/>
        <w:adjustRightIn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2.甲方向乙方支付工程款时，乙方应提供符合甲方要求的合法税务发票及相关工作成果，否则甲方有权暂停支付相应款项。</w:t>
      </w:r>
    </w:p>
    <w:p>
      <w:pPr>
        <w:pStyle w:val="20"/>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.苗木清理费</w:t>
      </w:r>
      <w:r>
        <w:rPr>
          <w:rFonts w:hint="eastAsia" w:ascii="仿宋" w:hAnsi="仿宋" w:eastAsia="仿宋" w:cs="仿宋"/>
          <w:kern w:val="2"/>
          <w:sz w:val="24"/>
          <w:szCs w:val="24"/>
        </w:rPr>
        <w:t>待项目全部完工，经造价评审后，随剩余工程款一次性支付，过程中不再支付进度款。</w:t>
      </w:r>
    </w:p>
    <w:p>
      <w:pPr>
        <w:pStyle w:val="20"/>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eastAsia="zh-CN"/>
        </w:rPr>
        <w:t>4</w:t>
      </w:r>
      <w:r>
        <w:rPr>
          <w:rFonts w:hint="eastAsia" w:ascii="仿宋" w:hAnsi="仿宋" w:eastAsia="仿宋" w:cs="仿宋"/>
          <w:kern w:val="2"/>
          <w:sz w:val="24"/>
          <w:szCs w:val="24"/>
        </w:rPr>
        <w:t>.围墙圈建竣工验收合格后，经甲方书面申请，城改事务中心委托第三方中介单位进行造价评审，审定金额作为最终结算依据。甲方可将工程款支付至审定金额的95%，暂扣审定金额的5%作为质保金（质保金在工程验收合格起后六个月内，如无建筑质量问题无息返还）。</w:t>
      </w:r>
    </w:p>
    <w:p>
      <w:pPr>
        <w:pStyle w:val="20"/>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.拆除、清运、苗木清理、场地平整等</w:t>
      </w:r>
      <w:r>
        <w:rPr>
          <w:rFonts w:hint="eastAsia" w:ascii="仿宋" w:hAnsi="仿宋" w:eastAsia="仿宋" w:cs="仿宋"/>
          <w:kern w:val="2"/>
          <w:sz w:val="24"/>
          <w:szCs w:val="24"/>
        </w:rPr>
        <w:t>竣工验收合格后，经甲方书面申请，</w:t>
      </w:r>
      <w:r>
        <w:rPr>
          <w:rFonts w:hint="eastAsia" w:ascii="仿宋" w:hAnsi="仿宋" w:eastAsia="仿宋" w:cs="仿宋"/>
          <w:sz w:val="24"/>
          <w:szCs w:val="24"/>
        </w:rPr>
        <w:t>城改事务中心</w:t>
      </w:r>
      <w:r>
        <w:rPr>
          <w:rFonts w:hint="eastAsia" w:ascii="仿宋" w:hAnsi="仿宋" w:eastAsia="仿宋" w:cs="仿宋"/>
          <w:kern w:val="2"/>
          <w:sz w:val="24"/>
          <w:szCs w:val="24"/>
        </w:rPr>
        <w:t>委托第三方中介单位进行造价评审，审定金额作为最终结算依据。在该项目土地文物勘探工作完成，且未发现垃圾掩埋、破碎及清运不彻底等问题的情况下，甲方方可向乙方一次性支付剩余工程款。</w:t>
      </w:r>
    </w:p>
    <w:p>
      <w:pPr>
        <w:pStyle w:val="20"/>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eastAsia="zh-CN"/>
        </w:rPr>
        <w:t>6</w:t>
      </w:r>
      <w:r>
        <w:rPr>
          <w:rFonts w:hint="eastAsia" w:ascii="仿宋" w:hAnsi="仿宋" w:eastAsia="仿宋" w:cs="仿宋"/>
          <w:kern w:val="2"/>
          <w:sz w:val="24"/>
          <w:szCs w:val="24"/>
        </w:rPr>
        <w:t>.对于现场遗留未拆除及未清运部分（小于工作内容的5%），暂不结算，不支付任何款项；待遗留部分工作完成且验收合格，经第三方中介单位审定后，支付相应款项。</w:t>
      </w:r>
    </w:p>
    <w:p>
      <w:pPr>
        <w:pStyle w:val="20"/>
        <w:spacing w:line="5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eastAsia="zh-CN"/>
        </w:rPr>
        <w:t>7</w:t>
      </w:r>
      <w:r>
        <w:rPr>
          <w:rFonts w:hint="eastAsia" w:ascii="仿宋" w:hAnsi="仿宋" w:eastAsia="仿宋" w:cs="仿宋"/>
          <w:kern w:val="2"/>
          <w:sz w:val="24"/>
          <w:szCs w:val="24"/>
        </w:rPr>
        <w:t>.甲方向乙方支付工程款时，乙方需提供合法税务发票，否则甲方有权暂停支付相应款项。</w:t>
      </w:r>
    </w:p>
    <w:p>
      <w:pPr>
        <w:kinsoku w:val="0"/>
        <w:overflowPunct w:val="0"/>
        <w:autoSpaceDE w:val="0"/>
        <w:autoSpaceDN w:val="0"/>
        <w:adjustRightInd w:val="0"/>
        <w:spacing w:line="56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五、双方权利义务</w:t>
      </w:r>
    </w:p>
    <w:p>
      <w:pPr>
        <w:pStyle w:val="20"/>
        <w:spacing w:line="560" w:lineRule="exact"/>
        <w:ind w:firstLine="482" w:firstLineChars="200"/>
        <w:outlineLvl w:val="0"/>
        <w:rPr>
          <w:rFonts w:hint="eastAsia" w:ascii="仿宋" w:hAnsi="仿宋" w:eastAsia="仿宋" w:cs="仿宋"/>
          <w:b/>
          <w:sz w:val="24"/>
          <w:szCs w:val="24"/>
        </w:rPr>
      </w:pPr>
      <w:r>
        <w:rPr>
          <w:rFonts w:hint="eastAsia" w:ascii="仿宋" w:hAnsi="仿宋" w:eastAsia="仿宋" w:cs="仿宋"/>
          <w:b/>
          <w:sz w:val="24"/>
          <w:szCs w:val="24"/>
        </w:rPr>
        <w:t>（一）甲方权利和义务</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1.有权对拟拆除范围进行明确，随时对合同约定进度、工作要求进行监督、检查。若因乙方原因导致工作进度缓慢、工作要求不达标，有权对乙方提出整改要求。</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2.有权随时对安全生产、治污减霾和防尘降噪措施等进行检查，若现场不符合相关要求，有权对乙方提出整改要求。</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3.在乙方对存在问题，拒不整改或整改不到位情形下，有权终止合同并将乙方清理出场。</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4.有权要求乙方配合相关单位做好花草树木处理、移植工作。</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5.按合同有关约定，按时向乙方支付工程款。</w:t>
      </w:r>
    </w:p>
    <w:p>
      <w:pPr>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（二）乙方权利和义务</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1.有权在履约后获得合同约定的工程费用。</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2.项目经理与现场主要管理人员应在开工前向甲方备案，未经甲方同意，不得擅自更换。本工程项目经理为</w:t>
      </w:r>
      <w:r>
        <w:rPr>
          <w:rFonts w:hint="eastAsia" w:ascii="仿宋" w:hAnsi="仿宋" w:eastAsia="仿宋" w:cs="仿宋"/>
          <w:sz w:val="24"/>
          <w:szCs w:val="24"/>
          <w:u w:val="single"/>
        </w:rPr>
        <w:t xml:space="preserve">      </w:t>
      </w:r>
      <w:r>
        <w:rPr>
          <w:rFonts w:hint="eastAsia" w:ascii="仿宋" w:hAnsi="仿宋" w:eastAsia="仿宋" w:cs="仿宋"/>
          <w:sz w:val="24"/>
          <w:szCs w:val="24"/>
        </w:rPr>
        <w:t>，注册证号</w:t>
      </w:r>
      <w:r>
        <w:rPr>
          <w:rFonts w:hint="eastAsia" w:ascii="仿宋" w:hAnsi="仿宋" w:eastAsia="仿宋" w:cs="仿宋"/>
          <w:sz w:val="24"/>
          <w:szCs w:val="24"/>
          <w:u w:val="single"/>
        </w:rPr>
        <w:t xml:space="preserve">      </w:t>
      </w:r>
      <w:r>
        <w:rPr>
          <w:rFonts w:hint="eastAsia" w:ascii="仿宋" w:hAnsi="仿宋" w:eastAsia="仿宋" w:cs="仿宋"/>
          <w:sz w:val="24"/>
          <w:szCs w:val="24"/>
        </w:rPr>
        <w:t>，安全考核合格证号</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insoku w:val="0"/>
        <w:overflowPunct w:val="0"/>
        <w:autoSpaceDE w:val="0"/>
        <w:autoSpaceDN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按照合同约定承担认定范围内的拆除、破碎、垃圾清运、安全生产、治污减霾等工作；按监理单位审查通过的拆除方案实施，对易燃、易爆等危险源的专项拆除方案，需经行业主管单位审批；将建筑垃圾清运合同报行业主管部门备案，并办理相关清运手续；认真落实与甲方签订的《安全生产及治污减霾责任书》（附件2）相关要求。</w:t>
      </w:r>
    </w:p>
    <w:p>
      <w:pPr>
        <w:kinsoku w:val="0"/>
        <w:overflowPunct w:val="0"/>
        <w:autoSpaceDE w:val="0"/>
        <w:autoSpaceDN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4.做好竣工验收之前的场地看护管理工作，杜绝出现新增或偷倒垃圾的情形。</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5.接受甲方、监理单位和各级主管部门的监督和管理。</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6.拆除工程完成后，及时向有关部门提出验收申请，如验收不合格，必须在限期内整改。</w:t>
      </w:r>
    </w:p>
    <w:p>
      <w:pPr>
        <w:kinsoku w:val="0"/>
        <w:overflowPunct w:val="0"/>
        <w:autoSpaceDE w:val="0"/>
        <w:autoSpaceDN w:val="0"/>
        <w:adjustRightInd w:val="0"/>
        <w:spacing w:line="56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六、安全生产的特别约定</w:t>
      </w:r>
    </w:p>
    <w:p>
      <w:pPr>
        <w:adjustRightIn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应遵守工程建设安全生产有关管理规定，制定安全生产施工制度，采取必要的安全防护措施，严格按安全标准组织施工，并随时接受行业安全检查人员依法实施的监督检查，消除事故隐患。乙方实施安全生产、文明施工、治污减霾措施的费用自行承担。</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2.乙方必须设置足够的专职安全员，负责施工现场安全生产的监督检查工作。</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乙方在进行拆除时应按安全规范进行作业,其工人的安全保护措施等要到位；加强对施工人员的安全教育及防范措施,乙方对施工过程的安全负全责。在施工过程中所造成的工伤等事故或其他经济损失，概由乙方负责。</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4.乙方在拆除过程中应做好安全防护工作，确保甲方的设备、人员的安全，如因乙方的安全防护措施不当，造成的一切损失由乙方承担。</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5.乙方应当制定安全事故应急救援预案，配备应急救援人员，配备必要的应急救援器材、设备。</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6.乙方必须为现场管理人员及施工人员购买人身意外伤害保险，保险期须由本工程开工至竣工验收合格为止，保险须以乙方的名义投保。保险赔偿责任不足的部分乙方必须无条件承担。</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七、违约责任</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（一）如遇以下情形之一，甲方有权要求乙方支付违约金，并承担由此造成的后果及损失：</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未按甲方要求的时间完成拆除及垃圾清运任务，每延迟一日扣除合同暂定总价万分之一的违约金；因客观因素造成停工，根据停工时间，合同期限自动顺延；因自身原因延期超过90天的，甲方有权解除合同，并扣除合同暂定总价5%的违约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2.乙方未按甲方要求清渣至裸露黄土，或过程中发现破碎不彻底、垃圾就地掩埋等现象，按未破碎、未清运数量据实扣除相关费用；同时，据实扣除因上述原因产生的相关费用，并扣除合同暂定总价5%的违约金。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3.考虑到沣东新城文物遗址分布广泛，为做好文物保护工作，乙方清渣至裸露黄土后，不得再继续下挖；若因继续下挖造成文物遗址损坏以及由此额外增加的工作量，乙方须自行承担相应的经济责任和法律后果。</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4.乙方因场地看护管理不到位，出现新增或偷倒垃圾的情形，乙方自行负责将新增或偷倒垃圾清运完成后，方可申请办理竣工验收。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5.乙方未将建筑垃圾外运至西咸新区沣东新城行业主管部门指定的建筑垃圾消纳场地，发现一次扣除1000元/次的违约金。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乙方未按治污减霾和防尘降噪的相关规定做好现场管理，机械设备配备不足，治污减霾措施不到位、安全隐患排查处理不到位，发现一例扣除1000元/次的违约金。因治污减霾相关工作被有关部门通报，乙方自行承担由此造成的后果及损失。</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7.乙方未按照甲方要求出现人工拆除、人工剔砖等现象，发现一例扣除1000元/次的违约金。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8.拆除及垃圾清运过程中出现安全事故、环境污染现象，发现一例扣除10000元/次的违约金。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9.乙方人员在项目实施过程中发现吃、拿、卡、要现象，发现一例扣除10000元/次的违约金。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10.上述条款中，违约金不足以弥补甲方损失的，乙方还应进行赔偿。</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（二）如遇以下情形之一，甲方有权对乙方解除或终止合同：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1.乙方将项目整体转包给第三方或违法分包给第三方。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2.乙方施工现场不符合治污减霾和防尘降噪相关规定，甲方有权提出整改要求，并扣除相应的违约金；同时，乙方拒不整改或整改不到位。</w:t>
      </w:r>
    </w:p>
    <w:p>
      <w:pPr>
        <w:pStyle w:val="20"/>
        <w:spacing w:line="56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八、其他</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1.《安全生产及治污减霾责任书》为本合同的附件，与本合同具有同等法律效力。</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2.本合同中未尽事宜由双方另行友好协商解决；协商不成可提交合同履行地法院诉讼解决。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3.本合同经双方签字或者盖章后生效，一式陆份；甲方执肆份，乙方执贰份，具有同等法律效力。</w:t>
      </w:r>
    </w:p>
    <w:p>
      <w:pPr>
        <w:spacing w:line="48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（以下无正文)</w:t>
      </w:r>
    </w:p>
    <w:p>
      <w:pPr>
        <w:spacing w:line="480" w:lineRule="exact"/>
        <w:rPr>
          <w:rFonts w:hint="eastAsia" w:ascii="仿宋" w:hAnsi="仿宋" w:eastAsia="仿宋" w:cs="仿宋"/>
          <w:spacing w:val="-4"/>
          <w:sz w:val="24"/>
          <w:szCs w:val="24"/>
        </w:rPr>
      </w:pPr>
    </w:p>
    <w:p>
      <w:pPr>
        <w:spacing w:line="480" w:lineRule="exact"/>
        <w:rPr>
          <w:rFonts w:hint="eastAsia" w:ascii="仿宋" w:hAnsi="仿宋" w:eastAsia="仿宋" w:cs="仿宋"/>
          <w:spacing w:val="-4"/>
          <w:sz w:val="24"/>
          <w:szCs w:val="24"/>
        </w:rPr>
      </w:pPr>
    </w:p>
    <w:p>
      <w:pPr>
        <w:spacing w:line="480" w:lineRule="exact"/>
        <w:rPr>
          <w:rFonts w:hint="eastAsia" w:ascii="仿宋" w:hAnsi="仿宋" w:eastAsia="仿宋" w:cs="仿宋"/>
          <w:spacing w:val="-4"/>
          <w:sz w:val="24"/>
          <w:szCs w:val="24"/>
        </w:rPr>
      </w:pPr>
    </w:p>
    <w:p>
      <w:pPr>
        <w:spacing w:line="480" w:lineRule="exact"/>
        <w:rPr>
          <w:rFonts w:hint="eastAsia" w:ascii="仿宋" w:hAnsi="仿宋" w:eastAsia="仿宋" w:cs="仿宋"/>
          <w:spacing w:val="-4"/>
          <w:sz w:val="24"/>
          <w:szCs w:val="24"/>
        </w:rPr>
      </w:pPr>
    </w:p>
    <w:p>
      <w:pPr>
        <w:spacing w:line="48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甲方（盖章）：                乙方（盖章）：</w:t>
      </w:r>
    </w:p>
    <w:p>
      <w:pPr>
        <w:spacing w:line="480" w:lineRule="exact"/>
        <w:ind w:firstLine="464" w:firstLineChars="200"/>
        <w:rPr>
          <w:rFonts w:hint="eastAsia" w:ascii="仿宋" w:hAnsi="仿宋" w:eastAsia="仿宋" w:cs="仿宋"/>
          <w:spacing w:val="-4"/>
          <w:sz w:val="24"/>
          <w:szCs w:val="24"/>
        </w:rPr>
      </w:pPr>
    </w:p>
    <w:p>
      <w:pPr>
        <w:spacing w:line="480" w:lineRule="exact"/>
        <w:ind w:firstLine="464" w:firstLineChars="200"/>
        <w:rPr>
          <w:rFonts w:hint="eastAsia" w:ascii="仿宋" w:hAnsi="仿宋" w:eastAsia="仿宋" w:cs="仿宋"/>
          <w:spacing w:val="-4"/>
          <w:sz w:val="24"/>
          <w:szCs w:val="24"/>
        </w:rPr>
      </w:pPr>
    </w:p>
    <w:p>
      <w:pPr>
        <w:spacing w:line="480" w:lineRule="exact"/>
        <w:ind w:firstLine="464" w:firstLineChars="200"/>
        <w:rPr>
          <w:rFonts w:hint="eastAsia" w:ascii="仿宋" w:hAnsi="仿宋" w:eastAsia="仿宋" w:cs="仿宋"/>
          <w:spacing w:val="-4"/>
          <w:sz w:val="24"/>
          <w:szCs w:val="24"/>
        </w:rPr>
      </w:pPr>
    </w:p>
    <w:p>
      <w:pPr>
        <w:spacing w:line="48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法定代表人或                 法定代表人或</w:t>
      </w:r>
    </w:p>
    <w:p>
      <w:pPr>
        <w:spacing w:line="48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 xml:space="preserve">委托代理人：                 委托代理人：  </w:t>
      </w:r>
    </w:p>
    <w:p>
      <w:pPr>
        <w:spacing w:line="480" w:lineRule="exact"/>
        <w:ind w:firstLine="464" w:firstLineChars="200"/>
        <w:rPr>
          <w:rFonts w:hint="eastAsia" w:ascii="仿宋" w:hAnsi="仿宋" w:eastAsia="仿宋" w:cs="仿宋"/>
          <w:spacing w:val="-4"/>
          <w:sz w:val="24"/>
          <w:szCs w:val="24"/>
        </w:rPr>
      </w:pPr>
    </w:p>
    <w:p>
      <w:pPr>
        <w:spacing w:line="480" w:lineRule="exact"/>
        <w:ind w:firstLine="464" w:firstLineChars="200"/>
        <w:rPr>
          <w:rFonts w:hint="eastAsia" w:ascii="仿宋" w:hAnsi="仿宋" w:eastAsia="仿宋" w:cs="仿宋"/>
          <w:spacing w:val="-4"/>
          <w:sz w:val="24"/>
          <w:szCs w:val="24"/>
        </w:rPr>
      </w:pPr>
    </w:p>
    <w:p>
      <w:pPr>
        <w:spacing w:line="48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经办人：                     经办人：</w:t>
      </w:r>
    </w:p>
    <w:p>
      <w:pPr>
        <w:spacing w:line="480" w:lineRule="exact"/>
        <w:ind w:firstLine="3712" w:firstLineChars="1600"/>
        <w:rPr>
          <w:rFonts w:hint="eastAsia" w:ascii="仿宋" w:hAnsi="仿宋" w:eastAsia="仿宋" w:cs="仿宋"/>
          <w:spacing w:val="-4"/>
          <w:sz w:val="24"/>
          <w:szCs w:val="24"/>
        </w:rPr>
      </w:pPr>
    </w:p>
    <w:p>
      <w:pPr>
        <w:spacing w:line="480" w:lineRule="exact"/>
        <w:ind w:firstLine="3712" w:firstLineChars="1600"/>
        <w:rPr>
          <w:rFonts w:hint="eastAsia" w:ascii="仿宋" w:hAnsi="仿宋" w:eastAsia="仿宋" w:cs="仿宋"/>
          <w:spacing w:val="-4"/>
          <w:sz w:val="24"/>
          <w:szCs w:val="24"/>
        </w:rPr>
      </w:pPr>
      <w:r>
        <w:rPr>
          <w:rFonts w:hint="eastAsia" w:ascii="仿宋" w:hAnsi="仿宋" w:eastAsia="仿宋" w:cs="仿宋"/>
          <w:spacing w:val="-4"/>
          <w:sz w:val="24"/>
          <w:szCs w:val="24"/>
        </w:rPr>
        <w:t>签订日期：   年   月   日</w:t>
      </w:r>
    </w:p>
    <w:p>
      <w:pPr>
        <w:spacing w:line="480" w:lineRule="exact"/>
        <w:ind w:firstLine="4992" w:firstLineChars="1600"/>
        <w:rPr>
          <w:rFonts w:hint="eastAsia" w:ascii="仿宋" w:hAnsi="仿宋" w:eastAsia="仿宋" w:cs="仿宋"/>
          <w:spacing w:val="-4"/>
          <w:sz w:val="32"/>
          <w:szCs w:val="32"/>
        </w:rPr>
      </w:pPr>
    </w:p>
    <w:p>
      <w:pPr>
        <w:spacing w:line="480" w:lineRule="exact"/>
        <w:ind w:firstLine="4992" w:firstLineChars="1600"/>
        <w:rPr>
          <w:rFonts w:hint="eastAsia" w:ascii="仿宋" w:hAnsi="仿宋" w:eastAsia="仿宋" w:cs="仿宋"/>
          <w:spacing w:val="-4"/>
          <w:sz w:val="32"/>
          <w:szCs w:val="32"/>
        </w:rPr>
      </w:pPr>
    </w:p>
    <w:p>
      <w:pPr>
        <w:spacing w:line="480" w:lineRule="exact"/>
        <w:ind w:firstLine="4992" w:firstLineChars="1600"/>
        <w:rPr>
          <w:rFonts w:hint="eastAsia" w:ascii="仿宋" w:hAnsi="仿宋" w:eastAsia="仿宋" w:cs="仿宋"/>
          <w:spacing w:val="-4"/>
          <w:sz w:val="32"/>
          <w:szCs w:val="32"/>
        </w:rPr>
      </w:pPr>
    </w:p>
    <w:p>
      <w:pPr>
        <w:spacing w:line="480" w:lineRule="exact"/>
        <w:ind w:firstLine="4992" w:firstLineChars="1600"/>
        <w:rPr>
          <w:rFonts w:hint="eastAsia" w:ascii="仿宋" w:hAnsi="仿宋" w:eastAsia="仿宋" w:cs="仿宋"/>
          <w:spacing w:val="-4"/>
          <w:sz w:val="32"/>
          <w:szCs w:val="32"/>
        </w:rPr>
      </w:pPr>
    </w:p>
    <w:p>
      <w:pPr>
        <w:spacing w:line="480" w:lineRule="exact"/>
        <w:ind w:firstLine="4992" w:firstLineChars="1600"/>
        <w:rPr>
          <w:rFonts w:hint="eastAsia" w:ascii="仿宋" w:hAnsi="仿宋" w:eastAsia="仿宋" w:cs="仿宋"/>
          <w:spacing w:val="-4"/>
          <w:sz w:val="32"/>
          <w:szCs w:val="32"/>
        </w:rPr>
      </w:pPr>
    </w:p>
    <w:p>
      <w:pPr>
        <w:spacing w:line="480" w:lineRule="exact"/>
        <w:ind w:firstLine="4992" w:firstLineChars="1600"/>
        <w:rPr>
          <w:rFonts w:hint="eastAsia" w:ascii="仿宋" w:hAnsi="仿宋" w:eastAsia="仿宋" w:cs="仿宋"/>
          <w:spacing w:val="-4"/>
          <w:sz w:val="32"/>
          <w:szCs w:val="32"/>
        </w:rPr>
      </w:pPr>
    </w:p>
    <w:p>
      <w:pPr>
        <w:spacing w:line="480" w:lineRule="exact"/>
        <w:ind w:firstLine="4992" w:firstLineChars="1600"/>
        <w:rPr>
          <w:rFonts w:hint="eastAsia" w:ascii="仿宋" w:hAnsi="仿宋" w:eastAsia="仿宋" w:cs="仿宋"/>
          <w:spacing w:val="-4"/>
          <w:sz w:val="32"/>
          <w:szCs w:val="32"/>
        </w:rPr>
      </w:pPr>
    </w:p>
    <w:p>
      <w:pPr>
        <w:spacing w:line="480" w:lineRule="exact"/>
        <w:ind w:firstLine="4992" w:firstLineChars="1600"/>
        <w:rPr>
          <w:rFonts w:hint="eastAsia" w:ascii="仿宋" w:hAnsi="仿宋" w:eastAsia="仿宋" w:cs="仿宋"/>
          <w:spacing w:val="-4"/>
          <w:sz w:val="32"/>
          <w:szCs w:val="32"/>
        </w:rPr>
      </w:pPr>
    </w:p>
    <w:p>
      <w:pPr>
        <w:spacing w:line="480" w:lineRule="exact"/>
        <w:ind w:firstLine="4992" w:firstLineChars="1600"/>
        <w:rPr>
          <w:rFonts w:hint="eastAsia" w:ascii="仿宋" w:hAnsi="仿宋" w:eastAsia="仿宋" w:cs="仿宋"/>
          <w:spacing w:val="-4"/>
          <w:sz w:val="32"/>
          <w:szCs w:val="32"/>
        </w:rPr>
      </w:pPr>
    </w:p>
    <w:p>
      <w:pPr>
        <w:spacing w:line="480" w:lineRule="exact"/>
        <w:ind w:firstLine="4992" w:firstLineChars="1600"/>
        <w:rPr>
          <w:rFonts w:hint="eastAsia" w:ascii="仿宋" w:hAnsi="仿宋" w:eastAsia="仿宋" w:cs="仿宋"/>
          <w:spacing w:val="-4"/>
          <w:sz w:val="32"/>
          <w:szCs w:val="32"/>
        </w:rPr>
      </w:pPr>
    </w:p>
    <w:p>
      <w:pPr>
        <w:spacing w:line="480" w:lineRule="exact"/>
        <w:ind w:firstLine="4992" w:firstLineChars="1600"/>
        <w:rPr>
          <w:rFonts w:hint="eastAsia" w:ascii="仿宋" w:hAnsi="仿宋" w:eastAsia="仿宋" w:cs="仿宋"/>
          <w:spacing w:val="-4"/>
          <w:sz w:val="32"/>
          <w:szCs w:val="32"/>
        </w:rPr>
      </w:pPr>
    </w:p>
    <w:p>
      <w:pPr>
        <w:spacing w:line="480" w:lineRule="exact"/>
        <w:ind w:firstLine="4992" w:firstLineChars="1600"/>
        <w:rPr>
          <w:rFonts w:hint="eastAsia" w:ascii="仿宋" w:hAnsi="仿宋" w:eastAsia="仿宋" w:cs="仿宋"/>
          <w:spacing w:val="-4"/>
          <w:sz w:val="32"/>
          <w:szCs w:val="32"/>
        </w:rPr>
      </w:pPr>
    </w:p>
    <w:p>
      <w:pPr>
        <w:spacing w:line="480" w:lineRule="exact"/>
        <w:ind w:firstLine="4992" w:firstLineChars="1600"/>
        <w:rPr>
          <w:rFonts w:hint="eastAsia" w:ascii="仿宋" w:hAnsi="仿宋" w:eastAsia="仿宋" w:cs="仿宋"/>
          <w:spacing w:val="-4"/>
          <w:sz w:val="32"/>
          <w:szCs w:val="32"/>
        </w:rPr>
      </w:pPr>
    </w:p>
    <w:p>
      <w:pPr>
        <w:spacing w:line="480" w:lineRule="exact"/>
        <w:ind w:firstLine="4992" w:firstLineChars="1600"/>
        <w:rPr>
          <w:rFonts w:hint="eastAsia" w:ascii="仿宋" w:hAnsi="仿宋" w:eastAsia="仿宋" w:cs="仿宋"/>
          <w:spacing w:val="-4"/>
          <w:sz w:val="32"/>
          <w:szCs w:val="32"/>
        </w:rPr>
      </w:pPr>
    </w:p>
    <w:p>
      <w:pPr>
        <w:spacing w:line="430" w:lineRule="exact"/>
        <w:rPr>
          <w:rFonts w:hint="eastAsia" w:ascii="仿宋" w:hAnsi="仿宋" w:eastAsia="仿宋" w:cs="仿宋"/>
          <w:sz w:val="28"/>
          <w:szCs w:val="28"/>
        </w:rPr>
        <w:sectPr>
          <w:pgSz w:w="11906" w:h="16838"/>
          <w:pgMar w:top="1417" w:right="1418" w:bottom="1417" w:left="1417" w:header="1134" w:footer="850" w:gutter="0"/>
          <w:pgNumType w:fmt="decimal"/>
          <w:cols w:space="720" w:num="1"/>
          <w:docGrid w:type="lines" w:linePitch="312" w:charSpace="0"/>
        </w:sectPr>
      </w:pPr>
    </w:p>
    <w:p>
      <w:pPr>
        <w:spacing w:line="430" w:lineRule="exact"/>
        <w:rPr>
          <w:rFonts w:hint="eastAsia" w:ascii="仿宋" w:hAnsi="仿宋" w:eastAsia="仿宋" w:cs="仿宋"/>
          <w:sz w:val="28"/>
          <w:szCs w:val="28"/>
        </w:rPr>
      </w:pPr>
      <w:r>
        <w:rPr>
          <w:rFonts w:hint="eastAsia" w:ascii="仿宋" w:hAnsi="仿宋" w:eastAsia="仿宋" w:cs="仿宋"/>
          <w:sz w:val="28"/>
          <w:szCs w:val="28"/>
        </w:rPr>
        <w:t>附件1</w:t>
      </w:r>
    </w:p>
    <w:p>
      <w:pPr>
        <w:spacing w:before="156" w:beforeLines="50" w:after="156" w:afterLines="50" w:line="430" w:lineRule="exact"/>
        <w:jc w:val="center"/>
        <w:rPr>
          <w:rFonts w:hint="eastAsia" w:ascii="仿宋" w:hAnsi="仿宋" w:eastAsia="仿宋" w:cs="仿宋"/>
          <w:sz w:val="36"/>
          <w:szCs w:val="36"/>
        </w:rPr>
      </w:pPr>
      <w:r>
        <w:rPr>
          <w:rFonts w:hint="eastAsia" w:ascii="仿宋" w:hAnsi="仿宋" w:eastAsia="仿宋" w:cs="仿宋"/>
          <w:sz w:val="36"/>
          <w:szCs w:val="36"/>
          <w:u w:val="single"/>
        </w:rPr>
        <w:t xml:space="preserve">         </w:t>
      </w:r>
      <w:r>
        <w:rPr>
          <w:rFonts w:hint="eastAsia" w:ascii="仿宋" w:hAnsi="仿宋" w:eastAsia="仿宋" w:cs="仿宋"/>
          <w:sz w:val="36"/>
          <w:szCs w:val="36"/>
        </w:rPr>
        <w:t>验收单</w:t>
      </w:r>
    </w:p>
    <w:tbl>
      <w:tblPr>
        <w:tblStyle w:val="49"/>
        <w:tblW w:w="919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1872"/>
        <w:gridCol w:w="1647"/>
        <w:gridCol w:w="2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71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6476" w:type="dxa"/>
            <w:gridSpan w:val="3"/>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717" w:type="dxa"/>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工程内容</w:t>
            </w:r>
          </w:p>
        </w:tc>
        <w:tc>
          <w:tcPr>
            <w:tcW w:w="6476" w:type="dxa"/>
            <w:gridSpan w:val="3"/>
            <w:vAlign w:val="center"/>
          </w:tcPr>
          <w:p>
            <w:pPr>
              <w:ind w:firstLine="560" w:firstLineChars="200"/>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71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开工日期</w:t>
            </w:r>
          </w:p>
        </w:tc>
        <w:tc>
          <w:tcPr>
            <w:tcW w:w="1872" w:type="dxa"/>
            <w:vAlign w:val="center"/>
          </w:tcPr>
          <w:p>
            <w:pPr>
              <w:jc w:val="center"/>
              <w:rPr>
                <w:rFonts w:hint="eastAsia" w:ascii="仿宋" w:hAnsi="仿宋" w:eastAsia="仿宋" w:cs="仿宋"/>
                <w:sz w:val="28"/>
                <w:szCs w:val="28"/>
              </w:rPr>
            </w:pPr>
          </w:p>
        </w:tc>
        <w:tc>
          <w:tcPr>
            <w:tcW w:w="1647" w:type="dxa"/>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验收日期</w:t>
            </w:r>
          </w:p>
        </w:tc>
        <w:tc>
          <w:tcPr>
            <w:tcW w:w="2957" w:type="dxa"/>
            <w:vAlign w:val="center"/>
          </w:tcPr>
          <w:p>
            <w:pPr>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717" w:type="dxa"/>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工程量测量/</w:t>
            </w:r>
          </w:p>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丈量结果</w:t>
            </w:r>
          </w:p>
        </w:tc>
        <w:tc>
          <w:tcPr>
            <w:tcW w:w="6476" w:type="dxa"/>
            <w:gridSpan w:val="3"/>
            <w:vAlign w:val="center"/>
          </w:tcPr>
          <w:p>
            <w:pPr>
              <w:ind w:firstLine="560" w:firstLineChars="200"/>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271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验收意见</w:t>
            </w:r>
          </w:p>
        </w:tc>
        <w:tc>
          <w:tcPr>
            <w:tcW w:w="6476" w:type="dxa"/>
            <w:gridSpan w:val="3"/>
            <w:vAlign w:val="center"/>
          </w:tcPr>
          <w:p>
            <w:pPr>
              <w:spacing w:line="320" w:lineRule="exact"/>
              <w:jc w:val="center"/>
              <w:rPr>
                <w:rFonts w:hint="eastAsia" w:ascii="仿宋" w:hAnsi="仿宋" w:eastAsia="仿宋" w:cs="仿宋"/>
                <w:sz w:val="28"/>
                <w:szCs w:val="28"/>
              </w:rPr>
            </w:pPr>
          </w:p>
          <w:p>
            <w:pPr>
              <w:ind w:firstLine="560" w:firstLineChars="200"/>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4589" w:type="dxa"/>
            <w:gridSpan w:val="2"/>
            <w:vAlign w:val="top"/>
          </w:tcPr>
          <w:p>
            <w:pPr>
              <w:rPr>
                <w:rFonts w:hint="eastAsia" w:ascii="仿宋" w:hAnsi="仿宋" w:eastAsia="仿宋" w:cs="仿宋"/>
                <w:sz w:val="28"/>
                <w:szCs w:val="28"/>
              </w:rPr>
            </w:pPr>
            <w:r>
              <w:rPr>
                <w:rFonts w:hint="eastAsia" w:ascii="仿宋" w:hAnsi="仿宋" w:eastAsia="仿宋" w:cs="仿宋"/>
                <w:sz w:val="28"/>
                <w:szCs w:val="28"/>
              </w:rPr>
              <w:t>街道办事处：</w:t>
            </w:r>
          </w:p>
          <w:p>
            <w:pPr>
              <w:tabs>
                <w:tab w:val="left" w:pos="2205"/>
              </w:tabs>
              <w:spacing w:line="400" w:lineRule="exact"/>
              <w:rPr>
                <w:rFonts w:hint="eastAsia" w:ascii="仿宋" w:hAnsi="仿宋" w:eastAsia="仿宋" w:cs="仿宋"/>
                <w:sz w:val="28"/>
                <w:szCs w:val="28"/>
              </w:rPr>
            </w:pPr>
          </w:p>
        </w:tc>
        <w:tc>
          <w:tcPr>
            <w:tcW w:w="4604" w:type="dxa"/>
            <w:gridSpan w:val="2"/>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监理单位：</w:t>
            </w:r>
          </w:p>
          <w:p>
            <w:pPr>
              <w:spacing w:line="400" w:lineRule="exac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13" w:hRule="atLeast"/>
          <w:jc w:val="center"/>
        </w:trPr>
        <w:tc>
          <w:tcPr>
            <w:tcW w:w="4589" w:type="dxa"/>
            <w:gridSpan w:val="2"/>
            <w:vAlign w:val="top"/>
          </w:tcPr>
          <w:p>
            <w:pPr>
              <w:tabs>
                <w:tab w:val="left" w:pos="2205"/>
              </w:tabs>
              <w:spacing w:line="400" w:lineRule="exact"/>
              <w:rPr>
                <w:rFonts w:hint="eastAsia" w:ascii="仿宋" w:hAnsi="仿宋" w:eastAsia="仿宋" w:cs="仿宋"/>
                <w:sz w:val="28"/>
                <w:szCs w:val="28"/>
              </w:rPr>
            </w:pPr>
            <w:r>
              <w:rPr>
                <w:rFonts w:hint="eastAsia" w:ascii="仿宋" w:hAnsi="仿宋" w:eastAsia="仿宋" w:cs="仿宋"/>
                <w:sz w:val="32"/>
                <w:szCs w:val="32"/>
              </w:rPr>
              <w:t>城改事务中心</w:t>
            </w:r>
            <w:r>
              <w:rPr>
                <w:rFonts w:hint="eastAsia" w:ascii="仿宋" w:hAnsi="仿宋" w:eastAsia="仿宋" w:cs="仿宋"/>
                <w:sz w:val="28"/>
                <w:szCs w:val="28"/>
              </w:rPr>
              <w:t>：</w:t>
            </w:r>
          </w:p>
        </w:tc>
        <w:tc>
          <w:tcPr>
            <w:tcW w:w="4604" w:type="dxa"/>
            <w:gridSpan w:val="2"/>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施工单位：</w:t>
            </w:r>
          </w:p>
          <w:p>
            <w:pPr>
              <w:spacing w:line="400" w:lineRule="exact"/>
              <w:rPr>
                <w:rFonts w:hint="eastAsia" w:ascii="仿宋" w:hAnsi="仿宋" w:eastAsia="仿宋" w:cs="仿宋"/>
                <w:sz w:val="28"/>
                <w:szCs w:val="28"/>
              </w:rPr>
            </w:pPr>
          </w:p>
        </w:tc>
      </w:tr>
    </w:tbl>
    <w:p>
      <w:pPr>
        <w:spacing w:before="156" w:beforeLines="50" w:line="280" w:lineRule="exact"/>
        <w:rPr>
          <w:rStyle w:val="115"/>
          <w:rFonts w:hint="eastAsia" w:ascii="仿宋" w:hAnsi="仿宋" w:eastAsia="仿宋" w:cs="仿宋"/>
          <w:szCs w:val="24"/>
        </w:rPr>
      </w:pPr>
      <w:r>
        <w:rPr>
          <w:rStyle w:val="115"/>
          <w:rFonts w:hint="eastAsia" w:ascii="仿宋" w:hAnsi="仿宋" w:eastAsia="仿宋" w:cs="仿宋"/>
          <w:szCs w:val="24"/>
        </w:rPr>
        <w:t xml:space="preserve">  说明：1.根据验收阶段分别填写：地坪以上拆除部分验收单、地坪以上垃圾清运部分验收单和竣工验收单;2.街办对项目的四址、范围进行确认。</w:t>
      </w:r>
    </w:p>
    <w:p>
      <w:pPr>
        <w:spacing w:before="156" w:beforeLines="50" w:after="156" w:afterLines="50" w:line="560" w:lineRule="exact"/>
        <w:rPr>
          <w:rFonts w:hint="eastAsia" w:ascii="仿宋" w:hAnsi="仿宋" w:eastAsia="仿宋" w:cs="仿宋"/>
          <w:sz w:val="24"/>
          <w:szCs w:val="24"/>
        </w:rPr>
        <w:sectPr>
          <w:pgSz w:w="11906" w:h="16838"/>
          <w:pgMar w:top="1417" w:right="1418" w:bottom="1417" w:left="1417" w:header="1134" w:footer="850" w:gutter="0"/>
          <w:pgNumType w:fmt="decimal"/>
          <w:cols w:space="720" w:num="1"/>
          <w:docGrid w:type="lines" w:linePitch="312" w:charSpace="0"/>
        </w:sectPr>
      </w:pPr>
    </w:p>
    <w:p>
      <w:pPr>
        <w:spacing w:before="156" w:beforeLines="50" w:after="156" w:afterLines="50" w:line="560" w:lineRule="exact"/>
        <w:rPr>
          <w:rFonts w:hint="eastAsia" w:ascii="仿宋" w:hAnsi="仿宋" w:eastAsia="仿宋" w:cs="仿宋"/>
          <w:sz w:val="24"/>
          <w:szCs w:val="24"/>
        </w:rPr>
      </w:pPr>
      <w:r>
        <w:rPr>
          <w:rFonts w:hint="eastAsia" w:ascii="仿宋" w:hAnsi="仿宋" w:eastAsia="仿宋" w:cs="仿宋"/>
          <w:sz w:val="24"/>
          <w:szCs w:val="24"/>
        </w:rPr>
        <w:t>附件2：</w:t>
      </w:r>
    </w:p>
    <w:p>
      <w:pPr>
        <w:spacing w:line="560" w:lineRule="exact"/>
        <w:jc w:val="center"/>
        <w:rPr>
          <w:rFonts w:hint="eastAsia" w:ascii="仿宋" w:hAnsi="仿宋" w:eastAsia="仿宋" w:cs="仿宋"/>
          <w:sz w:val="24"/>
          <w:szCs w:val="24"/>
        </w:rPr>
      </w:pPr>
      <w:r>
        <w:rPr>
          <w:rFonts w:hint="eastAsia" w:ascii="仿宋" w:hAnsi="仿宋" w:eastAsia="仿宋" w:cs="仿宋"/>
          <w:bCs/>
          <w:sz w:val="32"/>
          <w:szCs w:val="32"/>
        </w:rPr>
        <w:t>安全生产及治污减霾责任书</w:t>
      </w:r>
    </w:p>
    <w:p>
      <w:pPr>
        <w:pStyle w:val="116"/>
        <w:spacing w:line="560" w:lineRule="exact"/>
        <w:ind w:left="0" w:firstLine="480" w:firstLineChars="200"/>
        <w:rPr>
          <w:rFonts w:hint="eastAsia" w:ascii="仿宋" w:hAnsi="仿宋" w:eastAsia="仿宋" w:cs="仿宋"/>
          <w:spacing w:val="5"/>
          <w:sz w:val="24"/>
          <w:szCs w:val="24"/>
        </w:rPr>
      </w:pPr>
      <w:r>
        <w:rPr>
          <w:rFonts w:hint="eastAsia" w:ascii="仿宋" w:hAnsi="仿宋" w:eastAsia="仿宋" w:cs="仿宋"/>
          <w:sz w:val="24"/>
          <w:szCs w:val="24"/>
        </w:rPr>
        <w:t>为加强征地拆迁及村庄搬迁工作中拆除及垃圾清运工程的安全生产、治污减霾管理工作，根据《中华人民共和国安全生产法》、《建设工程安全生产管理条例》、《沣东新城2019年“铁腕治霾·保卫蓝天”攻坚行动方案》等相关法律以及省、市、西咸新区及沣东新城关于安全生产、治污减霾工作要求，结合征地拆迁工作实际，特签订本责任书。</w:t>
      </w:r>
    </w:p>
    <w:p>
      <w:pPr>
        <w:pStyle w:val="116"/>
        <w:spacing w:line="560" w:lineRule="exact"/>
        <w:ind w:left="0" w:firstLine="500" w:firstLineChars="200"/>
        <w:rPr>
          <w:rFonts w:hint="eastAsia" w:ascii="仿宋" w:hAnsi="仿宋" w:eastAsia="仿宋" w:cs="仿宋"/>
          <w:bCs/>
          <w:spacing w:val="5"/>
          <w:sz w:val="24"/>
          <w:szCs w:val="24"/>
        </w:rPr>
      </w:pPr>
      <w:r>
        <w:rPr>
          <w:rFonts w:hint="eastAsia" w:ascii="仿宋" w:hAnsi="仿宋" w:eastAsia="仿宋" w:cs="仿宋"/>
          <w:bCs/>
          <w:spacing w:val="5"/>
          <w:sz w:val="24"/>
          <w:szCs w:val="24"/>
        </w:rPr>
        <w:t>一、责任范围</w:t>
      </w:r>
    </w:p>
    <w:p>
      <w:pPr>
        <w:pStyle w:val="116"/>
        <w:spacing w:line="560" w:lineRule="exact"/>
        <w:ind w:left="0" w:firstLine="500" w:firstLineChars="200"/>
        <w:rPr>
          <w:rFonts w:hint="eastAsia" w:ascii="仿宋" w:hAnsi="仿宋" w:eastAsia="仿宋" w:cs="仿宋"/>
          <w:spacing w:val="5"/>
          <w:sz w:val="24"/>
          <w:szCs w:val="24"/>
        </w:rPr>
      </w:pPr>
      <w:r>
        <w:rPr>
          <w:rFonts w:hint="eastAsia" w:ascii="仿宋" w:hAnsi="仿宋" w:eastAsia="仿宋" w:cs="仿宋"/>
          <w:spacing w:val="5"/>
          <w:sz w:val="24"/>
          <w:szCs w:val="24"/>
        </w:rPr>
        <w:t>责任范围：拆除及垃圾清运工程实施过程中，对工程项目的安全生产、治污减霾工作全面负责。</w:t>
      </w:r>
    </w:p>
    <w:p>
      <w:pPr>
        <w:pStyle w:val="116"/>
        <w:spacing w:line="560" w:lineRule="exact"/>
        <w:ind w:left="0" w:firstLine="500" w:firstLineChars="200"/>
        <w:rPr>
          <w:rFonts w:hint="eastAsia" w:ascii="仿宋" w:hAnsi="仿宋" w:eastAsia="仿宋" w:cs="仿宋"/>
          <w:bCs/>
          <w:spacing w:val="5"/>
          <w:sz w:val="24"/>
          <w:szCs w:val="24"/>
        </w:rPr>
      </w:pPr>
      <w:r>
        <w:rPr>
          <w:rFonts w:hint="eastAsia" w:ascii="仿宋" w:hAnsi="仿宋" w:eastAsia="仿宋" w:cs="仿宋"/>
          <w:bCs/>
          <w:spacing w:val="5"/>
          <w:sz w:val="24"/>
          <w:szCs w:val="24"/>
        </w:rPr>
        <w:t>二、考核目标</w:t>
      </w:r>
    </w:p>
    <w:p>
      <w:pPr>
        <w:adjustRightInd w:val="0"/>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（一）安全生产目标</w:t>
      </w:r>
    </w:p>
    <w:p>
      <w:pPr>
        <w:adjustRightIn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遵守《建设工程安全生产管理条例》的规定，实现本项目安全生产管理目标：无死亡、无重伤、无施工坍塌、无高处坠落、无滑坡、无火灾、无用电事故、无重大机械事故等各类安全生产事故。即：</w:t>
      </w:r>
    </w:p>
    <w:p>
      <w:pPr>
        <w:pStyle w:val="116"/>
        <w:spacing w:line="560" w:lineRule="exact"/>
        <w:ind w:left="0" w:firstLine="500" w:firstLineChars="200"/>
        <w:rPr>
          <w:rFonts w:hint="eastAsia" w:ascii="仿宋" w:hAnsi="仿宋" w:eastAsia="仿宋" w:cs="仿宋"/>
          <w:spacing w:val="5"/>
          <w:sz w:val="24"/>
          <w:szCs w:val="24"/>
        </w:rPr>
      </w:pPr>
      <w:r>
        <w:rPr>
          <w:rFonts w:hint="eastAsia" w:ascii="仿宋" w:hAnsi="仿宋" w:eastAsia="仿宋" w:cs="仿宋"/>
          <w:spacing w:val="5"/>
          <w:sz w:val="24"/>
          <w:szCs w:val="24"/>
        </w:rPr>
        <w:t>1.无造成人员死亡的生产安全责任事故。</w:t>
      </w:r>
    </w:p>
    <w:p>
      <w:pPr>
        <w:pStyle w:val="116"/>
        <w:spacing w:line="560" w:lineRule="exact"/>
        <w:ind w:left="0" w:firstLine="500" w:firstLineChars="200"/>
        <w:rPr>
          <w:rFonts w:hint="eastAsia" w:ascii="仿宋" w:hAnsi="仿宋" w:eastAsia="仿宋" w:cs="仿宋"/>
          <w:spacing w:val="5"/>
          <w:sz w:val="24"/>
          <w:szCs w:val="24"/>
        </w:rPr>
      </w:pPr>
      <w:r>
        <w:rPr>
          <w:rFonts w:hint="eastAsia" w:ascii="仿宋" w:hAnsi="仿宋" w:eastAsia="仿宋" w:cs="仿宋"/>
          <w:spacing w:val="5"/>
          <w:sz w:val="24"/>
          <w:szCs w:val="24"/>
        </w:rPr>
        <w:t>2.减少一般生产安全事故，杜绝较大及重特大生产安全事故。</w:t>
      </w:r>
    </w:p>
    <w:p>
      <w:pPr>
        <w:adjustRightInd w:val="0"/>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（二）治污减霾目标</w:t>
      </w:r>
    </w:p>
    <w:p>
      <w:pPr>
        <w:pStyle w:val="116"/>
        <w:spacing w:line="560" w:lineRule="exact"/>
        <w:ind w:left="0" w:firstLine="500" w:firstLineChars="200"/>
        <w:rPr>
          <w:rFonts w:hint="eastAsia" w:ascii="仿宋" w:hAnsi="仿宋" w:eastAsia="仿宋" w:cs="仿宋"/>
          <w:spacing w:val="5"/>
          <w:sz w:val="24"/>
          <w:szCs w:val="24"/>
        </w:rPr>
      </w:pPr>
      <w:r>
        <w:rPr>
          <w:rFonts w:hint="eastAsia" w:ascii="仿宋" w:hAnsi="仿宋" w:eastAsia="仿宋" w:cs="仿宋"/>
          <w:spacing w:val="5"/>
          <w:sz w:val="24"/>
          <w:szCs w:val="24"/>
        </w:rPr>
        <w:t>1.无重大扬尘污染事件。</w:t>
      </w:r>
    </w:p>
    <w:p>
      <w:pPr>
        <w:pStyle w:val="116"/>
        <w:spacing w:line="560" w:lineRule="exact"/>
        <w:ind w:left="0" w:firstLine="500" w:firstLineChars="200"/>
        <w:rPr>
          <w:rFonts w:hint="eastAsia" w:ascii="仿宋" w:hAnsi="仿宋" w:eastAsia="仿宋" w:cs="仿宋"/>
          <w:spacing w:val="5"/>
          <w:sz w:val="24"/>
          <w:szCs w:val="24"/>
        </w:rPr>
      </w:pPr>
      <w:r>
        <w:rPr>
          <w:rFonts w:hint="eastAsia" w:ascii="仿宋" w:hAnsi="仿宋" w:eastAsia="仿宋" w:cs="仿宋"/>
          <w:spacing w:val="5"/>
          <w:sz w:val="24"/>
          <w:szCs w:val="24"/>
        </w:rPr>
        <w:t>2.坚决杜绝一般扬尘污染事件，较大扬尘污染事件及重特大扬尘污染事件。</w:t>
      </w:r>
    </w:p>
    <w:p>
      <w:pPr>
        <w:pStyle w:val="116"/>
        <w:spacing w:line="560" w:lineRule="exact"/>
        <w:ind w:left="0" w:firstLine="500" w:firstLineChars="200"/>
        <w:rPr>
          <w:rFonts w:hint="eastAsia" w:ascii="仿宋" w:hAnsi="仿宋" w:eastAsia="仿宋" w:cs="仿宋"/>
          <w:bCs/>
          <w:spacing w:val="5"/>
          <w:sz w:val="24"/>
          <w:szCs w:val="24"/>
        </w:rPr>
      </w:pPr>
      <w:r>
        <w:rPr>
          <w:rFonts w:hint="eastAsia" w:ascii="仿宋" w:hAnsi="仿宋" w:eastAsia="仿宋" w:cs="仿宋"/>
          <w:bCs/>
          <w:spacing w:val="5"/>
          <w:sz w:val="24"/>
          <w:szCs w:val="24"/>
        </w:rPr>
        <w:t>三、任务及要求</w:t>
      </w:r>
    </w:p>
    <w:p>
      <w:pPr>
        <w:adjustRightInd w:val="0"/>
        <w:snapToGrid w:val="0"/>
        <w:spacing w:line="560" w:lineRule="exact"/>
        <w:ind w:firstLine="502" w:firstLineChars="200"/>
        <w:rPr>
          <w:rFonts w:hint="eastAsia" w:ascii="仿宋" w:hAnsi="仿宋" w:eastAsia="仿宋" w:cs="仿宋"/>
          <w:b/>
          <w:bCs/>
          <w:spacing w:val="5"/>
          <w:sz w:val="24"/>
          <w:szCs w:val="24"/>
        </w:rPr>
      </w:pPr>
      <w:r>
        <w:rPr>
          <w:rFonts w:hint="eastAsia" w:ascii="仿宋" w:hAnsi="仿宋" w:eastAsia="仿宋" w:cs="仿宋"/>
          <w:b/>
          <w:bCs/>
          <w:spacing w:val="5"/>
          <w:sz w:val="24"/>
          <w:szCs w:val="24"/>
        </w:rPr>
        <w:t>（一）安全生产方面</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1.具有实施房屋拆除及拆迁垃圾清运工程施工合同约定工作的相应资质，工作人员具有相应特种行业上岗证、安全作业证等证件。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2.房屋拆除施工现场需实行全封闭管理，应当在醒目位置设置安全标志，主要出入口设置统一的施工标志牌和警示标志。</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房屋拆除前，拆除方案需经监理单位审查通过并报甲方备案，对沼气池、电线、电器设备等易燃易爆危险源的拆除，必须提前制定专项拆除方案和相关安全预案，经行业主管单位审批通过后，按照要求进行规范作业，杜绝产生安全事故。</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房屋拆除时，必须由甲方、监理单位、乙方施工单位共同对房屋进行检查，并做好检查记录，在所拆房屋人员全部撤离、财物全部腾空、有安全保证、达到施工标准后，方可实施拆除。实施过程中，如需调整方案，须甲方、监理单位同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拆除过程中，对已交房屋应拆尽拆，不得遗留已交付未拆除房屋；同时，必须随时注意周边房屋的安全情况，接到撤离信息后，施工人员必须无条件撤离到安全区域。所有拆除的门窗，严禁在施工现场内堆放，拆除废料须堆放整齐，严防因堆放和防护不当造成的塌方、滑坡等安全事故。</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6.清运过程中，应做好沿途的安全防护工作，挖装过程中严防因堆放和防护不当造成的塌方、滑坡等安全事故，建筑垃圾按规定清运，不得在施工现场焚烧。</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安排专人昼夜值班，加强对已搬家交房区域的巡查力度，严禁一切社会闲杂及流浪乞讨人员进入现场或进行留宿，避免发生安全隐患。同时，负责施工现场的看护管理，保证拆除范围周边其他生产生活设施的安全，因疏于看护导致甲方已赔付房屋设施损毁的，由乙方承担全部责任。切实做到施工现场的水电安全、道路整洁、生活垃圾及时清运；切实加强各类管线的专项防护工作，按甲方和管线单位的要求做好防护措施（各项防护措施费已包括在合同单价内，不再另行计算）。</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8.施工单位严禁挂靠、转包和分包拆除工程；严禁雨天、四级以上（含四级）大风天气施工。</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9.施工单位应为其施工作业的人员办理人身意外伤害保险，并应将投保证明及作业人员花名册报甲方备案。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施工过程中如发生安全生产事故时，施工单位应当立即将伤员送医疗机构进行救治，保护好事故现场。需要移动现场物品时，应当作出标记和书面记录，妥善保护有关证物。同时立即向甲方报告,对在施工过程中发生的人身伤亡，由乙方承担全部赔偿责任，与甲方无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11.对拆除工程进行定期和专项安全自检，并做好安全检查记录，及时发现并消除安全生产事故隐患。因乙方原因造成各类安全事故，乙方自行承担由此造成的后果及损失。</w:t>
      </w:r>
    </w:p>
    <w:p>
      <w:pPr>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（二）治污减霾方面</w:t>
      </w:r>
    </w:p>
    <w:p>
      <w:pPr>
        <w:adjustRightIn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1.严格按照国家、省、市、西咸新区及沣东新城大气污染防治工作部署，认真落实“六个100%”及“七个到位”扬尘治理标准，制定切实可行的扬尘污染治理方案。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2.拆除现场必须设置项目公示栏及红蓝绿牌、环境保护公示栏，明确相关责任人。</w:t>
      </w:r>
    </w:p>
    <w:p>
      <w:pPr>
        <w:adjustRightIn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3.拆除现场出入口建设足够数量的冲洗台，并配备自动喷淋设施和空气检测仪、监控系统等相关设施设备（上述设备项目完工后向甲方移交，归甲方所有），严禁车体和车轮带有泥土的运输车辆驶出工地。</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4.拆除现场配备足够的雾炮车、洒水车辆，满足抑尘需要, 房屋拆除必须坚持边拆除、边洒水、边清运渣土，谁拆除、谁负责, 保证现场不积土、不扬尘。</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5.实施清运前，将建筑垃圾清运合同报行业主管部门备案，办理相关清运手续，并按规定线路行驶，做好所经道路的保洁工作。</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6.清运过程做好蓬盖，保证运输过程不超载、不扬尘、不撒漏、不随意倾倒垃圾。</w:t>
      </w:r>
    </w:p>
    <w:p>
      <w:pPr>
        <w:adjustRightIn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7.拆除工地必须及时进行绿网覆盖、围挡安装和设备设施的日常维护等工作。</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8.房屋拆除、建筑垃圾清运应当符合省市、西咸及沣东新城管委会的相关要求，并接受行业主管部门的日常管理及巡检督查。</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9.遇有可造成扬尘污染的4级以上（含4级）风力时，施工单位必须停止拆迁施工和土方施工，并做好覆盖工作。</w:t>
      </w:r>
    </w:p>
    <w:p>
      <w:pPr>
        <w:adjustRightIn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10.在施工过程中，因治污减霾相关工作被有关部门通报，由此造成的后果及损失乙方自行承担。</w:t>
      </w:r>
    </w:p>
    <w:p>
      <w:pPr>
        <w:pStyle w:val="116"/>
        <w:spacing w:line="560" w:lineRule="exact"/>
        <w:ind w:left="0" w:firstLine="500" w:firstLineChars="200"/>
        <w:rPr>
          <w:rFonts w:hint="eastAsia" w:ascii="仿宋" w:hAnsi="仿宋" w:eastAsia="仿宋" w:cs="仿宋"/>
          <w:bCs/>
          <w:spacing w:val="5"/>
          <w:sz w:val="24"/>
          <w:szCs w:val="24"/>
        </w:rPr>
      </w:pPr>
      <w:r>
        <w:rPr>
          <w:rFonts w:hint="eastAsia" w:ascii="仿宋" w:hAnsi="仿宋" w:eastAsia="仿宋" w:cs="仿宋"/>
          <w:bCs/>
          <w:spacing w:val="5"/>
          <w:sz w:val="24"/>
          <w:szCs w:val="24"/>
        </w:rPr>
        <w:t>四、奖励与惩处</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（一）对完成安全生产和治污减霾考核目标，获得上级部门通报表扬的情形，酌情给予表彰和奖励。</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（二）对工作不落实、未完成考核目标的情形，进行通报批评。</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（三）因工作不到位，导致发生较大以上安全生产事故或扬尘污染事件，或者连续发生一般安全生产事故或扬尘污染事件，在查明原因、分清责任的基础上，按照有关法律法规规定追究相关责任人的责任。</w:t>
      </w:r>
    </w:p>
    <w:p>
      <w:pPr>
        <w:pStyle w:val="116"/>
        <w:spacing w:line="560" w:lineRule="exact"/>
        <w:ind w:left="0" w:firstLine="500" w:firstLineChars="200"/>
        <w:rPr>
          <w:rFonts w:hint="eastAsia" w:ascii="仿宋" w:hAnsi="仿宋" w:eastAsia="仿宋" w:cs="仿宋"/>
          <w:bCs/>
          <w:spacing w:val="5"/>
          <w:sz w:val="24"/>
          <w:szCs w:val="24"/>
        </w:rPr>
      </w:pPr>
      <w:r>
        <w:rPr>
          <w:rFonts w:hint="eastAsia" w:ascii="仿宋" w:hAnsi="仿宋" w:eastAsia="仿宋" w:cs="仿宋"/>
          <w:bCs/>
          <w:spacing w:val="5"/>
          <w:sz w:val="24"/>
          <w:szCs w:val="24"/>
        </w:rPr>
        <w:t>五、其他</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甲方在乙方施工现场检查、巡查过程中，发现存在安全事故隐患或违反沣东新城管委会发布的关于控制扬尘污染通告有关规定，认为必须暂停施工的，应以书面形式下达停工整改通知。乙方对甲方的停工整改通知应予以执行，并按照甲方要求停止施工进行整改，妥善保护已完工程。</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(二)乙方进行整改，经甲方检查已消除安全事故隐患，切实履行防治扬尘污染具体措施后，可以进行复工。</w:t>
      </w:r>
    </w:p>
    <w:p>
      <w:pPr>
        <w:spacing w:line="48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（以下无正文）</w:t>
      </w:r>
    </w:p>
    <w:p>
      <w:pPr>
        <w:spacing w:line="480" w:lineRule="exact"/>
        <w:ind w:firstLine="464" w:firstLineChars="200"/>
        <w:rPr>
          <w:rFonts w:hint="eastAsia" w:ascii="仿宋" w:hAnsi="仿宋" w:eastAsia="仿宋" w:cs="仿宋"/>
          <w:spacing w:val="-4"/>
          <w:sz w:val="24"/>
          <w:szCs w:val="24"/>
        </w:rPr>
      </w:pPr>
    </w:p>
    <w:p>
      <w:pPr>
        <w:spacing w:line="480" w:lineRule="exact"/>
        <w:ind w:firstLine="464" w:firstLineChars="200"/>
        <w:rPr>
          <w:rFonts w:hint="eastAsia" w:ascii="仿宋" w:hAnsi="仿宋" w:eastAsia="仿宋" w:cs="仿宋"/>
          <w:spacing w:val="-4"/>
          <w:sz w:val="24"/>
          <w:szCs w:val="24"/>
        </w:rPr>
      </w:pPr>
    </w:p>
    <w:p>
      <w:pPr>
        <w:spacing w:line="480" w:lineRule="exact"/>
        <w:ind w:firstLine="464" w:firstLineChars="200"/>
        <w:rPr>
          <w:rFonts w:hint="eastAsia" w:ascii="仿宋" w:hAnsi="仿宋" w:eastAsia="仿宋" w:cs="仿宋"/>
          <w:spacing w:val="-4"/>
          <w:sz w:val="24"/>
          <w:szCs w:val="24"/>
        </w:rPr>
        <w:sectPr>
          <w:pgSz w:w="11906" w:h="16838"/>
          <w:pgMar w:top="1417" w:right="1417" w:bottom="1417" w:left="1701" w:header="851" w:footer="992" w:gutter="0"/>
          <w:pgNumType w:fmt="decimal"/>
          <w:cols w:space="0" w:num="1"/>
          <w:docGrid w:type="lines" w:linePitch="312" w:charSpace="0"/>
        </w:sectPr>
      </w:pPr>
    </w:p>
    <w:p>
      <w:pPr>
        <w:spacing w:line="480" w:lineRule="exact"/>
        <w:ind w:firstLine="464" w:firstLineChars="200"/>
        <w:rPr>
          <w:rFonts w:hint="eastAsia" w:ascii="仿宋" w:hAnsi="仿宋" w:eastAsia="仿宋" w:cs="仿宋"/>
          <w:spacing w:val="-4"/>
          <w:sz w:val="24"/>
          <w:szCs w:val="24"/>
        </w:rPr>
      </w:pPr>
    </w:p>
    <w:p>
      <w:pPr>
        <w:spacing w:line="480" w:lineRule="exact"/>
        <w:ind w:firstLine="464" w:firstLineChars="200"/>
        <w:rPr>
          <w:rFonts w:hint="eastAsia" w:ascii="仿宋" w:hAnsi="仿宋" w:eastAsia="仿宋" w:cs="仿宋"/>
          <w:spacing w:val="-4"/>
          <w:sz w:val="24"/>
          <w:szCs w:val="24"/>
        </w:rPr>
      </w:pPr>
    </w:p>
    <w:p>
      <w:pPr>
        <w:spacing w:line="48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甲方（盖章）：               乙方（盖章）：</w:t>
      </w:r>
    </w:p>
    <w:p>
      <w:pPr>
        <w:spacing w:line="480" w:lineRule="exact"/>
        <w:ind w:firstLine="464" w:firstLineChars="200"/>
        <w:rPr>
          <w:rFonts w:hint="eastAsia" w:ascii="仿宋" w:hAnsi="仿宋" w:eastAsia="仿宋" w:cs="仿宋"/>
          <w:spacing w:val="-4"/>
          <w:sz w:val="24"/>
          <w:szCs w:val="24"/>
        </w:rPr>
      </w:pPr>
    </w:p>
    <w:p>
      <w:pPr>
        <w:spacing w:line="48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法定代表人或                 法定代表人或</w:t>
      </w:r>
    </w:p>
    <w:p>
      <w:pPr>
        <w:spacing w:line="48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 xml:space="preserve">委托代理人：                 委托代理人：  </w:t>
      </w:r>
    </w:p>
    <w:p>
      <w:pPr>
        <w:spacing w:line="480" w:lineRule="exact"/>
        <w:ind w:firstLine="464" w:firstLineChars="200"/>
        <w:rPr>
          <w:rFonts w:hint="eastAsia" w:ascii="仿宋" w:hAnsi="仿宋" w:eastAsia="仿宋" w:cs="仿宋"/>
          <w:spacing w:val="-4"/>
          <w:sz w:val="24"/>
          <w:szCs w:val="24"/>
        </w:rPr>
      </w:pPr>
    </w:p>
    <w:p>
      <w:pPr>
        <w:spacing w:line="48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经办人：                     经办人：</w:t>
      </w:r>
    </w:p>
    <w:p>
      <w:pPr>
        <w:spacing w:line="480" w:lineRule="exact"/>
        <w:ind w:firstLine="3712" w:firstLineChars="1600"/>
        <w:rPr>
          <w:rFonts w:hint="eastAsia" w:ascii="仿宋" w:hAnsi="仿宋" w:eastAsia="仿宋" w:cs="仿宋"/>
          <w:spacing w:val="-4"/>
          <w:sz w:val="24"/>
          <w:szCs w:val="24"/>
        </w:rPr>
      </w:pPr>
    </w:p>
    <w:p>
      <w:pPr>
        <w:spacing w:line="480" w:lineRule="exact"/>
        <w:ind w:firstLine="3712" w:firstLineChars="1600"/>
        <w:rPr>
          <w:rFonts w:hint="eastAsia" w:ascii="仿宋" w:hAnsi="仿宋" w:eastAsia="仿宋" w:cs="仿宋"/>
          <w:spacing w:val="-4"/>
          <w:sz w:val="24"/>
          <w:szCs w:val="24"/>
        </w:rPr>
      </w:pPr>
      <w:r>
        <w:rPr>
          <w:rFonts w:hint="eastAsia" w:ascii="仿宋" w:hAnsi="仿宋" w:eastAsia="仿宋" w:cs="仿宋"/>
          <w:spacing w:val="-4"/>
          <w:sz w:val="24"/>
          <w:szCs w:val="24"/>
        </w:rPr>
        <w:t>签订日期：   年   月   日</w:t>
      </w:r>
    </w:p>
    <w:p>
      <w:pPr>
        <w:spacing w:line="560" w:lineRule="exact"/>
        <w:ind w:firstLine="640" w:firstLineChars="200"/>
        <w:rPr>
          <w:rFonts w:hint="eastAsia" w:ascii="仿宋" w:hAnsi="仿宋" w:eastAsia="仿宋" w:cs="仿宋"/>
          <w:sz w:val="32"/>
          <w:szCs w:val="32"/>
        </w:rPr>
        <w:sectPr>
          <w:pgSz w:w="11906" w:h="16838"/>
          <w:pgMar w:top="1417" w:right="1417" w:bottom="1417" w:left="1701" w:header="851" w:footer="992" w:gutter="0"/>
          <w:pgNumType w:fmt="decimal"/>
          <w:cols w:space="0" w:num="1"/>
          <w:docGrid w:type="lines" w:linePitch="312" w:charSpace="0"/>
        </w:sectPr>
      </w:pPr>
    </w:p>
    <w:p>
      <w:pPr>
        <w:pStyle w:val="2"/>
        <w:rPr>
          <w:rFonts w:hint="eastAsia"/>
        </w:rPr>
      </w:pPr>
    </w:p>
    <w:p>
      <w:pPr>
        <w:pStyle w:val="3"/>
        <w:numPr>
          <w:ilvl w:val="0"/>
          <w:numId w:val="8"/>
        </w:numPr>
        <w:jc w:val="center"/>
        <w:rPr>
          <w:rFonts w:hint="eastAsia" w:ascii="仿宋" w:hAnsi="仿宋" w:eastAsia="仿宋" w:cs="仿宋"/>
        </w:rPr>
      </w:pPr>
      <w:bookmarkStart w:id="186" w:name="_Toc30251"/>
      <w:bookmarkStart w:id="187" w:name="_Toc29181"/>
      <w:bookmarkStart w:id="188" w:name="_Toc30085"/>
      <w:bookmarkStart w:id="189" w:name="_Toc29326"/>
      <w:r>
        <w:rPr>
          <w:rFonts w:hint="eastAsia" w:ascii="仿宋" w:hAnsi="仿宋" w:eastAsia="仿宋" w:cs="仿宋"/>
          <w:lang w:val="en-US" w:eastAsia="zh-CN"/>
        </w:rPr>
        <w:t xml:space="preserve"> </w:t>
      </w:r>
      <w:r>
        <w:rPr>
          <w:rFonts w:hint="eastAsia" w:ascii="仿宋" w:hAnsi="仿宋" w:eastAsia="仿宋" w:cs="仿宋"/>
        </w:rPr>
        <w:t>项目概况及要求</w:t>
      </w:r>
      <w:bookmarkEnd w:id="186"/>
      <w:bookmarkEnd w:id="187"/>
      <w:bookmarkEnd w:id="188"/>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三桥街道零散地块拆迁项目地块拆除工程约400000平方米、地面破碎工程约117647平方米、垃圾清运工程约69230.75立方米、场内倒运1项、机械台班1项、围墙圈建约512延米。（具体结算以实际工程量结算）。</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二、工期：</w:t>
      </w:r>
      <w:r>
        <w:rPr>
          <w:rFonts w:hint="eastAsia" w:ascii="仿宋" w:hAnsi="仿宋" w:eastAsia="仿宋" w:cs="仿宋"/>
          <w:sz w:val="24"/>
          <w:szCs w:val="24"/>
        </w:rPr>
        <w:t>1年</w:t>
      </w:r>
    </w:p>
    <w:p>
      <w:pPr>
        <w:spacing w:line="360" w:lineRule="auto"/>
        <w:rPr>
          <w:rFonts w:hint="eastAsia" w:ascii="仿宋" w:hAnsi="仿宋" w:eastAsia="仿宋" w:cs="仿宋"/>
          <w:sz w:val="24"/>
          <w:szCs w:val="24"/>
        </w:rPr>
      </w:pPr>
      <w:r>
        <w:rPr>
          <w:rFonts w:hint="eastAsia" w:ascii="仿宋" w:hAnsi="仿宋" w:eastAsia="仿宋" w:cs="仿宋"/>
          <w:sz w:val="24"/>
          <w:szCs w:val="24"/>
        </w:rPr>
        <w:t>三、服务地点：陕西省西咸新区沣东新城三桥街道办事处指定地点</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四、单价最高限价</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1、地块拆除</w:t>
      </w:r>
      <w:r>
        <w:rPr>
          <w:rFonts w:hint="eastAsia" w:ascii="仿宋" w:hAnsi="仿宋" w:eastAsia="仿宋" w:cs="仿宋"/>
          <w:sz w:val="24"/>
          <w:szCs w:val="24"/>
          <w:lang w:eastAsia="zh-CN"/>
        </w:rPr>
        <w:t>（</w:t>
      </w:r>
      <w:r>
        <w:rPr>
          <w:rFonts w:hint="eastAsia" w:ascii="仿宋" w:hAnsi="仿宋" w:eastAsia="仿宋" w:cs="仿宋"/>
          <w:sz w:val="24"/>
          <w:szCs w:val="24"/>
        </w:rPr>
        <w:t>拆除机械费</w:t>
      </w:r>
      <w:r>
        <w:rPr>
          <w:rFonts w:hint="eastAsia" w:ascii="仿宋" w:hAnsi="仿宋" w:eastAsia="仿宋" w:cs="仿宋"/>
          <w:sz w:val="24"/>
          <w:szCs w:val="24"/>
          <w:lang w:eastAsia="zh-CN"/>
        </w:rPr>
        <w:t>）</w:t>
      </w:r>
      <w:r>
        <w:rPr>
          <w:rFonts w:hint="eastAsia" w:ascii="仿宋" w:hAnsi="仿宋" w:eastAsia="仿宋" w:cs="仿宋"/>
          <w:sz w:val="24"/>
          <w:szCs w:val="24"/>
        </w:rPr>
        <w:t>：不高于1.25元/平方米（以拆除项目范围内房屋建筑面积为准）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2、地面破碎费：不高于17元/平方米（以拆除项目范围内房屋地基、硬化地面及道路面积为准）；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3、垃圾清运工程： 65元/立方米（包含10公里基准运距及有关开挖、装载、垃圾清理、场内及场外运输、倾倒、填埋处置、环境保护、管理费、规费、增值税等费用；超过10公里基准运距后，每增加1公里运费增加1元，最高增加不超过40元/立方米，运距由行业主管部门和实施单位共同确认。 )；</w:t>
      </w:r>
    </w:p>
    <w:p>
      <w:pPr>
        <w:shd w:val="clea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4、场内倒运价格（运距以测量为准）:</w:t>
      </w:r>
    </w:p>
    <w:p>
      <w:pPr>
        <w:shd w:val="clea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1）机械推移100米以内（含100米）：不高于7元／立方米；</w:t>
      </w:r>
    </w:p>
    <w:p>
      <w:pPr>
        <w:shd w:val="clea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2）倒运距离公里以内（含1公里）：不高于20元／立方米；</w:t>
      </w:r>
    </w:p>
    <w:p>
      <w:pPr>
        <w:shd w:val="clea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3）倒运距离1-2公里（含2公里）：不高于22元／立方米；</w:t>
      </w:r>
    </w:p>
    <w:p>
      <w:pPr>
        <w:shd w:val="clea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4）倒运距离2-3公里（含3公里）：不高于25元／立方米；</w:t>
      </w:r>
    </w:p>
    <w:p>
      <w:pPr>
        <w:shd w:val="clea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5）倒运距离3-4公里（含4公里）：不高于28元／立方米；</w:t>
      </w:r>
    </w:p>
    <w:p>
      <w:pPr>
        <w:shd w:val="clea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6）倒运距离4-5公里（含5公里）：不高于30元／立方米。</w:t>
      </w:r>
    </w:p>
    <w:p>
      <w:pPr>
        <w:shd w:val="clea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5、机械台班价格（未经采购人同意，原则上不使用机械台班）：</w:t>
      </w:r>
    </w:p>
    <w:p>
      <w:pPr>
        <w:shd w:val="clea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1）50型装载机：不高于2000元／台班；</w:t>
      </w:r>
    </w:p>
    <w:p>
      <w:pPr>
        <w:shd w:val="clea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2）挖掘机（1.2立方米）：不高于3000元／台班</w:t>
      </w:r>
      <w:bookmarkStart w:id="265" w:name="_GoBack"/>
      <w:bookmarkEnd w:id="265"/>
      <w:r>
        <w:rPr>
          <w:rFonts w:hint="eastAsia" w:ascii="仿宋" w:hAnsi="仿宋" w:eastAsia="仿宋" w:cs="仿宋"/>
          <w:sz w:val="24"/>
          <w:szCs w:val="24"/>
          <w:highlight w:val="none"/>
        </w:rPr>
        <w:t>；</w:t>
      </w:r>
    </w:p>
    <w:p>
      <w:pPr>
        <w:shd w:val="clea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3）135型推土机：不高于1500元／台班。</w:t>
      </w:r>
    </w:p>
    <w:p>
      <w:pPr>
        <w:shd w:val="clea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6、</w:t>
      </w:r>
      <w:r>
        <w:rPr>
          <w:rFonts w:hint="eastAsia" w:ascii="仿宋" w:hAnsi="仿宋" w:eastAsia="仿宋" w:cs="仿宋"/>
          <w:sz w:val="24"/>
          <w:szCs w:val="24"/>
          <w:highlight w:val="none"/>
        </w:rPr>
        <w:t>围墙圈建：585.00元/延米。</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五、工程数量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1、建筑垃圾数量根据有合法资质的第三方测量机构出具的测量报告并经实施单位确定，数量较少时，经现场实测后由建设单位确定；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土方挖运数量根据现场情况，按照陕西省建筑工程工程测量清单消耗量定额等规定计算。工程建设项目开挖的土方应尽最大程度综合利用，节约资源和费用，二次利用涉及运输等费用按照陕西省现行计价规定进行计价。</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六、技术规范及垃圾清运要求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一）技术规范要求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执行国家、省、市现行的有关房屋拆除的规定、标准等文件，具体技术要求包括但不限于以下规定、标准、规范：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《建设工程安全生产管理条例》；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《建筑拆除工程安全技术规范》JCJl47—2004；</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《西安市房屋拆迁管理办法》；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《关于印发（危险性较大的分部分项工程安全管理办法）的通知》；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《施工现场临时用电安全技术规范》JCJl46—2005。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二）垃圾清运要求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垃圾清运严格执行西安人民政府及其他职能部门的相关规定、《西安市建筑垃圾管理条例》要求执行，清运至正规消纳地点进行倾倒或填埋,并承担处置费用和消纳费用。禁止在道路、桥梁、公共场地、公共绿地、农田、河流、湖泊、供排水设施、水利设施以及其他非指定场地倾倒清运垃圾。垃圾清运后应及时对清运地点进行收尾清理，平整地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2、在安全文明施工问题上，必须严格按照标准规范严格执行，在此期间所发生的一切事故应由供应商自行承担。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3、项目实施过程中不与其他人员发生纠纷，在服务期间与其他人员产生的纠纷，均由中标供应商承担全部责任。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4、供应商在清运垃圾前需按照市容执法部门的要求安装车辆冲洗设备及垃圾覆盖绿网、防尘措施等。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供应商应当对建筑垃圾进行分类，不得将建筑垃圾与生活垃圾、危险废物混合处置。清运前应设置符合相关技术规范的围蔽设施，出口道路硬化处理，设置车辆冲洗设备并有效使用，设置洗车槽和沉淀池并有效使用，采取措施避免扬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6、供应商应当建立健全建筑垃圾运输车辆安全管理、驾驶人培训、车辆清运规范服务制度，加强车辆维修养护，保证运输安全规范。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7、运输垃圾造成道路及环境污染的，责任人应当立即清除污染。未及时清除的，由所在区、县市容环境卫生行政管理部门组织清除，清除费用由责任人承担。</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七、验收标准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符合《西安市建筑垃圾管理条例》要求，场地平整达到相应的国家要求、省市要求以及甲方要求。</w:t>
      </w:r>
    </w:p>
    <w:bookmarkEnd w:id="181"/>
    <w:bookmarkEnd w:id="189"/>
    <w:p>
      <w:pPr>
        <w:pStyle w:val="3"/>
        <w:keepNext w:val="0"/>
        <w:pageBreakBefore/>
        <w:spacing w:line="350" w:lineRule="auto"/>
        <w:jc w:val="center"/>
        <w:rPr>
          <w:rFonts w:hint="eastAsia" w:ascii="仿宋" w:hAnsi="仿宋" w:eastAsia="仿宋" w:cs="仿宋"/>
        </w:rPr>
      </w:pPr>
      <w:bookmarkStart w:id="190" w:name="_Toc421778384"/>
      <w:bookmarkStart w:id="191" w:name="_Toc6999"/>
      <w:bookmarkStart w:id="192" w:name="_Toc20206"/>
      <w:r>
        <w:rPr>
          <w:rFonts w:hint="eastAsia" w:ascii="仿宋" w:hAnsi="仿宋" w:eastAsia="仿宋" w:cs="仿宋"/>
        </w:rPr>
        <w:t>第六章</w:t>
      </w:r>
      <w:bookmarkEnd w:id="190"/>
      <w:r>
        <w:rPr>
          <w:rFonts w:hint="eastAsia" w:ascii="仿宋" w:hAnsi="仿宋" w:eastAsia="仿宋" w:cs="仿宋"/>
          <w:lang w:val="en-US" w:eastAsia="zh-CN"/>
        </w:rPr>
        <w:t xml:space="preserve">  </w:t>
      </w:r>
      <w:r>
        <w:rPr>
          <w:rFonts w:hint="eastAsia" w:ascii="仿宋" w:hAnsi="仿宋" w:eastAsia="仿宋" w:cs="仿宋"/>
        </w:rPr>
        <w:t>投标文件构成及格式</w:t>
      </w:r>
      <w:bookmarkEnd w:id="191"/>
      <w:bookmarkEnd w:id="192"/>
    </w:p>
    <w:p>
      <w:pPr>
        <w:spacing w:line="54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rPr>
        <w:t>项目编号：</w:t>
      </w:r>
      <w:r>
        <w:rPr>
          <w:rFonts w:hint="eastAsia" w:ascii="仿宋" w:hAnsi="仿宋" w:eastAsia="仿宋" w:cs="仿宋"/>
          <w:b/>
          <w:bCs/>
          <w:sz w:val="24"/>
          <w:szCs w:val="24"/>
          <w:lang w:val="en-US" w:eastAsia="zh-CN"/>
        </w:rPr>
        <w:t xml:space="preserve"> XXGC-2022-000171-4</w:t>
      </w:r>
    </w:p>
    <w:p>
      <w:pPr>
        <w:spacing w:line="54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pPr>
        <w:spacing w:line="540" w:lineRule="exact"/>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（正本或副本）</w:t>
      </w: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jc w:val="center"/>
        <w:rPr>
          <w:rFonts w:hint="eastAsia" w:ascii="仿宋" w:hAnsi="仿宋" w:eastAsia="仿宋" w:cs="仿宋"/>
          <w:b/>
          <w:bCs/>
          <w:sz w:val="52"/>
          <w:szCs w:val="52"/>
          <w:lang w:eastAsia="zh-CN"/>
        </w:rPr>
      </w:pPr>
      <w:r>
        <w:rPr>
          <w:rFonts w:hint="eastAsia" w:ascii="仿宋" w:hAnsi="仿宋" w:eastAsia="仿宋" w:cs="仿宋"/>
          <w:b/>
          <w:bCs/>
          <w:sz w:val="56"/>
          <w:szCs w:val="56"/>
          <w:lang w:eastAsia="zh-CN"/>
        </w:rPr>
        <w:t>西咸新区沣东新城三桥街道零散地块拆迁项目</w:t>
      </w: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投标文件</w:t>
      </w: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1124" w:firstLineChars="400"/>
        <w:jc w:val="left"/>
        <w:rPr>
          <w:rFonts w:hint="eastAsia" w:ascii="仿宋" w:hAnsi="仿宋" w:eastAsia="仿宋" w:cs="仿宋"/>
          <w:b/>
          <w:bCs/>
          <w:sz w:val="28"/>
          <w:szCs w:val="28"/>
        </w:rPr>
      </w:pPr>
      <w:r>
        <w:rPr>
          <w:rFonts w:hint="eastAsia" w:ascii="仿宋" w:hAnsi="仿宋" w:eastAsia="仿宋" w:cs="仿宋"/>
          <w:b/>
          <w:bCs/>
          <w:sz w:val="28"/>
          <w:szCs w:val="28"/>
        </w:rPr>
        <w:t>投标人：（盖章）</w:t>
      </w:r>
    </w:p>
    <w:p>
      <w:pPr>
        <w:spacing w:line="360" w:lineRule="auto"/>
        <w:ind w:firstLine="1124" w:firstLineChars="400"/>
        <w:jc w:val="left"/>
        <w:rPr>
          <w:rFonts w:hint="eastAsia" w:ascii="仿宋" w:hAnsi="仿宋" w:eastAsia="仿宋" w:cs="仿宋"/>
          <w:b/>
          <w:bCs/>
          <w:sz w:val="28"/>
          <w:szCs w:val="28"/>
        </w:rPr>
      </w:pPr>
      <w:r>
        <w:rPr>
          <w:rFonts w:hint="eastAsia" w:ascii="仿宋" w:hAnsi="仿宋" w:eastAsia="仿宋" w:cs="仿宋"/>
          <w:b/>
          <w:bCs/>
          <w:sz w:val="28"/>
          <w:szCs w:val="28"/>
        </w:rPr>
        <w:t>法定代表人或其委托代理人：（签字或盖章）</w:t>
      </w:r>
    </w:p>
    <w:p>
      <w:pPr>
        <w:spacing w:line="360" w:lineRule="auto"/>
        <w:ind w:firstLine="2811" w:firstLineChars="1000"/>
        <w:jc w:val="left"/>
        <w:rPr>
          <w:rFonts w:hint="eastAsia" w:ascii="仿宋" w:hAnsi="仿宋" w:eastAsia="仿宋" w:cs="仿宋"/>
          <w:b/>
          <w:bCs/>
          <w:sz w:val="28"/>
          <w:szCs w:val="28"/>
        </w:rPr>
      </w:pP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p>
    <w:p>
      <w:pPr>
        <w:spacing w:line="360" w:lineRule="auto"/>
        <w:rPr>
          <w:rFonts w:hint="eastAsia" w:ascii="仿宋" w:hAnsi="仿宋" w:eastAsia="仿宋" w:cs="仿宋"/>
        </w:rPr>
        <w:sectPr>
          <w:pgSz w:w="11906" w:h="16838"/>
          <w:pgMar w:top="1417" w:right="1417" w:bottom="1417" w:left="1701" w:header="851" w:footer="992" w:gutter="0"/>
          <w:pgNumType w:fmt="decimal"/>
          <w:cols w:space="0" w:num="1"/>
          <w:docGrid w:type="lines" w:linePitch="312" w:charSpace="0"/>
        </w:sectPr>
      </w:pPr>
    </w:p>
    <w:p>
      <w:pPr>
        <w:jc w:val="center"/>
        <w:rPr>
          <w:rFonts w:hint="eastAsia" w:ascii="仿宋" w:hAnsi="仿宋" w:eastAsia="仿宋" w:cs="仿宋"/>
          <w:b/>
          <w:bCs/>
          <w:sz w:val="32"/>
          <w:szCs w:val="32"/>
        </w:rPr>
      </w:pPr>
      <w:bookmarkStart w:id="193" w:name="_Toc421778385"/>
      <w:bookmarkStart w:id="194" w:name="_Toc372885969"/>
      <w:bookmarkStart w:id="195" w:name="_Toc420591500"/>
      <w:bookmarkStart w:id="196" w:name="_Toc420591666"/>
      <w:r>
        <w:rPr>
          <w:rFonts w:hint="eastAsia" w:ascii="仿宋" w:hAnsi="仿宋" w:eastAsia="仿宋" w:cs="仿宋"/>
          <w:b/>
          <w:bCs/>
          <w:sz w:val="32"/>
          <w:szCs w:val="32"/>
        </w:rPr>
        <w:t>目录</w:t>
      </w:r>
      <w:bookmarkEnd w:id="193"/>
      <w:bookmarkEnd w:id="194"/>
      <w:bookmarkEnd w:id="195"/>
      <w:bookmarkEnd w:id="196"/>
    </w:p>
    <w:p>
      <w:pPr>
        <w:pStyle w:val="2"/>
        <w:rPr>
          <w:rFonts w:hint="eastAsia" w:ascii="仿宋" w:hAnsi="仿宋" w:eastAsia="仿宋" w:cs="仿宋"/>
        </w:rPr>
      </w:pPr>
    </w:p>
    <w:p>
      <w:pPr>
        <w:spacing w:line="480" w:lineRule="auto"/>
        <w:ind w:left="2310" w:leftChars="1100"/>
        <w:jc w:val="left"/>
        <w:rPr>
          <w:rFonts w:hint="eastAsia" w:ascii="仿宋" w:hAnsi="仿宋" w:eastAsia="仿宋" w:cs="仿宋"/>
          <w:b/>
          <w:bCs/>
          <w:sz w:val="24"/>
          <w:szCs w:val="24"/>
        </w:rPr>
      </w:pPr>
      <w:r>
        <w:rPr>
          <w:rFonts w:hint="eastAsia" w:ascii="仿宋" w:hAnsi="仿宋" w:eastAsia="仿宋" w:cs="仿宋"/>
          <w:b/>
          <w:bCs/>
          <w:sz w:val="24"/>
          <w:szCs w:val="24"/>
        </w:rPr>
        <w:t>第一部分    商务标</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一、投标函</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二、开标一览表</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三、法定代表人身份证明</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四、法人授权委托书</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五、商务响应与说明</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六、承诺书</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七、招标文件要求的其他文件或承诺</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八、其他可以证明投标人实力的文件</w:t>
      </w:r>
    </w:p>
    <w:p>
      <w:pPr>
        <w:spacing w:line="480" w:lineRule="auto"/>
        <w:ind w:left="2310" w:leftChars="1100"/>
        <w:jc w:val="left"/>
        <w:rPr>
          <w:rFonts w:hint="eastAsia" w:ascii="仿宋" w:hAnsi="仿宋" w:eastAsia="仿宋" w:cs="仿宋"/>
          <w:b/>
          <w:bCs/>
          <w:sz w:val="24"/>
          <w:szCs w:val="24"/>
        </w:rPr>
      </w:pPr>
      <w:r>
        <w:rPr>
          <w:rFonts w:hint="eastAsia" w:ascii="仿宋" w:hAnsi="仿宋" w:eastAsia="仿宋" w:cs="仿宋"/>
          <w:b/>
          <w:bCs/>
          <w:sz w:val="24"/>
          <w:szCs w:val="24"/>
        </w:rPr>
        <w:t>第二部分    技术标</w:t>
      </w:r>
    </w:p>
    <w:p>
      <w:pPr>
        <w:spacing w:line="480" w:lineRule="auto"/>
        <w:ind w:left="2310" w:leftChars="1100"/>
        <w:jc w:val="left"/>
        <w:rPr>
          <w:rFonts w:hint="eastAsia" w:ascii="仿宋" w:hAnsi="仿宋" w:eastAsia="仿宋" w:cs="仿宋"/>
          <w:b/>
          <w:bCs/>
          <w:sz w:val="24"/>
          <w:szCs w:val="24"/>
        </w:rPr>
      </w:pPr>
      <w:r>
        <w:rPr>
          <w:rFonts w:hint="eastAsia" w:ascii="仿宋" w:hAnsi="仿宋" w:eastAsia="仿宋" w:cs="仿宋"/>
          <w:b/>
          <w:bCs/>
          <w:sz w:val="24"/>
          <w:szCs w:val="24"/>
        </w:rPr>
        <w:t>第三部分    资格标</w:t>
      </w:r>
    </w:p>
    <w:p>
      <w:pPr>
        <w:spacing w:line="480" w:lineRule="auto"/>
        <w:ind w:firstLine="2400" w:firstLineChars="1000"/>
        <w:jc w:val="left"/>
        <w:rPr>
          <w:rFonts w:hint="eastAsia" w:ascii="仿宋" w:hAnsi="仿宋" w:eastAsia="仿宋" w:cs="仿宋"/>
          <w:b/>
          <w:bCs/>
          <w:sz w:val="24"/>
          <w:szCs w:val="24"/>
        </w:rPr>
      </w:pPr>
      <w:r>
        <w:rPr>
          <w:rFonts w:hint="eastAsia" w:ascii="仿宋" w:hAnsi="仿宋" w:eastAsia="仿宋" w:cs="仿宋"/>
          <w:sz w:val="24"/>
          <w:szCs w:val="24"/>
        </w:rPr>
        <w:t>一、投标人的基本情况介绍和资格声明</w:t>
      </w:r>
    </w:p>
    <w:p>
      <w:pPr>
        <w:spacing w:line="480" w:lineRule="auto"/>
        <w:ind w:firstLine="2400" w:firstLineChars="1000"/>
        <w:jc w:val="left"/>
        <w:rPr>
          <w:rFonts w:hint="eastAsia" w:ascii="仿宋" w:hAnsi="仿宋" w:eastAsia="仿宋" w:cs="仿宋"/>
          <w:sz w:val="24"/>
          <w:szCs w:val="24"/>
        </w:rPr>
      </w:pPr>
      <w:r>
        <w:rPr>
          <w:rFonts w:hint="eastAsia" w:ascii="仿宋" w:hAnsi="仿宋" w:eastAsia="仿宋" w:cs="仿宋"/>
          <w:sz w:val="24"/>
          <w:szCs w:val="24"/>
        </w:rPr>
        <w:t>二、投标人资格证明文件</w:t>
      </w:r>
    </w:p>
    <w:p>
      <w:pPr>
        <w:spacing w:line="480" w:lineRule="auto"/>
        <w:jc w:val="left"/>
        <w:rPr>
          <w:rFonts w:hint="eastAsia" w:ascii="仿宋" w:hAnsi="仿宋" w:eastAsia="仿宋" w:cs="仿宋"/>
          <w:sz w:val="24"/>
          <w:szCs w:val="24"/>
        </w:rPr>
      </w:pPr>
    </w:p>
    <w:p>
      <w:pPr>
        <w:pStyle w:val="6"/>
        <w:rPr>
          <w:rFonts w:hint="eastAsia" w:ascii="仿宋" w:hAnsi="仿宋" w:eastAsia="仿宋" w:cs="仿宋"/>
        </w:rPr>
      </w:pPr>
    </w:p>
    <w:p>
      <w:pPr>
        <w:spacing w:line="480" w:lineRule="auto"/>
        <w:ind w:firstLine="2448" w:firstLineChars="1020"/>
        <w:rPr>
          <w:rFonts w:hint="eastAsia" w:ascii="仿宋" w:hAnsi="仿宋" w:eastAsia="仿宋" w:cs="仿宋"/>
          <w:sz w:val="24"/>
          <w:szCs w:val="24"/>
        </w:rPr>
      </w:pPr>
    </w:p>
    <w:p>
      <w:pPr>
        <w:spacing w:line="480" w:lineRule="auto"/>
        <w:rPr>
          <w:rFonts w:hint="eastAsia" w:ascii="仿宋" w:hAnsi="仿宋" w:eastAsia="仿宋" w:cs="仿宋"/>
          <w:sz w:val="24"/>
          <w:szCs w:val="24"/>
        </w:rPr>
      </w:pPr>
    </w:p>
    <w:p>
      <w:pPr>
        <w:spacing w:line="480" w:lineRule="auto"/>
        <w:ind w:left="2310" w:leftChars="1100"/>
        <w:jc w:val="left"/>
        <w:rPr>
          <w:rFonts w:hint="eastAsia" w:ascii="仿宋" w:hAnsi="仿宋" w:eastAsia="仿宋" w:cs="仿宋"/>
          <w:b/>
          <w:bCs/>
          <w:sz w:val="24"/>
          <w:szCs w:val="24"/>
        </w:rPr>
      </w:pPr>
      <w:bookmarkStart w:id="197" w:name="_Toc32749"/>
      <w:bookmarkStart w:id="198" w:name="_Toc420591667"/>
      <w:bookmarkStart w:id="199" w:name="_Toc387"/>
      <w:bookmarkStart w:id="200" w:name="_Toc23278"/>
      <w:bookmarkStart w:id="201" w:name="_Toc421778386"/>
      <w:bookmarkStart w:id="202" w:name="_Toc425240481"/>
    </w:p>
    <w:p>
      <w:pPr>
        <w:pStyle w:val="4"/>
        <w:jc w:val="center"/>
        <w:rPr>
          <w:rFonts w:hint="eastAsia" w:ascii="仿宋" w:hAnsi="仿宋" w:eastAsia="仿宋" w:cs="仿宋"/>
        </w:rPr>
        <w:sectPr>
          <w:pgSz w:w="11906" w:h="16838"/>
          <w:pgMar w:top="1417" w:right="1417" w:bottom="1417" w:left="1701" w:header="851" w:footer="992" w:gutter="0"/>
          <w:pgNumType w:fmt="decimal"/>
          <w:cols w:space="0" w:num="1"/>
          <w:docGrid w:type="lines" w:linePitch="312" w:charSpace="0"/>
        </w:sectPr>
      </w:pPr>
      <w:bookmarkStart w:id="203" w:name="_Toc18380"/>
      <w:bookmarkStart w:id="204" w:name="_Toc12238"/>
    </w:p>
    <w:p>
      <w:pPr>
        <w:pStyle w:val="4"/>
        <w:jc w:val="center"/>
        <w:rPr>
          <w:rFonts w:hint="eastAsia" w:ascii="仿宋" w:hAnsi="仿宋" w:eastAsia="仿宋" w:cs="仿宋"/>
        </w:rPr>
      </w:pPr>
      <w:r>
        <w:rPr>
          <w:rFonts w:hint="eastAsia" w:ascii="仿宋" w:hAnsi="仿宋" w:eastAsia="仿宋" w:cs="仿宋"/>
        </w:rPr>
        <w:t>第一部分 商务标</w:t>
      </w:r>
      <w:bookmarkEnd w:id="203"/>
      <w:bookmarkEnd w:id="204"/>
    </w:p>
    <w:p>
      <w:pPr>
        <w:jc w:val="center"/>
        <w:outlineLvl w:val="1"/>
        <w:rPr>
          <w:rFonts w:hint="eastAsia" w:ascii="仿宋" w:hAnsi="仿宋" w:eastAsia="仿宋" w:cs="仿宋"/>
          <w:b/>
          <w:bCs/>
          <w:sz w:val="32"/>
          <w:szCs w:val="32"/>
        </w:rPr>
      </w:pPr>
      <w:bookmarkStart w:id="205" w:name="_Toc25165"/>
      <w:bookmarkStart w:id="206" w:name="_Toc229"/>
      <w:r>
        <w:rPr>
          <w:rFonts w:hint="eastAsia" w:ascii="仿宋" w:hAnsi="仿宋" w:eastAsia="仿宋" w:cs="仿宋"/>
          <w:b/>
          <w:bCs/>
          <w:sz w:val="32"/>
          <w:szCs w:val="32"/>
        </w:rPr>
        <w:t>一、投标函</w:t>
      </w:r>
      <w:bookmarkEnd w:id="197"/>
      <w:bookmarkEnd w:id="198"/>
      <w:bookmarkEnd w:id="199"/>
      <w:bookmarkEnd w:id="200"/>
      <w:bookmarkEnd w:id="201"/>
      <w:bookmarkEnd w:id="202"/>
      <w:bookmarkEnd w:id="205"/>
      <w:bookmarkEnd w:id="206"/>
    </w:p>
    <w:p>
      <w:pPr>
        <w:pStyle w:val="34"/>
        <w:spacing w:before="0" w:beforeAutospacing="0" w:after="0" w:afterAutospacing="0" w:line="360" w:lineRule="auto"/>
        <w:rPr>
          <w:rFonts w:hint="eastAsia" w:ascii="仿宋" w:hAnsi="仿宋" w:eastAsia="仿宋" w:cs="仿宋"/>
        </w:rPr>
      </w:pPr>
      <w:r>
        <w:rPr>
          <w:rFonts w:hint="eastAsia" w:ascii="仿宋" w:hAnsi="仿宋" w:eastAsia="仿宋" w:cs="仿宋"/>
        </w:rPr>
        <w:t>致：</w:t>
      </w:r>
      <w:r>
        <w:rPr>
          <w:rFonts w:hint="eastAsia" w:ascii="仿宋" w:hAnsi="仿宋" w:eastAsia="仿宋" w:cs="仿宋"/>
          <w:u w:val="single"/>
        </w:rPr>
        <w:t>（招标人）</w:t>
      </w:r>
    </w:p>
    <w:p>
      <w:pPr>
        <w:pStyle w:val="34"/>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rPr>
        <w:t>1、根据已收到</w:t>
      </w:r>
      <w:r>
        <w:rPr>
          <w:rFonts w:hint="eastAsia" w:ascii="仿宋" w:hAnsi="仿宋" w:eastAsia="仿宋" w:cs="仿宋"/>
          <w:u w:val="single"/>
        </w:rPr>
        <w:t>（项目名称）（项目编号）</w:t>
      </w:r>
      <w:r>
        <w:rPr>
          <w:rFonts w:hint="eastAsia" w:ascii="仿宋" w:hAnsi="仿宋" w:eastAsia="仿宋" w:cs="仿宋"/>
        </w:rPr>
        <w:t>的招标文件，遵照《中华人民共和国政府采购法》、《中华人民共和国招标投标法》、《中华人民共和国招标投标法实施条例》等有关规定，经踏勘本项目现场、参加招标答疑会议和仔细研究本工程招标文件、答疑纪要、合同条款、项目概况及要求及其他有关文件后，我方愿以人民币</w:t>
      </w:r>
      <w:r>
        <w:rPr>
          <w:rFonts w:hint="eastAsia" w:ascii="仿宋" w:hAnsi="仿宋" w:eastAsia="仿宋" w:cs="仿宋"/>
          <w:u w:val="single"/>
        </w:rPr>
        <w:t>（大写）</w:t>
      </w:r>
      <w:r>
        <w:rPr>
          <w:rFonts w:hint="eastAsia" w:ascii="仿宋" w:hAnsi="仿宋" w:eastAsia="仿宋" w:cs="仿宋"/>
        </w:rPr>
        <w:t>元（</w:t>
      </w:r>
      <w:r>
        <w:rPr>
          <w:rFonts w:hint="eastAsia" w:ascii="仿宋" w:hAnsi="仿宋" w:eastAsia="仿宋" w:cs="仿宋"/>
          <w:u w:val="single"/>
        </w:rPr>
        <w:t>￥元</w:t>
      </w:r>
      <w:r>
        <w:rPr>
          <w:rFonts w:hint="eastAsia" w:ascii="仿宋" w:hAnsi="仿宋" w:eastAsia="仿宋" w:cs="仿宋"/>
        </w:rPr>
        <w:t>）的</w:t>
      </w:r>
      <w:r>
        <w:rPr>
          <w:rFonts w:hint="eastAsia" w:ascii="仿宋" w:hAnsi="仿宋" w:eastAsia="仿宋" w:cs="仿宋"/>
          <w:color w:val="auto"/>
        </w:rPr>
        <w:t>投标总报价，按</w:t>
      </w:r>
      <w:r>
        <w:rPr>
          <w:rFonts w:hint="eastAsia" w:ascii="仿宋" w:hAnsi="仿宋" w:eastAsia="仿宋" w:cs="仿宋"/>
          <w:color w:val="auto"/>
          <w:u w:val="single"/>
        </w:rPr>
        <w:t>（项目名称）（项目编号）</w:t>
      </w:r>
      <w:r>
        <w:rPr>
          <w:rFonts w:hint="eastAsia" w:ascii="仿宋" w:hAnsi="仿宋" w:eastAsia="仿宋" w:cs="仿宋"/>
          <w:color w:val="auto"/>
        </w:rPr>
        <w:t>招标文件、答疑纪要、合同条款、项目概况及要求及其他有关文件等承包本工程的施工、竣工和保修，并承担任何质量缺陷保修责任。</w:t>
      </w:r>
    </w:p>
    <w:p>
      <w:pPr>
        <w:pStyle w:val="34"/>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2、我方已详细审核全部招标文件及有关附件、工程现场条件、招标答疑纪要、补遗书等文件。</w:t>
      </w:r>
    </w:p>
    <w:p>
      <w:pPr>
        <w:pStyle w:val="34"/>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3、该报价是完成本招标文件规定的、所需的一切费用，且不低于我单位工程施工的成本价。</w:t>
      </w:r>
    </w:p>
    <w:p>
      <w:pPr>
        <w:pStyle w:val="34"/>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color w:val="auto"/>
        </w:rPr>
        <w:t>4、如果我方中标，我方保证在</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日历天内完工，并确保工程质量达到标准。拟派项目经理</w:t>
      </w:r>
      <w:r>
        <w:rPr>
          <w:rFonts w:hint="eastAsia" w:ascii="仿宋" w:hAnsi="仿宋" w:eastAsia="仿宋" w:cs="仿宋"/>
          <w:color w:val="auto"/>
          <w:u w:val="single"/>
        </w:rPr>
        <w:t>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w:t>
      </w:r>
      <w:r>
        <w:rPr>
          <w:rFonts w:hint="eastAsia" w:ascii="仿宋" w:hAnsi="仿宋" w:eastAsia="仿宋" w:cs="仿宋"/>
          <w:color w:val="auto"/>
        </w:rPr>
        <w:t>，证书编号</w:t>
      </w:r>
      <w:r>
        <w:rPr>
          <w:rFonts w:hint="eastAsia" w:ascii="仿宋" w:hAnsi="仿宋" w:eastAsia="仿宋" w:cs="仿宋"/>
          <w:color w:val="auto"/>
          <w:u w:val="single"/>
        </w:rPr>
        <w:t>    </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。我方同意本投标函在招标文件规</w:t>
      </w:r>
      <w:r>
        <w:rPr>
          <w:rFonts w:hint="eastAsia" w:ascii="仿宋" w:hAnsi="仿宋" w:eastAsia="仿宋" w:cs="仿宋"/>
        </w:rPr>
        <w:t>定的提交投标文件截止时间后，在招标文件规定的投标有效期期满前对我方具有约束力，且随时准备接受你方发出的中标通知书。</w:t>
      </w:r>
    </w:p>
    <w:p>
      <w:pPr>
        <w:pStyle w:val="34"/>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5、我方保证以前递交的本工程相关资料和投标函中各种附件是真实可靠的，如有不实，我方将无条件接受招标人的处理决定，甚至自动退出投标，由此产生的一切后果均由我方负责。</w:t>
      </w:r>
    </w:p>
    <w:p>
      <w:pPr>
        <w:pStyle w:val="34"/>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6、除非另外达成协议并生效，你方的中标通知书和本投标文件将构成约束我们双方的合同。</w:t>
      </w:r>
    </w:p>
    <w:p>
      <w:pPr>
        <w:pStyle w:val="34"/>
        <w:spacing w:before="0" w:beforeAutospacing="0" w:after="0" w:afterAutospacing="0" w:line="360" w:lineRule="auto"/>
        <w:ind w:firstLine="480" w:firstLineChars="200"/>
        <w:rPr>
          <w:rStyle w:val="36"/>
          <w:rFonts w:hint="eastAsia" w:ascii="仿宋" w:hAnsi="仿宋" w:eastAsia="仿宋" w:cs="仿宋"/>
          <w:b w:val="0"/>
          <w:bCs w:val="0"/>
        </w:rPr>
      </w:pPr>
      <w:r>
        <w:rPr>
          <w:rFonts w:hint="eastAsia" w:ascii="仿宋" w:hAnsi="仿宋" w:eastAsia="仿宋" w:cs="仿宋"/>
        </w:rPr>
        <w:t>7、我方的投标文件在开标后</w:t>
      </w:r>
      <w:r>
        <w:rPr>
          <w:rFonts w:hint="eastAsia" w:ascii="仿宋" w:hAnsi="仿宋" w:eastAsia="仿宋" w:cs="仿宋"/>
          <w:u w:val="single"/>
        </w:rPr>
        <w:t xml:space="preserve">     天</w:t>
      </w:r>
      <w:r>
        <w:rPr>
          <w:rFonts w:hint="eastAsia" w:ascii="仿宋" w:hAnsi="仿宋" w:eastAsia="仿宋" w:cs="仿宋"/>
        </w:rPr>
        <w:t>有效，在投标有效期内不修改或撤回投标文件。</w:t>
      </w:r>
    </w:p>
    <w:p>
      <w:pPr>
        <w:pStyle w:val="34"/>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8、我方理解你方及招标代理机构不另负担我们的任何投标费用，无论我方总报价中是否包括投标费用，也无论是否能够中标，均不要求你方及招标代理机构对投标费用做任何补偿。</w:t>
      </w:r>
    </w:p>
    <w:p>
      <w:pPr>
        <w:pStyle w:val="34"/>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9、我方理解你方及招标代理机构，我方不要求你方及招标代理机构对未中标原因做任何解释，也不退回投标文件。</w:t>
      </w:r>
    </w:p>
    <w:p>
      <w:pPr>
        <w:pStyle w:val="34"/>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10、如果因我方原因放弃中标，我方承诺，如果因我方原因放弃成交，我方承诺，将按照政府采购相关规定承担相应的责任。</w:t>
      </w:r>
    </w:p>
    <w:p>
      <w:pPr>
        <w:pStyle w:val="34"/>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11、若我方中标，将按时按规定缴纳招标代理服务费。</w:t>
      </w:r>
    </w:p>
    <w:p>
      <w:pPr>
        <w:pStyle w:val="34"/>
        <w:spacing w:before="0" w:beforeAutospacing="0" w:after="0" w:afterAutospacing="0" w:line="360" w:lineRule="auto"/>
        <w:ind w:firstLine="480" w:firstLineChars="200"/>
        <w:rPr>
          <w:rFonts w:hint="eastAsia" w:ascii="仿宋" w:hAnsi="仿宋" w:eastAsia="仿宋" w:cs="仿宋"/>
        </w:rPr>
      </w:pPr>
    </w:p>
    <w:p>
      <w:pPr>
        <w:pStyle w:val="34"/>
        <w:spacing w:before="0" w:beforeAutospacing="0" w:after="0" w:afterAutospacing="0" w:line="360" w:lineRule="auto"/>
        <w:ind w:firstLine="480" w:firstLineChars="200"/>
        <w:rPr>
          <w:rFonts w:hint="eastAsia" w:ascii="仿宋" w:hAnsi="仿宋" w:eastAsia="仿宋" w:cs="仿宋"/>
        </w:rPr>
      </w:pPr>
    </w:p>
    <w:p>
      <w:pPr>
        <w:pStyle w:val="34"/>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投标人：（盖章）</w:t>
      </w:r>
    </w:p>
    <w:p>
      <w:pPr>
        <w:pStyle w:val="34"/>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投标人电话：</w:t>
      </w:r>
    </w:p>
    <w:p>
      <w:pPr>
        <w:pStyle w:val="34"/>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法人代表人或委托代理人：（签字或盖章）</w:t>
      </w:r>
    </w:p>
    <w:p>
      <w:pPr>
        <w:pStyle w:val="34"/>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投标人地址：</w:t>
      </w:r>
    </w:p>
    <w:p>
      <w:pPr>
        <w:pStyle w:val="34"/>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日期：年　月　日</w:t>
      </w:r>
    </w:p>
    <w:p>
      <w:pPr>
        <w:pStyle w:val="34"/>
        <w:spacing w:before="0" w:beforeAutospacing="0" w:after="0" w:afterAutospacing="0" w:line="360" w:lineRule="auto"/>
        <w:ind w:firstLine="480" w:firstLineChars="200"/>
        <w:rPr>
          <w:rFonts w:hint="eastAsia" w:ascii="仿宋" w:hAnsi="仿宋" w:eastAsia="仿宋" w:cs="仿宋"/>
        </w:rPr>
      </w:pPr>
    </w:p>
    <w:p>
      <w:pPr>
        <w:pStyle w:val="34"/>
        <w:spacing w:before="0" w:beforeAutospacing="0" w:after="0" w:afterAutospacing="0" w:line="360" w:lineRule="auto"/>
        <w:ind w:firstLine="480" w:firstLineChars="200"/>
        <w:rPr>
          <w:rFonts w:hint="eastAsia" w:ascii="仿宋" w:hAnsi="仿宋" w:eastAsia="仿宋" w:cs="仿宋"/>
        </w:rPr>
      </w:pPr>
    </w:p>
    <w:p>
      <w:pPr>
        <w:keepLines/>
        <w:pageBreakBefore/>
        <w:jc w:val="center"/>
        <w:outlineLvl w:val="1"/>
        <w:rPr>
          <w:rFonts w:hint="eastAsia" w:ascii="仿宋" w:hAnsi="仿宋" w:eastAsia="仿宋" w:cs="仿宋"/>
          <w:b/>
          <w:bCs/>
          <w:sz w:val="32"/>
          <w:szCs w:val="32"/>
        </w:rPr>
      </w:pPr>
      <w:bookmarkStart w:id="207" w:name="_Toc420591668"/>
      <w:bookmarkStart w:id="208" w:name="_Toc3994"/>
      <w:bookmarkStart w:id="209" w:name="_Toc3816"/>
      <w:bookmarkStart w:id="210" w:name="_Toc18824"/>
      <w:bookmarkStart w:id="211" w:name="_Toc425240482"/>
      <w:bookmarkStart w:id="212" w:name="_Toc421778387"/>
      <w:bookmarkStart w:id="213" w:name="_Toc29026"/>
      <w:bookmarkStart w:id="214" w:name="_Toc32443"/>
      <w:r>
        <w:rPr>
          <w:rFonts w:hint="eastAsia" w:ascii="仿宋" w:hAnsi="仿宋" w:eastAsia="仿宋" w:cs="仿宋"/>
          <w:b/>
          <w:bCs/>
          <w:sz w:val="32"/>
          <w:szCs w:val="32"/>
        </w:rPr>
        <w:t>二、开标一览表</w:t>
      </w:r>
      <w:bookmarkEnd w:id="207"/>
      <w:bookmarkEnd w:id="208"/>
      <w:bookmarkEnd w:id="209"/>
      <w:bookmarkEnd w:id="210"/>
      <w:bookmarkEnd w:id="211"/>
      <w:bookmarkEnd w:id="212"/>
      <w:bookmarkEnd w:id="213"/>
      <w:bookmarkEnd w:id="21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项目编号：</w:t>
      </w:r>
    </w:p>
    <w:tbl>
      <w:tblPr>
        <w:tblStyle w:val="49"/>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拆除机械</w:t>
            </w:r>
          </w:p>
          <w:p>
            <w:pPr>
              <w:jc w:val="center"/>
              <w:rPr>
                <w:rFonts w:hint="eastAsia" w:ascii="仿宋" w:hAnsi="仿宋" w:eastAsia="仿宋" w:cs="仿宋"/>
                <w:sz w:val="24"/>
                <w:szCs w:val="24"/>
              </w:rPr>
            </w:pPr>
            <w:r>
              <w:rPr>
                <w:rFonts w:hint="eastAsia" w:ascii="仿宋" w:hAnsi="仿宋" w:eastAsia="仿宋" w:cs="仿宋"/>
                <w:sz w:val="24"/>
                <w:szCs w:val="24"/>
              </w:rPr>
              <w:t>（元/平方米）</w:t>
            </w:r>
          </w:p>
        </w:tc>
        <w:tc>
          <w:tcPr>
            <w:tcW w:w="629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地面破碎</w:t>
            </w:r>
          </w:p>
          <w:p>
            <w:pPr>
              <w:jc w:val="center"/>
              <w:rPr>
                <w:rFonts w:hint="eastAsia" w:ascii="仿宋" w:hAnsi="仿宋" w:eastAsia="仿宋" w:cs="仿宋"/>
                <w:sz w:val="24"/>
                <w:szCs w:val="24"/>
              </w:rPr>
            </w:pPr>
            <w:r>
              <w:rPr>
                <w:rFonts w:hint="eastAsia" w:ascii="仿宋" w:hAnsi="仿宋" w:eastAsia="仿宋" w:cs="仿宋"/>
                <w:sz w:val="24"/>
                <w:szCs w:val="24"/>
              </w:rPr>
              <w:t>（元/平方米）</w:t>
            </w:r>
          </w:p>
        </w:tc>
        <w:tc>
          <w:tcPr>
            <w:tcW w:w="629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垃圾清运</w:t>
            </w:r>
          </w:p>
          <w:p>
            <w:pPr>
              <w:jc w:val="center"/>
              <w:rPr>
                <w:rFonts w:hint="eastAsia" w:ascii="仿宋" w:hAnsi="仿宋" w:eastAsia="仿宋" w:cs="仿宋"/>
                <w:sz w:val="24"/>
                <w:szCs w:val="24"/>
              </w:rPr>
            </w:pPr>
            <w:r>
              <w:rPr>
                <w:rFonts w:hint="eastAsia" w:ascii="仿宋" w:hAnsi="仿宋" w:eastAsia="仿宋" w:cs="仿宋"/>
                <w:sz w:val="24"/>
                <w:szCs w:val="24"/>
              </w:rPr>
              <w:t>（元/立方米）</w:t>
            </w:r>
          </w:p>
        </w:tc>
        <w:tc>
          <w:tcPr>
            <w:tcW w:w="629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机械推移100米以内（含100米）</w:t>
            </w:r>
          </w:p>
          <w:p>
            <w:pPr>
              <w:jc w:val="center"/>
              <w:rPr>
                <w:rFonts w:hint="eastAsia" w:ascii="仿宋" w:hAnsi="仿宋" w:eastAsia="仿宋" w:cs="仿宋"/>
                <w:sz w:val="24"/>
                <w:szCs w:val="24"/>
              </w:rPr>
            </w:pPr>
            <w:r>
              <w:rPr>
                <w:rFonts w:hint="eastAsia" w:ascii="仿宋" w:hAnsi="仿宋" w:eastAsia="仿宋" w:cs="仿宋"/>
                <w:sz w:val="24"/>
                <w:szCs w:val="24"/>
              </w:rPr>
              <w:t>（元/立方米）</w:t>
            </w:r>
          </w:p>
        </w:tc>
        <w:tc>
          <w:tcPr>
            <w:tcW w:w="629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倒运距离公里以内（含1公里）</w:t>
            </w:r>
          </w:p>
          <w:p>
            <w:pPr>
              <w:jc w:val="center"/>
              <w:rPr>
                <w:rFonts w:hint="eastAsia" w:ascii="仿宋" w:hAnsi="仿宋" w:eastAsia="仿宋" w:cs="仿宋"/>
                <w:sz w:val="24"/>
                <w:szCs w:val="24"/>
              </w:rPr>
            </w:pPr>
            <w:r>
              <w:rPr>
                <w:rFonts w:hint="eastAsia" w:ascii="仿宋" w:hAnsi="仿宋" w:eastAsia="仿宋" w:cs="仿宋"/>
                <w:sz w:val="24"/>
                <w:szCs w:val="24"/>
              </w:rPr>
              <w:t>（元/立方米）</w:t>
            </w:r>
          </w:p>
        </w:tc>
        <w:tc>
          <w:tcPr>
            <w:tcW w:w="629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倒运距离1-2公里（含2公里）</w:t>
            </w:r>
          </w:p>
          <w:p>
            <w:pPr>
              <w:jc w:val="center"/>
              <w:rPr>
                <w:rFonts w:hint="eastAsia" w:ascii="仿宋" w:hAnsi="仿宋" w:eastAsia="仿宋" w:cs="仿宋"/>
                <w:sz w:val="24"/>
                <w:szCs w:val="24"/>
              </w:rPr>
            </w:pPr>
            <w:r>
              <w:rPr>
                <w:rFonts w:hint="eastAsia" w:ascii="仿宋" w:hAnsi="仿宋" w:eastAsia="仿宋" w:cs="仿宋"/>
                <w:sz w:val="24"/>
                <w:szCs w:val="24"/>
              </w:rPr>
              <w:t>（元/立方米）</w:t>
            </w:r>
          </w:p>
        </w:tc>
        <w:tc>
          <w:tcPr>
            <w:tcW w:w="629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倒运距离2-3公里（含3公里）</w:t>
            </w:r>
          </w:p>
          <w:p>
            <w:pPr>
              <w:jc w:val="center"/>
              <w:rPr>
                <w:rFonts w:hint="eastAsia" w:ascii="仿宋" w:hAnsi="仿宋" w:eastAsia="仿宋" w:cs="仿宋"/>
                <w:sz w:val="24"/>
                <w:szCs w:val="24"/>
              </w:rPr>
            </w:pPr>
            <w:r>
              <w:rPr>
                <w:rFonts w:hint="eastAsia" w:ascii="仿宋" w:hAnsi="仿宋" w:eastAsia="仿宋" w:cs="仿宋"/>
                <w:sz w:val="24"/>
                <w:szCs w:val="24"/>
              </w:rPr>
              <w:t>（元/立方米）</w:t>
            </w:r>
          </w:p>
        </w:tc>
        <w:tc>
          <w:tcPr>
            <w:tcW w:w="629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倒运距离3-4公里（含4公里）</w:t>
            </w:r>
          </w:p>
          <w:p>
            <w:pPr>
              <w:jc w:val="center"/>
              <w:rPr>
                <w:rFonts w:hint="eastAsia" w:ascii="仿宋" w:hAnsi="仿宋" w:eastAsia="仿宋" w:cs="仿宋"/>
                <w:sz w:val="24"/>
                <w:szCs w:val="24"/>
              </w:rPr>
            </w:pPr>
            <w:r>
              <w:rPr>
                <w:rFonts w:hint="eastAsia" w:ascii="仿宋" w:hAnsi="仿宋" w:eastAsia="仿宋" w:cs="仿宋"/>
                <w:sz w:val="24"/>
                <w:szCs w:val="24"/>
              </w:rPr>
              <w:t>（元/立方米）</w:t>
            </w:r>
          </w:p>
        </w:tc>
        <w:tc>
          <w:tcPr>
            <w:tcW w:w="629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倒运距离4-5公里（含5公里）</w:t>
            </w:r>
          </w:p>
          <w:p>
            <w:pPr>
              <w:jc w:val="center"/>
              <w:rPr>
                <w:rFonts w:hint="eastAsia" w:ascii="仿宋" w:hAnsi="仿宋" w:eastAsia="仿宋" w:cs="仿宋"/>
                <w:sz w:val="24"/>
                <w:szCs w:val="24"/>
              </w:rPr>
            </w:pPr>
            <w:r>
              <w:rPr>
                <w:rFonts w:hint="eastAsia" w:ascii="仿宋" w:hAnsi="仿宋" w:eastAsia="仿宋" w:cs="仿宋"/>
                <w:sz w:val="24"/>
                <w:szCs w:val="24"/>
              </w:rPr>
              <w:t>（元/立方米）</w:t>
            </w:r>
          </w:p>
        </w:tc>
        <w:tc>
          <w:tcPr>
            <w:tcW w:w="629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50型装载机</w:t>
            </w:r>
          </w:p>
          <w:p>
            <w:pPr>
              <w:jc w:val="center"/>
              <w:rPr>
                <w:rFonts w:hint="eastAsia" w:ascii="仿宋" w:hAnsi="仿宋" w:eastAsia="仿宋" w:cs="仿宋"/>
                <w:sz w:val="24"/>
                <w:szCs w:val="24"/>
              </w:rPr>
            </w:pPr>
            <w:r>
              <w:rPr>
                <w:rFonts w:hint="eastAsia" w:ascii="仿宋" w:hAnsi="仿宋" w:eastAsia="仿宋" w:cs="仿宋"/>
                <w:sz w:val="24"/>
                <w:szCs w:val="24"/>
              </w:rPr>
              <w:t>（元／台班）</w:t>
            </w:r>
          </w:p>
        </w:tc>
        <w:tc>
          <w:tcPr>
            <w:tcW w:w="629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挖掘机（1.2立方米）（元／台班）</w:t>
            </w:r>
          </w:p>
        </w:tc>
        <w:tc>
          <w:tcPr>
            <w:tcW w:w="629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135型推土机</w:t>
            </w:r>
          </w:p>
          <w:p>
            <w:pPr>
              <w:jc w:val="center"/>
              <w:rPr>
                <w:rFonts w:hint="eastAsia" w:ascii="仿宋" w:hAnsi="仿宋" w:eastAsia="仿宋" w:cs="仿宋"/>
                <w:b/>
                <w:bCs/>
                <w:sz w:val="24"/>
                <w:szCs w:val="24"/>
              </w:rPr>
            </w:pPr>
            <w:r>
              <w:rPr>
                <w:rFonts w:hint="eastAsia" w:ascii="仿宋" w:hAnsi="仿宋" w:eastAsia="仿宋" w:cs="仿宋"/>
                <w:sz w:val="24"/>
                <w:szCs w:val="24"/>
              </w:rPr>
              <w:t>（元／台班）</w:t>
            </w:r>
          </w:p>
        </w:tc>
        <w:tc>
          <w:tcPr>
            <w:tcW w:w="629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围墙圈建</w:t>
            </w:r>
          </w:p>
          <w:p>
            <w:pPr>
              <w:jc w:val="center"/>
              <w:rPr>
                <w:rFonts w:hint="eastAsia" w:ascii="仿宋" w:hAnsi="仿宋" w:eastAsia="仿宋" w:cs="仿宋"/>
                <w:sz w:val="24"/>
                <w:szCs w:val="24"/>
              </w:rPr>
            </w:pPr>
            <w:r>
              <w:rPr>
                <w:rFonts w:hint="eastAsia" w:ascii="仿宋" w:hAnsi="仿宋" w:eastAsia="仿宋" w:cs="仿宋"/>
                <w:sz w:val="24"/>
                <w:szCs w:val="24"/>
              </w:rPr>
              <w:t>（元/延米）</w:t>
            </w:r>
          </w:p>
        </w:tc>
        <w:tc>
          <w:tcPr>
            <w:tcW w:w="629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质量标准</w:t>
            </w:r>
          </w:p>
        </w:tc>
        <w:tc>
          <w:tcPr>
            <w:tcW w:w="6292"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计划工期</w:t>
            </w:r>
          </w:p>
        </w:tc>
        <w:tc>
          <w:tcPr>
            <w:tcW w:w="6292" w:type="dxa"/>
            <w:vAlign w:val="center"/>
          </w:tcPr>
          <w:p>
            <w:pPr>
              <w:rPr>
                <w:rFonts w:hint="eastAsia" w:ascii="仿宋" w:hAnsi="仿宋" w:eastAsia="仿宋" w:cs="仿宋"/>
                <w:sz w:val="24"/>
                <w:szCs w:val="24"/>
              </w:rPr>
            </w:pPr>
            <w:r>
              <w:rPr>
                <w:rFonts w:hint="eastAsia" w:ascii="仿宋" w:hAnsi="仿宋" w:eastAsia="仿宋" w:cs="仿宋"/>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292"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23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6292" w:type="dxa"/>
            <w:vAlign w:val="center"/>
          </w:tcPr>
          <w:p>
            <w:pPr>
              <w:rPr>
                <w:rFonts w:hint="eastAsia" w:ascii="仿宋" w:hAnsi="仿宋" w:eastAsia="仿宋" w:cs="仿宋"/>
                <w:sz w:val="24"/>
                <w:szCs w:val="24"/>
              </w:rPr>
            </w:pPr>
          </w:p>
        </w:tc>
      </w:tr>
    </w:tbl>
    <w:p>
      <w:pPr>
        <w:spacing w:line="120" w:lineRule="exact"/>
        <w:rPr>
          <w:rFonts w:hint="eastAsia" w:ascii="仿宋" w:hAnsi="仿宋" w:eastAsia="仿宋" w:cs="仿宋"/>
          <w:sz w:val="24"/>
          <w:szCs w:val="24"/>
        </w:rPr>
      </w:pPr>
    </w:p>
    <w:p>
      <w:pPr>
        <w:ind w:firstLine="360" w:firstLineChars="150"/>
        <w:rPr>
          <w:rFonts w:hint="eastAsia" w:ascii="仿宋" w:hAnsi="仿宋" w:eastAsia="仿宋" w:cs="仿宋"/>
          <w:sz w:val="24"/>
          <w:szCs w:val="24"/>
        </w:rPr>
      </w:pPr>
      <w:r>
        <w:rPr>
          <w:rFonts w:hint="eastAsia" w:ascii="仿宋" w:hAnsi="仿宋" w:eastAsia="仿宋" w:cs="仿宋"/>
          <w:sz w:val="24"/>
          <w:szCs w:val="24"/>
        </w:rPr>
        <w:t>注：1、以上表内报价内容以元为单位，保留小数点后两位。</w:t>
      </w:r>
    </w:p>
    <w:p>
      <w:pPr>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2、本表应按“投标人须知”的规定密封单独提交。</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4440" w:firstLineChars="1850"/>
        <w:jc w:val="left"/>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rPr>
        <w:t>（加盖单位公章）</w:t>
      </w:r>
    </w:p>
    <w:p>
      <w:pPr>
        <w:spacing w:line="280" w:lineRule="exact"/>
        <w:ind w:right="540" w:rightChars="257" w:firstLine="360" w:firstLineChars="150"/>
        <w:jc w:val="left"/>
        <w:rPr>
          <w:rFonts w:hint="eastAsia" w:ascii="仿宋" w:hAnsi="仿宋" w:eastAsia="仿宋" w:cs="仿宋"/>
          <w:sz w:val="24"/>
          <w:szCs w:val="24"/>
        </w:rPr>
      </w:pP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4440" w:firstLineChars="1850"/>
        <w:jc w:val="left"/>
        <w:rPr>
          <w:rFonts w:hint="eastAsia" w:ascii="仿宋" w:hAnsi="仿宋" w:eastAsia="仿宋" w:cs="仿宋"/>
          <w:sz w:val="24"/>
          <w:szCs w:val="24"/>
        </w:rPr>
      </w:pPr>
      <w:r>
        <w:rPr>
          <w:rFonts w:hint="eastAsia" w:ascii="仿宋" w:hAnsi="仿宋" w:eastAsia="仿宋" w:cs="仿宋"/>
          <w:sz w:val="24"/>
          <w:szCs w:val="24"/>
        </w:rPr>
        <w:t>法定代表人/被授权人签字或盖章：</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jc w:val="left"/>
        <w:rPr>
          <w:rFonts w:hint="eastAsia" w:ascii="仿宋" w:hAnsi="仿宋" w:eastAsia="仿宋" w:cs="仿宋"/>
          <w:sz w:val="24"/>
          <w:szCs w:val="24"/>
        </w:rPr>
      </w:pPr>
    </w:p>
    <w:p>
      <w:pPr>
        <w:spacing w:line="280" w:lineRule="exact"/>
        <w:ind w:right="540" w:rightChars="257" w:firstLine="4440" w:firstLineChars="1850"/>
        <w:rPr>
          <w:rFonts w:hint="eastAsia" w:ascii="仿宋" w:hAnsi="仿宋" w:eastAsia="仿宋" w:cs="仿宋"/>
          <w:b/>
          <w:bCs/>
          <w:sz w:val="24"/>
          <w:szCs w:val="24"/>
        </w:rPr>
      </w:pPr>
      <w:r>
        <w:rPr>
          <w:rFonts w:hint="eastAsia" w:ascii="仿宋" w:hAnsi="仿宋" w:eastAsia="仿宋" w:cs="仿宋"/>
          <w:sz w:val="24"/>
          <w:szCs w:val="24"/>
        </w:rPr>
        <w:t>日期：年月日</w:t>
      </w:r>
    </w:p>
    <w:p>
      <w:pPr>
        <w:keepLines/>
        <w:pageBreakBefore/>
        <w:jc w:val="center"/>
        <w:outlineLvl w:val="1"/>
        <w:rPr>
          <w:rFonts w:hint="eastAsia" w:ascii="仿宋" w:hAnsi="仿宋" w:eastAsia="仿宋" w:cs="仿宋"/>
          <w:b/>
          <w:bCs/>
          <w:sz w:val="32"/>
          <w:szCs w:val="32"/>
        </w:rPr>
      </w:pPr>
      <w:bookmarkStart w:id="215" w:name="_Toc425240483"/>
      <w:bookmarkStart w:id="216" w:name="_Toc420591669"/>
      <w:bookmarkStart w:id="217" w:name="_Toc14400"/>
      <w:bookmarkStart w:id="218" w:name="_Toc1813"/>
      <w:bookmarkStart w:id="219" w:name="_Toc24525"/>
      <w:bookmarkStart w:id="220" w:name="_Toc421778388"/>
      <w:bookmarkStart w:id="221" w:name="_Toc8191"/>
      <w:bookmarkStart w:id="222" w:name="_Toc17870"/>
      <w:r>
        <w:rPr>
          <w:rFonts w:hint="eastAsia" w:ascii="仿宋" w:hAnsi="仿宋" w:eastAsia="仿宋" w:cs="仿宋"/>
          <w:b/>
          <w:bCs/>
          <w:sz w:val="32"/>
          <w:szCs w:val="32"/>
        </w:rPr>
        <w:t>三、法定代表人身份证明</w:t>
      </w:r>
      <w:bookmarkEnd w:id="215"/>
      <w:bookmarkEnd w:id="216"/>
      <w:bookmarkEnd w:id="217"/>
      <w:bookmarkEnd w:id="218"/>
      <w:bookmarkEnd w:id="219"/>
      <w:bookmarkEnd w:id="220"/>
      <w:bookmarkEnd w:id="221"/>
      <w:bookmarkEnd w:id="222"/>
    </w:p>
    <w:p>
      <w:pPr>
        <w:spacing w:line="360" w:lineRule="auto"/>
        <w:ind w:firstLine="420" w:firstLineChars="200"/>
        <w:rPr>
          <w:rFonts w:hint="eastAsia" w:ascii="仿宋" w:hAnsi="仿宋" w:eastAsia="仿宋" w:cs="仿宋"/>
        </w:rPr>
      </w:pP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单位性质：</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地址：</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成立时间：年月日</w:t>
      </w:r>
    </w:p>
    <w:p>
      <w:pPr>
        <w:spacing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经营期限：</w:t>
      </w:r>
    </w:p>
    <w:p>
      <w:pPr>
        <w:spacing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姓名：性别：年龄：职务：</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系（投标人名称）的法定代表人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附：法定代表人身份证复印件。（正反面）</w:t>
      </w:r>
    </w:p>
    <w:p>
      <w:pPr>
        <w:spacing w:line="480" w:lineRule="auto"/>
        <w:ind w:firstLine="960" w:firstLineChars="400"/>
        <w:rPr>
          <w:rFonts w:hint="eastAsia" w:ascii="仿宋" w:hAnsi="仿宋" w:eastAsia="仿宋" w:cs="仿宋"/>
          <w:sz w:val="24"/>
          <w:szCs w:val="24"/>
        </w:rPr>
      </w:pPr>
    </w:p>
    <w:p>
      <w:pPr>
        <w:spacing w:line="48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特此证明</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0" w:firstLineChars="2000"/>
        <w:rPr>
          <w:rFonts w:hint="eastAsia" w:ascii="仿宋" w:hAnsi="仿宋" w:eastAsia="仿宋" w:cs="仿宋"/>
          <w:sz w:val="24"/>
          <w:szCs w:val="24"/>
        </w:rPr>
      </w:pPr>
      <w:r>
        <w:rPr>
          <w:rFonts w:hint="eastAsia" w:ascii="仿宋" w:hAnsi="仿宋" w:eastAsia="仿宋" w:cs="仿宋"/>
          <w:sz w:val="24"/>
          <w:szCs w:val="24"/>
        </w:rPr>
        <w:t>投标人：（盖章）</w:t>
      </w:r>
    </w:p>
    <w:p>
      <w:pPr>
        <w:spacing w:line="360" w:lineRule="auto"/>
        <w:ind w:firstLine="5160" w:firstLineChars="2150"/>
        <w:rPr>
          <w:rFonts w:hint="eastAsia" w:ascii="仿宋" w:hAnsi="仿宋" w:eastAsia="仿宋" w:cs="仿宋"/>
          <w:sz w:val="24"/>
          <w:szCs w:val="24"/>
          <w:u w:val="single"/>
        </w:rPr>
      </w:pPr>
    </w:p>
    <w:p>
      <w:pPr>
        <w:spacing w:line="360" w:lineRule="auto"/>
        <w:ind w:firstLine="5040" w:firstLineChars="2100"/>
        <w:rPr>
          <w:rFonts w:hint="eastAsia" w:ascii="仿宋" w:hAnsi="仿宋" w:eastAsia="仿宋" w:cs="仿宋"/>
          <w:sz w:val="24"/>
          <w:szCs w:val="24"/>
        </w:rPr>
      </w:pPr>
      <w:r>
        <w:rPr>
          <w:rFonts w:hint="eastAsia" w:ascii="仿宋" w:hAnsi="仿宋" w:eastAsia="仿宋" w:cs="仿宋"/>
          <w:sz w:val="24"/>
          <w:szCs w:val="24"/>
        </w:rPr>
        <w:t>年月日</w:t>
      </w: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2"/>
        <w:jc w:val="left"/>
        <w:rPr>
          <w:rFonts w:hint="eastAsia" w:ascii="仿宋" w:hAnsi="仿宋" w:eastAsia="仿宋" w:cs="仿宋"/>
          <w:b/>
          <w:bCs/>
          <w:sz w:val="24"/>
          <w:szCs w:val="24"/>
          <w:lang w:val="zh-CN"/>
        </w:rPr>
      </w:pPr>
      <w:r>
        <w:rPr>
          <w:rFonts w:hint="eastAsia" w:ascii="仿宋" w:hAnsi="仿宋" w:eastAsia="仿宋" w:cs="仿宋"/>
          <w:b/>
          <w:bCs/>
          <w:sz w:val="24"/>
          <w:szCs w:val="24"/>
          <w:lang w:val="zh-CN"/>
        </w:rPr>
        <w:t>说明：仅限法定代表人参加时提供。</w:t>
      </w:r>
    </w:p>
    <w:p>
      <w:pPr>
        <w:rPr>
          <w:rFonts w:hint="eastAsia" w:ascii="仿宋" w:hAnsi="仿宋" w:eastAsia="仿宋" w:cs="仿宋"/>
        </w:rPr>
        <w:sectPr>
          <w:pgSz w:w="11906" w:h="16838"/>
          <w:pgMar w:top="1417" w:right="1417" w:bottom="1417" w:left="1701" w:header="851" w:footer="992" w:gutter="0"/>
          <w:pgNumType w:fmt="decimal"/>
          <w:cols w:space="0" w:num="1"/>
          <w:docGrid w:type="lines" w:linePitch="312" w:charSpace="0"/>
        </w:sectPr>
      </w:pPr>
    </w:p>
    <w:p>
      <w:pPr>
        <w:keepLines/>
        <w:pageBreakBefore/>
        <w:spacing w:line="360" w:lineRule="auto"/>
        <w:jc w:val="center"/>
        <w:outlineLvl w:val="1"/>
        <w:rPr>
          <w:rFonts w:hint="eastAsia" w:ascii="仿宋" w:hAnsi="仿宋" w:eastAsia="仿宋" w:cs="仿宋"/>
          <w:b/>
          <w:bCs/>
          <w:sz w:val="32"/>
          <w:szCs w:val="32"/>
        </w:rPr>
      </w:pPr>
      <w:bookmarkStart w:id="223" w:name="_Toc13749"/>
      <w:bookmarkStart w:id="224" w:name="_Toc9626"/>
      <w:bookmarkStart w:id="225" w:name="_Toc425240484"/>
      <w:bookmarkStart w:id="226" w:name="_Toc420591670"/>
      <w:bookmarkStart w:id="227" w:name="_Toc10384"/>
      <w:bookmarkStart w:id="228" w:name="_Toc421778389"/>
      <w:bookmarkStart w:id="229" w:name="_Toc6444"/>
      <w:bookmarkStart w:id="230" w:name="_Toc13782"/>
      <w:r>
        <w:rPr>
          <w:rFonts w:hint="eastAsia" w:ascii="仿宋" w:hAnsi="仿宋" w:eastAsia="仿宋" w:cs="仿宋"/>
          <w:b/>
          <w:bCs/>
          <w:sz w:val="32"/>
          <w:szCs w:val="32"/>
        </w:rPr>
        <w:t>四、法人授权委托书</w:t>
      </w:r>
      <w:bookmarkEnd w:id="223"/>
      <w:bookmarkEnd w:id="224"/>
      <w:bookmarkEnd w:id="225"/>
      <w:bookmarkEnd w:id="226"/>
      <w:bookmarkEnd w:id="227"/>
      <w:bookmarkEnd w:id="228"/>
      <w:bookmarkEnd w:id="229"/>
      <w:bookmarkEnd w:id="23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本人（姓名）系（投标人名称）的法定代表人，现委托（姓名）为我方代理人。代理人根据授权，以我方名义签署、澄清、说明、补正、递交、撤回、修改</w:t>
      </w:r>
      <w:r>
        <w:rPr>
          <w:rFonts w:hint="eastAsia" w:ascii="仿宋" w:hAnsi="仿宋" w:eastAsia="仿宋" w:cs="仿宋"/>
          <w:sz w:val="24"/>
          <w:szCs w:val="24"/>
          <w:u w:val="single"/>
        </w:rPr>
        <w:t>（项目名称）</w:t>
      </w:r>
      <w:r>
        <w:rPr>
          <w:rFonts w:hint="eastAsia" w:ascii="仿宋" w:hAnsi="仿宋" w:eastAsia="仿宋" w:cs="仿宋"/>
          <w:sz w:val="24"/>
          <w:szCs w:val="24"/>
        </w:rPr>
        <w:t>施工投标文件、签订合同和处理有关事宜，其法律后果由我方承担。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代理人无转委托权。</w:t>
      </w:r>
    </w:p>
    <w:p>
      <w:pPr>
        <w:spacing w:line="360" w:lineRule="auto"/>
        <w:ind w:firstLine="480" w:firstLineChars="200"/>
        <w:rPr>
          <w:rFonts w:hint="eastAsia" w:ascii="仿宋" w:hAnsi="仿宋" w:eastAsia="仿宋" w:cs="仿宋"/>
          <w:sz w:val="24"/>
          <w:szCs w:val="24"/>
        </w:rPr>
      </w:pPr>
      <w:bookmarkStart w:id="231" w:name="_Toc201637979"/>
      <w:bookmarkStart w:id="232" w:name="_Toc214090947"/>
      <w:r>
        <w:rPr>
          <w:rFonts w:hint="eastAsia" w:ascii="仿宋" w:hAnsi="仿宋" w:eastAsia="仿宋" w:cs="仿宋"/>
          <w:sz w:val="24"/>
          <w:szCs w:val="24"/>
        </w:rPr>
        <w:t>本授权书于</w:t>
      </w:r>
      <w:r>
        <w:rPr>
          <w:rFonts w:hint="eastAsia" w:ascii="仿宋" w:hAnsi="仿宋" w:eastAsia="仿宋" w:cs="仿宋"/>
          <w:sz w:val="24"/>
          <w:szCs w:val="24"/>
          <w:u w:val="single"/>
        </w:rPr>
        <w:t>年月日</w:t>
      </w:r>
      <w:r>
        <w:rPr>
          <w:rFonts w:hint="eastAsia" w:ascii="仿宋" w:hAnsi="仿宋" w:eastAsia="仿宋" w:cs="仿宋"/>
          <w:sz w:val="24"/>
          <w:szCs w:val="24"/>
        </w:rPr>
        <w:t>签字生效，特此证明！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委托期限：自</w:t>
      </w:r>
      <w:r>
        <w:rPr>
          <w:rFonts w:hint="eastAsia" w:ascii="仿宋" w:hAnsi="仿宋" w:eastAsia="仿宋" w:cs="仿宋"/>
          <w:sz w:val="24"/>
          <w:szCs w:val="24"/>
          <w:u w:val="single"/>
        </w:rPr>
        <w:t>年月日</w:t>
      </w:r>
      <w:r>
        <w:rPr>
          <w:rFonts w:hint="eastAsia" w:ascii="仿宋" w:hAnsi="仿宋" w:eastAsia="仿宋" w:cs="仿宋"/>
          <w:sz w:val="24"/>
          <w:szCs w:val="24"/>
        </w:rPr>
        <w:t>至</w:t>
      </w:r>
      <w:r>
        <w:rPr>
          <w:rFonts w:hint="eastAsia" w:ascii="仿宋" w:hAnsi="仿宋" w:eastAsia="仿宋" w:cs="仿宋"/>
          <w:sz w:val="24"/>
          <w:szCs w:val="24"/>
          <w:u w:val="single"/>
        </w:rPr>
        <w:t>年月</w:t>
      </w:r>
      <w:r>
        <w:rPr>
          <w:rFonts w:hint="eastAsia" w:ascii="仿宋" w:hAnsi="仿宋" w:eastAsia="仿宋" w:cs="仿宋"/>
          <w:sz w:val="24"/>
          <w:szCs w:val="24"/>
        </w:rPr>
        <w:t>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法定代表人签字或盖章：被授权人签字：</w:t>
      </w:r>
      <w:bookmarkEnd w:id="231"/>
      <w:bookmarkEnd w:id="232"/>
    </w:p>
    <w:p>
      <w:pPr>
        <w:spacing w:line="360" w:lineRule="auto"/>
        <w:ind w:firstLine="480" w:firstLineChars="200"/>
        <w:rPr>
          <w:rFonts w:hint="eastAsia" w:ascii="仿宋" w:hAnsi="仿宋" w:eastAsia="仿宋" w:cs="仿宋"/>
          <w:sz w:val="24"/>
          <w:szCs w:val="24"/>
        </w:rPr>
      </w:pPr>
      <w:bookmarkStart w:id="233" w:name="_Toc201637980"/>
      <w:bookmarkStart w:id="234" w:name="_Toc214090948"/>
      <w:r>
        <w:rPr>
          <w:rFonts w:hint="eastAsia" w:ascii="仿宋" w:hAnsi="仿宋" w:eastAsia="仿宋" w:cs="仿宋"/>
          <w:sz w:val="24"/>
          <w:szCs w:val="24"/>
        </w:rPr>
        <w:t>职务：</w:t>
      </w:r>
      <w:bookmarkEnd w:id="233"/>
      <w:bookmarkEnd w:id="234"/>
      <w:r>
        <w:rPr>
          <w:rFonts w:hint="eastAsia" w:ascii="仿宋" w:hAnsi="仿宋" w:eastAsia="仿宋" w:cs="仿宋"/>
          <w:sz w:val="24"/>
          <w:szCs w:val="24"/>
        </w:rPr>
        <w:t>职务：</w:t>
      </w:r>
    </w:p>
    <w:p>
      <w:pPr>
        <w:spacing w:line="360" w:lineRule="auto"/>
        <w:rPr>
          <w:rFonts w:hint="eastAsia" w:ascii="仿宋" w:hAnsi="仿宋" w:eastAsia="仿宋" w:cs="仿宋"/>
          <w:sz w:val="24"/>
          <w:szCs w:val="24"/>
        </w:rPr>
      </w:pPr>
    </w:p>
    <w:p>
      <w:pPr>
        <w:spacing w:line="360" w:lineRule="auto"/>
        <w:ind w:firstLine="240" w:firstLineChars="100"/>
        <w:rPr>
          <w:rFonts w:hint="eastAsia" w:ascii="仿宋" w:hAnsi="仿宋" w:eastAsia="仿宋" w:cs="仿宋"/>
          <w:sz w:val="24"/>
          <w:szCs w:val="24"/>
        </w:rPr>
      </w:pPr>
      <w:bookmarkStart w:id="235" w:name="_Toc201637982"/>
      <w:bookmarkStart w:id="236" w:name="_Toc214090950"/>
      <w:r>
        <w:rPr>
          <w:rFonts w:hint="eastAsia" w:ascii="仿宋" w:hAnsi="仿宋" w:eastAsia="仿宋" w:cs="仿宋"/>
          <w:sz w:val="24"/>
          <w:szCs w:val="24"/>
        </w:rPr>
        <w:t>附：法定代表人、被授权人身份证复印件。（正反面）</w:t>
      </w:r>
      <w:bookmarkEnd w:id="235"/>
      <w:bookmarkEnd w:id="236"/>
    </w:p>
    <w:p>
      <w:pPr>
        <w:spacing w:line="360" w:lineRule="auto"/>
        <w:rPr>
          <w:rFonts w:hint="eastAsia" w:ascii="仿宋" w:hAnsi="仿宋" w:eastAsia="仿宋" w:cs="仿宋"/>
          <w:sz w:val="24"/>
          <w:szCs w:val="24"/>
        </w:rPr>
      </w:pPr>
    </w:p>
    <w:p>
      <w:pPr>
        <w:spacing w:line="480" w:lineRule="auto"/>
        <w:ind w:left="424" w:leftChars="202" w:right="540" w:rightChars="257"/>
        <w:jc w:val="left"/>
        <w:rPr>
          <w:rFonts w:hint="eastAsia" w:ascii="仿宋" w:hAnsi="仿宋" w:eastAsia="仿宋" w:cs="仿宋"/>
          <w:sz w:val="24"/>
          <w:szCs w:val="24"/>
        </w:rPr>
      </w:pPr>
      <w:bookmarkStart w:id="237" w:name="_Toc421778390"/>
      <w:bookmarkStart w:id="238" w:name="_Toc425240485"/>
    </w:p>
    <w:p>
      <w:pPr>
        <w:spacing w:line="480" w:lineRule="auto"/>
        <w:ind w:left="424" w:leftChars="202" w:right="540" w:rightChars="257"/>
        <w:jc w:val="left"/>
        <w:rPr>
          <w:rFonts w:hint="eastAsia" w:ascii="仿宋" w:hAnsi="仿宋" w:eastAsia="仿宋" w:cs="仿宋"/>
          <w:sz w:val="24"/>
          <w:szCs w:val="24"/>
        </w:rPr>
      </w:pPr>
    </w:p>
    <w:p>
      <w:pPr>
        <w:spacing w:line="480" w:lineRule="auto"/>
        <w:ind w:left="424" w:leftChars="202" w:right="540" w:rightChars="257"/>
        <w:jc w:val="left"/>
        <w:rPr>
          <w:rFonts w:hint="eastAsia" w:ascii="仿宋" w:hAnsi="仿宋" w:eastAsia="仿宋" w:cs="仿宋"/>
          <w:sz w:val="24"/>
          <w:szCs w:val="24"/>
        </w:rPr>
      </w:pPr>
    </w:p>
    <w:p>
      <w:pPr>
        <w:spacing w:line="480" w:lineRule="auto"/>
        <w:ind w:left="424" w:leftChars="202" w:right="540" w:rightChars="257"/>
        <w:jc w:val="left"/>
        <w:rPr>
          <w:rFonts w:hint="eastAsia" w:ascii="仿宋" w:hAnsi="仿宋" w:eastAsia="仿宋" w:cs="仿宋"/>
          <w:sz w:val="24"/>
          <w:szCs w:val="24"/>
        </w:rPr>
      </w:pPr>
    </w:p>
    <w:p>
      <w:pPr>
        <w:spacing w:line="480" w:lineRule="auto"/>
        <w:ind w:left="424" w:leftChars="202" w:right="540" w:rightChars="257"/>
        <w:jc w:val="left"/>
        <w:rPr>
          <w:rFonts w:hint="eastAsia" w:ascii="仿宋" w:hAnsi="仿宋" w:eastAsia="仿宋" w:cs="仿宋"/>
          <w:sz w:val="24"/>
          <w:szCs w:val="24"/>
        </w:rPr>
      </w:pPr>
    </w:p>
    <w:p>
      <w:pPr>
        <w:spacing w:line="480" w:lineRule="auto"/>
        <w:ind w:left="424" w:leftChars="202" w:right="540" w:rightChars="257"/>
        <w:jc w:val="left"/>
        <w:rPr>
          <w:rFonts w:hint="eastAsia" w:ascii="仿宋" w:hAnsi="仿宋" w:eastAsia="仿宋" w:cs="仿宋"/>
          <w:sz w:val="24"/>
          <w:szCs w:val="24"/>
        </w:rPr>
      </w:pPr>
    </w:p>
    <w:p>
      <w:pPr>
        <w:spacing w:line="480" w:lineRule="auto"/>
        <w:ind w:right="540" w:rightChars="257" w:firstLine="3600" w:firstLineChars="1500"/>
        <w:jc w:val="left"/>
        <w:rPr>
          <w:rFonts w:hint="eastAsia" w:ascii="仿宋" w:hAnsi="仿宋" w:eastAsia="仿宋" w:cs="仿宋"/>
          <w:sz w:val="24"/>
          <w:szCs w:val="24"/>
        </w:rPr>
      </w:pPr>
      <w:r>
        <w:rPr>
          <w:rFonts w:hint="eastAsia" w:ascii="仿宋" w:hAnsi="仿宋" w:eastAsia="仿宋" w:cs="仿宋"/>
          <w:sz w:val="24"/>
          <w:szCs w:val="24"/>
        </w:rPr>
        <w:t xml:space="preserve">投标人名称：      （加盖单位公章）      </w:t>
      </w:r>
    </w:p>
    <w:p>
      <w:pPr>
        <w:spacing w:line="480" w:lineRule="auto"/>
        <w:ind w:right="540" w:rightChars="257" w:firstLine="6000" w:firstLineChars="2500"/>
        <w:jc w:val="left"/>
        <w:rPr>
          <w:rFonts w:hint="eastAsia" w:ascii="仿宋" w:hAnsi="仿宋" w:eastAsia="仿宋" w:cs="仿宋"/>
          <w:sz w:val="24"/>
          <w:szCs w:val="24"/>
        </w:rPr>
      </w:pPr>
      <w:r>
        <w:rPr>
          <w:rFonts w:hint="eastAsia" w:ascii="仿宋" w:hAnsi="仿宋" w:eastAsia="仿宋" w:cs="仿宋"/>
          <w:sz w:val="24"/>
          <w:szCs w:val="24"/>
        </w:rPr>
        <w:t>年 月 日</w:t>
      </w:r>
    </w:p>
    <w:p>
      <w:pPr>
        <w:spacing w:line="480" w:lineRule="auto"/>
        <w:ind w:right="540" w:rightChars="257"/>
        <w:jc w:val="left"/>
        <w:rPr>
          <w:rFonts w:hint="eastAsia" w:ascii="仿宋" w:hAnsi="仿宋" w:eastAsia="仿宋" w:cs="仿宋"/>
          <w:sz w:val="24"/>
          <w:szCs w:val="24"/>
        </w:rPr>
      </w:pPr>
    </w:p>
    <w:p>
      <w:pPr>
        <w:spacing w:line="480" w:lineRule="auto"/>
        <w:ind w:right="540" w:rightChars="257"/>
        <w:jc w:val="left"/>
        <w:rPr>
          <w:rFonts w:hint="eastAsia" w:ascii="仿宋" w:hAnsi="仿宋" w:eastAsia="仿宋" w:cs="仿宋"/>
          <w:sz w:val="24"/>
          <w:szCs w:val="24"/>
        </w:rPr>
      </w:pPr>
    </w:p>
    <w:p>
      <w:pPr>
        <w:spacing w:line="480" w:lineRule="auto"/>
        <w:ind w:right="540" w:rightChars="257"/>
        <w:jc w:val="left"/>
        <w:rPr>
          <w:rFonts w:hint="eastAsia" w:ascii="仿宋" w:hAnsi="仿宋" w:eastAsia="仿宋" w:cs="仿宋"/>
          <w:sz w:val="24"/>
          <w:szCs w:val="24"/>
        </w:rPr>
      </w:pPr>
    </w:p>
    <w:p>
      <w:pPr>
        <w:spacing w:line="480" w:lineRule="auto"/>
        <w:ind w:right="540" w:rightChars="257"/>
        <w:jc w:val="center"/>
        <w:rPr>
          <w:rFonts w:hint="eastAsia" w:ascii="仿宋" w:hAnsi="仿宋" w:eastAsia="仿宋" w:cs="仿宋"/>
          <w:b/>
          <w:bCs/>
          <w:sz w:val="32"/>
          <w:szCs w:val="32"/>
        </w:rPr>
      </w:pPr>
      <w:r>
        <w:rPr>
          <w:rFonts w:hint="eastAsia" w:ascii="仿宋" w:hAnsi="仿宋" w:eastAsia="仿宋" w:cs="仿宋"/>
          <w:b/>
          <w:bCs/>
          <w:sz w:val="24"/>
          <w:szCs w:val="24"/>
        </w:rPr>
        <w:t>注：法定代表人参加时无需提供。</w:t>
      </w:r>
      <w:r>
        <w:rPr>
          <w:rFonts w:hint="eastAsia" w:ascii="仿宋" w:hAnsi="仿宋" w:eastAsia="仿宋" w:cs="仿宋"/>
          <w:sz w:val="24"/>
          <w:szCs w:val="24"/>
        </w:rPr>
        <w:br w:type="page"/>
      </w:r>
      <w:bookmarkStart w:id="239" w:name="_Toc15602"/>
      <w:bookmarkStart w:id="240" w:name="_Toc6747"/>
      <w:bookmarkStart w:id="241" w:name="_Toc15646"/>
      <w:bookmarkStart w:id="242" w:name="_Toc21095"/>
      <w:bookmarkStart w:id="243" w:name="_Toc30225"/>
      <w:bookmarkStart w:id="244" w:name="_Toc5947"/>
      <w:bookmarkStart w:id="245" w:name="_Toc3574"/>
      <w:r>
        <w:rPr>
          <w:rFonts w:hint="eastAsia" w:ascii="仿宋" w:hAnsi="仿宋" w:eastAsia="仿宋" w:cs="仿宋"/>
          <w:b/>
          <w:bCs/>
          <w:sz w:val="32"/>
          <w:szCs w:val="32"/>
        </w:rPr>
        <w:t>五、商务响应与说明</w:t>
      </w:r>
      <w:bookmarkEnd w:id="239"/>
      <w:bookmarkEnd w:id="240"/>
      <w:bookmarkEnd w:id="241"/>
      <w:bookmarkEnd w:id="242"/>
      <w:bookmarkEnd w:id="243"/>
    </w:p>
    <w:p>
      <w:pPr>
        <w:spacing w:after="120"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项目名称</w:t>
      </w:r>
    </w:p>
    <w:p>
      <w:pPr>
        <w:spacing w:after="120"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项目编号：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按照招标文件的商务要求编制商务响应与说明，格式不限。但</w:t>
      </w:r>
      <w:r>
        <w:rPr>
          <w:rFonts w:hint="eastAsia" w:ascii="仿宋" w:hAnsi="仿宋" w:eastAsia="仿宋" w:cs="仿宋"/>
          <w:b/>
          <w:bCs/>
          <w:sz w:val="24"/>
          <w:szCs w:val="24"/>
        </w:rPr>
        <w:t>内容至少应包括如下：</w:t>
      </w: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rPr>
        <w:t>1、投标报价所包含的全部内容；</w:t>
      </w: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rPr>
        <w:t>2、对投标工期、地点、验收、服务承诺、结算方式、合同条款等投标响应；</w:t>
      </w: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rPr>
        <w:t>3、招标文件中要求的其它内容。</w:t>
      </w: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keepLines/>
        <w:pageBreakBefore/>
        <w:jc w:val="center"/>
        <w:outlineLvl w:val="1"/>
        <w:rPr>
          <w:rFonts w:hint="eastAsia" w:ascii="仿宋" w:hAnsi="仿宋" w:eastAsia="仿宋" w:cs="仿宋"/>
          <w:b/>
          <w:bCs/>
          <w:sz w:val="32"/>
          <w:szCs w:val="32"/>
        </w:rPr>
      </w:pPr>
      <w:bookmarkStart w:id="246" w:name="_Toc25310"/>
      <w:bookmarkStart w:id="247" w:name="_Toc15320"/>
      <w:r>
        <w:rPr>
          <w:rFonts w:hint="eastAsia" w:ascii="仿宋" w:hAnsi="仿宋" w:eastAsia="仿宋" w:cs="仿宋"/>
          <w:b/>
          <w:bCs/>
          <w:sz w:val="32"/>
          <w:szCs w:val="32"/>
        </w:rPr>
        <w:t>六、承诺书</w:t>
      </w:r>
    </w:p>
    <w:p>
      <w:pPr>
        <w:spacing w:beforeLines="50"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 xml:space="preserve"> 陕西省政府采购供应商拒绝政府采购领域商业贿赂承诺书</w:t>
      </w:r>
    </w:p>
    <w:p>
      <w:pPr>
        <w:widowControl/>
        <w:spacing w:line="408" w:lineRule="auto"/>
        <w:ind w:firstLine="420" w:firstLineChars="200"/>
        <w:jc w:val="left"/>
        <w:rPr>
          <w:rFonts w:hint="eastAsia" w:ascii="仿宋" w:hAnsi="仿宋" w:eastAsia="仿宋" w:cs="仿宋"/>
        </w:rPr>
      </w:pPr>
      <w:r>
        <w:rPr>
          <w:rFonts w:hint="eastAsia" w:ascii="仿宋" w:hAnsi="仿宋" w:eastAsia="仿宋" w:cs="仿宋"/>
        </w:rPr>
        <w:t>为响应党中央、国务院关于治理政府采购领域商业贿赂行为的号召，我公司在此庄严承诺：</w:t>
      </w:r>
    </w:p>
    <w:p>
      <w:pPr>
        <w:widowControl/>
        <w:numPr>
          <w:ilvl w:val="0"/>
          <w:numId w:val="9"/>
        </w:numPr>
        <w:spacing w:line="408" w:lineRule="auto"/>
        <w:ind w:firstLine="420" w:firstLineChars="200"/>
        <w:jc w:val="left"/>
        <w:rPr>
          <w:rFonts w:hint="eastAsia" w:ascii="仿宋" w:hAnsi="仿宋" w:eastAsia="仿宋" w:cs="仿宋"/>
        </w:rPr>
      </w:pPr>
      <w:r>
        <w:rPr>
          <w:rFonts w:hint="eastAsia" w:ascii="仿宋" w:hAnsi="仿宋" w:eastAsia="仿宋" w:cs="仿宋"/>
        </w:rPr>
        <w:t>在参与政府采购活动中遵纪守法、诚信经营、公平竞标。</w:t>
      </w:r>
    </w:p>
    <w:p>
      <w:pPr>
        <w:widowControl/>
        <w:numPr>
          <w:ilvl w:val="0"/>
          <w:numId w:val="9"/>
        </w:numPr>
        <w:spacing w:line="408" w:lineRule="auto"/>
        <w:ind w:firstLine="420" w:firstLineChars="200"/>
        <w:jc w:val="left"/>
        <w:rPr>
          <w:rFonts w:hint="eastAsia" w:ascii="仿宋" w:hAnsi="仿宋" w:eastAsia="仿宋" w:cs="仿宋"/>
        </w:rPr>
      </w:pPr>
      <w:r>
        <w:rPr>
          <w:rFonts w:hint="eastAsia" w:ascii="仿宋" w:hAnsi="仿宋" w:eastAsia="仿宋" w:cs="仿宋"/>
        </w:rPr>
        <w:t>不向政府采购人、采购代理机构和政府采购评审专家进行任何形式的商业贿赂以谋取交易机会。</w:t>
      </w:r>
    </w:p>
    <w:p>
      <w:pPr>
        <w:widowControl/>
        <w:numPr>
          <w:ilvl w:val="0"/>
          <w:numId w:val="9"/>
        </w:numPr>
        <w:spacing w:line="408" w:lineRule="auto"/>
        <w:ind w:firstLine="420" w:firstLineChars="200"/>
        <w:jc w:val="left"/>
        <w:rPr>
          <w:rFonts w:hint="eastAsia" w:ascii="仿宋" w:hAnsi="仿宋" w:eastAsia="仿宋" w:cs="仿宋"/>
        </w:rPr>
      </w:pPr>
      <w:r>
        <w:rPr>
          <w:rFonts w:hint="eastAsia" w:ascii="仿宋" w:hAnsi="仿宋" w:eastAsia="仿宋" w:cs="仿宋"/>
        </w:rPr>
        <w:t>不向政府采购代理机构和采购人提供虚假资质文件或采用虚假应标方式参与政府采购市场竞争并谋取中标、成交。</w:t>
      </w:r>
    </w:p>
    <w:p>
      <w:pPr>
        <w:widowControl/>
        <w:numPr>
          <w:ilvl w:val="0"/>
          <w:numId w:val="9"/>
        </w:numPr>
        <w:spacing w:line="408" w:lineRule="auto"/>
        <w:ind w:firstLine="420" w:firstLineChars="200"/>
        <w:jc w:val="left"/>
        <w:rPr>
          <w:rFonts w:hint="eastAsia" w:ascii="仿宋" w:hAnsi="仿宋" w:eastAsia="仿宋" w:cs="仿宋"/>
        </w:rPr>
      </w:pPr>
      <w:r>
        <w:rPr>
          <w:rFonts w:hint="eastAsia" w:ascii="仿宋" w:hAnsi="仿宋" w:eastAsia="仿宋" w:cs="仿宋"/>
        </w:rPr>
        <w:t>不采取“围标、陪标”等商业欺诈手段获得政府采购定单。</w:t>
      </w:r>
    </w:p>
    <w:p>
      <w:pPr>
        <w:widowControl/>
        <w:numPr>
          <w:ilvl w:val="0"/>
          <w:numId w:val="9"/>
        </w:numPr>
        <w:spacing w:line="408" w:lineRule="auto"/>
        <w:ind w:firstLine="420" w:firstLineChars="200"/>
        <w:jc w:val="left"/>
        <w:rPr>
          <w:rFonts w:hint="eastAsia" w:ascii="仿宋" w:hAnsi="仿宋" w:eastAsia="仿宋" w:cs="仿宋"/>
        </w:rPr>
      </w:pPr>
      <w:r>
        <w:rPr>
          <w:rFonts w:hint="eastAsia" w:ascii="仿宋" w:hAnsi="仿宋" w:eastAsia="仿宋" w:cs="仿宋"/>
        </w:rPr>
        <w:t>不采取不正当手段诋毁、排挤其他供应商。</w:t>
      </w:r>
    </w:p>
    <w:p>
      <w:pPr>
        <w:widowControl/>
        <w:numPr>
          <w:ilvl w:val="0"/>
          <w:numId w:val="9"/>
        </w:numPr>
        <w:spacing w:line="408" w:lineRule="auto"/>
        <w:ind w:firstLine="420" w:firstLineChars="200"/>
        <w:jc w:val="left"/>
        <w:rPr>
          <w:rFonts w:hint="eastAsia" w:ascii="仿宋" w:hAnsi="仿宋" w:eastAsia="仿宋" w:cs="仿宋"/>
        </w:rPr>
      </w:pPr>
      <w:r>
        <w:rPr>
          <w:rFonts w:hint="eastAsia" w:ascii="仿宋" w:hAnsi="仿宋" w:eastAsia="仿宋" w:cs="仿宋"/>
        </w:rPr>
        <w:t>不在提供商品和服务时“偷梁换柱、以次充好”损害采购人的合法权益。</w:t>
      </w:r>
    </w:p>
    <w:p>
      <w:pPr>
        <w:widowControl/>
        <w:numPr>
          <w:ilvl w:val="0"/>
          <w:numId w:val="9"/>
        </w:numPr>
        <w:spacing w:line="408" w:lineRule="auto"/>
        <w:ind w:firstLine="420" w:firstLineChars="200"/>
        <w:jc w:val="left"/>
        <w:rPr>
          <w:rFonts w:hint="eastAsia" w:ascii="仿宋" w:hAnsi="仿宋" w:eastAsia="仿宋" w:cs="仿宋"/>
        </w:rPr>
      </w:pPr>
      <w:r>
        <w:rPr>
          <w:rFonts w:hint="eastAsia" w:ascii="仿宋" w:hAnsi="仿宋" w:eastAsia="仿宋" w:cs="仿宋"/>
        </w:rPr>
        <w:t>不与采购人、采购代理机构政府采购评审专家或其它供应商恶意串通，进行质疑和投诉，维护政府采购市场秩序。</w:t>
      </w:r>
    </w:p>
    <w:p>
      <w:pPr>
        <w:widowControl/>
        <w:numPr>
          <w:ilvl w:val="0"/>
          <w:numId w:val="9"/>
        </w:numPr>
        <w:spacing w:line="408" w:lineRule="auto"/>
        <w:ind w:firstLine="420" w:firstLineChars="200"/>
        <w:jc w:val="left"/>
        <w:rPr>
          <w:rFonts w:hint="eastAsia" w:ascii="仿宋" w:hAnsi="仿宋" w:eastAsia="仿宋" w:cs="仿宋"/>
        </w:rPr>
      </w:pPr>
      <w:r>
        <w:rPr>
          <w:rFonts w:hint="eastAsia" w:ascii="仿宋" w:hAnsi="仿宋" w:eastAsia="仿宋" w:cs="仿宋"/>
        </w:rPr>
        <w:t>尊重和接受政府采购监督管理部门的监督和政府采购代理机构招标采购要求，承担因违约行为给采购人造成的损失。</w:t>
      </w:r>
    </w:p>
    <w:p>
      <w:pPr>
        <w:widowControl/>
        <w:numPr>
          <w:ilvl w:val="0"/>
          <w:numId w:val="9"/>
        </w:numPr>
        <w:spacing w:line="408" w:lineRule="auto"/>
        <w:ind w:firstLine="420" w:firstLineChars="200"/>
        <w:jc w:val="left"/>
        <w:rPr>
          <w:rFonts w:hint="eastAsia" w:ascii="仿宋" w:hAnsi="仿宋" w:eastAsia="仿宋" w:cs="仿宋"/>
        </w:rPr>
      </w:pPr>
      <w:r>
        <w:rPr>
          <w:rFonts w:hint="eastAsia" w:ascii="仿宋" w:hAnsi="仿宋" w:eastAsia="仿宋" w:cs="仿宋"/>
        </w:rPr>
        <w:t>不发生其他有悖于政府采购公开、公平、公正和诚信原则的行为。</w:t>
      </w:r>
      <w:r>
        <w:rPr>
          <w:rFonts w:hint="eastAsia" w:ascii="仿宋" w:hAnsi="仿宋" w:eastAsia="仿宋" w:cs="仿宋"/>
        </w:rPr>
        <w:br w:type="textWrapping"/>
      </w:r>
    </w:p>
    <w:p>
      <w:pPr>
        <w:widowControl/>
        <w:spacing w:line="408" w:lineRule="auto"/>
        <w:ind w:left="239" w:leftChars="114"/>
        <w:jc w:val="left"/>
        <w:rPr>
          <w:rFonts w:hint="eastAsia" w:ascii="仿宋" w:hAnsi="仿宋" w:eastAsia="仿宋" w:cs="仿宋"/>
        </w:rPr>
      </w:pPr>
      <w:r>
        <w:rPr>
          <w:rFonts w:hint="eastAsia" w:ascii="仿宋" w:hAnsi="仿宋" w:eastAsia="仿宋" w:cs="仿宋"/>
        </w:rPr>
        <w:t>承诺单位：（盖章）</w:t>
      </w:r>
      <w:r>
        <w:rPr>
          <w:rFonts w:hint="eastAsia" w:ascii="仿宋" w:hAnsi="仿宋" w:eastAsia="仿宋" w:cs="仿宋"/>
        </w:rPr>
        <w:br w:type="textWrapping"/>
      </w:r>
      <w:r>
        <w:rPr>
          <w:rFonts w:hint="eastAsia" w:ascii="仿宋" w:hAnsi="仿宋" w:eastAsia="仿宋" w:cs="仿宋"/>
        </w:rPr>
        <w:t>被授权人：（</w:t>
      </w:r>
      <w:r>
        <w:rPr>
          <w:rFonts w:hint="eastAsia" w:ascii="仿宋" w:hAnsi="仿宋" w:eastAsia="仿宋" w:cs="仿宋"/>
          <w:szCs w:val="24"/>
        </w:rPr>
        <w:t>签字</w:t>
      </w:r>
      <w:r>
        <w:rPr>
          <w:rFonts w:hint="eastAsia" w:ascii="仿宋" w:hAnsi="仿宋" w:eastAsia="仿宋" w:cs="仿宋"/>
        </w:rPr>
        <w:t>）</w:t>
      </w:r>
      <w:r>
        <w:rPr>
          <w:rFonts w:hint="eastAsia" w:ascii="仿宋" w:hAnsi="仿宋" w:eastAsia="仿宋" w:cs="仿宋"/>
        </w:rPr>
        <w:br w:type="textWrapping"/>
      </w:r>
      <w:r>
        <w:rPr>
          <w:rFonts w:hint="eastAsia" w:ascii="仿宋" w:hAnsi="仿宋" w:eastAsia="仿宋" w:cs="仿宋"/>
        </w:rPr>
        <w:t>地  址：</w:t>
      </w:r>
      <w:r>
        <w:rPr>
          <w:rFonts w:hint="eastAsia" w:ascii="仿宋" w:hAnsi="仿宋" w:eastAsia="仿宋" w:cs="仿宋"/>
          <w:u w:val="single"/>
        </w:rPr>
        <w:t>            </w:t>
      </w:r>
      <w:r>
        <w:rPr>
          <w:rFonts w:hint="eastAsia" w:ascii="仿宋" w:hAnsi="仿宋" w:eastAsia="仿宋" w:cs="仿宋"/>
        </w:rPr>
        <w:t>  </w:t>
      </w:r>
    </w:p>
    <w:p>
      <w:pPr>
        <w:widowControl/>
        <w:spacing w:line="408" w:lineRule="auto"/>
        <w:ind w:left="239" w:leftChars="114"/>
        <w:jc w:val="left"/>
        <w:rPr>
          <w:rFonts w:hint="eastAsia" w:ascii="仿宋" w:hAnsi="仿宋" w:eastAsia="仿宋" w:cs="仿宋"/>
        </w:rPr>
      </w:pPr>
      <w:r>
        <w:rPr>
          <w:rFonts w:hint="eastAsia" w:ascii="仿宋" w:hAnsi="仿宋" w:eastAsia="仿宋" w:cs="仿宋"/>
        </w:rPr>
        <w:t>邮  编：</w:t>
      </w:r>
      <w:r>
        <w:rPr>
          <w:rFonts w:hint="eastAsia" w:ascii="仿宋" w:hAnsi="仿宋" w:eastAsia="仿宋" w:cs="仿宋"/>
          <w:u w:val="single"/>
        </w:rPr>
        <w:br w:type="textWrapping"/>
      </w:r>
      <w:r>
        <w:rPr>
          <w:rFonts w:hint="eastAsia" w:ascii="仿宋" w:hAnsi="仿宋" w:eastAsia="仿宋" w:cs="仿宋"/>
        </w:rPr>
        <w:t>电  话：</w:t>
      </w:r>
      <w:r>
        <w:rPr>
          <w:rFonts w:hint="eastAsia" w:ascii="仿宋" w:hAnsi="仿宋" w:eastAsia="仿宋" w:cs="仿宋"/>
          <w:u w:val="single"/>
        </w:rPr>
        <w:t>            </w:t>
      </w:r>
      <w:r>
        <w:rPr>
          <w:rFonts w:hint="eastAsia" w:ascii="仿宋" w:hAnsi="仿宋" w:eastAsia="仿宋" w:cs="仿宋"/>
        </w:rPr>
        <w:t>                                                  </w:t>
      </w:r>
    </w:p>
    <w:p>
      <w:pPr>
        <w:widowControl/>
        <w:spacing w:line="408" w:lineRule="auto"/>
        <w:ind w:left="239" w:leftChars="114"/>
        <w:jc w:val="left"/>
        <w:rPr>
          <w:rFonts w:hint="eastAsia" w:ascii="仿宋" w:hAnsi="仿宋" w:eastAsia="仿宋" w:cs="仿宋"/>
        </w:rPr>
      </w:pPr>
      <w:r>
        <w:rPr>
          <w:rFonts w:hint="eastAsia" w:ascii="仿宋" w:hAnsi="仿宋" w:eastAsia="仿宋" w:cs="仿宋"/>
        </w:rPr>
        <w:t>年  月  日</w:t>
      </w:r>
    </w:p>
    <w:p>
      <w:pPr>
        <w:spacing w:beforeLines="50" w:line="360" w:lineRule="auto"/>
        <w:jc w:val="center"/>
        <w:rPr>
          <w:rFonts w:hint="eastAsia" w:ascii="仿宋" w:hAnsi="仿宋" w:eastAsia="仿宋" w:cs="仿宋"/>
          <w:b/>
          <w:bCs/>
          <w:sz w:val="30"/>
          <w:szCs w:val="30"/>
        </w:rPr>
      </w:pPr>
    </w:p>
    <w:p>
      <w:pPr>
        <w:spacing w:beforeLines="50" w:line="360" w:lineRule="auto"/>
        <w:jc w:val="center"/>
        <w:rPr>
          <w:rFonts w:hint="eastAsia" w:ascii="仿宋" w:hAnsi="仿宋" w:eastAsia="仿宋" w:cs="仿宋"/>
          <w:b/>
          <w:bCs/>
          <w:sz w:val="30"/>
          <w:szCs w:val="30"/>
        </w:rPr>
      </w:pPr>
    </w:p>
    <w:p>
      <w:pPr>
        <w:spacing w:beforeLines="50" w:line="360" w:lineRule="auto"/>
        <w:jc w:val="center"/>
        <w:rPr>
          <w:rFonts w:hint="eastAsia" w:ascii="仿宋" w:hAnsi="仿宋" w:eastAsia="仿宋" w:cs="仿宋"/>
          <w:b/>
          <w:bCs/>
          <w:sz w:val="30"/>
          <w:szCs w:val="30"/>
          <w:lang w:val="zh-CN"/>
        </w:rPr>
      </w:pPr>
      <w:r>
        <w:rPr>
          <w:rFonts w:hint="eastAsia" w:ascii="仿宋" w:hAnsi="仿宋" w:eastAsia="仿宋" w:cs="仿宋"/>
          <w:b/>
          <w:bCs/>
          <w:sz w:val="30"/>
          <w:szCs w:val="30"/>
          <w:lang w:val="zh-CN"/>
        </w:rPr>
        <w:t>投标人企业关系关联承诺书</w:t>
      </w:r>
    </w:p>
    <w:p>
      <w:pPr>
        <w:pStyle w:val="2"/>
        <w:rPr>
          <w:rFonts w:hint="eastAsia" w:ascii="仿宋" w:hAnsi="仿宋" w:eastAsia="仿宋" w:cs="仿宋"/>
          <w:lang w:val="zh-CN"/>
        </w:rPr>
      </w:pPr>
    </w:p>
    <w:bookmarkEnd w:id="246"/>
    <w:bookmarkEnd w:id="247"/>
    <w:p>
      <w:pPr>
        <w:spacing w:line="500" w:lineRule="exact"/>
        <w:ind w:firstLine="240" w:firstLineChars="100"/>
        <w:rPr>
          <w:rFonts w:hint="eastAsia" w:ascii="仿宋" w:hAnsi="仿宋" w:eastAsia="仿宋" w:cs="仿宋"/>
          <w:sz w:val="24"/>
          <w:szCs w:val="24"/>
        </w:rPr>
      </w:pPr>
      <w:bookmarkStart w:id="248" w:name="_Toc15279"/>
      <w:bookmarkStart w:id="249" w:name="_Toc9252"/>
      <w:r>
        <w:rPr>
          <w:rFonts w:hint="eastAsia" w:ascii="仿宋" w:hAnsi="仿宋" w:eastAsia="仿宋" w:cs="仿宋"/>
          <w:sz w:val="24"/>
          <w:szCs w:val="24"/>
        </w:rPr>
        <w:t>1、供应商在本项目投标中，不存在与其它供应商负责人为同一人，有控股、管理等关联关系承诺：</w:t>
      </w:r>
    </w:p>
    <w:p>
      <w:pPr>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1.1管理关系说明：</w:t>
      </w:r>
    </w:p>
    <w:p>
      <w:pPr>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我单位管理的具有独立法人的下属单位有</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我单位的上级管理单位有。</w:t>
      </w:r>
    </w:p>
    <w:p>
      <w:pPr>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1.2股权关系说明：</w:t>
      </w:r>
    </w:p>
    <w:p>
      <w:pPr>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我单位控股的单位有。</w:t>
      </w:r>
    </w:p>
    <w:p>
      <w:pPr>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我单位被单位控股。</w:t>
      </w:r>
    </w:p>
    <w:p>
      <w:pPr>
        <w:spacing w:line="500" w:lineRule="exact"/>
        <w:ind w:firstLine="240" w:firstLineChars="100"/>
        <w:rPr>
          <w:rFonts w:hint="eastAsia" w:ascii="仿宋" w:hAnsi="仿宋" w:eastAsia="仿宋" w:cs="仿宋"/>
          <w:sz w:val="24"/>
          <w:szCs w:val="24"/>
          <w:u w:val="single"/>
        </w:rPr>
      </w:pPr>
      <w:r>
        <w:rPr>
          <w:rFonts w:hint="eastAsia" w:ascii="仿宋" w:hAnsi="仿宋" w:eastAsia="仿宋" w:cs="仿宋"/>
          <w:sz w:val="24"/>
          <w:szCs w:val="24"/>
        </w:rPr>
        <w:t>1.3单位负责人：</w:t>
      </w:r>
    </w:p>
    <w:p>
      <w:pPr>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2、（是或否，没有填否） 为采购项目提供整体设计、规范编制或者项目管理、监理、检测等服务的供应商。</w:t>
      </w:r>
    </w:p>
    <w:p>
      <w:pPr>
        <w:spacing w:line="500" w:lineRule="exact"/>
        <w:ind w:firstLine="240" w:firstLineChars="100"/>
        <w:rPr>
          <w:rFonts w:hint="eastAsia" w:ascii="仿宋" w:hAnsi="仿宋" w:eastAsia="仿宋" w:cs="仿宋"/>
          <w:sz w:val="24"/>
          <w:szCs w:val="24"/>
          <w:u w:val="single"/>
        </w:rPr>
      </w:pPr>
      <w:r>
        <w:rPr>
          <w:rFonts w:hint="eastAsia" w:ascii="仿宋" w:hAnsi="仿宋" w:eastAsia="仿宋" w:cs="仿宋"/>
          <w:sz w:val="24"/>
          <w:szCs w:val="24"/>
        </w:rPr>
        <w:t>3、其他与本项目有关的利害关系说明：</w:t>
      </w:r>
    </w:p>
    <w:p>
      <w:pPr>
        <w:pStyle w:val="2"/>
        <w:rPr>
          <w:rFonts w:hint="eastAsia" w:ascii="仿宋" w:hAnsi="仿宋" w:eastAsia="仿宋" w:cs="仿宋"/>
        </w:rPr>
      </w:pPr>
    </w:p>
    <w:p>
      <w:pPr>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我单位承诺以上说明真实有效，无虚假内容或隐瞒。</w:t>
      </w:r>
    </w:p>
    <w:p>
      <w:pPr>
        <w:spacing w:line="500" w:lineRule="exact"/>
        <w:ind w:firstLine="240" w:firstLineChars="100"/>
        <w:rPr>
          <w:rFonts w:hint="eastAsia" w:ascii="仿宋" w:hAnsi="仿宋" w:eastAsia="仿宋" w:cs="仿宋"/>
          <w:sz w:val="24"/>
          <w:szCs w:val="24"/>
        </w:rPr>
      </w:pPr>
    </w:p>
    <w:p>
      <w:pPr>
        <w:pStyle w:val="2"/>
        <w:rPr>
          <w:rFonts w:hint="eastAsia" w:ascii="仿宋" w:hAnsi="仿宋" w:eastAsia="仿宋" w:cs="仿宋"/>
        </w:rPr>
      </w:pPr>
    </w:p>
    <w:p>
      <w:pPr>
        <w:spacing w:line="500" w:lineRule="exact"/>
        <w:ind w:firstLine="2400" w:firstLineChars="1000"/>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（盖单位公章）</w:t>
      </w:r>
    </w:p>
    <w:p>
      <w:pPr>
        <w:spacing w:line="500" w:lineRule="exact"/>
        <w:ind w:firstLine="240" w:firstLineChars="100"/>
        <w:rPr>
          <w:rFonts w:hint="eastAsia" w:ascii="仿宋" w:hAnsi="仿宋" w:eastAsia="仿宋" w:cs="仿宋"/>
          <w:sz w:val="24"/>
          <w:szCs w:val="24"/>
        </w:rPr>
      </w:pPr>
    </w:p>
    <w:p>
      <w:pPr>
        <w:spacing w:line="500" w:lineRule="exact"/>
        <w:ind w:firstLine="2400" w:firstLineChars="1000"/>
        <w:rPr>
          <w:rFonts w:hint="eastAsia" w:ascii="仿宋" w:hAnsi="仿宋" w:eastAsia="仿宋" w:cs="仿宋"/>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spacing w:line="500" w:lineRule="exact"/>
        <w:ind w:firstLine="240" w:firstLineChars="100"/>
        <w:rPr>
          <w:rFonts w:hint="eastAsia" w:ascii="仿宋" w:hAnsi="仿宋" w:eastAsia="仿宋" w:cs="仿宋"/>
          <w:sz w:val="24"/>
          <w:szCs w:val="24"/>
        </w:rPr>
      </w:pPr>
    </w:p>
    <w:p>
      <w:pPr>
        <w:spacing w:line="500" w:lineRule="exact"/>
        <w:ind w:firstLine="2400" w:firstLineChars="1000"/>
        <w:rPr>
          <w:rFonts w:hint="eastAsia" w:ascii="仿宋" w:hAnsi="仿宋" w:eastAsia="仿宋" w:cs="仿宋"/>
          <w:sz w:val="24"/>
          <w:szCs w:val="24"/>
        </w:rPr>
      </w:pPr>
      <w:r>
        <w:rPr>
          <w:rFonts w:hint="eastAsia" w:ascii="仿宋" w:hAnsi="仿宋" w:eastAsia="仿宋" w:cs="仿宋"/>
          <w:sz w:val="24"/>
          <w:szCs w:val="24"/>
        </w:rPr>
        <w:t>日      期：      年   月    日</w:t>
      </w: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rPr>
      </w:pPr>
    </w:p>
    <w:p>
      <w:pPr>
        <w:widowControl/>
        <w:jc w:val="center"/>
        <w:outlineLvl w:val="1"/>
        <w:rPr>
          <w:rFonts w:hint="eastAsia" w:ascii="仿宋" w:hAnsi="仿宋" w:eastAsia="仿宋" w:cs="仿宋"/>
          <w:b/>
          <w:bCs/>
          <w:sz w:val="32"/>
          <w:szCs w:val="32"/>
        </w:rPr>
      </w:pPr>
      <w:r>
        <w:rPr>
          <w:rFonts w:hint="eastAsia" w:ascii="仿宋" w:hAnsi="仿宋" w:eastAsia="仿宋" w:cs="仿宋"/>
          <w:b/>
          <w:bCs/>
          <w:sz w:val="32"/>
          <w:szCs w:val="32"/>
        </w:rPr>
        <w:t>七、招标文件要求的其他文件或承诺</w:t>
      </w:r>
      <w:bookmarkEnd w:id="248"/>
      <w:bookmarkEnd w:id="249"/>
    </w:p>
    <w:p>
      <w:pPr>
        <w:pStyle w:val="2"/>
        <w:jc w:val="both"/>
        <w:rPr>
          <w:rFonts w:hint="eastAsia" w:ascii="仿宋" w:hAnsi="仿宋" w:eastAsia="仿宋" w:cs="仿宋"/>
        </w:rPr>
      </w:pP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1、基本存款账户开户许可证（基本账户信息表）。</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2、其他文件。</w:t>
      </w:r>
    </w:p>
    <w:p>
      <w:pPr>
        <w:rPr>
          <w:rFonts w:hint="eastAsia" w:ascii="仿宋" w:hAnsi="仿宋" w:eastAsia="仿宋" w:cs="仿宋"/>
        </w:rPr>
      </w:pPr>
    </w:p>
    <w:p>
      <w:pPr>
        <w:keepLines/>
        <w:pageBreakBefore/>
        <w:jc w:val="center"/>
        <w:outlineLvl w:val="1"/>
        <w:rPr>
          <w:rFonts w:hint="eastAsia" w:ascii="仿宋" w:hAnsi="仿宋" w:eastAsia="仿宋" w:cs="仿宋"/>
          <w:b/>
          <w:bCs/>
          <w:sz w:val="32"/>
          <w:szCs w:val="32"/>
        </w:rPr>
      </w:pPr>
      <w:bookmarkStart w:id="250" w:name="_Toc18840"/>
      <w:bookmarkStart w:id="251" w:name="_Toc16751"/>
      <w:r>
        <w:rPr>
          <w:rFonts w:hint="eastAsia" w:ascii="仿宋" w:hAnsi="仿宋" w:eastAsia="仿宋" w:cs="仿宋"/>
          <w:b/>
          <w:bCs/>
          <w:sz w:val="32"/>
          <w:szCs w:val="32"/>
        </w:rPr>
        <w:t>八、其他可以证明投标人实力的文件</w:t>
      </w:r>
      <w:bookmarkEnd w:id="250"/>
      <w:bookmarkEnd w:id="251"/>
    </w:p>
    <w:p>
      <w:pPr>
        <w:spacing w:line="408" w:lineRule="auto"/>
        <w:ind w:left="525" w:leftChars="250"/>
        <w:rPr>
          <w:rFonts w:hint="eastAsia" w:ascii="仿宋" w:hAnsi="仿宋" w:eastAsia="仿宋" w:cs="仿宋"/>
          <w:sz w:val="24"/>
          <w:szCs w:val="24"/>
        </w:rPr>
      </w:pPr>
    </w:p>
    <w:p>
      <w:pPr>
        <w:spacing w:line="408" w:lineRule="auto"/>
        <w:ind w:left="525" w:leftChars="250"/>
        <w:jc w:val="center"/>
        <w:rPr>
          <w:rFonts w:hint="eastAsia" w:ascii="仿宋" w:hAnsi="仿宋" w:eastAsia="仿宋" w:cs="仿宋"/>
          <w:b/>
          <w:bCs/>
          <w:sz w:val="32"/>
          <w:szCs w:val="32"/>
        </w:rPr>
      </w:pPr>
      <w:r>
        <w:rPr>
          <w:rFonts w:hint="eastAsia" w:ascii="仿宋" w:hAnsi="仿宋" w:eastAsia="仿宋" w:cs="仿宋"/>
          <w:sz w:val="24"/>
          <w:szCs w:val="24"/>
        </w:rPr>
        <w:br w:type="page"/>
      </w:r>
      <w:bookmarkStart w:id="252" w:name="_Toc7207"/>
      <w:bookmarkStart w:id="253" w:name="_Toc13506"/>
      <w:r>
        <w:rPr>
          <w:rFonts w:hint="eastAsia" w:ascii="仿宋" w:hAnsi="仿宋" w:eastAsia="仿宋" w:cs="仿宋"/>
          <w:b/>
          <w:bCs/>
          <w:sz w:val="32"/>
          <w:szCs w:val="32"/>
        </w:rPr>
        <w:t>第二部分技术</w:t>
      </w:r>
      <w:bookmarkEnd w:id="244"/>
      <w:bookmarkEnd w:id="245"/>
      <w:r>
        <w:rPr>
          <w:rFonts w:hint="eastAsia" w:ascii="仿宋" w:hAnsi="仿宋" w:eastAsia="仿宋" w:cs="仿宋"/>
          <w:b/>
          <w:bCs/>
          <w:sz w:val="32"/>
          <w:szCs w:val="32"/>
        </w:rPr>
        <w:t>标</w:t>
      </w:r>
      <w:bookmarkEnd w:id="252"/>
      <w:bookmarkEnd w:id="253"/>
    </w:p>
    <w:p>
      <w:pPr>
        <w:spacing w:after="120" w:line="440" w:lineRule="exact"/>
        <w:rPr>
          <w:rFonts w:hint="eastAsia" w:ascii="仿宋" w:hAnsi="仿宋" w:eastAsia="仿宋" w:cs="仿宋"/>
          <w:sz w:val="24"/>
          <w:szCs w:val="24"/>
        </w:rPr>
      </w:pPr>
      <w:r>
        <w:rPr>
          <w:rFonts w:hint="eastAsia" w:ascii="仿宋" w:hAnsi="仿宋" w:eastAsia="仿宋" w:cs="仿宋"/>
          <w:sz w:val="24"/>
          <w:szCs w:val="24"/>
        </w:rPr>
        <w:t>项目名称：</w:t>
      </w:r>
    </w:p>
    <w:p>
      <w:pPr>
        <w:spacing w:after="120" w:line="440" w:lineRule="exact"/>
        <w:rPr>
          <w:rFonts w:hint="eastAsia" w:ascii="仿宋" w:hAnsi="仿宋" w:eastAsia="仿宋" w:cs="仿宋"/>
          <w:sz w:val="24"/>
          <w:szCs w:val="24"/>
        </w:rPr>
      </w:pPr>
      <w:r>
        <w:rPr>
          <w:rFonts w:hint="eastAsia" w:ascii="仿宋" w:hAnsi="仿宋" w:eastAsia="仿宋" w:cs="仿宋"/>
          <w:sz w:val="24"/>
          <w:szCs w:val="24"/>
        </w:rPr>
        <w:t>项目编号：</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1、投标人编制的施工组织设计包含以下内容：</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（1）评标办法技术标要求的内容</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（2）合理化建议</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（3）投标人认为有必要说明的问题</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2、施工组织设计除采用文字表述外可附下列图表，图表及格式要求附后。</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附表一拟投入本工程的主要施工设备表</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附表二拟配备本工程的试验和检测仪器设备表</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附表三劳动力计划表</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附表四计划开、竣工日期和施工进度网络图</w:t>
      </w:r>
    </w:p>
    <w:p>
      <w:pPr>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附表五临时用地表</w:t>
      </w:r>
    </w:p>
    <w:p>
      <w:pPr>
        <w:spacing w:line="580" w:lineRule="exact"/>
        <w:ind w:firstLine="480" w:firstLineChars="200"/>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spacing w:line="580" w:lineRule="exact"/>
        <w:ind w:firstLine="480" w:firstLineChars="200"/>
        <w:rPr>
          <w:rFonts w:hint="eastAsia" w:ascii="仿宋" w:hAnsi="仿宋" w:eastAsia="仿宋" w:cs="仿宋"/>
          <w:sz w:val="24"/>
          <w:szCs w:val="24"/>
        </w:rPr>
      </w:pP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b/>
          <w:bCs/>
          <w:sz w:val="24"/>
          <w:szCs w:val="24"/>
        </w:rPr>
        <w:t>附表一：拟投入本工程的主要施工设备表</w:t>
      </w:r>
    </w:p>
    <w:tbl>
      <w:tblPr>
        <w:tblStyle w:val="49"/>
        <w:tblW w:w="94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17"/>
        <w:gridCol w:w="992"/>
        <w:gridCol w:w="709"/>
        <w:gridCol w:w="1134"/>
        <w:gridCol w:w="1134"/>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68" w:type="dxa"/>
            <w:vAlign w:val="center"/>
          </w:tcPr>
          <w:p>
            <w:pPr>
              <w:jc w:val="center"/>
              <w:rPr>
                <w:rFonts w:hint="eastAsia" w:ascii="仿宋" w:hAnsi="仿宋" w:eastAsia="仿宋" w:cs="仿宋"/>
              </w:rPr>
            </w:pPr>
            <w:r>
              <w:rPr>
                <w:rFonts w:hint="eastAsia" w:ascii="仿宋" w:hAnsi="仿宋" w:eastAsia="仿宋" w:cs="仿宋"/>
              </w:rPr>
              <w:t>序号</w:t>
            </w:r>
          </w:p>
        </w:tc>
        <w:tc>
          <w:tcPr>
            <w:tcW w:w="1117" w:type="dxa"/>
            <w:vAlign w:val="center"/>
          </w:tcPr>
          <w:p>
            <w:pPr>
              <w:jc w:val="center"/>
              <w:rPr>
                <w:rFonts w:hint="eastAsia" w:ascii="仿宋" w:hAnsi="仿宋" w:eastAsia="仿宋" w:cs="仿宋"/>
              </w:rPr>
            </w:pPr>
            <w:r>
              <w:rPr>
                <w:rFonts w:hint="eastAsia" w:ascii="仿宋" w:hAnsi="仿宋" w:eastAsia="仿宋" w:cs="仿宋"/>
              </w:rPr>
              <w:t>设备</w:t>
            </w:r>
          </w:p>
          <w:p>
            <w:pPr>
              <w:jc w:val="center"/>
              <w:rPr>
                <w:rFonts w:hint="eastAsia" w:ascii="仿宋" w:hAnsi="仿宋" w:eastAsia="仿宋" w:cs="仿宋"/>
              </w:rPr>
            </w:pPr>
            <w:r>
              <w:rPr>
                <w:rFonts w:hint="eastAsia" w:ascii="仿宋" w:hAnsi="仿宋" w:eastAsia="仿宋" w:cs="仿宋"/>
              </w:rPr>
              <w:t>名称</w:t>
            </w:r>
          </w:p>
        </w:tc>
        <w:tc>
          <w:tcPr>
            <w:tcW w:w="992" w:type="dxa"/>
            <w:vAlign w:val="center"/>
          </w:tcPr>
          <w:p>
            <w:pPr>
              <w:jc w:val="center"/>
              <w:rPr>
                <w:rFonts w:hint="eastAsia" w:ascii="仿宋" w:hAnsi="仿宋" w:eastAsia="仿宋" w:cs="仿宋"/>
              </w:rPr>
            </w:pPr>
            <w:r>
              <w:rPr>
                <w:rFonts w:hint="eastAsia" w:ascii="仿宋" w:hAnsi="仿宋" w:eastAsia="仿宋" w:cs="仿宋"/>
              </w:rPr>
              <w:t>型号</w:t>
            </w:r>
          </w:p>
          <w:p>
            <w:pPr>
              <w:jc w:val="center"/>
              <w:rPr>
                <w:rFonts w:hint="eastAsia" w:ascii="仿宋" w:hAnsi="仿宋" w:eastAsia="仿宋" w:cs="仿宋"/>
              </w:rPr>
            </w:pPr>
            <w:r>
              <w:rPr>
                <w:rFonts w:hint="eastAsia" w:ascii="仿宋" w:hAnsi="仿宋" w:eastAsia="仿宋" w:cs="仿宋"/>
              </w:rPr>
              <w:t>规格</w:t>
            </w:r>
          </w:p>
        </w:tc>
        <w:tc>
          <w:tcPr>
            <w:tcW w:w="709" w:type="dxa"/>
            <w:vAlign w:val="center"/>
          </w:tcPr>
          <w:p>
            <w:pPr>
              <w:jc w:val="center"/>
              <w:rPr>
                <w:rFonts w:hint="eastAsia" w:ascii="仿宋" w:hAnsi="仿宋" w:eastAsia="仿宋" w:cs="仿宋"/>
              </w:rPr>
            </w:pPr>
            <w:r>
              <w:rPr>
                <w:rFonts w:hint="eastAsia" w:ascii="仿宋" w:hAnsi="仿宋" w:eastAsia="仿宋" w:cs="仿宋"/>
              </w:rPr>
              <w:t>数量</w:t>
            </w:r>
          </w:p>
        </w:tc>
        <w:tc>
          <w:tcPr>
            <w:tcW w:w="1134" w:type="dxa"/>
            <w:vAlign w:val="center"/>
          </w:tcPr>
          <w:p>
            <w:pPr>
              <w:jc w:val="center"/>
              <w:rPr>
                <w:rFonts w:hint="eastAsia" w:ascii="仿宋" w:hAnsi="仿宋" w:eastAsia="仿宋" w:cs="仿宋"/>
              </w:rPr>
            </w:pPr>
            <w:r>
              <w:rPr>
                <w:rFonts w:hint="eastAsia" w:ascii="仿宋" w:hAnsi="仿宋" w:eastAsia="仿宋" w:cs="仿宋"/>
              </w:rPr>
              <w:t>国别</w:t>
            </w:r>
          </w:p>
          <w:p>
            <w:pPr>
              <w:jc w:val="center"/>
              <w:rPr>
                <w:rFonts w:hint="eastAsia" w:ascii="仿宋" w:hAnsi="仿宋" w:eastAsia="仿宋" w:cs="仿宋"/>
              </w:rPr>
            </w:pPr>
            <w:r>
              <w:rPr>
                <w:rFonts w:hint="eastAsia" w:ascii="仿宋" w:hAnsi="仿宋" w:eastAsia="仿宋" w:cs="仿宋"/>
              </w:rPr>
              <w:t>产地</w:t>
            </w:r>
          </w:p>
        </w:tc>
        <w:tc>
          <w:tcPr>
            <w:tcW w:w="1134" w:type="dxa"/>
            <w:vAlign w:val="center"/>
          </w:tcPr>
          <w:p>
            <w:pPr>
              <w:jc w:val="center"/>
              <w:rPr>
                <w:rFonts w:hint="eastAsia" w:ascii="仿宋" w:hAnsi="仿宋" w:eastAsia="仿宋" w:cs="仿宋"/>
              </w:rPr>
            </w:pPr>
            <w:r>
              <w:rPr>
                <w:rFonts w:hint="eastAsia" w:ascii="仿宋" w:hAnsi="仿宋" w:eastAsia="仿宋" w:cs="仿宋"/>
              </w:rPr>
              <w:t>额定功率</w:t>
            </w:r>
          </w:p>
          <w:p>
            <w:pPr>
              <w:jc w:val="center"/>
              <w:rPr>
                <w:rFonts w:hint="eastAsia" w:ascii="仿宋" w:hAnsi="仿宋" w:eastAsia="仿宋" w:cs="仿宋"/>
              </w:rPr>
            </w:pPr>
            <w:r>
              <w:rPr>
                <w:rFonts w:hint="eastAsia" w:ascii="仿宋" w:hAnsi="仿宋" w:eastAsia="仿宋" w:cs="仿宋"/>
              </w:rPr>
              <w:t>（KW）</w:t>
            </w:r>
          </w:p>
        </w:tc>
        <w:tc>
          <w:tcPr>
            <w:tcW w:w="1843" w:type="dxa"/>
            <w:vAlign w:val="center"/>
          </w:tcPr>
          <w:p>
            <w:pPr>
              <w:jc w:val="center"/>
              <w:rPr>
                <w:rFonts w:hint="eastAsia" w:ascii="仿宋" w:hAnsi="仿宋" w:eastAsia="仿宋" w:cs="仿宋"/>
              </w:rPr>
            </w:pPr>
            <w:r>
              <w:rPr>
                <w:rFonts w:hint="eastAsia" w:ascii="仿宋" w:hAnsi="仿宋" w:eastAsia="仿宋" w:cs="仿宋"/>
              </w:rPr>
              <w:t>用于施工部位</w:t>
            </w:r>
          </w:p>
        </w:tc>
        <w:tc>
          <w:tcPr>
            <w:tcW w:w="1701" w:type="dxa"/>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bl>
    <w:p>
      <w:pPr>
        <w:spacing w:line="420" w:lineRule="exact"/>
        <w:rPr>
          <w:rFonts w:hint="eastAsia" w:ascii="仿宋" w:hAnsi="仿宋" w:eastAsia="仿宋" w:cs="仿宋"/>
          <w:sz w:val="24"/>
          <w:szCs w:val="24"/>
        </w:rPr>
      </w:pP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b/>
          <w:bCs/>
          <w:sz w:val="24"/>
          <w:szCs w:val="24"/>
        </w:rPr>
        <w:t>附表二：拟配备本工程的试验和检测仪器设备表</w:t>
      </w:r>
    </w:p>
    <w:tbl>
      <w:tblPr>
        <w:tblStyle w:val="49"/>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624"/>
        <w:gridCol w:w="1362"/>
        <w:gridCol w:w="1001"/>
        <w:gridCol w:w="1180"/>
        <w:gridCol w:w="140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098" w:type="dxa"/>
            <w:vAlign w:val="center"/>
          </w:tcPr>
          <w:p>
            <w:pPr>
              <w:jc w:val="center"/>
              <w:rPr>
                <w:rFonts w:hint="eastAsia" w:ascii="仿宋" w:hAnsi="仿宋" w:eastAsia="仿宋" w:cs="仿宋"/>
              </w:rPr>
            </w:pPr>
            <w:r>
              <w:rPr>
                <w:rFonts w:hint="eastAsia" w:ascii="仿宋" w:hAnsi="仿宋" w:eastAsia="仿宋" w:cs="仿宋"/>
              </w:rPr>
              <w:t>序号</w:t>
            </w:r>
          </w:p>
        </w:tc>
        <w:tc>
          <w:tcPr>
            <w:tcW w:w="1624" w:type="dxa"/>
            <w:vAlign w:val="center"/>
          </w:tcPr>
          <w:p>
            <w:pPr>
              <w:jc w:val="center"/>
              <w:rPr>
                <w:rFonts w:hint="eastAsia" w:ascii="仿宋" w:hAnsi="仿宋" w:eastAsia="仿宋" w:cs="仿宋"/>
              </w:rPr>
            </w:pPr>
            <w:r>
              <w:rPr>
                <w:rFonts w:hint="eastAsia" w:ascii="仿宋" w:hAnsi="仿宋" w:eastAsia="仿宋" w:cs="仿宋"/>
              </w:rPr>
              <w:t>仪器设备名称</w:t>
            </w:r>
          </w:p>
        </w:tc>
        <w:tc>
          <w:tcPr>
            <w:tcW w:w="1362" w:type="dxa"/>
            <w:vAlign w:val="center"/>
          </w:tcPr>
          <w:p>
            <w:pPr>
              <w:jc w:val="center"/>
              <w:rPr>
                <w:rFonts w:hint="eastAsia" w:ascii="仿宋" w:hAnsi="仿宋" w:eastAsia="仿宋" w:cs="仿宋"/>
              </w:rPr>
            </w:pPr>
            <w:r>
              <w:rPr>
                <w:rFonts w:hint="eastAsia" w:ascii="仿宋" w:hAnsi="仿宋" w:eastAsia="仿宋" w:cs="仿宋"/>
              </w:rPr>
              <w:t>型号</w:t>
            </w:r>
          </w:p>
          <w:p>
            <w:pPr>
              <w:jc w:val="center"/>
              <w:rPr>
                <w:rFonts w:hint="eastAsia" w:ascii="仿宋" w:hAnsi="仿宋" w:eastAsia="仿宋" w:cs="仿宋"/>
              </w:rPr>
            </w:pPr>
            <w:r>
              <w:rPr>
                <w:rFonts w:hint="eastAsia" w:ascii="仿宋" w:hAnsi="仿宋" w:eastAsia="仿宋" w:cs="仿宋"/>
              </w:rPr>
              <w:t>规格</w:t>
            </w:r>
          </w:p>
        </w:tc>
        <w:tc>
          <w:tcPr>
            <w:tcW w:w="1001" w:type="dxa"/>
            <w:vAlign w:val="center"/>
          </w:tcPr>
          <w:p>
            <w:pPr>
              <w:jc w:val="center"/>
              <w:rPr>
                <w:rFonts w:hint="eastAsia" w:ascii="仿宋" w:hAnsi="仿宋" w:eastAsia="仿宋" w:cs="仿宋"/>
              </w:rPr>
            </w:pPr>
            <w:r>
              <w:rPr>
                <w:rFonts w:hint="eastAsia" w:ascii="仿宋" w:hAnsi="仿宋" w:eastAsia="仿宋" w:cs="仿宋"/>
              </w:rPr>
              <w:t>数量</w:t>
            </w:r>
          </w:p>
        </w:tc>
        <w:tc>
          <w:tcPr>
            <w:tcW w:w="1180" w:type="dxa"/>
            <w:vAlign w:val="center"/>
          </w:tcPr>
          <w:p>
            <w:pPr>
              <w:jc w:val="center"/>
              <w:rPr>
                <w:rFonts w:hint="eastAsia" w:ascii="仿宋" w:hAnsi="仿宋" w:eastAsia="仿宋" w:cs="仿宋"/>
              </w:rPr>
            </w:pPr>
            <w:r>
              <w:rPr>
                <w:rFonts w:hint="eastAsia" w:ascii="仿宋" w:hAnsi="仿宋" w:eastAsia="仿宋" w:cs="仿宋"/>
              </w:rPr>
              <w:t>国别</w:t>
            </w:r>
          </w:p>
          <w:p>
            <w:pPr>
              <w:jc w:val="center"/>
              <w:rPr>
                <w:rFonts w:hint="eastAsia" w:ascii="仿宋" w:hAnsi="仿宋" w:eastAsia="仿宋" w:cs="仿宋"/>
              </w:rPr>
            </w:pPr>
            <w:r>
              <w:rPr>
                <w:rFonts w:hint="eastAsia" w:ascii="仿宋" w:hAnsi="仿宋" w:eastAsia="仿宋" w:cs="仿宋"/>
              </w:rPr>
              <w:t>产地</w:t>
            </w:r>
          </w:p>
        </w:tc>
        <w:tc>
          <w:tcPr>
            <w:tcW w:w="1402" w:type="dxa"/>
            <w:vAlign w:val="center"/>
          </w:tcPr>
          <w:p>
            <w:pPr>
              <w:jc w:val="center"/>
              <w:rPr>
                <w:rFonts w:hint="eastAsia" w:ascii="仿宋" w:hAnsi="仿宋" w:eastAsia="仿宋" w:cs="仿宋"/>
              </w:rPr>
            </w:pPr>
            <w:r>
              <w:rPr>
                <w:rFonts w:hint="eastAsia" w:ascii="仿宋" w:hAnsi="仿宋" w:eastAsia="仿宋" w:cs="仿宋"/>
              </w:rPr>
              <w:t>用途</w:t>
            </w:r>
          </w:p>
        </w:tc>
        <w:tc>
          <w:tcPr>
            <w:tcW w:w="1279" w:type="dxa"/>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bl>
    <w:p>
      <w:pPr>
        <w:spacing w:beforeLines="50" w:afterLines="50" w:line="480" w:lineRule="auto"/>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附表三：劳动力计划表</w:t>
      </w:r>
    </w:p>
    <w:p>
      <w:pPr>
        <w:spacing w:beforeLines="50" w:afterLines="50" w:line="480" w:lineRule="auto"/>
        <w:rPr>
          <w:rFonts w:hint="eastAsia" w:ascii="仿宋" w:hAnsi="仿宋" w:eastAsia="仿宋" w:cs="仿宋"/>
          <w:b/>
          <w:bCs/>
          <w:sz w:val="24"/>
          <w:szCs w:val="24"/>
        </w:rPr>
      </w:pPr>
      <w:r>
        <w:rPr>
          <w:rFonts w:hint="eastAsia" w:ascii="仿宋" w:hAnsi="仿宋" w:eastAsia="仿宋" w:cs="仿宋"/>
          <w:sz w:val="24"/>
          <w:szCs w:val="24"/>
        </w:rPr>
        <w:t>单位：人</w:t>
      </w:r>
    </w:p>
    <w:tbl>
      <w:tblPr>
        <w:tblStyle w:val="49"/>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2" w:hRule="atLeast"/>
          <w:jc w:val="center"/>
        </w:trPr>
        <w:tc>
          <w:tcPr>
            <w:tcW w:w="1529" w:type="dxa"/>
            <w:vAlign w:val="center"/>
          </w:tcPr>
          <w:p>
            <w:pPr>
              <w:jc w:val="center"/>
              <w:rPr>
                <w:rFonts w:hint="eastAsia" w:ascii="仿宋" w:hAnsi="仿宋" w:eastAsia="仿宋" w:cs="仿宋"/>
              </w:rPr>
            </w:pPr>
            <w:r>
              <w:rPr>
                <w:rFonts w:hint="eastAsia" w:ascii="仿宋" w:hAnsi="仿宋" w:eastAsia="仿宋" w:cs="仿宋"/>
              </w:rPr>
              <w:t>工种</w:t>
            </w:r>
          </w:p>
        </w:tc>
        <w:tc>
          <w:tcPr>
            <w:tcW w:w="7425" w:type="dxa"/>
            <w:gridSpan w:val="7"/>
            <w:vAlign w:val="center"/>
          </w:tcPr>
          <w:p>
            <w:pPr>
              <w:jc w:val="center"/>
              <w:rPr>
                <w:rFonts w:hint="eastAsia" w:ascii="仿宋" w:hAnsi="仿宋" w:eastAsia="仿宋" w:cs="仿宋"/>
              </w:rPr>
            </w:pPr>
            <w:r>
              <w:rPr>
                <w:rFonts w:hint="eastAsia" w:ascii="仿宋" w:hAnsi="仿宋" w:eastAsia="仿宋" w:cs="仿宋"/>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bl>
    <w:p>
      <w:pPr>
        <w:spacing w:line="580" w:lineRule="exact"/>
        <w:rPr>
          <w:rFonts w:hint="eastAsia" w:ascii="仿宋" w:hAnsi="仿宋" w:eastAsia="仿宋" w:cs="仿宋"/>
          <w:b/>
          <w:bCs/>
          <w:spacing w:val="4"/>
          <w:sz w:val="24"/>
          <w:szCs w:val="24"/>
        </w:rPr>
      </w:pPr>
    </w:p>
    <w:p>
      <w:pPr>
        <w:spacing w:beforeLines="50" w:afterLines="100" w:line="360" w:lineRule="auto"/>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附表四：计划开、竣工日期和施工进度网络图</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1、投标人应递交施工进度网络图或施工进度表，说明按招标文件要求的计划工期进行施工的各个关键日期。</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2、施工进度表可采用网络图或横道图表示。</w:t>
      </w:r>
    </w:p>
    <w:p>
      <w:pPr>
        <w:spacing w:beforeLines="50" w:afterLines="100" w:line="480" w:lineRule="auto"/>
        <w:rPr>
          <w:rFonts w:hint="eastAsia" w:ascii="仿宋" w:hAnsi="仿宋" w:eastAsia="仿宋" w:cs="仿宋"/>
          <w:sz w:val="24"/>
          <w:szCs w:val="24"/>
        </w:rPr>
      </w:pP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rPr>
        <w:br w:type="page"/>
      </w:r>
      <w:r>
        <w:rPr>
          <w:rFonts w:hint="eastAsia" w:ascii="仿宋" w:hAnsi="仿宋" w:eastAsia="仿宋" w:cs="仿宋"/>
          <w:b/>
          <w:bCs/>
          <w:sz w:val="24"/>
          <w:szCs w:val="24"/>
        </w:rPr>
        <w:t>附表五：临时用地表</w:t>
      </w:r>
    </w:p>
    <w:tbl>
      <w:tblPr>
        <w:tblStyle w:val="49"/>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082"/>
        <w:gridCol w:w="2082"/>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vAlign w:val="center"/>
          </w:tcPr>
          <w:p>
            <w:pPr>
              <w:jc w:val="center"/>
              <w:rPr>
                <w:rFonts w:hint="eastAsia" w:ascii="仿宋" w:hAnsi="仿宋" w:eastAsia="仿宋" w:cs="仿宋"/>
              </w:rPr>
            </w:pPr>
            <w:r>
              <w:rPr>
                <w:rFonts w:hint="eastAsia" w:ascii="仿宋" w:hAnsi="仿宋" w:eastAsia="仿宋" w:cs="仿宋"/>
              </w:rPr>
              <w:t>用途</w:t>
            </w:r>
          </w:p>
        </w:tc>
        <w:tc>
          <w:tcPr>
            <w:tcW w:w="2082" w:type="dxa"/>
            <w:vAlign w:val="center"/>
          </w:tcPr>
          <w:p>
            <w:pPr>
              <w:jc w:val="center"/>
              <w:rPr>
                <w:rFonts w:hint="eastAsia" w:ascii="仿宋" w:hAnsi="仿宋" w:eastAsia="仿宋" w:cs="仿宋"/>
              </w:rPr>
            </w:pPr>
            <w:r>
              <w:rPr>
                <w:rFonts w:hint="eastAsia" w:ascii="仿宋" w:hAnsi="仿宋" w:eastAsia="仿宋" w:cs="仿宋"/>
              </w:rPr>
              <w:t>面积（平方米）</w:t>
            </w:r>
          </w:p>
        </w:tc>
        <w:tc>
          <w:tcPr>
            <w:tcW w:w="2082" w:type="dxa"/>
            <w:vAlign w:val="center"/>
          </w:tcPr>
          <w:p>
            <w:pPr>
              <w:jc w:val="center"/>
              <w:rPr>
                <w:rFonts w:hint="eastAsia" w:ascii="仿宋" w:hAnsi="仿宋" w:eastAsia="仿宋" w:cs="仿宋"/>
              </w:rPr>
            </w:pPr>
            <w:r>
              <w:rPr>
                <w:rFonts w:hint="eastAsia" w:ascii="仿宋" w:hAnsi="仿宋" w:eastAsia="仿宋" w:cs="仿宋"/>
              </w:rPr>
              <w:t>位置</w:t>
            </w:r>
          </w:p>
        </w:tc>
        <w:tc>
          <w:tcPr>
            <w:tcW w:w="2082" w:type="dxa"/>
            <w:vAlign w:val="center"/>
          </w:tcPr>
          <w:p>
            <w:pPr>
              <w:jc w:val="center"/>
              <w:rPr>
                <w:rFonts w:hint="eastAsia" w:ascii="仿宋" w:hAnsi="仿宋" w:eastAsia="仿宋" w:cs="仿宋"/>
              </w:rPr>
            </w:pPr>
            <w:r>
              <w:rPr>
                <w:rFonts w:hint="eastAsia" w:ascii="仿宋" w:hAnsi="仿宋" w:eastAsia="仿宋" w:cs="仿宋"/>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bl>
    <w:p>
      <w:pPr>
        <w:keepLines/>
        <w:pageBreakBefore/>
        <w:jc w:val="center"/>
        <w:outlineLvl w:val="1"/>
        <w:rPr>
          <w:rFonts w:hint="eastAsia" w:ascii="仿宋" w:hAnsi="仿宋" w:eastAsia="仿宋" w:cs="仿宋"/>
          <w:b/>
          <w:bCs/>
          <w:sz w:val="32"/>
          <w:szCs w:val="32"/>
        </w:rPr>
      </w:pPr>
      <w:bookmarkStart w:id="254" w:name="_Toc15616"/>
      <w:bookmarkStart w:id="255" w:name="_Toc12899"/>
      <w:bookmarkStart w:id="256" w:name="_Toc20335"/>
      <w:bookmarkStart w:id="257" w:name="_Toc16618"/>
      <w:bookmarkStart w:id="258" w:name="_Toc18300"/>
      <w:r>
        <w:rPr>
          <w:rFonts w:hint="eastAsia" w:ascii="仿宋" w:hAnsi="仿宋" w:eastAsia="仿宋" w:cs="仿宋"/>
          <w:b/>
          <w:bCs/>
          <w:sz w:val="32"/>
          <w:szCs w:val="32"/>
        </w:rPr>
        <w:t>第三部分资格标</w:t>
      </w:r>
      <w:bookmarkEnd w:id="254"/>
      <w:bookmarkEnd w:id="255"/>
    </w:p>
    <w:p>
      <w:pPr>
        <w:keepLines/>
        <w:pageBreakBefore/>
        <w:numPr>
          <w:ilvl w:val="0"/>
          <w:numId w:val="10"/>
        </w:numPr>
        <w:jc w:val="center"/>
        <w:outlineLvl w:val="1"/>
        <w:rPr>
          <w:rFonts w:hint="eastAsia" w:ascii="仿宋" w:hAnsi="仿宋" w:eastAsia="仿宋" w:cs="仿宋"/>
          <w:b/>
          <w:sz w:val="32"/>
          <w:szCs w:val="32"/>
        </w:rPr>
      </w:pPr>
      <w:bookmarkStart w:id="259" w:name="_Toc504"/>
      <w:bookmarkStart w:id="260" w:name="_Toc28105"/>
      <w:r>
        <w:rPr>
          <w:rFonts w:hint="eastAsia" w:ascii="仿宋" w:hAnsi="仿宋" w:eastAsia="仿宋" w:cs="仿宋"/>
          <w:b/>
          <w:bCs/>
          <w:sz w:val="32"/>
          <w:szCs w:val="32"/>
        </w:rPr>
        <w:t>投标人的基本情况介绍和资格声明</w:t>
      </w:r>
      <w:bookmarkEnd w:id="259"/>
      <w:bookmarkEnd w:id="260"/>
    </w:p>
    <w:p>
      <w:pPr>
        <w:numPr>
          <w:ilvl w:val="0"/>
          <w:numId w:val="11"/>
        </w:numPr>
        <w:jc w:val="center"/>
        <w:rPr>
          <w:rFonts w:hint="eastAsia" w:ascii="仿宋" w:hAnsi="仿宋" w:eastAsia="仿宋" w:cs="仿宋"/>
          <w:b/>
          <w:bCs/>
          <w:sz w:val="32"/>
          <w:szCs w:val="32"/>
        </w:rPr>
      </w:pPr>
      <w:r>
        <w:rPr>
          <w:rFonts w:hint="eastAsia" w:ascii="仿宋" w:hAnsi="仿宋" w:eastAsia="仿宋" w:cs="仿宋"/>
          <w:b/>
          <w:bCs/>
          <w:sz w:val="32"/>
          <w:szCs w:val="32"/>
        </w:rPr>
        <w:t>投标人的基本情况介绍</w:t>
      </w:r>
    </w:p>
    <w:p>
      <w:pPr>
        <w:jc w:val="center"/>
        <w:rPr>
          <w:rFonts w:hint="eastAsia" w:ascii="仿宋" w:hAnsi="仿宋" w:eastAsia="仿宋" w:cs="仿宋"/>
          <w:b/>
          <w:bCs/>
          <w:sz w:val="32"/>
          <w:szCs w:val="32"/>
        </w:rPr>
      </w:pPr>
      <w:r>
        <w:rPr>
          <w:rFonts w:hint="eastAsia" w:ascii="仿宋" w:hAnsi="仿宋" w:eastAsia="仿宋" w:cs="仿宋"/>
          <w:b/>
          <w:bCs/>
          <w:sz w:val="32"/>
          <w:szCs w:val="32"/>
        </w:rPr>
        <w:t>（格式自拟）</w:t>
      </w:r>
    </w:p>
    <w:p>
      <w:pPr>
        <w:numPr>
          <w:ilvl w:val="0"/>
          <w:numId w:val="11"/>
        </w:numPr>
        <w:jc w:val="center"/>
        <w:rPr>
          <w:rFonts w:hint="eastAsia" w:ascii="仿宋" w:hAnsi="仿宋" w:eastAsia="仿宋" w:cs="仿宋"/>
          <w:b/>
          <w:sz w:val="32"/>
          <w:szCs w:val="32"/>
        </w:rPr>
      </w:pPr>
      <w:r>
        <w:rPr>
          <w:rFonts w:hint="eastAsia" w:ascii="仿宋" w:hAnsi="仿宋" w:eastAsia="仿宋" w:cs="仿宋"/>
          <w:b/>
          <w:sz w:val="32"/>
          <w:szCs w:val="32"/>
        </w:rPr>
        <w:t>投标人资格声明</w:t>
      </w:r>
    </w:p>
    <w:p>
      <w:pPr>
        <w:rPr>
          <w:rFonts w:hint="eastAsia" w:ascii="仿宋" w:hAnsi="仿宋" w:eastAsia="仿宋" w:cs="仿宋"/>
        </w:rPr>
      </w:pPr>
    </w:p>
    <w:p>
      <w:pPr>
        <w:numPr>
          <w:ilvl w:val="0"/>
          <w:numId w:val="12"/>
        </w:numPr>
        <w:spacing w:line="520" w:lineRule="exact"/>
        <w:jc w:val="left"/>
        <w:rPr>
          <w:rFonts w:hint="eastAsia" w:ascii="仿宋" w:hAnsi="仿宋" w:eastAsia="仿宋" w:cs="仿宋"/>
          <w:sz w:val="24"/>
          <w:szCs w:val="24"/>
        </w:rPr>
      </w:pPr>
      <w:r>
        <w:rPr>
          <w:rFonts w:hint="eastAsia" w:ascii="仿宋" w:hAnsi="仿宋" w:eastAsia="仿宋" w:cs="仿宋"/>
          <w:sz w:val="24"/>
          <w:szCs w:val="24"/>
        </w:rPr>
        <w:t>名称及其它情况</w:t>
      </w:r>
    </w:p>
    <w:p>
      <w:pPr>
        <w:numPr>
          <w:ilvl w:val="0"/>
          <w:numId w:val="13"/>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投标人名称：____________________________________</w:t>
      </w:r>
    </w:p>
    <w:p>
      <w:pPr>
        <w:numPr>
          <w:ilvl w:val="0"/>
          <w:numId w:val="13"/>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地   址：电  话：</w:t>
      </w:r>
    </w:p>
    <w:p>
      <w:pPr>
        <w:numPr>
          <w:ilvl w:val="0"/>
          <w:numId w:val="13"/>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成立和注册日期：</w:t>
      </w:r>
    </w:p>
    <w:p>
      <w:pPr>
        <w:numPr>
          <w:ilvl w:val="0"/>
          <w:numId w:val="13"/>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主管部门：</w:t>
      </w:r>
    </w:p>
    <w:p>
      <w:pPr>
        <w:numPr>
          <w:ilvl w:val="0"/>
          <w:numId w:val="13"/>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公司性质：</w:t>
      </w:r>
    </w:p>
    <w:p>
      <w:pPr>
        <w:numPr>
          <w:ilvl w:val="0"/>
          <w:numId w:val="13"/>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职工总人数：</w:t>
      </w:r>
    </w:p>
    <w:p>
      <w:pPr>
        <w:numPr>
          <w:ilvl w:val="0"/>
          <w:numId w:val="13"/>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工程技术及管理人员数分别为：</w:t>
      </w:r>
    </w:p>
    <w:p>
      <w:pPr>
        <w:numPr>
          <w:ilvl w:val="0"/>
          <w:numId w:val="13"/>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 xml:space="preserve">本年度投标人的主要财务情况（到  </w:t>
      </w:r>
      <w:r>
        <w:rPr>
          <w:rFonts w:hint="eastAsia" w:ascii="仿宋" w:hAnsi="仿宋" w:eastAsia="仿宋" w:cs="仿宋"/>
          <w:sz w:val="24"/>
          <w:szCs w:val="24"/>
          <w:u w:val="single"/>
        </w:rPr>
        <w:t xml:space="preserve">年  月  日 </w:t>
      </w:r>
      <w:r>
        <w:rPr>
          <w:rFonts w:hint="eastAsia" w:ascii="仿宋" w:hAnsi="仿宋" w:eastAsia="仿宋" w:cs="仿宋"/>
          <w:sz w:val="24"/>
          <w:szCs w:val="24"/>
        </w:rPr>
        <w:t>止）</w:t>
      </w:r>
    </w:p>
    <w:p>
      <w:pPr>
        <w:numPr>
          <w:ilvl w:val="0"/>
          <w:numId w:val="14"/>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注册资金：</w:t>
      </w:r>
    </w:p>
    <w:p>
      <w:pPr>
        <w:numPr>
          <w:ilvl w:val="0"/>
          <w:numId w:val="14"/>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固定资产：</w:t>
      </w:r>
    </w:p>
    <w:p>
      <w:pPr>
        <w:spacing w:line="520" w:lineRule="exact"/>
        <w:jc w:val="left"/>
        <w:rPr>
          <w:rFonts w:hint="eastAsia" w:ascii="仿宋" w:hAnsi="仿宋" w:eastAsia="仿宋" w:cs="仿宋"/>
          <w:sz w:val="24"/>
          <w:szCs w:val="24"/>
          <w:u w:val="single"/>
        </w:rPr>
      </w:pPr>
      <w:r>
        <w:rPr>
          <w:rFonts w:hint="eastAsia" w:ascii="仿宋" w:hAnsi="仿宋" w:eastAsia="仿宋" w:cs="仿宋"/>
          <w:sz w:val="24"/>
          <w:szCs w:val="24"/>
        </w:rPr>
        <w:t xml:space="preserve">      原    值：</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 xml:space="preserve">      净    值：</w:t>
      </w:r>
    </w:p>
    <w:p>
      <w:pPr>
        <w:numPr>
          <w:ilvl w:val="0"/>
          <w:numId w:val="14"/>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流动资产：</w:t>
      </w:r>
    </w:p>
    <w:p>
      <w:pPr>
        <w:numPr>
          <w:ilvl w:val="0"/>
          <w:numId w:val="14"/>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长期负债：</w:t>
      </w:r>
    </w:p>
    <w:p>
      <w:pPr>
        <w:numPr>
          <w:ilvl w:val="0"/>
          <w:numId w:val="14"/>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短期负债：</w:t>
      </w:r>
    </w:p>
    <w:p>
      <w:pPr>
        <w:numPr>
          <w:ilvl w:val="0"/>
          <w:numId w:val="14"/>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销售收入/主营业务收入：</w:t>
      </w:r>
    </w:p>
    <w:p>
      <w:pPr>
        <w:numPr>
          <w:ilvl w:val="0"/>
          <w:numId w:val="12"/>
        </w:numPr>
        <w:spacing w:line="520" w:lineRule="exact"/>
        <w:jc w:val="left"/>
        <w:rPr>
          <w:rFonts w:hint="eastAsia" w:ascii="仿宋" w:hAnsi="仿宋" w:eastAsia="仿宋" w:cs="仿宋"/>
          <w:sz w:val="24"/>
          <w:szCs w:val="24"/>
        </w:rPr>
      </w:pPr>
      <w:r>
        <w:rPr>
          <w:rFonts w:hint="eastAsia" w:ascii="仿宋" w:hAnsi="仿宋" w:eastAsia="仿宋" w:cs="仿宋"/>
          <w:sz w:val="24"/>
          <w:szCs w:val="24"/>
        </w:rPr>
        <w:t>最近三年的年度总营业额：</w:t>
      </w:r>
    </w:p>
    <w:p>
      <w:pPr>
        <w:numPr>
          <w:ilvl w:val="0"/>
          <w:numId w:val="12"/>
        </w:numPr>
        <w:spacing w:line="520" w:lineRule="exact"/>
        <w:jc w:val="left"/>
        <w:rPr>
          <w:rFonts w:hint="eastAsia" w:ascii="仿宋" w:hAnsi="仿宋" w:eastAsia="仿宋" w:cs="仿宋"/>
          <w:sz w:val="24"/>
          <w:szCs w:val="24"/>
        </w:rPr>
      </w:pPr>
      <w:r>
        <w:rPr>
          <w:rFonts w:hint="eastAsia" w:ascii="仿宋" w:hAnsi="仿宋" w:eastAsia="仿宋" w:cs="仿宋"/>
          <w:sz w:val="24"/>
          <w:szCs w:val="24"/>
        </w:rPr>
        <w:t>投标人最近三年法律纠纷情况</w:t>
      </w:r>
    </w:p>
    <w:tbl>
      <w:tblPr>
        <w:tblStyle w:val="49"/>
        <w:tblW w:w="900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时间</w:t>
            </w:r>
          </w:p>
        </w:tc>
        <w:tc>
          <w:tcPr>
            <w:tcW w:w="2280"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案由</w:t>
            </w:r>
          </w:p>
        </w:tc>
        <w:tc>
          <w:tcPr>
            <w:tcW w:w="1826"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涉及金额</w:t>
            </w:r>
          </w:p>
        </w:tc>
        <w:tc>
          <w:tcPr>
            <w:tcW w:w="2919"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bl>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4、有关银行的名称和地址：</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5、其他情况：</w:t>
      </w:r>
    </w:p>
    <w:p>
      <w:pPr>
        <w:spacing w:line="52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我们保证上述声明是真实的、正确的，并提供了全部能提供的资料和数据；如贵方要求我们同意出示进一步证明文件。</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授权代表签字：</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授权代表的职务：</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电话号和传真号：</w:t>
      </w:r>
    </w:p>
    <w:p>
      <w:pPr>
        <w:spacing w:line="520" w:lineRule="exact"/>
        <w:ind w:right="960"/>
        <w:rPr>
          <w:rFonts w:hint="eastAsia" w:ascii="仿宋" w:hAnsi="仿宋" w:eastAsia="仿宋" w:cs="仿宋"/>
          <w:sz w:val="24"/>
          <w:szCs w:val="24"/>
        </w:rPr>
      </w:pPr>
    </w:p>
    <w:p>
      <w:pPr>
        <w:spacing w:line="520" w:lineRule="exact"/>
        <w:ind w:right="960" w:firstLine="5400" w:firstLineChars="2250"/>
        <w:rPr>
          <w:rFonts w:hint="eastAsia" w:ascii="仿宋" w:hAnsi="仿宋" w:eastAsia="仿宋" w:cs="仿宋"/>
          <w:sz w:val="24"/>
          <w:szCs w:val="24"/>
        </w:rPr>
      </w:pPr>
      <w:r>
        <w:rPr>
          <w:rFonts w:hint="eastAsia" w:ascii="仿宋" w:hAnsi="仿宋" w:eastAsia="仿宋" w:cs="仿宋"/>
          <w:sz w:val="24"/>
          <w:szCs w:val="24"/>
        </w:rPr>
        <w:t xml:space="preserve"> 公   章:</w:t>
      </w:r>
    </w:p>
    <w:p>
      <w:pPr>
        <w:wordWrap w:val="0"/>
        <w:spacing w:line="520" w:lineRule="exact"/>
        <w:ind w:right="480"/>
        <w:jc w:val="right"/>
        <w:rPr>
          <w:rFonts w:hint="eastAsia" w:ascii="仿宋" w:hAnsi="仿宋" w:eastAsia="仿宋" w:cs="仿宋"/>
          <w:sz w:val="24"/>
          <w:szCs w:val="24"/>
        </w:rPr>
      </w:pPr>
      <w:r>
        <w:rPr>
          <w:rFonts w:hint="eastAsia" w:ascii="仿宋" w:hAnsi="仿宋" w:eastAsia="仿宋" w:cs="仿宋"/>
          <w:sz w:val="24"/>
          <w:szCs w:val="24"/>
        </w:rPr>
        <w:t>日   期：年月日</w:t>
      </w:r>
    </w:p>
    <w:p>
      <w:pPr>
        <w:tabs>
          <w:tab w:val="left" w:pos="1799"/>
        </w:tabs>
        <w:jc w:val="left"/>
        <w:rPr>
          <w:rFonts w:hint="eastAsia" w:ascii="仿宋" w:hAnsi="仿宋" w:eastAsia="仿宋" w:cs="仿宋"/>
          <w:b/>
          <w:bCs/>
          <w:sz w:val="24"/>
          <w:szCs w:val="24"/>
        </w:rPr>
      </w:pPr>
    </w:p>
    <w:p>
      <w:pPr>
        <w:keepLines/>
        <w:pageBreakBefore/>
        <w:jc w:val="center"/>
        <w:outlineLvl w:val="1"/>
        <w:rPr>
          <w:rFonts w:hint="eastAsia" w:ascii="仿宋" w:hAnsi="仿宋" w:eastAsia="仿宋" w:cs="仿宋"/>
          <w:b/>
          <w:bCs/>
          <w:sz w:val="32"/>
          <w:szCs w:val="32"/>
        </w:rPr>
      </w:pPr>
      <w:bookmarkStart w:id="261" w:name="_Toc19158"/>
      <w:bookmarkStart w:id="262" w:name="_Toc3088"/>
      <w:r>
        <w:rPr>
          <w:rFonts w:hint="eastAsia" w:ascii="仿宋" w:hAnsi="仿宋" w:eastAsia="仿宋" w:cs="仿宋"/>
          <w:b/>
          <w:bCs/>
          <w:sz w:val="32"/>
          <w:szCs w:val="32"/>
        </w:rPr>
        <w:t>二、投标人资格证明文件</w:t>
      </w:r>
      <w:bookmarkEnd w:id="261"/>
      <w:bookmarkEnd w:id="262"/>
    </w:p>
    <w:p>
      <w:pPr>
        <w:pStyle w:val="2"/>
        <w:rPr>
          <w:rFonts w:hint="eastAsia" w:ascii="仿宋" w:hAnsi="仿宋" w:eastAsia="仿宋" w:cs="仿宋"/>
          <w:b/>
          <w:bCs/>
          <w:sz w:val="24"/>
          <w:szCs w:val="24"/>
        </w:rPr>
      </w:pPr>
      <w:r>
        <w:rPr>
          <w:rFonts w:hint="eastAsia" w:ascii="仿宋" w:hAnsi="仿宋" w:eastAsia="仿宋" w:cs="仿宋"/>
          <w:b/>
          <w:bCs/>
          <w:sz w:val="24"/>
          <w:szCs w:val="24"/>
        </w:rPr>
        <w:t>（见初步审查要素表）</w:t>
      </w:r>
    </w:p>
    <w:bookmarkEnd w:id="237"/>
    <w:bookmarkEnd w:id="238"/>
    <w:bookmarkEnd w:id="256"/>
    <w:bookmarkEnd w:id="257"/>
    <w:bookmarkEnd w:id="258"/>
    <w:p>
      <w:pPr>
        <w:pStyle w:val="2"/>
        <w:jc w:val="left"/>
        <w:outlineLvl w:val="2"/>
        <w:rPr>
          <w:rFonts w:hint="eastAsia" w:ascii="仿宋" w:hAnsi="仿宋" w:eastAsia="仿宋" w:cs="仿宋"/>
          <w:b/>
          <w:sz w:val="28"/>
          <w:szCs w:val="28"/>
        </w:rPr>
        <w:sectPr>
          <w:pgSz w:w="11906" w:h="16838"/>
          <w:pgMar w:top="1417" w:right="1417" w:bottom="1417" w:left="1701" w:header="851" w:footer="992" w:gutter="0"/>
          <w:pgNumType w:fmt="decimal"/>
          <w:cols w:space="0" w:num="1"/>
          <w:docGrid w:type="lines" w:linePitch="312" w:charSpace="0"/>
        </w:sectPr>
      </w:pPr>
    </w:p>
    <w:p>
      <w:pPr>
        <w:pStyle w:val="2"/>
        <w:jc w:val="left"/>
        <w:outlineLvl w:val="2"/>
        <w:rPr>
          <w:rFonts w:hint="eastAsia" w:ascii="仿宋" w:hAnsi="仿宋" w:eastAsia="仿宋" w:cs="仿宋"/>
          <w:b/>
          <w:bCs/>
          <w:spacing w:val="6"/>
          <w:sz w:val="30"/>
          <w:szCs w:val="30"/>
        </w:rPr>
      </w:pPr>
      <w:r>
        <w:rPr>
          <w:rFonts w:hint="eastAsia" w:ascii="仿宋" w:hAnsi="仿宋" w:eastAsia="仿宋" w:cs="仿宋"/>
          <w:b/>
          <w:sz w:val="28"/>
          <w:szCs w:val="28"/>
        </w:rPr>
        <w:t>附件1：</w:t>
      </w:r>
    </w:p>
    <w:p>
      <w:pPr>
        <w:spacing w:beforeLines="50" w:line="360" w:lineRule="auto"/>
        <w:rPr>
          <w:rFonts w:hint="eastAsia" w:ascii="仿宋" w:hAnsi="仿宋" w:eastAsia="仿宋" w:cs="仿宋"/>
          <w:b/>
          <w:bCs/>
          <w:sz w:val="28"/>
          <w:szCs w:val="28"/>
        </w:rPr>
      </w:pPr>
    </w:p>
    <w:p>
      <w:pPr>
        <w:spacing w:beforeLines="50" w:line="360" w:lineRule="auto"/>
        <w:jc w:val="center"/>
        <w:outlineLvl w:val="2"/>
        <w:rPr>
          <w:rFonts w:hint="eastAsia" w:ascii="仿宋" w:hAnsi="仿宋" w:eastAsia="仿宋" w:cs="仿宋"/>
          <w:b/>
          <w:bCs/>
          <w:sz w:val="32"/>
          <w:szCs w:val="32"/>
        </w:rPr>
      </w:pPr>
      <w:r>
        <w:rPr>
          <w:rFonts w:hint="eastAsia" w:ascii="仿宋" w:hAnsi="仿宋" w:eastAsia="仿宋" w:cs="仿宋"/>
          <w:b/>
          <w:bCs/>
          <w:sz w:val="32"/>
          <w:szCs w:val="32"/>
        </w:rPr>
        <w:t>具有履行合同所必需的设备和专业技术能力的承诺</w:t>
      </w:r>
    </w:p>
    <w:p>
      <w:pPr>
        <w:spacing w:line="500" w:lineRule="exact"/>
        <w:ind w:firstLine="480" w:firstLineChars="200"/>
        <w:rPr>
          <w:rFonts w:hint="eastAsia" w:ascii="仿宋" w:hAnsi="仿宋" w:eastAsia="仿宋" w:cs="仿宋"/>
          <w:sz w:val="24"/>
          <w:szCs w:val="24"/>
        </w:rPr>
      </w:pPr>
    </w:p>
    <w:p>
      <w:pPr>
        <w:spacing w:line="360" w:lineRule="auto"/>
        <w:rPr>
          <w:rFonts w:hint="eastAsia" w:ascii="仿宋" w:hAnsi="仿宋" w:eastAsia="仿宋" w:cs="仿宋"/>
          <w:spacing w:val="4"/>
        </w:rPr>
      </w:pPr>
    </w:p>
    <w:p>
      <w:pPr>
        <w:spacing w:line="360" w:lineRule="auto"/>
        <w:rPr>
          <w:rFonts w:hint="eastAsia" w:ascii="仿宋" w:hAnsi="仿宋" w:eastAsia="仿宋" w:cs="仿宋"/>
          <w:spacing w:val="4"/>
          <w:sz w:val="24"/>
          <w:szCs w:val="24"/>
          <w:u w:val="single"/>
        </w:rPr>
      </w:pPr>
      <w:r>
        <w:rPr>
          <w:rFonts w:hint="eastAsia" w:ascii="仿宋" w:hAnsi="仿宋" w:eastAsia="仿宋" w:cs="仿宋"/>
          <w:spacing w:val="4"/>
          <w:sz w:val="24"/>
          <w:szCs w:val="24"/>
        </w:rPr>
        <w:t>致：</w:t>
      </w:r>
      <w:r>
        <w:rPr>
          <w:rFonts w:hint="eastAsia" w:ascii="仿宋" w:hAnsi="仿宋" w:eastAsia="仿宋" w:cs="仿宋"/>
          <w:spacing w:val="4"/>
          <w:sz w:val="24"/>
          <w:szCs w:val="24"/>
          <w:u w:val="single"/>
        </w:rPr>
        <w:t>（采购人名称）</w:t>
      </w:r>
      <w:r>
        <w:rPr>
          <w:rFonts w:hint="eastAsia" w:ascii="仿宋" w:hAnsi="仿宋" w:eastAsia="仿宋" w:cs="仿宋"/>
          <w:spacing w:val="4"/>
          <w:sz w:val="24"/>
          <w:szCs w:val="24"/>
        </w:rPr>
        <w:t>：</w:t>
      </w:r>
    </w:p>
    <w:p>
      <w:pPr>
        <w:spacing w:beforeLines="100" w:afterLines="50" w:line="360" w:lineRule="auto"/>
        <w:ind w:firstLine="496" w:firstLineChars="200"/>
        <w:rPr>
          <w:rFonts w:hint="eastAsia" w:ascii="仿宋" w:hAnsi="仿宋" w:eastAsia="仿宋" w:cs="仿宋"/>
          <w:spacing w:val="4"/>
          <w:sz w:val="24"/>
          <w:szCs w:val="24"/>
        </w:rPr>
      </w:pPr>
      <w:r>
        <w:rPr>
          <w:rFonts w:hint="eastAsia" w:ascii="仿宋" w:hAnsi="仿宋" w:eastAsia="仿宋" w:cs="仿宋"/>
          <w:spacing w:val="4"/>
          <w:sz w:val="24"/>
          <w:szCs w:val="24"/>
          <w:u w:val="single"/>
        </w:rPr>
        <w:t xml:space="preserve">    （供应商名称） </w:t>
      </w:r>
      <w:r>
        <w:rPr>
          <w:rFonts w:hint="eastAsia" w:ascii="仿宋" w:hAnsi="仿宋" w:eastAsia="仿宋" w:cs="仿宋"/>
          <w:spacing w:val="4"/>
          <w:sz w:val="24"/>
          <w:szCs w:val="24"/>
        </w:rPr>
        <w:t>于年月日在中华人民共和国境内</w:t>
      </w:r>
      <w:r>
        <w:rPr>
          <w:rFonts w:hint="eastAsia" w:ascii="仿宋" w:hAnsi="仿宋" w:eastAsia="仿宋" w:cs="仿宋"/>
          <w:spacing w:val="4"/>
          <w:sz w:val="24"/>
          <w:szCs w:val="24"/>
          <w:u w:val="single"/>
        </w:rPr>
        <w:t xml:space="preserve">  （详细注册地址）</w:t>
      </w:r>
      <w:r>
        <w:rPr>
          <w:rFonts w:hint="eastAsia" w:ascii="仿宋" w:hAnsi="仿宋" w:eastAsia="仿宋" w:cs="仿宋"/>
          <w:spacing w:val="4"/>
          <w:sz w:val="24"/>
          <w:szCs w:val="24"/>
        </w:rPr>
        <w:t>合法注册并经营，本公司郑重承诺，具有履行本合同所必需的设备和专业技术能力。</w:t>
      </w:r>
    </w:p>
    <w:p>
      <w:pPr>
        <w:pStyle w:val="2"/>
        <w:rPr>
          <w:rFonts w:hint="eastAsia" w:ascii="仿宋" w:hAnsi="仿宋" w:eastAsia="仿宋" w:cs="仿宋"/>
          <w:sz w:val="24"/>
          <w:szCs w:val="24"/>
        </w:rPr>
      </w:pPr>
    </w:p>
    <w:p>
      <w:pPr>
        <w:rPr>
          <w:rFonts w:hint="eastAsia" w:ascii="仿宋" w:hAnsi="仿宋" w:eastAsia="仿宋" w:cs="仿宋"/>
          <w:sz w:val="24"/>
          <w:szCs w:val="24"/>
        </w:rPr>
      </w:pPr>
    </w:p>
    <w:p>
      <w:pPr>
        <w:spacing w:line="280" w:lineRule="exact"/>
        <w:ind w:right="540" w:rightChars="257" w:firstLine="2400" w:firstLineChars="1000"/>
        <w:jc w:val="left"/>
        <w:rPr>
          <w:rFonts w:hint="eastAsia" w:ascii="仿宋" w:hAnsi="仿宋" w:eastAsia="仿宋" w:cs="仿宋"/>
          <w:sz w:val="24"/>
          <w:szCs w:val="24"/>
        </w:rPr>
      </w:pPr>
      <w:r>
        <w:rPr>
          <w:rFonts w:hint="eastAsia" w:ascii="仿宋" w:hAnsi="仿宋" w:eastAsia="仿宋" w:cs="仿宋"/>
          <w:sz w:val="24"/>
          <w:szCs w:val="24"/>
        </w:rPr>
        <w:t xml:space="preserve">供应商名称：（加盖单位公章）      </w:t>
      </w:r>
    </w:p>
    <w:p>
      <w:pPr>
        <w:spacing w:line="280" w:lineRule="exact"/>
        <w:ind w:right="540" w:rightChars="257"/>
        <w:jc w:val="left"/>
        <w:rPr>
          <w:rFonts w:hint="eastAsia" w:ascii="仿宋" w:hAnsi="仿宋" w:eastAsia="仿宋" w:cs="仿宋"/>
          <w:sz w:val="24"/>
          <w:szCs w:val="24"/>
        </w:rPr>
      </w:pPr>
    </w:p>
    <w:p>
      <w:pPr>
        <w:spacing w:line="500" w:lineRule="exact"/>
        <w:ind w:firstLine="2480" w:firstLineChars="1000"/>
        <w:jc w:val="left"/>
        <w:rPr>
          <w:rFonts w:hint="eastAsia" w:ascii="仿宋" w:hAnsi="仿宋" w:eastAsia="仿宋" w:cs="仿宋"/>
          <w:color w:val="FF0000"/>
          <w:spacing w:val="4"/>
          <w:sz w:val="24"/>
          <w:szCs w:val="24"/>
        </w:rPr>
      </w:pPr>
      <w:r>
        <w:rPr>
          <w:rFonts w:hint="eastAsia" w:ascii="仿宋" w:hAnsi="仿宋" w:eastAsia="仿宋" w:cs="仿宋"/>
          <w:spacing w:val="4"/>
          <w:sz w:val="24"/>
          <w:szCs w:val="24"/>
        </w:rPr>
        <w:t>法定代表人或被授权人：（签字或盖章）</w:t>
      </w:r>
    </w:p>
    <w:p>
      <w:pPr>
        <w:spacing w:line="280" w:lineRule="exact"/>
        <w:ind w:right="540" w:rightChars="257"/>
        <w:jc w:val="left"/>
        <w:rPr>
          <w:rFonts w:hint="eastAsia" w:ascii="仿宋" w:hAnsi="仿宋" w:eastAsia="仿宋" w:cs="仿宋"/>
          <w:sz w:val="24"/>
          <w:szCs w:val="24"/>
        </w:rPr>
      </w:pPr>
    </w:p>
    <w:p>
      <w:pPr>
        <w:spacing w:line="280" w:lineRule="exact"/>
        <w:ind w:right="540" w:rightChars="257" w:firstLine="2400" w:firstLineChars="1000"/>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pacing w:val="4"/>
          <w:sz w:val="24"/>
          <w:szCs w:val="24"/>
        </w:rPr>
        <w:t xml:space="preserve">    年    月   日</w:t>
      </w:r>
    </w:p>
    <w:p>
      <w:pPr>
        <w:rPr>
          <w:rFonts w:hint="eastAsia" w:ascii="仿宋" w:hAnsi="仿宋" w:eastAsia="仿宋" w:cs="仿宋"/>
          <w:sz w:val="24"/>
          <w:szCs w:val="24"/>
        </w:rPr>
      </w:pPr>
      <w:r>
        <w:rPr>
          <w:rFonts w:hint="eastAsia" w:ascii="仿宋" w:hAnsi="仿宋" w:eastAsia="仿宋" w:cs="仿宋"/>
          <w:b/>
          <w:bCs/>
          <w:sz w:val="24"/>
          <w:szCs w:val="24"/>
        </w:rPr>
        <w:br w:type="page"/>
      </w:r>
    </w:p>
    <w:p>
      <w:pPr>
        <w:widowControl/>
        <w:outlineLvl w:val="2"/>
        <w:rPr>
          <w:rFonts w:hint="eastAsia" w:ascii="仿宋" w:hAnsi="仿宋" w:eastAsia="仿宋" w:cs="仿宋"/>
          <w:b/>
          <w:bCs/>
          <w:sz w:val="28"/>
          <w:szCs w:val="28"/>
        </w:rPr>
      </w:pPr>
      <w:r>
        <w:rPr>
          <w:rFonts w:hint="eastAsia" w:ascii="仿宋" w:hAnsi="仿宋" w:eastAsia="仿宋" w:cs="仿宋"/>
          <w:b/>
          <w:bCs/>
          <w:sz w:val="28"/>
          <w:szCs w:val="28"/>
        </w:rPr>
        <w:t>附件2：</w:t>
      </w:r>
    </w:p>
    <w:p>
      <w:pPr>
        <w:widowControl/>
        <w:jc w:val="center"/>
        <w:rPr>
          <w:rFonts w:hint="eastAsia" w:ascii="仿宋" w:hAnsi="仿宋" w:eastAsia="仿宋" w:cs="仿宋"/>
          <w:b/>
          <w:bCs/>
          <w:sz w:val="28"/>
          <w:szCs w:val="28"/>
          <w:highlight w:val="cyan"/>
        </w:rPr>
      </w:pPr>
    </w:p>
    <w:p>
      <w:pPr>
        <w:widowControl/>
        <w:jc w:val="center"/>
        <w:outlineLvl w:val="2"/>
        <w:rPr>
          <w:rFonts w:hint="eastAsia" w:ascii="仿宋" w:hAnsi="仿宋" w:eastAsia="仿宋" w:cs="仿宋"/>
          <w:b/>
          <w:bCs/>
          <w:sz w:val="28"/>
          <w:szCs w:val="28"/>
        </w:rPr>
      </w:pPr>
      <w:r>
        <w:rPr>
          <w:rFonts w:hint="eastAsia" w:ascii="仿宋" w:hAnsi="仿宋" w:eastAsia="仿宋" w:cs="仿宋"/>
          <w:b/>
          <w:bCs/>
          <w:sz w:val="28"/>
          <w:szCs w:val="28"/>
        </w:rPr>
        <w:t>参加政府采购活动前3年内，在经营活动中没有重大违法记录的</w:t>
      </w:r>
    </w:p>
    <w:p>
      <w:pPr>
        <w:widowControl/>
        <w:jc w:val="center"/>
        <w:rPr>
          <w:rFonts w:hint="eastAsia" w:ascii="仿宋" w:hAnsi="仿宋" w:eastAsia="仿宋" w:cs="仿宋"/>
        </w:rPr>
      </w:pPr>
      <w:r>
        <w:rPr>
          <w:rFonts w:hint="eastAsia" w:ascii="仿宋" w:hAnsi="仿宋" w:eastAsia="仿宋" w:cs="仿宋"/>
          <w:b/>
          <w:bCs/>
          <w:sz w:val="28"/>
          <w:szCs w:val="28"/>
        </w:rPr>
        <w:t>书面声明</w:t>
      </w:r>
    </w:p>
    <w:p>
      <w:pPr>
        <w:widowControl/>
        <w:jc w:val="left"/>
        <w:rPr>
          <w:rFonts w:hint="eastAsia" w:ascii="仿宋" w:hAnsi="仿宋" w:eastAsia="仿宋" w:cs="仿宋"/>
          <w:color w:val="000000"/>
          <w:kern w:val="0"/>
          <w:sz w:val="24"/>
          <w:szCs w:val="24"/>
        </w:rPr>
      </w:pPr>
    </w:p>
    <w:p>
      <w:pPr>
        <w:widowControl/>
        <w:jc w:val="left"/>
        <w:rPr>
          <w:rFonts w:hint="eastAsia" w:ascii="仿宋" w:hAnsi="仿宋" w:eastAsia="仿宋" w:cs="仿宋"/>
          <w:color w:val="000000"/>
          <w:kern w:val="0"/>
          <w:sz w:val="24"/>
          <w:szCs w:val="24"/>
        </w:rPr>
      </w:pPr>
    </w:p>
    <w:p>
      <w:pPr>
        <w:widowControl/>
        <w:spacing w:line="360" w:lineRule="auto"/>
        <w:jc w:val="left"/>
        <w:rPr>
          <w:rFonts w:hint="eastAsia" w:ascii="仿宋" w:hAnsi="仿宋" w:eastAsia="仿宋" w:cs="仿宋"/>
          <w:u w:val="single"/>
        </w:rPr>
      </w:pPr>
      <w:r>
        <w:rPr>
          <w:rFonts w:hint="eastAsia" w:ascii="仿宋" w:hAnsi="仿宋" w:eastAsia="仿宋" w:cs="仿宋"/>
          <w:color w:val="000000"/>
          <w:kern w:val="0"/>
          <w:sz w:val="24"/>
          <w:szCs w:val="24"/>
        </w:rPr>
        <w:t>（采购人名称）：</w:t>
      </w:r>
    </w:p>
    <w:p>
      <w:pPr>
        <w:widowControl/>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我方作为（项目名称、项目编号）的供应商，在此郑重声明：</w:t>
      </w:r>
    </w:p>
    <w:p>
      <w:pPr>
        <w:widowControl/>
        <w:spacing w:line="360" w:lineRule="auto"/>
        <w:ind w:firstLine="480" w:firstLineChars="200"/>
        <w:jc w:val="left"/>
        <w:rPr>
          <w:rFonts w:hint="eastAsia" w:ascii="仿宋" w:hAnsi="仿宋" w:eastAsia="仿宋" w:cs="仿宋"/>
        </w:rPr>
      </w:pPr>
      <w:r>
        <w:rPr>
          <w:rFonts w:hint="eastAsia" w:ascii="仿宋" w:hAnsi="仿宋" w:eastAsia="仿宋" w:cs="仿宋"/>
          <w:color w:val="000000"/>
          <w:kern w:val="0"/>
          <w:sz w:val="24"/>
          <w:szCs w:val="24"/>
        </w:rPr>
        <w:t>在参加本次政府采购活动前3年内的经营活动中（填“没有”或“有”）重大违法记录</w:t>
      </w:r>
    </w:p>
    <w:p>
      <w:pPr>
        <w:spacing w:line="360" w:lineRule="auto"/>
        <w:ind w:left="9" w:right="101" w:firstLine="425"/>
        <w:rPr>
          <w:rFonts w:hint="eastAsia" w:ascii="仿宋" w:hAnsi="仿宋" w:eastAsia="仿宋" w:cs="仿宋"/>
          <w:sz w:val="24"/>
          <w:szCs w:val="24"/>
        </w:rPr>
      </w:pPr>
      <w:r>
        <w:rPr>
          <w:rFonts w:hint="eastAsia" w:ascii="仿宋" w:hAnsi="仿宋" w:eastAsia="仿宋" w:cs="仿宋"/>
          <w:spacing w:val="6"/>
          <w:sz w:val="24"/>
          <w:szCs w:val="24"/>
        </w:rPr>
        <w:t>如有</w:t>
      </w:r>
      <w:r>
        <w:rPr>
          <w:rFonts w:hint="eastAsia" w:ascii="仿宋" w:hAnsi="仿宋" w:eastAsia="仿宋" w:cs="仿宋"/>
          <w:spacing w:val="4"/>
          <w:sz w:val="24"/>
          <w:szCs w:val="24"/>
        </w:rPr>
        <w:t>不</w:t>
      </w:r>
      <w:r>
        <w:rPr>
          <w:rFonts w:hint="eastAsia" w:ascii="仿宋" w:hAnsi="仿宋" w:eastAsia="仿宋" w:cs="仿宋"/>
          <w:spacing w:val="3"/>
          <w:sz w:val="24"/>
          <w:szCs w:val="24"/>
        </w:rPr>
        <w:t>实，我公司将无条件地退出本项目的采购活动，并遵照《中华人民</w:t>
      </w:r>
      <w:r>
        <w:rPr>
          <w:rFonts w:hint="eastAsia" w:ascii="仿宋" w:hAnsi="仿宋" w:eastAsia="仿宋" w:cs="仿宋"/>
          <w:spacing w:val="-1"/>
          <w:sz w:val="24"/>
          <w:szCs w:val="24"/>
        </w:rPr>
        <w:t>共和国政府采购法》</w:t>
      </w:r>
      <w:r>
        <w:rPr>
          <w:rFonts w:hint="eastAsia" w:ascii="仿宋" w:hAnsi="仿宋" w:eastAsia="仿宋" w:cs="仿宋"/>
          <w:sz w:val="24"/>
          <w:szCs w:val="24"/>
        </w:rPr>
        <w:t>有关“提供虚假材料的规定”接受处罚。</w:t>
      </w:r>
    </w:p>
    <w:p>
      <w:pPr>
        <w:widowControl/>
        <w:spacing w:line="360" w:lineRule="auto"/>
        <w:ind w:firstLine="480" w:firstLineChars="200"/>
        <w:jc w:val="left"/>
        <w:rPr>
          <w:rFonts w:hint="eastAsia" w:ascii="仿宋" w:hAnsi="仿宋" w:eastAsia="仿宋" w:cs="仿宋"/>
        </w:rPr>
      </w:pPr>
      <w:r>
        <w:rPr>
          <w:rFonts w:hint="eastAsia" w:ascii="仿宋" w:hAnsi="仿宋" w:eastAsia="仿宋" w:cs="仿宋"/>
          <w:color w:val="000000"/>
          <w:kern w:val="0"/>
          <w:sz w:val="24"/>
          <w:szCs w:val="24"/>
        </w:rPr>
        <w:t xml:space="preserve">特此声明。 </w:t>
      </w:r>
    </w:p>
    <w:p>
      <w:pPr>
        <w:widowControl/>
        <w:spacing w:line="360" w:lineRule="auto"/>
        <w:ind w:firstLine="480" w:firstLineChars="200"/>
        <w:jc w:val="left"/>
        <w:rPr>
          <w:rFonts w:hint="eastAsia" w:ascii="仿宋" w:hAnsi="仿宋" w:eastAsia="仿宋" w:cs="仿宋"/>
          <w:color w:val="000000"/>
          <w:kern w:val="0"/>
          <w:sz w:val="24"/>
          <w:szCs w:val="24"/>
        </w:rPr>
      </w:pPr>
    </w:p>
    <w:p>
      <w:pPr>
        <w:widowControl/>
        <w:kinsoku w:val="0"/>
        <w:autoSpaceDE w:val="0"/>
        <w:autoSpaceDN w:val="0"/>
        <w:adjustRightInd w:val="0"/>
        <w:snapToGrid w:val="0"/>
        <w:spacing w:line="360" w:lineRule="auto"/>
        <w:ind w:right="363" w:firstLine="448" w:firstLineChars="200"/>
        <w:textAlignment w:val="baseline"/>
        <w:rPr>
          <w:rFonts w:hint="eastAsia" w:ascii="仿宋" w:hAnsi="仿宋" w:eastAsia="仿宋" w:cs="仿宋"/>
          <w:sz w:val="24"/>
          <w:szCs w:val="24"/>
        </w:rPr>
      </w:pPr>
      <w:r>
        <w:rPr>
          <w:rFonts w:hint="eastAsia" w:ascii="仿宋" w:hAnsi="仿宋" w:eastAsia="仿宋" w:cs="仿宋"/>
          <w:spacing w:val="-8"/>
          <w:sz w:val="24"/>
          <w:szCs w:val="24"/>
        </w:rPr>
        <w:t>供</w:t>
      </w:r>
      <w:r>
        <w:rPr>
          <w:rFonts w:hint="eastAsia" w:ascii="仿宋" w:hAnsi="仿宋" w:eastAsia="仿宋" w:cs="仿宋"/>
          <w:spacing w:val="-5"/>
          <w:sz w:val="24"/>
          <w:szCs w:val="24"/>
        </w:rPr>
        <w:t>应</w:t>
      </w:r>
      <w:r>
        <w:rPr>
          <w:rFonts w:hint="eastAsia" w:ascii="仿宋" w:hAnsi="仿宋" w:eastAsia="仿宋" w:cs="仿宋"/>
          <w:spacing w:val="-4"/>
          <w:sz w:val="24"/>
          <w:szCs w:val="24"/>
        </w:rPr>
        <w:t>商名称 (公章) ：</w:t>
      </w:r>
    </w:p>
    <w:p>
      <w:pPr>
        <w:widowControl/>
        <w:kinsoku w:val="0"/>
        <w:autoSpaceDE w:val="0"/>
        <w:autoSpaceDN w:val="0"/>
        <w:adjustRightInd w:val="0"/>
        <w:snapToGrid w:val="0"/>
        <w:spacing w:line="360" w:lineRule="auto"/>
        <w:ind w:right="363" w:firstLine="440" w:firstLineChars="200"/>
        <w:textAlignment w:val="baseline"/>
        <w:rPr>
          <w:rFonts w:hint="eastAsia" w:ascii="仿宋" w:hAnsi="仿宋" w:eastAsia="仿宋" w:cs="仿宋"/>
          <w:sz w:val="24"/>
          <w:szCs w:val="24"/>
        </w:rPr>
      </w:pPr>
      <w:r>
        <w:rPr>
          <w:rFonts w:hint="eastAsia" w:ascii="仿宋" w:hAnsi="仿宋" w:eastAsia="仿宋" w:cs="仿宋"/>
          <w:spacing w:val="-10"/>
          <w:sz w:val="24"/>
          <w:szCs w:val="24"/>
        </w:rPr>
        <w:t>法定</w:t>
      </w:r>
      <w:r>
        <w:rPr>
          <w:rFonts w:hint="eastAsia" w:ascii="仿宋" w:hAnsi="仿宋" w:eastAsia="仿宋" w:cs="仿宋"/>
          <w:spacing w:val="-9"/>
          <w:sz w:val="24"/>
          <w:szCs w:val="24"/>
        </w:rPr>
        <w:t>代</w:t>
      </w:r>
      <w:r>
        <w:rPr>
          <w:rFonts w:hint="eastAsia" w:ascii="仿宋" w:hAnsi="仿宋" w:eastAsia="仿宋" w:cs="仿宋"/>
          <w:spacing w:val="-5"/>
          <w:sz w:val="24"/>
          <w:szCs w:val="24"/>
        </w:rPr>
        <w:t>表人或其授权代表(盖章或签字)：</w:t>
      </w:r>
    </w:p>
    <w:p>
      <w:pPr>
        <w:widowControl/>
        <w:kinsoku w:val="0"/>
        <w:autoSpaceDE w:val="0"/>
        <w:autoSpaceDN w:val="0"/>
        <w:adjustRightInd w:val="0"/>
        <w:snapToGrid w:val="0"/>
        <w:spacing w:line="360" w:lineRule="auto"/>
        <w:ind w:right="363" w:firstLine="456"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日期：</w:t>
      </w:r>
      <w:r>
        <w:rPr>
          <w:rFonts w:hint="eastAsia" w:ascii="仿宋" w:hAnsi="仿宋" w:eastAsia="仿宋" w:cs="仿宋"/>
          <w:spacing w:val="-3"/>
          <w:sz w:val="24"/>
          <w:szCs w:val="24"/>
        </w:rPr>
        <w:t>年 月日</w:t>
      </w:r>
    </w:p>
    <w:p>
      <w:pPr>
        <w:spacing w:line="360" w:lineRule="auto"/>
        <w:rPr>
          <w:rFonts w:hint="eastAsia" w:ascii="仿宋" w:hAnsi="仿宋" w:eastAsia="仿宋" w:cs="仿宋"/>
          <w:spacing w:val="-8"/>
          <w:sz w:val="24"/>
          <w:szCs w:val="24"/>
        </w:rPr>
      </w:pPr>
    </w:p>
    <w:p>
      <w:pPr>
        <w:spacing w:line="360" w:lineRule="auto"/>
        <w:rPr>
          <w:rFonts w:hint="eastAsia" w:ascii="仿宋" w:hAnsi="仿宋" w:eastAsia="仿宋" w:cs="仿宋"/>
          <w:spacing w:val="-8"/>
          <w:sz w:val="24"/>
          <w:szCs w:val="24"/>
        </w:rPr>
      </w:pPr>
    </w:p>
    <w:p>
      <w:pPr>
        <w:spacing w:line="360" w:lineRule="auto"/>
        <w:rPr>
          <w:rFonts w:hint="eastAsia" w:ascii="仿宋" w:hAnsi="仿宋" w:eastAsia="仿宋" w:cs="仿宋"/>
          <w:spacing w:val="-8"/>
          <w:sz w:val="24"/>
          <w:szCs w:val="24"/>
        </w:rPr>
      </w:pPr>
    </w:p>
    <w:p>
      <w:pPr>
        <w:pStyle w:val="12"/>
        <w:ind w:firstLine="210"/>
        <w:rPr>
          <w:rFonts w:hint="eastAsia" w:ascii="仿宋" w:hAnsi="仿宋" w:eastAsia="仿宋" w:cs="仿宋"/>
        </w:rPr>
      </w:pPr>
    </w:p>
    <w:p>
      <w:pPr>
        <w:spacing w:line="360" w:lineRule="auto"/>
        <w:rPr>
          <w:rFonts w:hint="eastAsia" w:ascii="仿宋" w:hAnsi="仿宋" w:eastAsia="仿宋" w:cs="仿宋"/>
          <w:spacing w:val="-8"/>
          <w:sz w:val="24"/>
          <w:szCs w:val="24"/>
        </w:rPr>
      </w:pPr>
    </w:p>
    <w:p>
      <w:pPr>
        <w:spacing w:line="360" w:lineRule="auto"/>
        <w:rPr>
          <w:rFonts w:hint="eastAsia" w:ascii="仿宋" w:hAnsi="仿宋" w:eastAsia="仿宋" w:cs="仿宋"/>
          <w:spacing w:val="-5"/>
          <w:sz w:val="24"/>
          <w:szCs w:val="24"/>
        </w:rPr>
      </w:pPr>
      <w:r>
        <w:rPr>
          <w:rFonts w:hint="eastAsia" w:ascii="仿宋" w:hAnsi="仿宋" w:eastAsia="仿宋" w:cs="仿宋"/>
          <w:spacing w:val="-8"/>
          <w:sz w:val="24"/>
          <w:szCs w:val="24"/>
        </w:rPr>
        <w:t>注：供应商在参</w:t>
      </w:r>
      <w:r>
        <w:rPr>
          <w:rFonts w:hint="eastAsia" w:ascii="仿宋" w:hAnsi="仿宋" w:eastAsia="仿宋" w:cs="仿宋"/>
          <w:spacing w:val="-4"/>
          <w:sz w:val="24"/>
          <w:szCs w:val="24"/>
        </w:rPr>
        <w:t>加政府采购活动前 3 年内因违法经营被禁止在一定期限内参加</w:t>
      </w:r>
      <w:r>
        <w:rPr>
          <w:rFonts w:hint="eastAsia" w:ascii="仿宋" w:hAnsi="仿宋" w:eastAsia="仿宋" w:cs="仿宋"/>
          <w:spacing w:val="-6"/>
          <w:sz w:val="24"/>
          <w:szCs w:val="24"/>
        </w:rPr>
        <w:t>政府采购活动，期限届满的，可以参加政府采购活动，但应提供相关证明材料</w:t>
      </w:r>
      <w:r>
        <w:rPr>
          <w:rFonts w:hint="eastAsia" w:ascii="仿宋" w:hAnsi="仿宋" w:eastAsia="仿宋" w:cs="仿宋"/>
          <w:spacing w:val="-5"/>
          <w:sz w:val="24"/>
          <w:szCs w:val="24"/>
        </w:rPr>
        <w:t>。</w:t>
      </w: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keepLines/>
        <w:pageBreakBefore/>
        <w:spacing w:before="100" w:beforeAutospacing="1" w:afterLines="50" w:line="360" w:lineRule="auto"/>
        <w:outlineLvl w:val="2"/>
        <w:rPr>
          <w:rFonts w:hint="eastAsia" w:ascii="仿宋" w:hAnsi="仿宋" w:eastAsia="仿宋" w:cs="仿宋"/>
          <w:b/>
          <w:sz w:val="28"/>
          <w:szCs w:val="28"/>
        </w:rPr>
      </w:pPr>
      <w:r>
        <w:rPr>
          <w:rFonts w:hint="eastAsia" w:ascii="仿宋" w:hAnsi="仿宋" w:eastAsia="仿宋" w:cs="仿宋"/>
          <w:b/>
          <w:sz w:val="28"/>
          <w:szCs w:val="28"/>
        </w:rPr>
        <w:t>附件3：</w:t>
      </w:r>
    </w:p>
    <w:p>
      <w:pPr>
        <w:pStyle w:val="5"/>
        <w:jc w:val="center"/>
        <w:rPr>
          <w:rFonts w:hint="eastAsia" w:ascii="仿宋" w:hAnsi="仿宋" w:eastAsia="仿宋" w:cs="仿宋"/>
          <w:sz w:val="32"/>
          <w:szCs w:val="32"/>
        </w:rPr>
      </w:pPr>
      <w:r>
        <w:rPr>
          <w:rFonts w:hint="eastAsia" w:ascii="仿宋" w:hAnsi="仿宋" w:eastAsia="仿宋" w:cs="仿宋"/>
          <w:sz w:val="32"/>
          <w:szCs w:val="32"/>
        </w:rPr>
        <w:t>中小企业声明函（工程、服务）</w:t>
      </w:r>
    </w:p>
    <w:p>
      <w:pPr>
        <w:pStyle w:val="2"/>
        <w:spacing w:before="55" w:line="360" w:lineRule="auto"/>
        <w:ind w:right="415" w:firstLine="640"/>
        <w:jc w:val="left"/>
        <w:rPr>
          <w:rFonts w:hint="eastAsia" w:ascii="仿宋" w:hAnsi="仿宋" w:eastAsia="仿宋" w:cs="仿宋"/>
          <w:spacing w:val="-2"/>
          <w:sz w:val="24"/>
          <w:szCs w:val="24"/>
        </w:rPr>
      </w:pPr>
      <w:r>
        <w:rPr>
          <w:rFonts w:hint="eastAsia" w:ascii="仿宋" w:hAnsi="仿宋" w:eastAsia="仿宋" w:cs="仿宋"/>
          <w:spacing w:val="-2"/>
          <w:sz w:val="24"/>
          <w:szCs w:val="24"/>
        </w:rPr>
        <w:t>本公司（联合体）郑重声明，根据《政府采购促进中小企业发展管理办法》（财库﹝2020﹞46 号）的规定，本公司（联合体）参加</w:t>
      </w:r>
      <w:r>
        <w:rPr>
          <w:rFonts w:hint="eastAsia" w:ascii="仿宋" w:hAnsi="仿宋" w:eastAsia="仿宋" w:cs="仿宋"/>
          <w:spacing w:val="-2"/>
          <w:sz w:val="24"/>
          <w:szCs w:val="24"/>
          <w:u w:val="single"/>
          <w:lang w:val="zh-CN"/>
        </w:rPr>
        <w:t>（单位名称）</w:t>
      </w:r>
      <w:r>
        <w:rPr>
          <w:rFonts w:hint="eastAsia" w:ascii="仿宋" w:hAnsi="仿宋" w:eastAsia="仿宋" w:cs="仿宋"/>
          <w:spacing w:val="-2"/>
          <w:sz w:val="24"/>
          <w:szCs w:val="24"/>
        </w:rPr>
        <w:t>的</w:t>
      </w:r>
      <w:r>
        <w:rPr>
          <w:rFonts w:hint="eastAsia" w:ascii="仿宋" w:hAnsi="仿宋" w:eastAsia="仿宋" w:cs="仿宋"/>
          <w:spacing w:val="-2"/>
          <w:sz w:val="24"/>
          <w:szCs w:val="24"/>
          <w:u w:val="single"/>
          <w:lang w:val="zh-CN"/>
        </w:rPr>
        <w:t>（项目名称）</w:t>
      </w:r>
      <w:r>
        <w:rPr>
          <w:rFonts w:hint="eastAsia" w:ascii="仿宋" w:hAnsi="仿宋" w:eastAsia="仿宋" w:cs="仿宋"/>
          <w:spacing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14"/>
        <w:numPr>
          <w:ilvl w:val="0"/>
          <w:numId w:val="15"/>
        </w:numPr>
        <w:spacing w:line="360" w:lineRule="auto"/>
        <w:ind w:firstLine="480"/>
        <w:rPr>
          <w:rFonts w:hint="eastAsia" w:ascii="仿宋" w:hAnsi="仿宋" w:eastAsia="仿宋" w:cs="仿宋"/>
          <w:sz w:val="24"/>
          <w:szCs w:val="24"/>
        </w:rPr>
      </w:pPr>
      <w:r>
        <w:rPr>
          <w:rFonts w:hint="eastAsia" w:ascii="仿宋" w:hAnsi="仿宋" w:eastAsia="仿宋" w:cs="仿宋"/>
          <w:sz w:val="24"/>
          <w:szCs w:val="24"/>
          <w:u w:val="single"/>
          <w:lang w:val="zh-CN"/>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zh-CN"/>
        </w:rPr>
        <w:t>（采购文件中明确的所属行业）</w:t>
      </w:r>
      <w:r>
        <w:rPr>
          <w:rFonts w:hint="eastAsia" w:ascii="仿宋" w:hAnsi="仿宋" w:eastAsia="仿宋" w:cs="仿宋"/>
          <w:sz w:val="24"/>
          <w:szCs w:val="24"/>
          <w:lang w:val="zh-CN"/>
        </w:rPr>
        <w:t>；</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，从业人员人，营业收入为</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ab/>
      </w:r>
      <w:r>
        <w:rPr>
          <w:rFonts w:hint="eastAsia" w:ascii="仿宋" w:hAnsi="仿宋" w:eastAsia="仿宋" w:cs="仿宋"/>
          <w:sz w:val="24"/>
          <w:szCs w:val="24"/>
        </w:rPr>
        <w:t>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pPr>
        <w:pStyle w:val="114"/>
        <w:numPr>
          <w:ilvl w:val="0"/>
          <w:numId w:val="15"/>
        </w:numPr>
        <w:spacing w:line="360" w:lineRule="auto"/>
        <w:ind w:firstLine="480"/>
        <w:rPr>
          <w:rFonts w:hint="eastAsia" w:ascii="仿宋" w:hAnsi="仿宋" w:eastAsia="仿宋" w:cs="仿宋"/>
          <w:sz w:val="24"/>
          <w:szCs w:val="24"/>
        </w:rPr>
      </w:pPr>
      <w:r>
        <w:rPr>
          <w:rFonts w:hint="eastAsia" w:ascii="仿宋" w:hAnsi="仿宋" w:eastAsia="仿宋" w:cs="仿宋"/>
          <w:sz w:val="24"/>
          <w:szCs w:val="24"/>
          <w:u w:val="single"/>
          <w:lang w:val="zh-CN"/>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zh-CN"/>
        </w:rPr>
        <w:t>（采购文件中明确的所属行业）</w:t>
      </w:r>
      <w:r>
        <w:rPr>
          <w:rFonts w:hint="eastAsia" w:ascii="仿宋" w:hAnsi="仿宋" w:eastAsia="仿宋" w:cs="仿宋"/>
          <w:sz w:val="24"/>
          <w:szCs w:val="24"/>
          <w:lang w:val="zh-CN"/>
        </w:rPr>
        <w:t>；</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，从业人员人，营业收入为</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ab/>
      </w:r>
      <w:r>
        <w:rPr>
          <w:rFonts w:hint="eastAsia" w:ascii="仿宋" w:hAnsi="仿宋" w:eastAsia="仿宋" w:cs="仿宋"/>
          <w:sz w:val="24"/>
          <w:szCs w:val="24"/>
        </w:rPr>
        <w:t>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pPr>
        <w:pStyle w:val="114"/>
        <w:spacing w:line="360" w:lineRule="auto"/>
        <w:ind w:firstLine="480"/>
        <w:rPr>
          <w:rFonts w:hint="eastAsia" w:ascii="仿宋" w:hAnsi="仿宋" w:eastAsia="仿宋" w:cs="仿宋"/>
          <w:sz w:val="24"/>
          <w:szCs w:val="24"/>
          <w:lang w:val="zh-CN"/>
        </w:rPr>
      </w:pPr>
      <w:r>
        <w:rPr>
          <w:rFonts w:hint="eastAsia" w:ascii="仿宋" w:hAnsi="仿宋" w:eastAsia="仿宋" w:cs="仿宋"/>
          <w:sz w:val="24"/>
          <w:szCs w:val="24"/>
          <w:lang w:val="zh-CN"/>
        </w:rPr>
        <w:t>……</w:t>
      </w:r>
    </w:p>
    <w:p>
      <w:pPr>
        <w:pStyle w:val="114"/>
        <w:spacing w:line="360" w:lineRule="auto"/>
        <w:ind w:right="386" w:rightChars="184" w:firstLine="480"/>
        <w:rPr>
          <w:rFonts w:hint="eastAsia" w:ascii="仿宋" w:hAnsi="仿宋" w:eastAsia="仿宋" w:cs="仿宋"/>
          <w:sz w:val="24"/>
          <w:szCs w:val="24"/>
          <w:lang w:val="zh-CN"/>
        </w:rPr>
      </w:pPr>
      <w:r>
        <w:rPr>
          <w:rFonts w:hint="eastAsia" w:ascii="仿宋" w:hAnsi="仿宋" w:eastAsia="仿宋" w:cs="仿宋"/>
          <w:sz w:val="24"/>
          <w:szCs w:val="24"/>
          <w:lang w:val="zh-CN"/>
        </w:rPr>
        <w:t>以上企业，不属于大企业的分支机构，不存在控股股东为大企业的情形，也不存在与大企业的负责人为同一人的情形。</w:t>
      </w:r>
    </w:p>
    <w:p>
      <w:pPr>
        <w:pStyle w:val="114"/>
        <w:spacing w:line="360" w:lineRule="auto"/>
        <w:ind w:firstLine="480"/>
        <w:rPr>
          <w:rFonts w:hint="eastAsia" w:ascii="仿宋" w:hAnsi="仿宋" w:eastAsia="仿宋" w:cs="仿宋"/>
          <w:sz w:val="24"/>
          <w:szCs w:val="24"/>
          <w:lang w:val="zh-CN"/>
        </w:rPr>
      </w:pPr>
      <w:r>
        <w:rPr>
          <w:rFonts w:hint="eastAsia" w:ascii="仿宋" w:hAnsi="仿宋" w:eastAsia="仿宋" w:cs="仿宋"/>
          <w:sz w:val="24"/>
          <w:szCs w:val="24"/>
          <w:lang w:val="zh-CN"/>
        </w:rPr>
        <w:t>本企业对上述声明内容的真实性负责。如有虚假，将依法承担相应责任。</w:t>
      </w:r>
    </w:p>
    <w:p>
      <w:pPr>
        <w:pStyle w:val="114"/>
        <w:spacing w:line="360" w:lineRule="auto"/>
        <w:rPr>
          <w:rFonts w:hint="eastAsia" w:ascii="仿宋" w:hAnsi="仿宋" w:eastAsia="仿宋" w:cs="仿宋"/>
        </w:rPr>
      </w:pPr>
    </w:p>
    <w:p>
      <w:pPr>
        <w:pStyle w:val="114"/>
        <w:spacing w:line="360" w:lineRule="auto"/>
        <w:ind w:firstLine="4560" w:firstLineChars="1900"/>
        <w:jc w:val="left"/>
        <w:rPr>
          <w:rFonts w:hint="eastAsia" w:ascii="仿宋" w:hAnsi="仿宋" w:eastAsia="仿宋" w:cs="仿宋"/>
          <w:kern w:val="0"/>
          <w:sz w:val="24"/>
          <w:szCs w:val="24"/>
        </w:rPr>
      </w:pPr>
      <w:r>
        <w:rPr>
          <w:rFonts w:hint="eastAsia" w:ascii="仿宋" w:hAnsi="仿宋" w:eastAsia="仿宋" w:cs="仿宋"/>
          <w:kern w:val="0"/>
          <w:sz w:val="24"/>
          <w:szCs w:val="24"/>
        </w:rPr>
        <w:t>企业名称（盖章）：</w:t>
      </w:r>
    </w:p>
    <w:p>
      <w:pPr>
        <w:pStyle w:val="114"/>
        <w:spacing w:line="360" w:lineRule="auto"/>
        <w:ind w:firstLine="4560" w:firstLineChars="1900"/>
        <w:jc w:val="left"/>
        <w:rPr>
          <w:rFonts w:hint="eastAsia" w:ascii="仿宋" w:hAnsi="仿宋" w:eastAsia="仿宋" w:cs="仿宋"/>
          <w:kern w:val="0"/>
          <w:sz w:val="24"/>
          <w:szCs w:val="24"/>
        </w:rPr>
      </w:pPr>
      <w:r>
        <w:rPr>
          <w:rFonts w:hint="eastAsia" w:ascii="仿宋" w:hAnsi="仿宋" w:eastAsia="仿宋" w:cs="仿宋"/>
          <w:kern w:val="0"/>
          <w:sz w:val="24"/>
          <w:szCs w:val="24"/>
        </w:rPr>
        <w:t>日期：</w:t>
      </w:r>
    </w:p>
    <w:p>
      <w:pPr>
        <w:pStyle w:val="114"/>
        <w:spacing w:line="360" w:lineRule="auto"/>
        <w:ind w:firstLine="480"/>
        <w:rPr>
          <w:rFonts w:hint="eastAsia" w:ascii="仿宋" w:hAnsi="仿宋" w:eastAsia="仿宋" w:cs="仿宋"/>
          <w:sz w:val="24"/>
          <w:szCs w:val="24"/>
        </w:rPr>
      </w:pPr>
    </w:p>
    <w:p>
      <w:pPr>
        <w:pStyle w:val="114"/>
        <w:spacing w:line="360" w:lineRule="auto"/>
        <w:ind w:left="720" w:right="386" w:rightChars="184" w:hanging="720" w:hangingChars="300"/>
        <w:rPr>
          <w:rFonts w:hint="eastAsia" w:ascii="仿宋" w:hAnsi="仿宋" w:eastAsia="仿宋" w:cs="仿宋"/>
          <w:spacing w:val="-8"/>
        </w:rPr>
      </w:pPr>
      <w:r>
        <w:rPr>
          <w:rFonts w:hint="eastAsia" w:ascii="仿宋" w:hAnsi="仿宋" w:eastAsia="仿宋" w:cs="仿宋"/>
          <w:sz w:val="24"/>
          <w:szCs w:val="24"/>
        </w:rPr>
        <w:t>备</w:t>
      </w:r>
      <w:r>
        <w:rPr>
          <w:rFonts w:hint="eastAsia" w:ascii="仿宋" w:hAnsi="仿宋" w:eastAsia="仿宋" w:cs="仿宋"/>
        </w:rPr>
        <w:t>注：1、</w:t>
      </w:r>
      <w:r>
        <w:rPr>
          <w:rFonts w:hint="eastAsia" w:ascii="仿宋" w:hAnsi="仿宋" w:eastAsia="仿宋" w:cs="仿宋"/>
          <w:spacing w:val="-8"/>
        </w:rPr>
        <w:t>中小企业参加政府采购活动，应当按照《政府采购促进中小企业发展管理办法》（财库〔2020〕46号）规定和《中小企业划型标准规定》（工信部联企业〔2011〕300号），如实填写并提交本《中小企业声明函》。</w:t>
      </w:r>
    </w:p>
    <w:p>
      <w:pPr>
        <w:pStyle w:val="114"/>
        <w:spacing w:line="360" w:lineRule="auto"/>
        <w:ind w:left="615" w:leftChars="293" w:right="386" w:rightChars="184" w:firstLine="19" w:firstLineChars="10"/>
        <w:rPr>
          <w:rFonts w:hint="eastAsia" w:ascii="仿宋" w:hAnsi="仿宋" w:eastAsia="仿宋" w:cs="仿宋"/>
        </w:rPr>
      </w:pPr>
      <w:r>
        <w:rPr>
          <w:rFonts w:hint="eastAsia" w:ascii="仿宋" w:hAnsi="仿宋" w:eastAsia="仿宋" w:cs="仿宋"/>
          <w:spacing w:val="-8"/>
        </w:rPr>
        <w:t>2、从业人员、营业收入、资产总额填报上一年度数据，无上一年度数据的新成立企业可不填报。</w:t>
      </w:r>
    </w:p>
    <w:p>
      <w:pPr>
        <w:spacing w:before="100" w:afterLines="50" w:line="360" w:lineRule="auto"/>
        <w:outlineLvl w:val="2"/>
        <w:rPr>
          <w:rFonts w:hint="eastAsia" w:ascii="仿宋" w:hAnsi="仿宋" w:eastAsia="仿宋" w:cs="仿宋"/>
          <w:b/>
          <w:bCs/>
          <w:spacing w:val="6"/>
          <w:sz w:val="30"/>
          <w:szCs w:val="30"/>
        </w:rPr>
        <w:sectPr>
          <w:pgSz w:w="11906" w:h="16838"/>
          <w:pgMar w:top="1417" w:right="1417" w:bottom="1417" w:left="1701" w:header="851" w:footer="992" w:gutter="0"/>
          <w:pgNumType w:fmt="decimal"/>
          <w:cols w:space="0" w:num="1"/>
          <w:docGrid w:type="lines" w:linePitch="312" w:charSpace="0"/>
        </w:sectPr>
      </w:pPr>
    </w:p>
    <w:p>
      <w:pPr>
        <w:spacing w:before="100" w:afterLines="50" w:line="360" w:lineRule="auto"/>
        <w:outlineLvl w:val="2"/>
        <w:rPr>
          <w:rFonts w:hint="eastAsia" w:ascii="仿宋" w:hAnsi="仿宋" w:eastAsia="仿宋" w:cs="仿宋"/>
          <w:b/>
          <w:bCs/>
          <w:spacing w:val="6"/>
          <w:sz w:val="30"/>
          <w:szCs w:val="30"/>
        </w:rPr>
      </w:pPr>
      <w:r>
        <w:rPr>
          <w:rFonts w:hint="eastAsia" w:ascii="仿宋" w:hAnsi="仿宋" w:eastAsia="仿宋" w:cs="仿宋"/>
          <w:b/>
          <w:bCs/>
          <w:spacing w:val="6"/>
          <w:sz w:val="30"/>
          <w:szCs w:val="30"/>
        </w:rPr>
        <w:t>附件4：</w:t>
      </w:r>
    </w:p>
    <w:p>
      <w:pPr>
        <w:spacing w:line="588" w:lineRule="exact"/>
        <w:jc w:val="center"/>
        <w:outlineLvl w:val="2"/>
        <w:rPr>
          <w:rFonts w:hint="eastAsia" w:ascii="仿宋" w:hAnsi="仿宋" w:eastAsia="仿宋" w:cs="仿宋"/>
          <w:b/>
          <w:spacing w:val="6"/>
          <w:sz w:val="32"/>
          <w:szCs w:val="32"/>
        </w:rPr>
      </w:pPr>
      <w:bookmarkStart w:id="263" w:name="OLE_LINK13"/>
      <w:bookmarkStart w:id="264" w:name="OLE_LINK14"/>
      <w:r>
        <w:rPr>
          <w:rFonts w:hint="eastAsia" w:ascii="仿宋" w:hAnsi="仿宋" w:eastAsia="仿宋" w:cs="仿宋"/>
          <w:b/>
          <w:spacing w:val="6"/>
          <w:sz w:val="32"/>
          <w:szCs w:val="32"/>
        </w:rPr>
        <w:t>残疾人福利性单位声明函</w:t>
      </w:r>
    </w:p>
    <w:bookmarkEnd w:id="263"/>
    <w:bookmarkEnd w:id="264"/>
    <w:p>
      <w:pPr>
        <w:spacing w:line="588" w:lineRule="exact"/>
        <w:rPr>
          <w:rFonts w:hint="eastAsia" w:ascii="仿宋" w:hAnsi="仿宋" w:eastAsia="仿宋" w:cs="仿宋"/>
          <w:b/>
          <w:spacing w:val="6"/>
          <w:sz w:val="30"/>
          <w:szCs w:val="30"/>
        </w:rPr>
      </w:pPr>
    </w:p>
    <w:p>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tabs>
          <w:tab w:val="left" w:pos="4860"/>
        </w:tabs>
        <w:spacing w:line="588" w:lineRule="exact"/>
        <w:ind w:right="1560" w:firstLine="504" w:firstLineChars="200"/>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单位名称（盖章）：</w:t>
      </w:r>
    </w:p>
    <w:p>
      <w:pPr>
        <w:tabs>
          <w:tab w:val="left" w:pos="4860"/>
        </w:tabs>
        <w:spacing w:line="588" w:lineRule="exact"/>
        <w:ind w:right="1560" w:firstLine="504" w:firstLineChars="200"/>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日    期：</w:t>
      </w:r>
    </w:p>
    <w:p>
      <w:pPr>
        <w:tabs>
          <w:tab w:val="left" w:pos="1620"/>
          <w:tab w:val="left" w:pos="1800"/>
        </w:tabs>
        <w:spacing w:line="440" w:lineRule="exact"/>
        <w:ind w:right="540" w:rightChars="257"/>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550" w:lineRule="exact"/>
        <w:ind w:right="640"/>
        <w:rPr>
          <w:rFonts w:hint="eastAsia" w:ascii="仿宋" w:hAnsi="仿宋" w:eastAsia="仿宋" w:cs="仿宋"/>
          <w:sz w:val="24"/>
          <w:szCs w:val="24"/>
        </w:rPr>
      </w:pPr>
    </w:p>
    <w:bookmarkEnd w:id="182"/>
    <w:bookmarkEnd w:id="183"/>
    <w:bookmarkEnd w:id="184"/>
    <w:p>
      <w:pPr>
        <w:rPr>
          <w:rFonts w:hint="eastAsia" w:ascii="仿宋" w:hAnsi="仿宋" w:eastAsia="仿宋" w:cs="仿宋"/>
          <w:sz w:val="24"/>
          <w:szCs w:val="24"/>
        </w:rPr>
      </w:pPr>
    </w:p>
    <w:p>
      <w:pPr>
        <w:pStyle w:val="2"/>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备注：符合条件的残疾人福利性单位在参加政府采购活动时，应当提供《残疾人福利性单位声明函》，并对声明的真实性负责；非残疾人福利性单位无需提供。</w:t>
      </w: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jc w:val="left"/>
        <w:outlineLvl w:val="2"/>
        <w:rPr>
          <w:rFonts w:hint="eastAsia" w:ascii="仿宋" w:hAnsi="仿宋" w:eastAsia="仿宋" w:cs="仿宋"/>
          <w:b/>
          <w:bCs/>
          <w:spacing w:val="6"/>
          <w:sz w:val="30"/>
          <w:szCs w:val="30"/>
        </w:rPr>
      </w:pPr>
      <w:r>
        <w:rPr>
          <w:rFonts w:hint="eastAsia" w:ascii="仿宋" w:hAnsi="仿宋" w:eastAsia="仿宋" w:cs="仿宋"/>
          <w:b/>
          <w:bCs/>
          <w:spacing w:val="6"/>
          <w:kern w:val="0"/>
          <w:sz w:val="30"/>
          <w:szCs w:val="30"/>
        </w:rPr>
        <w:t>附件5：</w:t>
      </w:r>
    </w:p>
    <w:p>
      <w:pPr>
        <w:pStyle w:val="2"/>
        <w:outlineLvl w:val="2"/>
        <w:rPr>
          <w:rFonts w:hint="eastAsia" w:ascii="仿宋" w:hAnsi="仿宋" w:eastAsia="仿宋" w:cs="仿宋"/>
          <w:b/>
          <w:bCs/>
          <w:sz w:val="32"/>
          <w:szCs w:val="32"/>
        </w:rPr>
      </w:pPr>
      <w:r>
        <w:rPr>
          <w:rFonts w:hint="eastAsia" w:ascii="仿宋" w:hAnsi="仿宋" w:eastAsia="仿宋" w:cs="仿宋"/>
          <w:b/>
          <w:bCs/>
          <w:sz w:val="32"/>
          <w:szCs w:val="32"/>
        </w:rPr>
        <w:t>监狱企业证明文件</w:t>
      </w:r>
    </w:p>
    <w:p>
      <w:pPr>
        <w:spacing w:line="500" w:lineRule="exact"/>
        <w:ind w:firstLine="420" w:firstLineChars="200"/>
        <w:jc w:val="left"/>
        <w:rPr>
          <w:rFonts w:hint="eastAsia" w:ascii="仿宋" w:hAnsi="仿宋" w:eastAsia="仿宋" w:cs="仿宋"/>
        </w:rPr>
      </w:pPr>
      <w:r>
        <w:rPr>
          <w:rFonts w:hint="eastAsia" w:ascii="仿宋" w:hAnsi="仿宋" w:eastAsia="仿宋" w:cs="仿宋"/>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22" w:firstLineChars="200"/>
        <w:jc w:val="left"/>
        <w:rPr>
          <w:rFonts w:hint="eastAsia" w:ascii="仿宋" w:hAnsi="仿宋" w:eastAsia="仿宋" w:cs="仿宋"/>
          <w:b/>
          <w:bCs/>
        </w:rPr>
      </w:pPr>
      <w:r>
        <w:rPr>
          <w:rFonts w:hint="eastAsia" w:ascii="仿宋" w:hAnsi="仿宋" w:eastAsia="仿宋" w:cs="仿宋"/>
          <w:b/>
          <w:bCs/>
        </w:rPr>
        <w:t>监狱企业参加政府采购活动时，应当提供由省级以上监狱管理局、戒毒管理局（含新疆生产建设兵团）出具的属于监狱企业的证明文件，非监狱企业无需提供。</w:t>
      </w:r>
    </w:p>
    <w:p>
      <w:pPr>
        <w:spacing w:line="500" w:lineRule="exact"/>
        <w:ind w:firstLine="420" w:firstLineChars="200"/>
        <w:jc w:val="left"/>
        <w:rPr>
          <w:rFonts w:hint="eastAsia" w:ascii="仿宋" w:hAnsi="仿宋" w:eastAsia="仿宋" w:cs="仿宋"/>
        </w:rPr>
      </w:pPr>
      <w:r>
        <w:rPr>
          <w:rFonts w:hint="eastAsia" w:ascii="仿宋" w:hAnsi="仿宋" w:eastAsia="仿宋" w:cs="仿宋"/>
        </w:rPr>
        <w:t>。</w:t>
      </w:r>
    </w:p>
    <w:p>
      <w:pPr>
        <w:rPr>
          <w:rFonts w:hint="eastAsia" w:ascii="仿宋" w:hAnsi="仿宋" w:eastAsia="仿宋" w:cs="仿宋"/>
        </w:rPr>
      </w:pPr>
    </w:p>
    <w:sectPr>
      <w:pgSz w:w="11906" w:h="16838"/>
      <w:pgMar w:top="1417" w:right="1417" w:bottom="1417"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font-weight : 400">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Int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rPr>
        <w:rFonts w:ascii="仿宋" w:hAnsi="仿宋" w:eastAsia="仿宋" w:cs="仿宋"/>
      </w:rPr>
    </w:pPr>
    <w:r>
      <w:rPr>
        <w:rFonts w:hint="eastAsia" w:ascii="仿宋" w:hAnsi="仿宋" w:eastAsia="仿宋" w:cs="仿宋"/>
      </w:rPr>
      <w:t>华夏国际项目管理有限公司</w:t>
    </w:r>
    <w:r>
      <w:rPr>
        <w:rFonts w:hint="eastAsia" w:ascii="仿宋" w:hAnsi="仿宋" w:eastAsia="仿宋" w:cs="仿宋"/>
        <w:lang w:val="en-US" w:eastAsia="zh-CN"/>
      </w:rPr>
      <w:t xml:space="preserve">                               </w:t>
    </w:r>
    <w:r>
      <w:rPr>
        <w:rFonts w:hint="eastAsia" w:ascii="仿宋" w:hAnsi="仿宋" w:eastAsia="仿宋" w:cs="仿宋"/>
      </w:rPr>
      <w:tab/>
    </w:r>
    <w:r>
      <w:rPr>
        <w:rFonts w:hint="eastAsia" w:ascii="仿宋" w:hAnsi="仿宋" w:eastAsia="仿宋" w:cs="仿宋"/>
      </w:rPr>
      <w:t>地址：西安市高新区科技五路8号数字大厦11楼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rPr>
        <w:rFonts w:ascii="仿宋" w:hAnsi="仿宋" w:eastAsia="仿宋" w:cs="仿宋"/>
      </w:rPr>
    </w:pPr>
    <w:r>
      <w:rPr>
        <w:rFonts w:hint="eastAsia" w:ascii="仿宋" w:hAnsi="仿宋" w:eastAsia="仿宋" w:cs="仿宋"/>
      </w:rPr>
      <w:t>华夏国际项目管理有限公司</w:t>
    </w:r>
    <w:r>
      <w:rPr>
        <w:rFonts w:hint="eastAsia" w:ascii="仿宋" w:hAnsi="仿宋" w:eastAsia="仿宋" w:cs="仿宋"/>
        <w:lang w:val="en-US" w:eastAsia="zh-CN"/>
      </w:rPr>
      <w:t xml:space="preserve">                               </w:t>
    </w:r>
    <w:r>
      <w:rPr>
        <w:rFonts w:hint="eastAsia" w:ascii="仿宋" w:hAnsi="仿宋" w:eastAsia="仿宋" w:cs="仿宋"/>
      </w:rPr>
      <w:tab/>
    </w:r>
    <w:r>
      <w:rPr>
        <w:rFonts w:hint="eastAsia" w:ascii="仿宋" w:hAnsi="仿宋" w:eastAsia="仿宋" w:cs="仿宋"/>
      </w:rPr>
      <w:t>地址：西安市高新区科技五路8号数字大厦11楼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rPr>
        <w:rFonts w:ascii="仿宋" w:hAnsi="仿宋" w:eastAsia="仿宋" w:cs="仿宋"/>
      </w:rPr>
    </w:pPr>
    <w:r>
      <w:rPr>
        <w:rFonts w:ascii="仿宋" w:hAnsi="仿宋" w:eastAsia="仿宋" w:cs="仿宋"/>
      </w:rPr>
      <w:pict>
        <v:shape id="文本框 1027" o:spid="_x0000_s3073" o:spt="202" type="#_x0000_t202" style="position:absolute;left:0pt;margin-top:-0.15pt;height:13.3pt;width:9.75pt;mso-position-horizontal:center;mso-position-horizontal-relative:margin;z-index:251659264;mso-width-relative:page;mso-height-relative:page;" filled="f" stroked="f" coordsize="21600,21600" o:gfxdata="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WfQOO2AAAAAgB&#10;AAAPAAAAAAAAAAEAIAAAACIAAABkcnMvZG93bnJldi54bWxQSwECFAAUAAAACACHTuJAGc1j7akB&#10;AAAvAwAADgAAAAAAAAABACAAAAAnAQAAZHJzL2Uyb0RvYy54bWxQSwUGAAAAAAYABgBZAQAAQgUA&#10;AAAA&#10;">
          <v:path/>
          <v:fill on="f" focussize="0,0"/>
          <v:stroke on="f" weight="0.5pt"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v:textbox>
        </v:shape>
      </w:pict>
    </w:r>
    <w:r>
      <w:rPr>
        <w:rFonts w:hint="eastAsia" w:ascii="仿宋" w:hAnsi="仿宋" w:eastAsia="仿宋" w:cs="仿宋"/>
      </w:rPr>
      <w:t>华夏国际项目管理有限公司</w:t>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地址：西安市高新区科技五路8号数字大厦11楼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5251"/>
        <w:tab w:val="clear" w:pos="4153"/>
      </w:tabs>
      <w:jc w:val="both"/>
      <w:rPr>
        <w:rFonts w:ascii="仿宋" w:hAnsi="仿宋" w:eastAsia="仿宋" w:cs="仿宋"/>
      </w:rPr>
    </w:pPr>
    <w:r>
      <w:rPr>
        <w:rFonts w:hint="eastAsia" w:ascii="仿宋" w:hAnsi="仿宋" w:eastAsia="仿宋" w:cs="仿宋"/>
        <w:lang w:eastAsia="zh-CN"/>
      </w:rPr>
      <w:t>西咸新区沣东新城</w:t>
    </w:r>
    <w:r>
      <w:rPr>
        <w:rFonts w:hint="eastAsia" w:ascii="仿宋" w:hAnsi="仿宋" w:eastAsia="仿宋" w:cs="仿宋"/>
      </w:rPr>
      <w:t>三桥街道零散地块拆迁项目</w:t>
    </w:r>
    <w:r>
      <w:rPr>
        <w:rFonts w:hint="eastAsia" w:ascii="仿宋" w:hAnsi="仿宋" w:eastAsia="仿宋" w:cs="仿宋"/>
      </w:rPr>
      <w:tab/>
    </w:r>
    <w:r>
      <w:rPr>
        <w:rFonts w:hint="eastAsia" w:ascii="仿宋" w:hAnsi="仿宋" w:eastAsia="仿宋" w:cs="仿宋"/>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992F9"/>
    <w:multiLevelType w:val="singleLevel"/>
    <w:tmpl w:val="82E992F9"/>
    <w:lvl w:ilvl="0" w:tentative="0">
      <w:start w:val="5"/>
      <w:numFmt w:val="chineseCounting"/>
      <w:suff w:val="space"/>
      <w:lvlText w:val="第%1章"/>
      <w:lvlJc w:val="left"/>
      <w:rPr>
        <w:rFonts w:hint="eastAsia"/>
      </w:rPr>
    </w:lvl>
  </w:abstractNum>
  <w:abstractNum w:abstractNumId="1">
    <w:nsid w:val="88F483E0"/>
    <w:multiLevelType w:val="singleLevel"/>
    <w:tmpl w:val="88F483E0"/>
    <w:lvl w:ilvl="0" w:tentative="0">
      <w:start w:val="1"/>
      <w:numFmt w:val="decimal"/>
      <w:suff w:val="nothing"/>
      <w:lvlText w:val="%1、"/>
      <w:lvlJc w:val="left"/>
    </w:lvl>
  </w:abstractNum>
  <w:abstractNum w:abstractNumId="2">
    <w:nsid w:val="B9A1F9B7"/>
    <w:multiLevelType w:val="singleLevel"/>
    <w:tmpl w:val="B9A1F9B7"/>
    <w:lvl w:ilvl="0" w:tentative="0">
      <w:start w:val="6"/>
      <w:numFmt w:val="chineseCounting"/>
      <w:suff w:val="nothing"/>
      <w:lvlText w:val="%1、"/>
      <w:lvlJc w:val="left"/>
      <w:rPr>
        <w:rFonts w:hint="eastAsia"/>
      </w:rPr>
    </w:lvl>
  </w:abstractNum>
  <w:abstractNum w:abstractNumId="3">
    <w:nsid w:val="E000030F"/>
    <w:multiLevelType w:val="singleLevel"/>
    <w:tmpl w:val="E000030F"/>
    <w:lvl w:ilvl="0" w:tentative="0">
      <w:start w:val="1"/>
      <w:numFmt w:val="decimal"/>
      <w:lvlText w:val="(%1)"/>
      <w:lvlJc w:val="left"/>
      <w:pPr>
        <w:tabs>
          <w:tab w:val="left" w:pos="420"/>
        </w:tabs>
        <w:ind w:left="0" w:firstLine="0"/>
      </w:pPr>
      <w:rPr>
        <w:rFonts w:hint="default"/>
      </w:rPr>
    </w:lvl>
  </w:abstractNum>
  <w:abstractNum w:abstractNumId="4">
    <w:nsid w:val="E7FC1343"/>
    <w:multiLevelType w:val="singleLevel"/>
    <w:tmpl w:val="E7FC1343"/>
    <w:lvl w:ilvl="0" w:tentative="0">
      <w:start w:val="1"/>
      <w:numFmt w:val="decimal"/>
      <w:suff w:val="nothing"/>
      <w:lvlText w:val="（%1）"/>
      <w:lvlJc w:val="left"/>
    </w:lvl>
  </w:abstractNum>
  <w:abstractNum w:abstractNumId="5">
    <w:nsid w:val="05B652DA"/>
    <w:multiLevelType w:val="singleLevel"/>
    <w:tmpl w:val="05B652DA"/>
    <w:lvl w:ilvl="0" w:tentative="0">
      <w:start w:val="1"/>
      <w:numFmt w:val="decimalEnclosedCircle"/>
      <w:lvlText w:val="%1"/>
      <w:lvlJc w:val="left"/>
      <w:pPr>
        <w:tabs>
          <w:tab w:val="left" w:pos="810"/>
        </w:tabs>
        <w:ind w:left="810" w:hanging="330"/>
      </w:pPr>
      <w:rPr>
        <w:rFonts w:hint="eastAsia"/>
      </w:rPr>
    </w:lvl>
  </w:abstractNum>
  <w:abstractNum w:abstractNumId="6">
    <w:nsid w:val="0A3ED1F8"/>
    <w:multiLevelType w:val="singleLevel"/>
    <w:tmpl w:val="0A3ED1F8"/>
    <w:lvl w:ilvl="0" w:tentative="0">
      <w:start w:val="1"/>
      <w:numFmt w:val="decimal"/>
      <w:suff w:val="nothing"/>
      <w:lvlText w:val="（%1）"/>
      <w:lvlJc w:val="left"/>
    </w:lvl>
  </w:abstractNum>
  <w:abstractNum w:abstractNumId="7">
    <w:nsid w:val="1C0BC805"/>
    <w:multiLevelType w:val="singleLevel"/>
    <w:tmpl w:val="1C0BC805"/>
    <w:lvl w:ilvl="0" w:tentative="0">
      <w:start w:val="1"/>
      <w:numFmt w:val="decimal"/>
      <w:lvlText w:val="(%1)"/>
      <w:lvlJc w:val="left"/>
      <w:pPr>
        <w:tabs>
          <w:tab w:val="left" w:pos="420"/>
        </w:tabs>
        <w:ind w:left="0" w:firstLine="0"/>
      </w:pPr>
      <w:rPr>
        <w:rFonts w:hint="default"/>
      </w:rPr>
    </w:lvl>
  </w:abstractNum>
  <w:abstractNum w:abstractNumId="8">
    <w:nsid w:val="240D3E5A"/>
    <w:multiLevelType w:val="singleLevel"/>
    <w:tmpl w:val="240D3E5A"/>
    <w:lvl w:ilvl="0" w:tentative="0">
      <w:start w:val="1"/>
      <w:numFmt w:val="decimal"/>
      <w:lvlText w:val="%1、"/>
      <w:lvlJc w:val="left"/>
      <w:pPr>
        <w:tabs>
          <w:tab w:val="left" w:pos="480"/>
        </w:tabs>
        <w:ind w:left="480" w:hanging="480"/>
      </w:pPr>
      <w:rPr>
        <w:rFonts w:hint="eastAsia"/>
      </w:rPr>
    </w:lvl>
  </w:abstractNum>
  <w:abstractNum w:abstractNumId="9">
    <w:nsid w:val="3D876073"/>
    <w:multiLevelType w:val="singleLevel"/>
    <w:tmpl w:val="3D876073"/>
    <w:lvl w:ilvl="0" w:tentative="0">
      <w:start w:val="11"/>
      <w:numFmt w:val="decimal"/>
      <w:suff w:val="nothing"/>
      <w:lvlText w:val="%1．"/>
      <w:lvlJc w:val="left"/>
    </w:lvl>
  </w:abstractNum>
  <w:abstractNum w:abstractNumId="10">
    <w:nsid w:val="3E44EB76"/>
    <w:multiLevelType w:val="singleLevel"/>
    <w:tmpl w:val="3E44EB76"/>
    <w:lvl w:ilvl="0" w:tentative="0">
      <w:start w:val="1"/>
      <w:numFmt w:val="chineseCounting"/>
      <w:suff w:val="nothing"/>
      <w:lvlText w:val="%1、"/>
      <w:lvlJc w:val="left"/>
      <w:rPr>
        <w:rFonts w:hint="eastAsia"/>
      </w:rPr>
    </w:lvl>
  </w:abstractNum>
  <w:abstractNum w:abstractNumId="11">
    <w:nsid w:val="4C0C1BFB"/>
    <w:multiLevelType w:val="singleLevel"/>
    <w:tmpl w:val="4C0C1BFB"/>
    <w:lvl w:ilvl="0" w:tentative="0">
      <w:start w:val="1"/>
      <w:numFmt w:val="decimal"/>
      <w:lvlText w:val="（%1）"/>
      <w:lvlJc w:val="left"/>
      <w:pPr>
        <w:tabs>
          <w:tab w:val="left" w:pos="810"/>
        </w:tabs>
        <w:ind w:left="810" w:hanging="810"/>
      </w:pPr>
      <w:rPr>
        <w:rFonts w:hint="eastAsia"/>
      </w:rPr>
    </w:lvl>
  </w:abstractNum>
  <w:abstractNum w:abstractNumId="12">
    <w:nsid w:val="5913EF14"/>
    <w:multiLevelType w:val="singleLevel"/>
    <w:tmpl w:val="5913EF14"/>
    <w:lvl w:ilvl="0" w:tentative="0">
      <w:start w:val="1"/>
      <w:numFmt w:val="chineseCounting"/>
      <w:suff w:val="nothing"/>
      <w:lvlText w:val="%1、"/>
      <w:lvlJc w:val="left"/>
    </w:lvl>
  </w:abstractNum>
  <w:abstractNum w:abstractNumId="13">
    <w:nsid w:val="5913EF5B"/>
    <w:multiLevelType w:val="singleLevel"/>
    <w:tmpl w:val="5913EF5B"/>
    <w:lvl w:ilvl="0" w:tentative="0">
      <w:start w:val="1"/>
      <w:numFmt w:val="chineseCounting"/>
      <w:suff w:val="nothing"/>
      <w:lvlText w:val="（%1）"/>
      <w:lvlJc w:val="left"/>
    </w:lvl>
  </w:abstractNum>
  <w:abstractNum w:abstractNumId="14">
    <w:nsid w:val="7ED0A0DE"/>
    <w:multiLevelType w:val="singleLevel"/>
    <w:tmpl w:val="7ED0A0DE"/>
    <w:lvl w:ilvl="0" w:tentative="0">
      <w:start w:val="1"/>
      <w:numFmt w:val="decimal"/>
      <w:suff w:val="nothing"/>
      <w:lvlText w:val="%1、"/>
      <w:lvlJc w:val="left"/>
    </w:lvl>
  </w:abstractNum>
  <w:num w:numId="1">
    <w:abstractNumId w:val="10"/>
  </w:num>
  <w:num w:numId="2">
    <w:abstractNumId w:val="2"/>
  </w:num>
  <w:num w:numId="3">
    <w:abstractNumId w:val="7"/>
  </w:num>
  <w:num w:numId="4">
    <w:abstractNumId w:val="9"/>
  </w:num>
  <w:num w:numId="5">
    <w:abstractNumId w:val="3"/>
  </w:num>
  <w:num w:numId="6">
    <w:abstractNumId w:val="6"/>
  </w:num>
  <w:num w:numId="7">
    <w:abstractNumId w:val="4"/>
  </w:num>
  <w:num w:numId="8">
    <w:abstractNumId w:val="0"/>
  </w:num>
  <w:num w:numId="9">
    <w:abstractNumId w:val="1"/>
  </w:num>
  <w:num w:numId="10">
    <w:abstractNumId w:val="12"/>
  </w:num>
  <w:num w:numId="11">
    <w:abstractNumId w:val="13"/>
  </w:num>
  <w:num w:numId="12">
    <w:abstractNumId w:val="8"/>
  </w:num>
  <w:num w:numId="13">
    <w:abstractNumId w:val="11"/>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0"/>
  <w:bordersDoNotSurroundFooter w:val="0"/>
  <w:hideSpellingErrors/>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kzMzY1MTg5N2ZjZmNjOTZjOTEwMzBmOTIyMjY3YWQifQ=="/>
  </w:docVars>
  <w:rsids>
    <w:rsidRoot w:val="00172A27"/>
    <w:rsid w:val="00000B79"/>
    <w:rsid w:val="0000215D"/>
    <w:rsid w:val="00003F19"/>
    <w:rsid w:val="0000558E"/>
    <w:rsid w:val="000067FE"/>
    <w:rsid w:val="00006F45"/>
    <w:rsid w:val="00007B0C"/>
    <w:rsid w:val="00010632"/>
    <w:rsid w:val="00010FA5"/>
    <w:rsid w:val="00012150"/>
    <w:rsid w:val="000122FE"/>
    <w:rsid w:val="00013C0B"/>
    <w:rsid w:val="00014D51"/>
    <w:rsid w:val="000150E1"/>
    <w:rsid w:val="0001566F"/>
    <w:rsid w:val="00015A14"/>
    <w:rsid w:val="00016449"/>
    <w:rsid w:val="000207FF"/>
    <w:rsid w:val="00021267"/>
    <w:rsid w:val="00023783"/>
    <w:rsid w:val="000239F4"/>
    <w:rsid w:val="000250BB"/>
    <w:rsid w:val="000253E5"/>
    <w:rsid w:val="000255CB"/>
    <w:rsid w:val="000261B6"/>
    <w:rsid w:val="000268D2"/>
    <w:rsid w:val="00027D20"/>
    <w:rsid w:val="00031201"/>
    <w:rsid w:val="00034583"/>
    <w:rsid w:val="00034BC2"/>
    <w:rsid w:val="00034C7E"/>
    <w:rsid w:val="00036283"/>
    <w:rsid w:val="00037304"/>
    <w:rsid w:val="000404EA"/>
    <w:rsid w:val="00041B9E"/>
    <w:rsid w:val="00041EDA"/>
    <w:rsid w:val="0004251E"/>
    <w:rsid w:val="00042A62"/>
    <w:rsid w:val="00043948"/>
    <w:rsid w:val="00044508"/>
    <w:rsid w:val="00044AF2"/>
    <w:rsid w:val="00044E7D"/>
    <w:rsid w:val="00045300"/>
    <w:rsid w:val="00045850"/>
    <w:rsid w:val="0005063C"/>
    <w:rsid w:val="00051E3B"/>
    <w:rsid w:val="00051EFE"/>
    <w:rsid w:val="00052AB3"/>
    <w:rsid w:val="00054965"/>
    <w:rsid w:val="00054F2A"/>
    <w:rsid w:val="000566F1"/>
    <w:rsid w:val="00057F94"/>
    <w:rsid w:val="00060ABB"/>
    <w:rsid w:val="00061B72"/>
    <w:rsid w:val="0006202B"/>
    <w:rsid w:val="00062425"/>
    <w:rsid w:val="0006264A"/>
    <w:rsid w:val="00063042"/>
    <w:rsid w:val="00064C8A"/>
    <w:rsid w:val="00067CEF"/>
    <w:rsid w:val="0007163C"/>
    <w:rsid w:val="00072AAF"/>
    <w:rsid w:val="00073176"/>
    <w:rsid w:val="00073C4A"/>
    <w:rsid w:val="000743DF"/>
    <w:rsid w:val="0007508E"/>
    <w:rsid w:val="000757D9"/>
    <w:rsid w:val="00075BFF"/>
    <w:rsid w:val="000766BC"/>
    <w:rsid w:val="00076752"/>
    <w:rsid w:val="00076FBC"/>
    <w:rsid w:val="000775BE"/>
    <w:rsid w:val="000779E0"/>
    <w:rsid w:val="00081F9C"/>
    <w:rsid w:val="000827B7"/>
    <w:rsid w:val="00083F35"/>
    <w:rsid w:val="0008479A"/>
    <w:rsid w:val="0008507C"/>
    <w:rsid w:val="000853F7"/>
    <w:rsid w:val="000858A6"/>
    <w:rsid w:val="000858D9"/>
    <w:rsid w:val="00085F58"/>
    <w:rsid w:val="00086702"/>
    <w:rsid w:val="00086D83"/>
    <w:rsid w:val="00086E59"/>
    <w:rsid w:val="00087B37"/>
    <w:rsid w:val="0009055A"/>
    <w:rsid w:val="00090774"/>
    <w:rsid w:val="00091267"/>
    <w:rsid w:val="00091347"/>
    <w:rsid w:val="00092735"/>
    <w:rsid w:val="00092B1B"/>
    <w:rsid w:val="000951CD"/>
    <w:rsid w:val="000957CC"/>
    <w:rsid w:val="00097DA7"/>
    <w:rsid w:val="000A0454"/>
    <w:rsid w:val="000A1062"/>
    <w:rsid w:val="000A2244"/>
    <w:rsid w:val="000A23E9"/>
    <w:rsid w:val="000A36D5"/>
    <w:rsid w:val="000A4140"/>
    <w:rsid w:val="000A419A"/>
    <w:rsid w:val="000A6318"/>
    <w:rsid w:val="000A6CAF"/>
    <w:rsid w:val="000B0256"/>
    <w:rsid w:val="000B0687"/>
    <w:rsid w:val="000B0EFE"/>
    <w:rsid w:val="000B36B7"/>
    <w:rsid w:val="000B37C2"/>
    <w:rsid w:val="000B3D2B"/>
    <w:rsid w:val="000B5FF5"/>
    <w:rsid w:val="000B76DF"/>
    <w:rsid w:val="000B79AF"/>
    <w:rsid w:val="000C07B5"/>
    <w:rsid w:val="000C2924"/>
    <w:rsid w:val="000C3701"/>
    <w:rsid w:val="000C49DB"/>
    <w:rsid w:val="000C5BE0"/>
    <w:rsid w:val="000C5EC2"/>
    <w:rsid w:val="000C7211"/>
    <w:rsid w:val="000C7440"/>
    <w:rsid w:val="000D0609"/>
    <w:rsid w:val="000D0BDF"/>
    <w:rsid w:val="000D1205"/>
    <w:rsid w:val="000D14CD"/>
    <w:rsid w:val="000D1ED0"/>
    <w:rsid w:val="000D1EF1"/>
    <w:rsid w:val="000D228C"/>
    <w:rsid w:val="000D3416"/>
    <w:rsid w:val="000D3F99"/>
    <w:rsid w:val="000D4D1B"/>
    <w:rsid w:val="000D5AE6"/>
    <w:rsid w:val="000D6425"/>
    <w:rsid w:val="000D693A"/>
    <w:rsid w:val="000D6E95"/>
    <w:rsid w:val="000E007C"/>
    <w:rsid w:val="000E0DB5"/>
    <w:rsid w:val="000E1449"/>
    <w:rsid w:val="000E2E1A"/>
    <w:rsid w:val="000E2E98"/>
    <w:rsid w:val="000E37C1"/>
    <w:rsid w:val="000E49DB"/>
    <w:rsid w:val="000E61E4"/>
    <w:rsid w:val="000E7294"/>
    <w:rsid w:val="000F0F67"/>
    <w:rsid w:val="000F18B6"/>
    <w:rsid w:val="000F1FAC"/>
    <w:rsid w:val="000F2187"/>
    <w:rsid w:val="000F2CF5"/>
    <w:rsid w:val="000F38E6"/>
    <w:rsid w:val="000F4453"/>
    <w:rsid w:val="000F4691"/>
    <w:rsid w:val="000F4C8E"/>
    <w:rsid w:val="000F50FE"/>
    <w:rsid w:val="000F536C"/>
    <w:rsid w:val="000F61F4"/>
    <w:rsid w:val="000F6F95"/>
    <w:rsid w:val="000F7CD7"/>
    <w:rsid w:val="00100E29"/>
    <w:rsid w:val="00105369"/>
    <w:rsid w:val="00105862"/>
    <w:rsid w:val="0010628B"/>
    <w:rsid w:val="001066D1"/>
    <w:rsid w:val="0010704D"/>
    <w:rsid w:val="0010706C"/>
    <w:rsid w:val="001074EA"/>
    <w:rsid w:val="00107737"/>
    <w:rsid w:val="00107DDE"/>
    <w:rsid w:val="001106A2"/>
    <w:rsid w:val="001107E0"/>
    <w:rsid w:val="00110965"/>
    <w:rsid w:val="00111DC3"/>
    <w:rsid w:val="0011393E"/>
    <w:rsid w:val="00113CE9"/>
    <w:rsid w:val="001140D6"/>
    <w:rsid w:val="001149FD"/>
    <w:rsid w:val="00115496"/>
    <w:rsid w:val="001156F4"/>
    <w:rsid w:val="00115775"/>
    <w:rsid w:val="001171E8"/>
    <w:rsid w:val="00117318"/>
    <w:rsid w:val="001177F0"/>
    <w:rsid w:val="00117AF5"/>
    <w:rsid w:val="00117CF8"/>
    <w:rsid w:val="00117F8A"/>
    <w:rsid w:val="00120166"/>
    <w:rsid w:val="001206F3"/>
    <w:rsid w:val="001228AB"/>
    <w:rsid w:val="00122E2F"/>
    <w:rsid w:val="0012400F"/>
    <w:rsid w:val="00124F99"/>
    <w:rsid w:val="00125D85"/>
    <w:rsid w:val="00126EC1"/>
    <w:rsid w:val="001275FA"/>
    <w:rsid w:val="00127AA9"/>
    <w:rsid w:val="00130A9B"/>
    <w:rsid w:val="00131740"/>
    <w:rsid w:val="0013354C"/>
    <w:rsid w:val="00133AED"/>
    <w:rsid w:val="00133E39"/>
    <w:rsid w:val="0013465C"/>
    <w:rsid w:val="00135740"/>
    <w:rsid w:val="0013722A"/>
    <w:rsid w:val="00137566"/>
    <w:rsid w:val="00140847"/>
    <w:rsid w:val="00140DD7"/>
    <w:rsid w:val="00141A92"/>
    <w:rsid w:val="0014274E"/>
    <w:rsid w:val="00143711"/>
    <w:rsid w:val="00143D6F"/>
    <w:rsid w:val="00144199"/>
    <w:rsid w:val="00144BF8"/>
    <w:rsid w:val="001453FC"/>
    <w:rsid w:val="0014592E"/>
    <w:rsid w:val="00146C59"/>
    <w:rsid w:val="00146EF9"/>
    <w:rsid w:val="0014723D"/>
    <w:rsid w:val="001512AC"/>
    <w:rsid w:val="0015152E"/>
    <w:rsid w:val="00152D0A"/>
    <w:rsid w:val="00153D19"/>
    <w:rsid w:val="0015492B"/>
    <w:rsid w:val="001556A0"/>
    <w:rsid w:val="001560AE"/>
    <w:rsid w:val="001573B2"/>
    <w:rsid w:val="001600AE"/>
    <w:rsid w:val="001605A3"/>
    <w:rsid w:val="001605C5"/>
    <w:rsid w:val="00160BDD"/>
    <w:rsid w:val="001610BE"/>
    <w:rsid w:val="00161674"/>
    <w:rsid w:val="00161C80"/>
    <w:rsid w:val="00161E4E"/>
    <w:rsid w:val="00162887"/>
    <w:rsid w:val="00162A0A"/>
    <w:rsid w:val="00163B78"/>
    <w:rsid w:val="00166761"/>
    <w:rsid w:val="001667E9"/>
    <w:rsid w:val="0016771A"/>
    <w:rsid w:val="001700B4"/>
    <w:rsid w:val="001719EB"/>
    <w:rsid w:val="00172A27"/>
    <w:rsid w:val="001731C2"/>
    <w:rsid w:val="00173969"/>
    <w:rsid w:val="001740D0"/>
    <w:rsid w:val="00176B19"/>
    <w:rsid w:val="00176B72"/>
    <w:rsid w:val="00177602"/>
    <w:rsid w:val="001804C7"/>
    <w:rsid w:val="00181C7E"/>
    <w:rsid w:val="00182FAB"/>
    <w:rsid w:val="00183994"/>
    <w:rsid w:val="001851EE"/>
    <w:rsid w:val="001876E9"/>
    <w:rsid w:val="00190942"/>
    <w:rsid w:val="00191A80"/>
    <w:rsid w:val="00192AF9"/>
    <w:rsid w:val="001930CE"/>
    <w:rsid w:val="001935D1"/>
    <w:rsid w:val="00193A79"/>
    <w:rsid w:val="0019465E"/>
    <w:rsid w:val="00195687"/>
    <w:rsid w:val="00196728"/>
    <w:rsid w:val="00196929"/>
    <w:rsid w:val="00197C31"/>
    <w:rsid w:val="001A060F"/>
    <w:rsid w:val="001A1834"/>
    <w:rsid w:val="001A23B9"/>
    <w:rsid w:val="001A3911"/>
    <w:rsid w:val="001A3A75"/>
    <w:rsid w:val="001A3FFF"/>
    <w:rsid w:val="001A4AC9"/>
    <w:rsid w:val="001A4D86"/>
    <w:rsid w:val="001A4DFD"/>
    <w:rsid w:val="001A4FC1"/>
    <w:rsid w:val="001A5705"/>
    <w:rsid w:val="001A5ABF"/>
    <w:rsid w:val="001A66EF"/>
    <w:rsid w:val="001A70A5"/>
    <w:rsid w:val="001A74DC"/>
    <w:rsid w:val="001B0C6C"/>
    <w:rsid w:val="001B1D2F"/>
    <w:rsid w:val="001B32E1"/>
    <w:rsid w:val="001B33C6"/>
    <w:rsid w:val="001B47A4"/>
    <w:rsid w:val="001B4CDE"/>
    <w:rsid w:val="001B4FDA"/>
    <w:rsid w:val="001B55E2"/>
    <w:rsid w:val="001B69BD"/>
    <w:rsid w:val="001C0D55"/>
    <w:rsid w:val="001C284B"/>
    <w:rsid w:val="001C3DAA"/>
    <w:rsid w:val="001C43B7"/>
    <w:rsid w:val="001C4E56"/>
    <w:rsid w:val="001C628C"/>
    <w:rsid w:val="001C6407"/>
    <w:rsid w:val="001D0C72"/>
    <w:rsid w:val="001D203D"/>
    <w:rsid w:val="001D2B52"/>
    <w:rsid w:val="001D3AC7"/>
    <w:rsid w:val="001D5204"/>
    <w:rsid w:val="001D73F4"/>
    <w:rsid w:val="001E02F9"/>
    <w:rsid w:val="001E25AF"/>
    <w:rsid w:val="001E279A"/>
    <w:rsid w:val="001E413F"/>
    <w:rsid w:val="001E4B9A"/>
    <w:rsid w:val="001E5281"/>
    <w:rsid w:val="001E58D2"/>
    <w:rsid w:val="001E634C"/>
    <w:rsid w:val="001E7667"/>
    <w:rsid w:val="001E79C4"/>
    <w:rsid w:val="001F0441"/>
    <w:rsid w:val="001F0F75"/>
    <w:rsid w:val="001F23D3"/>
    <w:rsid w:val="001F248A"/>
    <w:rsid w:val="001F4067"/>
    <w:rsid w:val="001F5288"/>
    <w:rsid w:val="001F57EB"/>
    <w:rsid w:val="001F626C"/>
    <w:rsid w:val="001F6290"/>
    <w:rsid w:val="001F7C94"/>
    <w:rsid w:val="0020010D"/>
    <w:rsid w:val="00200837"/>
    <w:rsid w:val="0020121B"/>
    <w:rsid w:val="00201A4C"/>
    <w:rsid w:val="002039A8"/>
    <w:rsid w:val="00203EBE"/>
    <w:rsid w:val="00203F16"/>
    <w:rsid w:val="00205499"/>
    <w:rsid w:val="002055E6"/>
    <w:rsid w:val="002058B4"/>
    <w:rsid w:val="002064AA"/>
    <w:rsid w:val="002068C4"/>
    <w:rsid w:val="002079D7"/>
    <w:rsid w:val="0021054F"/>
    <w:rsid w:val="00213086"/>
    <w:rsid w:val="002133C4"/>
    <w:rsid w:val="00213C10"/>
    <w:rsid w:val="002140D4"/>
    <w:rsid w:val="00215EE4"/>
    <w:rsid w:val="00216B93"/>
    <w:rsid w:val="00223FDF"/>
    <w:rsid w:val="00225792"/>
    <w:rsid w:val="00226047"/>
    <w:rsid w:val="00226893"/>
    <w:rsid w:val="00226ECF"/>
    <w:rsid w:val="002308EB"/>
    <w:rsid w:val="002317A8"/>
    <w:rsid w:val="00233377"/>
    <w:rsid w:val="002337D5"/>
    <w:rsid w:val="0023488A"/>
    <w:rsid w:val="002348C5"/>
    <w:rsid w:val="00234E13"/>
    <w:rsid w:val="00236865"/>
    <w:rsid w:val="002369EB"/>
    <w:rsid w:val="002372E1"/>
    <w:rsid w:val="00240261"/>
    <w:rsid w:val="00240310"/>
    <w:rsid w:val="00241476"/>
    <w:rsid w:val="00242784"/>
    <w:rsid w:val="0024369B"/>
    <w:rsid w:val="00244963"/>
    <w:rsid w:val="00244B56"/>
    <w:rsid w:val="00245B38"/>
    <w:rsid w:val="00246D4A"/>
    <w:rsid w:val="00247780"/>
    <w:rsid w:val="00247965"/>
    <w:rsid w:val="00250CDF"/>
    <w:rsid w:val="002516F8"/>
    <w:rsid w:val="0025250C"/>
    <w:rsid w:val="00252E6B"/>
    <w:rsid w:val="00253665"/>
    <w:rsid w:val="002536FB"/>
    <w:rsid w:val="002543BE"/>
    <w:rsid w:val="002548AF"/>
    <w:rsid w:val="00255263"/>
    <w:rsid w:val="00257784"/>
    <w:rsid w:val="0025783C"/>
    <w:rsid w:val="00260832"/>
    <w:rsid w:val="002611DA"/>
    <w:rsid w:val="002616DA"/>
    <w:rsid w:val="00261CB6"/>
    <w:rsid w:val="00262354"/>
    <w:rsid w:val="002625AC"/>
    <w:rsid w:val="0026424F"/>
    <w:rsid w:val="00264325"/>
    <w:rsid w:val="002648C1"/>
    <w:rsid w:val="00264D24"/>
    <w:rsid w:val="00265BDA"/>
    <w:rsid w:val="0026675B"/>
    <w:rsid w:val="0026771E"/>
    <w:rsid w:val="00270797"/>
    <w:rsid w:val="002707F7"/>
    <w:rsid w:val="00271396"/>
    <w:rsid w:val="00271A13"/>
    <w:rsid w:val="00271AEE"/>
    <w:rsid w:val="00272085"/>
    <w:rsid w:val="00273A0D"/>
    <w:rsid w:val="002741B4"/>
    <w:rsid w:val="002744D2"/>
    <w:rsid w:val="00274E73"/>
    <w:rsid w:val="00275AD7"/>
    <w:rsid w:val="00276E55"/>
    <w:rsid w:val="00276ED2"/>
    <w:rsid w:val="002777C0"/>
    <w:rsid w:val="00277A72"/>
    <w:rsid w:val="0028145F"/>
    <w:rsid w:val="00281ACC"/>
    <w:rsid w:val="00281F6A"/>
    <w:rsid w:val="002823A6"/>
    <w:rsid w:val="002829A6"/>
    <w:rsid w:val="002836EA"/>
    <w:rsid w:val="00283E70"/>
    <w:rsid w:val="002848E4"/>
    <w:rsid w:val="00285445"/>
    <w:rsid w:val="002856F8"/>
    <w:rsid w:val="002873BC"/>
    <w:rsid w:val="00287927"/>
    <w:rsid w:val="00290D84"/>
    <w:rsid w:val="0029328E"/>
    <w:rsid w:val="00293942"/>
    <w:rsid w:val="00293E7E"/>
    <w:rsid w:val="00294075"/>
    <w:rsid w:val="00294297"/>
    <w:rsid w:val="00294CA0"/>
    <w:rsid w:val="00295AB4"/>
    <w:rsid w:val="00295DEF"/>
    <w:rsid w:val="002963A4"/>
    <w:rsid w:val="002A085F"/>
    <w:rsid w:val="002A11CB"/>
    <w:rsid w:val="002A15ED"/>
    <w:rsid w:val="002A3044"/>
    <w:rsid w:val="002A3444"/>
    <w:rsid w:val="002A34D1"/>
    <w:rsid w:val="002A460D"/>
    <w:rsid w:val="002A56C7"/>
    <w:rsid w:val="002A5964"/>
    <w:rsid w:val="002A5DBA"/>
    <w:rsid w:val="002A5E24"/>
    <w:rsid w:val="002A7061"/>
    <w:rsid w:val="002A7299"/>
    <w:rsid w:val="002A745E"/>
    <w:rsid w:val="002B0500"/>
    <w:rsid w:val="002B0A45"/>
    <w:rsid w:val="002B1E2E"/>
    <w:rsid w:val="002B28D2"/>
    <w:rsid w:val="002B450F"/>
    <w:rsid w:val="002B4694"/>
    <w:rsid w:val="002B747E"/>
    <w:rsid w:val="002C071F"/>
    <w:rsid w:val="002C0D55"/>
    <w:rsid w:val="002C1340"/>
    <w:rsid w:val="002C158B"/>
    <w:rsid w:val="002C3DCF"/>
    <w:rsid w:val="002C3E1B"/>
    <w:rsid w:val="002C4D14"/>
    <w:rsid w:val="002C4E4A"/>
    <w:rsid w:val="002C589E"/>
    <w:rsid w:val="002C74A1"/>
    <w:rsid w:val="002D08E0"/>
    <w:rsid w:val="002D2CC6"/>
    <w:rsid w:val="002D3494"/>
    <w:rsid w:val="002D4239"/>
    <w:rsid w:val="002D4B56"/>
    <w:rsid w:val="002D5573"/>
    <w:rsid w:val="002D616A"/>
    <w:rsid w:val="002D652C"/>
    <w:rsid w:val="002D6C1C"/>
    <w:rsid w:val="002D7BA7"/>
    <w:rsid w:val="002D7C37"/>
    <w:rsid w:val="002E1205"/>
    <w:rsid w:val="002E4A0F"/>
    <w:rsid w:val="002E4A7A"/>
    <w:rsid w:val="002E61D6"/>
    <w:rsid w:val="002E719D"/>
    <w:rsid w:val="002E783B"/>
    <w:rsid w:val="002F0E0D"/>
    <w:rsid w:val="002F0F35"/>
    <w:rsid w:val="002F1355"/>
    <w:rsid w:val="002F149D"/>
    <w:rsid w:val="002F1905"/>
    <w:rsid w:val="002F5377"/>
    <w:rsid w:val="002F694A"/>
    <w:rsid w:val="002F6BC6"/>
    <w:rsid w:val="002F7AE9"/>
    <w:rsid w:val="002F7BD0"/>
    <w:rsid w:val="00300043"/>
    <w:rsid w:val="00300997"/>
    <w:rsid w:val="0030100D"/>
    <w:rsid w:val="003045A3"/>
    <w:rsid w:val="00304B5E"/>
    <w:rsid w:val="00304F2A"/>
    <w:rsid w:val="003053A1"/>
    <w:rsid w:val="003055DB"/>
    <w:rsid w:val="00305E04"/>
    <w:rsid w:val="0030648E"/>
    <w:rsid w:val="0030689B"/>
    <w:rsid w:val="00306A95"/>
    <w:rsid w:val="00307FE7"/>
    <w:rsid w:val="003112C0"/>
    <w:rsid w:val="00312B54"/>
    <w:rsid w:val="00313A8C"/>
    <w:rsid w:val="0031416E"/>
    <w:rsid w:val="003145A1"/>
    <w:rsid w:val="00314B49"/>
    <w:rsid w:val="00314BA6"/>
    <w:rsid w:val="00314DED"/>
    <w:rsid w:val="0031504C"/>
    <w:rsid w:val="003152EB"/>
    <w:rsid w:val="00315DB4"/>
    <w:rsid w:val="003165E9"/>
    <w:rsid w:val="003166BE"/>
    <w:rsid w:val="003168A2"/>
    <w:rsid w:val="00316904"/>
    <w:rsid w:val="0032098B"/>
    <w:rsid w:val="0032098F"/>
    <w:rsid w:val="00320C33"/>
    <w:rsid w:val="00321127"/>
    <w:rsid w:val="003215E9"/>
    <w:rsid w:val="003219D6"/>
    <w:rsid w:val="00322D65"/>
    <w:rsid w:val="00324293"/>
    <w:rsid w:val="00324477"/>
    <w:rsid w:val="00324FFF"/>
    <w:rsid w:val="003258FF"/>
    <w:rsid w:val="003259B2"/>
    <w:rsid w:val="00325EF0"/>
    <w:rsid w:val="003269A8"/>
    <w:rsid w:val="00326A3F"/>
    <w:rsid w:val="00326C2C"/>
    <w:rsid w:val="00326F9F"/>
    <w:rsid w:val="0032713D"/>
    <w:rsid w:val="003273BA"/>
    <w:rsid w:val="00330B51"/>
    <w:rsid w:val="003314B6"/>
    <w:rsid w:val="00332B47"/>
    <w:rsid w:val="00332F7B"/>
    <w:rsid w:val="0033316A"/>
    <w:rsid w:val="00334454"/>
    <w:rsid w:val="00334C72"/>
    <w:rsid w:val="00335C95"/>
    <w:rsid w:val="00336655"/>
    <w:rsid w:val="0033751D"/>
    <w:rsid w:val="00337DAF"/>
    <w:rsid w:val="0034158C"/>
    <w:rsid w:val="0034160A"/>
    <w:rsid w:val="003419D1"/>
    <w:rsid w:val="00341C64"/>
    <w:rsid w:val="00342B1D"/>
    <w:rsid w:val="00343297"/>
    <w:rsid w:val="00343341"/>
    <w:rsid w:val="00343455"/>
    <w:rsid w:val="003435C6"/>
    <w:rsid w:val="00343E83"/>
    <w:rsid w:val="003442F3"/>
    <w:rsid w:val="00344AB1"/>
    <w:rsid w:val="00344BB4"/>
    <w:rsid w:val="00345252"/>
    <w:rsid w:val="00345898"/>
    <w:rsid w:val="00345CF8"/>
    <w:rsid w:val="003465A5"/>
    <w:rsid w:val="00350931"/>
    <w:rsid w:val="0035140B"/>
    <w:rsid w:val="00351421"/>
    <w:rsid w:val="00351ABB"/>
    <w:rsid w:val="00351E22"/>
    <w:rsid w:val="00353E0B"/>
    <w:rsid w:val="00355059"/>
    <w:rsid w:val="00355ABB"/>
    <w:rsid w:val="003567E1"/>
    <w:rsid w:val="0035748E"/>
    <w:rsid w:val="00357DCF"/>
    <w:rsid w:val="00360820"/>
    <w:rsid w:val="00360C7A"/>
    <w:rsid w:val="00360D21"/>
    <w:rsid w:val="0036213C"/>
    <w:rsid w:val="003628DA"/>
    <w:rsid w:val="003635DF"/>
    <w:rsid w:val="0036504C"/>
    <w:rsid w:val="0036539D"/>
    <w:rsid w:val="00366D46"/>
    <w:rsid w:val="003676C3"/>
    <w:rsid w:val="003709FF"/>
    <w:rsid w:val="00370C7C"/>
    <w:rsid w:val="00372978"/>
    <w:rsid w:val="00372FE9"/>
    <w:rsid w:val="00376AA0"/>
    <w:rsid w:val="00377517"/>
    <w:rsid w:val="003778E6"/>
    <w:rsid w:val="0038006A"/>
    <w:rsid w:val="00381D92"/>
    <w:rsid w:val="00381E45"/>
    <w:rsid w:val="00382532"/>
    <w:rsid w:val="003826D1"/>
    <w:rsid w:val="003839DF"/>
    <w:rsid w:val="00384677"/>
    <w:rsid w:val="00384B2A"/>
    <w:rsid w:val="00384BA6"/>
    <w:rsid w:val="003869B0"/>
    <w:rsid w:val="00387339"/>
    <w:rsid w:val="00387AC6"/>
    <w:rsid w:val="00387F4C"/>
    <w:rsid w:val="00391036"/>
    <w:rsid w:val="0039378A"/>
    <w:rsid w:val="003943FC"/>
    <w:rsid w:val="003944CC"/>
    <w:rsid w:val="00395253"/>
    <w:rsid w:val="003955B0"/>
    <w:rsid w:val="0039571F"/>
    <w:rsid w:val="00395CFD"/>
    <w:rsid w:val="003965EF"/>
    <w:rsid w:val="00396815"/>
    <w:rsid w:val="00396DE2"/>
    <w:rsid w:val="0039742B"/>
    <w:rsid w:val="00397BC0"/>
    <w:rsid w:val="003A0846"/>
    <w:rsid w:val="003A08B8"/>
    <w:rsid w:val="003A15EC"/>
    <w:rsid w:val="003A2331"/>
    <w:rsid w:val="003A3B47"/>
    <w:rsid w:val="003A403D"/>
    <w:rsid w:val="003A5163"/>
    <w:rsid w:val="003A6636"/>
    <w:rsid w:val="003A6FD1"/>
    <w:rsid w:val="003B020A"/>
    <w:rsid w:val="003B1786"/>
    <w:rsid w:val="003B21BF"/>
    <w:rsid w:val="003B435C"/>
    <w:rsid w:val="003B465A"/>
    <w:rsid w:val="003B4721"/>
    <w:rsid w:val="003B5ACB"/>
    <w:rsid w:val="003B65AD"/>
    <w:rsid w:val="003B705B"/>
    <w:rsid w:val="003B7837"/>
    <w:rsid w:val="003C13C5"/>
    <w:rsid w:val="003C199E"/>
    <w:rsid w:val="003C263C"/>
    <w:rsid w:val="003C3899"/>
    <w:rsid w:val="003C4EDE"/>
    <w:rsid w:val="003C56DD"/>
    <w:rsid w:val="003C5C6E"/>
    <w:rsid w:val="003C607E"/>
    <w:rsid w:val="003C705B"/>
    <w:rsid w:val="003C7EEE"/>
    <w:rsid w:val="003D1D9D"/>
    <w:rsid w:val="003D2330"/>
    <w:rsid w:val="003D2963"/>
    <w:rsid w:val="003D413E"/>
    <w:rsid w:val="003D432D"/>
    <w:rsid w:val="003D4474"/>
    <w:rsid w:val="003D44EE"/>
    <w:rsid w:val="003D6C75"/>
    <w:rsid w:val="003D78AE"/>
    <w:rsid w:val="003E24C8"/>
    <w:rsid w:val="003E4F4E"/>
    <w:rsid w:val="003E66EE"/>
    <w:rsid w:val="003E6DE2"/>
    <w:rsid w:val="003E70C5"/>
    <w:rsid w:val="003F11A2"/>
    <w:rsid w:val="003F2889"/>
    <w:rsid w:val="003F29E2"/>
    <w:rsid w:val="003F3D0C"/>
    <w:rsid w:val="003F5EA8"/>
    <w:rsid w:val="003F7747"/>
    <w:rsid w:val="003F7C5E"/>
    <w:rsid w:val="00400424"/>
    <w:rsid w:val="004007DF"/>
    <w:rsid w:val="00400B94"/>
    <w:rsid w:val="00401072"/>
    <w:rsid w:val="00402B06"/>
    <w:rsid w:val="004059B8"/>
    <w:rsid w:val="00406279"/>
    <w:rsid w:val="00406336"/>
    <w:rsid w:val="00407BD5"/>
    <w:rsid w:val="0041008F"/>
    <w:rsid w:val="00410B10"/>
    <w:rsid w:val="0041149B"/>
    <w:rsid w:val="00412E98"/>
    <w:rsid w:val="004148C2"/>
    <w:rsid w:val="00414940"/>
    <w:rsid w:val="00415502"/>
    <w:rsid w:val="00415682"/>
    <w:rsid w:val="00415B59"/>
    <w:rsid w:val="004164DC"/>
    <w:rsid w:val="00416C79"/>
    <w:rsid w:val="00417BC1"/>
    <w:rsid w:val="00417E61"/>
    <w:rsid w:val="00417FD0"/>
    <w:rsid w:val="0042034E"/>
    <w:rsid w:val="00421BEF"/>
    <w:rsid w:val="00422A70"/>
    <w:rsid w:val="004234ED"/>
    <w:rsid w:val="0042412F"/>
    <w:rsid w:val="0042482C"/>
    <w:rsid w:val="00424BE0"/>
    <w:rsid w:val="00424D92"/>
    <w:rsid w:val="00426321"/>
    <w:rsid w:val="00426675"/>
    <w:rsid w:val="00426E0C"/>
    <w:rsid w:val="0042751E"/>
    <w:rsid w:val="004275F7"/>
    <w:rsid w:val="00430106"/>
    <w:rsid w:val="0043142C"/>
    <w:rsid w:val="004336CE"/>
    <w:rsid w:val="004339A8"/>
    <w:rsid w:val="00436B63"/>
    <w:rsid w:val="00436E21"/>
    <w:rsid w:val="004373B3"/>
    <w:rsid w:val="00437D15"/>
    <w:rsid w:val="004413DF"/>
    <w:rsid w:val="00443339"/>
    <w:rsid w:val="00443ADB"/>
    <w:rsid w:val="00444ABC"/>
    <w:rsid w:val="00445040"/>
    <w:rsid w:val="0044547A"/>
    <w:rsid w:val="004463AA"/>
    <w:rsid w:val="004468E4"/>
    <w:rsid w:val="004478EA"/>
    <w:rsid w:val="0045090B"/>
    <w:rsid w:val="00450A87"/>
    <w:rsid w:val="00450B27"/>
    <w:rsid w:val="00451EB7"/>
    <w:rsid w:val="00452807"/>
    <w:rsid w:val="004529FC"/>
    <w:rsid w:val="00452DE9"/>
    <w:rsid w:val="00452E0E"/>
    <w:rsid w:val="00453E2B"/>
    <w:rsid w:val="00454002"/>
    <w:rsid w:val="00454FEF"/>
    <w:rsid w:val="00455009"/>
    <w:rsid w:val="00456486"/>
    <w:rsid w:val="00456C1F"/>
    <w:rsid w:val="004573E5"/>
    <w:rsid w:val="0045761A"/>
    <w:rsid w:val="0046147B"/>
    <w:rsid w:val="00463AF9"/>
    <w:rsid w:val="00464883"/>
    <w:rsid w:val="00464A18"/>
    <w:rsid w:val="00464C9F"/>
    <w:rsid w:val="00464FE3"/>
    <w:rsid w:val="0046566C"/>
    <w:rsid w:val="00467AA9"/>
    <w:rsid w:val="00471204"/>
    <w:rsid w:val="0047152D"/>
    <w:rsid w:val="00471C02"/>
    <w:rsid w:val="00472526"/>
    <w:rsid w:val="00472BBF"/>
    <w:rsid w:val="0047365F"/>
    <w:rsid w:val="00475D9F"/>
    <w:rsid w:val="0047608A"/>
    <w:rsid w:val="00476B1B"/>
    <w:rsid w:val="004775F1"/>
    <w:rsid w:val="004804AF"/>
    <w:rsid w:val="004825BE"/>
    <w:rsid w:val="00483287"/>
    <w:rsid w:val="00483886"/>
    <w:rsid w:val="00483EEF"/>
    <w:rsid w:val="00483F65"/>
    <w:rsid w:val="0048418B"/>
    <w:rsid w:val="00485C12"/>
    <w:rsid w:val="004864CA"/>
    <w:rsid w:val="00486D20"/>
    <w:rsid w:val="004879D4"/>
    <w:rsid w:val="004917C2"/>
    <w:rsid w:val="0049354B"/>
    <w:rsid w:val="004938FE"/>
    <w:rsid w:val="00493ED2"/>
    <w:rsid w:val="004941FA"/>
    <w:rsid w:val="004949CB"/>
    <w:rsid w:val="004952CC"/>
    <w:rsid w:val="00495569"/>
    <w:rsid w:val="004957D0"/>
    <w:rsid w:val="00495A8F"/>
    <w:rsid w:val="00496898"/>
    <w:rsid w:val="00496C07"/>
    <w:rsid w:val="00497D28"/>
    <w:rsid w:val="004A0786"/>
    <w:rsid w:val="004A0C10"/>
    <w:rsid w:val="004A1262"/>
    <w:rsid w:val="004A16C9"/>
    <w:rsid w:val="004A1DE8"/>
    <w:rsid w:val="004A2401"/>
    <w:rsid w:val="004A242E"/>
    <w:rsid w:val="004A2525"/>
    <w:rsid w:val="004A259A"/>
    <w:rsid w:val="004A3228"/>
    <w:rsid w:val="004A3BFE"/>
    <w:rsid w:val="004A3EDB"/>
    <w:rsid w:val="004A3F12"/>
    <w:rsid w:val="004A3F98"/>
    <w:rsid w:val="004A4B21"/>
    <w:rsid w:val="004A4DE6"/>
    <w:rsid w:val="004A5D9F"/>
    <w:rsid w:val="004A5DBB"/>
    <w:rsid w:val="004A6319"/>
    <w:rsid w:val="004A64C7"/>
    <w:rsid w:val="004B0429"/>
    <w:rsid w:val="004B05C4"/>
    <w:rsid w:val="004B1211"/>
    <w:rsid w:val="004B23C1"/>
    <w:rsid w:val="004B273F"/>
    <w:rsid w:val="004B28DF"/>
    <w:rsid w:val="004B415D"/>
    <w:rsid w:val="004B452A"/>
    <w:rsid w:val="004B46C8"/>
    <w:rsid w:val="004B4CDA"/>
    <w:rsid w:val="004B583E"/>
    <w:rsid w:val="004B5A39"/>
    <w:rsid w:val="004B5D87"/>
    <w:rsid w:val="004B5FDF"/>
    <w:rsid w:val="004B6C28"/>
    <w:rsid w:val="004B78E1"/>
    <w:rsid w:val="004C00D8"/>
    <w:rsid w:val="004C0F45"/>
    <w:rsid w:val="004C1A8D"/>
    <w:rsid w:val="004C1B0F"/>
    <w:rsid w:val="004C24CD"/>
    <w:rsid w:val="004C28F1"/>
    <w:rsid w:val="004C299D"/>
    <w:rsid w:val="004C35B5"/>
    <w:rsid w:val="004C42E9"/>
    <w:rsid w:val="004C508E"/>
    <w:rsid w:val="004C67CB"/>
    <w:rsid w:val="004C6B00"/>
    <w:rsid w:val="004C71F6"/>
    <w:rsid w:val="004D2348"/>
    <w:rsid w:val="004D24FF"/>
    <w:rsid w:val="004D2903"/>
    <w:rsid w:val="004D5029"/>
    <w:rsid w:val="004D5382"/>
    <w:rsid w:val="004D5933"/>
    <w:rsid w:val="004D6F1D"/>
    <w:rsid w:val="004D70FF"/>
    <w:rsid w:val="004E0834"/>
    <w:rsid w:val="004E0A9C"/>
    <w:rsid w:val="004E1CAA"/>
    <w:rsid w:val="004E296D"/>
    <w:rsid w:val="004E2A7D"/>
    <w:rsid w:val="004E6395"/>
    <w:rsid w:val="004F25CB"/>
    <w:rsid w:val="004F25EE"/>
    <w:rsid w:val="004F2B59"/>
    <w:rsid w:val="004F39F0"/>
    <w:rsid w:val="004F41C3"/>
    <w:rsid w:val="004F5DCD"/>
    <w:rsid w:val="004F6D27"/>
    <w:rsid w:val="004F763B"/>
    <w:rsid w:val="00500E45"/>
    <w:rsid w:val="00502CD3"/>
    <w:rsid w:val="00502F4C"/>
    <w:rsid w:val="00503576"/>
    <w:rsid w:val="00503902"/>
    <w:rsid w:val="00504ADC"/>
    <w:rsid w:val="00504BC3"/>
    <w:rsid w:val="00505650"/>
    <w:rsid w:val="005067FE"/>
    <w:rsid w:val="005068AF"/>
    <w:rsid w:val="005075A6"/>
    <w:rsid w:val="00507FE4"/>
    <w:rsid w:val="00511488"/>
    <w:rsid w:val="00511A65"/>
    <w:rsid w:val="005136C2"/>
    <w:rsid w:val="00514121"/>
    <w:rsid w:val="00514D22"/>
    <w:rsid w:val="00514F52"/>
    <w:rsid w:val="005159F7"/>
    <w:rsid w:val="00515ED1"/>
    <w:rsid w:val="00516308"/>
    <w:rsid w:val="0051642B"/>
    <w:rsid w:val="005164E8"/>
    <w:rsid w:val="00517B7C"/>
    <w:rsid w:val="005214F2"/>
    <w:rsid w:val="005243FD"/>
    <w:rsid w:val="0052465A"/>
    <w:rsid w:val="005252CA"/>
    <w:rsid w:val="00530B56"/>
    <w:rsid w:val="00531062"/>
    <w:rsid w:val="005320FC"/>
    <w:rsid w:val="00532115"/>
    <w:rsid w:val="00532427"/>
    <w:rsid w:val="005324EA"/>
    <w:rsid w:val="00532A6F"/>
    <w:rsid w:val="005330FD"/>
    <w:rsid w:val="00533263"/>
    <w:rsid w:val="00534EA3"/>
    <w:rsid w:val="005358CF"/>
    <w:rsid w:val="00535A3E"/>
    <w:rsid w:val="005360E7"/>
    <w:rsid w:val="005408D8"/>
    <w:rsid w:val="00541199"/>
    <w:rsid w:val="00542C92"/>
    <w:rsid w:val="00542CE1"/>
    <w:rsid w:val="00542F1A"/>
    <w:rsid w:val="005440E4"/>
    <w:rsid w:val="00544D7C"/>
    <w:rsid w:val="005458E1"/>
    <w:rsid w:val="00546455"/>
    <w:rsid w:val="00546AFC"/>
    <w:rsid w:val="00546ED8"/>
    <w:rsid w:val="00547454"/>
    <w:rsid w:val="005475FC"/>
    <w:rsid w:val="00547FE8"/>
    <w:rsid w:val="00550174"/>
    <w:rsid w:val="0055075A"/>
    <w:rsid w:val="00550ACA"/>
    <w:rsid w:val="00552AD4"/>
    <w:rsid w:val="00553FA5"/>
    <w:rsid w:val="0055415C"/>
    <w:rsid w:val="0055424B"/>
    <w:rsid w:val="00556EF9"/>
    <w:rsid w:val="0055706C"/>
    <w:rsid w:val="00557310"/>
    <w:rsid w:val="005577B7"/>
    <w:rsid w:val="0056018A"/>
    <w:rsid w:val="00560BE2"/>
    <w:rsid w:val="005611C3"/>
    <w:rsid w:val="00561891"/>
    <w:rsid w:val="00562289"/>
    <w:rsid w:val="005623D7"/>
    <w:rsid w:val="00563157"/>
    <w:rsid w:val="00564824"/>
    <w:rsid w:val="00565294"/>
    <w:rsid w:val="0056614E"/>
    <w:rsid w:val="00566DF0"/>
    <w:rsid w:val="00566FAF"/>
    <w:rsid w:val="005670FF"/>
    <w:rsid w:val="00567614"/>
    <w:rsid w:val="005706A1"/>
    <w:rsid w:val="00571181"/>
    <w:rsid w:val="00575E36"/>
    <w:rsid w:val="00576610"/>
    <w:rsid w:val="00577116"/>
    <w:rsid w:val="005776AE"/>
    <w:rsid w:val="0058068B"/>
    <w:rsid w:val="00581BBD"/>
    <w:rsid w:val="0058448D"/>
    <w:rsid w:val="00584A45"/>
    <w:rsid w:val="00584B97"/>
    <w:rsid w:val="0058555B"/>
    <w:rsid w:val="00586AFC"/>
    <w:rsid w:val="00586D61"/>
    <w:rsid w:val="0058757C"/>
    <w:rsid w:val="00587EF3"/>
    <w:rsid w:val="005916AE"/>
    <w:rsid w:val="00591C56"/>
    <w:rsid w:val="005939DD"/>
    <w:rsid w:val="00593C1E"/>
    <w:rsid w:val="00593CF6"/>
    <w:rsid w:val="00593D05"/>
    <w:rsid w:val="0059488D"/>
    <w:rsid w:val="00594C47"/>
    <w:rsid w:val="00596310"/>
    <w:rsid w:val="00596823"/>
    <w:rsid w:val="00596F90"/>
    <w:rsid w:val="005A0DC1"/>
    <w:rsid w:val="005A16F1"/>
    <w:rsid w:val="005A1715"/>
    <w:rsid w:val="005A2CE8"/>
    <w:rsid w:val="005A33CB"/>
    <w:rsid w:val="005A3777"/>
    <w:rsid w:val="005A3D5C"/>
    <w:rsid w:val="005A4281"/>
    <w:rsid w:val="005A514E"/>
    <w:rsid w:val="005A6C23"/>
    <w:rsid w:val="005A74A9"/>
    <w:rsid w:val="005A7ECC"/>
    <w:rsid w:val="005B0CB5"/>
    <w:rsid w:val="005B158E"/>
    <w:rsid w:val="005B24C4"/>
    <w:rsid w:val="005B2A68"/>
    <w:rsid w:val="005B5E46"/>
    <w:rsid w:val="005B6EC3"/>
    <w:rsid w:val="005B74AB"/>
    <w:rsid w:val="005B7E51"/>
    <w:rsid w:val="005B7E79"/>
    <w:rsid w:val="005C0946"/>
    <w:rsid w:val="005C0A0C"/>
    <w:rsid w:val="005C274F"/>
    <w:rsid w:val="005C2ED4"/>
    <w:rsid w:val="005C42E6"/>
    <w:rsid w:val="005C64C4"/>
    <w:rsid w:val="005C7BF1"/>
    <w:rsid w:val="005C7FD1"/>
    <w:rsid w:val="005D1DB8"/>
    <w:rsid w:val="005D2427"/>
    <w:rsid w:val="005D2FB2"/>
    <w:rsid w:val="005D50D6"/>
    <w:rsid w:val="005D55D6"/>
    <w:rsid w:val="005D55F2"/>
    <w:rsid w:val="005D5D1B"/>
    <w:rsid w:val="005D5DFC"/>
    <w:rsid w:val="005D6EB3"/>
    <w:rsid w:val="005D731F"/>
    <w:rsid w:val="005E02B6"/>
    <w:rsid w:val="005E0D30"/>
    <w:rsid w:val="005E19D5"/>
    <w:rsid w:val="005E207B"/>
    <w:rsid w:val="005E26B3"/>
    <w:rsid w:val="005E2A2F"/>
    <w:rsid w:val="005E39B3"/>
    <w:rsid w:val="005E4047"/>
    <w:rsid w:val="005E428E"/>
    <w:rsid w:val="005E47A5"/>
    <w:rsid w:val="005E4DC1"/>
    <w:rsid w:val="005E5C4C"/>
    <w:rsid w:val="005E6BDA"/>
    <w:rsid w:val="005E7499"/>
    <w:rsid w:val="005E74BC"/>
    <w:rsid w:val="005F1DA8"/>
    <w:rsid w:val="005F34E0"/>
    <w:rsid w:val="005F49D7"/>
    <w:rsid w:val="005F4E8C"/>
    <w:rsid w:val="005F501B"/>
    <w:rsid w:val="005F6034"/>
    <w:rsid w:val="005F62B6"/>
    <w:rsid w:val="005F6A5A"/>
    <w:rsid w:val="005F790C"/>
    <w:rsid w:val="005F7CFD"/>
    <w:rsid w:val="006005D1"/>
    <w:rsid w:val="00601EE4"/>
    <w:rsid w:val="0060395C"/>
    <w:rsid w:val="00604328"/>
    <w:rsid w:val="006043DC"/>
    <w:rsid w:val="006053B5"/>
    <w:rsid w:val="00605807"/>
    <w:rsid w:val="0060766B"/>
    <w:rsid w:val="00607912"/>
    <w:rsid w:val="00610DE2"/>
    <w:rsid w:val="00612465"/>
    <w:rsid w:val="006128B4"/>
    <w:rsid w:val="00613E45"/>
    <w:rsid w:val="00614546"/>
    <w:rsid w:val="00614600"/>
    <w:rsid w:val="006158B7"/>
    <w:rsid w:val="00615CA0"/>
    <w:rsid w:val="006164E5"/>
    <w:rsid w:val="00617C80"/>
    <w:rsid w:val="00626914"/>
    <w:rsid w:val="00626D9A"/>
    <w:rsid w:val="006272FE"/>
    <w:rsid w:val="006300BF"/>
    <w:rsid w:val="006306F3"/>
    <w:rsid w:val="0063302D"/>
    <w:rsid w:val="00633B51"/>
    <w:rsid w:val="00633C79"/>
    <w:rsid w:val="00633F2E"/>
    <w:rsid w:val="00634ED8"/>
    <w:rsid w:val="00635FDB"/>
    <w:rsid w:val="00636654"/>
    <w:rsid w:val="0063750B"/>
    <w:rsid w:val="00640763"/>
    <w:rsid w:val="0064098E"/>
    <w:rsid w:val="00640F8F"/>
    <w:rsid w:val="00642103"/>
    <w:rsid w:val="0064239C"/>
    <w:rsid w:val="00642604"/>
    <w:rsid w:val="006435EF"/>
    <w:rsid w:val="00643A52"/>
    <w:rsid w:val="00643A64"/>
    <w:rsid w:val="006443DA"/>
    <w:rsid w:val="0064459F"/>
    <w:rsid w:val="00644E57"/>
    <w:rsid w:val="00645B0C"/>
    <w:rsid w:val="00646D9A"/>
    <w:rsid w:val="006474B9"/>
    <w:rsid w:val="006476DD"/>
    <w:rsid w:val="006477CA"/>
    <w:rsid w:val="00647C89"/>
    <w:rsid w:val="00651B96"/>
    <w:rsid w:val="00651E72"/>
    <w:rsid w:val="00651FDB"/>
    <w:rsid w:val="0065269B"/>
    <w:rsid w:val="00653020"/>
    <w:rsid w:val="006541A4"/>
    <w:rsid w:val="00655B1B"/>
    <w:rsid w:val="006560A3"/>
    <w:rsid w:val="006562D1"/>
    <w:rsid w:val="00656831"/>
    <w:rsid w:val="006574B2"/>
    <w:rsid w:val="00657E88"/>
    <w:rsid w:val="00660096"/>
    <w:rsid w:val="00660AE7"/>
    <w:rsid w:val="006614CE"/>
    <w:rsid w:val="00662E41"/>
    <w:rsid w:val="00662EE3"/>
    <w:rsid w:val="00664655"/>
    <w:rsid w:val="00664EE4"/>
    <w:rsid w:val="0066572F"/>
    <w:rsid w:val="00665EE0"/>
    <w:rsid w:val="006663AB"/>
    <w:rsid w:val="006676B6"/>
    <w:rsid w:val="006701AA"/>
    <w:rsid w:val="006706B8"/>
    <w:rsid w:val="00670740"/>
    <w:rsid w:val="00672DB5"/>
    <w:rsid w:val="006743BE"/>
    <w:rsid w:val="006752D4"/>
    <w:rsid w:val="00677E41"/>
    <w:rsid w:val="00681E86"/>
    <w:rsid w:val="0068204C"/>
    <w:rsid w:val="006833B4"/>
    <w:rsid w:val="00683C24"/>
    <w:rsid w:val="00685DB5"/>
    <w:rsid w:val="006861D7"/>
    <w:rsid w:val="006869D1"/>
    <w:rsid w:val="00687A9C"/>
    <w:rsid w:val="00690869"/>
    <w:rsid w:val="00690D3B"/>
    <w:rsid w:val="0069226B"/>
    <w:rsid w:val="00692507"/>
    <w:rsid w:val="0069255B"/>
    <w:rsid w:val="0069258B"/>
    <w:rsid w:val="00692C52"/>
    <w:rsid w:val="00694C16"/>
    <w:rsid w:val="006957A4"/>
    <w:rsid w:val="00695C58"/>
    <w:rsid w:val="006964CC"/>
    <w:rsid w:val="00696527"/>
    <w:rsid w:val="00696B3E"/>
    <w:rsid w:val="00696DB6"/>
    <w:rsid w:val="006978E7"/>
    <w:rsid w:val="006A03D8"/>
    <w:rsid w:val="006A1870"/>
    <w:rsid w:val="006A1CF8"/>
    <w:rsid w:val="006A3C30"/>
    <w:rsid w:val="006A3CF4"/>
    <w:rsid w:val="006A4BD7"/>
    <w:rsid w:val="006A54DC"/>
    <w:rsid w:val="006A5E34"/>
    <w:rsid w:val="006A71B8"/>
    <w:rsid w:val="006A7538"/>
    <w:rsid w:val="006A7722"/>
    <w:rsid w:val="006A785C"/>
    <w:rsid w:val="006B1C0E"/>
    <w:rsid w:val="006B33A7"/>
    <w:rsid w:val="006B50E2"/>
    <w:rsid w:val="006B76EF"/>
    <w:rsid w:val="006C07C5"/>
    <w:rsid w:val="006C0FAE"/>
    <w:rsid w:val="006C1D4D"/>
    <w:rsid w:val="006C26D1"/>
    <w:rsid w:val="006C3378"/>
    <w:rsid w:val="006C3E9F"/>
    <w:rsid w:val="006C4286"/>
    <w:rsid w:val="006C43A1"/>
    <w:rsid w:val="006C4BCF"/>
    <w:rsid w:val="006C56E5"/>
    <w:rsid w:val="006C6B24"/>
    <w:rsid w:val="006C79BA"/>
    <w:rsid w:val="006C7E1C"/>
    <w:rsid w:val="006D0516"/>
    <w:rsid w:val="006D0F9C"/>
    <w:rsid w:val="006D15D6"/>
    <w:rsid w:val="006D2CD4"/>
    <w:rsid w:val="006D3FE8"/>
    <w:rsid w:val="006D4E7D"/>
    <w:rsid w:val="006D7742"/>
    <w:rsid w:val="006E0AAF"/>
    <w:rsid w:val="006E3E48"/>
    <w:rsid w:val="006E4252"/>
    <w:rsid w:val="006E4488"/>
    <w:rsid w:val="006E5974"/>
    <w:rsid w:val="006E622A"/>
    <w:rsid w:val="006E6C07"/>
    <w:rsid w:val="006E70B2"/>
    <w:rsid w:val="006F03A6"/>
    <w:rsid w:val="006F1A86"/>
    <w:rsid w:val="006F2065"/>
    <w:rsid w:val="006F5870"/>
    <w:rsid w:val="007004A0"/>
    <w:rsid w:val="007009A0"/>
    <w:rsid w:val="00700E93"/>
    <w:rsid w:val="00700F3C"/>
    <w:rsid w:val="00701464"/>
    <w:rsid w:val="0070301A"/>
    <w:rsid w:val="007043D5"/>
    <w:rsid w:val="00704AFF"/>
    <w:rsid w:val="00705367"/>
    <w:rsid w:val="00705631"/>
    <w:rsid w:val="007058D8"/>
    <w:rsid w:val="00705990"/>
    <w:rsid w:val="007114B4"/>
    <w:rsid w:val="00713395"/>
    <w:rsid w:val="00713CAC"/>
    <w:rsid w:val="00715D2A"/>
    <w:rsid w:val="007164A3"/>
    <w:rsid w:val="0072059E"/>
    <w:rsid w:val="00720899"/>
    <w:rsid w:val="007208E1"/>
    <w:rsid w:val="007219DC"/>
    <w:rsid w:val="00721E57"/>
    <w:rsid w:val="00722CB9"/>
    <w:rsid w:val="00723F95"/>
    <w:rsid w:val="00723FC8"/>
    <w:rsid w:val="007250D5"/>
    <w:rsid w:val="0072674D"/>
    <w:rsid w:val="00726BE3"/>
    <w:rsid w:val="00730050"/>
    <w:rsid w:val="007302FE"/>
    <w:rsid w:val="00730BD6"/>
    <w:rsid w:val="00730F53"/>
    <w:rsid w:val="00732527"/>
    <w:rsid w:val="00732EB3"/>
    <w:rsid w:val="00734095"/>
    <w:rsid w:val="007340FE"/>
    <w:rsid w:val="00734C2B"/>
    <w:rsid w:val="00736150"/>
    <w:rsid w:val="007371EF"/>
    <w:rsid w:val="00737469"/>
    <w:rsid w:val="0073749D"/>
    <w:rsid w:val="00740A92"/>
    <w:rsid w:val="007440D7"/>
    <w:rsid w:val="00744AAE"/>
    <w:rsid w:val="00745043"/>
    <w:rsid w:val="0074547D"/>
    <w:rsid w:val="007471FC"/>
    <w:rsid w:val="0074758A"/>
    <w:rsid w:val="00747CD4"/>
    <w:rsid w:val="00753A11"/>
    <w:rsid w:val="00753BFC"/>
    <w:rsid w:val="00754EDE"/>
    <w:rsid w:val="00755C48"/>
    <w:rsid w:val="007562ED"/>
    <w:rsid w:val="0075687B"/>
    <w:rsid w:val="00757242"/>
    <w:rsid w:val="00757A2B"/>
    <w:rsid w:val="00757B02"/>
    <w:rsid w:val="00760272"/>
    <w:rsid w:val="00760AE4"/>
    <w:rsid w:val="00761B42"/>
    <w:rsid w:val="00761BBC"/>
    <w:rsid w:val="00761D26"/>
    <w:rsid w:val="007625E7"/>
    <w:rsid w:val="007652EE"/>
    <w:rsid w:val="00765B7A"/>
    <w:rsid w:val="0076632B"/>
    <w:rsid w:val="0076768B"/>
    <w:rsid w:val="0076772D"/>
    <w:rsid w:val="00770E38"/>
    <w:rsid w:val="00770F71"/>
    <w:rsid w:val="0077116A"/>
    <w:rsid w:val="0077172B"/>
    <w:rsid w:val="00773475"/>
    <w:rsid w:val="00774490"/>
    <w:rsid w:val="00776725"/>
    <w:rsid w:val="00776FF2"/>
    <w:rsid w:val="007770B2"/>
    <w:rsid w:val="007778E6"/>
    <w:rsid w:val="00780ADB"/>
    <w:rsid w:val="007828F4"/>
    <w:rsid w:val="00782FAB"/>
    <w:rsid w:val="0078329E"/>
    <w:rsid w:val="007845CB"/>
    <w:rsid w:val="00785AD9"/>
    <w:rsid w:val="00786629"/>
    <w:rsid w:val="00786DDF"/>
    <w:rsid w:val="007874A6"/>
    <w:rsid w:val="00787927"/>
    <w:rsid w:val="00787DFF"/>
    <w:rsid w:val="00790259"/>
    <w:rsid w:val="007907BA"/>
    <w:rsid w:val="00790A70"/>
    <w:rsid w:val="00791709"/>
    <w:rsid w:val="00792B25"/>
    <w:rsid w:val="00793829"/>
    <w:rsid w:val="0079405C"/>
    <w:rsid w:val="00796496"/>
    <w:rsid w:val="00796B92"/>
    <w:rsid w:val="007A0361"/>
    <w:rsid w:val="007A0EF1"/>
    <w:rsid w:val="007A32D3"/>
    <w:rsid w:val="007A55D5"/>
    <w:rsid w:val="007A61F5"/>
    <w:rsid w:val="007A6263"/>
    <w:rsid w:val="007A6A3F"/>
    <w:rsid w:val="007A6E23"/>
    <w:rsid w:val="007A6E70"/>
    <w:rsid w:val="007A7D4C"/>
    <w:rsid w:val="007B112D"/>
    <w:rsid w:val="007B26A4"/>
    <w:rsid w:val="007B39F0"/>
    <w:rsid w:val="007B3DEF"/>
    <w:rsid w:val="007B4CB7"/>
    <w:rsid w:val="007B7E53"/>
    <w:rsid w:val="007B7F53"/>
    <w:rsid w:val="007C0103"/>
    <w:rsid w:val="007C040F"/>
    <w:rsid w:val="007C0561"/>
    <w:rsid w:val="007C0B6D"/>
    <w:rsid w:val="007C0F27"/>
    <w:rsid w:val="007C1458"/>
    <w:rsid w:val="007C1E05"/>
    <w:rsid w:val="007C28CC"/>
    <w:rsid w:val="007C2DF7"/>
    <w:rsid w:val="007C3E26"/>
    <w:rsid w:val="007C40CA"/>
    <w:rsid w:val="007C4132"/>
    <w:rsid w:val="007C5664"/>
    <w:rsid w:val="007C56E3"/>
    <w:rsid w:val="007C6FFA"/>
    <w:rsid w:val="007D0012"/>
    <w:rsid w:val="007D0844"/>
    <w:rsid w:val="007D196F"/>
    <w:rsid w:val="007D2422"/>
    <w:rsid w:val="007D35BD"/>
    <w:rsid w:val="007D3C5E"/>
    <w:rsid w:val="007D46B4"/>
    <w:rsid w:val="007D4BC5"/>
    <w:rsid w:val="007D4E85"/>
    <w:rsid w:val="007D673A"/>
    <w:rsid w:val="007D75D2"/>
    <w:rsid w:val="007D7BF4"/>
    <w:rsid w:val="007E1A07"/>
    <w:rsid w:val="007E1C3B"/>
    <w:rsid w:val="007E32DE"/>
    <w:rsid w:val="007E3AD5"/>
    <w:rsid w:val="007E4A67"/>
    <w:rsid w:val="007E543B"/>
    <w:rsid w:val="007E60DE"/>
    <w:rsid w:val="007E6C3F"/>
    <w:rsid w:val="007F2E3C"/>
    <w:rsid w:val="007F3EEE"/>
    <w:rsid w:val="007F3F52"/>
    <w:rsid w:val="007F524C"/>
    <w:rsid w:val="007F57CC"/>
    <w:rsid w:val="007F6B6F"/>
    <w:rsid w:val="007F6C36"/>
    <w:rsid w:val="007F798B"/>
    <w:rsid w:val="007F7BFA"/>
    <w:rsid w:val="00802206"/>
    <w:rsid w:val="00802AEF"/>
    <w:rsid w:val="00802F34"/>
    <w:rsid w:val="00803770"/>
    <w:rsid w:val="0080544A"/>
    <w:rsid w:val="008071F5"/>
    <w:rsid w:val="00810261"/>
    <w:rsid w:val="0081154C"/>
    <w:rsid w:val="00812569"/>
    <w:rsid w:val="00812E84"/>
    <w:rsid w:val="00812F83"/>
    <w:rsid w:val="00813B2F"/>
    <w:rsid w:val="00813B51"/>
    <w:rsid w:val="00815020"/>
    <w:rsid w:val="0081511E"/>
    <w:rsid w:val="00815CD6"/>
    <w:rsid w:val="008163F9"/>
    <w:rsid w:val="008164CE"/>
    <w:rsid w:val="0081685F"/>
    <w:rsid w:val="00816B2A"/>
    <w:rsid w:val="00816CBF"/>
    <w:rsid w:val="008171DA"/>
    <w:rsid w:val="008210BB"/>
    <w:rsid w:val="00822139"/>
    <w:rsid w:val="008223E3"/>
    <w:rsid w:val="0082399C"/>
    <w:rsid w:val="0082479D"/>
    <w:rsid w:val="008252CB"/>
    <w:rsid w:val="008258E5"/>
    <w:rsid w:val="0083027D"/>
    <w:rsid w:val="008309FA"/>
    <w:rsid w:val="00831AE2"/>
    <w:rsid w:val="008328DC"/>
    <w:rsid w:val="00832CA2"/>
    <w:rsid w:val="008333CF"/>
    <w:rsid w:val="0083351B"/>
    <w:rsid w:val="00834AF1"/>
    <w:rsid w:val="00835455"/>
    <w:rsid w:val="0083686F"/>
    <w:rsid w:val="008375E0"/>
    <w:rsid w:val="00840A3F"/>
    <w:rsid w:val="00840D35"/>
    <w:rsid w:val="00840D7D"/>
    <w:rsid w:val="00840F5A"/>
    <w:rsid w:val="00841A0D"/>
    <w:rsid w:val="00841BB0"/>
    <w:rsid w:val="0084405E"/>
    <w:rsid w:val="0084520D"/>
    <w:rsid w:val="008459DB"/>
    <w:rsid w:val="0084704A"/>
    <w:rsid w:val="0084715E"/>
    <w:rsid w:val="0084746F"/>
    <w:rsid w:val="00847976"/>
    <w:rsid w:val="00850485"/>
    <w:rsid w:val="00851433"/>
    <w:rsid w:val="00851625"/>
    <w:rsid w:val="0085208F"/>
    <w:rsid w:val="008526CA"/>
    <w:rsid w:val="008535FC"/>
    <w:rsid w:val="0085438A"/>
    <w:rsid w:val="00856863"/>
    <w:rsid w:val="00857683"/>
    <w:rsid w:val="00857C2A"/>
    <w:rsid w:val="00860CC0"/>
    <w:rsid w:val="00860DEA"/>
    <w:rsid w:val="00862977"/>
    <w:rsid w:val="00863FF0"/>
    <w:rsid w:val="00864505"/>
    <w:rsid w:val="00866569"/>
    <w:rsid w:val="00866628"/>
    <w:rsid w:val="008677FA"/>
    <w:rsid w:val="00867FD1"/>
    <w:rsid w:val="00870767"/>
    <w:rsid w:val="00870C48"/>
    <w:rsid w:val="00870DE1"/>
    <w:rsid w:val="00870F8B"/>
    <w:rsid w:val="00873713"/>
    <w:rsid w:val="0087372C"/>
    <w:rsid w:val="00875054"/>
    <w:rsid w:val="00875775"/>
    <w:rsid w:val="00875A6B"/>
    <w:rsid w:val="0087634B"/>
    <w:rsid w:val="00877C7C"/>
    <w:rsid w:val="00880AF1"/>
    <w:rsid w:val="00880B6D"/>
    <w:rsid w:val="00881AF8"/>
    <w:rsid w:val="008822AC"/>
    <w:rsid w:val="00882836"/>
    <w:rsid w:val="00884127"/>
    <w:rsid w:val="00884B9A"/>
    <w:rsid w:val="008853E0"/>
    <w:rsid w:val="008855AA"/>
    <w:rsid w:val="00885B72"/>
    <w:rsid w:val="0088703B"/>
    <w:rsid w:val="0088745D"/>
    <w:rsid w:val="008900B2"/>
    <w:rsid w:val="0089036D"/>
    <w:rsid w:val="008906F0"/>
    <w:rsid w:val="00892D20"/>
    <w:rsid w:val="008934F3"/>
    <w:rsid w:val="00893568"/>
    <w:rsid w:val="00894544"/>
    <w:rsid w:val="008952C3"/>
    <w:rsid w:val="00895D6A"/>
    <w:rsid w:val="008A0212"/>
    <w:rsid w:val="008A0A76"/>
    <w:rsid w:val="008A1374"/>
    <w:rsid w:val="008A1631"/>
    <w:rsid w:val="008A1BD6"/>
    <w:rsid w:val="008A1DC9"/>
    <w:rsid w:val="008A3175"/>
    <w:rsid w:val="008A4CFE"/>
    <w:rsid w:val="008A5972"/>
    <w:rsid w:val="008A5FCF"/>
    <w:rsid w:val="008A7DCC"/>
    <w:rsid w:val="008B09B6"/>
    <w:rsid w:val="008B1741"/>
    <w:rsid w:val="008B1D1E"/>
    <w:rsid w:val="008B2F8C"/>
    <w:rsid w:val="008B51F3"/>
    <w:rsid w:val="008B5D20"/>
    <w:rsid w:val="008B6D7E"/>
    <w:rsid w:val="008C1413"/>
    <w:rsid w:val="008C239C"/>
    <w:rsid w:val="008C4691"/>
    <w:rsid w:val="008C4708"/>
    <w:rsid w:val="008C4CE6"/>
    <w:rsid w:val="008C4D25"/>
    <w:rsid w:val="008C63B9"/>
    <w:rsid w:val="008C6D28"/>
    <w:rsid w:val="008C6D66"/>
    <w:rsid w:val="008C778E"/>
    <w:rsid w:val="008C7C01"/>
    <w:rsid w:val="008D1304"/>
    <w:rsid w:val="008D3368"/>
    <w:rsid w:val="008D34BB"/>
    <w:rsid w:val="008D369B"/>
    <w:rsid w:val="008D445D"/>
    <w:rsid w:val="008D57BF"/>
    <w:rsid w:val="008D67CF"/>
    <w:rsid w:val="008E052B"/>
    <w:rsid w:val="008E1515"/>
    <w:rsid w:val="008E43C7"/>
    <w:rsid w:val="008E63E8"/>
    <w:rsid w:val="008F0418"/>
    <w:rsid w:val="008F08DC"/>
    <w:rsid w:val="008F1381"/>
    <w:rsid w:val="008F1AEF"/>
    <w:rsid w:val="008F1F5D"/>
    <w:rsid w:val="008F1FEF"/>
    <w:rsid w:val="008F2A9E"/>
    <w:rsid w:val="008F3376"/>
    <w:rsid w:val="008F38EE"/>
    <w:rsid w:val="008F6135"/>
    <w:rsid w:val="008F6305"/>
    <w:rsid w:val="008F71AF"/>
    <w:rsid w:val="009008A0"/>
    <w:rsid w:val="00900A44"/>
    <w:rsid w:val="00902F35"/>
    <w:rsid w:val="009032D5"/>
    <w:rsid w:val="0090418B"/>
    <w:rsid w:val="00905055"/>
    <w:rsid w:val="00905D2A"/>
    <w:rsid w:val="00906A2A"/>
    <w:rsid w:val="00907097"/>
    <w:rsid w:val="0091056D"/>
    <w:rsid w:val="00910A7E"/>
    <w:rsid w:val="0091134E"/>
    <w:rsid w:val="00912F26"/>
    <w:rsid w:val="00913BFD"/>
    <w:rsid w:val="00913C71"/>
    <w:rsid w:val="009153F3"/>
    <w:rsid w:val="00921464"/>
    <w:rsid w:val="0092189F"/>
    <w:rsid w:val="0092192D"/>
    <w:rsid w:val="009222DB"/>
    <w:rsid w:val="00924A26"/>
    <w:rsid w:val="009270FA"/>
    <w:rsid w:val="0092722E"/>
    <w:rsid w:val="009275FC"/>
    <w:rsid w:val="0092774D"/>
    <w:rsid w:val="00930159"/>
    <w:rsid w:val="0093060C"/>
    <w:rsid w:val="00930D99"/>
    <w:rsid w:val="00931116"/>
    <w:rsid w:val="00932C9E"/>
    <w:rsid w:val="00932EDE"/>
    <w:rsid w:val="00933C86"/>
    <w:rsid w:val="00933D37"/>
    <w:rsid w:val="00933F77"/>
    <w:rsid w:val="0093469D"/>
    <w:rsid w:val="00935035"/>
    <w:rsid w:val="00936700"/>
    <w:rsid w:val="0093675E"/>
    <w:rsid w:val="00937530"/>
    <w:rsid w:val="009375D9"/>
    <w:rsid w:val="009401A8"/>
    <w:rsid w:val="00940BB3"/>
    <w:rsid w:val="009422E0"/>
    <w:rsid w:val="00943D1E"/>
    <w:rsid w:val="00943E1C"/>
    <w:rsid w:val="00944E26"/>
    <w:rsid w:val="0094581A"/>
    <w:rsid w:val="009478F7"/>
    <w:rsid w:val="00950301"/>
    <w:rsid w:val="00950CD0"/>
    <w:rsid w:val="00953C46"/>
    <w:rsid w:val="00955285"/>
    <w:rsid w:val="00956536"/>
    <w:rsid w:val="00956BD1"/>
    <w:rsid w:val="00956E9E"/>
    <w:rsid w:val="009570EA"/>
    <w:rsid w:val="00957A54"/>
    <w:rsid w:val="0096194D"/>
    <w:rsid w:val="00961986"/>
    <w:rsid w:val="0096221F"/>
    <w:rsid w:val="009637FE"/>
    <w:rsid w:val="00964264"/>
    <w:rsid w:val="00964438"/>
    <w:rsid w:val="00965B78"/>
    <w:rsid w:val="009662CE"/>
    <w:rsid w:val="00966DAA"/>
    <w:rsid w:val="00966E31"/>
    <w:rsid w:val="00966FF8"/>
    <w:rsid w:val="00970CB2"/>
    <w:rsid w:val="00971A0F"/>
    <w:rsid w:val="00971A9E"/>
    <w:rsid w:val="009723FF"/>
    <w:rsid w:val="009735B5"/>
    <w:rsid w:val="009736B0"/>
    <w:rsid w:val="00974A57"/>
    <w:rsid w:val="009774F4"/>
    <w:rsid w:val="00980F75"/>
    <w:rsid w:val="009820C6"/>
    <w:rsid w:val="009831D2"/>
    <w:rsid w:val="00983FA9"/>
    <w:rsid w:val="00984257"/>
    <w:rsid w:val="0098456F"/>
    <w:rsid w:val="00984818"/>
    <w:rsid w:val="009848B7"/>
    <w:rsid w:val="00986852"/>
    <w:rsid w:val="00986891"/>
    <w:rsid w:val="00986CD7"/>
    <w:rsid w:val="00991DBA"/>
    <w:rsid w:val="009923C1"/>
    <w:rsid w:val="009930C0"/>
    <w:rsid w:val="00993A2A"/>
    <w:rsid w:val="00994C29"/>
    <w:rsid w:val="00995510"/>
    <w:rsid w:val="00995C6F"/>
    <w:rsid w:val="00995E71"/>
    <w:rsid w:val="009964A4"/>
    <w:rsid w:val="0099695F"/>
    <w:rsid w:val="009969FF"/>
    <w:rsid w:val="0099726F"/>
    <w:rsid w:val="009A0ABB"/>
    <w:rsid w:val="009A1031"/>
    <w:rsid w:val="009A12EA"/>
    <w:rsid w:val="009A1867"/>
    <w:rsid w:val="009A1EC7"/>
    <w:rsid w:val="009A31C3"/>
    <w:rsid w:val="009A4536"/>
    <w:rsid w:val="009A75C4"/>
    <w:rsid w:val="009A7D6A"/>
    <w:rsid w:val="009B0153"/>
    <w:rsid w:val="009B02EB"/>
    <w:rsid w:val="009B04EF"/>
    <w:rsid w:val="009B0DF4"/>
    <w:rsid w:val="009B1281"/>
    <w:rsid w:val="009B2622"/>
    <w:rsid w:val="009B426B"/>
    <w:rsid w:val="009B4D11"/>
    <w:rsid w:val="009B50D9"/>
    <w:rsid w:val="009B62F1"/>
    <w:rsid w:val="009C0C51"/>
    <w:rsid w:val="009C1706"/>
    <w:rsid w:val="009C1FD3"/>
    <w:rsid w:val="009C2BC1"/>
    <w:rsid w:val="009C3441"/>
    <w:rsid w:val="009C4B3A"/>
    <w:rsid w:val="009C4EA2"/>
    <w:rsid w:val="009C53DF"/>
    <w:rsid w:val="009C5CEA"/>
    <w:rsid w:val="009C5FEC"/>
    <w:rsid w:val="009C73E2"/>
    <w:rsid w:val="009D0907"/>
    <w:rsid w:val="009D1524"/>
    <w:rsid w:val="009D1E2E"/>
    <w:rsid w:val="009D2859"/>
    <w:rsid w:val="009D292F"/>
    <w:rsid w:val="009D2B34"/>
    <w:rsid w:val="009D35BA"/>
    <w:rsid w:val="009D3AF0"/>
    <w:rsid w:val="009D3B13"/>
    <w:rsid w:val="009D3B31"/>
    <w:rsid w:val="009D43B2"/>
    <w:rsid w:val="009D493C"/>
    <w:rsid w:val="009D5217"/>
    <w:rsid w:val="009D5D97"/>
    <w:rsid w:val="009D5F81"/>
    <w:rsid w:val="009D62AD"/>
    <w:rsid w:val="009D6324"/>
    <w:rsid w:val="009D7EAE"/>
    <w:rsid w:val="009E05DC"/>
    <w:rsid w:val="009E0872"/>
    <w:rsid w:val="009E15B7"/>
    <w:rsid w:val="009E291F"/>
    <w:rsid w:val="009E3443"/>
    <w:rsid w:val="009E3CE2"/>
    <w:rsid w:val="009E3D76"/>
    <w:rsid w:val="009E3DFC"/>
    <w:rsid w:val="009F005D"/>
    <w:rsid w:val="009F11D8"/>
    <w:rsid w:val="009F1CD2"/>
    <w:rsid w:val="009F2973"/>
    <w:rsid w:val="009F35F2"/>
    <w:rsid w:val="009F36D4"/>
    <w:rsid w:val="009F4248"/>
    <w:rsid w:val="009F4901"/>
    <w:rsid w:val="009F50F8"/>
    <w:rsid w:val="009F529A"/>
    <w:rsid w:val="009F62E2"/>
    <w:rsid w:val="009F72A9"/>
    <w:rsid w:val="009F767D"/>
    <w:rsid w:val="009F7757"/>
    <w:rsid w:val="009F7798"/>
    <w:rsid w:val="009F7821"/>
    <w:rsid w:val="00A005F2"/>
    <w:rsid w:val="00A00A4D"/>
    <w:rsid w:val="00A00D2B"/>
    <w:rsid w:val="00A0135D"/>
    <w:rsid w:val="00A015CE"/>
    <w:rsid w:val="00A02E5E"/>
    <w:rsid w:val="00A034F0"/>
    <w:rsid w:val="00A05C5E"/>
    <w:rsid w:val="00A05D6E"/>
    <w:rsid w:val="00A0695D"/>
    <w:rsid w:val="00A06B85"/>
    <w:rsid w:val="00A0732C"/>
    <w:rsid w:val="00A0764F"/>
    <w:rsid w:val="00A1131C"/>
    <w:rsid w:val="00A1247C"/>
    <w:rsid w:val="00A12A61"/>
    <w:rsid w:val="00A12E0B"/>
    <w:rsid w:val="00A13293"/>
    <w:rsid w:val="00A13FB4"/>
    <w:rsid w:val="00A1466B"/>
    <w:rsid w:val="00A14C1E"/>
    <w:rsid w:val="00A14FFF"/>
    <w:rsid w:val="00A152A4"/>
    <w:rsid w:val="00A16722"/>
    <w:rsid w:val="00A16881"/>
    <w:rsid w:val="00A16AF8"/>
    <w:rsid w:val="00A17027"/>
    <w:rsid w:val="00A20876"/>
    <w:rsid w:val="00A20985"/>
    <w:rsid w:val="00A22CCF"/>
    <w:rsid w:val="00A235CC"/>
    <w:rsid w:val="00A24464"/>
    <w:rsid w:val="00A2621D"/>
    <w:rsid w:val="00A27C16"/>
    <w:rsid w:val="00A317B8"/>
    <w:rsid w:val="00A32282"/>
    <w:rsid w:val="00A32F43"/>
    <w:rsid w:val="00A3350E"/>
    <w:rsid w:val="00A33644"/>
    <w:rsid w:val="00A336B8"/>
    <w:rsid w:val="00A33DBF"/>
    <w:rsid w:val="00A33FA7"/>
    <w:rsid w:val="00A36AB6"/>
    <w:rsid w:val="00A37946"/>
    <w:rsid w:val="00A40BE1"/>
    <w:rsid w:val="00A40D3F"/>
    <w:rsid w:val="00A40DB4"/>
    <w:rsid w:val="00A42413"/>
    <w:rsid w:val="00A429E9"/>
    <w:rsid w:val="00A42A19"/>
    <w:rsid w:val="00A42AC4"/>
    <w:rsid w:val="00A43D1C"/>
    <w:rsid w:val="00A44950"/>
    <w:rsid w:val="00A45332"/>
    <w:rsid w:val="00A45F6A"/>
    <w:rsid w:val="00A460F7"/>
    <w:rsid w:val="00A464D4"/>
    <w:rsid w:val="00A4734C"/>
    <w:rsid w:val="00A4789F"/>
    <w:rsid w:val="00A50496"/>
    <w:rsid w:val="00A512D5"/>
    <w:rsid w:val="00A51391"/>
    <w:rsid w:val="00A513A2"/>
    <w:rsid w:val="00A51F5C"/>
    <w:rsid w:val="00A51F91"/>
    <w:rsid w:val="00A5214B"/>
    <w:rsid w:val="00A523CF"/>
    <w:rsid w:val="00A52596"/>
    <w:rsid w:val="00A52F8F"/>
    <w:rsid w:val="00A5312F"/>
    <w:rsid w:val="00A54A2C"/>
    <w:rsid w:val="00A54F40"/>
    <w:rsid w:val="00A5737B"/>
    <w:rsid w:val="00A5743C"/>
    <w:rsid w:val="00A57CE1"/>
    <w:rsid w:val="00A6065E"/>
    <w:rsid w:val="00A60C5E"/>
    <w:rsid w:val="00A620CF"/>
    <w:rsid w:val="00A63948"/>
    <w:rsid w:val="00A64767"/>
    <w:rsid w:val="00A64D85"/>
    <w:rsid w:val="00A65329"/>
    <w:rsid w:val="00A65377"/>
    <w:rsid w:val="00A65464"/>
    <w:rsid w:val="00A667C5"/>
    <w:rsid w:val="00A66A0D"/>
    <w:rsid w:val="00A6702C"/>
    <w:rsid w:val="00A6771A"/>
    <w:rsid w:val="00A67812"/>
    <w:rsid w:val="00A67E28"/>
    <w:rsid w:val="00A705EB"/>
    <w:rsid w:val="00A70E83"/>
    <w:rsid w:val="00A73075"/>
    <w:rsid w:val="00A733AA"/>
    <w:rsid w:val="00A73767"/>
    <w:rsid w:val="00A73D00"/>
    <w:rsid w:val="00A74E9C"/>
    <w:rsid w:val="00A74EC6"/>
    <w:rsid w:val="00A74F00"/>
    <w:rsid w:val="00A75837"/>
    <w:rsid w:val="00A773D4"/>
    <w:rsid w:val="00A77EF9"/>
    <w:rsid w:val="00A82867"/>
    <w:rsid w:val="00A829A1"/>
    <w:rsid w:val="00A82D09"/>
    <w:rsid w:val="00A82EA5"/>
    <w:rsid w:val="00A86D30"/>
    <w:rsid w:val="00A8725D"/>
    <w:rsid w:val="00A87AC5"/>
    <w:rsid w:val="00A905EA"/>
    <w:rsid w:val="00A908FA"/>
    <w:rsid w:val="00A90DB8"/>
    <w:rsid w:val="00A9400D"/>
    <w:rsid w:val="00A94280"/>
    <w:rsid w:val="00A94792"/>
    <w:rsid w:val="00A949E8"/>
    <w:rsid w:val="00A958A4"/>
    <w:rsid w:val="00A95A9C"/>
    <w:rsid w:val="00A95C34"/>
    <w:rsid w:val="00A95FE5"/>
    <w:rsid w:val="00A96799"/>
    <w:rsid w:val="00A967DC"/>
    <w:rsid w:val="00A9699A"/>
    <w:rsid w:val="00A96CBD"/>
    <w:rsid w:val="00AA1C39"/>
    <w:rsid w:val="00AA25CD"/>
    <w:rsid w:val="00AA2774"/>
    <w:rsid w:val="00AA2A5A"/>
    <w:rsid w:val="00AA32B9"/>
    <w:rsid w:val="00AA3519"/>
    <w:rsid w:val="00AA351D"/>
    <w:rsid w:val="00AA39D7"/>
    <w:rsid w:val="00AA433D"/>
    <w:rsid w:val="00AA4F5D"/>
    <w:rsid w:val="00AA50D1"/>
    <w:rsid w:val="00AA6B4C"/>
    <w:rsid w:val="00AA7399"/>
    <w:rsid w:val="00AA7864"/>
    <w:rsid w:val="00AA7921"/>
    <w:rsid w:val="00AB01C7"/>
    <w:rsid w:val="00AB0A63"/>
    <w:rsid w:val="00AB142D"/>
    <w:rsid w:val="00AB2B9F"/>
    <w:rsid w:val="00AB472A"/>
    <w:rsid w:val="00AB4AD6"/>
    <w:rsid w:val="00AB4F07"/>
    <w:rsid w:val="00AB4F49"/>
    <w:rsid w:val="00AB7187"/>
    <w:rsid w:val="00AB73A2"/>
    <w:rsid w:val="00AC0442"/>
    <w:rsid w:val="00AC07C9"/>
    <w:rsid w:val="00AC33A8"/>
    <w:rsid w:val="00AC360D"/>
    <w:rsid w:val="00AC5948"/>
    <w:rsid w:val="00AC6EBD"/>
    <w:rsid w:val="00AC6EFF"/>
    <w:rsid w:val="00AC7755"/>
    <w:rsid w:val="00AD0890"/>
    <w:rsid w:val="00AD2BBD"/>
    <w:rsid w:val="00AD2BD1"/>
    <w:rsid w:val="00AD3373"/>
    <w:rsid w:val="00AD3FED"/>
    <w:rsid w:val="00AD60BC"/>
    <w:rsid w:val="00AD622A"/>
    <w:rsid w:val="00AD69CD"/>
    <w:rsid w:val="00AD7024"/>
    <w:rsid w:val="00AD7A08"/>
    <w:rsid w:val="00AD7AD5"/>
    <w:rsid w:val="00AD7CD6"/>
    <w:rsid w:val="00AE0460"/>
    <w:rsid w:val="00AE0C6D"/>
    <w:rsid w:val="00AE0FF5"/>
    <w:rsid w:val="00AE2DDE"/>
    <w:rsid w:val="00AE344B"/>
    <w:rsid w:val="00AE3B95"/>
    <w:rsid w:val="00AE60F9"/>
    <w:rsid w:val="00AE63A7"/>
    <w:rsid w:val="00AE6CE5"/>
    <w:rsid w:val="00AE7CD5"/>
    <w:rsid w:val="00AE7E8B"/>
    <w:rsid w:val="00AF1E2F"/>
    <w:rsid w:val="00AF23AD"/>
    <w:rsid w:val="00AF270E"/>
    <w:rsid w:val="00AF28A5"/>
    <w:rsid w:val="00AF2953"/>
    <w:rsid w:val="00AF3B95"/>
    <w:rsid w:val="00AF3D5F"/>
    <w:rsid w:val="00AF5B06"/>
    <w:rsid w:val="00AF5FA9"/>
    <w:rsid w:val="00B01054"/>
    <w:rsid w:val="00B02F64"/>
    <w:rsid w:val="00B037B0"/>
    <w:rsid w:val="00B0472B"/>
    <w:rsid w:val="00B04F2F"/>
    <w:rsid w:val="00B05406"/>
    <w:rsid w:val="00B07E99"/>
    <w:rsid w:val="00B1039B"/>
    <w:rsid w:val="00B10887"/>
    <w:rsid w:val="00B10B3D"/>
    <w:rsid w:val="00B12247"/>
    <w:rsid w:val="00B1360F"/>
    <w:rsid w:val="00B1445C"/>
    <w:rsid w:val="00B144E5"/>
    <w:rsid w:val="00B146D9"/>
    <w:rsid w:val="00B14B6A"/>
    <w:rsid w:val="00B14E18"/>
    <w:rsid w:val="00B161F1"/>
    <w:rsid w:val="00B16716"/>
    <w:rsid w:val="00B16976"/>
    <w:rsid w:val="00B17173"/>
    <w:rsid w:val="00B2034D"/>
    <w:rsid w:val="00B208FD"/>
    <w:rsid w:val="00B20D9F"/>
    <w:rsid w:val="00B21725"/>
    <w:rsid w:val="00B21730"/>
    <w:rsid w:val="00B23038"/>
    <w:rsid w:val="00B23678"/>
    <w:rsid w:val="00B23A69"/>
    <w:rsid w:val="00B23C78"/>
    <w:rsid w:val="00B23DB4"/>
    <w:rsid w:val="00B276D3"/>
    <w:rsid w:val="00B27AA9"/>
    <w:rsid w:val="00B30660"/>
    <w:rsid w:val="00B30A28"/>
    <w:rsid w:val="00B32771"/>
    <w:rsid w:val="00B359B9"/>
    <w:rsid w:val="00B35C98"/>
    <w:rsid w:val="00B402F6"/>
    <w:rsid w:val="00B40795"/>
    <w:rsid w:val="00B410D4"/>
    <w:rsid w:val="00B41B8D"/>
    <w:rsid w:val="00B42329"/>
    <w:rsid w:val="00B42FA1"/>
    <w:rsid w:val="00B43118"/>
    <w:rsid w:val="00B43178"/>
    <w:rsid w:val="00B43364"/>
    <w:rsid w:val="00B43886"/>
    <w:rsid w:val="00B43FCE"/>
    <w:rsid w:val="00B44E5B"/>
    <w:rsid w:val="00B44EA4"/>
    <w:rsid w:val="00B44F1B"/>
    <w:rsid w:val="00B451FA"/>
    <w:rsid w:val="00B45C48"/>
    <w:rsid w:val="00B45E67"/>
    <w:rsid w:val="00B46066"/>
    <w:rsid w:val="00B46F2B"/>
    <w:rsid w:val="00B471E1"/>
    <w:rsid w:val="00B473C2"/>
    <w:rsid w:val="00B47624"/>
    <w:rsid w:val="00B47F5F"/>
    <w:rsid w:val="00B5057E"/>
    <w:rsid w:val="00B50D10"/>
    <w:rsid w:val="00B51EC9"/>
    <w:rsid w:val="00B53003"/>
    <w:rsid w:val="00B53F6B"/>
    <w:rsid w:val="00B5475D"/>
    <w:rsid w:val="00B54FCE"/>
    <w:rsid w:val="00B56DE1"/>
    <w:rsid w:val="00B56F89"/>
    <w:rsid w:val="00B57A7C"/>
    <w:rsid w:val="00B57CA0"/>
    <w:rsid w:val="00B600DA"/>
    <w:rsid w:val="00B6084B"/>
    <w:rsid w:val="00B614C4"/>
    <w:rsid w:val="00B62365"/>
    <w:rsid w:val="00B64671"/>
    <w:rsid w:val="00B6574D"/>
    <w:rsid w:val="00B6596B"/>
    <w:rsid w:val="00B659DC"/>
    <w:rsid w:val="00B65C4F"/>
    <w:rsid w:val="00B67402"/>
    <w:rsid w:val="00B705DC"/>
    <w:rsid w:val="00B71E43"/>
    <w:rsid w:val="00B727F0"/>
    <w:rsid w:val="00B7330E"/>
    <w:rsid w:val="00B73E0E"/>
    <w:rsid w:val="00B75050"/>
    <w:rsid w:val="00B758AB"/>
    <w:rsid w:val="00B807F4"/>
    <w:rsid w:val="00B80C93"/>
    <w:rsid w:val="00B8135F"/>
    <w:rsid w:val="00B813E2"/>
    <w:rsid w:val="00B85E39"/>
    <w:rsid w:val="00B872FA"/>
    <w:rsid w:val="00B8752E"/>
    <w:rsid w:val="00B87829"/>
    <w:rsid w:val="00B87A96"/>
    <w:rsid w:val="00B87AE6"/>
    <w:rsid w:val="00B910F2"/>
    <w:rsid w:val="00B932B0"/>
    <w:rsid w:val="00B944C5"/>
    <w:rsid w:val="00B94E20"/>
    <w:rsid w:val="00B94ECD"/>
    <w:rsid w:val="00B9511E"/>
    <w:rsid w:val="00B965A0"/>
    <w:rsid w:val="00B973E6"/>
    <w:rsid w:val="00BA0C34"/>
    <w:rsid w:val="00BA1767"/>
    <w:rsid w:val="00BA1E41"/>
    <w:rsid w:val="00BA2167"/>
    <w:rsid w:val="00BA236C"/>
    <w:rsid w:val="00BA2962"/>
    <w:rsid w:val="00BA38F0"/>
    <w:rsid w:val="00BA3FA5"/>
    <w:rsid w:val="00BA49D8"/>
    <w:rsid w:val="00BA5CB6"/>
    <w:rsid w:val="00BA6C3D"/>
    <w:rsid w:val="00BA77A3"/>
    <w:rsid w:val="00BB3150"/>
    <w:rsid w:val="00BB4062"/>
    <w:rsid w:val="00BB4137"/>
    <w:rsid w:val="00BB45D2"/>
    <w:rsid w:val="00BB5225"/>
    <w:rsid w:val="00BB6131"/>
    <w:rsid w:val="00BC0BC0"/>
    <w:rsid w:val="00BC1E0F"/>
    <w:rsid w:val="00BC2B7D"/>
    <w:rsid w:val="00BC3C60"/>
    <w:rsid w:val="00BC5FA3"/>
    <w:rsid w:val="00BC75B5"/>
    <w:rsid w:val="00BC76B0"/>
    <w:rsid w:val="00BC7B17"/>
    <w:rsid w:val="00BD01B5"/>
    <w:rsid w:val="00BD1849"/>
    <w:rsid w:val="00BD19FF"/>
    <w:rsid w:val="00BD37E1"/>
    <w:rsid w:val="00BD59A6"/>
    <w:rsid w:val="00BD5F1F"/>
    <w:rsid w:val="00BD6F36"/>
    <w:rsid w:val="00BD6F65"/>
    <w:rsid w:val="00BE0068"/>
    <w:rsid w:val="00BE101D"/>
    <w:rsid w:val="00BE207D"/>
    <w:rsid w:val="00BE2A79"/>
    <w:rsid w:val="00BE2C12"/>
    <w:rsid w:val="00BE2F33"/>
    <w:rsid w:val="00BE36F0"/>
    <w:rsid w:val="00BE4F35"/>
    <w:rsid w:val="00BE7D14"/>
    <w:rsid w:val="00BF0323"/>
    <w:rsid w:val="00BF070D"/>
    <w:rsid w:val="00BF0D6B"/>
    <w:rsid w:val="00BF2777"/>
    <w:rsid w:val="00BF2B86"/>
    <w:rsid w:val="00BF3110"/>
    <w:rsid w:val="00BF36F9"/>
    <w:rsid w:val="00BF3870"/>
    <w:rsid w:val="00BF4F60"/>
    <w:rsid w:val="00BF68FD"/>
    <w:rsid w:val="00BF732E"/>
    <w:rsid w:val="00BF7364"/>
    <w:rsid w:val="00BF75F8"/>
    <w:rsid w:val="00BF7DDE"/>
    <w:rsid w:val="00C00A6A"/>
    <w:rsid w:val="00C03DD7"/>
    <w:rsid w:val="00C03FCA"/>
    <w:rsid w:val="00C04313"/>
    <w:rsid w:val="00C0478A"/>
    <w:rsid w:val="00C06733"/>
    <w:rsid w:val="00C06D59"/>
    <w:rsid w:val="00C107A7"/>
    <w:rsid w:val="00C10CC9"/>
    <w:rsid w:val="00C11C68"/>
    <w:rsid w:val="00C11E5A"/>
    <w:rsid w:val="00C15E0F"/>
    <w:rsid w:val="00C16A68"/>
    <w:rsid w:val="00C16BBD"/>
    <w:rsid w:val="00C171BA"/>
    <w:rsid w:val="00C20582"/>
    <w:rsid w:val="00C22098"/>
    <w:rsid w:val="00C2243C"/>
    <w:rsid w:val="00C23472"/>
    <w:rsid w:val="00C23BB2"/>
    <w:rsid w:val="00C2549E"/>
    <w:rsid w:val="00C26C4E"/>
    <w:rsid w:val="00C33152"/>
    <w:rsid w:val="00C33A46"/>
    <w:rsid w:val="00C33A58"/>
    <w:rsid w:val="00C340E6"/>
    <w:rsid w:val="00C34C14"/>
    <w:rsid w:val="00C36A7B"/>
    <w:rsid w:val="00C36CC6"/>
    <w:rsid w:val="00C37BD5"/>
    <w:rsid w:val="00C4010A"/>
    <w:rsid w:val="00C40F5A"/>
    <w:rsid w:val="00C41584"/>
    <w:rsid w:val="00C41B14"/>
    <w:rsid w:val="00C426B6"/>
    <w:rsid w:val="00C435D4"/>
    <w:rsid w:val="00C44C79"/>
    <w:rsid w:val="00C44E10"/>
    <w:rsid w:val="00C45577"/>
    <w:rsid w:val="00C46473"/>
    <w:rsid w:val="00C46763"/>
    <w:rsid w:val="00C5173F"/>
    <w:rsid w:val="00C54244"/>
    <w:rsid w:val="00C5429E"/>
    <w:rsid w:val="00C60502"/>
    <w:rsid w:val="00C61032"/>
    <w:rsid w:val="00C613E1"/>
    <w:rsid w:val="00C6169C"/>
    <w:rsid w:val="00C6303F"/>
    <w:rsid w:val="00C6357D"/>
    <w:rsid w:val="00C635B3"/>
    <w:rsid w:val="00C64121"/>
    <w:rsid w:val="00C66442"/>
    <w:rsid w:val="00C66BBD"/>
    <w:rsid w:val="00C673CB"/>
    <w:rsid w:val="00C67E1B"/>
    <w:rsid w:val="00C7036F"/>
    <w:rsid w:val="00C70395"/>
    <w:rsid w:val="00C706C9"/>
    <w:rsid w:val="00C7189E"/>
    <w:rsid w:val="00C71D3D"/>
    <w:rsid w:val="00C72109"/>
    <w:rsid w:val="00C726DF"/>
    <w:rsid w:val="00C72928"/>
    <w:rsid w:val="00C74181"/>
    <w:rsid w:val="00C752FD"/>
    <w:rsid w:val="00C75F8A"/>
    <w:rsid w:val="00C7728D"/>
    <w:rsid w:val="00C804E2"/>
    <w:rsid w:val="00C80732"/>
    <w:rsid w:val="00C8128E"/>
    <w:rsid w:val="00C8207F"/>
    <w:rsid w:val="00C85968"/>
    <w:rsid w:val="00C86AFD"/>
    <w:rsid w:val="00C87673"/>
    <w:rsid w:val="00C87CD7"/>
    <w:rsid w:val="00C90E5D"/>
    <w:rsid w:val="00C914E8"/>
    <w:rsid w:val="00C9197B"/>
    <w:rsid w:val="00C9224A"/>
    <w:rsid w:val="00C92861"/>
    <w:rsid w:val="00C92A16"/>
    <w:rsid w:val="00C932E6"/>
    <w:rsid w:val="00C9369D"/>
    <w:rsid w:val="00C93BD7"/>
    <w:rsid w:val="00C93BF4"/>
    <w:rsid w:val="00C95040"/>
    <w:rsid w:val="00C95596"/>
    <w:rsid w:val="00C96509"/>
    <w:rsid w:val="00C96E07"/>
    <w:rsid w:val="00C9736F"/>
    <w:rsid w:val="00CA021C"/>
    <w:rsid w:val="00CA05F2"/>
    <w:rsid w:val="00CA104E"/>
    <w:rsid w:val="00CA123F"/>
    <w:rsid w:val="00CA2089"/>
    <w:rsid w:val="00CA2540"/>
    <w:rsid w:val="00CA259C"/>
    <w:rsid w:val="00CA3398"/>
    <w:rsid w:val="00CA3C23"/>
    <w:rsid w:val="00CA3F6C"/>
    <w:rsid w:val="00CA45E3"/>
    <w:rsid w:val="00CA4858"/>
    <w:rsid w:val="00CA488B"/>
    <w:rsid w:val="00CA4A96"/>
    <w:rsid w:val="00CA4FEE"/>
    <w:rsid w:val="00CA5788"/>
    <w:rsid w:val="00CA626D"/>
    <w:rsid w:val="00CA64FE"/>
    <w:rsid w:val="00CA6641"/>
    <w:rsid w:val="00CA6D78"/>
    <w:rsid w:val="00CA710A"/>
    <w:rsid w:val="00CA7A32"/>
    <w:rsid w:val="00CB0186"/>
    <w:rsid w:val="00CB1237"/>
    <w:rsid w:val="00CB2266"/>
    <w:rsid w:val="00CB29DB"/>
    <w:rsid w:val="00CB2E95"/>
    <w:rsid w:val="00CB35A8"/>
    <w:rsid w:val="00CB46EC"/>
    <w:rsid w:val="00CB4D0E"/>
    <w:rsid w:val="00CB599E"/>
    <w:rsid w:val="00CB5F9E"/>
    <w:rsid w:val="00CB650F"/>
    <w:rsid w:val="00CB6DD0"/>
    <w:rsid w:val="00CB70AE"/>
    <w:rsid w:val="00CB7D7F"/>
    <w:rsid w:val="00CB7EA8"/>
    <w:rsid w:val="00CC03F7"/>
    <w:rsid w:val="00CC0D11"/>
    <w:rsid w:val="00CC1264"/>
    <w:rsid w:val="00CC1E42"/>
    <w:rsid w:val="00CC319C"/>
    <w:rsid w:val="00CC474A"/>
    <w:rsid w:val="00CC48E7"/>
    <w:rsid w:val="00CC5024"/>
    <w:rsid w:val="00CC56D5"/>
    <w:rsid w:val="00CC5CFF"/>
    <w:rsid w:val="00CC63A1"/>
    <w:rsid w:val="00CD045D"/>
    <w:rsid w:val="00CD09A6"/>
    <w:rsid w:val="00CD09F1"/>
    <w:rsid w:val="00CD0AA7"/>
    <w:rsid w:val="00CD200E"/>
    <w:rsid w:val="00CD3152"/>
    <w:rsid w:val="00CD3516"/>
    <w:rsid w:val="00CD3A55"/>
    <w:rsid w:val="00CD3F00"/>
    <w:rsid w:val="00CD4375"/>
    <w:rsid w:val="00CD4670"/>
    <w:rsid w:val="00CD49AB"/>
    <w:rsid w:val="00CD51A7"/>
    <w:rsid w:val="00CD5645"/>
    <w:rsid w:val="00CD57BA"/>
    <w:rsid w:val="00CD5841"/>
    <w:rsid w:val="00CD662A"/>
    <w:rsid w:val="00CD67A5"/>
    <w:rsid w:val="00CD728C"/>
    <w:rsid w:val="00CD7809"/>
    <w:rsid w:val="00CD7A71"/>
    <w:rsid w:val="00CE0BAC"/>
    <w:rsid w:val="00CE0FD8"/>
    <w:rsid w:val="00CE164A"/>
    <w:rsid w:val="00CE1CB0"/>
    <w:rsid w:val="00CE1E96"/>
    <w:rsid w:val="00CE2E05"/>
    <w:rsid w:val="00CE3024"/>
    <w:rsid w:val="00CE357B"/>
    <w:rsid w:val="00CE3E2B"/>
    <w:rsid w:val="00CE4321"/>
    <w:rsid w:val="00CE4939"/>
    <w:rsid w:val="00CE5D19"/>
    <w:rsid w:val="00CE6E3A"/>
    <w:rsid w:val="00CE72E3"/>
    <w:rsid w:val="00CF0E17"/>
    <w:rsid w:val="00CF19AA"/>
    <w:rsid w:val="00CF28EF"/>
    <w:rsid w:val="00CF2F86"/>
    <w:rsid w:val="00CF3F27"/>
    <w:rsid w:val="00CF5508"/>
    <w:rsid w:val="00CF5BE7"/>
    <w:rsid w:val="00CF6731"/>
    <w:rsid w:val="00CF6825"/>
    <w:rsid w:val="00CF6DD0"/>
    <w:rsid w:val="00CF6EF3"/>
    <w:rsid w:val="00CF7872"/>
    <w:rsid w:val="00CF7F3C"/>
    <w:rsid w:val="00D0081E"/>
    <w:rsid w:val="00D00A95"/>
    <w:rsid w:val="00D03427"/>
    <w:rsid w:val="00D037AC"/>
    <w:rsid w:val="00D043DE"/>
    <w:rsid w:val="00D0445C"/>
    <w:rsid w:val="00D05824"/>
    <w:rsid w:val="00D1007E"/>
    <w:rsid w:val="00D101F6"/>
    <w:rsid w:val="00D10459"/>
    <w:rsid w:val="00D120F0"/>
    <w:rsid w:val="00D1228C"/>
    <w:rsid w:val="00D12BC2"/>
    <w:rsid w:val="00D1336A"/>
    <w:rsid w:val="00D13F3C"/>
    <w:rsid w:val="00D149AE"/>
    <w:rsid w:val="00D15278"/>
    <w:rsid w:val="00D1546A"/>
    <w:rsid w:val="00D15E7E"/>
    <w:rsid w:val="00D16AB1"/>
    <w:rsid w:val="00D17078"/>
    <w:rsid w:val="00D1731B"/>
    <w:rsid w:val="00D202F2"/>
    <w:rsid w:val="00D20B5D"/>
    <w:rsid w:val="00D20C5B"/>
    <w:rsid w:val="00D20D6B"/>
    <w:rsid w:val="00D21FE4"/>
    <w:rsid w:val="00D2225B"/>
    <w:rsid w:val="00D222BA"/>
    <w:rsid w:val="00D23080"/>
    <w:rsid w:val="00D2380A"/>
    <w:rsid w:val="00D24775"/>
    <w:rsid w:val="00D24B12"/>
    <w:rsid w:val="00D25451"/>
    <w:rsid w:val="00D255A3"/>
    <w:rsid w:val="00D26A6E"/>
    <w:rsid w:val="00D27154"/>
    <w:rsid w:val="00D2762A"/>
    <w:rsid w:val="00D30C27"/>
    <w:rsid w:val="00D30F4D"/>
    <w:rsid w:val="00D31429"/>
    <w:rsid w:val="00D31751"/>
    <w:rsid w:val="00D32CE8"/>
    <w:rsid w:val="00D34377"/>
    <w:rsid w:val="00D343EB"/>
    <w:rsid w:val="00D3452E"/>
    <w:rsid w:val="00D35860"/>
    <w:rsid w:val="00D35B3F"/>
    <w:rsid w:val="00D36099"/>
    <w:rsid w:val="00D36156"/>
    <w:rsid w:val="00D40FE3"/>
    <w:rsid w:val="00D42FBF"/>
    <w:rsid w:val="00D43008"/>
    <w:rsid w:val="00D43014"/>
    <w:rsid w:val="00D43BD4"/>
    <w:rsid w:val="00D44280"/>
    <w:rsid w:val="00D4445F"/>
    <w:rsid w:val="00D453EB"/>
    <w:rsid w:val="00D45697"/>
    <w:rsid w:val="00D46CE2"/>
    <w:rsid w:val="00D473B4"/>
    <w:rsid w:val="00D526D1"/>
    <w:rsid w:val="00D52A19"/>
    <w:rsid w:val="00D52AE0"/>
    <w:rsid w:val="00D537D1"/>
    <w:rsid w:val="00D53EE0"/>
    <w:rsid w:val="00D54106"/>
    <w:rsid w:val="00D548D0"/>
    <w:rsid w:val="00D550F5"/>
    <w:rsid w:val="00D55360"/>
    <w:rsid w:val="00D55628"/>
    <w:rsid w:val="00D579ED"/>
    <w:rsid w:val="00D61A96"/>
    <w:rsid w:val="00D61DE2"/>
    <w:rsid w:val="00D62879"/>
    <w:rsid w:val="00D62E3F"/>
    <w:rsid w:val="00D62F09"/>
    <w:rsid w:val="00D64B66"/>
    <w:rsid w:val="00D66F44"/>
    <w:rsid w:val="00D675FC"/>
    <w:rsid w:val="00D71E7E"/>
    <w:rsid w:val="00D724CA"/>
    <w:rsid w:val="00D72852"/>
    <w:rsid w:val="00D72F18"/>
    <w:rsid w:val="00D739E5"/>
    <w:rsid w:val="00D739FD"/>
    <w:rsid w:val="00D74BBD"/>
    <w:rsid w:val="00D7626E"/>
    <w:rsid w:val="00D76283"/>
    <w:rsid w:val="00D80202"/>
    <w:rsid w:val="00D805C9"/>
    <w:rsid w:val="00D81DA9"/>
    <w:rsid w:val="00D82381"/>
    <w:rsid w:val="00D829C3"/>
    <w:rsid w:val="00D83B01"/>
    <w:rsid w:val="00D85659"/>
    <w:rsid w:val="00D8568B"/>
    <w:rsid w:val="00D85D35"/>
    <w:rsid w:val="00D872C0"/>
    <w:rsid w:val="00D874FB"/>
    <w:rsid w:val="00D907AD"/>
    <w:rsid w:val="00D918B6"/>
    <w:rsid w:val="00D91C86"/>
    <w:rsid w:val="00D92449"/>
    <w:rsid w:val="00D92DA7"/>
    <w:rsid w:val="00D93C0C"/>
    <w:rsid w:val="00D95988"/>
    <w:rsid w:val="00D9599B"/>
    <w:rsid w:val="00D95F6F"/>
    <w:rsid w:val="00D9630A"/>
    <w:rsid w:val="00D967F5"/>
    <w:rsid w:val="00D96BAC"/>
    <w:rsid w:val="00D96FDD"/>
    <w:rsid w:val="00D9705D"/>
    <w:rsid w:val="00D974B9"/>
    <w:rsid w:val="00D97607"/>
    <w:rsid w:val="00DA0CFE"/>
    <w:rsid w:val="00DA0DA2"/>
    <w:rsid w:val="00DA2FC8"/>
    <w:rsid w:val="00DA3160"/>
    <w:rsid w:val="00DA3885"/>
    <w:rsid w:val="00DA3CE6"/>
    <w:rsid w:val="00DA3CF2"/>
    <w:rsid w:val="00DA4611"/>
    <w:rsid w:val="00DA471E"/>
    <w:rsid w:val="00DA4881"/>
    <w:rsid w:val="00DA4F33"/>
    <w:rsid w:val="00DA4F44"/>
    <w:rsid w:val="00DA5433"/>
    <w:rsid w:val="00DA5F52"/>
    <w:rsid w:val="00DA6027"/>
    <w:rsid w:val="00DA63DC"/>
    <w:rsid w:val="00DA70DD"/>
    <w:rsid w:val="00DB02C7"/>
    <w:rsid w:val="00DB0931"/>
    <w:rsid w:val="00DB235F"/>
    <w:rsid w:val="00DB3500"/>
    <w:rsid w:val="00DB3E46"/>
    <w:rsid w:val="00DB3E5B"/>
    <w:rsid w:val="00DB6058"/>
    <w:rsid w:val="00DB627F"/>
    <w:rsid w:val="00DB6287"/>
    <w:rsid w:val="00DB6ADD"/>
    <w:rsid w:val="00DB735F"/>
    <w:rsid w:val="00DB7958"/>
    <w:rsid w:val="00DC0B9A"/>
    <w:rsid w:val="00DC101A"/>
    <w:rsid w:val="00DC1DD8"/>
    <w:rsid w:val="00DC1F9C"/>
    <w:rsid w:val="00DC2914"/>
    <w:rsid w:val="00DC3B97"/>
    <w:rsid w:val="00DC3ED8"/>
    <w:rsid w:val="00DC3F61"/>
    <w:rsid w:val="00DC3F74"/>
    <w:rsid w:val="00DC42F8"/>
    <w:rsid w:val="00DC52E0"/>
    <w:rsid w:val="00DC7798"/>
    <w:rsid w:val="00DD03B4"/>
    <w:rsid w:val="00DD0B5E"/>
    <w:rsid w:val="00DD13A8"/>
    <w:rsid w:val="00DD4AD5"/>
    <w:rsid w:val="00DD52C9"/>
    <w:rsid w:val="00DD5B1F"/>
    <w:rsid w:val="00DD5EA2"/>
    <w:rsid w:val="00DD71AA"/>
    <w:rsid w:val="00DD7366"/>
    <w:rsid w:val="00DD7F6C"/>
    <w:rsid w:val="00DE0127"/>
    <w:rsid w:val="00DE0631"/>
    <w:rsid w:val="00DE10D5"/>
    <w:rsid w:val="00DE1C5D"/>
    <w:rsid w:val="00DE2715"/>
    <w:rsid w:val="00DE3304"/>
    <w:rsid w:val="00DE3681"/>
    <w:rsid w:val="00DE5090"/>
    <w:rsid w:val="00DE523D"/>
    <w:rsid w:val="00DE5844"/>
    <w:rsid w:val="00DE6199"/>
    <w:rsid w:val="00DE6F1C"/>
    <w:rsid w:val="00DE7148"/>
    <w:rsid w:val="00DE7208"/>
    <w:rsid w:val="00DF04E9"/>
    <w:rsid w:val="00DF0EBC"/>
    <w:rsid w:val="00DF13C6"/>
    <w:rsid w:val="00DF14FE"/>
    <w:rsid w:val="00DF1639"/>
    <w:rsid w:val="00DF2F1E"/>
    <w:rsid w:val="00DF3E1D"/>
    <w:rsid w:val="00DF6A04"/>
    <w:rsid w:val="00DF6BD3"/>
    <w:rsid w:val="00DF79F6"/>
    <w:rsid w:val="00E00FF0"/>
    <w:rsid w:val="00E01722"/>
    <w:rsid w:val="00E01FE1"/>
    <w:rsid w:val="00E02321"/>
    <w:rsid w:val="00E02600"/>
    <w:rsid w:val="00E031F9"/>
    <w:rsid w:val="00E03254"/>
    <w:rsid w:val="00E03F87"/>
    <w:rsid w:val="00E0548E"/>
    <w:rsid w:val="00E0632D"/>
    <w:rsid w:val="00E06652"/>
    <w:rsid w:val="00E06702"/>
    <w:rsid w:val="00E072AE"/>
    <w:rsid w:val="00E10019"/>
    <w:rsid w:val="00E105C7"/>
    <w:rsid w:val="00E10C40"/>
    <w:rsid w:val="00E121F2"/>
    <w:rsid w:val="00E13520"/>
    <w:rsid w:val="00E13975"/>
    <w:rsid w:val="00E1437D"/>
    <w:rsid w:val="00E156D4"/>
    <w:rsid w:val="00E15BB2"/>
    <w:rsid w:val="00E164CC"/>
    <w:rsid w:val="00E176C5"/>
    <w:rsid w:val="00E21948"/>
    <w:rsid w:val="00E21C93"/>
    <w:rsid w:val="00E23CDA"/>
    <w:rsid w:val="00E2561B"/>
    <w:rsid w:val="00E25CA6"/>
    <w:rsid w:val="00E25F44"/>
    <w:rsid w:val="00E265D7"/>
    <w:rsid w:val="00E267F4"/>
    <w:rsid w:val="00E26B0F"/>
    <w:rsid w:val="00E26D58"/>
    <w:rsid w:val="00E27629"/>
    <w:rsid w:val="00E2788A"/>
    <w:rsid w:val="00E30319"/>
    <w:rsid w:val="00E321B0"/>
    <w:rsid w:val="00E3258B"/>
    <w:rsid w:val="00E34F4A"/>
    <w:rsid w:val="00E35222"/>
    <w:rsid w:val="00E35AA9"/>
    <w:rsid w:val="00E36D2B"/>
    <w:rsid w:val="00E4044B"/>
    <w:rsid w:val="00E420E7"/>
    <w:rsid w:val="00E42345"/>
    <w:rsid w:val="00E4268A"/>
    <w:rsid w:val="00E42904"/>
    <w:rsid w:val="00E42E04"/>
    <w:rsid w:val="00E436AE"/>
    <w:rsid w:val="00E43B23"/>
    <w:rsid w:val="00E43ED3"/>
    <w:rsid w:val="00E45B64"/>
    <w:rsid w:val="00E4647F"/>
    <w:rsid w:val="00E464E5"/>
    <w:rsid w:val="00E473B3"/>
    <w:rsid w:val="00E504C3"/>
    <w:rsid w:val="00E5092F"/>
    <w:rsid w:val="00E50B26"/>
    <w:rsid w:val="00E51882"/>
    <w:rsid w:val="00E51FFA"/>
    <w:rsid w:val="00E521D6"/>
    <w:rsid w:val="00E53235"/>
    <w:rsid w:val="00E536B6"/>
    <w:rsid w:val="00E5407B"/>
    <w:rsid w:val="00E540EA"/>
    <w:rsid w:val="00E54CAE"/>
    <w:rsid w:val="00E54D27"/>
    <w:rsid w:val="00E55228"/>
    <w:rsid w:val="00E55440"/>
    <w:rsid w:val="00E5591E"/>
    <w:rsid w:val="00E55BD2"/>
    <w:rsid w:val="00E56A12"/>
    <w:rsid w:val="00E57588"/>
    <w:rsid w:val="00E57900"/>
    <w:rsid w:val="00E60240"/>
    <w:rsid w:val="00E6279A"/>
    <w:rsid w:val="00E665D2"/>
    <w:rsid w:val="00E72039"/>
    <w:rsid w:val="00E73795"/>
    <w:rsid w:val="00E748D0"/>
    <w:rsid w:val="00E74FB6"/>
    <w:rsid w:val="00E7585A"/>
    <w:rsid w:val="00E76ABA"/>
    <w:rsid w:val="00E76ED9"/>
    <w:rsid w:val="00E7715C"/>
    <w:rsid w:val="00E7754F"/>
    <w:rsid w:val="00E778D5"/>
    <w:rsid w:val="00E7798F"/>
    <w:rsid w:val="00E807C6"/>
    <w:rsid w:val="00E814EE"/>
    <w:rsid w:val="00E81C41"/>
    <w:rsid w:val="00E8206B"/>
    <w:rsid w:val="00E83AE6"/>
    <w:rsid w:val="00E85B45"/>
    <w:rsid w:val="00E85F21"/>
    <w:rsid w:val="00E86BBC"/>
    <w:rsid w:val="00E87EE0"/>
    <w:rsid w:val="00E901B5"/>
    <w:rsid w:val="00E9031A"/>
    <w:rsid w:val="00E90E0F"/>
    <w:rsid w:val="00E92226"/>
    <w:rsid w:val="00E92A7F"/>
    <w:rsid w:val="00E935E6"/>
    <w:rsid w:val="00E93665"/>
    <w:rsid w:val="00E93FA8"/>
    <w:rsid w:val="00E95668"/>
    <w:rsid w:val="00E95EC2"/>
    <w:rsid w:val="00EA0038"/>
    <w:rsid w:val="00EA0C11"/>
    <w:rsid w:val="00EA0FFE"/>
    <w:rsid w:val="00EA1D1F"/>
    <w:rsid w:val="00EA24A0"/>
    <w:rsid w:val="00EA2FF0"/>
    <w:rsid w:val="00EA3474"/>
    <w:rsid w:val="00EA3F81"/>
    <w:rsid w:val="00EA461D"/>
    <w:rsid w:val="00EA5DEC"/>
    <w:rsid w:val="00EA6BDC"/>
    <w:rsid w:val="00EB011D"/>
    <w:rsid w:val="00EB074D"/>
    <w:rsid w:val="00EB1874"/>
    <w:rsid w:val="00EB2997"/>
    <w:rsid w:val="00EB3429"/>
    <w:rsid w:val="00EB3D6D"/>
    <w:rsid w:val="00EB5754"/>
    <w:rsid w:val="00EB589F"/>
    <w:rsid w:val="00EC0520"/>
    <w:rsid w:val="00EC0777"/>
    <w:rsid w:val="00EC097F"/>
    <w:rsid w:val="00EC09EF"/>
    <w:rsid w:val="00EC1459"/>
    <w:rsid w:val="00EC225B"/>
    <w:rsid w:val="00EC2683"/>
    <w:rsid w:val="00EC347D"/>
    <w:rsid w:val="00EC55B5"/>
    <w:rsid w:val="00EC6ABF"/>
    <w:rsid w:val="00ED011F"/>
    <w:rsid w:val="00ED0A9A"/>
    <w:rsid w:val="00ED0D72"/>
    <w:rsid w:val="00ED0F98"/>
    <w:rsid w:val="00ED1292"/>
    <w:rsid w:val="00ED12C2"/>
    <w:rsid w:val="00ED1800"/>
    <w:rsid w:val="00ED1CC0"/>
    <w:rsid w:val="00ED3318"/>
    <w:rsid w:val="00ED36F2"/>
    <w:rsid w:val="00ED39E1"/>
    <w:rsid w:val="00ED55BC"/>
    <w:rsid w:val="00EE008D"/>
    <w:rsid w:val="00EE16F1"/>
    <w:rsid w:val="00EE226B"/>
    <w:rsid w:val="00EE23BB"/>
    <w:rsid w:val="00EE2D11"/>
    <w:rsid w:val="00EE3211"/>
    <w:rsid w:val="00EE3C37"/>
    <w:rsid w:val="00EE3E04"/>
    <w:rsid w:val="00EE5287"/>
    <w:rsid w:val="00EE64FA"/>
    <w:rsid w:val="00EE693B"/>
    <w:rsid w:val="00EE6E27"/>
    <w:rsid w:val="00EE73D6"/>
    <w:rsid w:val="00EE7407"/>
    <w:rsid w:val="00EF004F"/>
    <w:rsid w:val="00EF00E7"/>
    <w:rsid w:val="00EF1121"/>
    <w:rsid w:val="00EF1123"/>
    <w:rsid w:val="00EF196B"/>
    <w:rsid w:val="00EF3661"/>
    <w:rsid w:val="00EF38BF"/>
    <w:rsid w:val="00EF5AED"/>
    <w:rsid w:val="00EF5CA4"/>
    <w:rsid w:val="00EF6252"/>
    <w:rsid w:val="00EF680B"/>
    <w:rsid w:val="00EF699D"/>
    <w:rsid w:val="00EF75F4"/>
    <w:rsid w:val="00EF761B"/>
    <w:rsid w:val="00EF77DA"/>
    <w:rsid w:val="00EF7876"/>
    <w:rsid w:val="00F013A6"/>
    <w:rsid w:val="00F0266E"/>
    <w:rsid w:val="00F05E29"/>
    <w:rsid w:val="00F05E67"/>
    <w:rsid w:val="00F07AC8"/>
    <w:rsid w:val="00F11D2F"/>
    <w:rsid w:val="00F12883"/>
    <w:rsid w:val="00F128F8"/>
    <w:rsid w:val="00F13002"/>
    <w:rsid w:val="00F13BC0"/>
    <w:rsid w:val="00F150D4"/>
    <w:rsid w:val="00F174FD"/>
    <w:rsid w:val="00F17B14"/>
    <w:rsid w:val="00F20DE7"/>
    <w:rsid w:val="00F20E63"/>
    <w:rsid w:val="00F21E84"/>
    <w:rsid w:val="00F230C8"/>
    <w:rsid w:val="00F24056"/>
    <w:rsid w:val="00F241B5"/>
    <w:rsid w:val="00F244B0"/>
    <w:rsid w:val="00F25F03"/>
    <w:rsid w:val="00F26006"/>
    <w:rsid w:val="00F26B86"/>
    <w:rsid w:val="00F2735E"/>
    <w:rsid w:val="00F278C2"/>
    <w:rsid w:val="00F312AC"/>
    <w:rsid w:val="00F313AF"/>
    <w:rsid w:val="00F3149D"/>
    <w:rsid w:val="00F3173F"/>
    <w:rsid w:val="00F320D4"/>
    <w:rsid w:val="00F32657"/>
    <w:rsid w:val="00F32B96"/>
    <w:rsid w:val="00F34981"/>
    <w:rsid w:val="00F37B70"/>
    <w:rsid w:val="00F40397"/>
    <w:rsid w:val="00F403AB"/>
    <w:rsid w:val="00F40EF4"/>
    <w:rsid w:val="00F41E89"/>
    <w:rsid w:val="00F422EF"/>
    <w:rsid w:val="00F42855"/>
    <w:rsid w:val="00F42A07"/>
    <w:rsid w:val="00F42AC6"/>
    <w:rsid w:val="00F441AF"/>
    <w:rsid w:val="00F44363"/>
    <w:rsid w:val="00F466B1"/>
    <w:rsid w:val="00F47A91"/>
    <w:rsid w:val="00F47BAB"/>
    <w:rsid w:val="00F50380"/>
    <w:rsid w:val="00F51D61"/>
    <w:rsid w:val="00F524B5"/>
    <w:rsid w:val="00F528E8"/>
    <w:rsid w:val="00F52CE6"/>
    <w:rsid w:val="00F532EC"/>
    <w:rsid w:val="00F55584"/>
    <w:rsid w:val="00F5571F"/>
    <w:rsid w:val="00F55E4E"/>
    <w:rsid w:val="00F56B9D"/>
    <w:rsid w:val="00F56BB5"/>
    <w:rsid w:val="00F571D7"/>
    <w:rsid w:val="00F574DC"/>
    <w:rsid w:val="00F613EA"/>
    <w:rsid w:val="00F624F1"/>
    <w:rsid w:val="00F636FF"/>
    <w:rsid w:val="00F63FE1"/>
    <w:rsid w:val="00F65831"/>
    <w:rsid w:val="00F65DB1"/>
    <w:rsid w:val="00F66855"/>
    <w:rsid w:val="00F66BE0"/>
    <w:rsid w:val="00F70147"/>
    <w:rsid w:val="00F713D7"/>
    <w:rsid w:val="00F71C5C"/>
    <w:rsid w:val="00F72251"/>
    <w:rsid w:val="00F72289"/>
    <w:rsid w:val="00F730D1"/>
    <w:rsid w:val="00F74059"/>
    <w:rsid w:val="00F740B5"/>
    <w:rsid w:val="00F74F01"/>
    <w:rsid w:val="00F75B7C"/>
    <w:rsid w:val="00F7656D"/>
    <w:rsid w:val="00F7716B"/>
    <w:rsid w:val="00F8230E"/>
    <w:rsid w:val="00F84A90"/>
    <w:rsid w:val="00F855E3"/>
    <w:rsid w:val="00F85673"/>
    <w:rsid w:val="00F872A9"/>
    <w:rsid w:val="00F9074A"/>
    <w:rsid w:val="00F92ECF"/>
    <w:rsid w:val="00F93D57"/>
    <w:rsid w:val="00F9437E"/>
    <w:rsid w:val="00F944A2"/>
    <w:rsid w:val="00F948BA"/>
    <w:rsid w:val="00F94BCD"/>
    <w:rsid w:val="00F97436"/>
    <w:rsid w:val="00FA014D"/>
    <w:rsid w:val="00FA01BA"/>
    <w:rsid w:val="00FA047C"/>
    <w:rsid w:val="00FA084A"/>
    <w:rsid w:val="00FA13A3"/>
    <w:rsid w:val="00FA15FC"/>
    <w:rsid w:val="00FA3F40"/>
    <w:rsid w:val="00FA50EE"/>
    <w:rsid w:val="00FA5BFD"/>
    <w:rsid w:val="00FA7111"/>
    <w:rsid w:val="00FA7682"/>
    <w:rsid w:val="00FB040A"/>
    <w:rsid w:val="00FB15B6"/>
    <w:rsid w:val="00FB2209"/>
    <w:rsid w:val="00FB3B52"/>
    <w:rsid w:val="00FB6AC4"/>
    <w:rsid w:val="00FC09C6"/>
    <w:rsid w:val="00FC0E1D"/>
    <w:rsid w:val="00FC30DA"/>
    <w:rsid w:val="00FC40B3"/>
    <w:rsid w:val="00FD1225"/>
    <w:rsid w:val="00FD20C6"/>
    <w:rsid w:val="00FD255B"/>
    <w:rsid w:val="00FD2E11"/>
    <w:rsid w:val="00FD460D"/>
    <w:rsid w:val="00FD4804"/>
    <w:rsid w:val="00FD506E"/>
    <w:rsid w:val="00FD5395"/>
    <w:rsid w:val="00FD557A"/>
    <w:rsid w:val="00FD6014"/>
    <w:rsid w:val="00FD6418"/>
    <w:rsid w:val="00FD70ED"/>
    <w:rsid w:val="00FD7573"/>
    <w:rsid w:val="00FD7B81"/>
    <w:rsid w:val="00FD7B98"/>
    <w:rsid w:val="00FE0AC9"/>
    <w:rsid w:val="00FE29AA"/>
    <w:rsid w:val="00FE3415"/>
    <w:rsid w:val="00FE37D3"/>
    <w:rsid w:val="00FE5197"/>
    <w:rsid w:val="00FE59C7"/>
    <w:rsid w:val="00FE6093"/>
    <w:rsid w:val="00FE6D1B"/>
    <w:rsid w:val="00FE78C6"/>
    <w:rsid w:val="00FE79AA"/>
    <w:rsid w:val="00FE7DEF"/>
    <w:rsid w:val="00FF0C23"/>
    <w:rsid w:val="00FF127B"/>
    <w:rsid w:val="00FF3C8F"/>
    <w:rsid w:val="00FF3D37"/>
    <w:rsid w:val="00FF3E62"/>
    <w:rsid w:val="00FF4F84"/>
    <w:rsid w:val="00FF535D"/>
    <w:rsid w:val="00FF58AC"/>
    <w:rsid w:val="00FF5C98"/>
    <w:rsid w:val="00FF6381"/>
    <w:rsid w:val="00FF679D"/>
    <w:rsid w:val="00FF6DB2"/>
    <w:rsid w:val="00FF7E2F"/>
    <w:rsid w:val="012A1D4B"/>
    <w:rsid w:val="01382DB4"/>
    <w:rsid w:val="01457F6F"/>
    <w:rsid w:val="01747D1E"/>
    <w:rsid w:val="019D2E47"/>
    <w:rsid w:val="01B63198"/>
    <w:rsid w:val="01C43576"/>
    <w:rsid w:val="01C47CF3"/>
    <w:rsid w:val="01CF1907"/>
    <w:rsid w:val="01E4051A"/>
    <w:rsid w:val="01F178BE"/>
    <w:rsid w:val="022A1AA9"/>
    <w:rsid w:val="023006A7"/>
    <w:rsid w:val="0252665D"/>
    <w:rsid w:val="025F19CF"/>
    <w:rsid w:val="027E02F5"/>
    <w:rsid w:val="028376D4"/>
    <w:rsid w:val="028A13E5"/>
    <w:rsid w:val="02FF7A7B"/>
    <w:rsid w:val="035203D6"/>
    <w:rsid w:val="03610DE0"/>
    <w:rsid w:val="0361681B"/>
    <w:rsid w:val="03741FE2"/>
    <w:rsid w:val="03ED1CC0"/>
    <w:rsid w:val="03EE1902"/>
    <w:rsid w:val="04253FDA"/>
    <w:rsid w:val="0458071C"/>
    <w:rsid w:val="045C66B2"/>
    <w:rsid w:val="04641540"/>
    <w:rsid w:val="048A515F"/>
    <w:rsid w:val="0491498E"/>
    <w:rsid w:val="04A41675"/>
    <w:rsid w:val="04C4729C"/>
    <w:rsid w:val="04C837E3"/>
    <w:rsid w:val="04D253F8"/>
    <w:rsid w:val="05084354"/>
    <w:rsid w:val="0525422D"/>
    <w:rsid w:val="053B4857"/>
    <w:rsid w:val="05650543"/>
    <w:rsid w:val="056B1564"/>
    <w:rsid w:val="058B77B2"/>
    <w:rsid w:val="05A671DA"/>
    <w:rsid w:val="05B9261D"/>
    <w:rsid w:val="05D473BB"/>
    <w:rsid w:val="06176B56"/>
    <w:rsid w:val="0623601E"/>
    <w:rsid w:val="06597543"/>
    <w:rsid w:val="068C612B"/>
    <w:rsid w:val="06C33709"/>
    <w:rsid w:val="06D0743C"/>
    <w:rsid w:val="075E2523"/>
    <w:rsid w:val="077B5F48"/>
    <w:rsid w:val="07944BFB"/>
    <w:rsid w:val="079D55C2"/>
    <w:rsid w:val="079E63BC"/>
    <w:rsid w:val="07D26F91"/>
    <w:rsid w:val="07E439B3"/>
    <w:rsid w:val="081101EB"/>
    <w:rsid w:val="08377730"/>
    <w:rsid w:val="086C26E0"/>
    <w:rsid w:val="08822685"/>
    <w:rsid w:val="088C0A16"/>
    <w:rsid w:val="088E2F64"/>
    <w:rsid w:val="08C52D6F"/>
    <w:rsid w:val="08CE7D60"/>
    <w:rsid w:val="090A441A"/>
    <w:rsid w:val="09154278"/>
    <w:rsid w:val="0929584C"/>
    <w:rsid w:val="092E340E"/>
    <w:rsid w:val="093431FC"/>
    <w:rsid w:val="094E4EF9"/>
    <w:rsid w:val="0966617B"/>
    <w:rsid w:val="09AC0586"/>
    <w:rsid w:val="09DE12BD"/>
    <w:rsid w:val="09EF5D45"/>
    <w:rsid w:val="09F63589"/>
    <w:rsid w:val="0A4038E0"/>
    <w:rsid w:val="0A726387"/>
    <w:rsid w:val="0ACE25C2"/>
    <w:rsid w:val="0B243B52"/>
    <w:rsid w:val="0B591E2E"/>
    <w:rsid w:val="0B6049A4"/>
    <w:rsid w:val="0B7C2193"/>
    <w:rsid w:val="0B982B1A"/>
    <w:rsid w:val="0BCC1C74"/>
    <w:rsid w:val="0BCD1763"/>
    <w:rsid w:val="0C1D75EE"/>
    <w:rsid w:val="0C293640"/>
    <w:rsid w:val="0C3D56C6"/>
    <w:rsid w:val="0C5F0057"/>
    <w:rsid w:val="0C641ED9"/>
    <w:rsid w:val="0C691C6B"/>
    <w:rsid w:val="0C8619B5"/>
    <w:rsid w:val="0CB50A66"/>
    <w:rsid w:val="0CC06DF7"/>
    <w:rsid w:val="0CC35518"/>
    <w:rsid w:val="0D8A250C"/>
    <w:rsid w:val="0DAB121F"/>
    <w:rsid w:val="0DAF4501"/>
    <w:rsid w:val="0DEF62B6"/>
    <w:rsid w:val="0E3C75E8"/>
    <w:rsid w:val="0E5C591E"/>
    <w:rsid w:val="0E66157A"/>
    <w:rsid w:val="0E8419FF"/>
    <w:rsid w:val="0EB47E28"/>
    <w:rsid w:val="0EEA0A05"/>
    <w:rsid w:val="0EEE65D1"/>
    <w:rsid w:val="0F1152E7"/>
    <w:rsid w:val="0F4E27DE"/>
    <w:rsid w:val="0F6D575B"/>
    <w:rsid w:val="0F7E08B8"/>
    <w:rsid w:val="0F971E23"/>
    <w:rsid w:val="0FBD5617"/>
    <w:rsid w:val="0FE02217"/>
    <w:rsid w:val="103A162C"/>
    <w:rsid w:val="105C346F"/>
    <w:rsid w:val="107431BA"/>
    <w:rsid w:val="10927C20"/>
    <w:rsid w:val="109B03CC"/>
    <w:rsid w:val="109E452C"/>
    <w:rsid w:val="11127111"/>
    <w:rsid w:val="113D42B9"/>
    <w:rsid w:val="11515D18"/>
    <w:rsid w:val="11634A72"/>
    <w:rsid w:val="11645423"/>
    <w:rsid w:val="118B5AD6"/>
    <w:rsid w:val="11942369"/>
    <w:rsid w:val="12912E05"/>
    <w:rsid w:val="12A44024"/>
    <w:rsid w:val="12A97B84"/>
    <w:rsid w:val="12C03463"/>
    <w:rsid w:val="12FF1D3F"/>
    <w:rsid w:val="130A040F"/>
    <w:rsid w:val="13327318"/>
    <w:rsid w:val="13451321"/>
    <w:rsid w:val="134770B1"/>
    <w:rsid w:val="13887B1A"/>
    <w:rsid w:val="13AA413F"/>
    <w:rsid w:val="13D778B6"/>
    <w:rsid w:val="13E65301"/>
    <w:rsid w:val="140B4870"/>
    <w:rsid w:val="14162C01"/>
    <w:rsid w:val="141E411D"/>
    <w:rsid w:val="142D62D8"/>
    <w:rsid w:val="14417073"/>
    <w:rsid w:val="144615BF"/>
    <w:rsid w:val="14565413"/>
    <w:rsid w:val="14974E0A"/>
    <w:rsid w:val="14D56784"/>
    <w:rsid w:val="14E4621D"/>
    <w:rsid w:val="1508348E"/>
    <w:rsid w:val="150E2655"/>
    <w:rsid w:val="15203C88"/>
    <w:rsid w:val="15242DBE"/>
    <w:rsid w:val="1526273B"/>
    <w:rsid w:val="15317A6C"/>
    <w:rsid w:val="15436C63"/>
    <w:rsid w:val="154842EA"/>
    <w:rsid w:val="15B21729"/>
    <w:rsid w:val="15EB4E7C"/>
    <w:rsid w:val="15F92FD8"/>
    <w:rsid w:val="1620557D"/>
    <w:rsid w:val="167071E4"/>
    <w:rsid w:val="16733962"/>
    <w:rsid w:val="16757268"/>
    <w:rsid w:val="16AC5172"/>
    <w:rsid w:val="16FF19EA"/>
    <w:rsid w:val="172179B8"/>
    <w:rsid w:val="17DC4231"/>
    <w:rsid w:val="182944A3"/>
    <w:rsid w:val="1852743B"/>
    <w:rsid w:val="188B43D5"/>
    <w:rsid w:val="19024013"/>
    <w:rsid w:val="19414DFD"/>
    <w:rsid w:val="19420680"/>
    <w:rsid w:val="194C318E"/>
    <w:rsid w:val="195F115C"/>
    <w:rsid w:val="198A04EB"/>
    <w:rsid w:val="19AF5431"/>
    <w:rsid w:val="19CF3767"/>
    <w:rsid w:val="19E96131"/>
    <w:rsid w:val="19FC75E6"/>
    <w:rsid w:val="1A1041D0"/>
    <w:rsid w:val="1A247A97"/>
    <w:rsid w:val="1A3A7593"/>
    <w:rsid w:val="1A7C1301"/>
    <w:rsid w:val="1A985769"/>
    <w:rsid w:val="1A9C7638"/>
    <w:rsid w:val="1AA530AD"/>
    <w:rsid w:val="1ACC4497"/>
    <w:rsid w:val="1AFB58F2"/>
    <w:rsid w:val="1B2E3201"/>
    <w:rsid w:val="1B376301"/>
    <w:rsid w:val="1B380F38"/>
    <w:rsid w:val="1B6B6A0B"/>
    <w:rsid w:val="1B995899"/>
    <w:rsid w:val="1BDA585C"/>
    <w:rsid w:val="1C154F6E"/>
    <w:rsid w:val="1C197E29"/>
    <w:rsid w:val="1C4A49B2"/>
    <w:rsid w:val="1C4F6C7E"/>
    <w:rsid w:val="1C611926"/>
    <w:rsid w:val="1C625C9F"/>
    <w:rsid w:val="1C8B585D"/>
    <w:rsid w:val="1C912F6B"/>
    <w:rsid w:val="1CD30C0D"/>
    <w:rsid w:val="1D047EAE"/>
    <w:rsid w:val="1D6E70D6"/>
    <w:rsid w:val="1D7A568E"/>
    <w:rsid w:val="1DB3788D"/>
    <w:rsid w:val="1DB530CD"/>
    <w:rsid w:val="1DC23799"/>
    <w:rsid w:val="1DC24C84"/>
    <w:rsid w:val="1E2101FE"/>
    <w:rsid w:val="1E3B28B6"/>
    <w:rsid w:val="1E5E66D2"/>
    <w:rsid w:val="1E9130C5"/>
    <w:rsid w:val="1EA416D1"/>
    <w:rsid w:val="1EE61241"/>
    <w:rsid w:val="1F010A0B"/>
    <w:rsid w:val="1F06691B"/>
    <w:rsid w:val="1F1C0F96"/>
    <w:rsid w:val="1F1F7A4B"/>
    <w:rsid w:val="1F271CAA"/>
    <w:rsid w:val="1F3C63CC"/>
    <w:rsid w:val="1F602E2D"/>
    <w:rsid w:val="1F895B24"/>
    <w:rsid w:val="1F8A0ACB"/>
    <w:rsid w:val="1FCD7EB9"/>
    <w:rsid w:val="200A5B20"/>
    <w:rsid w:val="20163B31"/>
    <w:rsid w:val="20201EC2"/>
    <w:rsid w:val="204C14F0"/>
    <w:rsid w:val="20585C30"/>
    <w:rsid w:val="207A3E5E"/>
    <w:rsid w:val="20E91E42"/>
    <w:rsid w:val="215C795C"/>
    <w:rsid w:val="219463BD"/>
    <w:rsid w:val="21C76D7B"/>
    <w:rsid w:val="21E736FC"/>
    <w:rsid w:val="221E3F06"/>
    <w:rsid w:val="225F7D91"/>
    <w:rsid w:val="22645564"/>
    <w:rsid w:val="229628CB"/>
    <w:rsid w:val="22CC223E"/>
    <w:rsid w:val="22D20532"/>
    <w:rsid w:val="22D66F38"/>
    <w:rsid w:val="22DC346F"/>
    <w:rsid w:val="230B04B3"/>
    <w:rsid w:val="2364201F"/>
    <w:rsid w:val="23994FA1"/>
    <w:rsid w:val="23A52A88"/>
    <w:rsid w:val="23B0469D"/>
    <w:rsid w:val="23C1773C"/>
    <w:rsid w:val="24470995"/>
    <w:rsid w:val="24482291"/>
    <w:rsid w:val="25013D92"/>
    <w:rsid w:val="254863CC"/>
    <w:rsid w:val="258E2D61"/>
    <w:rsid w:val="25BF6788"/>
    <w:rsid w:val="260F5480"/>
    <w:rsid w:val="26414BCF"/>
    <w:rsid w:val="268D1C16"/>
    <w:rsid w:val="269D1C78"/>
    <w:rsid w:val="26A06F6E"/>
    <w:rsid w:val="26B639D7"/>
    <w:rsid w:val="26CC2619"/>
    <w:rsid w:val="26DE0FD1"/>
    <w:rsid w:val="26E31B2E"/>
    <w:rsid w:val="26EE1790"/>
    <w:rsid w:val="26FE21D3"/>
    <w:rsid w:val="272E1546"/>
    <w:rsid w:val="2781405D"/>
    <w:rsid w:val="28010842"/>
    <w:rsid w:val="280B3FC1"/>
    <w:rsid w:val="285E3505"/>
    <w:rsid w:val="287149A1"/>
    <w:rsid w:val="28AF344A"/>
    <w:rsid w:val="28B14910"/>
    <w:rsid w:val="28DC6898"/>
    <w:rsid w:val="29651877"/>
    <w:rsid w:val="296A7081"/>
    <w:rsid w:val="29854031"/>
    <w:rsid w:val="29880BEA"/>
    <w:rsid w:val="298B6CA9"/>
    <w:rsid w:val="29980F12"/>
    <w:rsid w:val="29F91A02"/>
    <w:rsid w:val="2A1A4572"/>
    <w:rsid w:val="2A230DAE"/>
    <w:rsid w:val="2A3B04C1"/>
    <w:rsid w:val="2A423861"/>
    <w:rsid w:val="2AB22C1B"/>
    <w:rsid w:val="2AC5168D"/>
    <w:rsid w:val="2AEA3A1A"/>
    <w:rsid w:val="2B267866"/>
    <w:rsid w:val="2B2A1401"/>
    <w:rsid w:val="2B320F6B"/>
    <w:rsid w:val="2B3C72FC"/>
    <w:rsid w:val="2B4E725B"/>
    <w:rsid w:val="2B742BA8"/>
    <w:rsid w:val="2C25678C"/>
    <w:rsid w:val="2C623061"/>
    <w:rsid w:val="2CBB07AB"/>
    <w:rsid w:val="2CEF21C5"/>
    <w:rsid w:val="2D452F54"/>
    <w:rsid w:val="2D5A676F"/>
    <w:rsid w:val="2D5C36BA"/>
    <w:rsid w:val="2D6F1F0F"/>
    <w:rsid w:val="2D7F48D8"/>
    <w:rsid w:val="2DBD6096"/>
    <w:rsid w:val="2DC77CAA"/>
    <w:rsid w:val="2E257A8C"/>
    <w:rsid w:val="2EB612F6"/>
    <w:rsid w:val="2EC36149"/>
    <w:rsid w:val="2ECC1AD7"/>
    <w:rsid w:val="2F0D2540"/>
    <w:rsid w:val="2F386C07"/>
    <w:rsid w:val="2F7552B2"/>
    <w:rsid w:val="2F9842B2"/>
    <w:rsid w:val="2FCE0F61"/>
    <w:rsid w:val="2FD62A87"/>
    <w:rsid w:val="304D1C49"/>
    <w:rsid w:val="305D6C29"/>
    <w:rsid w:val="30771B9B"/>
    <w:rsid w:val="307D149D"/>
    <w:rsid w:val="30C10EB6"/>
    <w:rsid w:val="30D7336F"/>
    <w:rsid w:val="30E27DF7"/>
    <w:rsid w:val="30E531BD"/>
    <w:rsid w:val="30EB624E"/>
    <w:rsid w:val="311D09DC"/>
    <w:rsid w:val="312F5E08"/>
    <w:rsid w:val="3157337F"/>
    <w:rsid w:val="318254C8"/>
    <w:rsid w:val="318A5CEF"/>
    <w:rsid w:val="319A5D04"/>
    <w:rsid w:val="31B44F8F"/>
    <w:rsid w:val="31F9640B"/>
    <w:rsid w:val="3204001F"/>
    <w:rsid w:val="32242AD2"/>
    <w:rsid w:val="322A3DF1"/>
    <w:rsid w:val="328234D4"/>
    <w:rsid w:val="328E1B6C"/>
    <w:rsid w:val="32C91C94"/>
    <w:rsid w:val="32ED5142"/>
    <w:rsid w:val="32F66563"/>
    <w:rsid w:val="32F93DAF"/>
    <w:rsid w:val="330672EA"/>
    <w:rsid w:val="333F0CA1"/>
    <w:rsid w:val="336921DA"/>
    <w:rsid w:val="33C92B36"/>
    <w:rsid w:val="33CE41B8"/>
    <w:rsid w:val="33D72119"/>
    <w:rsid w:val="33F73CD2"/>
    <w:rsid w:val="342324BA"/>
    <w:rsid w:val="34270272"/>
    <w:rsid w:val="344779A5"/>
    <w:rsid w:val="3485026F"/>
    <w:rsid w:val="34933B51"/>
    <w:rsid w:val="34A90CC0"/>
    <w:rsid w:val="34F27A73"/>
    <w:rsid w:val="35216666"/>
    <w:rsid w:val="353F7ACA"/>
    <w:rsid w:val="35610FCE"/>
    <w:rsid w:val="358E1AEB"/>
    <w:rsid w:val="35A03CE6"/>
    <w:rsid w:val="35B80C45"/>
    <w:rsid w:val="35C032BE"/>
    <w:rsid w:val="35D579E0"/>
    <w:rsid w:val="35E84964"/>
    <w:rsid w:val="36574FA9"/>
    <w:rsid w:val="366D46DB"/>
    <w:rsid w:val="36820DFD"/>
    <w:rsid w:val="368D718F"/>
    <w:rsid w:val="36CB087B"/>
    <w:rsid w:val="36DB4D0F"/>
    <w:rsid w:val="371812F1"/>
    <w:rsid w:val="374D0B1B"/>
    <w:rsid w:val="375201D1"/>
    <w:rsid w:val="37910FBB"/>
    <w:rsid w:val="37BD5302"/>
    <w:rsid w:val="3810198E"/>
    <w:rsid w:val="384A2968"/>
    <w:rsid w:val="385641FC"/>
    <w:rsid w:val="385B7B81"/>
    <w:rsid w:val="385D6C32"/>
    <w:rsid w:val="386B671F"/>
    <w:rsid w:val="38997FF4"/>
    <w:rsid w:val="389D2BD1"/>
    <w:rsid w:val="38EE3475"/>
    <w:rsid w:val="38FD41B0"/>
    <w:rsid w:val="390A7481"/>
    <w:rsid w:val="392169C0"/>
    <w:rsid w:val="393F0C84"/>
    <w:rsid w:val="39BB7346"/>
    <w:rsid w:val="39BD488A"/>
    <w:rsid w:val="39D20B92"/>
    <w:rsid w:val="39EB029D"/>
    <w:rsid w:val="39FC7DAF"/>
    <w:rsid w:val="39FD3633"/>
    <w:rsid w:val="3A0B4374"/>
    <w:rsid w:val="3A29797A"/>
    <w:rsid w:val="3A70021B"/>
    <w:rsid w:val="3A73272E"/>
    <w:rsid w:val="3ACB7183"/>
    <w:rsid w:val="3AEE2E06"/>
    <w:rsid w:val="3AF634CD"/>
    <w:rsid w:val="3B191137"/>
    <w:rsid w:val="3B6405FB"/>
    <w:rsid w:val="3C1C362D"/>
    <w:rsid w:val="3C26613B"/>
    <w:rsid w:val="3C94676F"/>
    <w:rsid w:val="3CA96714"/>
    <w:rsid w:val="3CC66044"/>
    <w:rsid w:val="3CE974FE"/>
    <w:rsid w:val="3D264530"/>
    <w:rsid w:val="3D327577"/>
    <w:rsid w:val="3D393E77"/>
    <w:rsid w:val="3D493E51"/>
    <w:rsid w:val="3D61263F"/>
    <w:rsid w:val="3D8C258A"/>
    <w:rsid w:val="3DBE36DC"/>
    <w:rsid w:val="3DEC58B0"/>
    <w:rsid w:val="3DF95BCC"/>
    <w:rsid w:val="3DFA2BBE"/>
    <w:rsid w:val="3DFE50A4"/>
    <w:rsid w:val="3E0F3A5D"/>
    <w:rsid w:val="3EE63E2C"/>
    <w:rsid w:val="3F0874F8"/>
    <w:rsid w:val="3F39320C"/>
    <w:rsid w:val="3F423951"/>
    <w:rsid w:val="3F69137B"/>
    <w:rsid w:val="3F6F5F91"/>
    <w:rsid w:val="3FA12730"/>
    <w:rsid w:val="3FDE08F5"/>
    <w:rsid w:val="401776B5"/>
    <w:rsid w:val="402639E9"/>
    <w:rsid w:val="404D1AA1"/>
    <w:rsid w:val="40535BEF"/>
    <w:rsid w:val="408D22B4"/>
    <w:rsid w:val="409A6B8C"/>
    <w:rsid w:val="40A57735"/>
    <w:rsid w:val="40C50AD3"/>
    <w:rsid w:val="40CF052E"/>
    <w:rsid w:val="40E65833"/>
    <w:rsid w:val="40F137ED"/>
    <w:rsid w:val="414B09AC"/>
    <w:rsid w:val="418A654E"/>
    <w:rsid w:val="41947EA6"/>
    <w:rsid w:val="41D47F93"/>
    <w:rsid w:val="41F43D04"/>
    <w:rsid w:val="41F533C3"/>
    <w:rsid w:val="42004FD7"/>
    <w:rsid w:val="42014C57"/>
    <w:rsid w:val="4211049B"/>
    <w:rsid w:val="42772D77"/>
    <w:rsid w:val="42C07614"/>
    <w:rsid w:val="42C42797"/>
    <w:rsid w:val="42C8103A"/>
    <w:rsid w:val="42D178AE"/>
    <w:rsid w:val="43053A31"/>
    <w:rsid w:val="431B5BB6"/>
    <w:rsid w:val="4320760E"/>
    <w:rsid w:val="432418C0"/>
    <w:rsid w:val="435C3C0F"/>
    <w:rsid w:val="43713BB4"/>
    <w:rsid w:val="438B4FB1"/>
    <w:rsid w:val="439B601B"/>
    <w:rsid w:val="43A12317"/>
    <w:rsid w:val="43A37114"/>
    <w:rsid w:val="43A45F3A"/>
    <w:rsid w:val="43AE11BC"/>
    <w:rsid w:val="43EA211A"/>
    <w:rsid w:val="442339D8"/>
    <w:rsid w:val="44535E85"/>
    <w:rsid w:val="44563ED5"/>
    <w:rsid w:val="44605A3B"/>
    <w:rsid w:val="448F588F"/>
    <w:rsid w:val="44D25AAC"/>
    <w:rsid w:val="44F92736"/>
    <w:rsid w:val="44FC29B6"/>
    <w:rsid w:val="45030AC7"/>
    <w:rsid w:val="453D2F11"/>
    <w:rsid w:val="45441531"/>
    <w:rsid w:val="45647867"/>
    <w:rsid w:val="45913BAE"/>
    <w:rsid w:val="459833CC"/>
    <w:rsid w:val="45A4454B"/>
    <w:rsid w:val="45C66607"/>
    <w:rsid w:val="45DF5413"/>
    <w:rsid w:val="4607231F"/>
    <w:rsid w:val="46295027"/>
    <w:rsid w:val="4650656B"/>
    <w:rsid w:val="465E3302"/>
    <w:rsid w:val="46C75188"/>
    <w:rsid w:val="47051512"/>
    <w:rsid w:val="47567722"/>
    <w:rsid w:val="478E1953"/>
    <w:rsid w:val="479419AA"/>
    <w:rsid w:val="47D01EDF"/>
    <w:rsid w:val="47DD782E"/>
    <w:rsid w:val="481822D3"/>
    <w:rsid w:val="48AF49E7"/>
    <w:rsid w:val="48B17C16"/>
    <w:rsid w:val="48BF3D66"/>
    <w:rsid w:val="491A30CE"/>
    <w:rsid w:val="498C34BA"/>
    <w:rsid w:val="499E6ADA"/>
    <w:rsid w:val="49B8117F"/>
    <w:rsid w:val="4A5329DB"/>
    <w:rsid w:val="4ABD162D"/>
    <w:rsid w:val="4ACE2F74"/>
    <w:rsid w:val="4AEA39F4"/>
    <w:rsid w:val="4B1160EC"/>
    <w:rsid w:val="4B383176"/>
    <w:rsid w:val="4B3F2B00"/>
    <w:rsid w:val="4B8B517E"/>
    <w:rsid w:val="4B9B51B7"/>
    <w:rsid w:val="4BAA4570"/>
    <w:rsid w:val="4BB11B9C"/>
    <w:rsid w:val="4BD03E62"/>
    <w:rsid w:val="4C0751FE"/>
    <w:rsid w:val="4C0C69D1"/>
    <w:rsid w:val="4C4A4923"/>
    <w:rsid w:val="4C8F3727"/>
    <w:rsid w:val="4CB06962"/>
    <w:rsid w:val="4CD01F92"/>
    <w:rsid w:val="4D304619"/>
    <w:rsid w:val="4D490586"/>
    <w:rsid w:val="4D5D700D"/>
    <w:rsid w:val="4D5E2AFB"/>
    <w:rsid w:val="4D761EBE"/>
    <w:rsid w:val="4D7A64BE"/>
    <w:rsid w:val="4D7E0E31"/>
    <w:rsid w:val="4E0C3F18"/>
    <w:rsid w:val="4E6D2CB8"/>
    <w:rsid w:val="4ED032E7"/>
    <w:rsid w:val="4ED97DE9"/>
    <w:rsid w:val="4F45079D"/>
    <w:rsid w:val="4F7C2E75"/>
    <w:rsid w:val="4F935FD0"/>
    <w:rsid w:val="501100B2"/>
    <w:rsid w:val="5027550C"/>
    <w:rsid w:val="5054095A"/>
    <w:rsid w:val="507B081A"/>
    <w:rsid w:val="50A75D18"/>
    <w:rsid w:val="50CD3844"/>
    <w:rsid w:val="512A4843"/>
    <w:rsid w:val="513A40D0"/>
    <w:rsid w:val="514946EA"/>
    <w:rsid w:val="515A6B83"/>
    <w:rsid w:val="517A073C"/>
    <w:rsid w:val="517F6B8D"/>
    <w:rsid w:val="519B2E9C"/>
    <w:rsid w:val="51A161BE"/>
    <w:rsid w:val="51D714C7"/>
    <w:rsid w:val="51E00412"/>
    <w:rsid w:val="51F562DF"/>
    <w:rsid w:val="520C074F"/>
    <w:rsid w:val="520E4B19"/>
    <w:rsid w:val="52121BB5"/>
    <w:rsid w:val="521D0102"/>
    <w:rsid w:val="525154C4"/>
    <w:rsid w:val="526F78B2"/>
    <w:rsid w:val="52897ECB"/>
    <w:rsid w:val="52B513BE"/>
    <w:rsid w:val="52EC03EB"/>
    <w:rsid w:val="530B1DCC"/>
    <w:rsid w:val="530C225C"/>
    <w:rsid w:val="531F0928"/>
    <w:rsid w:val="532F5343"/>
    <w:rsid w:val="533E08F9"/>
    <w:rsid w:val="5346672E"/>
    <w:rsid w:val="5357444A"/>
    <w:rsid w:val="53820B12"/>
    <w:rsid w:val="54267F9B"/>
    <w:rsid w:val="54335C82"/>
    <w:rsid w:val="54F31517"/>
    <w:rsid w:val="5509025D"/>
    <w:rsid w:val="551556A5"/>
    <w:rsid w:val="55401D6C"/>
    <w:rsid w:val="554558D8"/>
    <w:rsid w:val="55754AD4"/>
    <w:rsid w:val="557708B5"/>
    <w:rsid w:val="559335E7"/>
    <w:rsid w:val="55B735B4"/>
    <w:rsid w:val="55C43625"/>
    <w:rsid w:val="55DB77D0"/>
    <w:rsid w:val="55ED318A"/>
    <w:rsid w:val="55FA625C"/>
    <w:rsid w:val="563E54BC"/>
    <w:rsid w:val="565B7F3A"/>
    <w:rsid w:val="56A85CB8"/>
    <w:rsid w:val="56F51BA4"/>
    <w:rsid w:val="56FD77F1"/>
    <w:rsid w:val="571E12FD"/>
    <w:rsid w:val="571F24A8"/>
    <w:rsid w:val="573E3DB0"/>
    <w:rsid w:val="578A642E"/>
    <w:rsid w:val="578B67CD"/>
    <w:rsid w:val="578C1931"/>
    <w:rsid w:val="57A3063E"/>
    <w:rsid w:val="57A7215B"/>
    <w:rsid w:val="57D24E7C"/>
    <w:rsid w:val="58425BDC"/>
    <w:rsid w:val="588562C6"/>
    <w:rsid w:val="58D6513A"/>
    <w:rsid w:val="59522196"/>
    <w:rsid w:val="597102E2"/>
    <w:rsid w:val="598173D6"/>
    <w:rsid w:val="599656A3"/>
    <w:rsid w:val="59A92BA5"/>
    <w:rsid w:val="59AA2204"/>
    <w:rsid w:val="59EC260F"/>
    <w:rsid w:val="5A006E37"/>
    <w:rsid w:val="5A2202AE"/>
    <w:rsid w:val="5A595071"/>
    <w:rsid w:val="5A6C3F68"/>
    <w:rsid w:val="5ABF32C5"/>
    <w:rsid w:val="5ADE5CD3"/>
    <w:rsid w:val="5AEE3DBE"/>
    <w:rsid w:val="5B0F6FF4"/>
    <w:rsid w:val="5B1C382D"/>
    <w:rsid w:val="5B343F5B"/>
    <w:rsid w:val="5B715A14"/>
    <w:rsid w:val="5B7F2E79"/>
    <w:rsid w:val="5B8945B3"/>
    <w:rsid w:val="5B9C20DB"/>
    <w:rsid w:val="5BD313DB"/>
    <w:rsid w:val="5BD347B4"/>
    <w:rsid w:val="5BD42235"/>
    <w:rsid w:val="5BDD2B45"/>
    <w:rsid w:val="5BE701AC"/>
    <w:rsid w:val="5C086AAC"/>
    <w:rsid w:val="5C493E38"/>
    <w:rsid w:val="5C497C75"/>
    <w:rsid w:val="5C9024CB"/>
    <w:rsid w:val="5CD765E0"/>
    <w:rsid w:val="5D1660D4"/>
    <w:rsid w:val="5D385380"/>
    <w:rsid w:val="5D444935"/>
    <w:rsid w:val="5D6F7A58"/>
    <w:rsid w:val="5D9D39C5"/>
    <w:rsid w:val="5DA80EB7"/>
    <w:rsid w:val="5DD067F8"/>
    <w:rsid w:val="5DF606E4"/>
    <w:rsid w:val="5DFA2766"/>
    <w:rsid w:val="5E12784F"/>
    <w:rsid w:val="5E26061F"/>
    <w:rsid w:val="5EAA4DE0"/>
    <w:rsid w:val="5EC84538"/>
    <w:rsid w:val="5ED50624"/>
    <w:rsid w:val="5ED8702A"/>
    <w:rsid w:val="5EE81179"/>
    <w:rsid w:val="5F164911"/>
    <w:rsid w:val="5F3560BF"/>
    <w:rsid w:val="5F5645E4"/>
    <w:rsid w:val="5FA60727"/>
    <w:rsid w:val="5FD50E80"/>
    <w:rsid w:val="603921BF"/>
    <w:rsid w:val="60467201"/>
    <w:rsid w:val="611B369C"/>
    <w:rsid w:val="617A613E"/>
    <w:rsid w:val="61855A0A"/>
    <w:rsid w:val="62146209"/>
    <w:rsid w:val="623A4E7F"/>
    <w:rsid w:val="623F1E5F"/>
    <w:rsid w:val="626E6E29"/>
    <w:rsid w:val="627B71A0"/>
    <w:rsid w:val="627D0929"/>
    <w:rsid w:val="62F135FC"/>
    <w:rsid w:val="63130619"/>
    <w:rsid w:val="63483071"/>
    <w:rsid w:val="634E6169"/>
    <w:rsid w:val="637B25BA"/>
    <w:rsid w:val="63800859"/>
    <w:rsid w:val="64423289"/>
    <w:rsid w:val="645B1696"/>
    <w:rsid w:val="645F60EA"/>
    <w:rsid w:val="64713024"/>
    <w:rsid w:val="64857557"/>
    <w:rsid w:val="64901066"/>
    <w:rsid w:val="649C3F62"/>
    <w:rsid w:val="64B1636B"/>
    <w:rsid w:val="64D14660"/>
    <w:rsid w:val="65367019"/>
    <w:rsid w:val="655A434A"/>
    <w:rsid w:val="659A6D3E"/>
    <w:rsid w:val="65D920A6"/>
    <w:rsid w:val="6619093D"/>
    <w:rsid w:val="664107D0"/>
    <w:rsid w:val="666979C8"/>
    <w:rsid w:val="667A6BE2"/>
    <w:rsid w:val="667B19B6"/>
    <w:rsid w:val="667C162B"/>
    <w:rsid w:val="66990B2F"/>
    <w:rsid w:val="66B229A3"/>
    <w:rsid w:val="66CC7AB7"/>
    <w:rsid w:val="66EC34BE"/>
    <w:rsid w:val="670E46A1"/>
    <w:rsid w:val="67456D79"/>
    <w:rsid w:val="67602EBD"/>
    <w:rsid w:val="67666032"/>
    <w:rsid w:val="676C7B91"/>
    <w:rsid w:val="67706CC4"/>
    <w:rsid w:val="67742D74"/>
    <w:rsid w:val="677A5055"/>
    <w:rsid w:val="678655E4"/>
    <w:rsid w:val="679B7D49"/>
    <w:rsid w:val="67B14957"/>
    <w:rsid w:val="67BC5ABE"/>
    <w:rsid w:val="68120C6A"/>
    <w:rsid w:val="683F2814"/>
    <w:rsid w:val="68511835"/>
    <w:rsid w:val="686D58E2"/>
    <w:rsid w:val="688A7410"/>
    <w:rsid w:val="68B50ACE"/>
    <w:rsid w:val="690B5432"/>
    <w:rsid w:val="6923630A"/>
    <w:rsid w:val="692E7F1E"/>
    <w:rsid w:val="6974674E"/>
    <w:rsid w:val="698F343B"/>
    <w:rsid w:val="699636A9"/>
    <w:rsid w:val="69AC6C0B"/>
    <w:rsid w:val="69B279D6"/>
    <w:rsid w:val="6A015CF8"/>
    <w:rsid w:val="6A3D00DC"/>
    <w:rsid w:val="6A491970"/>
    <w:rsid w:val="6A5C2B8F"/>
    <w:rsid w:val="6A9A0475"/>
    <w:rsid w:val="6AE37104"/>
    <w:rsid w:val="6AEA5C76"/>
    <w:rsid w:val="6BB256BF"/>
    <w:rsid w:val="6BC31BD8"/>
    <w:rsid w:val="6BF74B2E"/>
    <w:rsid w:val="6C05197D"/>
    <w:rsid w:val="6C272092"/>
    <w:rsid w:val="6C2B07E3"/>
    <w:rsid w:val="6C3706BD"/>
    <w:rsid w:val="6C3A689C"/>
    <w:rsid w:val="6C6241DE"/>
    <w:rsid w:val="6C8F7D1B"/>
    <w:rsid w:val="6CAD2E04"/>
    <w:rsid w:val="6CBD35F3"/>
    <w:rsid w:val="6CD509F7"/>
    <w:rsid w:val="6CDC28EF"/>
    <w:rsid w:val="6D302924"/>
    <w:rsid w:val="6D400349"/>
    <w:rsid w:val="6D474FD5"/>
    <w:rsid w:val="6D727209"/>
    <w:rsid w:val="6D756624"/>
    <w:rsid w:val="6D7872C9"/>
    <w:rsid w:val="6DAA1F76"/>
    <w:rsid w:val="6DAF3180"/>
    <w:rsid w:val="6DD01259"/>
    <w:rsid w:val="6E077F01"/>
    <w:rsid w:val="6E0E0CE3"/>
    <w:rsid w:val="6E20323A"/>
    <w:rsid w:val="6E2668FA"/>
    <w:rsid w:val="6E4E2A84"/>
    <w:rsid w:val="6E500DC6"/>
    <w:rsid w:val="6EA64798"/>
    <w:rsid w:val="6EB66959"/>
    <w:rsid w:val="6EDC35ED"/>
    <w:rsid w:val="6EFC1923"/>
    <w:rsid w:val="6EFC51A7"/>
    <w:rsid w:val="6F147640"/>
    <w:rsid w:val="6F8164C8"/>
    <w:rsid w:val="6FE633B4"/>
    <w:rsid w:val="6FEE0256"/>
    <w:rsid w:val="700C1760"/>
    <w:rsid w:val="701170EC"/>
    <w:rsid w:val="703716AB"/>
    <w:rsid w:val="70406A16"/>
    <w:rsid w:val="70593DDE"/>
    <w:rsid w:val="706A37E2"/>
    <w:rsid w:val="70A319BE"/>
    <w:rsid w:val="70A367DC"/>
    <w:rsid w:val="70B6663A"/>
    <w:rsid w:val="70B97668"/>
    <w:rsid w:val="70BF5182"/>
    <w:rsid w:val="70DA0EB4"/>
    <w:rsid w:val="70DE1F36"/>
    <w:rsid w:val="71311D99"/>
    <w:rsid w:val="714A2FA6"/>
    <w:rsid w:val="715304D9"/>
    <w:rsid w:val="716866D4"/>
    <w:rsid w:val="718B3B25"/>
    <w:rsid w:val="71920663"/>
    <w:rsid w:val="719E6674"/>
    <w:rsid w:val="72057764"/>
    <w:rsid w:val="724C7A91"/>
    <w:rsid w:val="72510C2D"/>
    <w:rsid w:val="726F7A40"/>
    <w:rsid w:val="727A2B5F"/>
    <w:rsid w:val="728D3B4B"/>
    <w:rsid w:val="72C267D6"/>
    <w:rsid w:val="72D95730"/>
    <w:rsid w:val="73166260"/>
    <w:rsid w:val="733C5638"/>
    <w:rsid w:val="7359610E"/>
    <w:rsid w:val="73807E8C"/>
    <w:rsid w:val="7396227D"/>
    <w:rsid w:val="73B1065D"/>
    <w:rsid w:val="73C64D7F"/>
    <w:rsid w:val="73C85151"/>
    <w:rsid w:val="73C93A07"/>
    <w:rsid w:val="73DF76FC"/>
    <w:rsid w:val="740D74D1"/>
    <w:rsid w:val="74887320"/>
    <w:rsid w:val="74944C62"/>
    <w:rsid w:val="74964153"/>
    <w:rsid w:val="74A024E4"/>
    <w:rsid w:val="74A677B5"/>
    <w:rsid w:val="74A9289C"/>
    <w:rsid w:val="74C0081A"/>
    <w:rsid w:val="74CF3C20"/>
    <w:rsid w:val="74E81B55"/>
    <w:rsid w:val="75011284"/>
    <w:rsid w:val="752175BA"/>
    <w:rsid w:val="754809D1"/>
    <w:rsid w:val="756D74E4"/>
    <w:rsid w:val="75A17482"/>
    <w:rsid w:val="75B76E85"/>
    <w:rsid w:val="75C42647"/>
    <w:rsid w:val="75D00657"/>
    <w:rsid w:val="75D100C4"/>
    <w:rsid w:val="762F7C0A"/>
    <w:rsid w:val="765C3ABF"/>
    <w:rsid w:val="7663757C"/>
    <w:rsid w:val="767720EA"/>
    <w:rsid w:val="76853969"/>
    <w:rsid w:val="768C07D8"/>
    <w:rsid w:val="76FB7CCC"/>
    <w:rsid w:val="772B760F"/>
    <w:rsid w:val="772D6395"/>
    <w:rsid w:val="77543BCA"/>
    <w:rsid w:val="778238A1"/>
    <w:rsid w:val="778D1C32"/>
    <w:rsid w:val="77FB2266"/>
    <w:rsid w:val="78173D95"/>
    <w:rsid w:val="78304CBF"/>
    <w:rsid w:val="786B3A94"/>
    <w:rsid w:val="78711EA5"/>
    <w:rsid w:val="788E6BCE"/>
    <w:rsid w:val="78F227FE"/>
    <w:rsid w:val="78FC3F32"/>
    <w:rsid w:val="79573F75"/>
    <w:rsid w:val="79BD3F25"/>
    <w:rsid w:val="7A8315F1"/>
    <w:rsid w:val="7A905722"/>
    <w:rsid w:val="7AA51E44"/>
    <w:rsid w:val="7AD0650C"/>
    <w:rsid w:val="7B0B5F95"/>
    <w:rsid w:val="7B337265"/>
    <w:rsid w:val="7B4F3A26"/>
    <w:rsid w:val="7B5D15F3"/>
    <w:rsid w:val="7BB3741F"/>
    <w:rsid w:val="7BBB1C1E"/>
    <w:rsid w:val="7BC36BAD"/>
    <w:rsid w:val="7BFC0976"/>
    <w:rsid w:val="7C5B3A94"/>
    <w:rsid w:val="7C6552DE"/>
    <w:rsid w:val="7C8313D5"/>
    <w:rsid w:val="7C8E7766"/>
    <w:rsid w:val="7C985AF7"/>
    <w:rsid w:val="7CA9768F"/>
    <w:rsid w:val="7CAD6D0A"/>
    <w:rsid w:val="7CDC328D"/>
    <w:rsid w:val="7CEF6506"/>
    <w:rsid w:val="7CFA011A"/>
    <w:rsid w:val="7D237F9B"/>
    <w:rsid w:val="7D4071CA"/>
    <w:rsid w:val="7D9E6DEE"/>
    <w:rsid w:val="7DC93C6B"/>
    <w:rsid w:val="7DD532C9"/>
    <w:rsid w:val="7DDD4AE5"/>
    <w:rsid w:val="7DF34AAF"/>
    <w:rsid w:val="7E0A3E44"/>
    <w:rsid w:val="7E286E4E"/>
    <w:rsid w:val="7E4A0D41"/>
    <w:rsid w:val="7E5252B7"/>
    <w:rsid w:val="7E620CB9"/>
    <w:rsid w:val="7ECD2214"/>
    <w:rsid w:val="7F242240"/>
    <w:rsid w:val="7F2C6E61"/>
    <w:rsid w:val="7F5B0B7E"/>
    <w:rsid w:val="7F5D1C11"/>
    <w:rsid w:val="7F656F0F"/>
    <w:rsid w:val="7F7E7F1B"/>
    <w:rsid w:val="7FA22BE1"/>
    <w:rsid w:val="7FB665F7"/>
    <w:rsid w:val="7FBA383D"/>
    <w:rsid w:val="7FC65CAF"/>
    <w:rsid w:val="7FEF3192"/>
  </w:rsids>
  <m:mathPr>
    <m:lMargin m:val="0"/>
    <m:mathFont m:val="Cambria Math"/>
    <m:rMargin m:val="0"/>
    <m:wrapIndent m:val="1440"/>
    <m:brkBin m:val="before"/>
    <m:brkBinSub m:val="--"/>
    <m:defJc m:val="centerGroup"/>
    <m:intLim m:val="subSup"/>
    <m:naryLim m:val="undOvr"/>
    <m:smallFrac m:val="1"/>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1"/>
    <w:qFormat/>
    <w:uiPriority w:val="99"/>
    <w:pPr>
      <w:keepNext/>
      <w:keepLines/>
      <w:spacing w:line="360" w:lineRule="auto"/>
      <w:outlineLvl w:val="0"/>
    </w:pPr>
    <w:rPr>
      <w:b/>
      <w:bCs/>
      <w:kern w:val="44"/>
      <w:sz w:val="32"/>
      <w:szCs w:val="32"/>
    </w:rPr>
  </w:style>
  <w:style w:type="paragraph" w:styleId="4">
    <w:name w:val="heading 2"/>
    <w:basedOn w:val="1"/>
    <w:next w:val="1"/>
    <w:link w:val="52"/>
    <w:qFormat/>
    <w:uiPriority w:val="99"/>
    <w:pPr>
      <w:keepNext/>
      <w:keepLines/>
      <w:spacing w:before="260" w:after="260" w:line="416" w:lineRule="auto"/>
      <w:jc w:val="left"/>
      <w:outlineLvl w:val="1"/>
    </w:pPr>
    <w:rPr>
      <w:rFonts w:ascii="Cambria" w:hAnsi="Cambria" w:cs="Cambria"/>
      <w:b/>
      <w:bCs/>
      <w:sz w:val="32"/>
      <w:szCs w:val="32"/>
    </w:rPr>
  </w:style>
  <w:style w:type="paragraph" w:styleId="5">
    <w:name w:val="heading 3"/>
    <w:basedOn w:val="1"/>
    <w:next w:val="1"/>
    <w:link w:val="53"/>
    <w:qFormat/>
    <w:uiPriority w:val="99"/>
    <w:pPr>
      <w:keepNext/>
      <w:keepLines/>
      <w:spacing w:line="360" w:lineRule="auto"/>
      <w:outlineLvl w:val="2"/>
    </w:pPr>
    <w:rPr>
      <w:b/>
      <w:bCs/>
      <w:sz w:val="24"/>
      <w:szCs w:val="24"/>
    </w:rPr>
  </w:style>
  <w:style w:type="paragraph" w:styleId="6">
    <w:name w:val="heading 4"/>
    <w:basedOn w:val="1"/>
    <w:next w:val="1"/>
    <w:link w:val="54"/>
    <w:qFormat/>
    <w:uiPriority w:val="99"/>
    <w:pPr>
      <w:keepNext/>
      <w:keepLines/>
      <w:spacing w:line="360" w:lineRule="auto"/>
      <w:outlineLvl w:val="3"/>
    </w:pPr>
    <w:rPr>
      <w:rFonts w:ascii="Arial" w:hAnsi="Arial" w:cs="Arial"/>
      <w:b/>
      <w:bCs/>
    </w:rPr>
  </w:style>
  <w:style w:type="paragraph" w:styleId="7">
    <w:name w:val="heading 5"/>
    <w:basedOn w:val="1"/>
    <w:next w:val="1"/>
    <w:link w:val="55"/>
    <w:qFormat/>
    <w:uiPriority w:val="99"/>
    <w:pPr>
      <w:keepNext/>
      <w:keepLines/>
      <w:spacing w:before="280" w:after="290" w:line="376" w:lineRule="auto"/>
      <w:outlineLvl w:val="4"/>
    </w:pPr>
    <w:rPr>
      <w:b/>
      <w:bCs/>
      <w:sz w:val="28"/>
      <w:szCs w:val="28"/>
    </w:rPr>
  </w:style>
  <w:style w:type="paragraph" w:styleId="8">
    <w:name w:val="heading 6"/>
    <w:basedOn w:val="1"/>
    <w:next w:val="1"/>
    <w:link w:val="56"/>
    <w:qFormat/>
    <w:uiPriority w:val="99"/>
    <w:pPr>
      <w:keepNext/>
      <w:keepLines/>
      <w:spacing w:before="240" w:after="64" w:line="320" w:lineRule="auto"/>
      <w:outlineLvl w:val="5"/>
    </w:pPr>
    <w:rPr>
      <w:rFonts w:ascii="Arial" w:hAnsi="Arial" w:eastAsia="黑体" w:cs="Arial"/>
      <w:b/>
      <w:bCs/>
      <w:sz w:val="24"/>
      <w:szCs w:val="24"/>
    </w:rPr>
  </w:style>
  <w:style w:type="character" w:default="1" w:styleId="35">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61"/>
    <w:qFormat/>
    <w:uiPriority w:val="99"/>
    <w:pPr>
      <w:jc w:val="center"/>
    </w:pPr>
  </w:style>
  <w:style w:type="paragraph" w:styleId="9">
    <w:name w:val="annotation subject"/>
    <w:basedOn w:val="10"/>
    <w:next w:val="10"/>
    <w:link w:val="58"/>
    <w:semiHidden/>
    <w:qFormat/>
    <w:uiPriority w:val="99"/>
    <w:rPr>
      <w:b/>
      <w:bCs/>
    </w:rPr>
  </w:style>
  <w:style w:type="paragraph" w:styleId="10">
    <w:name w:val="annotation text"/>
    <w:basedOn w:val="1"/>
    <w:link w:val="57"/>
    <w:semiHidden/>
    <w:qFormat/>
    <w:uiPriority w:val="99"/>
    <w:pPr>
      <w:jc w:val="left"/>
    </w:pPr>
  </w:style>
  <w:style w:type="paragraph" w:styleId="11">
    <w:name w:val="toc 7"/>
    <w:basedOn w:val="1"/>
    <w:next w:val="1"/>
    <w:semiHidden/>
    <w:qFormat/>
    <w:uiPriority w:val="99"/>
    <w:pPr>
      <w:ind w:left="2520" w:leftChars="1200"/>
    </w:pPr>
  </w:style>
  <w:style w:type="paragraph" w:styleId="12">
    <w:name w:val="Body Text First Indent"/>
    <w:basedOn w:val="2"/>
    <w:next w:val="13"/>
    <w:unhideWhenUsed/>
    <w:qFormat/>
    <w:locked/>
    <w:uiPriority w:val="99"/>
    <w:pPr>
      <w:ind w:firstLine="420" w:firstLineChars="100"/>
    </w:pPr>
    <w:rPr>
      <w:szCs w:val="24"/>
    </w:rPr>
  </w:style>
  <w:style w:type="paragraph" w:styleId="13">
    <w:name w:val="Body Text First Indent 2"/>
    <w:basedOn w:val="14"/>
    <w:next w:val="1"/>
    <w:qFormat/>
    <w:locked/>
    <w:uiPriority w:val="0"/>
    <w:pPr>
      <w:ind w:firstLine="420" w:firstLineChars="200"/>
    </w:pPr>
  </w:style>
  <w:style w:type="paragraph" w:styleId="14">
    <w:name w:val="Body Text Indent"/>
    <w:basedOn w:val="1"/>
    <w:next w:val="1"/>
    <w:link w:val="62"/>
    <w:qFormat/>
    <w:uiPriority w:val="99"/>
    <w:pPr>
      <w:spacing w:line="360" w:lineRule="auto"/>
      <w:ind w:left="424" w:leftChars="202" w:firstLine="567"/>
    </w:pPr>
    <w:rPr>
      <w:sz w:val="24"/>
      <w:szCs w:val="24"/>
    </w:rPr>
  </w:style>
  <w:style w:type="paragraph" w:styleId="15">
    <w:name w:val="Normal Indent"/>
    <w:basedOn w:val="1"/>
    <w:qFormat/>
    <w:uiPriority w:val="99"/>
    <w:pPr>
      <w:ind w:firstLine="420"/>
    </w:pPr>
  </w:style>
  <w:style w:type="paragraph" w:styleId="16">
    <w:name w:val="Document Map"/>
    <w:basedOn w:val="1"/>
    <w:link w:val="59"/>
    <w:semiHidden/>
    <w:qFormat/>
    <w:uiPriority w:val="99"/>
    <w:pPr>
      <w:shd w:val="clear" w:color="auto" w:fill="000080"/>
    </w:pPr>
  </w:style>
  <w:style w:type="paragraph" w:styleId="17">
    <w:name w:val="Body Text 3"/>
    <w:basedOn w:val="1"/>
    <w:link w:val="60"/>
    <w:qFormat/>
    <w:uiPriority w:val="99"/>
    <w:rPr>
      <w:rFonts w:ascii="宋体" w:cs="宋体"/>
      <w:sz w:val="24"/>
      <w:szCs w:val="24"/>
    </w:rPr>
  </w:style>
  <w:style w:type="paragraph" w:styleId="18">
    <w:name w:val="toc 5"/>
    <w:basedOn w:val="1"/>
    <w:next w:val="1"/>
    <w:semiHidden/>
    <w:qFormat/>
    <w:uiPriority w:val="99"/>
    <w:pPr>
      <w:ind w:left="1680" w:leftChars="800"/>
    </w:pPr>
  </w:style>
  <w:style w:type="paragraph" w:styleId="19">
    <w:name w:val="toc 3"/>
    <w:basedOn w:val="1"/>
    <w:next w:val="1"/>
    <w:semiHidden/>
    <w:qFormat/>
    <w:uiPriority w:val="99"/>
    <w:pPr>
      <w:ind w:left="840" w:leftChars="400"/>
    </w:pPr>
  </w:style>
  <w:style w:type="paragraph" w:styleId="20">
    <w:name w:val="Plain Text"/>
    <w:basedOn w:val="1"/>
    <w:link w:val="63"/>
    <w:qFormat/>
    <w:uiPriority w:val="99"/>
    <w:rPr>
      <w:rFonts w:ascii="宋体" w:hAnsi="Courier New" w:cs="宋体"/>
    </w:rPr>
  </w:style>
  <w:style w:type="paragraph" w:styleId="21">
    <w:name w:val="toc 8"/>
    <w:basedOn w:val="1"/>
    <w:next w:val="1"/>
    <w:semiHidden/>
    <w:qFormat/>
    <w:uiPriority w:val="99"/>
    <w:pPr>
      <w:ind w:left="2940" w:leftChars="1400"/>
    </w:pPr>
  </w:style>
  <w:style w:type="paragraph" w:styleId="22">
    <w:name w:val="Date"/>
    <w:basedOn w:val="1"/>
    <w:next w:val="1"/>
    <w:link w:val="64"/>
    <w:qFormat/>
    <w:uiPriority w:val="99"/>
    <w:pPr>
      <w:ind w:left="100" w:leftChars="2500"/>
    </w:pPr>
  </w:style>
  <w:style w:type="paragraph" w:styleId="23">
    <w:name w:val="Body Text Indent 2"/>
    <w:basedOn w:val="1"/>
    <w:link w:val="65"/>
    <w:qFormat/>
    <w:uiPriority w:val="99"/>
    <w:pPr>
      <w:spacing w:line="480" w:lineRule="exact"/>
      <w:ind w:left="-1"/>
    </w:pPr>
    <w:rPr>
      <w:sz w:val="24"/>
      <w:szCs w:val="24"/>
    </w:rPr>
  </w:style>
  <w:style w:type="paragraph" w:styleId="24">
    <w:name w:val="Balloon Text"/>
    <w:basedOn w:val="1"/>
    <w:link w:val="66"/>
    <w:semiHidden/>
    <w:qFormat/>
    <w:uiPriority w:val="99"/>
    <w:rPr>
      <w:sz w:val="18"/>
      <w:szCs w:val="18"/>
    </w:rPr>
  </w:style>
  <w:style w:type="paragraph" w:styleId="25">
    <w:name w:val="footer"/>
    <w:basedOn w:val="1"/>
    <w:link w:val="67"/>
    <w:qFormat/>
    <w:uiPriority w:val="99"/>
    <w:pPr>
      <w:tabs>
        <w:tab w:val="center" w:pos="4153"/>
        <w:tab w:val="right" w:pos="8306"/>
      </w:tabs>
      <w:snapToGrid w:val="0"/>
      <w:jc w:val="left"/>
    </w:pPr>
    <w:rPr>
      <w:sz w:val="18"/>
      <w:szCs w:val="18"/>
    </w:rPr>
  </w:style>
  <w:style w:type="paragraph" w:styleId="26">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99"/>
  </w:style>
  <w:style w:type="paragraph" w:styleId="28">
    <w:name w:val="toc 4"/>
    <w:basedOn w:val="1"/>
    <w:next w:val="1"/>
    <w:semiHidden/>
    <w:qFormat/>
    <w:uiPriority w:val="99"/>
    <w:pPr>
      <w:ind w:left="1260" w:leftChars="600"/>
    </w:pPr>
  </w:style>
  <w:style w:type="paragraph" w:styleId="29">
    <w:name w:val="toc 6"/>
    <w:basedOn w:val="1"/>
    <w:next w:val="1"/>
    <w:semiHidden/>
    <w:qFormat/>
    <w:uiPriority w:val="99"/>
    <w:pPr>
      <w:ind w:left="2100" w:leftChars="1000"/>
    </w:pPr>
  </w:style>
  <w:style w:type="paragraph" w:styleId="30">
    <w:name w:val="Body Text Indent 3"/>
    <w:basedOn w:val="1"/>
    <w:link w:val="69"/>
    <w:qFormat/>
    <w:uiPriority w:val="99"/>
    <w:pPr>
      <w:spacing w:line="360" w:lineRule="auto"/>
      <w:ind w:left="420" w:firstLine="480"/>
    </w:pPr>
    <w:rPr>
      <w:rFonts w:ascii="宋体" w:hAnsi="宋体" w:cs="宋体"/>
      <w:sz w:val="24"/>
      <w:szCs w:val="24"/>
    </w:rPr>
  </w:style>
  <w:style w:type="paragraph" w:styleId="31">
    <w:name w:val="toc 2"/>
    <w:basedOn w:val="1"/>
    <w:next w:val="1"/>
    <w:semiHidden/>
    <w:qFormat/>
    <w:uiPriority w:val="99"/>
    <w:pPr>
      <w:ind w:left="420" w:leftChars="200"/>
    </w:pPr>
  </w:style>
  <w:style w:type="paragraph" w:styleId="32">
    <w:name w:val="toc 9"/>
    <w:basedOn w:val="1"/>
    <w:next w:val="1"/>
    <w:semiHidden/>
    <w:qFormat/>
    <w:uiPriority w:val="99"/>
    <w:pPr>
      <w:ind w:left="3360" w:leftChars="1600"/>
    </w:pPr>
  </w:style>
  <w:style w:type="paragraph" w:styleId="33">
    <w:name w:val="Body Text 2"/>
    <w:basedOn w:val="1"/>
    <w:link w:val="70"/>
    <w:qFormat/>
    <w:uiPriority w:val="99"/>
    <w:pPr>
      <w:adjustRightInd w:val="0"/>
      <w:snapToGrid w:val="0"/>
      <w:spacing w:before="60" w:after="60" w:line="300" w:lineRule="auto"/>
    </w:pPr>
    <w:rPr>
      <w:rFonts w:ascii="宋体" w:cs="宋体"/>
      <w:sz w:val="24"/>
      <w:szCs w:val="24"/>
    </w:rPr>
  </w:style>
  <w:style w:type="paragraph" w:styleId="34">
    <w:name w:val="Normal (Web)"/>
    <w:basedOn w:val="1"/>
    <w:qFormat/>
    <w:uiPriority w:val="99"/>
    <w:pPr>
      <w:widowControl/>
      <w:spacing w:before="100" w:beforeAutospacing="1" w:after="100" w:afterAutospacing="1"/>
      <w:jc w:val="left"/>
    </w:pPr>
    <w:rPr>
      <w:rFonts w:ascii="宋体" w:hAnsi="宋体" w:cs="宋体"/>
      <w:sz w:val="24"/>
      <w:szCs w:val="24"/>
    </w:rPr>
  </w:style>
  <w:style w:type="character" w:styleId="36">
    <w:name w:val="Strong"/>
    <w:basedOn w:val="35"/>
    <w:qFormat/>
    <w:uiPriority w:val="99"/>
    <w:rPr>
      <w:b/>
      <w:bCs/>
    </w:rPr>
  </w:style>
  <w:style w:type="character" w:styleId="37">
    <w:name w:val="page number"/>
    <w:basedOn w:val="35"/>
    <w:qFormat/>
    <w:uiPriority w:val="99"/>
  </w:style>
  <w:style w:type="character" w:styleId="38">
    <w:name w:val="FollowedHyperlink"/>
    <w:basedOn w:val="35"/>
    <w:qFormat/>
    <w:uiPriority w:val="99"/>
    <w:rPr>
      <w:color w:val="auto"/>
      <w:u w:val="none"/>
    </w:rPr>
  </w:style>
  <w:style w:type="character" w:styleId="39">
    <w:name w:val="Emphasis"/>
    <w:basedOn w:val="35"/>
    <w:qFormat/>
    <w:uiPriority w:val="99"/>
    <w:rPr>
      <w:i/>
      <w:iCs/>
    </w:rPr>
  </w:style>
  <w:style w:type="character" w:styleId="40">
    <w:name w:val="HTML Definition"/>
    <w:basedOn w:val="35"/>
    <w:qFormat/>
    <w:uiPriority w:val="99"/>
  </w:style>
  <w:style w:type="character" w:styleId="41">
    <w:name w:val="HTML Acronym"/>
    <w:basedOn w:val="35"/>
    <w:qFormat/>
    <w:uiPriority w:val="99"/>
  </w:style>
  <w:style w:type="character" w:styleId="42">
    <w:name w:val="HTML Variable"/>
    <w:basedOn w:val="35"/>
    <w:qFormat/>
    <w:uiPriority w:val="99"/>
  </w:style>
  <w:style w:type="character" w:styleId="43">
    <w:name w:val="Hyperlink"/>
    <w:basedOn w:val="35"/>
    <w:qFormat/>
    <w:uiPriority w:val="99"/>
    <w:rPr>
      <w:color w:val="auto"/>
      <w:u w:val="none"/>
    </w:rPr>
  </w:style>
  <w:style w:type="character" w:styleId="44">
    <w:name w:val="HTML Code"/>
    <w:basedOn w:val="35"/>
    <w:qFormat/>
    <w:uiPriority w:val="99"/>
    <w:rPr>
      <w:rFonts w:ascii="monospace" w:hAnsi="monospace" w:cs="monospace"/>
      <w:sz w:val="24"/>
      <w:szCs w:val="24"/>
    </w:rPr>
  </w:style>
  <w:style w:type="character" w:styleId="45">
    <w:name w:val="annotation reference"/>
    <w:basedOn w:val="35"/>
    <w:semiHidden/>
    <w:qFormat/>
    <w:uiPriority w:val="99"/>
    <w:rPr>
      <w:sz w:val="21"/>
      <w:szCs w:val="21"/>
    </w:rPr>
  </w:style>
  <w:style w:type="character" w:styleId="46">
    <w:name w:val="HTML Cite"/>
    <w:basedOn w:val="35"/>
    <w:qFormat/>
    <w:uiPriority w:val="99"/>
  </w:style>
  <w:style w:type="character" w:styleId="47">
    <w:name w:val="HTML Keyboard"/>
    <w:basedOn w:val="35"/>
    <w:qFormat/>
    <w:uiPriority w:val="99"/>
    <w:rPr>
      <w:rFonts w:ascii="monospace" w:hAnsi="monospace" w:cs="monospace"/>
      <w:sz w:val="24"/>
      <w:szCs w:val="24"/>
    </w:rPr>
  </w:style>
  <w:style w:type="character" w:styleId="48">
    <w:name w:val="HTML Sample"/>
    <w:basedOn w:val="35"/>
    <w:qFormat/>
    <w:uiPriority w:val="99"/>
    <w:rPr>
      <w:rFonts w:ascii="monospace" w:hAnsi="monospace" w:cs="monospace"/>
      <w:sz w:val="24"/>
      <w:szCs w:val="24"/>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1">
    <w:name w:val="标题 1 Char"/>
    <w:basedOn w:val="35"/>
    <w:link w:val="3"/>
    <w:qFormat/>
    <w:locked/>
    <w:uiPriority w:val="99"/>
    <w:rPr>
      <w:b/>
      <w:bCs/>
      <w:kern w:val="44"/>
      <w:sz w:val="44"/>
      <w:szCs w:val="44"/>
    </w:rPr>
  </w:style>
  <w:style w:type="character" w:customStyle="1" w:styleId="52">
    <w:name w:val="标题 2 Char"/>
    <w:basedOn w:val="35"/>
    <w:link w:val="4"/>
    <w:qFormat/>
    <w:locked/>
    <w:uiPriority w:val="99"/>
    <w:rPr>
      <w:rFonts w:ascii="Cambria" w:hAnsi="Cambria" w:cs="Cambria"/>
      <w:b/>
      <w:bCs/>
      <w:kern w:val="2"/>
      <w:sz w:val="32"/>
      <w:szCs w:val="32"/>
    </w:rPr>
  </w:style>
  <w:style w:type="character" w:customStyle="1" w:styleId="53">
    <w:name w:val="标题 3 Char"/>
    <w:basedOn w:val="35"/>
    <w:link w:val="5"/>
    <w:qFormat/>
    <w:locked/>
    <w:uiPriority w:val="99"/>
    <w:rPr>
      <w:b/>
      <w:bCs/>
      <w:kern w:val="2"/>
      <w:sz w:val="32"/>
      <w:szCs w:val="32"/>
    </w:rPr>
  </w:style>
  <w:style w:type="character" w:customStyle="1" w:styleId="54">
    <w:name w:val="标题 4 Char"/>
    <w:basedOn w:val="35"/>
    <w:link w:val="6"/>
    <w:semiHidden/>
    <w:qFormat/>
    <w:locked/>
    <w:uiPriority w:val="99"/>
    <w:rPr>
      <w:rFonts w:ascii="Cambria" w:hAnsi="Cambria" w:eastAsia="宋体" w:cs="Cambria"/>
      <w:b/>
      <w:bCs/>
      <w:sz w:val="28"/>
      <w:szCs w:val="28"/>
    </w:rPr>
  </w:style>
  <w:style w:type="character" w:customStyle="1" w:styleId="55">
    <w:name w:val="标题 5 Char"/>
    <w:basedOn w:val="35"/>
    <w:link w:val="7"/>
    <w:qFormat/>
    <w:locked/>
    <w:uiPriority w:val="99"/>
    <w:rPr>
      <w:b/>
      <w:bCs/>
      <w:kern w:val="2"/>
      <w:sz w:val="28"/>
      <w:szCs w:val="28"/>
    </w:rPr>
  </w:style>
  <w:style w:type="character" w:customStyle="1" w:styleId="56">
    <w:name w:val="标题 6 Char"/>
    <w:basedOn w:val="35"/>
    <w:link w:val="8"/>
    <w:semiHidden/>
    <w:qFormat/>
    <w:locked/>
    <w:uiPriority w:val="99"/>
    <w:rPr>
      <w:rFonts w:ascii="Cambria" w:hAnsi="Cambria" w:eastAsia="宋体" w:cs="Cambria"/>
      <w:b/>
      <w:bCs/>
      <w:sz w:val="24"/>
      <w:szCs w:val="24"/>
    </w:rPr>
  </w:style>
  <w:style w:type="character" w:customStyle="1" w:styleId="57">
    <w:name w:val="批注文字 Char"/>
    <w:basedOn w:val="35"/>
    <w:link w:val="10"/>
    <w:semiHidden/>
    <w:qFormat/>
    <w:locked/>
    <w:uiPriority w:val="99"/>
    <w:rPr>
      <w:sz w:val="21"/>
      <w:szCs w:val="21"/>
    </w:rPr>
  </w:style>
  <w:style w:type="character" w:customStyle="1" w:styleId="58">
    <w:name w:val="批注主题 Char"/>
    <w:basedOn w:val="57"/>
    <w:link w:val="9"/>
    <w:semiHidden/>
    <w:qFormat/>
    <w:locked/>
    <w:uiPriority w:val="99"/>
    <w:rPr>
      <w:b/>
      <w:bCs/>
    </w:rPr>
  </w:style>
  <w:style w:type="character" w:customStyle="1" w:styleId="59">
    <w:name w:val="文档结构图 Char"/>
    <w:basedOn w:val="35"/>
    <w:link w:val="16"/>
    <w:semiHidden/>
    <w:qFormat/>
    <w:locked/>
    <w:uiPriority w:val="99"/>
    <w:rPr>
      <w:sz w:val="2"/>
      <w:szCs w:val="2"/>
    </w:rPr>
  </w:style>
  <w:style w:type="character" w:customStyle="1" w:styleId="60">
    <w:name w:val="正文文本 3 Char"/>
    <w:basedOn w:val="35"/>
    <w:link w:val="17"/>
    <w:semiHidden/>
    <w:qFormat/>
    <w:locked/>
    <w:uiPriority w:val="99"/>
    <w:rPr>
      <w:sz w:val="16"/>
      <w:szCs w:val="16"/>
    </w:rPr>
  </w:style>
  <w:style w:type="character" w:customStyle="1" w:styleId="61">
    <w:name w:val="正文文本 Char"/>
    <w:basedOn w:val="35"/>
    <w:link w:val="2"/>
    <w:qFormat/>
    <w:locked/>
    <w:uiPriority w:val="99"/>
    <w:rPr>
      <w:rFonts w:eastAsia="宋体"/>
      <w:kern w:val="2"/>
      <w:sz w:val="21"/>
      <w:szCs w:val="21"/>
      <w:lang w:val="en-US" w:eastAsia="zh-CN"/>
    </w:rPr>
  </w:style>
  <w:style w:type="character" w:customStyle="1" w:styleId="62">
    <w:name w:val="正文文本缩进 Char"/>
    <w:basedOn w:val="35"/>
    <w:link w:val="14"/>
    <w:qFormat/>
    <w:locked/>
    <w:uiPriority w:val="99"/>
    <w:rPr>
      <w:snapToGrid w:val="0"/>
      <w:sz w:val="24"/>
      <w:szCs w:val="24"/>
    </w:rPr>
  </w:style>
  <w:style w:type="character" w:customStyle="1" w:styleId="63">
    <w:name w:val="纯文本 Char"/>
    <w:basedOn w:val="35"/>
    <w:link w:val="20"/>
    <w:qFormat/>
    <w:locked/>
    <w:uiPriority w:val="99"/>
    <w:rPr>
      <w:rFonts w:ascii="宋体" w:hAnsi="Courier New" w:eastAsia="宋体" w:cs="宋体"/>
      <w:kern w:val="2"/>
      <w:sz w:val="21"/>
      <w:szCs w:val="21"/>
      <w:lang w:val="en-US" w:eastAsia="zh-CN"/>
    </w:rPr>
  </w:style>
  <w:style w:type="character" w:customStyle="1" w:styleId="64">
    <w:name w:val="日期 Char"/>
    <w:basedOn w:val="35"/>
    <w:link w:val="22"/>
    <w:semiHidden/>
    <w:qFormat/>
    <w:locked/>
    <w:uiPriority w:val="99"/>
    <w:rPr>
      <w:sz w:val="21"/>
      <w:szCs w:val="21"/>
    </w:rPr>
  </w:style>
  <w:style w:type="character" w:customStyle="1" w:styleId="65">
    <w:name w:val="正文文本缩进 2 Char"/>
    <w:basedOn w:val="35"/>
    <w:link w:val="23"/>
    <w:qFormat/>
    <w:locked/>
    <w:uiPriority w:val="99"/>
    <w:rPr>
      <w:snapToGrid w:val="0"/>
      <w:sz w:val="24"/>
      <w:szCs w:val="24"/>
    </w:rPr>
  </w:style>
  <w:style w:type="character" w:customStyle="1" w:styleId="66">
    <w:name w:val="批注框文本 Char"/>
    <w:basedOn w:val="35"/>
    <w:link w:val="24"/>
    <w:qFormat/>
    <w:locked/>
    <w:uiPriority w:val="99"/>
    <w:rPr>
      <w:kern w:val="2"/>
      <w:sz w:val="18"/>
      <w:szCs w:val="18"/>
    </w:rPr>
  </w:style>
  <w:style w:type="character" w:customStyle="1" w:styleId="67">
    <w:name w:val="页脚 Char"/>
    <w:basedOn w:val="35"/>
    <w:link w:val="25"/>
    <w:qFormat/>
    <w:locked/>
    <w:uiPriority w:val="99"/>
    <w:rPr>
      <w:rFonts w:eastAsia="宋体"/>
      <w:kern w:val="2"/>
      <w:sz w:val="18"/>
      <w:szCs w:val="18"/>
      <w:lang w:val="en-US" w:eastAsia="zh-CN"/>
    </w:rPr>
  </w:style>
  <w:style w:type="character" w:customStyle="1" w:styleId="68">
    <w:name w:val="页眉 Char"/>
    <w:basedOn w:val="35"/>
    <w:link w:val="26"/>
    <w:semiHidden/>
    <w:qFormat/>
    <w:locked/>
    <w:uiPriority w:val="99"/>
    <w:rPr>
      <w:sz w:val="18"/>
      <w:szCs w:val="18"/>
    </w:rPr>
  </w:style>
  <w:style w:type="character" w:customStyle="1" w:styleId="69">
    <w:name w:val="正文文本缩进 3 Char"/>
    <w:basedOn w:val="35"/>
    <w:link w:val="30"/>
    <w:qFormat/>
    <w:locked/>
    <w:uiPriority w:val="99"/>
    <w:rPr>
      <w:rFonts w:ascii="宋体" w:eastAsia="宋体" w:cs="宋体"/>
      <w:snapToGrid w:val="0"/>
      <w:sz w:val="24"/>
      <w:szCs w:val="24"/>
    </w:rPr>
  </w:style>
  <w:style w:type="character" w:customStyle="1" w:styleId="70">
    <w:name w:val="正文文本 2 Char"/>
    <w:basedOn w:val="35"/>
    <w:link w:val="33"/>
    <w:qFormat/>
    <w:locked/>
    <w:uiPriority w:val="99"/>
    <w:rPr>
      <w:rFonts w:ascii="宋体" w:cs="宋体"/>
      <w:kern w:val="2"/>
      <w:sz w:val="24"/>
      <w:szCs w:val="24"/>
    </w:rPr>
  </w:style>
  <w:style w:type="character" w:customStyle="1" w:styleId="71">
    <w:name w:val="Char Char24"/>
    <w:qFormat/>
    <w:locked/>
    <w:uiPriority w:val="99"/>
    <w:rPr>
      <w:rFonts w:eastAsia="宋体"/>
      <w:b/>
      <w:bCs/>
      <w:kern w:val="2"/>
      <w:sz w:val="32"/>
      <w:szCs w:val="32"/>
      <w:lang w:val="en-US" w:eastAsia="zh-CN"/>
    </w:rPr>
  </w:style>
  <w:style w:type="character" w:customStyle="1" w:styleId="72">
    <w:name w:val="t_tag"/>
    <w:basedOn w:val="35"/>
    <w:qFormat/>
    <w:uiPriority w:val="99"/>
  </w:style>
  <w:style w:type="character" w:customStyle="1" w:styleId="73">
    <w:name w:val="Char Char3"/>
    <w:qFormat/>
    <w:uiPriority w:val="99"/>
    <w:rPr>
      <w:rFonts w:eastAsia="宋体"/>
      <w:kern w:val="2"/>
      <w:sz w:val="24"/>
      <w:szCs w:val="24"/>
      <w:lang w:val="en-US" w:eastAsia="zh-CN"/>
    </w:rPr>
  </w:style>
  <w:style w:type="paragraph" w:customStyle="1" w:styleId="74">
    <w:name w:val="Char Char Char Char"/>
    <w:basedOn w:val="1"/>
    <w:qFormat/>
    <w:uiPriority w:val="99"/>
    <w:rPr>
      <w:rFonts w:ascii="Tahoma" w:hAnsi="Tahoma" w:cs="Tahoma"/>
      <w:sz w:val="24"/>
      <w:szCs w:val="24"/>
    </w:rPr>
  </w:style>
  <w:style w:type="paragraph" w:customStyle="1" w:styleId="75">
    <w:name w:val="Char Char Char"/>
    <w:basedOn w:val="1"/>
    <w:qFormat/>
    <w:uiPriority w:val="99"/>
    <w:pPr>
      <w:spacing w:line="360" w:lineRule="auto"/>
    </w:pPr>
  </w:style>
  <w:style w:type="paragraph" w:customStyle="1" w:styleId="76">
    <w:name w:val="列出段落1"/>
    <w:basedOn w:val="1"/>
    <w:qFormat/>
    <w:uiPriority w:val="99"/>
    <w:pPr>
      <w:ind w:firstLine="420" w:firstLineChars="200"/>
    </w:pPr>
    <w:rPr>
      <w:rFonts w:ascii="Calibri" w:hAnsi="Calibri" w:cs="Calibri"/>
    </w:rPr>
  </w:style>
  <w:style w:type="paragraph" w:customStyle="1" w:styleId="77">
    <w:name w:val="Char"/>
    <w:basedOn w:val="1"/>
    <w:qFormat/>
    <w:uiPriority w:val="99"/>
    <w:pPr>
      <w:spacing w:line="360" w:lineRule="auto"/>
    </w:pPr>
    <w:rPr>
      <w:rFonts w:ascii="仿宋_GB2312" w:eastAsia="仿宋_GB2312" w:cs="仿宋_GB2312"/>
      <w:b/>
      <w:bCs/>
      <w:sz w:val="32"/>
      <w:szCs w:val="32"/>
    </w:rPr>
  </w:style>
  <w:style w:type="paragraph" w:customStyle="1" w:styleId="78">
    <w:name w:val="保留正文"/>
    <w:basedOn w:val="2"/>
    <w:qFormat/>
    <w:uiPriority w:val="99"/>
    <w:pPr>
      <w:keepNext/>
      <w:spacing w:after="160"/>
      <w:jc w:val="both"/>
    </w:pPr>
  </w:style>
  <w:style w:type="paragraph" w:customStyle="1" w:styleId="79">
    <w:name w:val="普通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80">
    <w:name w:val="目录"/>
    <w:basedOn w:val="1"/>
    <w:qFormat/>
    <w:uiPriority w:val="99"/>
    <w:pPr>
      <w:widowControl/>
      <w:jc w:val="center"/>
    </w:pPr>
    <w:rPr>
      <w:rFonts w:ascii="宋体" w:cs="宋体"/>
      <w:b/>
      <w:bCs/>
      <w:sz w:val="36"/>
      <w:szCs w:val="36"/>
    </w:rPr>
  </w:style>
  <w:style w:type="paragraph" w:customStyle="1" w:styleId="81">
    <w:name w:val="Char Char Char Char1"/>
    <w:basedOn w:val="1"/>
    <w:qFormat/>
    <w:uiPriority w:val="99"/>
    <w:pPr>
      <w:adjustRightInd w:val="0"/>
      <w:spacing w:line="440" w:lineRule="exact"/>
    </w:pPr>
    <w:rPr>
      <w:sz w:val="20"/>
      <w:szCs w:val="20"/>
    </w:rPr>
  </w:style>
  <w:style w:type="character" w:customStyle="1" w:styleId="82">
    <w:name w:val="ui-bz-bg-hover"/>
    <w:basedOn w:val="35"/>
    <w:qFormat/>
    <w:uiPriority w:val="99"/>
    <w:rPr>
      <w:shd w:val="clear" w:color="auto" w:fill="000000"/>
    </w:rPr>
  </w:style>
  <w:style w:type="character" w:customStyle="1" w:styleId="83">
    <w:name w:val="ui-bz-bg-hover1"/>
    <w:basedOn w:val="35"/>
    <w:qFormat/>
    <w:uiPriority w:val="99"/>
  </w:style>
  <w:style w:type="character" w:customStyle="1" w:styleId="84">
    <w:name w:val="top-icon"/>
    <w:basedOn w:val="35"/>
    <w:qFormat/>
    <w:uiPriority w:val="99"/>
  </w:style>
  <w:style w:type="character" w:customStyle="1" w:styleId="85">
    <w:name w:val="t-tag"/>
    <w:basedOn w:val="35"/>
    <w:qFormat/>
    <w:uiPriority w:val="99"/>
    <w:rPr>
      <w:color w:val="FFFFFF"/>
      <w:sz w:val="18"/>
      <w:szCs w:val="18"/>
      <w:shd w:val="clear" w:color="auto" w:fill="auto"/>
    </w:rPr>
  </w:style>
  <w:style w:type="character" w:customStyle="1" w:styleId="86">
    <w:name w:val="bds_more2"/>
    <w:basedOn w:val="35"/>
    <w:qFormat/>
    <w:uiPriority w:val="99"/>
  </w:style>
  <w:style w:type="character" w:customStyle="1" w:styleId="87">
    <w:name w:val="bds_more3"/>
    <w:basedOn w:val="35"/>
    <w:qFormat/>
    <w:uiPriority w:val="99"/>
  </w:style>
  <w:style w:type="character" w:customStyle="1" w:styleId="88">
    <w:name w:val="f-star"/>
    <w:basedOn w:val="35"/>
    <w:qFormat/>
    <w:uiPriority w:val="99"/>
    <w:rPr>
      <w:color w:val="auto"/>
      <w:sz w:val="21"/>
      <w:szCs w:val="21"/>
    </w:rPr>
  </w:style>
  <w:style w:type="character" w:customStyle="1" w:styleId="89">
    <w:name w:val="bds_nopic"/>
    <w:basedOn w:val="35"/>
    <w:qFormat/>
    <w:uiPriority w:val="99"/>
  </w:style>
  <w:style w:type="character" w:customStyle="1" w:styleId="90">
    <w:name w:val="orange"/>
    <w:basedOn w:val="35"/>
    <w:qFormat/>
    <w:uiPriority w:val="99"/>
    <w:rPr>
      <w:color w:val="auto"/>
    </w:rPr>
  </w:style>
  <w:style w:type="character" w:customStyle="1" w:styleId="91">
    <w:name w:val="org_name"/>
    <w:basedOn w:val="35"/>
    <w:qFormat/>
    <w:uiPriority w:val="99"/>
  </w:style>
  <w:style w:type="character" w:customStyle="1" w:styleId="92">
    <w:name w:val="no42"/>
    <w:basedOn w:val="35"/>
    <w:qFormat/>
    <w:uiPriority w:val="99"/>
  </w:style>
  <w:style w:type="character" w:customStyle="1" w:styleId="93">
    <w:name w:val="no52"/>
    <w:basedOn w:val="35"/>
    <w:qFormat/>
    <w:uiPriority w:val="99"/>
  </w:style>
  <w:style w:type="character" w:customStyle="1" w:styleId="94">
    <w:name w:val="no62"/>
    <w:basedOn w:val="35"/>
    <w:qFormat/>
    <w:uiPriority w:val="99"/>
  </w:style>
  <w:style w:type="character" w:customStyle="1" w:styleId="95">
    <w:name w:val="no72"/>
    <w:basedOn w:val="35"/>
    <w:qFormat/>
    <w:uiPriority w:val="99"/>
  </w:style>
  <w:style w:type="character" w:customStyle="1" w:styleId="96">
    <w:name w:val="ico-jiang"/>
    <w:basedOn w:val="35"/>
    <w:qFormat/>
    <w:uiPriority w:val="99"/>
  </w:style>
  <w:style w:type="character" w:customStyle="1" w:styleId="97">
    <w:name w:val="ico-jiang1"/>
    <w:basedOn w:val="35"/>
    <w:qFormat/>
    <w:uiPriority w:val="99"/>
  </w:style>
  <w:style w:type="character" w:customStyle="1" w:styleId="98">
    <w:name w:val="my-notice1"/>
    <w:basedOn w:val="35"/>
    <w:qFormat/>
    <w:uiPriority w:val="99"/>
  </w:style>
  <w:style w:type="character" w:customStyle="1" w:styleId="99">
    <w:name w:val="my-class"/>
    <w:basedOn w:val="35"/>
    <w:qFormat/>
    <w:uiPriority w:val="99"/>
  </w:style>
  <w:style w:type="character" w:customStyle="1" w:styleId="100">
    <w:name w:val="tip10"/>
    <w:basedOn w:val="35"/>
    <w:qFormat/>
    <w:uiPriority w:val="99"/>
    <w:rPr>
      <w:vanish/>
      <w:color w:val="FF0000"/>
      <w:sz w:val="18"/>
      <w:szCs w:val="18"/>
    </w:rPr>
  </w:style>
  <w:style w:type="character" w:customStyle="1" w:styleId="101">
    <w:name w:val="my-class2"/>
    <w:basedOn w:val="35"/>
    <w:qFormat/>
    <w:uiPriority w:val="99"/>
  </w:style>
  <w:style w:type="character" w:customStyle="1" w:styleId="102">
    <w:name w:val="bds_more"/>
    <w:basedOn w:val="35"/>
    <w:qFormat/>
    <w:uiPriority w:val="99"/>
  </w:style>
  <w:style w:type="character" w:customStyle="1" w:styleId="103">
    <w:name w:val="bds_more1"/>
    <w:basedOn w:val="35"/>
    <w:qFormat/>
    <w:uiPriority w:val="99"/>
    <w:rPr>
      <w:rFonts w:ascii="宋体" w:hAnsi="宋体" w:eastAsia="宋体" w:cs="宋体"/>
    </w:rPr>
  </w:style>
  <w:style w:type="character" w:customStyle="1" w:styleId="104">
    <w:name w:val="bds_nopic1"/>
    <w:basedOn w:val="35"/>
    <w:qFormat/>
    <w:uiPriority w:val="99"/>
  </w:style>
  <w:style w:type="character" w:customStyle="1" w:styleId="105">
    <w:name w:val="bds_nopic2"/>
    <w:basedOn w:val="35"/>
    <w:qFormat/>
    <w:uiPriority w:val="99"/>
  </w:style>
  <w:style w:type="character" w:customStyle="1" w:styleId="106">
    <w:name w:val="orange6"/>
    <w:basedOn w:val="35"/>
    <w:qFormat/>
    <w:uiPriority w:val="99"/>
    <w:rPr>
      <w:color w:val="auto"/>
    </w:rPr>
  </w:style>
  <w:style w:type="character" w:customStyle="1" w:styleId="107">
    <w:name w:val="font31"/>
    <w:basedOn w:val="35"/>
    <w:qFormat/>
    <w:uiPriority w:val="99"/>
    <w:rPr>
      <w:rFonts w:ascii="font-weight : 400" w:hAnsi="font-weight : 400" w:cs="font-weight : 400"/>
      <w:color w:val="000000"/>
      <w:sz w:val="20"/>
      <w:szCs w:val="20"/>
      <w:u w:val="none"/>
      <w:vertAlign w:val="superscript"/>
    </w:rPr>
  </w:style>
  <w:style w:type="character" w:customStyle="1" w:styleId="108">
    <w:name w:val="font01"/>
    <w:basedOn w:val="35"/>
    <w:qFormat/>
    <w:uiPriority w:val="99"/>
    <w:rPr>
      <w:rFonts w:ascii="宋体" w:hAnsi="宋体" w:eastAsia="宋体" w:cs="宋体"/>
      <w:color w:val="FF0000"/>
      <w:sz w:val="20"/>
      <w:szCs w:val="20"/>
      <w:u w:val="none"/>
    </w:rPr>
  </w:style>
  <w:style w:type="character" w:customStyle="1" w:styleId="109">
    <w:name w:val="font11"/>
    <w:basedOn w:val="35"/>
    <w:qFormat/>
    <w:uiPriority w:val="99"/>
    <w:rPr>
      <w:rFonts w:ascii="宋体" w:hAnsi="宋体" w:eastAsia="宋体" w:cs="宋体"/>
      <w:color w:val="000000"/>
      <w:sz w:val="20"/>
      <w:szCs w:val="20"/>
      <w:u w:val="none"/>
    </w:rPr>
  </w:style>
  <w:style w:type="paragraph" w:customStyle="1" w:styleId="110">
    <w:name w:val="Revision1"/>
    <w:hidden/>
    <w:qFormat/>
    <w:uiPriority w:val="99"/>
    <w:rPr>
      <w:rFonts w:ascii="Times New Roman" w:hAnsi="Times New Roman" w:eastAsia="宋体" w:cs="Times New Roman"/>
      <w:kern w:val="2"/>
      <w:sz w:val="21"/>
      <w:szCs w:val="21"/>
      <w:lang w:val="en-US" w:eastAsia="zh-CN" w:bidi="ar-SA"/>
    </w:rPr>
  </w:style>
  <w:style w:type="paragraph" w:customStyle="1" w:styleId="111">
    <w:name w:val="表注1"/>
    <w:basedOn w:val="1"/>
    <w:unhideWhenUsed/>
    <w:qFormat/>
    <w:uiPriority w:val="0"/>
    <w:pPr>
      <w:adjustRightInd w:val="0"/>
      <w:snapToGrid w:val="0"/>
      <w:spacing w:beforeLines="50" w:line="300" w:lineRule="auto"/>
      <w:ind w:left="350" w:hanging="350" w:hangingChars="350"/>
    </w:pPr>
    <w:rPr>
      <w:rFonts w:hint="eastAsia" w:eastAsia="仿宋_GB2312"/>
      <w:color w:val="000000"/>
    </w:rPr>
  </w:style>
  <w:style w:type="paragraph" w:customStyle="1" w:styleId="112">
    <w:name w:val="列出段落2"/>
    <w:basedOn w:val="1"/>
    <w:qFormat/>
    <w:uiPriority w:val="34"/>
    <w:pPr>
      <w:ind w:firstLine="420" w:firstLineChars="200"/>
    </w:pPr>
  </w:style>
  <w:style w:type="paragraph" w:customStyle="1" w:styleId="113">
    <w:name w:val="目录文字"/>
    <w:basedOn w:val="1"/>
    <w:qFormat/>
    <w:uiPriority w:val="0"/>
    <w:pPr>
      <w:widowControl/>
      <w:spacing w:line="480" w:lineRule="auto"/>
      <w:jc w:val="left"/>
    </w:pPr>
    <w:rPr>
      <w:rFonts w:ascii="宋体" w:hAnsi="宋体"/>
      <w:kern w:val="0"/>
      <w:sz w:val="24"/>
      <w:szCs w:val="20"/>
    </w:rPr>
  </w:style>
  <w:style w:type="paragraph" w:customStyle="1" w:styleId="114">
    <w:name w:val="正文缩进1"/>
    <w:basedOn w:val="1"/>
    <w:qFormat/>
    <w:uiPriority w:val="0"/>
    <w:pPr>
      <w:ind w:firstLine="420" w:firstLineChars="200"/>
    </w:pPr>
  </w:style>
  <w:style w:type="character" w:customStyle="1" w:styleId="115">
    <w:name w:val="ca-31"/>
    <w:basedOn w:val="35"/>
    <w:qFormat/>
    <w:uiPriority w:val="0"/>
  </w:style>
  <w:style w:type="paragraph" w:customStyle="1" w:styleId="116">
    <w:name w:val="p0"/>
    <w:basedOn w:val="1"/>
    <w:qFormat/>
    <w:uiPriority w:val="0"/>
    <w:pPr>
      <w:spacing w:line="365" w:lineRule="atLeast"/>
      <w:ind w:left="1"/>
      <w:jc w:val="both"/>
    </w:pPr>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88</Pages>
  <Words>34619</Words>
  <Characters>36762</Characters>
  <Lines>225</Lines>
  <Paragraphs>63</Paragraphs>
  <ScaleCrop>false</ScaleCrop>
  <LinksUpToDate>false</LinksUpToDate>
  <CharactersWithSpaces>37581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2015-07-29T10:12:00Z</dcterms:created>
  <dc:creator>Longwill-4</dc:creator>
  <cp:lastModifiedBy>Administrator</cp:lastModifiedBy>
  <cp:lastPrinted>2017-05-10T10:09:00Z</cp:lastPrinted>
  <dcterms:modified xsi:type="dcterms:W3CDTF">2022-11-29T02:44:45Z</dcterms:modified>
  <dc:title>招标编号:SXLHZB2009-276</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6C2A7A1ABE4347C1959369812129D404</vt:lpwstr>
  </property>
</Properties>
</file>