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ind w:left="3120" w:leftChars="0"/>
        <w:jc w:val="both"/>
        <w:rPr>
          <w:rFonts w:hint="eastAsia" w:ascii="仿宋" w:hAnsi="仿宋" w:eastAsia="仿宋" w:cs="仿宋"/>
          <w:bCs/>
          <w:sz w:val="36"/>
          <w:szCs w:val="36"/>
        </w:rPr>
      </w:pPr>
      <w:bookmarkStart w:id="0" w:name="_Toc12205"/>
      <w:r>
        <w:rPr>
          <w:rFonts w:hint="eastAsia" w:ascii="仿宋" w:hAnsi="仿宋" w:eastAsia="仿宋" w:cs="仿宋"/>
          <w:bCs/>
          <w:sz w:val="36"/>
          <w:szCs w:val="36"/>
          <w:lang w:val="en-US" w:eastAsia="zh-CN"/>
        </w:rPr>
        <w:t>采购</w:t>
      </w:r>
      <w:r>
        <w:rPr>
          <w:rFonts w:hint="eastAsia" w:ascii="仿宋" w:hAnsi="仿宋" w:eastAsia="仿宋" w:cs="仿宋"/>
          <w:bCs/>
          <w:sz w:val="36"/>
          <w:szCs w:val="36"/>
        </w:rPr>
        <w:t>要求</w:t>
      </w:r>
      <w:bookmarkEnd w:id="0"/>
    </w:p>
    <w:p>
      <w:pPr>
        <w:keepNext w:val="0"/>
        <w:keepLines w:val="0"/>
        <w:pageBreakBefore w:val="0"/>
        <w:widowControl w:val="0"/>
        <w:kinsoku/>
        <w:wordWrap/>
        <w:overflowPunct/>
        <w:topLinePunct w:val="0"/>
        <w:bidi w:val="0"/>
        <w:adjustRightInd w:val="0"/>
        <w:snapToGrid/>
        <w:spacing w:line="360" w:lineRule="auto"/>
        <w:contextualSpacing/>
        <w:textAlignment w:val="auto"/>
        <w:rPr>
          <w:rFonts w:hint="eastAsia" w:ascii="仿宋" w:hAnsi="仿宋" w:eastAsia="仿宋" w:cs="仿宋"/>
          <w:snapToGrid w:val="0"/>
          <w:color w:val="000000"/>
          <w:sz w:val="24"/>
          <w:szCs w:val="24"/>
        </w:rPr>
      </w:pPr>
    </w:p>
    <w:p>
      <w:pPr>
        <w:keepNext w:val="0"/>
        <w:keepLines w:val="0"/>
        <w:pageBreakBefore w:val="0"/>
        <w:widowControl w:val="0"/>
        <w:kinsoku/>
        <w:wordWrap/>
        <w:overflowPunct/>
        <w:topLinePunct w:val="0"/>
        <w:bidi w:val="0"/>
        <w:adjustRightInd w:val="0"/>
        <w:snapToGrid/>
        <w:spacing w:line="360" w:lineRule="auto"/>
        <w:ind w:firstLine="482" w:firstLineChars="200"/>
        <w:contextualSpacing/>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snapToGrid w:val="0"/>
          <w:color w:val="000000"/>
          <w:sz w:val="24"/>
          <w:szCs w:val="24"/>
        </w:rPr>
        <w:t>一、</w:t>
      </w:r>
      <w:r>
        <w:rPr>
          <w:rFonts w:hint="eastAsia" w:ascii="仿宋" w:hAnsi="仿宋" w:eastAsia="仿宋" w:cs="仿宋"/>
          <w:b/>
          <w:bCs/>
          <w:snapToGrid w:val="0"/>
          <w:color w:val="000000"/>
          <w:sz w:val="24"/>
          <w:szCs w:val="24"/>
          <w:lang w:val="en-US" w:eastAsia="zh-CN"/>
        </w:rPr>
        <w:t>背景</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bCs/>
          <w:color w:val="000000"/>
          <w:kern w:val="0"/>
          <w:sz w:val="24"/>
          <w:szCs w:val="24"/>
        </w:rPr>
      </w:pPr>
      <w:r>
        <w:rPr>
          <w:rFonts w:hint="eastAsia" w:ascii="仿宋" w:hAnsi="仿宋" w:eastAsia="仿宋" w:cs="仿宋"/>
          <w:color w:val="000000"/>
          <w:kern w:val="0"/>
          <w:sz w:val="24"/>
          <w:szCs w:val="24"/>
        </w:rPr>
        <w:t>为完善泾河新城科技创新生态，进一步提升新城科技</w:t>
      </w:r>
      <w:bookmarkStart w:id="1" w:name="_GoBack"/>
      <w:bookmarkEnd w:id="1"/>
      <w:r>
        <w:rPr>
          <w:rFonts w:hint="eastAsia" w:ascii="仿宋" w:hAnsi="仿宋" w:eastAsia="仿宋" w:cs="仿宋"/>
          <w:color w:val="000000"/>
          <w:kern w:val="0"/>
          <w:sz w:val="24"/>
          <w:szCs w:val="24"/>
        </w:rPr>
        <w:t>创新聚集度与活跃度，全力推动创新链、产业链深度融合，助力新城打造“科技创新新引擎、先进制造业新高地。拟</w:t>
      </w:r>
      <w:r>
        <w:rPr>
          <w:rFonts w:hint="eastAsia" w:ascii="仿宋" w:hAnsi="仿宋" w:eastAsia="仿宋" w:cs="仿宋"/>
          <w:color w:val="000000"/>
          <w:kern w:val="0"/>
          <w:sz w:val="24"/>
          <w:szCs w:val="24"/>
          <w:lang w:val="en-US" w:eastAsia="zh-CN"/>
        </w:rPr>
        <w:t>定于</w:t>
      </w:r>
      <w:r>
        <w:rPr>
          <w:rFonts w:hint="eastAsia" w:ascii="仿宋" w:hAnsi="仿宋" w:eastAsia="仿宋" w:cs="仿宋"/>
          <w:color w:val="000000"/>
          <w:kern w:val="0"/>
          <w:sz w:val="24"/>
          <w:szCs w:val="24"/>
        </w:rPr>
        <w:t>10月中</w:t>
      </w:r>
      <w:r>
        <w:rPr>
          <w:rFonts w:hint="eastAsia" w:ascii="仿宋" w:hAnsi="仿宋" w:eastAsia="仿宋" w:cs="仿宋"/>
          <w:color w:val="000000"/>
          <w:kern w:val="0"/>
          <w:sz w:val="24"/>
          <w:szCs w:val="24"/>
          <w:lang w:val="en-US" w:eastAsia="zh-CN"/>
        </w:rPr>
        <w:t>下</w:t>
      </w:r>
      <w:r>
        <w:rPr>
          <w:rFonts w:hint="eastAsia" w:ascii="仿宋" w:hAnsi="仿宋" w:eastAsia="仿宋" w:cs="仿宋"/>
          <w:color w:val="000000"/>
          <w:kern w:val="0"/>
          <w:sz w:val="24"/>
          <w:szCs w:val="24"/>
        </w:rPr>
        <w:t>旬举办2022年陕西省创新方法大赛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选择一家举办活动的供应商完成本次赛事活动。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textAlignment w:val="auto"/>
        <w:rPr>
          <w:rFonts w:hint="eastAsia" w:ascii="仿宋" w:hAnsi="仿宋" w:eastAsia="仿宋" w:cs="仿宋"/>
          <w:b/>
          <w:bCs w:val="0"/>
          <w:color w:val="000000"/>
          <w:kern w:val="0"/>
          <w:sz w:val="24"/>
          <w:szCs w:val="24"/>
        </w:rPr>
      </w:pPr>
      <w:r>
        <w:rPr>
          <w:rFonts w:hint="eastAsia" w:ascii="仿宋" w:hAnsi="仿宋" w:eastAsia="仿宋" w:cs="仿宋"/>
          <w:b/>
          <w:bCs w:val="0"/>
          <w:color w:val="000000"/>
          <w:kern w:val="0"/>
          <w:sz w:val="24"/>
          <w:szCs w:val="24"/>
        </w:rPr>
        <w:t>二、大赛主题</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坚定创新自信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促进自立自强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textAlignment w:val="auto"/>
        <w:rPr>
          <w:rFonts w:hint="eastAsia" w:ascii="仿宋" w:hAnsi="仿宋" w:eastAsia="仿宋" w:cs="仿宋"/>
          <w:b/>
          <w:bCs w:val="0"/>
          <w:color w:val="000000"/>
          <w:kern w:val="0"/>
          <w:sz w:val="24"/>
          <w:szCs w:val="24"/>
          <w:lang w:eastAsia="zh-CN"/>
        </w:rPr>
      </w:pPr>
      <w:r>
        <w:rPr>
          <w:rFonts w:hint="eastAsia" w:ascii="仿宋" w:hAnsi="仿宋" w:eastAsia="仿宋" w:cs="仿宋"/>
          <w:b/>
          <w:bCs w:val="0"/>
          <w:color w:val="000000"/>
          <w:kern w:val="0"/>
          <w:sz w:val="24"/>
          <w:szCs w:val="24"/>
        </w:rPr>
        <w:t>三、赛事组织</w:t>
      </w:r>
      <w:r>
        <w:rPr>
          <w:rFonts w:hint="eastAsia" w:ascii="仿宋" w:hAnsi="仿宋" w:eastAsia="仿宋" w:cs="仿宋"/>
          <w:b/>
          <w:bCs w:val="0"/>
          <w:color w:val="000000"/>
          <w:kern w:val="0"/>
          <w:sz w:val="24"/>
          <w:szCs w:val="24"/>
          <w:lang w:val="en-US" w:eastAsia="zh-CN"/>
        </w:rPr>
        <w:t>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一</w:t>
      </w:r>
      <w:r>
        <w:rPr>
          <w:rFonts w:hint="eastAsia" w:ascii="仿宋" w:hAnsi="仿宋" w:eastAsia="仿宋" w:cs="仿宋"/>
          <w:sz w:val="24"/>
          <w:szCs w:val="24"/>
        </w:rPr>
        <w:t>）时间、地点</w:t>
      </w:r>
    </w:p>
    <w:p>
      <w:pPr>
        <w:keepNext w:val="0"/>
        <w:keepLines w:val="0"/>
        <w:pageBreakBefore w:val="0"/>
        <w:widowControl w:val="0"/>
        <w:kinsoku/>
        <w:wordWrap/>
        <w:overflowPunct/>
        <w:topLinePunct w:val="0"/>
        <w:bidi w:val="0"/>
        <w:adjustRightInd w:val="0"/>
        <w:snapToGrid/>
        <w:spacing w:line="360" w:lineRule="auto"/>
        <w:ind w:left="480" w:leftChars="200" w:firstLine="240" w:firstLineChars="100"/>
        <w:contextualSpacing/>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10月中下旬</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暂定</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adjustRightInd w:val="0"/>
        <w:snapToGrid/>
        <w:spacing w:line="360" w:lineRule="auto"/>
        <w:ind w:left="480" w:leftChars="200" w:firstLine="240" w:firstLineChars="100"/>
        <w:contextualSpacing/>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地点：泾河新城孵化中心报告厅</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）大赛内容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企业、高等院校、科研院所、从事创新创业及其服务的其他事业单位、新型研发机构等单位的人员所组成的团队进行报名参赛，每个团队人数为3人，针对技术创新方法、管理创新方法及其他创新方法在研发生产中和学习生活中的实际应用进行竞赛。</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）参赛对象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1.陕西省创新方法大赛获奖项目完成人；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2.在陕企业、高校技术管理、研发骨干、创新小组和一线科技工作者、企业科技负责人、企业工程师，科研人员等；</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3.有参加创新工程师认证考试需求的科技工作者。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rPr>
        <w:t>四、赛程</w:t>
      </w:r>
      <w:r>
        <w:rPr>
          <w:rFonts w:hint="eastAsia" w:ascii="仿宋" w:hAnsi="仿宋" w:eastAsia="仿宋" w:cs="仿宋"/>
          <w:b/>
          <w:bCs/>
          <w:color w:val="000000"/>
          <w:kern w:val="0"/>
          <w:sz w:val="24"/>
          <w:szCs w:val="24"/>
          <w:lang w:val="en-US" w:eastAsia="zh-CN"/>
        </w:rPr>
        <w:t>流程</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届大赛共分为五个阶段：报名、复赛、决赛、擂台赛、颁奖。由全省企事业单位科技人员以项目团队形式报名参赛，每个团队人数为3人，针对技术创新方法、管理创新方法及其他创新方法在研发生产中和学习生活中的实际应用进行竞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rPr>
        <w:t>（一）预赛和报名：</w:t>
      </w:r>
      <w:r>
        <w:rPr>
          <w:rFonts w:hint="eastAsia" w:ascii="仿宋" w:hAnsi="仿宋" w:eastAsia="仿宋" w:cs="仿宋"/>
          <w:sz w:val="24"/>
          <w:szCs w:val="24"/>
        </w:rPr>
        <w:t xml:space="preserve">各有关单位结合实际，采用线上线下等多种方式广泛动员宣传，组织本单位预赛，征集遴选优秀项目。通过预赛的参赛团队登录陕西省科协官网 （https://www.snast.org.cn），点击主页服务大厅“陕西省创新方法大赛报名入口”统一报名，报名参赛及培训不收取任何费用。经形式审查通过后的项目视为报名成功。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rPr>
        <w:t>（二）</w:t>
      </w:r>
      <w:r>
        <w:rPr>
          <w:rFonts w:hint="eastAsia" w:ascii="仿宋" w:hAnsi="仿宋" w:eastAsia="仿宋" w:cs="仿宋"/>
          <w:b w:val="0"/>
          <w:bCs w:val="0"/>
          <w:color w:val="000000"/>
          <w:kern w:val="0"/>
          <w:sz w:val="24"/>
          <w:szCs w:val="24"/>
          <w:lang w:val="en-US" w:eastAsia="zh-CN"/>
        </w:rPr>
        <w:t>线上</w:t>
      </w:r>
      <w:r>
        <w:rPr>
          <w:rFonts w:hint="eastAsia" w:ascii="仿宋" w:hAnsi="仿宋" w:eastAsia="仿宋" w:cs="仿宋"/>
          <w:b w:val="0"/>
          <w:bCs w:val="0"/>
          <w:color w:val="000000"/>
          <w:kern w:val="0"/>
          <w:sz w:val="24"/>
          <w:szCs w:val="24"/>
        </w:rPr>
        <w:t>复赛：</w:t>
      </w:r>
      <w:r>
        <w:rPr>
          <w:rFonts w:hint="eastAsia" w:ascii="仿宋" w:hAnsi="仿宋" w:eastAsia="仿宋" w:cs="仿宋"/>
          <w:sz w:val="24"/>
          <w:szCs w:val="24"/>
        </w:rPr>
        <w:t xml:space="preserve">对参赛项目资料采用线上审查形式。评审专家对各参赛团队提交的项目电子版材料（包括参赛项目 ppt 以及图片、视频等各种形式佐证材料）进行评审。根据评审分值排名，创新方法应用成效好、课题质量高的参赛项目进入决赛环节。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contextualSpacing/>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rPr>
        <w:t>（三）决赛环节</w:t>
      </w:r>
      <w:r>
        <w:rPr>
          <w:rFonts w:hint="eastAsia" w:ascii="仿宋" w:hAnsi="仿宋" w:eastAsia="仿宋" w:cs="仿宋"/>
          <w:sz w:val="24"/>
          <w:szCs w:val="24"/>
        </w:rPr>
        <w:t xml:space="preserve">：分理论测试和项目展示两个部分，理论测试全员参加，理论测试成绩按适当比例计入参赛队总成绩。项目展示，由参赛团队进行现场答辩，专家现场给予点评、辅导和打分。根据决赛总成绩，评出大赛一二三等奖。（根据疫情防控形势，理论测试、项目展示做好线上活动预案）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rPr>
      </w:pPr>
      <w:r>
        <w:rPr>
          <w:rFonts w:hint="eastAsia" w:ascii="仿宋" w:hAnsi="仿宋" w:eastAsia="仿宋" w:cs="仿宋"/>
          <w:b w:val="0"/>
          <w:bCs w:val="0"/>
          <w:color w:val="000000"/>
          <w:kern w:val="0"/>
          <w:sz w:val="24"/>
          <w:szCs w:val="24"/>
        </w:rPr>
        <w:t>（四）擂台赛环节：</w:t>
      </w:r>
      <w:r>
        <w:rPr>
          <w:rFonts w:hint="eastAsia" w:ascii="仿宋" w:hAnsi="仿宋" w:eastAsia="仿宋" w:cs="仿宋"/>
          <w:color w:val="000000"/>
          <w:kern w:val="0"/>
          <w:sz w:val="24"/>
          <w:szCs w:val="24"/>
        </w:rPr>
        <w:t>擂</w:t>
      </w:r>
      <w:r>
        <w:rPr>
          <w:rFonts w:hint="eastAsia" w:ascii="仿宋" w:hAnsi="仿宋" w:eastAsia="仿宋" w:cs="仿宋"/>
          <w:sz w:val="24"/>
          <w:szCs w:val="24"/>
        </w:rPr>
        <w:t>台赛由前7支优胜团队， 经过第一轮必答、抢答、游戏环节检验入围选手对TRIZ理论掌握的熟练程度，前3名优胜选手进入第二轮擂台赛。第二轮</w:t>
      </w:r>
      <w:r>
        <w:rPr>
          <w:rFonts w:hint="eastAsia" w:ascii="仿宋" w:hAnsi="仿宋" w:eastAsia="仿宋" w:cs="仿宋"/>
          <w:color w:val="000000"/>
          <w:kern w:val="0"/>
          <w:sz w:val="24"/>
          <w:szCs w:val="24"/>
        </w:rPr>
        <w:t xml:space="preserve">每组选手10分钟展示、陈述，评委综合判断选手对创新方法掌握与应用水平，现场点评并打分争夺大赛金银铜奖。 </w:t>
      </w:r>
    </w:p>
    <w:p>
      <w:pPr>
        <w:pStyle w:val="2"/>
        <w:ind w:firstLine="480" w:firstLineChars="200"/>
        <w:jc w:val="both"/>
        <w:rPr>
          <w:rFonts w:hint="eastAsia" w:ascii="仿宋" w:hAnsi="仿宋" w:eastAsia="仿宋" w:cs="仿宋"/>
          <w:b w:val="0"/>
          <w:bCs w:val="0"/>
          <w:color w:val="000000"/>
          <w:spacing w:val="0"/>
          <w:w w:val="100"/>
          <w:kern w:val="0"/>
          <w:sz w:val="24"/>
          <w:szCs w:val="24"/>
          <w:lang w:val="en-US" w:eastAsia="zh-CN" w:bidi="ar-SA"/>
        </w:rPr>
      </w:pPr>
      <w:r>
        <w:rPr>
          <w:rFonts w:hint="eastAsia" w:ascii="仿宋" w:hAnsi="仿宋" w:eastAsia="仿宋" w:cs="仿宋"/>
          <w:b w:val="0"/>
          <w:bCs w:val="0"/>
          <w:color w:val="000000"/>
          <w:spacing w:val="0"/>
          <w:w w:val="100"/>
          <w:kern w:val="0"/>
          <w:sz w:val="24"/>
          <w:szCs w:val="24"/>
          <w:lang w:val="en-US" w:eastAsia="zh-CN" w:bidi="ar-SA"/>
        </w:rPr>
        <w:t>（五）颁奖</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）大赛设置一、二、三等奖，颁发获奖证书，设立相应奖金，按比赛成绩择优推荐参加“2022年中国创新方法大赛”</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）参赛获奖者均颁发获奖证书，评选大赛优秀组织单位若干，对获奖项目将在省级媒体平台上进行宣传</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）陕西省省属企业创新投资基金择优对获奖项目予以支持，获奖项目可优先进入省属企业孵化基地</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）本次活动将积极引进社会资本、技术团队和企业等市场资源，为培训和大赛提供多元化服务</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snapToGrid/>
        <w:spacing w:line="360" w:lineRule="auto"/>
        <w:ind w:firstLine="480" w:firstLineChars="200"/>
        <w:contextualSpacing/>
        <w:textAlignment w:val="auto"/>
        <w:rPr>
          <w:rFonts w:hint="eastAsia" w:ascii="仿宋" w:hAnsi="仿宋" w:eastAsia="仿宋" w:cs="仿宋"/>
          <w:lang w:val="en-US" w:eastAsia="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zh-CN"/>
        </w:rPr>
        <w:t>设优秀组织奖，表彰获得优异成绩的推荐单位，颁发获奖证书。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b/>
          <w:bCs/>
          <w:color w:val="000000"/>
          <w:kern w:val="0"/>
          <w:sz w:val="24"/>
          <w:szCs w:val="24"/>
        </w:rPr>
        <w:t>五、预算</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80</w:t>
      </w:r>
      <w:r>
        <w:rPr>
          <w:rFonts w:hint="eastAsia" w:ascii="仿宋" w:hAnsi="仿宋" w:eastAsia="仿宋" w:cs="仿宋"/>
          <w:color w:val="000000"/>
          <w:kern w:val="0"/>
          <w:sz w:val="24"/>
          <w:szCs w:val="24"/>
        </w:rPr>
        <w:t>万元</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主要包括大赛筹备费、技术服务费，交通费、住宿费、餐费、劳务费、印刷费、设备租赁费等</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1.大赛筹备费：大赛方案前期调研、研讨等产生的劳务费、会议费等</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2.技术服务费：办赛过程中所需平台、网络技术支持费</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3.交通费：主要为比赛期间评审专家往返交通费、市内往返会场、酒店等地交通费</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4.住宿费：主要包括评审专家、工作人员住宿费</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5.餐费：主要包括评审专家、工作人员、参赛项目人员的餐费</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6.劳务费：主要包括评审专家、工作人员、媒体记者等人的劳务费</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7.印刷费：主要包括开幕式、闭幕式、成果展示会、申报材料打印复印、会议材料、工作证等相关宣传品费用</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topLinePunct w:val="0"/>
        <w:bidi w:val="0"/>
        <w:adjustRightInd w:val="0"/>
        <w:snapToGrid/>
        <w:spacing w:line="360" w:lineRule="auto"/>
        <w:ind w:firstLine="480" w:firstLineChars="200"/>
        <w:contextualSpacing/>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.设备租赁费：主要为开闭幕式及擂台赛的LED、投影、音响等设备租赁相关费用。</w:t>
      </w:r>
    </w:p>
    <w:p>
      <w:pPr>
        <w:pStyle w:val="2"/>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b w:val="0"/>
          <w:color w:val="auto"/>
          <w:spacing w:val="0"/>
          <w:w w:val="100"/>
          <w:kern w:val="0"/>
          <w:sz w:val="24"/>
          <w:szCs w:val="24"/>
          <w:lang w:val="en-US" w:eastAsia="zh-CN" w:bidi="ar-SA"/>
        </w:rPr>
      </w:pPr>
      <w:r>
        <w:rPr>
          <w:rFonts w:hint="eastAsia" w:ascii="仿宋" w:hAnsi="仿宋" w:eastAsia="仿宋" w:cs="仿宋"/>
          <w:b/>
          <w:bCs/>
          <w:color w:val="auto"/>
          <w:spacing w:val="0"/>
          <w:w w:val="100"/>
          <w:kern w:val="0"/>
          <w:sz w:val="24"/>
          <w:szCs w:val="24"/>
          <w:lang w:val="en-US" w:eastAsia="zh-CN" w:bidi="ar-SA"/>
        </w:rPr>
        <w:t>六、服务期限</w:t>
      </w:r>
      <w:r>
        <w:rPr>
          <w:rFonts w:hint="eastAsia" w:ascii="仿宋" w:hAnsi="仿宋" w:eastAsia="仿宋" w:cs="仿宋"/>
          <w:b w:val="0"/>
          <w:color w:val="auto"/>
          <w:spacing w:val="0"/>
          <w:w w:val="100"/>
          <w:kern w:val="0"/>
          <w:sz w:val="24"/>
          <w:szCs w:val="24"/>
          <w:lang w:val="en-US" w:eastAsia="zh-CN" w:bidi="ar-SA"/>
        </w:rPr>
        <w:t>：自合同签订之日起15个日历日</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Cs/>
          <w:sz w:val="24"/>
          <w:szCs w:val="24"/>
        </w:rPr>
      </w:pPr>
    </w:p>
    <w:p>
      <w:pPr>
        <w:pStyle w:val="5"/>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p>
    <w:p>
      <w:pPr>
        <w:pStyle w:val="5"/>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Cs/>
          <w:sz w:val="24"/>
          <w:szCs w:val="24"/>
        </w:rPr>
      </w:pPr>
    </w:p>
    <w:p>
      <w:pPr>
        <w:pStyle w:val="5"/>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Cs/>
          <w:sz w:val="24"/>
          <w:szCs w:val="24"/>
        </w:rPr>
      </w:pPr>
    </w:p>
    <w:p>
      <w:pPr>
        <w:pStyle w:val="5"/>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Cs/>
          <w:sz w:val="24"/>
          <w:szCs w:val="24"/>
        </w:rPr>
      </w:pPr>
    </w:p>
    <w:p>
      <w:pPr>
        <w:pStyle w:val="5"/>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2M2YjllNjViZDEzZjM3MzcxMGY5NWM3ODdhNjkifQ=="/>
  </w:docVars>
  <w:rsids>
    <w:rsidRoot w:val="00000000"/>
    <w:rsid w:val="3E7D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jc w:val="center"/>
    </w:pPr>
    <w:rPr>
      <w:rFonts w:ascii="Times New Roman"/>
      <w:b/>
      <w:spacing w:val="-20"/>
      <w:w w:val="110"/>
      <w:kern w:val="2"/>
      <w:sz w:val="52"/>
    </w:rPr>
  </w:style>
  <w:style w:type="paragraph" w:customStyle="1" w:styleId="3">
    <w:name w:val="Char1"/>
    <w:basedOn w:val="1"/>
    <w:qFormat/>
    <w:uiPriority w:val="0"/>
    <w:pPr>
      <w:tabs>
        <w:tab w:val="left" w:pos="360"/>
      </w:tabs>
      <w:ind w:left="360" w:hanging="360" w:hangingChars="200"/>
    </w:pPr>
    <w:rPr>
      <w:sz w:val="24"/>
      <w:szCs w:val="24"/>
    </w:rPr>
  </w:style>
  <w:style w:type="paragraph" w:styleId="5">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aaa</dc:creator>
  <cp:lastModifiedBy>aaa</cp:lastModifiedBy>
  <dcterms:modified xsi:type="dcterms:W3CDTF">2022-10-09T09:30:30Z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2AB996DD14A24B9796DAF22A24A6B159</vt:lpwstr>
  </property>
</Properties>
</file>