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p>
    <w:p>
      <w:pPr>
        <w:adjustRightInd w:val="0"/>
        <w:snapToGrid w:val="0"/>
        <w:spacing w:line="360" w:lineRule="auto"/>
        <w:jc w:val="left"/>
        <w:rPr>
          <w:rFonts w:ascii="宋体" w:cs="宋体"/>
          <w:b/>
          <w:sz w:val="30"/>
        </w:rPr>
      </w:pPr>
      <w:r>
        <w:rPr>
          <w:rFonts w:hint="eastAsia" w:ascii="宋体" w:hAnsi="宋体" w:cs="宋体"/>
          <w:b/>
          <w:sz w:val="28"/>
          <w:szCs w:val="28"/>
        </w:rPr>
        <w:t>项目编号：</w:t>
      </w:r>
      <w:r>
        <w:rPr>
          <w:rFonts w:hint="eastAsia" w:ascii="宋体" w:hAnsi="宋体" w:cs="宋体"/>
          <w:b/>
          <w:sz w:val="30"/>
        </w:rPr>
        <w:t>ZMZB2023XJD-296</w:t>
      </w:r>
    </w:p>
    <w:p>
      <w:pPr>
        <w:adjustRightInd w:val="0"/>
        <w:snapToGrid w:val="0"/>
        <w:spacing w:line="360" w:lineRule="auto"/>
        <w:rPr>
          <w:rFonts w:ascii="宋体" w:cs="宋体"/>
          <w:b/>
          <w:sz w:val="44"/>
          <w:szCs w:val="44"/>
        </w:rPr>
      </w:pPr>
    </w:p>
    <w:p>
      <w:pPr>
        <w:pStyle w:val="12"/>
      </w:pPr>
    </w:p>
    <w:p>
      <w:pPr>
        <w:adjustRightInd w:val="0"/>
        <w:snapToGrid w:val="0"/>
        <w:spacing w:line="360" w:lineRule="auto"/>
        <w:rPr>
          <w:rFonts w:ascii="宋体" w:cs="宋体"/>
          <w:b/>
          <w:sz w:val="10"/>
          <w:szCs w:val="10"/>
        </w:rPr>
      </w:pPr>
    </w:p>
    <w:p>
      <w:pPr>
        <w:pStyle w:val="12"/>
        <w:spacing w:line="360" w:lineRule="auto"/>
        <w:jc w:val="center"/>
        <w:rPr>
          <w:rFonts w:ascii="宋体" w:cs="宋体"/>
          <w:b/>
          <w:sz w:val="48"/>
          <w:szCs w:val="48"/>
        </w:rPr>
      </w:pPr>
      <w:r>
        <w:rPr>
          <w:rFonts w:hint="eastAsia" w:ascii="宋体" w:cs="宋体"/>
          <w:b/>
          <w:sz w:val="48"/>
          <w:szCs w:val="48"/>
        </w:rPr>
        <w:t>西安建筑科技大学</w:t>
      </w:r>
    </w:p>
    <w:p>
      <w:pPr>
        <w:pStyle w:val="12"/>
        <w:spacing w:line="360" w:lineRule="auto"/>
        <w:jc w:val="center"/>
        <w:rPr>
          <w:rFonts w:ascii="宋体" w:cs="宋体"/>
          <w:b/>
          <w:sz w:val="48"/>
          <w:szCs w:val="48"/>
        </w:rPr>
      </w:pPr>
      <w:r>
        <w:rPr>
          <w:rFonts w:hint="eastAsia" w:ascii="宋体" w:cs="宋体"/>
          <w:b/>
          <w:sz w:val="48"/>
          <w:szCs w:val="48"/>
        </w:rPr>
        <w:t>教育部学位与研究生教育发展中心学位论文质量监测服务采购项目</w:t>
      </w:r>
    </w:p>
    <w:p/>
    <w:p/>
    <w:p/>
    <w:p>
      <w:pPr>
        <w:pStyle w:val="5"/>
      </w:pPr>
      <w:r>
        <w:rPr>
          <w:rFonts w:hint="eastAsia" w:ascii="宋体" w:hAnsi="宋体" w:cs="宋体"/>
        </w:rPr>
        <w:drawing>
          <wp:anchor distT="0" distB="0" distL="114300" distR="114300" simplePos="0" relativeHeight="251659264" behindDoc="0" locked="0" layoutInCell="1" allowOverlap="1">
            <wp:simplePos x="0" y="0"/>
            <wp:positionH relativeFrom="column">
              <wp:posOffset>1737360</wp:posOffset>
            </wp:positionH>
            <wp:positionV relativeFrom="paragraph">
              <wp:posOffset>71755</wp:posOffset>
            </wp:positionV>
            <wp:extent cx="2095500" cy="1087120"/>
            <wp:effectExtent l="0" t="0" r="0" b="1778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1"/>
                    <a:stretch>
                      <a:fillRect/>
                    </a:stretch>
                  </pic:blipFill>
                  <pic:spPr>
                    <a:xfrm>
                      <a:off x="0" y="0"/>
                      <a:ext cx="2095500" cy="1087120"/>
                    </a:xfrm>
                    <a:prstGeom prst="rect">
                      <a:avLst/>
                    </a:prstGeom>
                    <a:noFill/>
                    <a:ln>
                      <a:noFill/>
                    </a:ln>
                  </pic:spPr>
                </pic:pic>
              </a:graphicData>
            </a:graphic>
          </wp:anchor>
        </w:drawing>
      </w:r>
    </w:p>
    <w:p/>
    <w:p>
      <w:pPr>
        <w:pStyle w:val="5"/>
      </w:pPr>
    </w:p>
    <w:p/>
    <w:p>
      <w:pPr>
        <w:pStyle w:val="5"/>
      </w:pPr>
    </w:p>
    <w:p/>
    <w:p>
      <w:pPr>
        <w:pStyle w:val="5"/>
      </w:pPr>
    </w:p>
    <w:p>
      <w:pPr>
        <w:tabs>
          <w:tab w:val="left" w:pos="0"/>
        </w:tabs>
        <w:adjustRightInd w:val="0"/>
        <w:snapToGrid w:val="0"/>
        <w:spacing w:line="360" w:lineRule="auto"/>
        <w:jc w:val="center"/>
        <w:rPr>
          <w:rFonts w:ascii="宋体" w:cs="宋体"/>
          <w:b/>
          <w:sz w:val="30"/>
        </w:rPr>
      </w:pPr>
      <w:r>
        <w:rPr>
          <w:rFonts w:hint="eastAsia" w:ascii="宋体" w:hAnsi="宋体" w:cs="宋体"/>
          <w:b/>
          <w:sz w:val="84"/>
          <w:szCs w:val="84"/>
        </w:rPr>
        <w:t>单一来源采购文件</w:t>
      </w:r>
    </w:p>
    <w:p>
      <w:pPr>
        <w:rPr>
          <w:rFonts w:ascii="宋体" w:cs="宋体"/>
          <w:b/>
          <w:sz w:val="30"/>
        </w:rPr>
      </w:pPr>
    </w:p>
    <w:p>
      <w:pPr>
        <w:pStyle w:val="12"/>
      </w:pPr>
    </w:p>
    <w:p>
      <w:pPr>
        <w:pStyle w:val="8"/>
        <w:rPr>
          <w:rFonts w:ascii="宋体" w:cs="宋体"/>
          <w:b/>
          <w:sz w:val="30"/>
        </w:rPr>
      </w:pPr>
    </w:p>
    <w:p>
      <w:pPr>
        <w:adjustRightInd w:val="0"/>
        <w:snapToGrid w:val="0"/>
        <w:spacing w:line="360" w:lineRule="auto"/>
        <w:jc w:val="center"/>
        <w:rPr>
          <w:rFonts w:ascii="宋体" w:cs="宋体"/>
          <w:b/>
          <w:sz w:val="32"/>
          <w:szCs w:val="32"/>
        </w:rPr>
      </w:pPr>
      <w:r>
        <w:rPr>
          <w:rFonts w:hint="eastAsia" w:ascii="宋体" w:hAnsi="宋体" w:cs="宋体"/>
          <w:b/>
          <w:sz w:val="32"/>
          <w:szCs w:val="32"/>
        </w:rPr>
        <w:t>陕西卓佲项目管理有限公司</w:t>
      </w:r>
    </w:p>
    <w:p>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2023年10月</w:t>
      </w:r>
    </w:p>
    <w:p>
      <w:pPr>
        <w:adjustRightInd w:val="0"/>
        <w:snapToGrid w:val="0"/>
        <w:spacing w:line="600" w:lineRule="auto"/>
        <w:rPr>
          <w:rFonts w:ascii="宋体" w:cs="宋体"/>
          <w:b/>
          <w:sz w:val="40"/>
          <w:szCs w:val="40"/>
        </w:rPr>
        <w:sectPr>
          <w:headerReference r:id="rId6" w:type="first"/>
          <w:headerReference r:id="rId5" w:type="default"/>
          <w:footerReference r:id="rId7" w:type="default"/>
          <w:pgSz w:w="11906" w:h="16838"/>
          <w:pgMar w:top="1440" w:right="1800" w:bottom="1440" w:left="1800" w:header="851" w:footer="992" w:gutter="0"/>
          <w:pgNumType w:start="1"/>
          <w:cols w:space="720" w:num="1"/>
          <w:docGrid w:type="lines" w:linePitch="312" w:charSpace="0"/>
        </w:sectPr>
      </w:pPr>
    </w:p>
    <w:p>
      <w:pPr>
        <w:pStyle w:val="21"/>
        <w:tabs>
          <w:tab w:val="right" w:leader="dot" w:pos="8306"/>
        </w:tabs>
        <w:spacing w:line="360" w:lineRule="auto"/>
        <w:rPr>
          <w:rFonts w:ascii="宋体" w:hAnsi="宋体" w:cs="宋体"/>
          <w:b/>
          <w:bCs/>
          <w:sz w:val="36"/>
          <w:szCs w:val="36"/>
        </w:rPr>
      </w:pPr>
    </w:p>
    <w:p>
      <w:pPr>
        <w:pStyle w:val="21"/>
        <w:tabs>
          <w:tab w:val="right" w:leader="dot" w:pos="8306"/>
        </w:tabs>
        <w:spacing w:line="360" w:lineRule="auto"/>
        <w:jc w:val="center"/>
        <w:rPr>
          <w:rFonts w:asci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21"/>
        <w:tabs>
          <w:tab w:val="right" w:leader="dot" w:pos="8306"/>
        </w:tabs>
      </w:pPr>
      <w:r>
        <w:rPr>
          <w:rFonts w:ascii="宋体" w:hAnsi="宋体" w:cs="宋体"/>
          <w:sz w:val="24"/>
          <w:szCs w:val="24"/>
        </w:rPr>
        <w:fldChar w:fldCharType="begin"/>
      </w:r>
      <w:r>
        <w:rPr>
          <w:rFonts w:ascii="宋体" w:hAnsi="宋体" w:cs="宋体"/>
          <w:sz w:val="24"/>
          <w:szCs w:val="24"/>
        </w:rPr>
        <w:instrText xml:space="preserve">TOC \o "1-2" \h \u </w:instrText>
      </w:r>
      <w:r>
        <w:rPr>
          <w:rFonts w:ascii="宋体" w:hAnsi="宋体" w:cs="宋体"/>
          <w:sz w:val="24"/>
          <w:szCs w:val="24"/>
        </w:rPr>
        <w:fldChar w:fldCharType="separate"/>
      </w:r>
      <w:r>
        <w:fldChar w:fldCharType="begin"/>
      </w:r>
      <w:r>
        <w:instrText xml:space="preserve"> HYPERLINK \l "_Toc27380" </w:instrText>
      </w:r>
      <w: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单一来源邀请函</w:t>
      </w:r>
      <w:r>
        <w:t>   </w:t>
      </w:r>
      <w:r>
        <w:tab/>
      </w:r>
      <w:r>
        <w:fldChar w:fldCharType="begin"/>
      </w:r>
      <w:r>
        <w:instrText xml:space="preserve"> PAGEREF _Toc27380 \h </w:instrText>
      </w:r>
      <w:r>
        <w:fldChar w:fldCharType="separate"/>
      </w:r>
      <w:r>
        <w:t>2</w:t>
      </w:r>
      <w:r>
        <w:fldChar w:fldCharType="end"/>
      </w:r>
      <w:r>
        <w:fldChar w:fldCharType="end"/>
      </w:r>
    </w:p>
    <w:p>
      <w:pPr>
        <w:pStyle w:val="21"/>
        <w:tabs>
          <w:tab w:val="right" w:leader="dot" w:pos="8306"/>
        </w:tabs>
      </w:pPr>
      <w:r>
        <w:fldChar w:fldCharType="begin"/>
      </w:r>
      <w:r>
        <w:instrText xml:space="preserve"> HYPERLINK \l "_Toc10131" </w:instrText>
      </w:r>
      <w:r>
        <w:fldChar w:fldCharType="separate"/>
      </w:r>
      <w:r>
        <w:rPr>
          <w:rFonts w:hint="eastAsia" w:ascii="宋体" w:hAnsi="宋体" w:cs="宋体"/>
          <w:szCs w:val="36"/>
        </w:rPr>
        <w:t>第二部分</w:t>
      </w:r>
      <w:r>
        <w:rPr>
          <w:rFonts w:ascii="宋体" w:hAnsi="宋体" w:cs="宋体"/>
          <w:szCs w:val="36"/>
        </w:rPr>
        <w:t xml:space="preserve">  </w:t>
      </w:r>
      <w:r>
        <w:rPr>
          <w:rFonts w:hint="eastAsia" w:ascii="宋体" w:hAnsi="宋体" w:cs="宋体"/>
          <w:szCs w:val="36"/>
        </w:rPr>
        <w:t>供应商须知前附表</w:t>
      </w:r>
      <w:r>
        <w:tab/>
      </w:r>
      <w:r>
        <w:fldChar w:fldCharType="begin"/>
      </w:r>
      <w:r>
        <w:instrText xml:space="preserve"> PAGEREF _Toc10131 \h </w:instrText>
      </w:r>
      <w:r>
        <w:fldChar w:fldCharType="separate"/>
      </w:r>
      <w:r>
        <w:t>5</w:t>
      </w:r>
      <w:r>
        <w:fldChar w:fldCharType="end"/>
      </w:r>
      <w:r>
        <w:fldChar w:fldCharType="end"/>
      </w:r>
    </w:p>
    <w:p>
      <w:pPr>
        <w:pStyle w:val="21"/>
        <w:tabs>
          <w:tab w:val="right" w:leader="dot" w:pos="8306"/>
        </w:tabs>
      </w:pPr>
      <w:r>
        <w:fldChar w:fldCharType="begin"/>
      </w:r>
      <w:r>
        <w:instrText xml:space="preserve"> HYPERLINK \l "_Toc1244" </w:instrText>
      </w:r>
      <w:r>
        <w:fldChar w:fldCharType="separate"/>
      </w:r>
      <w:r>
        <w:rPr>
          <w:rFonts w:hint="eastAsia" w:ascii="宋体" w:hAnsi="宋体" w:cs="宋体"/>
          <w:szCs w:val="36"/>
        </w:rPr>
        <w:t>第三部分</w:t>
      </w:r>
      <w:r>
        <w:rPr>
          <w:rFonts w:ascii="宋体" w:hAnsi="宋体" w:cs="宋体"/>
          <w:szCs w:val="36"/>
        </w:rPr>
        <w:t xml:space="preserve">  </w:t>
      </w:r>
      <w:r>
        <w:rPr>
          <w:rFonts w:hint="eastAsia" w:ascii="宋体" w:hAnsi="宋体" w:cs="宋体"/>
          <w:szCs w:val="36"/>
        </w:rPr>
        <w:t>供应商须知</w:t>
      </w:r>
      <w:r>
        <w:tab/>
      </w:r>
      <w:r>
        <w:fldChar w:fldCharType="begin"/>
      </w:r>
      <w:r>
        <w:instrText xml:space="preserve"> PAGEREF _Toc1244 \h </w:instrText>
      </w:r>
      <w:r>
        <w:fldChar w:fldCharType="separate"/>
      </w:r>
      <w:r>
        <w:t>10</w:t>
      </w:r>
      <w:r>
        <w:fldChar w:fldCharType="end"/>
      </w:r>
      <w:r>
        <w:fldChar w:fldCharType="end"/>
      </w:r>
    </w:p>
    <w:p>
      <w:pPr>
        <w:pStyle w:val="23"/>
        <w:tabs>
          <w:tab w:val="right" w:leader="dot" w:pos="8306"/>
        </w:tabs>
      </w:pPr>
      <w:r>
        <w:fldChar w:fldCharType="begin"/>
      </w:r>
      <w:r>
        <w:instrText xml:space="preserve"> HYPERLINK \l "_Toc17987" </w:instrText>
      </w:r>
      <w:r>
        <w:fldChar w:fldCharType="separate"/>
      </w:r>
      <w:r>
        <w:rPr>
          <w:rFonts w:hint="eastAsia" w:ascii="宋体" w:hAnsi="宋体" w:cs="宋体"/>
        </w:rPr>
        <w:t>一、总</w:t>
      </w:r>
      <w:r>
        <w:rPr>
          <w:rFonts w:ascii="宋体" w:hAnsi="宋体" w:cs="宋体"/>
        </w:rPr>
        <w:t xml:space="preserve"> </w:t>
      </w:r>
      <w:r>
        <w:rPr>
          <w:rFonts w:hint="eastAsia" w:ascii="宋体" w:hAnsi="宋体" w:cs="宋体"/>
        </w:rPr>
        <w:t>则</w:t>
      </w:r>
      <w:r>
        <w:tab/>
      </w:r>
      <w:r>
        <w:fldChar w:fldCharType="begin"/>
      </w:r>
      <w:r>
        <w:instrText xml:space="preserve"> PAGEREF _Toc17987 \h </w:instrText>
      </w:r>
      <w:r>
        <w:fldChar w:fldCharType="separate"/>
      </w:r>
      <w:r>
        <w:t>10</w:t>
      </w:r>
      <w:r>
        <w:fldChar w:fldCharType="end"/>
      </w:r>
      <w:r>
        <w:fldChar w:fldCharType="end"/>
      </w:r>
    </w:p>
    <w:p>
      <w:pPr>
        <w:pStyle w:val="23"/>
        <w:tabs>
          <w:tab w:val="right" w:leader="dot" w:pos="8306"/>
        </w:tabs>
      </w:pPr>
      <w:r>
        <w:fldChar w:fldCharType="begin"/>
      </w:r>
      <w:r>
        <w:instrText xml:space="preserve"> HYPERLINK \l "_Toc32313" </w:instrText>
      </w:r>
      <w:r>
        <w:fldChar w:fldCharType="separate"/>
      </w:r>
      <w:r>
        <w:rPr>
          <w:rFonts w:hint="eastAsia" w:ascii="宋体" w:hAnsi="宋体" w:cs="宋体"/>
        </w:rPr>
        <w:t>二、采购文件</w:t>
      </w:r>
      <w:r>
        <w:tab/>
      </w:r>
      <w:r>
        <w:fldChar w:fldCharType="begin"/>
      </w:r>
      <w:r>
        <w:instrText xml:space="preserve"> PAGEREF _Toc32313 \h </w:instrText>
      </w:r>
      <w:r>
        <w:fldChar w:fldCharType="separate"/>
      </w:r>
      <w:r>
        <w:t>12</w:t>
      </w:r>
      <w:r>
        <w:fldChar w:fldCharType="end"/>
      </w:r>
      <w:r>
        <w:fldChar w:fldCharType="end"/>
      </w:r>
    </w:p>
    <w:p>
      <w:pPr>
        <w:pStyle w:val="23"/>
        <w:tabs>
          <w:tab w:val="right" w:leader="dot" w:pos="8306"/>
        </w:tabs>
      </w:pPr>
      <w:r>
        <w:fldChar w:fldCharType="begin"/>
      </w:r>
      <w:r>
        <w:instrText xml:space="preserve"> HYPERLINK \l "_Toc2564" </w:instrText>
      </w:r>
      <w:r>
        <w:fldChar w:fldCharType="separate"/>
      </w:r>
      <w:r>
        <w:rPr>
          <w:rFonts w:hint="eastAsia" w:ascii="宋体" w:hAnsi="宋体" w:cs="宋体"/>
        </w:rPr>
        <w:t>三、响应文件</w:t>
      </w:r>
      <w:r>
        <w:tab/>
      </w:r>
      <w:r>
        <w:fldChar w:fldCharType="begin"/>
      </w:r>
      <w:r>
        <w:instrText xml:space="preserve"> PAGEREF _Toc2564 \h </w:instrText>
      </w:r>
      <w:r>
        <w:fldChar w:fldCharType="separate"/>
      </w:r>
      <w:r>
        <w:t>14</w:t>
      </w:r>
      <w:r>
        <w:fldChar w:fldCharType="end"/>
      </w:r>
      <w:r>
        <w:fldChar w:fldCharType="end"/>
      </w:r>
    </w:p>
    <w:p>
      <w:pPr>
        <w:pStyle w:val="23"/>
        <w:tabs>
          <w:tab w:val="right" w:leader="dot" w:pos="8306"/>
        </w:tabs>
      </w:pPr>
      <w:r>
        <w:fldChar w:fldCharType="begin"/>
      </w:r>
      <w:r>
        <w:instrText xml:space="preserve"> HYPERLINK \l "_Toc23629" </w:instrText>
      </w:r>
      <w:r>
        <w:fldChar w:fldCharType="separate"/>
      </w:r>
      <w:r>
        <w:rPr>
          <w:rFonts w:hint="eastAsia" w:ascii="宋体" w:hAnsi="宋体" w:cs="宋体"/>
          <w:bCs/>
          <w:kern w:val="0"/>
          <w:szCs w:val="28"/>
        </w:rPr>
        <w:t>四、响应文件的递交</w:t>
      </w:r>
      <w:r>
        <w:tab/>
      </w:r>
      <w:r>
        <w:fldChar w:fldCharType="begin"/>
      </w:r>
      <w:r>
        <w:instrText xml:space="preserve"> PAGEREF _Toc23629 \h </w:instrText>
      </w:r>
      <w:r>
        <w:fldChar w:fldCharType="separate"/>
      </w:r>
      <w:r>
        <w:t>15</w:t>
      </w:r>
      <w:r>
        <w:fldChar w:fldCharType="end"/>
      </w:r>
      <w:r>
        <w:fldChar w:fldCharType="end"/>
      </w:r>
    </w:p>
    <w:p>
      <w:pPr>
        <w:pStyle w:val="23"/>
        <w:tabs>
          <w:tab w:val="right" w:leader="dot" w:pos="8306"/>
        </w:tabs>
      </w:pPr>
      <w:r>
        <w:fldChar w:fldCharType="begin"/>
      </w:r>
      <w:r>
        <w:instrText xml:space="preserve"> HYPERLINK \l "_Toc22110" </w:instrText>
      </w:r>
      <w:r>
        <w:fldChar w:fldCharType="separate"/>
      </w:r>
      <w:r>
        <w:rPr>
          <w:rFonts w:hint="eastAsia" w:ascii="宋体" w:hAnsi="宋体" w:cs="宋体"/>
          <w:bCs/>
          <w:kern w:val="0"/>
          <w:szCs w:val="28"/>
        </w:rPr>
        <w:t>五、</w:t>
      </w:r>
      <w:r>
        <w:rPr>
          <w:rFonts w:ascii="宋体" w:hAnsi="宋体" w:cs="宋体"/>
          <w:bCs/>
          <w:kern w:val="0"/>
          <w:szCs w:val="28"/>
        </w:rPr>
        <w:t xml:space="preserve"> </w:t>
      </w:r>
      <w:r>
        <w:rPr>
          <w:rFonts w:hint="eastAsia" w:ascii="宋体" w:hAnsi="宋体" w:cs="宋体"/>
          <w:bCs/>
          <w:kern w:val="0"/>
          <w:szCs w:val="28"/>
        </w:rPr>
        <w:t>采购程序</w:t>
      </w:r>
      <w:r>
        <w:tab/>
      </w:r>
      <w:r>
        <w:fldChar w:fldCharType="begin"/>
      </w:r>
      <w:r>
        <w:instrText xml:space="preserve"> PAGEREF _Toc22110 \h </w:instrText>
      </w:r>
      <w:r>
        <w:fldChar w:fldCharType="separate"/>
      </w:r>
      <w:r>
        <w:t>15</w:t>
      </w:r>
      <w:r>
        <w:fldChar w:fldCharType="end"/>
      </w:r>
      <w:r>
        <w:fldChar w:fldCharType="end"/>
      </w:r>
    </w:p>
    <w:p>
      <w:pPr>
        <w:pStyle w:val="23"/>
        <w:tabs>
          <w:tab w:val="right" w:leader="dot" w:pos="8306"/>
        </w:tabs>
      </w:pPr>
      <w:r>
        <w:fldChar w:fldCharType="begin"/>
      </w:r>
      <w:r>
        <w:instrText xml:space="preserve"> HYPERLINK \l "_Toc7695" </w:instrText>
      </w:r>
      <w:r>
        <w:fldChar w:fldCharType="separate"/>
      </w:r>
      <w:r>
        <w:rPr>
          <w:rFonts w:hint="eastAsia" w:ascii="宋体" w:hAnsi="宋体" w:cs="宋体"/>
          <w:bCs/>
          <w:kern w:val="0"/>
          <w:szCs w:val="28"/>
        </w:rPr>
        <w:t>六、签订合同</w:t>
      </w:r>
      <w:r>
        <w:tab/>
      </w:r>
      <w:r>
        <w:fldChar w:fldCharType="begin"/>
      </w:r>
      <w:r>
        <w:instrText xml:space="preserve"> PAGEREF _Toc7695 \h </w:instrText>
      </w:r>
      <w:r>
        <w:fldChar w:fldCharType="separate"/>
      </w:r>
      <w:r>
        <w:t>17</w:t>
      </w:r>
      <w:r>
        <w:fldChar w:fldCharType="end"/>
      </w:r>
      <w:r>
        <w:fldChar w:fldCharType="end"/>
      </w:r>
    </w:p>
    <w:p>
      <w:pPr>
        <w:pStyle w:val="21"/>
        <w:tabs>
          <w:tab w:val="right" w:leader="dot" w:pos="8306"/>
        </w:tabs>
      </w:pPr>
      <w:r>
        <w:fldChar w:fldCharType="begin"/>
      </w:r>
      <w:r>
        <w:instrText xml:space="preserve"> HYPERLINK \l "_Toc16321" </w:instrText>
      </w:r>
      <w:r>
        <w:fldChar w:fldCharType="separate"/>
      </w:r>
      <w:r>
        <w:rPr>
          <w:rFonts w:ascii="宋体"/>
          <w:szCs w:val="36"/>
        </w:rPr>
        <w:t>第四部</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评审办法</w:t>
      </w:r>
      <w:r>
        <w:tab/>
      </w:r>
      <w:r>
        <w:fldChar w:fldCharType="begin"/>
      </w:r>
      <w:r>
        <w:instrText xml:space="preserve"> PAGEREF _Toc16321 \h </w:instrText>
      </w:r>
      <w:r>
        <w:fldChar w:fldCharType="separate"/>
      </w:r>
      <w:r>
        <w:t>18</w:t>
      </w:r>
      <w:r>
        <w:fldChar w:fldCharType="end"/>
      </w:r>
      <w:r>
        <w:fldChar w:fldCharType="end"/>
      </w:r>
    </w:p>
    <w:p>
      <w:pPr>
        <w:pStyle w:val="21"/>
        <w:tabs>
          <w:tab w:val="right" w:leader="dot" w:pos="8306"/>
        </w:tabs>
      </w:pPr>
      <w:r>
        <w:fldChar w:fldCharType="begin"/>
      </w:r>
      <w:r>
        <w:instrText xml:space="preserve"> HYPERLINK \l "_Toc24845" </w:instrText>
      </w:r>
      <w:r>
        <w:fldChar w:fldCharType="separate"/>
      </w:r>
      <w:r>
        <w:rPr>
          <w:rFonts w:hint="eastAsia" w:ascii="宋体" w:hAnsi="宋体"/>
          <w:szCs w:val="36"/>
        </w:rPr>
        <w:t xml:space="preserve">第五部分 </w:t>
      </w:r>
      <w:r>
        <w:rPr>
          <w:rFonts w:hint="eastAsia" w:ascii="宋体" w:hAnsi="宋体" w:cs="宋体"/>
          <w:szCs w:val="36"/>
        </w:rPr>
        <w:t>采购要求</w:t>
      </w:r>
      <w:r>
        <w:tab/>
      </w:r>
      <w:r>
        <w:fldChar w:fldCharType="begin"/>
      </w:r>
      <w:r>
        <w:instrText xml:space="preserve"> PAGEREF _Toc24845 \h </w:instrText>
      </w:r>
      <w:r>
        <w:fldChar w:fldCharType="separate"/>
      </w:r>
      <w:r>
        <w:t>19</w:t>
      </w:r>
      <w:r>
        <w:fldChar w:fldCharType="end"/>
      </w:r>
      <w:r>
        <w:fldChar w:fldCharType="end"/>
      </w:r>
    </w:p>
    <w:p>
      <w:pPr>
        <w:pStyle w:val="21"/>
        <w:tabs>
          <w:tab w:val="right" w:leader="dot" w:pos="8306"/>
        </w:tabs>
      </w:pPr>
      <w:r>
        <w:fldChar w:fldCharType="begin"/>
      </w:r>
      <w:r>
        <w:instrText xml:space="preserve"> HYPERLINK \l "_Toc22514" </w:instrText>
      </w:r>
      <w:r>
        <w:fldChar w:fldCharType="separate"/>
      </w:r>
      <w:r>
        <w:rPr>
          <w:rFonts w:hint="eastAsia"/>
        </w:rPr>
        <w:t>第六部分  合同</w:t>
      </w:r>
      <w:r>
        <w:tab/>
      </w:r>
      <w:r>
        <w:fldChar w:fldCharType="begin"/>
      </w:r>
      <w:r>
        <w:instrText xml:space="preserve"> PAGEREF _Toc22514 \h </w:instrText>
      </w:r>
      <w:r>
        <w:fldChar w:fldCharType="separate"/>
      </w:r>
      <w:r>
        <w:t>20</w:t>
      </w:r>
      <w:r>
        <w:fldChar w:fldCharType="end"/>
      </w:r>
      <w:r>
        <w:fldChar w:fldCharType="end"/>
      </w:r>
    </w:p>
    <w:p>
      <w:pPr>
        <w:pStyle w:val="21"/>
        <w:tabs>
          <w:tab w:val="right" w:leader="dot" w:pos="8306"/>
        </w:tabs>
      </w:pPr>
      <w:r>
        <w:fldChar w:fldCharType="begin"/>
      </w:r>
      <w:r>
        <w:instrText xml:space="preserve"> HYPERLINK \l "_Toc22811" </w:instrText>
      </w:r>
      <w:r>
        <w:fldChar w:fldCharType="separate"/>
      </w:r>
      <w:r>
        <w:rPr>
          <w:rFonts w:hint="eastAsia" w:ascii="宋体" w:hAnsi="宋体" w:cs="宋体"/>
          <w:szCs w:val="36"/>
        </w:rPr>
        <w:t>第七部分</w:t>
      </w:r>
      <w:r>
        <w:rPr>
          <w:rFonts w:ascii="宋体" w:hAnsi="宋体" w:cs="宋体"/>
          <w:szCs w:val="36"/>
        </w:rPr>
        <w:t xml:space="preserve">  </w:t>
      </w:r>
      <w:r>
        <w:rPr>
          <w:rFonts w:hint="eastAsia" w:ascii="宋体" w:hAnsi="宋体" w:cs="宋体"/>
          <w:szCs w:val="36"/>
        </w:rPr>
        <w:t>响应文件格式</w:t>
      </w:r>
      <w:r>
        <w:tab/>
      </w:r>
      <w:r>
        <w:fldChar w:fldCharType="begin"/>
      </w:r>
      <w:r>
        <w:instrText xml:space="preserve"> PAGEREF _Toc22811 \h </w:instrText>
      </w:r>
      <w:r>
        <w:fldChar w:fldCharType="separate"/>
      </w:r>
      <w:r>
        <w:t>31</w:t>
      </w:r>
      <w:r>
        <w:fldChar w:fldCharType="end"/>
      </w:r>
      <w:r>
        <w:fldChar w:fldCharType="end"/>
      </w:r>
    </w:p>
    <w:p>
      <w:pPr>
        <w:pStyle w:val="23"/>
        <w:tabs>
          <w:tab w:val="right" w:leader="dot" w:pos="8306"/>
        </w:tabs>
      </w:pPr>
      <w:r>
        <w:fldChar w:fldCharType="begin"/>
      </w:r>
      <w:r>
        <w:instrText xml:space="preserve"> HYPERLINK \l "_Toc389" </w:instrText>
      </w:r>
      <w: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响应函</w:t>
      </w:r>
      <w:r>
        <w:tab/>
      </w:r>
      <w:r>
        <w:fldChar w:fldCharType="begin"/>
      </w:r>
      <w:r>
        <w:instrText xml:space="preserve"> PAGEREF _Toc389 \h </w:instrText>
      </w:r>
      <w:r>
        <w:fldChar w:fldCharType="separate"/>
      </w:r>
      <w:r>
        <w:t>33</w:t>
      </w:r>
      <w:r>
        <w:fldChar w:fldCharType="end"/>
      </w:r>
      <w:r>
        <w:fldChar w:fldCharType="end"/>
      </w:r>
    </w:p>
    <w:p>
      <w:pPr>
        <w:pStyle w:val="23"/>
        <w:tabs>
          <w:tab w:val="right" w:leader="dot" w:pos="8306"/>
        </w:tabs>
      </w:pPr>
      <w:r>
        <w:fldChar w:fldCharType="begin"/>
      </w:r>
      <w:r>
        <w:instrText xml:space="preserve"> HYPERLINK \l "_Toc11334" </w:instrText>
      </w:r>
      <w:r>
        <w:fldChar w:fldCharType="separate"/>
      </w:r>
      <w:r>
        <w:rPr>
          <w:rFonts w:hint="eastAsia" w:ascii="宋体" w:hAnsi="宋体" w:cs="宋体"/>
          <w:szCs w:val="36"/>
        </w:rPr>
        <w:t>第二部分 响应一览表</w:t>
      </w:r>
      <w:r>
        <w:tab/>
      </w:r>
      <w:r>
        <w:fldChar w:fldCharType="begin"/>
      </w:r>
      <w:r>
        <w:instrText xml:space="preserve"> PAGEREF _Toc11334 \h </w:instrText>
      </w:r>
      <w:r>
        <w:fldChar w:fldCharType="separate"/>
      </w:r>
      <w:r>
        <w:t>34</w:t>
      </w:r>
      <w:r>
        <w:fldChar w:fldCharType="end"/>
      </w:r>
      <w:r>
        <w:fldChar w:fldCharType="end"/>
      </w:r>
    </w:p>
    <w:p>
      <w:pPr>
        <w:pStyle w:val="23"/>
        <w:tabs>
          <w:tab w:val="right" w:leader="dot" w:pos="8306"/>
        </w:tabs>
      </w:pPr>
      <w:r>
        <w:fldChar w:fldCharType="begin"/>
      </w:r>
      <w:r>
        <w:instrText xml:space="preserve"> HYPERLINK \l "_Toc2299" </w:instrText>
      </w:r>
      <w:r>
        <w:fldChar w:fldCharType="separate"/>
      </w:r>
      <w:r>
        <w:rPr>
          <w:rFonts w:hint="eastAsia" w:hAnsi="宋体" w:cs="宋体"/>
          <w:szCs w:val="36"/>
        </w:rPr>
        <w:t>第三部分</w:t>
      </w:r>
      <w:r>
        <w:rPr>
          <w:rFonts w:hAnsi="宋体" w:cs="宋体"/>
          <w:szCs w:val="36"/>
        </w:rPr>
        <w:t xml:space="preserve"> </w:t>
      </w:r>
      <w:r>
        <w:rPr>
          <w:rFonts w:hint="eastAsia" w:ascii="宋体" w:hAnsi="宋体" w:cs="宋体"/>
          <w:szCs w:val="36"/>
        </w:rPr>
        <w:t xml:space="preserve"> 商务响应说明</w:t>
      </w:r>
      <w:r>
        <w:tab/>
      </w:r>
      <w:r>
        <w:fldChar w:fldCharType="begin"/>
      </w:r>
      <w:r>
        <w:instrText xml:space="preserve"> PAGEREF _Toc2299 \h </w:instrText>
      </w:r>
      <w:r>
        <w:fldChar w:fldCharType="separate"/>
      </w:r>
      <w:r>
        <w:t>36</w:t>
      </w:r>
      <w:r>
        <w:fldChar w:fldCharType="end"/>
      </w:r>
      <w:r>
        <w:fldChar w:fldCharType="end"/>
      </w:r>
    </w:p>
    <w:p>
      <w:pPr>
        <w:pStyle w:val="23"/>
        <w:tabs>
          <w:tab w:val="right" w:leader="dot" w:pos="8306"/>
        </w:tabs>
      </w:pPr>
      <w:r>
        <w:fldChar w:fldCharType="begin"/>
      </w:r>
      <w:r>
        <w:instrText xml:space="preserve"> HYPERLINK \l "_Toc16677" </w:instrText>
      </w:r>
      <w:r>
        <w:fldChar w:fldCharType="separate"/>
      </w:r>
      <w:r>
        <w:rPr>
          <w:rFonts w:hint="eastAsia" w:ascii="宋体" w:hAnsi="宋体" w:cs="宋体"/>
          <w:bCs/>
          <w:kern w:val="0"/>
          <w:szCs w:val="36"/>
        </w:rPr>
        <w:t>第四部分  供应商资格要求</w:t>
      </w:r>
      <w:r>
        <w:tab/>
      </w:r>
      <w:r>
        <w:fldChar w:fldCharType="begin"/>
      </w:r>
      <w:r>
        <w:instrText xml:space="preserve"> PAGEREF _Toc16677 \h </w:instrText>
      </w:r>
      <w:r>
        <w:fldChar w:fldCharType="separate"/>
      </w:r>
      <w:r>
        <w:t>37</w:t>
      </w:r>
      <w:r>
        <w:fldChar w:fldCharType="end"/>
      </w:r>
      <w:r>
        <w:fldChar w:fldCharType="end"/>
      </w:r>
    </w:p>
    <w:p>
      <w:pPr>
        <w:pStyle w:val="23"/>
        <w:tabs>
          <w:tab w:val="right" w:leader="dot" w:pos="8306"/>
        </w:tabs>
      </w:pPr>
      <w:r>
        <w:fldChar w:fldCharType="begin"/>
      </w:r>
      <w:r>
        <w:instrText xml:space="preserve"> HYPERLINK \l "_Toc15929" </w:instrText>
      </w:r>
      <w:r>
        <w:fldChar w:fldCharType="separate"/>
      </w:r>
      <w:r>
        <w:rPr>
          <w:rFonts w:hint="eastAsia" w:ascii="宋体" w:hAnsi="宋体" w:cs="宋体"/>
          <w:bCs/>
          <w:szCs w:val="36"/>
        </w:rPr>
        <w:t>第五部分  供应商认为有必要说明的其他问题</w:t>
      </w:r>
      <w:r>
        <w:tab/>
      </w:r>
      <w:r>
        <w:fldChar w:fldCharType="begin"/>
      </w:r>
      <w:r>
        <w:instrText xml:space="preserve"> PAGEREF _Toc15929 \h </w:instrText>
      </w:r>
      <w:r>
        <w:fldChar w:fldCharType="separate"/>
      </w:r>
      <w:r>
        <w:t>42</w:t>
      </w:r>
      <w:r>
        <w:fldChar w:fldCharType="end"/>
      </w:r>
      <w:r>
        <w:fldChar w:fldCharType="end"/>
      </w:r>
    </w:p>
    <w:p>
      <w:pPr>
        <w:pStyle w:val="23"/>
        <w:tabs>
          <w:tab w:val="right" w:leader="dot" w:pos="8306"/>
        </w:tabs>
      </w:pPr>
      <w:r>
        <w:fldChar w:fldCharType="begin"/>
      </w:r>
      <w:r>
        <w:instrText xml:space="preserve"> HYPERLINK \l "_Toc25841" </w:instrText>
      </w:r>
      <w:r>
        <w:fldChar w:fldCharType="separate"/>
      </w:r>
      <w:r>
        <w:rPr>
          <w:rFonts w:hint="eastAsia" w:ascii="宋体" w:hAnsi="宋体" w:cs="宋体"/>
        </w:rPr>
        <w:t>附件一：封袋正面标识式样</w:t>
      </w:r>
      <w:r>
        <w:tab/>
      </w:r>
      <w:r>
        <w:fldChar w:fldCharType="begin"/>
      </w:r>
      <w:r>
        <w:instrText xml:space="preserve"> PAGEREF _Toc25841 \h </w:instrText>
      </w:r>
      <w:r>
        <w:fldChar w:fldCharType="separate"/>
      </w:r>
      <w:r>
        <w:t>44</w:t>
      </w:r>
      <w:r>
        <w:fldChar w:fldCharType="end"/>
      </w:r>
      <w:r>
        <w:fldChar w:fldCharType="end"/>
      </w:r>
    </w:p>
    <w:p>
      <w:r>
        <w:rPr>
          <w:rFonts w:ascii="宋体" w:hAnsi="宋体" w:cs="宋体"/>
          <w:szCs w:val="24"/>
        </w:rPr>
        <w:fldChar w:fldCharType="end"/>
      </w:r>
    </w:p>
    <w:p/>
    <w:p/>
    <w:p/>
    <w:p/>
    <w:p/>
    <w:p/>
    <w:p/>
    <w:p/>
    <w:p>
      <w:pPr>
        <w:tabs>
          <w:tab w:val="center" w:pos="4153"/>
        </w:tabs>
        <w:jc w:val="left"/>
        <w:sectPr>
          <w:headerReference r:id="rId8" w:type="default"/>
          <w:footerReference r:id="rId9" w:type="default"/>
          <w:pgSz w:w="11906" w:h="16838"/>
          <w:pgMar w:top="1440" w:right="1800" w:bottom="1440" w:left="1800" w:header="851" w:footer="992" w:gutter="0"/>
          <w:pgNumType w:start="1"/>
          <w:cols w:space="720" w:num="1"/>
          <w:docGrid w:type="lines" w:linePitch="312" w:charSpace="0"/>
        </w:sectPr>
      </w:pPr>
    </w:p>
    <w:p>
      <w:pPr>
        <w:pStyle w:val="2"/>
        <w:spacing w:beforeLines="100" w:afterLines="150" w:line="240" w:lineRule="auto"/>
      </w:pPr>
      <w:bookmarkStart w:id="1" w:name="_Toc26575"/>
      <w:bookmarkStart w:id="2" w:name="_Toc27380"/>
      <w:r>
        <w:rPr>
          <w:rFonts w:hint="eastAsia" w:ascii="宋体" w:hAnsi="宋体" w:cs="宋体"/>
          <w:sz w:val="36"/>
          <w:szCs w:val="36"/>
        </w:rPr>
        <w:t>第一部分</w:t>
      </w:r>
      <w:r>
        <w:rPr>
          <w:rFonts w:ascii="宋体" w:hAnsi="宋体" w:cs="宋体"/>
          <w:sz w:val="36"/>
          <w:szCs w:val="36"/>
        </w:rPr>
        <w:t xml:space="preserve">  </w:t>
      </w:r>
      <w:bookmarkEnd w:id="1"/>
      <w:r>
        <w:rPr>
          <w:rFonts w:hint="eastAsia" w:ascii="宋体" w:hAnsi="宋体" w:cs="宋体"/>
          <w:sz w:val="36"/>
          <w:szCs w:val="36"/>
        </w:rPr>
        <w:t>单一来源邀请函</w:t>
      </w:r>
      <w:r>
        <w:t>   </w:t>
      </w:r>
      <w:bookmarkEnd w:id="2"/>
    </w:p>
    <w:p>
      <w:pPr>
        <w:pStyle w:val="94"/>
        <w:widowControl/>
        <w:spacing w:before="0" w:line="360" w:lineRule="auto"/>
        <w:rPr>
          <w:b w:val="0"/>
          <w:bCs/>
        </w:rPr>
      </w:pPr>
      <w:r>
        <w:rPr>
          <w:rFonts w:hint="eastAsia"/>
          <w:sz w:val="24"/>
          <w:szCs w:val="24"/>
        </w:rPr>
        <w:t xml:space="preserve">    </w:t>
      </w:r>
      <w:r>
        <w:rPr>
          <w:rFonts w:hint="eastAsia"/>
          <w:b w:val="0"/>
          <w:bCs/>
          <w:sz w:val="24"/>
          <w:szCs w:val="24"/>
        </w:rPr>
        <w:t>西安建筑科技大学教育部学位与研究生教育发展中心学位论文质量监测服务采购项目邀请</w:t>
      </w:r>
      <w:r>
        <w:rPr>
          <w:rFonts w:hint="eastAsia" w:ascii="宋体" w:cs="宋体"/>
          <w:sz w:val="24"/>
        </w:rPr>
        <w:t>教育部学位与研究生教育发展中心</w:t>
      </w:r>
      <w:r>
        <w:rPr>
          <w:b w:val="0"/>
          <w:bCs/>
          <w:sz w:val="24"/>
          <w:szCs w:val="24"/>
        </w:rPr>
        <w:t>在西安市雁塔区科技路10号华奥大厦A座</w:t>
      </w:r>
      <w:r>
        <w:rPr>
          <w:rFonts w:hint="eastAsia"/>
          <w:b w:val="0"/>
          <w:bCs/>
          <w:sz w:val="24"/>
          <w:szCs w:val="24"/>
        </w:rPr>
        <w:t>20层</w:t>
      </w:r>
      <w:r>
        <w:rPr>
          <w:b w:val="0"/>
          <w:bCs/>
          <w:sz w:val="24"/>
          <w:szCs w:val="24"/>
        </w:rPr>
        <w:t>2002室获取采购文件，并于</w:t>
      </w:r>
      <w:r>
        <w:rPr>
          <w:rFonts w:hint="eastAsia" w:ascii="宋体" w:hAnsi="宋体" w:cs="宋体"/>
          <w:b w:val="0"/>
          <w:sz w:val="24"/>
          <w:szCs w:val="24"/>
        </w:rPr>
        <w:t>2023-</w:t>
      </w:r>
      <w:r>
        <w:rPr>
          <w:rFonts w:hint="eastAsia" w:ascii="宋体" w:hAnsi="宋体" w:cs="宋体"/>
          <w:b w:val="0"/>
          <w:sz w:val="24"/>
          <w:szCs w:val="24"/>
          <w:lang w:val="en-US" w:eastAsia="zh-CN"/>
        </w:rPr>
        <w:t>10</w:t>
      </w:r>
      <w:r>
        <w:rPr>
          <w:rFonts w:hint="eastAsia" w:ascii="宋体" w:hAnsi="宋体" w:cs="宋体"/>
          <w:b w:val="0"/>
          <w:sz w:val="24"/>
          <w:szCs w:val="24"/>
        </w:rPr>
        <w:t xml:space="preserve"> -</w:t>
      </w:r>
      <w:r>
        <w:rPr>
          <w:rFonts w:hint="eastAsia" w:ascii="宋体" w:hAnsi="宋体" w:cs="宋体"/>
          <w:b w:val="0"/>
          <w:sz w:val="24"/>
          <w:szCs w:val="24"/>
          <w:lang w:val="en-US" w:eastAsia="zh-CN"/>
        </w:rPr>
        <w:t>19</w:t>
      </w:r>
      <w:r>
        <w:rPr>
          <w:rFonts w:hint="eastAsia" w:ascii="宋体" w:hAnsi="宋体" w:cs="宋体"/>
          <w:b w:val="0"/>
          <w:sz w:val="24"/>
          <w:szCs w:val="24"/>
        </w:rPr>
        <w:t xml:space="preserve">   </w:t>
      </w:r>
      <w:r>
        <w:rPr>
          <w:rFonts w:hint="eastAsia" w:ascii="宋体" w:hAnsi="宋体" w:cs="宋体"/>
          <w:b w:val="0"/>
          <w:sz w:val="24"/>
          <w:szCs w:val="24"/>
          <w:lang w:val="en-US" w:eastAsia="zh-CN"/>
        </w:rPr>
        <w:t>14</w:t>
      </w:r>
      <w:r>
        <w:rPr>
          <w:rFonts w:hint="eastAsia" w:ascii="宋体" w:hAnsi="宋体" w:cs="宋体"/>
          <w:b w:val="0"/>
          <w:sz w:val="24"/>
          <w:szCs w:val="24"/>
        </w:rPr>
        <w:t>:</w:t>
      </w:r>
      <w:r>
        <w:rPr>
          <w:rFonts w:hint="eastAsia" w:ascii="宋体" w:hAnsi="宋体" w:cs="宋体"/>
          <w:b w:val="0"/>
          <w:sz w:val="24"/>
          <w:szCs w:val="24"/>
          <w:lang w:val="en-US" w:eastAsia="zh-CN"/>
        </w:rPr>
        <w:t>30</w:t>
      </w:r>
      <w:r>
        <w:rPr>
          <w:rFonts w:hint="eastAsia" w:ascii="宋体" w:hAnsi="宋体" w:cs="宋体"/>
          <w:b w:val="0"/>
          <w:sz w:val="24"/>
          <w:szCs w:val="24"/>
        </w:rPr>
        <w:t>:00</w:t>
      </w:r>
      <w:r>
        <w:rPr>
          <w:b w:val="0"/>
          <w:bCs/>
          <w:sz w:val="24"/>
          <w:szCs w:val="24"/>
        </w:rPr>
        <w:t>前递交响应文件。</w:t>
      </w:r>
      <w:r>
        <w:rPr>
          <w:b w:val="0"/>
          <w:bCs/>
        </w:rPr>
        <w:t xml:space="preserve"> </w:t>
      </w:r>
    </w:p>
    <w:p>
      <w:pPr>
        <w:pStyle w:val="94"/>
        <w:widowControl/>
        <w:spacing w:before="0" w:line="360" w:lineRule="auto"/>
        <w:rPr>
          <w:b w:val="0"/>
          <w:bCs/>
          <w:sz w:val="24"/>
          <w:szCs w:val="24"/>
        </w:rPr>
      </w:pPr>
      <w:r>
        <w:rPr>
          <w:b w:val="0"/>
          <w:bCs/>
          <w:sz w:val="24"/>
          <w:szCs w:val="24"/>
        </w:rPr>
        <w:t>一、项目基本情况：</w:t>
      </w:r>
    </w:p>
    <w:p>
      <w:pPr>
        <w:pStyle w:val="25"/>
        <w:spacing w:before="0" w:beforeAutospacing="0" w:after="0" w:afterAutospacing="0" w:line="360" w:lineRule="auto"/>
        <w:ind w:firstLine="420"/>
      </w:pPr>
      <w:r>
        <w:t>1、项目编号：</w:t>
      </w:r>
      <w:r>
        <w:rPr>
          <w:rFonts w:hint="eastAsia"/>
        </w:rPr>
        <w:t>ZMZB2023XJD-296</w:t>
      </w:r>
    </w:p>
    <w:p>
      <w:pPr>
        <w:pStyle w:val="25"/>
        <w:spacing w:before="0" w:beforeAutospacing="0" w:after="0" w:afterAutospacing="0" w:line="360" w:lineRule="auto"/>
        <w:ind w:firstLine="420"/>
      </w:pPr>
      <w:r>
        <w:t>2、项目名称：</w:t>
      </w:r>
      <w:r>
        <w:rPr>
          <w:rFonts w:hint="eastAsia"/>
        </w:rPr>
        <w:t>西安建筑科技大学教育部学位与研究生教育发展中心学位论文质量监测服务采购项目</w:t>
      </w:r>
    </w:p>
    <w:p>
      <w:pPr>
        <w:pStyle w:val="25"/>
        <w:spacing w:before="0" w:beforeAutospacing="0" w:after="0" w:afterAutospacing="0" w:line="360" w:lineRule="auto"/>
        <w:ind w:firstLine="420"/>
      </w:pPr>
      <w:r>
        <w:t>3、预算金额：</w:t>
      </w:r>
      <w:r>
        <w:rPr>
          <w:rFonts w:hint="eastAsia"/>
        </w:rPr>
        <w:t>1200000.00元</w:t>
      </w:r>
    </w:p>
    <w:p>
      <w:pPr>
        <w:pStyle w:val="25"/>
        <w:spacing w:before="0" w:beforeAutospacing="0" w:after="0" w:afterAutospacing="0" w:line="360" w:lineRule="auto"/>
        <w:ind w:firstLine="420"/>
      </w:pPr>
      <w:r>
        <w:t>4、最高限价：</w:t>
      </w:r>
      <w:r>
        <w:rPr>
          <w:rFonts w:hint="eastAsia"/>
        </w:rPr>
        <w:t>1200000.00元</w:t>
      </w:r>
    </w:p>
    <w:p>
      <w:pPr>
        <w:pStyle w:val="25"/>
        <w:spacing w:before="0" w:beforeAutospacing="0" w:after="0" w:afterAutospacing="0" w:line="360" w:lineRule="auto"/>
        <w:ind w:firstLine="420"/>
      </w:pPr>
      <w:r>
        <w:t>5、采购需求：</w:t>
      </w:r>
      <w:r>
        <w:rPr>
          <w:rFonts w:hint="eastAsia"/>
        </w:rPr>
        <w:t>西安建筑科技大学教育部学位与研究生教育发展中心学位论文质量监测服务采购项目</w:t>
      </w:r>
      <w:r>
        <w:t>，1</w:t>
      </w:r>
      <w:r>
        <w:rPr>
          <w:rFonts w:hint="eastAsia"/>
        </w:rPr>
        <w:t>项</w:t>
      </w:r>
      <w:r>
        <w:t>， 采购预算：</w:t>
      </w:r>
      <w:r>
        <w:rPr>
          <w:rFonts w:hint="eastAsia"/>
        </w:rPr>
        <w:t>1200000.00元</w:t>
      </w:r>
      <w:r>
        <w:t>， 简要技术要求、用途： 详见单一来源采购文件、自用</w:t>
      </w:r>
    </w:p>
    <w:p>
      <w:pPr>
        <w:pStyle w:val="25"/>
        <w:spacing w:before="0" w:beforeAutospacing="0" w:after="0" w:afterAutospacing="0" w:line="360" w:lineRule="auto"/>
        <w:ind w:firstLine="420"/>
      </w:pPr>
      <w:r>
        <w:t>6、合同履行期限：</w:t>
      </w:r>
      <w:r>
        <w:rPr>
          <w:rFonts w:hint="eastAsia"/>
        </w:rPr>
        <w:t>无</w:t>
      </w:r>
    </w:p>
    <w:p>
      <w:pPr>
        <w:pStyle w:val="25"/>
        <w:spacing w:before="0" w:beforeAutospacing="0" w:after="0" w:afterAutospacing="0" w:line="360" w:lineRule="auto"/>
        <w:ind w:firstLine="420"/>
      </w:pPr>
      <w:r>
        <w:t>7、本项目是否接受联合体投标：否</w:t>
      </w:r>
    </w:p>
    <w:p>
      <w:pPr>
        <w:pStyle w:val="94"/>
        <w:widowControl/>
        <w:spacing w:before="0" w:line="360" w:lineRule="auto"/>
        <w:rPr>
          <w:b w:val="0"/>
          <w:bCs/>
          <w:sz w:val="24"/>
          <w:szCs w:val="24"/>
        </w:rPr>
      </w:pPr>
      <w:r>
        <w:rPr>
          <w:b w:val="0"/>
          <w:bCs/>
          <w:sz w:val="24"/>
          <w:szCs w:val="24"/>
        </w:rPr>
        <w:t xml:space="preserve">二、 响应供应商的资格要求 </w:t>
      </w:r>
    </w:p>
    <w:p>
      <w:pPr>
        <w:pStyle w:val="25"/>
        <w:spacing w:before="0" w:beforeAutospacing="0" w:after="0" w:afterAutospacing="0" w:line="360" w:lineRule="auto"/>
        <w:ind w:firstLine="420"/>
      </w:pPr>
      <w:r>
        <w:t>1、满足《中华人民共和国政府采购法》第二十二条规定</w:t>
      </w:r>
    </w:p>
    <w:p>
      <w:pPr>
        <w:pStyle w:val="25"/>
        <w:spacing w:before="0" w:beforeAutospacing="0" w:after="0" w:afterAutospacing="0" w:line="360" w:lineRule="auto"/>
        <w:ind w:firstLine="420"/>
      </w:pPr>
      <w:r>
        <w:t>2、落实政府采购政策需满足的资格要求：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（1）《政府采购促进中小企业发展管理办法》（财库〔2020〕46号）； </w:t>
      </w:r>
    </w:p>
    <w:p>
      <w:pPr>
        <w:spacing w:line="360" w:lineRule="auto"/>
        <w:ind w:firstLine="480" w:firstLineChars="200"/>
        <w:rPr>
          <w:rFonts w:ascii="宋体" w:hAnsi="宋体" w:cs="宋体"/>
          <w:sz w:val="24"/>
          <w:szCs w:val="24"/>
        </w:rPr>
      </w:pPr>
      <w:r>
        <w:rPr>
          <w:rFonts w:hint="eastAsia" w:ascii="宋体" w:hAnsi="宋体" w:cs="宋体"/>
          <w:sz w:val="24"/>
          <w:szCs w:val="24"/>
        </w:rPr>
        <w:t>（2）《财政部 司法部关于政府采购支持监狱企业发展有关问题的通知》（财库〔2014〕68号）；</w:t>
      </w:r>
    </w:p>
    <w:p>
      <w:pPr>
        <w:spacing w:line="360" w:lineRule="auto"/>
        <w:ind w:firstLine="480" w:firstLineChars="200"/>
        <w:rPr>
          <w:rFonts w:ascii="宋体" w:hAnsi="宋体" w:cs="宋体"/>
          <w:sz w:val="24"/>
          <w:szCs w:val="24"/>
        </w:rPr>
      </w:pPr>
      <w:r>
        <w:rPr>
          <w:rFonts w:hint="eastAsia" w:ascii="宋体" w:hAnsi="宋体" w:cs="宋体"/>
          <w:sz w:val="24"/>
          <w:szCs w:val="24"/>
        </w:rPr>
        <w:t>（3）《国务院办公厅关于建立政府强制采购节能产品制度的通知》（国办发〔2007〕51号）；</w:t>
      </w:r>
    </w:p>
    <w:p>
      <w:pPr>
        <w:spacing w:line="360" w:lineRule="auto"/>
        <w:ind w:firstLine="480" w:firstLineChars="200"/>
        <w:rPr>
          <w:rFonts w:ascii="宋体" w:hAnsi="宋体" w:cs="宋体"/>
          <w:sz w:val="24"/>
          <w:szCs w:val="24"/>
        </w:rPr>
      </w:pPr>
      <w:r>
        <w:rPr>
          <w:rFonts w:hint="eastAsia" w:ascii="宋体" w:hAnsi="宋体" w:cs="宋体"/>
          <w:sz w:val="24"/>
          <w:szCs w:val="24"/>
        </w:rPr>
        <w:t>（4）《节能产品政府采购实施意见》（财库〔2004〕185号）；</w:t>
      </w:r>
    </w:p>
    <w:p>
      <w:pPr>
        <w:spacing w:line="360" w:lineRule="auto"/>
        <w:ind w:firstLine="480" w:firstLineChars="200"/>
        <w:rPr>
          <w:rFonts w:ascii="宋体" w:hAnsi="宋体" w:cs="宋体"/>
          <w:sz w:val="24"/>
          <w:szCs w:val="24"/>
        </w:rPr>
      </w:pPr>
      <w:r>
        <w:rPr>
          <w:rFonts w:hint="eastAsia" w:ascii="宋体" w:hAnsi="宋体" w:cs="宋体"/>
          <w:sz w:val="24"/>
          <w:szCs w:val="24"/>
        </w:rPr>
        <w:t>（5）《环境标志产品政府采购实施的意见》（财库〔2006〕90号）；</w:t>
      </w:r>
    </w:p>
    <w:p>
      <w:pPr>
        <w:spacing w:line="360" w:lineRule="auto"/>
        <w:ind w:firstLine="480" w:firstLineChars="200"/>
        <w:rPr>
          <w:rFonts w:ascii="宋体" w:hAnsi="宋体" w:cs="宋体"/>
          <w:sz w:val="24"/>
          <w:szCs w:val="24"/>
        </w:rPr>
      </w:pPr>
      <w:r>
        <w:rPr>
          <w:rFonts w:hint="eastAsia" w:ascii="宋体" w:hAnsi="宋体" w:cs="宋体"/>
          <w:sz w:val="24"/>
          <w:szCs w:val="24"/>
        </w:rPr>
        <w:t>（6）《三部门联合发布关于促进残疾人就业政府采购政策的通知》（财库〔2017〕141号）。</w:t>
      </w:r>
    </w:p>
    <w:p>
      <w:pPr>
        <w:spacing w:line="360" w:lineRule="auto"/>
        <w:ind w:firstLine="480" w:firstLineChars="200"/>
        <w:rPr>
          <w:rFonts w:ascii="宋体" w:hAnsi="宋体" w:cs="宋体"/>
          <w:sz w:val="24"/>
          <w:szCs w:val="24"/>
        </w:rPr>
      </w:pPr>
      <w:r>
        <w:rPr>
          <w:rFonts w:hint="eastAsia" w:ascii="宋体" w:hAnsi="宋体" w:cs="宋体"/>
          <w:sz w:val="24"/>
          <w:szCs w:val="24"/>
        </w:rPr>
        <w:t>（7）《财政部 发展改革委 生态环境部 市场监管总局关于调整优化节能产品、环境标志产品政府采购执行机制的通知》（财库〔2019〕9号）。</w:t>
      </w:r>
    </w:p>
    <w:p>
      <w:pPr>
        <w:spacing w:line="360" w:lineRule="auto"/>
        <w:ind w:firstLine="480" w:firstLineChars="200"/>
      </w:pPr>
      <w:r>
        <w:rPr>
          <w:rFonts w:hint="eastAsia" w:ascii="宋体" w:hAnsi="宋体" w:cs="宋体"/>
          <w:sz w:val="24"/>
          <w:szCs w:val="24"/>
        </w:rPr>
        <w:t>（8）陕西省财政厅关于印发《陕西省中小企业政府采购信用融资办法》（陕财办采〔2018〕23号）。</w:t>
      </w:r>
    </w:p>
    <w:p>
      <w:pPr>
        <w:spacing w:line="360" w:lineRule="auto"/>
        <w:ind w:firstLine="420" w:firstLineChars="175"/>
        <w:rPr>
          <w:rFonts w:ascii="宋体" w:hAnsi="宋体" w:cs="宋体"/>
          <w:kern w:val="0"/>
          <w:sz w:val="24"/>
          <w:szCs w:val="24"/>
        </w:rPr>
      </w:pPr>
      <w:r>
        <w:rPr>
          <w:rFonts w:ascii="宋体" w:hAnsi="宋体" w:cs="宋体"/>
          <w:kern w:val="0"/>
          <w:sz w:val="24"/>
          <w:szCs w:val="24"/>
        </w:rPr>
        <w:t>3、本项目的特定资格要求：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pStyle w:val="25"/>
        <w:spacing w:before="0" w:beforeAutospacing="0" w:after="0" w:afterAutospacing="0" w:line="360" w:lineRule="auto"/>
        <w:ind w:firstLine="420"/>
      </w:pPr>
      <w:r>
        <w:rPr>
          <w:rFonts w:hint="eastAsia"/>
        </w:rPr>
        <w:t xml:space="preserve">（2）法定代表人授权委托书（法定代表人参加响应时,只需提供法定代表人身份证）； </w:t>
      </w:r>
    </w:p>
    <w:p>
      <w:pPr>
        <w:pStyle w:val="25"/>
        <w:spacing w:before="0" w:beforeAutospacing="0" w:after="0" w:afterAutospacing="0" w:line="360" w:lineRule="auto"/>
        <w:ind w:firstLine="420"/>
      </w:pPr>
      <w:r>
        <w:rPr>
          <w:rFonts w:hint="eastAsia"/>
        </w:rPr>
        <w:t>（3）参加政府采购活动前3年内在经营活动中没有重大违法记录的书面声明；</w:t>
      </w:r>
    </w:p>
    <w:p>
      <w:pPr>
        <w:pStyle w:val="25"/>
        <w:spacing w:before="0" w:beforeAutospacing="0" w:after="0" w:afterAutospacing="0" w:line="360" w:lineRule="auto"/>
        <w:ind w:firstLine="420"/>
      </w:pPr>
      <w:r>
        <w:rPr>
          <w:rFonts w:hint="eastAsia"/>
        </w:rPr>
        <w:t xml:space="preserve">（4）具有履行合同所必需的设备和专业技术能力的书面声明；   </w:t>
      </w:r>
    </w:p>
    <w:p>
      <w:pPr>
        <w:pStyle w:val="25"/>
        <w:spacing w:before="0" w:beforeAutospacing="0" w:after="0" w:afterAutospacing="0" w:line="360" w:lineRule="auto"/>
        <w:ind w:firstLine="420"/>
      </w:pPr>
      <w:r>
        <w:rPr>
          <w:rFonts w:hint="eastAsia"/>
        </w:rPr>
        <w:t>注：本项目不接受联合体投标。</w:t>
      </w:r>
    </w:p>
    <w:p>
      <w:pPr>
        <w:pStyle w:val="94"/>
        <w:widowControl/>
        <w:spacing w:before="0" w:line="360" w:lineRule="auto"/>
        <w:rPr>
          <w:b w:val="0"/>
          <w:bCs/>
          <w:sz w:val="24"/>
          <w:szCs w:val="24"/>
        </w:rPr>
      </w:pPr>
      <w:r>
        <w:rPr>
          <w:b w:val="0"/>
          <w:bCs/>
          <w:sz w:val="24"/>
          <w:szCs w:val="24"/>
        </w:rPr>
        <w:t xml:space="preserve">三、 采购文件的获取方式 </w:t>
      </w:r>
    </w:p>
    <w:p>
      <w:pPr>
        <w:pStyle w:val="25"/>
        <w:spacing w:before="0" w:beforeAutospacing="0" w:after="0" w:afterAutospacing="0" w:line="360" w:lineRule="auto"/>
        <w:ind w:firstLine="420"/>
      </w:pPr>
      <w:r>
        <w:t>时间：即日起至202</w:t>
      </w:r>
      <w:r>
        <w:rPr>
          <w:rFonts w:hint="eastAsia"/>
        </w:rPr>
        <w:t>3</w:t>
      </w:r>
      <w:r>
        <w:t>-</w:t>
      </w:r>
      <w:r>
        <w:rPr>
          <w:rFonts w:hint="eastAsia"/>
          <w:lang w:val="en-US" w:eastAsia="zh-CN"/>
        </w:rPr>
        <w:t>10</w:t>
      </w:r>
      <w:r>
        <w:t>-</w:t>
      </w:r>
      <w:r>
        <w:rPr>
          <w:rFonts w:hint="eastAsia"/>
          <w:lang w:val="en-US" w:eastAsia="zh-CN"/>
        </w:rPr>
        <w:t>18</w:t>
      </w:r>
      <w:r>
        <w:rPr>
          <w:rFonts w:hint="eastAsia"/>
        </w:rPr>
        <w:t xml:space="preserve">    </w:t>
      </w:r>
      <w:r>
        <w:t>17:00:00 止</w:t>
      </w:r>
    </w:p>
    <w:p>
      <w:pPr>
        <w:pStyle w:val="25"/>
        <w:spacing w:before="0" w:beforeAutospacing="0" w:after="0" w:afterAutospacing="0" w:line="360" w:lineRule="auto"/>
        <w:ind w:firstLine="420"/>
      </w:pPr>
      <w:r>
        <w:t>地点：</w:t>
      </w:r>
      <w:r>
        <w:rPr>
          <w:rFonts w:hint="eastAsia"/>
        </w:rPr>
        <w:t>西安市雁塔区科技路10号华奥大厦A座20层2002室</w:t>
      </w:r>
    </w:p>
    <w:p>
      <w:pPr>
        <w:pStyle w:val="25"/>
        <w:spacing w:before="0" w:beforeAutospacing="0" w:after="0" w:afterAutospacing="0" w:line="360" w:lineRule="auto"/>
        <w:ind w:firstLine="420"/>
      </w:pPr>
      <w:r>
        <w:t>方式：现场购买/邮寄</w:t>
      </w:r>
    </w:p>
    <w:p>
      <w:pPr>
        <w:pStyle w:val="25"/>
        <w:spacing w:before="0" w:beforeAutospacing="0" w:after="0" w:afterAutospacing="0" w:line="360" w:lineRule="auto"/>
        <w:ind w:firstLine="420"/>
      </w:pPr>
      <w:r>
        <w:t>售价：</w:t>
      </w:r>
      <w:r>
        <w:rPr>
          <w:rFonts w:hint="eastAsia"/>
        </w:rPr>
        <w:t>免费赠送</w:t>
      </w:r>
    </w:p>
    <w:p>
      <w:pPr>
        <w:pStyle w:val="25"/>
        <w:spacing w:before="0" w:beforeAutospacing="0" w:after="0" w:afterAutospacing="0" w:line="360" w:lineRule="auto"/>
        <w:ind w:firstLine="420"/>
        <w:rPr>
          <w:bCs/>
        </w:rPr>
      </w:pPr>
      <w:r>
        <w:rPr>
          <w:rStyle w:val="32"/>
          <w:b w:val="0"/>
          <w:bCs/>
        </w:rPr>
        <w:t>注：</w:t>
      </w:r>
      <w:r>
        <w:rPr>
          <w:rFonts w:hint="eastAsia"/>
        </w:rPr>
        <w:t>（1）时间：上午09:00 ----12:00，下午13:30--17:00（工 作 日），请携带单位介绍信、身份证复印件加盖公章获取采购文件或通过电子邮箱发送电子版报名资料的方式获取采购文件，供应商出具的对领取人的授权委托书或介绍信以及领取人的身份证，加盖公章后以扫描件形式发送至shanxizhuoming_zb@163.com邮箱，邮箱标题以投标单位名称和项目名称的方式命名，采购文件将通过邮箱发送，无须现场购买。（2）请供应商按照陕西省财政厅关于政府采购供应商注册登记有关事项的通知中的要求，通过陕西省政府采购网（http://www.ccgp-shaanxi.gov.cn/）注册登记加入陕西省政府采购供应商库。</w:t>
      </w:r>
    </w:p>
    <w:p>
      <w:pPr>
        <w:pStyle w:val="94"/>
        <w:widowControl/>
        <w:spacing w:before="0" w:line="360" w:lineRule="auto"/>
        <w:rPr>
          <w:b w:val="0"/>
          <w:bCs/>
          <w:sz w:val="24"/>
          <w:szCs w:val="24"/>
        </w:rPr>
      </w:pPr>
      <w:r>
        <w:rPr>
          <w:b w:val="0"/>
          <w:bCs/>
          <w:sz w:val="24"/>
          <w:szCs w:val="24"/>
        </w:rPr>
        <w:t xml:space="preserve">四、 响应文件递交 </w:t>
      </w:r>
    </w:p>
    <w:p>
      <w:pPr>
        <w:pStyle w:val="25"/>
        <w:spacing w:before="0" w:beforeAutospacing="0" w:after="0" w:afterAutospacing="0" w:line="360" w:lineRule="auto"/>
        <w:ind w:firstLine="420"/>
      </w:pPr>
      <w:r>
        <w:rPr>
          <w:rStyle w:val="32"/>
          <w:rFonts w:ascii="Times New Roman" w:hAnsi="Times New Roman"/>
          <w:b w:val="0"/>
          <w:bCs/>
        </w:rPr>
        <w:t>截止时间</w:t>
      </w:r>
      <w:r>
        <w:t>：202</w:t>
      </w:r>
      <w:r>
        <w:rPr>
          <w:rFonts w:hint="eastAsia"/>
        </w:rPr>
        <w:t>3</w:t>
      </w:r>
      <w:r>
        <w:t>-</w:t>
      </w:r>
      <w:r>
        <w:rPr>
          <w:rFonts w:hint="eastAsia"/>
        </w:rPr>
        <w:t xml:space="preserve"> </w:t>
      </w:r>
      <w:r>
        <w:rPr>
          <w:rFonts w:hint="eastAsia"/>
          <w:lang w:val="en-US" w:eastAsia="zh-CN"/>
        </w:rPr>
        <w:t>10</w:t>
      </w:r>
      <w:r>
        <w:rPr>
          <w:rFonts w:hint="eastAsia"/>
        </w:rPr>
        <w:t xml:space="preserve"> </w:t>
      </w:r>
      <w:r>
        <w:t>-</w:t>
      </w:r>
      <w:r>
        <w:rPr>
          <w:rFonts w:hint="eastAsia"/>
          <w:lang w:val="en-US" w:eastAsia="zh-CN"/>
        </w:rPr>
        <w:t>19</w:t>
      </w:r>
      <w:r>
        <w:rPr>
          <w:rFonts w:hint="eastAsia"/>
        </w:rPr>
        <w:t xml:space="preserve">       </w:t>
      </w:r>
      <w:r>
        <w:rPr>
          <w:rFonts w:hint="eastAsia"/>
          <w:lang w:val="en-US" w:eastAsia="zh-CN"/>
        </w:rPr>
        <w:t>14</w:t>
      </w:r>
      <w:r>
        <w:t>:</w:t>
      </w:r>
      <w:r>
        <w:rPr>
          <w:rFonts w:hint="eastAsia"/>
        </w:rPr>
        <w:t>30</w:t>
      </w:r>
      <w:r>
        <w:t xml:space="preserve">:00 </w:t>
      </w:r>
    </w:p>
    <w:p>
      <w:pPr>
        <w:spacing w:line="360" w:lineRule="auto"/>
        <w:ind w:firstLine="480" w:firstLineChars="200"/>
        <w:rPr>
          <w:bCs/>
          <w:kern w:val="0"/>
          <w:sz w:val="24"/>
          <w:szCs w:val="24"/>
        </w:rPr>
      </w:pPr>
      <w:r>
        <w:rPr>
          <w:bCs/>
          <w:kern w:val="0"/>
          <w:sz w:val="24"/>
          <w:szCs w:val="24"/>
        </w:rPr>
        <w:t>地点：</w:t>
      </w:r>
      <w:r>
        <w:rPr>
          <w:rFonts w:hint="eastAsia"/>
          <w:bCs/>
          <w:kern w:val="0"/>
          <w:sz w:val="24"/>
          <w:szCs w:val="24"/>
        </w:rPr>
        <w:t>西安市雁塔区科技路10号华奥大厦</w:t>
      </w:r>
      <w:r>
        <w:rPr>
          <w:rFonts w:hint="eastAsia" w:ascii="宋体" w:hAnsi="宋体" w:cs="宋体"/>
          <w:kern w:val="0"/>
          <w:sz w:val="24"/>
          <w:szCs w:val="24"/>
        </w:rPr>
        <w:t>A座20层2002室开标室</w:t>
      </w:r>
    </w:p>
    <w:p>
      <w:pPr>
        <w:pStyle w:val="94"/>
        <w:widowControl/>
        <w:spacing w:before="0" w:line="360" w:lineRule="auto"/>
        <w:rPr>
          <w:b w:val="0"/>
          <w:bCs/>
          <w:sz w:val="24"/>
          <w:szCs w:val="24"/>
        </w:rPr>
      </w:pPr>
      <w:r>
        <w:rPr>
          <w:rFonts w:hint="eastAsia"/>
          <w:b w:val="0"/>
          <w:bCs/>
          <w:sz w:val="24"/>
          <w:szCs w:val="24"/>
        </w:rPr>
        <w:t>四、其他补充事宜</w:t>
      </w:r>
    </w:p>
    <w:p>
      <w:pPr>
        <w:pStyle w:val="94"/>
        <w:widowControl/>
        <w:spacing w:before="0" w:line="360" w:lineRule="auto"/>
        <w:rPr>
          <w:b w:val="0"/>
          <w:bCs/>
          <w:sz w:val="24"/>
          <w:szCs w:val="24"/>
        </w:rPr>
      </w:pPr>
      <w:r>
        <w:rPr>
          <w:rFonts w:hint="eastAsia"/>
          <w:b w:val="0"/>
          <w:bCs/>
          <w:sz w:val="24"/>
          <w:szCs w:val="24"/>
        </w:rPr>
        <w:t xml:space="preserve">    无</w:t>
      </w:r>
    </w:p>
    <w:p>
      <w:pPr>
        <w:pStyle w:val="94"/>
        <w:widowControl/>
        <w:spacing w:before="0" w:line="360" w:lineRule="auto"/>
        <w:rPr>
          <w:b w:val="0"/>
          <w:bCs/>
          <w:sz w:val="24"/>
          <w:szCs w:val="24"/>
        </w:rPr>
      </w:pPr>
      <w:r>
        <w:rPr>
          <w:rFonts w:hint="eastAsia"/>
          <w:b w:val="0"/>
          <w:bCs/>
          <w:sz w:val="24"/>
          <w:szCs w:val="24"/>
        </w:rPr>
        <w:t>五</w:t>
      </w:r>
      <w:r>
        <w:rPr>
          <w:b w:val="0"/>
          <w:bCs/>
          <w:sz w:val="24"/>
          <w:szCs w:val="24"/>
        </w:rPr>
        <w:t xml:space="preserve">、对本次采购提出询问，请按以下方式联系。 </w:t>
      </w:r>
    </w:p>
    <w:p>
      <w:pPr>
        <w:pStyle w:val="25"/>
        <w:spacing w:before="0" w:beforeAutospacing="0" w:after="0" w:afterAutospacing="0" w:line="360" w:lineRule="auto"/>
        <w:ind w:firstLine="420"/>
      </w:pPr>
      <w:r>
        <w:rPr>
          <w:rFonts w:hint="eastAsia"/>
        </w:rPr>
        <w:t>1、采购人信息：西安建筑科技大学</w:t>
      </w:r>
    </w:p>
    <w:p>
      <w:pPr>
        <w:pStyle w:val="25"/>
        <w:spacing w:before="0" w:beforeAutospacing="0" w:after="0" w:afterAutospacing="0" w:line="360" w:lineRule="auto"/>
        <w:ind w:firstLine="420"/>
      </w:pPr>
      <w:r>
        <w:rPr>
          <w:rFonts w:hint="eastAsia"/>
        </w:rPr>
        <w:t>地址：西安市雁塔路中段13号</w:t>
      </w:r>
    </w:p>
    <w:p>
      <w:pPr>
        <w:pStyle w:val="25"/>
        <w:spacing w:before="0" w:beforeAutospacing="0" w:after="0" w:afterAutospacing="0" w:line="360" w:lineRule="auto"/>
        <w:ind w:firstLine="420"/>
      </w:pPr>
      <w:r>
        <w:rPr>
          <w:rFonts w:hint="eastAsia"/>
        </w:rPr>
        <w:t>联系人：闫老师</w:t>
      </w:r>
    </w:p>
    <w:p>
      <w:pPr>
        <w:pStyle w:val="25"/>
        <w:spacing w:before="0" w:beforeAutospacing="0" w:after="0" w:afterAutospacing="0" w:line="360" w:lineRule="auto"/>
        <w:ind w:firstLine="420"/>
      </w:pPr>
      <w:r>
        <w:rPr>
          <w:rFonts w:hint="eastAsia"/>
        </w:rPr>
        <w:t>电话：029-82201427</w:t>
      </w:r>
    </w:p>
    <w:p>
      <w:pPr>
        <w:pStyle w:val="25"/>
        <w:spacing w:before="0" w:beforeAutospacing="0" w:after="0" w:afterAutospacing="0" w:line="360" w:lineRule="auto"/>
        <w:ind w:firstLine="420"/>
      </w:pPr>
      <w:r>
        <w:t>2、项目联系方式</w:t>
      </w:r>
    </w:p>
    <w:p>
      <w:pPr>
        <w:pStyle w:val="25"/>
        <w:spacing w:before="0" w:beforeAutospacing="0" w:after="0" w:afterAutospacing="0" w:line="360" w:lineRule="auto"/>
        <w:ind w:firstLine="420"/>
      </w:pPr>
      <w:r>
        <w:t>项目联系人：</w:t>
      </w:r>
      <w:r>
        <w:rPr>
          <w:rFonts w:hint="eastAsia"/>
        </w:rPr>
        <w:t>董菊莉 干欣彤</w:t>
      </w:r>
    </w:p>
    <w:p>
      <w:pPr>
        <w:pStyle w:val="25"/>
        <w:spacing w:before="0" w:beforeAutospacing="0" w:after="0" w:afterAutospacing="0" w:line="360" w:lineRule="auto"/>
        <w:ind w:firstLine="420"/>
      </w:pPr>
      <w:r>
        <w:t>电 话：</w:t>
      </w:r>
      <w:r>
        <w:rPr>
          <w:rFonts w:hint="eastAsia"/>
        </w:rPr>
        <w:t>17778966061</w:t>
      </w:r>
    </w:p>
    <w:p>
      <w:pPr>
        <w:pStyle w:val="25"/>
        <w:spacing w:before="0" w:beforeAutospacing="0" w:after="0" w:afterAutospacing="0" w:line="360" w:lineRule="auto"/>
        <w:ind w:firstLine="420"/>
      </w:pPr>
      <w:r>
        <w:t>传 真：</w:t>
      </w:r>
      <w:r>
        <w:rPr>
          <w:rFonts w:hint="eastAsia"/>
        </w:rPr>
        <w:t>/</w:t>
      </w:r>
    </w:p>
    <w:p>
      <w:pPr>
        <w:pStyle w:val="25"/>
        <w:spacing w:before="0" w:beforeAutospacing="0" w:after="0" w:afterAutospacing="0" w:line="360" w:lineRule="auto"/>
        <w:ind w:firstLine="420"/>
      </w:pPr>
      <w:r>
        <w:t>3、采购代理机构信息</w:t>
      </w:r>
    </w:p>
    <w:p>
      <w:pPr>
        <w:pStyle w:val="25"/>
        <w:spacing w:before="0" w:beforeAutospacing="0" w:after="0" w:afterAutospacing="0" w:line="360" w:lineRule="auto"/>
        <w:ind w:firstLine="420"/>
      </w:pPr>
      <w:r>
        <w:t>名称：陕西卓佲项目管理有限公司</w:t>
      </w:r>
    </w:p>
    <w:p>
      <w:pPr>
        <w:pStyle w:val="25"/>
        <w:spacing w:before="0" w:beforeAutospacing="0" w:after="0" w:afterAutospacing="0" w:line="360" w:lineRule="auto"/>
        <w:ind w:firstLine="420"/>
      </w:pPr>
      <w:r>
        <w:t>联系地址：</w:t>
      </w:r>
      <w:r>
        <w:rPr>
          <w:rFonts w:hint="eastAsia"/>
        </w:rPr>
        <w:t>西安市雁塔区科技路10号华奥大厦A座20层2002室</w:t>
      </w:r>
    </w:p>
    <w:p>
      <w:pPr>
        <w:pStyle w:val="25"/>
        <w:spacing w:before="0" w:beforeAutospacing="0" w:after="0" w:afterAutospacing="0" w:line="360" w:lineRule="auto"/>
        <w:ind w:firstLine="420"/>
      </w:pPr>
      <w:r>
        <w:t>联系方式：</w:t>
      </w:r>
      <w:r>
        <w:rPr>
          <w:rFonts w:hint="eastAsia"/>
        </w:rPr>
        <w:t>029-88440695</w:t>
      </w:r>
    </w:p>
    <w:p>
      <w:pPr>
        <w:widowControl/>
        <w:tabs>
          <w:tab w:val="left" w:pos="1620"/>
        </w:tabs>
        <w:snapToGrid w:val="0"/>
        <w:spacing w:line="360" w:lineRule="auto"/>
        <w:ind w:firstLine="420" w:firstLineChars="175"/>
        <w:jc w:val="right"/>
        <w:rPr>
          <w:rFonts w:ascii="宋体" w:hAnsi="宋体" w:cs="宋体"/>
          <w:kern w:val="0"/>
          <w:sz w:val="24"/>
          <w:szCs w:val="24"/>
        </w:rPr>
      </w:pPr>
    </w:p>
    <w:p>
      <w:pPr>
        <w:widowControl/>
        <w:tabs>
          <w:tab w:val="left" w:pos="1620"/>
        </w:tabs>
        <w:snapToGrid w:val="0"/>
        <w:spacing w:line="360" w:lineRule="auto"/>
        <w:ind w:firstLine="420" w:firstLineChars="175"/>
        <w:jc w:val="right"/>
        <w:rPr>
          <w:rFonts w:ascii="宋体" w:cs="宋体"/>
          <w:kern w:val="0"/>
          <w:sz w:val="24"/>
          <w:szCs w:val="24"/>
        </w:rPr>
      </w:pPr>
      <w:r>
        <w:rPr>
          <w:rFonts w:hint="eastAsia" w:ascii="宋体" w:hAnsi="宋体" w:cs="宋体"/>
          <w:kern w:val="0"/>
          <w:sz w:val="24"/>
          <w:szCs w:val="24"/>
        </w:rPr>
        <w:t>陕西卓佲项目管理有限公司</w:t>
      </w:r>
    </w:p>
    <w:p>
      <w:pPr>
        <w:widowControl/>
        <w:tabs>
          <w:tab w:val="left" w:pos="1620"/>
        </w:tabs>
        <w:snapToGrid w:val="0"/>
        <w:spacing w:line="360" w:lineRule="auto"/>
        <w:ind w:firstLine="420" w:firstLineChars="175"/>
        <w:jc w:val="center"/>
        <w:rPr>
          <w:rFonts w:ascii="宋体" w:cs="宋体"/>
          <w:kern w:val="0"/>
          <w:sz w:val="28"/>
          <w:szCs w:val="28"/>
        </w:rPr>
      </w:pPr>
      <w:r>
        <w:rPr>
          <w:rFonts w:ascii="宋体" w:hAnsi="宋体" w:cs="宋体"/>
          <w:kern w:val="0"/>
          <w:sz w:val="24"/>
          <w:szCs w:val="24"/>
        </w:rPr>
        <w:t xml:space="preserve">                                                 202</w:t>
      </w:r>
      <w:r>
        <w:rPr>
          <w:rFonts w:hint="eastAsia" w:ascii="宋体" w:hAnsi="宋体" w:cs="宋体"/>
          <w:kern w:val="0"/>
          <w:sz w:val="24"/>
          <w:szCs w:val="24"/>
        </w:rPr>
        <w:t>3年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11</w:t>
      </w:r>
      <w:r>
        <w:rPr>
          <w:rFonts w:hint="eastAsia" w:ascii="宋体" w:hAnsi="宋体" w:cs="宋体"/>
          <w:kern w:val="0"/>
          <w:sz w:val="24"/>
          <w:szCs w:val="24"/>
        </w:rPr>
        <w:t>日</w:t>
      </w:r>
    </w:p>
    <w:p/>
    <w:p>
      <w:pPr>
        <w:pStyle w:val="2"/>
        <w:keepLines w:val="0"/>
        <w:ind w:firstLine="562" w:firstLineChars="175"/>
        <w:rPr>
          <w:rFonts w:ascii="宋体" w:cs="宋体"/>
        </w:rPr>
        <w:sectPr>
          <w:headerReference r:id="rId10" w:type="default"/>
          <w:footerReference r:id="rId11" w:type="default"/>
          <w:pgSz w:w="11906" w:h="16838"/>
          <w:pgMar w:top="1440" w:right="1486" w:bottom="1440" w:left="1800" w:header="851" w:footer="992" w:gutter="0"/>
          <w:pgNumType w:start="2"/>
          <w:cols w:space="720" w:num="1"/>
          <w:docGrid w:type="lines" w:linePitch="312" w:charSpace="0"/>
        </w:sectPr>
      </w:pPr>
    </w:p>
    <w:p>
      <w:pPr>
        <w:pStyle w:val="2"/>
        <w:spacing w:beforeLines="100" w:afterLines="50" w:line="600" w:lineRule="exact"/>
        <w:rPr>
          <w:rFonts w:ascii="宋体" w:hAnsi="宋体" w:cs="宋体"/>
          <w:sz w:val="36"/>
          <w:szCs w:val="36"/>
        </w:rPr>
      </w:pPr>
      <w:bookmarkStart w:id="3" w:name="_Toc10131"/>
      <w:bookmarkStart w:id="4" w:name="_Toc438048787"/>
      <w:bookmarkStart w:id="5" w:name="_Toc30089"/>
      <w:r>
        <w:rPr>
          <w:rFonts w:hint="eastAsia" w:ascii="宋体" w:hAnsi="宋体" w:cs="宋体"/>
          <w:sz w:val="36"/>
          <w:szCs w:val="36"/>
        </w:rPr>
        <w:t>第二部分</w:t>
      </w:r>
      <w:r>
        <w:rPr>
          <w:rFonts w:ascii="宋体" w:hAnsi="宋体" w:cs="宋体"/>
          <w:sz w:val="36"/>
          <w:szCs w:val="36"/>
        </w:rPr>
        <w:t xml:space="preserve">  </w:t>
      </w:r>
      <w:r>
        <w:rPr>
          <w:rFonts w:hint="eastAsia" w:ascii="宋体" w:hAnsi="宋体" w:cs="宋体"/>
          <w:sz w:val="36"/>
          <w:szCs w:val="36"/>
        </w:rPr>
        <w:t>供应商须知前附表</w:t>
      </w:r>
      <w:bookmarkEnd w:id="3"/>
      <w:bookmarkEnd w:id="4"/>
      <w:bookmarkEnd w:id="5"/>
    </w:p>
    <w:p>
      <w:pPr>
        <w:tabs>
          <w:tab w:val="left" w:pos="6793"/>
        </w:tabs>
        <w:jc w:val="left"/>
      </w:pPr>
      <w:r>
        <w:rPr>
          <w:rFonts w:hint="eastAsia" w:ascii="宋体" w:hAnsi="宋体" w:cs="宋体"/>
          <w:sz w:val="36"/>
          <w:szCs w:val="36"/>
        </w:rPr>
        <w:tab/>
      </w:r>
      <w:r>
        <w:rPr>
          <w:rFonts w:hint="eastAsia" w:asciiTheme="minorHAnsi" w:hAnsiTheme="minorHAnsi" w:eastAsiaTheme="minorEastAsia" w:cstheme="minorBidi"/>
          <w:sz w:val="24"/>
          <w:szCs w:val="28"/>
        </w:rPr>
        <w:t> </w:t>
      </w:r>
    </w:p>
    <w:tbl>
      <w:tblPr>
        <w:tblStyle w:val="29"/>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rPr>
                <w:rFonts w:ascii="宋体" w:hAnsi="宋体" w:cs="宋体"/>
                <w:sz w:val="24"/>
                <w:szCs w:val="24"/>
              </w:rPr>
            </w:pPr>
            <w:r>
              <w:rPr>
                <w:rFonts w:hint="eastAsia" w:ascii="宋体" w:hAnsi="宋体" w:cs="宋体"/>
                <w:sz w:val="24"/>
                <w:szCs w:val="24"/>
              </w:rPr>
              <w:t>（一）基本资格条件：满足《中华人民共和国政府采购法》第二十二条规定。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pStyle w:val="25"/>
              <w:spacing w:before="0" w:beforeAutospacing="0" w:after="0" w:afterAutospacing="0" w:line="360" w:lineRule="auto"/>
              <w:ind w:firstLine="420"/>
            </w:pPr>
            <w:r>
              <w:rPr>
                <w:rFonts w:hint="eastAsia"/>
              </w:rPr>
              <w:t xml:space="preserve">（2）法定代表人授权委托书（法定代表人参加响应时,只需提供法定代表人身份证）； </w:t>
            </w:r>
          </w:p>
          <w:p>
            <w:pPr>
              <w:pStyle w:val="25"/>
              <w:spacing w:before="0" w:beforeAutospacing="0" w:after="0" w:afterAutospacing="0" w:line="360" w:lineRule="auto"/>
              <w:ind w:firstLine="420"/>
            </w:pPr>
            <w:r>
              <w:rPr>
                <w:rFonts w:hint="eastAsia"/>
              </w:rPr>
              <w:t>（3）参加政府采购活动前3年内在经营活动中没有重大违法记录的书面声明；</w:t>
            </w:r>
          </w:p>
          <w:p>
            <w:pPr>
              <w:pStyle w:val="25"/>
              <w:spacing w:before="0" w:beforeAutospacing="0" w:after="0" w:afterAutospacing="0" w:line="360" w:lineRule="auto"/>
              <w:ind w:firstLine="420"/>
            </w:pPr>
            <w:r>
              <w:rPr>
                <w:rFonts w:hint="eastAsia"/>
              </w:rPr>
              <w:t xml:space="preserve">（4）具有履行合同所必需的设备和专业技术能力的书面声明；      </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以上项为资格审查必备资质。评审时，根据供应商响应文件中提供的上述资格证明文件进行资格审查，未通过资格审查的，其响应文件将按无效响应文件处理。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219" w:type="dxa"/>
          </w:tcPr>
          <w:p>
            <w:pPr>
              <w:pStyle w:val="15"/>
              <w:snapToGrid w:val="0"/>
              <w:spacing w:line="360" w:lineRule="auto"/>
              <w:ind w:firstLine="480" w:firstLineChars="200"/>
              <w:rPr>
                <w:rFonts w:hAnsi="宋体" w:cs="宋体"/>
                <w:sz w:val="24"/>
                <w:szCs w:val="24"/>
              </w:rPr>
            </w:pPr>
            <w:r>
              <w:rPr>
                <w:rFonts w:hint="eastAsia" w:hAnsi="宋体" w:cs="宋体"/>
                <w:sz w:val="24"/>
                <w:szCs w:val="24"/>
              </w:rPr>
              <w:t>有下列情形之一的，应在符合性审查时按照无效响应处理。</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 xml:space="preserve">响应报价超过采购预算； </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响应文件的服务期不满足采购文件要求；</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响应文件的数量、签署、盖章、装订不符合采购文件要求；</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响应文件无响应有效期或有效期达不到采购文件要求的；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响应文件出现漏项或服务内容与要求不符的；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rPr>
                <w:rFonts w:ascii="宋体" w:hAnsi="宋体" w:cs="宋体"/>
                <w:b/>
                <w:bCs/>
                <w:sz w:val="24"/>
                <w:szCs w:val="24"/>
              </w:rPr>
            </w:pPr>
            <w:r>
              <w:rPr>
                <w:rFonts w:hint="eastAsia" w:ascii="宋体" w:hAnsi="宋体" w:cs="宋体"/>
                <w:sz w:val="24"/>
                <w:szCs w:val="24"/>
              </w:rPr>
              <w:t>（8）法律、法规和采</w:t>
            </w:r>
            <w:r>
              <w:rPr>
                <w:rFonts w:hint="eastAsia" w:ascii="Arial" w:hAnsi="Arial" w:cs="Arial"/>
                <w:sz w:val="24"/>
                <w:szCs w:val="24"/>
              </w:rPr>
              <w:t>购文件规定的其他无效情形。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505" w:type="dxa"/>
            <w:vAlign w:val="center"/>
          </w:tcPr>
          <w:p>
            <w:pPr>
              <w:spacing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商务条款</w:t>
            </w:r>
          </w:p>
        </w:tc>
        <w:tc>
          <w:tcPr>
            <w:tcW w:w="7219" w:type="dxa"/>
          </w:tcPr>
          <w:p>
            <w:pPr>
              <w:pStyle w:val="15"/>
              <w:spacing w:line="360" w:lineRule="auto"/>
              <w:jc w:val="left"/>
              <w:rPr>
                <w:rFonts w:hAnsi="宋体" w:cs="宋体"/>
                <w:kern w:val="2"/>
                <w:sz w:val="24"/>
                <w:szCs w:val="24"/>
                <w:highlight w:val="none"/>
              </w:rPr>
            </w:pPr>
            <w:r>
              <w:rPr>
                <w:rFonts w:hint="eastAsia" w:hAnsi="宋体" w:cs="宋体"/>
                <w:kern w:val="2"/>
                <w:sz w:val="24"/>
                <w:szCs w:val="24"/>
                <w:highlight w:val="none"/>
              </w:rPr>
              <w:t>（1）服务期：协议签订之日起至2024年6月15日</w:t>
            </w:r>
            <w:r>
              <w:rPr>
                <w:rFonts w:hint="eastAsia" w:hAnsi="宋体" w:cs="宋体"/>
                <w:sz w:val="24"/>
                <w:szCs w:val="24"/>
                <w:highlight w:val="none"/>
              </w:rPr>
              <w:t>。</w:t>
            </w:r>
          </w:p>
          <w:p>
            <w:pPr>
              <w:pStyle w:val="15"/>
              <w:spacing w:line="360" w:lineRule="auto"/>
              <w:jc w:val="left"/>
              <w:rPr>
                <w:rFonts w:hAnsi="宋体" w:cs="宋体"/>
                <w:kern w:val="2"/>
                <w:sz w:val="24"/>
                <w:szCs w:val="24"/>
                <w:highlight w:val="none"/>
              </w:rPr>
            </w:pPr>
            <w:r>
              <w:rPr>
                <w:rFonts w:hint="eastAsia" w:hAnsi="宋体" w:cs="宋体"/>
                <w:kern w:val="2"/>
                <w:sz w:val="24"/>
                <w:szCs w:val="24"/>
                <w:highlight w:val="none"/>
              </w:rPr>
              <w:t>（2）服务地点：</w:t>
            </w:r>
            <w:r>
              <w:rPr>
                <w:rFonts w:hint="eastAsia" w:hAnsi="宋体" w:cs="宋体"/>
                <w:sz w:val="24"/>
                <w:szCs w:val="24"/>
                <w:highlight w:val="none"/>
              </w:rPr>
              <w:t>教育部学位与研究生教育发展中心。</w:t>
            </w:r>
          </w:p>
          <w:p>
            <w:pPr>
              <w:pStyle w:val="15"/>
              <w:spacing w:line="360" w:lineRule="auto"/>
              <w:jc w:val="left"/>
              <w:rPr>
                <w:rFonts w:hAnsi="宋体" w:cs="宋体"/>
                <w:sz w:val="24"/>
                <w:szCs w:val="20"/>
                <w:highlight w:val="none"/>
              </w:rPr>
            </w:pPr>
            <w:r>
              <w:rPr>
                <w:rFonts w:hint="eastAsia" w:hAnsi="宋体" w:cs="宋体"/>
                <w:sz w:val="24"/>
                <w:szCs w:val="20"/>
                <w:highlight w:val="none"/>
              </w:rPr>
              <w:t>（3）付款方式：</w:t>
            </w:r>
          </w:p>
          <w:p>
            <w:pPr>
              <w:pStyle w:val="15"/>
              <w:spacing w:line="360" w:lineRule="auto"/>
              <w:jc w:val="left"/>
              <w:rPr>
                <w:rFonts w:hAnsi="宋体" w:cs="宋体"/>
                <w:sz w:val="24"/>
                <w:szCs w:val="20"/>
                <w:highlight w:val="none"/>
              </w:rPr>
            </w:pPr>
            <w:r>
              <w:rPr>
                <w:rFonts w:hint="eastAsia" w:hAnsi="宋体" w:cs="宋体"/>
                <w:sz w:val="24"/>
                <w:szCs w:val="20"/>
                <w:highlight w:val="none"/>
              </w:rPr>
              <w:t>（一）结算单位：采用分期支付方式，本协议有效期内支付次数2次。第一次支付金额不低于甲方预估服务费总额的60%，，须于协议签署后，开始上传学位论文前完成支付；第二次根据实际送审篇次支付剩余全部服务费，须于 2023年12月20日前完成支付。</w:t>
            </w:r>
          </w:p>
          <w:p>
            <w:pPr>
              <w:pStyle w:val="15"/>
              <w:spacing w:line="360" w:lineRule="auto"/>
              <w:jc w:val="left"/>
              <w:rPr>
                <w:rFonts w:hAnsi="宋体" w:cs="宋体"/>
                <w:sz w:val="24"/>
                <w:szCs w:val="20"/>
                <w:highlight w:val="none"/>
              </w:rPr>
            </w:pPr>
            <w:r>
              <w:rPr>
                <w:rFonts w:hint="eastAsia" w:hAnsi="宋体" w:cs="宋体"/>
                <w:sz w:val="24"/>
                <w:szCs w:val="20"/>
                <w:highlight w:val="none"/>
              </w:rPr>
              <w:t>（二）服务费金额以实际返回评议意见的学位论文篇次数量（即专家实际提交评议意见数量）计算，平台根据甲方学位论文送评进度自动计算服务费并在预付款中扣除，甲方可在平台实时查看服务费用使用情况。完成阶段性送评后，甲方可在线申请下载《学位论文质量监测服务费用结算说明》（以下简称《结算说明》），乙方根据《结算说明》开具增值税普通发票。</w:t>
            </w:r>
          </w:p>
          <w:p>
            <w:pPr>
              <w:pStyle w:val="15"/>
              <w:spacing w:line="360" w:lineRule="auto"/>
              <w:jc w:val="left"/>
              <w:rPr>
                <w:rFonts w:hAnsi="宋体" w:cs="宋体"/>
                <w:kern w:val="2"/>
                <w:sz w:val="24"/>
                <w:szCs w:val="24"/>
                <w:highlight w:val="none"/>
              </w:rPr>
            </w:pPr>
            <w:r>
              <w:rPr>
                <w:rFonts w:hint="eastAsia" w:hAnsi="宋体" w:cs="宋体"/>
                <w:sz w:val="24"/>
                <w:szCs w:val="20"/>
                <w:highlight w:val="none"/>
              </w:rPr>
              <w:t>（三）本协议有效期满，扣除实际发生的服务费后，若存在结余，转为甲方下期协议预付服务费。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sym w:font="Wingdings" w:char="00FE"/>
            </w:r>
            <w:r>
              <w:rPr>
                <w:rFonts w:hint="eastAsia" w:ascii="宋体" w:hAnsi="宋体" w:cs="宋体"/>
                <w:sz w:val="24"/>
                <w:szCs w:val="24"/>
              </w:rPr>
              <w:t>不允许</w:t>
            </w:r>
          </w:p>
          <w:p>
            <w:pPr>
              <w:spacing w:line="500" w:lineRule="exact"/>
              <w:jc w:val="left"/>
              <w:rPr>
                <w:rFonts w:ascii="宋体" w:hAnsi="宋体" w:cs="宋体"/>
                <w:sz w:val="24"/>
                <w:szCs w:val="24"/>
              </w:rPr>
            </w:pPr>
            <w:r>
              <w:rPr>
                <w:rFonts w:hint="eastAsia" w:ascii="宋体" w:hAnsi="宋体" w:cs="宋体"/>
                <w:sz w:val="24"/>
                <w:szCs w:val="24"/>
              </w:rPr>
              <w:sym w:font="Wingdings" w:char="00A8"/>
            </w:r>
            <w:r>
              <w:rPr>
                <w:rFonts w:hint="eastAsia" w:ascii="宋体" w:hAnsi="宋体" w:cs="宋体"/>
                <w:sz w:val="24"/>
                <w:szCs w:val="24"/>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本次采购采用整体打包方式，供应商可根据自身的资质情况和经营范围对本项目进行投标，不得将其自行分解或只对本次项目中的品目进行不完全投标，任何不完全的投标将按无效投标处理。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9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ind w:firstLine="468" w:firstLineChars="195"/>
              <w:rPr>
                <w:rFonts w:ascii="宋体" w:hAnsi="宋体" w:cs="宋体"/>
                <w:sz w:val="24"/>
                <w:szCs w:val="24"/>
              </w:rPr>
            </w:pPr>
            <w:r>
              <w:rPr>
                <w:rFonts w:hint="eastAsia" w:ascii="宋体" w:hAnsi="宋体" w:cs="宋体"/>
                <w:sz w:val="24"/>
                <w:szCs w:val="24"/>
              </w:rPr>
              <w:sym w:font="Wingdings" w:char="00FE"/>
            </w:r>
            <w:r>
              <w:rPr>
                <w:rFonts w:hint="eastAsia" w:ascii="宋体" w:hAnsi="宋体" w:cs="宋体"/>
                <w:sz w:val="24"/>
                <w:szCs w:val="24"/>
              </w:rPr>
              <w:t>不接受联合体</w:t>
            </w:r>
          </w:p>
          <w:p>
            <w:pPr>
              <w:spacing w:line="400" w:lineRule="exact"/>
              <w:ind w:firstLine="468" w:firstLineChars="195"/>
              <w:rPr>
                <w:rFonts w:ascii="宋体" w:hAnsi="宋体" w:cs="宋体"/>
                <w:sz w:val="24"/>
                <w:szCs w:val="24"/>
              </w:rPr>
            </w:pPr>
            <w:r>
              <w:rPr>
                <w:rFonts w:hint="eastAsia" w:ascii="宋体" w:hAnsi="宋体" w:cs="宋体"/>
                <w:sz w:val="24"/>
                <w:szCs w:val="24"/>
              </w:rPr>
              <w:sym w:font="Wingdings" w:char="00A8"/>
            </w:r>
            <w:r>
              <w:rPr>
                <w:rFonts w:hint="eastAsia" w:ascii="宋体" w:hAnsi="宋体" w:cs="宋体"/>
                <w:sz w:val="24"/>
                <w:szCs w:val="24"/>
              </w:rPr>
              <w:t>接受联合体</w:t>
            </w:r>
          </w:p>
          <w:p>
            <w:pPr>
              <w:spacing w:line="400" w:lineRule="exact"/>
              <w:ind w:firstLine="468" w:firstLineChars="195"/>
              <w:rPr>
                <w:rFonts w:ascii="宋体" w:hAnsi="宋体" w:cs="宋体"/>
                <w:sz w:val="24"/>
                <w:szCs w:val="24"/>
              </w:rPr>
            </w:pPr>
            <w:r>
              <w:rPr>
                <w:rFonts w:hint="eastAsia" w:ascii="宋体" w:hAnsi="宋体" w:cs="宋体"/>
                <w:sz w:val="24"/>
                <w:szCs w:val="24"/>
              </w:rPr>
              <w:t>1、两个以上供应商可以组成一个联合体响应，以一个供应商的身份响应。以联合体形式参加响应的，联合体各方均应当符合《政府采购法》第二十二条第一款规定的条件。采购人根据采购项目的特殊要求规定供应商特定条件的，联合体各方中至少应当有一方符合采购人规定的特定条件。</w:t>
            </w:r>
          </w:p>
          <w:p>
            <w:pPr>
              <w:spacing w:line="400" w:lineRule="exact"/>
              <w:ind w:firstLine="468" w:firstLineChars="195"/>
              <w:rPr>
                <w:rFonts w:ascii="宋体" w:hAnsi="宋体" w:cs="宋体"/>
                <w:sz w:val="24"/>
                <w:szCs w:val="24"/>
              </w:rPr>
            </w:pPr>
            <w:r>
              <w:rPr>
                <w:rFonts w:hint="eastAsia" w:ascii="宋体" w:hAnsi="宋体" w:cs="宋体"/>
                <w:sz w:val="24"/>
                <w:szCs w:val="24"/>
              </w:rPr>
              <w:t>2、 联合体各方之间应当签订联合体响应协议，明确约定联合体各方承担的工作和相应的责任，并将共同联合体响应协议连同响应文件一并提交招标采购单位。</w:t>
            </w:r>
          </w:p>
          <w:p>
            <w:pPr>
              <w:spacing w:line="400" w:lineRule="exact"/>
              <w:ind w:firstLine="470" w:firstLineChars="196"/>
              <w:rPr>
                <w:rFonts w:ascii="宋体" w:hAnsi="宋体" w:cs="宋体"/>
                <w:sz w:val="24"/>
                <w:szCs w:val="24"/>
              </w:rPr>
            </w:pPr>
            <w:r>
              <w:rPr>
                <w:rFonts w:hint="eastAsia" w:ascii="宋体" w:hAnsi="宋体" w:cs="宋体"/>
                <w:sz w:val="24"/>
                <w:szCs w:val="24"/>
              </w:rPr>
              <w:t>3、联合体应当确定其中一个单位为响应的全权代表，负责参加投标的一切事务，并承担投标及履约中应承担的全部责任与义务。</w:t>
            </w:r>
          </w:p>
          <w:p>
            <w:pPr>
              <w:spacing w:line="400" w:lineRule="exact"/>
              <w:ind w:firstLine="470" w:firstLineChars="196"/>
              <w:rPr>
                <w:rFonts w:ascii="宋体" w:hAnsi="宋体" w:cs="宋体"/>
                <w:sz w:val="24"/>
                <w:szCs w:val="24"/>
              </w:rPr>
            </w:pPr>
            <w:r>
              <w:rPr>
                <w:rFonts w:hint="eastAsia" w:ascii="宋体" w:hAnsi="宋体" w:cs="宋体"/>
                <w:sz w:val="24"/>
                <w:szCs w:val="24"/>
              </w:rPr>
              <w:t>4、联合体各方应当共同与采购人签订采购合同，就采购合同约定的事项对采购人承担连带责任。</w:t>
            </w:r>
          </w:p>
          <w:p>
            <w:pPr>
              <w:spacing w:line="400" w:lineRule="exact"/>
              <w:ind w:firstLine="470" w:firstLineChars="196"/>
              <w:rPr>
                <w:rFonts w:ascii="宋体" w:hAnsi="宋体" w:cs="宋体"/>
                <w:sz w:val="24"/>
                <w:szCs w:val="24"/>
              </w:rPr>
            </w:pPr>
            <w:r>
              <w:rPr>
                <w:rFonts w:hint="eastAsia" w:ascii="宋体" w:hAnsi="宋体" w:cs="宋体"/>
                <w:sz w:val="24"/>
                <w:szCs w:val="24"/>
              </w:rPr>
              <w:t>5、联合体中有同类资质的供应商按照联合体分工承担相同工作的，应当按照资质等级较低的供应商确定资质等级。</w:t>
            </w:r>
          </w:p>
          <w:p>
            <w:pPr>
              <w:spacing w:line="400" w:lineRule="exact"/>
              <w:ind w:firstLine="470" w:firstLineChars="196"/>
              <w:rPr>
                <w:rFonts w:ascii="宋体" w:hAnsi="宋体" w:cs="宋体"/>
                <w:sz w:val="24"/>
                <w:szCs w:val="24"/>
              </w:rPr>
            </w:pPr>
            <w:r>
              <w:rPr>
                <w:rFonts w:hint="eastAsia" w:ascii="宋体" w:hAnsi="宋体" w:cs="宋体"/>
                <w:sz w:val="24"/>
                <w:szCs w:val="24"/>
              </w:rPr>
              <w:t>6、以联合体形式参加政府采购活动的，联合体各方不得再单独参加或者与其他供应商另外组成联合体参加同一合同项下的政府采购活动。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法定代表人授权书响应有效期及响应文件响应有效期为从协商之日起90日历天。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2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219" w:type="dxa"/>
            <w:vAlign w:val="center"/>
          </w:tcPr>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供应商应当根据采购文件的要求和范围，以人民币为货币，以元为报价单位，保留小数点后两位（不进行四舍五入）。</w:t>
            </w:r>
          </w:p>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响应所要求的货物、服务且验收合格的所有费用，包括产品费、安装调试费、运杂费（含保险）、仓储保管费、技术培训费、检测费、施工费、运输费、人工费、税金及进口产品国家按现行税收政策征收的一切税费等。响应报价表中标明本次货物、服务的所有单项价格和总价，任何有选择的报价将不予接受，否则按无效响应处理。</w:t>
            </w:r>
          </w:p>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供应商应在响应文件中的响应报价一览表上，标明总报价、服务期、质保期等，并由法定代表人或被授权人代表签署；任何有选择的报价不予接受。</w:t>
            </w:r>
          </w:p>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供应商对响应报价若有说明应在响应报价一览表显著处注明。</w:t>
            </w:r>
          </w:p>
          <w:p>
            <w:pPr>
              <w:spacing w:line="360" w:lineRule="auto"/>
              <w:jc w:val="left"/>
              <w:rPr>
                <w:rFonts w:ascii="宋体" w:hAnsi="宋体" w:cs="宋体"/>
                <w:sz w:val="24"/>
                <w:szCs w:val="24"/>
              </w:rPr>
            </w:pPr>
            <w:r>
              <w:rPr>
                <w:rFonts w:hint="eastAsia" w:ascii="宋体" w:hAnsi="宋体" w:cs="宋体"/>
                <w:sz w:val="24"/>
                <w:szCs w:val="24"/>
              </w:rPr>
              <w:t>响应报价一览表与分项报价表中的价格，在合同执行过程中，均不得以任何理由变更。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份、响应报价一览表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pStyle w:val="12"/>
              <w:spacing w:line="360" w:lineRule="auto"/>
              <w:rPr>
                <w:rFonts w:ascii="宋体" w:hAnsi="宋体" w:cs="宋体"/>
                <w:kern w:val="2"/>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报价一览表。</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3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219" w:type="dxa"/>
            <w:vAlign w:val="center"/>
          </w:tcPr>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供应商应按照采购文件要求，在每一份响应文件的正本和副本封面下方以及其他采购文件要求的位置填写供应商全称并加盖公章，同时在该处签署法定代表人或供应商代表的全名或加盖本人签名章。</w:t>
            </w:r>
          </w:p>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1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219" w:type="dxa"/>
            <w:vAlign w:val="center"/>
          </w:tcPr>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响应文件正本、所有的副本、电子版本、响应报价一览表需分开密封装在单独的封袋中（封袋不得有破损），且在封袋正面标明“正本”“副本”“电子版”“响应报价一览表”字样。封袋应密封完整，并在封线处加盖供应商鲜章，封袋正面要粘贴供应商全称、项目名称、编号、等标识、且响应文件袋上应加盖供应商公章（封面标识见采购文件附件一）如果未按上述规定进行密封，供应商的响应文件有权被拒绝。</w:t>
            </w:r>
          </w:p>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如果供应商未按上述要求密封及加写标记，误投或过早启封的响应文件，将自行承担其响应文件被视为无效响应文件的风险。</w:t>
            </w:r>
          </w:p>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本次采购只接受简体中文文字的响应文件；如响应文件中出现外文资料，必须配以中文译文。否则，由此引发的一切责任由供应商自负。</w:t>
            </w:r>
          </w:p>
          <w:p>
            <w:pPr>
              <w:spacing w:line="360" w:lineRule="auto"/>
              <w:jc w:val="left"/>
              <w:rPr>
                <w:rFonts w:ascii="宋体" w:hAnsi="宋体" w:cs="宋体"/>
                <w:sz w:val="24"/>
                <w:szCs w:val="24"/>
              </w:rPr>
            </w:pPr>
            <w:r>
              <w:rPr>
                <w:rFonts w:hint="eastAsia" w:ascii="宋体" w:hAnsi="宋体" w:cs="宋体"/>
                <w:sz w:val="24"/>
                <w:szCs w:val="24"/>
              </w:rPr>
              <w:t>4、拒绝接受以电话、传真、电子邮件形式的响应。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sym w:font="Wingdings" w:char="00FE"/>
            </w: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3"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是否专门面向中小企业</w:t>
            </w:r>
          </w:p>
        </w:tc>
        <w:tc>
          <w:tcPr>
            <w:tcW w:w="7219" w:type="dxa"/>
            <w:vAlign w:val="center"/>
          </w:tcPr>
          <w:p>
            <w:pPr>
              <w:spacing w:line="560" w:lineRule="exact"/>
              <w:jc w:val="left"/>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219" w:type="dxa"/>
            <w:vAlign w:val="center"/>
          </w:tcPr>
          <w:p>
            <w:pPr>
              <w:spacing w:line="560" w:lineRule="exact"/>
              <w:jc w:val="left"/>
              <w:rPr>
                <w:rFonts w:ascii="宋体" w:hAnsi="宋体" w:cs="宋体"/>
                <w:sz w:val="24"/>
                <w:szCs w:val="24"/>
              </w:rPr>
            </w:pPr>
            <w:r>
              <w:rPr>
                <w:rFonts w:hint="eastAsia" w:ascii="宋体" w:hAnsi="宋体" w:cs="宋体"/>
                <w:sz w:val="24"/>
                <w:szCs w:val="24"/>
              </w:rPr>
              <w:t>凡是需要法定代表人签字或盖章之处，非法人单位的负责人均参照执行。</w:t>
            </w:r>
          </w:p>
        </w:tc>
      </w:tr>
    </w:tbl>
    <w:p>
      <w:pPr>
        <w:tabs>
          <w:tab w:val="left" w:pos="6793"/>
        </w:tabs>
        <w:jc w:val="left"/>
      </w:pPr>
    </w:p>
    <w:p>
      <w:pPr>
        <w:pStyle w:val="2"/>
        <w:keepLines w:val="0"/>
        <w:jc w:val="both"/>
        <w:rPr>
          <w:rFonts w:ascii="宋体" w:cs="宋体"/>
        </w:rPr>
        <w:sectPr>
          <w:headerReference r:id="rId12" w:type="default"/>
          <w:footerReference r:id="rId13" w:type="default"/>
          <w:pgSz w:w="11906" w:h="16838"/>
          <w:pgMar w:top="1440" w:right="1706" w:bottom="1440" w:left="1800" w:header="851" w:footer="992" w:gutter="0"/>
          <w:cols w:space="720" w:num="1"/>
          <w:docGrid w:type="lines" w:linePitch="312" w:charSpace="0"/>
        </w:sectPr>
      </w:pPr>
    </w:p>
    <w:p>
      <w:pPr>
        <w:pStyle w:val="2"/>
        <w:keepLines w:val="0"/>
        <w:spacing w:beforeLines="100" w:afterLines="100" w:line="500" w:lineRule="exact"/>
        <w:rPr>
          <w:rFonts w:ascii="宋体" w:cs="宋体"/>
          <w:sz w:val="36"/>
          <w:szCs w:val="36"/>
        </w:rPr>
      </w:pPr>
      <w:bookmarkStart w:id="6" w:name="_Toc1244"/>
      <w:bookmarkStart w:id="7" w:name="_Toc19272"/>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供应商须知</w:t>
      </w:r>
      <w:bookmarkEnd w:id="6"/>
      <w:bookmarkEnd w:id="7"/>
    </w:p>
    <w:p>
      <w:pPr>
        <w:pStyle w:val="3"/>
        <w:rPr>
          <w:rFonts w:ascii="宋体" w:cs="宋体"/>
        </w:rPr>
      </w:pPr>
      <w:bookmarkStart w:id="8" w:name="_Toc26739"/>
      <w:bookmarkStart w:id="9" w:name="_Toc17987"/>
      <w:r>
        <w:rPr>
          <w:rFonts w:hint="eastAsia" w:ascii="宋体" w:hAnsi="宋体" w:cs="宋体"/>
        </w:rPr>
        <w:t>一、总</w:t>
      </w:r>
      <w:r>
        <w:rPr>
          <w:rFonts w:ascii="宋体" w:hAnsi="宋体" w:cs="宋体"/>
        </w:rPr>
        <w:t xml:space="preserve"> </w:t>
      </w:r>
      <w:r>
        <w:rPr>
          <w:rFonts w:hint="eastAsia" w:ascii="宋体" w:hAnsi="宋体" w:cs="宋体"/>
        </w:rPr>
        <w:t>则</w:t>
      </w:r>
      <w:bookmarkEnd w:id="8"/>
      <w:bookmarkEnd w:id="9"/>
    </w:p>
    <w:p>
      <w:pPr>
        <w:pStyle w:val="4"/>
        <w:numPr>
          <w:ilvl w:val="0"/>
          <w:numId w:val="6"/>
        </w:numPr>
        <w:spacing w:line="500" w:lineRule="exact"/>
        <w:ind w:firstLine="643" w:firstLineChars="200"/>
        <w:rPr>
          <w:rFonts w:ascii="宋体" w:cs="宋体"/>
          <w:szCs w:val="28"/>
        </w:rPr>
      </w:pPr>
      <w:bookmarkStart w:id="10" w:name="_Toc358364319"/>
      <w:bookmarkStart w:id="11" w:name="_Toc9257"/>
      <w:bookmarkStart w:id="12" w:name="_Toc6742"/>
      <w:bookmarkStart w:id="13" w:name="_Toc380336725"/>
      <w:r>
        <w:rPr>
          <w:rFonts w:hint="eastAsia" w:ascii="宋体" w:hAnsi="宋体" w:cs="宋体"/>
          <w:szCs w:val="28"/>
        </w:rPr>
        <w:t>适用范围</w:t>
      </w:r>
      <w:bookmarkEnd w:id="10"/>
      <w:bookmarkEnd w:id="11"/>
      <w:bookmarkEnd w:id="12"/>
      <w:bookmarkEnd w:id="13"/>
    </w:p>
    <w:p>
      <w:pPr>
        <w:widowControl/>
        <w:spacing w:line="500" w:lineRule="exact"/>
        <w:ind w:left="420" w:leftChars="200"/>
        <w:rPr>
          <w:rFonts w:asci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1.1 </w:t>
      </w:r>
      <w:r>
        <w:rPr>
          <w:rFonts w:hint="eastAsia" w:ascii="宋体" w:hAnsi="宋体" w:cs="宋体"/>
          <w:kern w:val="0"/>
          <w:sz w:val="24"/>
          <w:szCs w:val="24"/>
        </w:rPr>
        <w:t>本采购文件适用于本次采购活动的全过程。</w:t>
      </w:r>
    </w:p>
    <w:p>
      <w:pPr>
        <w:widowControl/>
        <w:spacing w:line="500" w:lineRule="exact"/>
        <w:ind w:left="420" w:leftChars="200"/>
        <w:rPr>
          <w:rFonts w:ascii="宋体" w:cs="宋体"/>
          <w:kern w:val="0"/>
          <w:sz w:val="24"/>
          <w:szCs w:val="24"/>
        </w:rPr>
      </w:pPr>
      <w:r>
        <w:rPr>
          <w:rFonts w:ascii="宋体" w:hAnsi="宋体" w:cs="宋体"/>
          <w:kern w:val="0"/>
          <w:sz w:val="24"/>
          <w:szCs w:val="24"/>
        </w:rPr>
        <w:t xml:space="preserve">    1.2 </w:t>
      </w:r>
      <w:r>
        <w:rPr>
          <w:rFonts w:hint="eastAsia" w:ascii="宋体" w:hAnsi="宋体" w:cs="宋体"/>
          <w:kern w:val="0"/>
          <w:sz w:val="24"/>
          <w:szCs w:val="24"/>
        </w:rPr>
        <w:t>本次采购属政府采购，采购人、采购代理机构、供应商、谈判小组的相关行为均受《中华人民共和国政府采购法》及实施条例、财政部规章及政府采购项目所在地有关法规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4"/>
        <w:numPr>
          <w:ilvl w:val="0"/>
          <w:numId w:val="6"/>
        </w:numPr>
        <w:spacing w:line="500" w:lineRule="exact"/>
        <w:ind w:firstLine="643" w:firstLineChars="200"/>
        <w:rPr>
          <w:rFonts w:ascii="宋体" w:cs="宋体"/>
          <w:szCs w:val="28"/>
        </w:rPr>
      </w:pPr>
      <w:bookmarkStart w:id="14" w:name="_Toc23781"/>
      <w:bookmarkStart w:id="15" w:name="_Toc380336727"/>
      <w:bookmarkStart w:id="16" w:name="_Toc17676"/>
      <w:bookmarkStart w:id="17" w:name="_Toc358364321"/>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left="5" w:firstLine="518" w:firstLineChars="216"/>
        <w:jc w:val="left"/>
        <w:rPr>
          <w:rFonts w:ascii="宋体" w:cs="宋体"/>
          <w:sz w:val="24"/>
          <w:szCs w:val="24"/>
        </w:rPr>
      </w:pPr>
      <w:r>
        <w:rPr>
          <w:rFonts w:hint="eastAsia" w:ascii="宋体" w:hAnsi="宋体" w:cs="宋体"/>
          <w:sz w:val="24"/>
          <w:szCs w:val="24"/>
        </w:rPr>
        <w:t xml:space="preserve">  2.1供应商应遵守有关的国家法律、法规和条例，具备《中华人民共和国政府采购法》和本文件中规定的条件：</w:t>
      </w:r>
    </w:p>
    <w:p>
      <w:pPr>
        <w:numPr>
          <w:ilvl w:val="0"/>
          <w:numId w:val="7"/>
        </w:numPr>
        <w:spacing w:line="500" w:lineRule="exact"/>
        <w:ind w:left="5" w:firstLine="518" w:firstLineChars="216"/>
        <w:jc w:val="left"/>
        <w:rPr>
          <w:rFonts w:ascii="宋体" w:cs="宋体"/>
          <w:sz w:val="24"/>
          <w:szCs w:val="24"/>
        </w:rPr>
      </w:pPr>
      <w:r>
        <w:rPr>
          <w:rFonts w:hint="eastAsia" w:ascii="宋体" w:hAnsi="宋体" w:cs="宋体"/>
          <w:sz w:val="24"/>
          <w:szCs w:val="24"/>
        </w:rPr>
        <w:t>具有独立承担民事责任的能力；</w:t>
      </w:r>
    </w:p>
    <w:p>
      <w:pPr>
        <w:numPr>
          <w:ilvl w:val="0"/>
          <w:numId w:val="7"/>
        </w:numPr>
        <w:spacing w:line="500" w:lineRule="exact"/>
        <w:ind w:left="5" w:firstLine="518" w:firstLineChars="216"/>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7"/>
        </w:numPr>
        <w:spacing w:line="500" w:lineRule="exact"/>
        <w:ind w:left="5" w:firstLine="518" w:firstLineChars="216"/>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7"/>
        </w:numPr>
        <w:spacing w:line="500" w:lineRule="exact"/>
        <w:ind w:left="5" w:firstLine="518" w:firstLineChars="216"/>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7"/>
        </w:numPr>
        <w:spacing w:line="500" w:lineRule="exact"/>
        <w:ind w:left="5" w:firstLine="518" w:firstLineChars="216"/>
        <w:jc w:val="left"/>
        <w:rPr>
          <w:rFonts w:ascii="宋体" w:cs="宋体"/>
          <w:sz w:val="24"/>
          <w:szCs w:val="24"/>
        </w:rPr>
      </w:pPr>
      <w:r>
        <w:rPr>
          <w:rFonts w:hint="eastAsia" w:ascii="宋体" w:hAnsi="宋体" w:cs="宋体"/>
          <w:sz w:val="24"/>
          <w:szCs w:val="24"/>
        </w:rPr>
        <w:t>参加此项采购活动前三年内，在经营活动中没有重大违法记录；</w:t>
      </w:r>
    </w:p>
    <w:p>
      <w:pPr>
        <w:numPr>
          <w:ilvl w:val="0"/>
          <w:numId w:val="7"/>
        </w:numPr>
        <w:spacing w:line="500" w:lineRule="exact"/>
        <w:ind w:left="5" w:firstLine="518" w:firstLineChars="216"/>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5" w:firstLine="518" w:firstLineChars="216"/>
        <w:rPr>
          <w:rFonts w:ascii="宋体" w:cs="宋体"/>
          <w:color w:val="000000"/>
          <w:kern w:val="0"/>
          <w:sz w:val="24"/>
          <w:szCs w:val="24"/>
        </w:rPr>
      </w:pPr>
      <w:r>
        <w:rPr>
          <w:rFonts w:hint="eastAsia" w:ascii="宋体" w:hAnsi="宋体" w:cs="宋体"/>
          <w:sz w:val="24"/>
          <w:szCs w:val="24"/>
        </w:rPr>
        <w:t xml:space="preserve">  2.2</w:t>
      </w:r>
      <w:bookmarkStart w:id="18" w:name="_Toc22444"/>
      <w:bookmarkStart w:id="19" w:name="_Toc358364322"/>
      <w:bookmarkStart w:id="20" w:name="_Toc380336728"/>
      <w:bookmarkStart w:id="21" w:name="_Toc540"/>
      <w:r>
        <w:rPr>
          <w:rFonts w:hint="eastAsia" w:ascii="宋体" w:hAnsi="宋体" w:cs="宋体"/>
          <w:sz w:val="24"/>
          <w:szCs w:val="24"/>
        </w:rPr>
        <w:t>供</w:t>
      </w:r>
      <w:r>
        <w:rPr>
          <w:rFonts w:hint="eastAsia" w:ascii="宋体" w:hAnsi="宋体" w:cs="宋体"/>
          <w:color w:val="000000"/>
          <w:kern w:val="0"/>
          <w:sz w:val="24"/>
          <w:szCs w:val="24"/>
        </w:rPr>
        <w:t>应商存在下列情形之一，其响应文件按无效文件处理。</w:t>
      </w:r>
    </w:p>
    <w:bookmarkEnd w:id="18"/>
    <w:bookmarkEnd w:id="19"/>
    <w:bookmarkEnd w:id="20"/>
    <w:bookmarkEnd w:id="21"/>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left="6" w:firstLine="480" w:firstLineChars="200"/>
        <w:rPr>
          <w:rFonts w:ascii="宋体" w:cs="宋体"/>
          <w:kern w:val="0"/>
          <w:sz w:val="24"/>
          <w:szCs w:val="24"/>
        </w:rPr>
      </w:pPr>
      <w:r>
        <w:rPr>
          <w:rFonts w:hint="eastAsia" w:ascii="宋体" w:cs="宋体"/>
          <w:kern w:val="0"/>
          <w:sz w:val="24"/>
          <w:szCs w:val="24"/>
        </w:rPr>
        <w:t>（2）供应商在响应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4"/>
        <w:numPr>
          <w:ilvl w:val="0"/>
          <w:numId w:val="6"/>
        </w:numPr>
        <w:spacing w:line="500" w:lineRule="exact"/>
        <w:ind w:firstLine="643" w:firstLineChars="200"/>
        <w:rPr>
          <w:rFonts w:ascii="宋体" w:cs="宋体"/>
          <w:szCs w:val="28"/>
        </w:rPr>
      </w:pPr>
      <w:r>
        <w:rPr>
          <w:rFonts w:hint="eastAsia" w:ascii="宋体" w:hAnsi="宋体" w:cs="宋体"/>
          <w:szCs w:val="28"/>
        </w:rPr>
        <w:t>费用</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供应商必须从代理机构购买采购文件，供应商自行转让或复制采购文件视为无效。采购文件一经售出，一律不退，仅作为本次单一来源采购使用。</w:t>
      </w:r>
    </w:p>
    <w:p>
      <w:pPr>
        <w:spacing w:line="360" w:lineRule="auto"/>
        <w:ind w:firstLine="480" w:firstLineChars="200"/>
        <w:jc w:val="left"/>
        <w:rPr>
          <w:rFonts w:ascii="宋体" w:hAnsi="宋体"/>
          <w:sz w:val="24"/>
        </w:rPr>
      </w:pPr>
      <w:r>
        <w:rPr>
          <w:rFonts w:hint="eastAsia" w:ascii="宋体" w:hAnsi="宋体"/>
          <w:sz w:val="24"/>
        </w:rPr>
        <w:t>无论采购过程和结果如何，供应商自行承担与响应有关的全部费用。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pgSz w:w="11906" w:h="16838"/>
          <w:pgMar w:top="1440" w:right="1706" w:bottom="1440" w:left="1800" w:header="851" w:footer="992" w:gutter="0"/>
          <w:cols w:space="720" w:num="1"/>
          <w:docGrid w:type="lines" w:linePitch="312" w:charSpace="0"/>
        </w:sectPr>
      </w:pPr>
    </w:p>
    <w:p>
      <w:pPr>
        <w:pStyle w:val="3"/>
        <w:jc w:val="center"/>
        <w:rPr>
          <w:rFonts w:ascii="宋体" w:cs="宋体"/>
        </w:rPr>
      </w:pPr>
      <w:bookmarkStart w:id="22" w:name="_Toc7144"/>
      <w:bookmarkStart w:id="23" w:name="_Toc32313"/>
      <w:r>
        <w:rPr>
          <w:rFonts w:hint="eastAsia" w:ascii="宋体" w:hAnsi="宋体" w:cs="宋体"/>
        </w:rPr>
        <w:t>二、采购文件</w:t>
      </w:r>
      <w:bookmarkEnd w:id="22"/>
      <w:bookmarkEnd w:id="23"/>
    </w:p>
    <w:p>
      <w:pPr>
        <w:pStyle w:val="4"/>
        <w:keepNext w:val="0"/>
        <w:keepLines w:val="0"/>
        <w:numPr>
          <w:ilvl w:val="0"/>
          <w:numId w:val="8"/>
        </w:numPr>
        <w:spacing w:line="360" w:lineRule="auto"/>
        <w:ind w:firstLine="643" w:firstLineChars="200"/>
        <w:rPr>
          <w:rFonts w:ascii="宋体" w:cs="宋体"/>
          <w:szCs w:val="28"/>
        </w:rPr>
      </w:pPr>
      <w:bookmarkStart w:id="24" w:name="_Toc17817"/>
      <w:bookmarkStart w:id="25" w:name="_Toc5801"/>
      <w:r>
        <w:rPr>
          <w:rFonts w:hint="eastAsia" w:ascii="宋体" w:hAnsi="宋体" w:cs="宋体"/>
          <w:szCs w:val="28"/>
        </w:rPr>
        <w:t>采购文件</w:t>
      </w:r>
      <w:bookmarkEnd w:id="24"/>
      <w:r>
        <w:rPr>
          <w:rFonts w:hint="eastAsia" w:ascii="宋体" w:hAnsi="宋体" w:cs="宋体"/>
          <w:szCs w:val="28"/>
        </w:rPr>
        <w:t>的构成</w:t>
      </w:r>
      <w:bookmarkEnd w:id="25"/>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采购文件是供应商准备响应文件和参加响应的依据，同时也是评审的重要依据，具有准法律文件性质。采购文件用以阐明采购项目所需的资质、技术、服务及报价等要求、采购程序、有关规定和注意事项以及合同主要条款等。本采购文件包括以下内容：</w:t>
      </w:r>
    </w:p>
    <w:p>
      <w:pPr>
        <w:numPr>
          <w:ilvl w:val="0"/>
          <w:numId w:val="9"/>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单一来源邀请函；</w:t>
      </w:r>
    </w:p>
    <w:p>
      <w:pPr>
        <w:numPr>
          <w:ilvl w:val="0"/>
          <w:numId w:val="9"/>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供应商须知前附表；</w:t>
      </w:r>
    </w:p>
    <w:p>
      <w:pPr>
        <w:numPr>
          <w:ilvl w:val="0"/>
          <w:numId w:val="9"/>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w:t>
      </w:r>
    </w:p>
    <w:p>
      <w:pPr>
        <w:numPr>
          <w:ilvl w:val="0"/>
          <w:numId w:val="9"/>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评审办法；</w:t>
      </w:r>
    </w:p>
    <w:p>
      <w:pPr>
        <w:numPr>
          <w:ilvl w:val="0"/>
          <w:numId w:val="9"/>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采购要求；</w:t>
      </w:r>
    </w:p>
    <w:p>
      <w:pPr>
        <w:numPr>
          <w:ilvl w:val="0"/>
          <w:numId w:val="9"/>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合同条款；</w:t>
      </w:r>
    </w:p>
    <w:p>
      <w:pPr>
        <w:numPr>
          <w:ilvl w:val="0"/>
          <w:numId w:val="9"/>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响应文件格式。</w:t>
      </w:r>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w:t>
      </w:r>
      <w:r>
        <w:rPr>
          <w:rFonts w:hint="eastAsia" w:ascii="宋体" w:hAnsi="宋体" w:cs="宋体"/>
          <w:sz w:val="24"/>
          <w:szCs w:val="24"/>
        </w:rPr>
        <w:t>采购</w:t>
      </w:r>
      <w:r>
        <w:rPr>
          <w:rFonts w:hint="eastAsia" w:ascii="宋体" w:hAnsi="宋体" w:cs="宋体"/>
          <w:sz w:val="24"/>
        </w:rPr>
        <w:t>文件中所有的事项、格式条款和规范要求。供应商未对</w:t>
      </w:r>
      <w:r>
        <w:rPr>
          <w:rFonts w:hint="eastAsia" w:ascii="宋体" w:hAnsi="宋体" w:cs="宋体"/>
          <w:sz w:val="24"/>
          <w:szCs w:val="24"/>
        </w:rPr>
        <w:t>采购</w:t>
      </w:r>
      <w:r>
        <w:rPr>
          <w:rFonts w:hint="eastAsia" w:ascii="宋体" w:hAnsi="宋体" w:cs="宋体"/>
          <w:sz w:val="24"/>
        </w:rPr>
        <w:t>文件全面做出实质性响应是供应商的风险。没有按照</w:t>
      </w:r>
      <w:r>
        <w:rPr>
          <w:rFonts w:hint="eastAsia" w:ascii="宋体" w:hAnsi="宋体" w:cs="宋体"/>
          <w:sz w:val="24"/>
          <w:szCs w:val="24"/>
        </w:rPr>
        <w:t>采购</w:t>
      </w:r>
      <w:r>
        <w:rPr>
          <w:rFonts w:hint="eastAsia" w:ascii="宋体" w:hAnsi="宋体" w:cs="宋体"/>
          <w:sz w:val="24"/>
        </w:rPr>
        <w:t>文件要求作出实质性响应的响应文件将被拒绝。</w:t>
      </w:r>
    </w:p>
    <w:p>
      <w:pPr>
        <w:pStyle w:val="4"/>
        <w:keepNext w:val="0"/>
        <w:keepLines w:val="0"/>
        <w:numPr>
          <w:ilvl w:val="0"/>
          <w:numId w:val="8"/>
        </w:numPr>
        <w:spacing w:line="360" w:lineRule="auto"/>
        <w:ind w:firstLine="643" w:firstLineChars="200"/>
        <w:rPr>
          <w:rFonts w:ascii="宋体" w:cs="宋体"/>
          <w:szCs w:val="28"/>
        </w:rPr>
      </w:pPr>
      <w:bookmarkStart w:id="26" w:name="_Toc19797"/>
      <w:r>
        <w:rPr>
          <w:rFonts w:hint="eastAsia" w:ascii="宋体" w:hAnsi="宋体" w:cs="宋体"/>
          <w:szCs w:val="28"/>
        </w:rPr>
        <w:t>采购文件的澄清</w:t>
      </w:r>
      <w:bookmarkEnd w:id="26"/>
    </w:p>
    <w:p>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采购文件中所有的事项，如有问题或疑议请及时函告。否则，视为同意采购文件的一切条款和要求并承担由此引起的一切法律责任。凡因供应商对采购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采购文件进行询问或要求进行澄清的供应商，均应在收到采购文件后二日内按采购文件中的通讯地址以书面形式递交代理机构，采购人或代理机构对收到的任何询问或澄清要求将在三个工作日内作出书面答复。</w:t>
      </w:r>
    </w:p>
    <w:p>
      <w:pPr>
        <w:pStyle w:val="4"/>
        <w:keepNext w:val="0"/>
        <w:keepLines w:val="0"/>
        <w:numPr>
          <w:ilvl w:val="0"/>
          <w:numId w:val="8"/>
        </w:numPr>
        <w:spacing w:line="500" w:lineRule="exact"/>
        <w:ind w:firstLine="643" w:firstLineChars="200"/>
        <w:rPr>
          <w:rFonts w:ascii="宋体" w:cs="宋体"/>
          <w:szCs w:val="28"/>
        </w:rPr>
      </w:pPr>
      <w:bookmarkStart w:id="27" w:name="_Toc6390"/>
      <w:r>
        <w:rPr>
          <w:rFonts w:hint="eastAsia" w:ascii="宋体" w:hAnsi="宋体" w:cs="宋体"/>
          <w:szCs w:val="28"/>
        </w:rPr>
        <w:t>采购文件的修改</w:t>
      </w:r>
      <w:bookmarkEnd w:id="27"/>
    </w:p>
    <w:p>
      <w:pPr>
        <w:tabs>
          <w:tab w:val="left" w:pos="0"/>
        </w:tabs>
        <w:adjustRightInd w:val="0"/>
        <w:snapToGrid w:val="0"/>
        <w:spacing w:line="500" w:lineRule="exact"/>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响应截止时间五日前，无论出于何种原因，代理机构可主动地或在解答供应商提出的澄清问题时，对采购文件进行修改。采购文件的澄清和修改将以书面形式通知供应商，并作为采购文件的补充，与其具有同等法律效力。</w:t>
      </w:r>
    </w:p>
    <w:p>
      <w:pPr>
        <w:tabs>
          <w:tab w:val="left" w:pos="0"/>
        </w:tabs>
        <w:adjustRightInd w:val="0"/>
        <w:snapToGrid w:val="0"/>
        <w:spacing w:line="500" w:lineRule="exact"/>
        <w:ind w:firstLine="480" w:firstLineChars="200"/>
        <w:jc w:val="left"/>
        <w:rPr>
          <w:rFonts w:ascii="宋体" w:cs="宋体"/>
          <w:b/>
          <w:bCs/>
          <w:color w:val="FF0000"/>
          <w:sz w:val="24"/>
          <w:szCs w:val="24"/>
        </w:rPr>
      </w:pPr>
      <w:r>
        <w:rPr>
          <w:rFonts w:ascii="宋体" w:hAnsi="宋体" w:cs="宋体"/>
          <w:sz w:val="24"/>
          <w:szCs w:val="24"/>
        </w:rPr>
        <w:t xml:space="preserve">3.2 </w:t>
      </w:r>
      <w:r>
        <w:rPr>
          <w:rFonts w:hint="eastAsia" w:ascii="宋体" w:hAnsi="宋体" w:cs="宋体"/>
          <w:sz w:val="24"/>
          <w:szCs w:val="24"/>
        </w:rPr>
        <w:t>为方便供应商对采购文件修改或澄清内容有充分的时间进行补充修改，代理机构可适当延长响应截止时间，将变更时间书面通知购买采购文件的供应商。</w:t>
      </w:r>
    </w:p>
    <w:p>
      <w:pPr>
        <w:pStyle w:val="4"/>
        <w:numPr>
          <w:ilvl w:val="0"/>
          <w:numId w:val="8"/>
        </w:numPr>
        <w:ind w:firstLine="643" w:firstLineChars="200"/>
        <w:rPr>
          <w:rFonts w:ascii="宋体" w:cs="宋体"/>
        </w:rPr>
      </w:pPr>
      <w:bookmarkStart w:id="28" w:name="_Toc5095"/>
      <w:r>
        <w:rPr>
          <w:rFonts w:hint="eastAsia" w:ascii="宋体" w:hAnsi="宋体" w:cs="宋体"/>
        </w:rPr>
        <w:t>单一来源采购文件的解释权归代理机构。</w:t>
      </w:r>
      <w:bookmarkEnd w:id="28"/>
    </w:p>
    <w:p>
      <w:pPr>
        <w:pStyle w:val="3"/>
        <w:jc w:val="center"/>
        <w:rPr>
          <w:rFonts w:ascii="宋体" w:hAnsi="宋体" w:cs="宋体"/>
        </w:rPr>
        <w:sectPr>
          <w:pgSz w:w="11906" w:h="16838"/>
          <w:pgMar w:top="1440" w:right="1706" w:bottom="1440" w:left="1800" w:header="851" w:footer="992" w:gutter="0"/>
          <w:cols w:space="720" w:num="1"/>
          <w:docGrid w:type="lines" w:linePitch="312" w:charSpace="0"/>
        </w:sectPr>
      </w:pPr>
      <w:bookmarkStart w:id="29" w:name="_Toc15601"/>
    </w:p>
    <w:p>
      <w:pPr>
        <w:pStyle w:val="3"/>
        <w:jc w:val="center"/>
        <w:rPr>
          <w:rFonts w:ascii="宋体" w:cs="宋体"/>
        </w:rPr>
      </w:pPr>
      <w:bookmarkStart w:id="30" w:name="_Toc2564"/>
      <w:r>
        <w:rPr>
          <w:rFonts w:hint="eastAsia" w:ascii="宋体" w:hAnsi="宋体" w:cs="宋体"/>
        </w:rPr>
        <w:t>三、</w:t>
      </w:r>
      <w:bookmarkEnd w:id="29"/>
      <w:r>
        <w:rPr>
          <w:rFonts w:hint="eastAsia" w:ascii="宋体" w:hAnsi="宋体" w:cs="宋体"/>
        </w:rPr>
        <w:t>响应文件</w:t>
      </w:r>
      <w:bookmarkEnd w:id="30"/>
    </w:p>
    <w:p>
      <w:pPr>
        <w:pStyle w:val="4"/>
        <w:numPr>
          <w:ilvl w:val="0"/>
          <w:numId w:val="10"/>
        </w:numPr>
        <w:spacing w:line="500" w:lineRule="exact"/>
        <w:ind w:firstLine="643" w:firstLineChars="200"/>
        <w:rPr>
          <w:rFonts w:ascii="宋体" w:cs="宋体"/>
          <w:szCs w:val="28"/>
        </w:rPr>
      </w:pPr>
      <w:bookmarkStart w:id="31" w:name="_Toc17549"/>
      <w:r>
        <w:rPr>
          <w:rFonts w:hint="eastAsia" w:ascii="宋体" w:hAnsi="宋体" w:cs="宋体"/>
          <w:szCs w:val="28"/>
        </w:rPr>
        <w:t>响应文件的编制</w:t>
      </w:r>
      <w:bookmarkEnd w:id="31"/>
    </w:p>
    <w:p>
      <w:pPr>
        <w:tabs>
          <w:tab w:val="left" w:pos="0"/>
        </w:tabs>
        <w:spacing w:line="500" w:lineRule="exact"/>
        <w:ind w:firstLine="420" w:firstLineChars="175"/>
        <w:jc w:val="left"/>
        <w:rPr>
          <w:rFonts w:ascii="宋体" w:hAnsi="宋体" w:cs="宋体"/>
          <w:sz w:val="24"/>
          <w:szCs w:val="24"/>
        </w:rPr>
      </w:pPr>
      <w:bookmarkStart w:id="32" w:name="_Toc27646"/>
      <w:r>
        <w:rPr>
          <w:rFonts w:hint="eastAsia" w:ascii="宋体" w:hAnsi="宋体" w:cs="宋体"/>
          <w:sz w:val="24"/>
          <w:szCs w:val="24"/>
        </w:rPr>
        <w:t>供应商需依据采购文件内容和响应文件格式的要求编制响应文件，具体内容参见“第七部分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，按照采购文件所规定的内容顺序，统一编目、编页码装订，由于编排混乱导致响应文件被误读或查找不到，其责任应当由供应商承担。装订必须采用胶装形式，不得采用活页装订，必须编排页码。</w:t>
      </w:r>
    </w:p>
    <w:bookmarkEnd w:id="32"/>
    <w:p>
      <w:pPr>
        <w:pStyle w:val="4"/>
        <w:numPr>
          <w:ilvl w:val="0"/>
          <w:numId w:val="10"/>
        </w:numPr>
        <w:rPr>
          <w:rFonts w:ascii="宋体" w:hAnsi="宋体" w:cs="宋体"/>
        </w:rPr>
      </w:pPr>
      <w:bookmarkStart w:id="33" w:name="_Toc22752"/>
      <w:r>
        <w:rPr>
          <w:rFonts w:hint="eastAsia" w:ascii="宋体" w:hAnsi="宋体" w:cs="宋体"/>
        </w:rPr>
        <w:t>响应报价</w:t>
      </w:r>
    </w:p>
    <w:p>
      <w:pPr>
        <w:ind w:firstLine="480" w:firstLineChars="200"/>
      </w:pPr>
      <w:r>
        <w:rPr>
          <w:rFonts w:hint="eastAsia" w:ascii="宋体" w:hAnsi="宋体" w:cs="宋体"/>
          <w:kern w:val="0"/>
          <w:sz w:val="24"/>
        </w:rPr>
        <w:t>详见供应商须知前附表；</w:t>
      </w:r>
    </w:p>
    <w:p>
      <w:pPr>
        <w:pStyle w:val="4"/>
        <w:numPr>
          <w:ilvl w:val="0"/>
          <w:numId w:val="10"/>
        </w:numPr>
        <w:rPr>
          <w:rFonts w:ascii="宋体" w:cs="宋体"/>
        </w:rPr>
      </w:pPr>
      <w:r>
        <w:rPr>
          <w:rFonts w:hint="eastAsia" w:ascii="宋体" w:hAnsi="宋体" w:cs="宋体"/>
        </w:rPr>
        <w:t>货币</w:t>
      </w:r>
    </w:p>
    <w:p>
      <w:pPr>
        <w:ind w:firstLine="480" w:firstLineChars="200"/>
        <w:rPr>
          <w:rFonts w:ascii="宋体" w:cs="宋体"/>
          <w:sz w:val="24"/>
          <w:szCs w:val="24"/>
        </w:rPr>
      </w:pPr>
      <w:bookmarkStart w:id="34" w:name="_Toc1311"/>
      <w:r>
        <w:rPr>
          <w:rFonts w:hint="eastAsia" w:ascii="宋体" w:hAnsi="宋体" w:cs="宋体"/>
          <w:kern w:val="0"/>
          <w:sz w:val="24"/>
        </w:rPr>
        <w:t>详见供应商须知前附表；</w:t>
      </w:r>
      <w:bookmarkEnd w:id="34"/>
    </w:p>
    <w:p>
      <w:pPr>
        <w:pStyle w:val="4"/>
        <w:numPr>
          <w:ilvl w:val="0"/>
          <w:numId w:val="10"/>
        </w:numPr>
        <w:rPr>
          <w:rFonts w:ascii="宋体" w:cs="宋体"/>
        </w:rPr>
      </w:pPr>
      <w:bookmarkStart w:id="35" w:name="_Toc19668"/>
      <w:r>
        <w:rPr>
          <w:rFonts w:hint="eastAsia" w:ascii="宋体" w:hAnsi="宋体" w:cs="宋体"/>
        </w:rPr>
        <w:t>响应有效期</w:t>
      </w:r>
      <w:bookmarkEnd w:id="35"/>
    </w:p>
    <w:p>
      <w:pPr>
        <w:adjustRightInd w:val="0"/>
        <w:snapToGrid w:val="0"/>
        <w:spacing w:line="360" w:lineRule="auto"/>
        <w:ind w:firstLine="482" w:firstLineChars="200"/>
        <w:rPr>
          <w:rFonts w:asci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，响应有效期短规定期限的响应文件，视为无效文件，其响应将被拒绝。成交单位的响应文件有效期延长至合同执行完毕。</w:t>
      </w:r>
    </w:p>
    <w:p>
      <w:pPr>
        <w:pStyle w:val="4"/>
        <w:numPr>
          <w:ilvl w:val="0"/>
          <w:numId w:val="10"/>
        </w:numPr>
        <w:rPr>
          <w:rFonts w:ascii="宋体" w:cs="宋体"/>
        </w:rPr>
      </w:pPr>
      <w:bookmarkStart w:id="36" w:name="_Toc24827"/>
      <w:r>
        <w:rPr>
          <w:rFonts w:hint="eastAsia" w:ascii="宋体" w:hAnsi="宋体" w:cs="宋体"/>
        </w:rPr>
        <w:t>响应文件的格式、装订、密封和签署</w:t>
      </w:r>
      <w:bookmarkEnd w:id="36"/>
    </w:p>
    <w:p>
      <w:pPr>
        <w:tabs>
          <w:tab w:val="left" w:pos="0"/>
        </w:tabs>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1响应文件的装订</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2响应文件的签署</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3响应文件的密封</w:t>
      </w:r>
    </w:p>
    <w:p>
      <w:pPr>
        <w:ind w:firstLine="482" w:firstLineChars="200"/>
        <w:rPr>
          <w:rFonts w:ascii="宋体" w:hAnsi="宋体" w:cs="宋体"/>
          <w:sz w:val="24"/>
          <w:szCs w:val="24"/>
        </w:rPr>
      </w:pPr>
      <w:r>
        <w:rPr>
          <w:rFonts w:hint="eastAsia" w:ascii="宋体" w:hAnsi="宋体" w:cs="宋体"/>
          <w:b/>
          <w:bCs/>
          <w:kern w:val="0"/>
          <w:sz w:val="24"/>
        </w:rPr>
        <w:t>详见供应商须知前附表；</w:t>
      </w:r>
    </w:p>
    <w:bookmarkEnd w:id="33"/>
    <w:p>
      <w:pPr>
        <w:pStyle w:val="12"/>
      </w:pPr>
    </w:p>
    <w:p>
      <w:pPr>
        <w:widowControl/>
        <w:numPr>
          <w:ilvl w:val="0"/>
          <w:numId w:val="11"/>
        </w:numPr>
        <w:spacing w:line="500" w:lineRule="exact"/>
        <w:ind w:firstLine="482" w:firstLineChars="200"/>
        <w:jc w:val="center"/>
        <w:outlineLvl w:val="1"/>
        <w:rPr>
          <w:rFonts w:ascii="宋体" w:cs="宋体"/>
          <w:b/>
          <w:bCs/>
          <w:kern w:val="0"/>
          <w:sz w:val="24"/>
          <w:szCs w:val="24"/>
        </w:rPr>
        <w:sectPr>
          <w:pgSz w:w="11906" w:h="16838"/>
          <w:pgMar w:top="1440" w:right="1706" w:bottom="1440" w:left="1800" w:header="851" w:footer="992" w:gutter="0"/>
          <w:cols w:space="720" w:num="1"/>
          <w:docGrid w:type="lines" w:linePitch="312" w:charSpace="0"/>
        </w:sectPr>
      </w:pPr>
      <w:bookmarkStart w:id="37" w:name="_Toc3736"/>
    </w:p>
    <w:p>
      <w:pPr>
        <w:widowControl/>
        <w:spacing w:beforeLines="50" w:afterLines="50" w:line="500" w:lineRule="exact"/>
        <w:jc w:val="center"/>
        <w:outlineLvl w:val="1"/>
        <w:rPr>
          <w:rFonts w:ascii="宋体" w:cs="宋体"/>
          <w:b/>
          <w:bCs/>
          <w:kern w:val="0"/>
          <w:sz w:val="32"/>
          <w:szCs w:val="28"/>
        </w:rPr>
      </w:pPr>
      <w:bookmarkStart w:id="38" w:name="_Toc3565"/>
      <w:bookmarkStart w:id="39" w:name="_Toc23629"/>
      <w:r>
        <w:rPr>
          <w:rFonts w:hint="eastAsia" w:ascii="宋体" w:hAnsi="宋体" w:cs="宋体"/>
          <w:b/>
          <w:bCs/>
          <w:kern w:val="0"/>
          <w:sz w:val="32"/>
          <w:szCs w:val="28"/>
        </w:rPr>
        <w:t>四、响应文件的递交</w:t>
      </w:r>
      <w:bookmarkEnd w:id="38"/>
      <w:bookmarkEnd w:id="39"/>
    </w:p>
    <w:bookmarkEnd w:id="37"/>
    <w:p>
      <w:pPr>
        <w:pStyle w:val="4"/>
        <w:keepNext w:val="0"/>
        <w:keepLines w:val="0"/>
        <w:numPr>
          <w:ilvl w:val="0"/>
          <w:numId w:val="12"/>
        </w:numPr>
        <w:spacing w:line="500" w:lineRule="exact"/>
        <w:ind w:firstLine="643" w:firstLineChars="200"/>
        <w:rPr>
          <w:rFonts w:ascii="宋体" w:cs="宋体"/>
          <w:szCs w:val="28"/>
        </w:rPr>
      </w:pPr>
      <w:bookmarkStart w:id="40" w:name="_Toc3685"/>
      <w:r>
        <w:rPr>
          <w:rFonts w:hint="eastAsia" w:ascii="宋体" w:hAnsi="宋体" w:cs="宋体"/>
          <w:szCs w:val="28"/>
        </w:rPr>
        <w:t>响应文件递交</w:t>
      </w:r>
      <w:bookmarkEnd w:id="40"/>
    </w:p>
    <w:p>
      <w:pPr>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供应商应当在提交响应文件的截止时间前，将响应文件密封送达响应地点。采购代理机构收到响应文件后，签收保存，并向供应商出具签收回执。代理机构项目承办人在递交截止时间前，只负责响应文件的接收、清点、造册登记工作，并请供应商代表签字确认，对其有效性不负任何责任。任何单位和个人不得在响应前开启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2代理机构不接受邮寄的响应文件。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无论供应商成交与否，其响应文件恕不退还。</w:t>
      </w:r>
    </w:p>
    <w:p>
      <w:pPr>
        <w:pStyle w:val="4"/>
        <w:keepNext w:val="0"/>
        <w:keepLines w:val="0"/>
        <w:numPr>
          <w:ilvl w:val="0"/>
          <w:numId w:val="12"/>
        </w:numPr>
        <w:spacing w:line="500" w:lineRule="exact"/>
        <w:ind w:firstLine="643" w:firstLineChars="200"/>
        <w:rPr>
          <w:rFonts w:ascii="宋体" w:cs="宋体"/>
          <w:szCs w:val="28"/>
        </w:rPr>
      </w:pPr>
      <w:bookmarkStart w:id="41" w:name="_Toc12741"/>
      <w:r>
        <w:rPr>
          <w:rFonts w:hint="eastAsia" w:ascii="宋体" w:hAnsi="宋体" w:cs="宋体"/>
          <w:szCs w:val="28"/>
        </w:rPr>
        <w:t>响应文件的修改和撤回</w:t>
      </w:r>
      <w:bookmarkEnd w:id="41"/>
    </w:p>
    <w:p>
      <w:pPr>
        <w:spacing w:line="500" w:lineRule="exact"/>
        <w:ind w:firstLine="480" w:firstLineChars="200"/>
        <w:jc w:val="left"/>
        <w:rPr>
          <w:rFonts w:ascii="宋体" w:cs="宋体"/>
          <w:sz w:val="24"/>
          <w:szCs w:val="24"/>
        </w:rPr>
      </w:pPr>
      <w:r>
        <w:rPr>
          <w:rFonts w:ascii="宋体" w:hAnsi="宋体" w:cs="宋体"/>
          <w:sz w:val="24"/>
          <w:szCs w:val="24"/>
        </w:rPr>
        <w:t xml:space="preserve"> </w:t>
      </w:r>
      <w:r>
        <w:rPr>
          <w:rFonts w:hint="eastAsia" w:ascii="宋体" w:hAnsi="宋体" w:cs="宋体"/>
          <w:sz w:val="24"/>
          <w:szCs w:val="24"/>
        </w:rPr>
        <w:t>在响应截止时间之后，供应商不得对其响应文件进行补充、修改或撤回。</w:t>
      </w:r>
    </w:p>
    <w:p>
      <w:pPr>
        <w:widowControl/>
        <w:spacing w:beforeLines="50" w:afterLines="50" w:line="500" w:lineRule="exact"/>
        <w:jc w:val="center"/>
        <w:outlineLvl w:val="1"/>
        <w:rPr>
          <w:rFonts w:ascii="宋体" w:cs="宋体"/>
          <w:b/>
          <w:bCs/>
          <w:kern w:val="0"/>
          <w:sz w:val="32"/>
          <w:szCs w:val="28"/>
        </w:rPr>
      </w:pPr>
      <w:bookmarkStart w:id="42" w:name="_Toc14415"/>
      <w:bookmarkStart w:id="43" w:name="_Toc27066"/>
      <w:bookmarkStart w:id="44" w:name="_Toc22110"/>
      <w:r>
        <w:rPr>
          <w:rFonts w:hint="eastAsia" w:ascii="宋体" w:hAnsi="宋体" w:cs="宋体"/>
          <w:b/>
          <w:bCs/>
          <w:kern w:val="0"/>
          <w:sz w:val="32"/>
          <w:szCs w:val="28"/>
        </w:rPr>
        <w:t>五、</w:t>
      </w:r>
      <w:r>
        <w:rPr>
          <w:rFonts w:ascii="宋体" w:hAnsi="宋体" w:cs="宋体"/>
          <w:b/>
          <w:bCs/>
          <w:kern w:val="0"/>
          <w:sz w:val="32"/>
          <w:szCs w:val="28"/>
        </w:rPr>
        <w:t xml:space="preserve"> </w:t>
      </w:r>
      <w:bookmarkEnd w:id="42"/>
      <w:bookmarkEnd w:id="43"/>
      <w:r>
        <w:rPr>
          <w:rFonts w:hint="eastAsia" w:ascii="宋体" w:hAnsi="宋体" w:cs="宋体"/>
          <w:b/>
          <w:bCs/>
          <w:kern w:val="0"/>
          <w:sz w:val="32"/>
          <w:szCs w:val="28"/>
        </w:rPr>
        <w:t>采购程序</w:t>
      </w:r>
      <w:bookmarkEnd w:id="44"/>
    </w:p>
    <w:p>
      <w:pPr>
        <w:pStyle w:val="4"/>
        <w:keepNext w:val="0"/>
        <w:keepLines w:val="0"/>
        <w:numPr>
          <w:ilvl w:val="0"/>
          <w:numId w:val="13"/>
        </w:numPr>
        <w:spacing w:line="500" w:lineRule="exact"/>
        <w:ind w:firstLine="643" w:firstLineChars="200"/>
        <w:rPr>
          <w:rFonts w:ascii="宋体" w:cs="宋体"/>
          <w:szCs w:val="28"/>
        </w:rPr>
      </w:pPr>
      <w:r>
        <w:rPr>
          <w:rFonts w:hint="eastAsia" w:ascii="宋体" w:cs="宋体"/>
          <w:szCs w:val="28"/>
        </w:rPr>
        <w:t>响应会议</w:t>
      </w:r>
    </w:p>
    <w:p>
      <w:pPr>
        <w:widowControl/>
        <w:tabs>
          <w:tab w:val="left" w:pos="0"/>
        </w:tabs>
        <w:spacing w:line="500" w:lineRule="exact"/>
        <w:ind w:firstLine="480" w:firstLineChars="200"/>
        <w:jc w:val="left"/>
        <w:rPr>
          <w:rFonts w:ascii="宋体" w:cs="宋体"/>
          <w:color w:val="000000"/>
          <w:sz w:val="24"/>
          <w:szCs w:val="24"/>
          <w:highlight w:val="yellow"/>
        </w:rPr>
      </w:pPr>
      <w:r>
        <w:rPr>
          <w:rFonts w:ascii="宋体" w:hAnsi="宋体" w:cs="宋体"/>
          <w:sz w:val="24"/>
          <w:szCs w:val="24"/>
        </w:rPr>
        <w:t xml:space="preserve">1.1 </w:t>
      </w:r>
      <w:r>
        <w:rPr>
          <w:rFonts w:hint="eastAsia" w:ascii="宋体" w:hAnsi="宋体" w:cs="宋体"/>
          <w:sz w:val="24"/>
          <w:szCs w:val="24"/>
        </w:rPr>
        <w:t>采购代理机构按规定的时间和地点接收供应商递交的响应文件，主持采购会议</w:t>
      </w:r>
      <w:r>
        <w:rPr>
          <w:rFonts w:hint="eastAsia" w:ascii="宋体" w:hAnsi="宋体" w:cs="宋体"/>
          <w:color w:val="000000"/>
          <w:sz w:val="24"/>
          <w:szCs w:val="24"/>
        </w:rPr>
        <w:t>。</w:t>
      </w:r>
    </w:p>
    <w:p>
      <w:pPr>
        <w:widowControl/>
        <w:tabs>
          <w:tab w:val="left" w:pos="0"/>
        </w:tabs>
        <w:spacing w:line="500" w:lineRule="exact"/>
        <w:ind w:firstLine="480" w:firstLineChars="200"/>
        <w:jc w:val="left"/>
        <w:rPr>
          <w:rFonts w:ascii="宋体" w:hAnsi="宋体" w:cs="宋体"/>
          <w:sz w:val="24"/>
          <w:szCs w:val="24"/>
        </w:rPr>
      </w:pPr>
      <w:r>
        <w:rPr>
          <w:rFonts w:ascii="宋体" w:hAnsi="宋体" w:cs="宋体"/>
          <w:sz w:val="24"/>
          <w:szCs w:val="24"/>
        </w:rPr>
        <w:t>1.2</w:t>
      </w:r>
      <w:r>
        <w:rPr>
          <w:rFonts w:hint="eastAsia" w:ascii="宋体" w:hAnsi="宋体" w:cs="宋体"/>
          <w:sz w:val="24"/>
          <w:szCs w:val="24"/>
        </w:rPr>
        <w:t>由供应商授权代表检查响应文件的密封情况；经确认无误后，由采购代理机构工作人员拆封；</w:t>
      </w:r>
    </w:p>
    <w:p>
      <w:pPr>
        <w:widowControl/>
        <w:tabs>
          <w:tab w:val="left" w:pos="0"/>
        </w:tabs>
        <w:spacing w:line="500" w:lineRule="exact"/>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3响应文件中出现下列情况，修正原则为：</w:t>
      </w:r>
    </w:p>
    <w:p>
      <w:pPr>
        <w:numPr>
          <w:ilvl w:val="0"/>
          <w:numId w:val="14"/>
        </w:numPr>
        <w:spacing w:line="500" w:lineRule="exact"/>
        <w:jc w:val="left"/>
        <w:rPr>
          <w:rFonts w:ascii="宋体" w:cs="宋体"/>
          <w:sz w:val="24"/>
          <w:szCs w:val="24"/>
        </w:rPr>
      </w:pPr>
      <w:r>
        <w:rPr>
          <w:rFonts w:hint="eastAsia" w:ascii="宋体" w:hAnsi="宋体" w:cs="宋体"/>
          <w:sz w:val="24"/>
          <w:szCs w:val="24"/>
        </w:rPr>
        <w:t>响应文件中开标一览表内容与响应文件中相应内容不一致的，以单独密封的开标一览表为准；</w:t>
      </w:r>
    </w:p>
    <w:p>
      <w:pPr>
        <w:numPr>
          <w:ilvl w:val="0"/>
          <w:numId w:val="14"/>
        </w:numPr>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pPr>
        <w:numPr>
          <w:ilvl w:val="0"/>
          <w:numId w:val="14"/>
        </w:numPr>
        <w:spacing w:line="500" w:lineRule="exact"/>
        <w:jc w:val="left"/>
        <w:rPr>
          <w:rFonts w:ascii="宋体" w:cs="宋体"/>
          <w:sz w:val="24"/>
          <w:szCs w:val="24"/>
        </w:rPr>
      </w:pPr>
      <w:r>
        <w:rPr>
          <w:rFonts w:hint="eastAsia" w:ascii="宋体" w:hAnsi="宋体" w:cs="宋体"/>
          <w:sz w:val="24"/>
          <w:szCs w:val="24"/>
        </w:rPr>
        <w:t>单价金额小数点或者百分比有明显错位的，以开标一览表的总价为准，并修改单价；</w:t>
      </w:r>
    </w:p>
    <w:p>
      <w:pPr>
        <w:numPr>
          <w:ilvl w:val="0"/>
          <w:numId w:val="14"/>
        </w:numPr>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r>
        <w:rPr>
          <w:rFonts w:ascii="宋体" w:hAnsi="宋体" w:cs="宋体"/>
          <w:sz w:val="24"/>
          <w:szCs w:val="24"/>
        </w:rPr>
        <w:t xml:space="preserve"> </w:t>
      </w:r>
    </w:p>
    <w:p>
      <w:pPr>
        <w:numPr>
          <w:ilvl w:val="0"/>
          <w:numId w:val="14"/>
        </w:numPr>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pPr>
        <w:numPr>
          <w:ilvl w:val="0"/>
          <w:numId w:val="14"/>
        </w:numPr>
        <w:spacing w:line="500" w:lineRule="exact"/>
        <w:jc w:val="left"/>
        <w:rPr>
          <w:rFonts w:ascii="宋体" w:cs="宋体"/>
          <w:sz w:val="24"/>
          <w:szCs w:val="24"/>
        </w:rPr>
      </w:pPr>
      <w:r>
        <w:rPr>
          <w:rFonts w:hint="eastAsia" w:ascii="宋体" w:hAnsi="宋体" w:cs="宋体"/>
          <w:sz w:val="24"/>
          <w:szCs w:val="24"/>
        </w:rPr>
        <w:t>响应文件单独密封递交的开标一览表与正本不一致的，以单独密封递交的开标一览表为准；</w:t>
      </w:r>
    </w:p>
    <w:p>
      <w:pPr>
        <w:spacing w:line="500" w:lineRule="exact"/>
        <w:ind w:firstLine="480" w:firstLineChars="200"/>
        <w:jc w:val="left"/>
        <w:rPr>
          <w:rFonts w:asci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4"/>
        <w:keepNext w:val="0"/>
        <w:keepLines w:val="0"/>
        <w:numPr>
          <w:ilvl w:val="0"/>
          <w:numId w:val="13"/>
        </w:numPr>
        <w:spacing w:line="500" w:lineRule="exact"/>
        <w:ind w:firstLine="643" w:firstLineChars="200"/>
        <w:rPr>
          <w:rFonts w:ascii="宋体" w:cs="宋体"/>
          <w:szCs w:val="28"/>
        </w:rPr>
      </w:pPr>
      <w:r>
        <w:rPr>
          <w:rFonts w:hint="eastAsia" w:ascii="宋体" w:cs="宋体"/>
          <w:szCs w:val="28"/>
        </w:rPr>
        <w:t>谈判小组</w:t>
      </w:r>
    </w:p>
    <w:p>
      <w:pPr>
        <w:widowControl/>
        <w:spacing w:line="460" w:lineRule="exact"/>
        <w:ind w:firstLine="420" w:firstLineChars="175"/>
        <w:jc w:val="left"/>
        <w:rPr>
          <w:rFonts w:ascii="宋体" w:cs="宋体"/>
          <w:sz w:val="24"/>
          <w:szCs w:val="24"/>
        </w:rPr>
      </w:pPr>
      <w:r>
        <w:rPr>
          <w:rFonts w:ascii="宋体" w:hAnsi="宋体" w:cs="宋体"/>
          <w:kern w:val="0"/>
          <w:sz w:val="24"/>
          <w:szCs w:val="24"/>
        </w:rPr>
        <w:t>2.1</w:t>
      </w:r>
      <w:r>
        <w:rPr>
          <w:rFonts w:hint="eastAsia" w:ascii="宋体" w:hAnsi="宋体" w:cs="宋体"/>
          <w:sz w:val="24"/>
          <w:szCs w:val="24"/>
        </w:rPr>
        <w:t>为确保协商工作公开、公平、公正，依法成立谈判小组。</w:t>
      </w:r>
      <w:r>
        <w:rPr>
          <w:rFonts w:ascii="宋体" w:hAnsi="宋体" w:cs="宋体"/>
          <w:sz w:val="24"/>
          <w:szCs w:val="24"/>
        </w:rPr>
        <w:t xml:space="preserve"> </w:t>
      </w:r>
      <w:r>
        <w:rPr>
          <w:rFonts w:hint="eastAsia" w:ascii="宋体" w:hAnsi="宋体" w:cs="宋体"/>
          <w:sz w:val="24"/>
          <w:szCs w:val="24"/>
        </w:rPr>
        <w:t>谈判小组应当为</w:t>
      </w:r>
      <w:r>
        <w:rPr>
          <w:rFonts w:ascii="宋体" w:hAnsi="宋体" w:cs="宋体"/>
          <w:sz w:val="24"/>
          <w:szCs w:val="24"/>
        </w:rPr>
        <w:t>3</w:t>
      </w:r>
      <w:r>
        <w:rPr>
          <w:rFonts w:hint="eastAsia" w:ascii="宋体" w:hAnsi="宋体" w:cs="宋体"/>
          <w:sz w:val="24"/>
          <w:szCs w:val="24"/>
        </w:rPr>
        <w:t>人（含）以上单数。谈判小组成员应当遵守并履行下列责任和义务：</w:t>
      </w:r>
    </w:p>
    <w:p>
      <w:pPr>
        <w:spacing w:line="360" w:lineRule="auto"/>
        <w:ind w:firstLine="420" w:firstLineChars="175"/>
        <w:jc w:val="left"/>
        <w:rPr>
          <w:rFonts w:ascii="宋体" w:cs="宋体"/>
          <w:sz w:val="24"/>
          <w:szCs w:val="24"/>
        </w:rPr>
      </w:pPr>
      <w:r>
        <w:rPr>
          <w:rFonts w:ascii="宋体" w:hAnsi="宋体" w:cs="宋体"/>
          <w:sz w:val="24"/>
          <w:szCs w:val="24"/>
        </w:rPr>
        <w:t>2.1.1</w:t>
      </w:r>
      <w:r>
        <w:rPr>
          <w:rFonts w:hint="eastAsia" w:ascii="宋体" w:hAnsi="宋体" w:cs="宋体"/>
          <w:sz w:val="24"/>
          <w:szCs w:val="24"/>
        </w:rPr>
        <w:t>遵纪守法，客观、公正、认真负责地履行职责，审查响应文件是否符合采购文件的要求，并做出评价；</w:t>
      </w:r>
    </w:p>
    <w:p>
      <w:pPr>
        <w:spacing w:line="360" w:lineRule="auto"/>
        <w:ind w:left="420"/>
        <w:jc w:val="left"/>
        <w:rPr>
          <w:rFonts w:ascii="宋体" w:cs="宋体"/>
          <w:sz w:val="24"/>
          <w:szCs w:val="24"/>
        </w:rPr>
      </w:pPr>
      <w:r>
        <w:rPr>
          <w:rFonts w:ascii="宋体" w:hAnsi="宋体" w:cs="宋体"/>
          <w:sz w:val="24"/>
          <w:szCs w:val="24"/>
        </w:rPr>
        <w:t>2.1.2</w:t>
      </w:r>
      <w:r>
        <w:rPr>
          <w:rFonts w:hint="eastAsia" w:ascii="宋体" w:hAnsi="宋体" w:cs="宋体"/>
          <w:sz w:val="24"/>
          <w:szCs w:val="24"/>
        </w:rPr>
        <w:t>要求供应商对响应文件有关事项作出解释或澄清；</w:t>
      </w:r>
    </w:p>
    <w:p>
      <w:pPr>
        <w:spacing w:line="360" w:lineRule="auto"/>
        <w:ind w:firstLine="420" w:firstLineChars="175"/>
        <w:jc w:val="left"/>
        <w:rPr>
          <w:rFonts w:ascii="宋体" w:cs="宋体"/>
          <w:sz w:val="24"/>
          <w:szCs w:val="24"/>
        </w:rPr>
      </w:pPr>
      <w:r>
        <w:rPr>
          <w:rFonts w:ascii="宋体" w:hAnsi="宋体" w:cs="宋体"/>
          <w:sz w:val="24"/>
          <w:szCs w:val="24"/>
        </w:rPr>
        <w:t>2.1.3</w:t>
      </w:r>
      <w:r>
        <w:rPr>
          <w:rFonts w:hint="eastAsia" w:ascii="宋体" w:hAnsi="宋体" w:cs="宋体"/>
          <w:sz w:val="24"/>
          <w:szCs w:val="24"/>
        </w:rPr>
        <w:t>按照采购文件的要求进行协商；</w:t>
      </w:r>
    </w:p>
    <w:p>
      <w:pPr>
        <w:spacing w:line="360" w:lineRule="auto"/>
        <w:ind w:left="420"/>
        <w:jc w:val="left"/>
        <w:rPr>
          <w:rFonts w:ascii="宋体" w:cs="宋体"/>
          <w:sz w:val="24"/>
          <w:szCs w:val="24"/>
        </w:rPr>
      </w:pPr>
      <w:r>
        <w:rPr>
          <w:rFonts w:ascii="宋体" w:hAnsi="宋体" w:cs="宋体"/>
          <w:sz w:val="24"/>
          <w:szCs w:val="24"/>
        </w:rPr>
        <w:t>2.1.4</w:t>
      </w:r>
      <w:r>
        <w:rPr>
          <w:rFonts w:hint="eastAsia" w:ascii="宋体" w:hAnsi="宋体" w:cs="宋体"/>
          <w:sz w:val="24"/>
          <w:szCs w:val="24"/>
        </w:rPr>
        <w:t>对协商过程和结果以及供应商的商业秘密保密；</w:t>
      </w:r>
    </w:p>
    <w:p>
      <w:pPr>
        <w:spacing w:line="360" w:lineRule="auto"/>
        <w:ind w:left="420"/>
        <w:jc w:val="left"/>
        <w:rPr>
          <w:rFonts w:ascii="宋体" w:cs="宋体"/>
          <w:sz w:val="24"/>
          <w:szCs w:val="24"/>
        </w:rPr>
      </w:pPr>
      <w:r>
        <w:rPr>
          <w:rFonts w:ascii="宋体" w:hAnsi="宋体" w:cs="宋体"/>
          <w:sz w:val="24"/>
          <w:szCs w:val="24"/>
        </w:rPr>
        <w:t>2.1.5</w:t>
      </w:r>
      <w:r>
        <w:rPr>
          <w:rFonts w:hint="eastAsia" w:ascii="宋体" w:hAnsi="宋体" w:cs="宋体"/>
          <w:sz w:val="24"/>
          <w:szCs w:val="24"/>
        </w:rPr>
        <w:t>参与协商情况记录的起草；</w:t>
      </w:r>
    </w:p>
    <w:p>
      <w:pPr>
        <w:spacing w:line="360" w:lineRule="auto"/>
        <w:ind w:left="420"/>
        <w:jc w:val="left"/>
        <w:rPr>
          <w:rFonts w:ascii="宋体" w:cs="宋体"/>
          <w:sz w:val="24"/>
          <w:szCs w:val="24"/>
        </w:rPr>
      </w:pPr>
      <w:r>
        <w:rPr>
          <w:rFonts w:ascii="宋体" w:hAnsi="宋体" w:cs="宋体"/>
          <w:sz w:val="24"/>
          <w:szCs w:val="24"/>
        </w:rPr>
        <w:t>2.1.6</w:t>
      </w:r>
      <w:r>
        <w:rPr>
          <w:rFonts w:hint="eastAsia" w:ascii="宋体" w:hAnsi="宋体" w:cs="宋体"/>
          <w:sz w:val="24"/>
          <w:szCs w:val="24"/>
        </w:rPr>
        <w:t>配合采购人、代理机构答复供应商提出的质疑；</w:t>
      </w:r>
    </w:p>
    <w:p>
      <w:pPr>
        <w:spacing w:line="360" w:lineRule="auto"/>
        <w:ind w:left="420"/>
        <w:jc w:val="left"/>
        <w:rPr>
          <w:rFonts w:ascii="宋体" w:cs="宋体"/>
          <w:kern w:val="0"/>
          <w:sz w:val="24"/>
          <w:szCs w:val="24"/>
        </w:rPr>
      </w:pPr>
      <w:r>
        <w:rPr>
          <w:rFonts w:ascii="宋体" w:hAnsi="宋体" w:cs="宋体"/>
          <w:sz w:val="24"/>
          <w:szCs w:val="24"/>
        </w:rPr>
        <w:t>2.1.7</w:t>
      </w:r>
      <w:r>
        <w:rPr>
          <w:rFonts w:hint="eastAsia" w:ascii="宋体" w:hAnsi="宋体" w:cs="宋体"/>
          <w:sz w:val="24"/>
          <w:szCs w:val="24"/>
        </w:rPr>
        <w:t>配合财政部门处理投诉工作；</w:t>
      </w:r>
    </w:p>
    <w:p>
      <w:pPr>
        <w:pStyle w:val="4"/>
        <w:numPr>
          <w:ilvl w:val="0"/>
          <w:numId w:val="13"/>
        </w:numPr>
        <w:spacing w:line="500" w:lineRule="exact"/>
        <w:ind w:firstLine="643" w:firstLineChars="200"/>
        <w:rPr>
          <w:rFonts w:ascii="宋体" w:cs="宋体"/>
          <w:szCs w:val="28"/>
        </w:rPr>
      </w:pPr>
      <w:bookmarkStart w:id="45" w:name="_Toc385958808"/>
      <w:bookmarkStart w:id="46" w:name="_Toc386129876"/>
      <w:bookmarkStart w:id="47" w:name="_Toc28085"/>
      <w:bookmarkStart w:id="48" w:name="_Toc27940"/>
      <w:r>
        <w:rPr>
          <w:rFonts w:hint="eastAsia" w:ascii="宋体" w:hAnsi="宋体" w:cs="宋体"/>
          <w:szCs w:val="28"/>
        </w:rPr>
        <w:t>响应文件初审</w:t>
      </w:r>
      <w:bookmarkEnd w:id="45"/>
      <w:bookmarkEnd w:id="46"/>
      <w:bookmarkEnd w:id="47"/>
      <w:bookmarkEnd w:id="48"/>
    </w:p>
    <w:p>
      <w:pPr>
        <w:overflowPunct w:val="0"/>
        <w:adjustRightInd w:val="0"/>
        <w:snapToGrid w:val="0"/>
        <w:spacing w:line="500" w:lineRule="exact"/>
        <w:ind w:left="420"/>
        <w:rPr>
          <w:rFonts w:ascii="宋体" w:cs="宋体"/>
          <w:kern w:val="0"/>
          <w:sz w:val="24"/>
          <w:szCs w:val="24"/>
        </w:rPr>
      </w:pPr>
      <w:r>
        <w:rPr>
          <w:rFonts w:ascii="宋体" w:hAnsi="宋体" w:cs="宋体"/>
          <w:kern w:val="0"/>
          <w:sz w:val="24"/>
          <w:szCs w:val="24"/>
        </w:rPr>
        <w:t xml:space="preserve"> 3.1 </w:t>
      </w:r>
      <w:r>
        <w:rPr>
          <w:rFonts w:hint="eastAsia" w:ascii="宋体" w:hAnsi="宋体" w:cs="宋体"/>
          <w:kern w:val="0"/>
          <w:sz w:val="24"/>
          <w:szCs w:val="24"/>
        </w:rPr>
        <w:t>供应商的资格性审查</w:t>
      </w:r>
    </w:p>
    <w:p>
      <w:pPr>
        <w:overflowPunct w:val="0"/>
        <w:adjustRightInd w:val="0"/>
        <w:snapToGrid w:val="0"/>
        <w:spacing w:line="500" w:lineRule="exact"/>
        <w:ind w:firstLine="480" w:firstLineChars="200"/>
        <w:rPr>
          <w:rFonts w:ascii="宋体" w:cs="宋体"/>
          <w:color w:val="000000"/>
          <w:kern w:val="0"/>
          <w:sz w:val="24"/>
          <w:szCs w:val="24"/>
        </w:rPr>
      </w:pPr>
      <w:r>
        <w:rPr>
          <w:rFonts w:hint="eastAsia" w:ascii="宋体" w:hAnsi="宋体" w:cs="宋体"/>
          <w:kern w:val="0"/>
          <w:sz w:val="24"/>
          <w:szCs w:val="24"/>
        </w:rPr>
        <w:t>依据法律法规和采购文件的规定</w:t>
      </w:r>
      <w:r>
        <w:rPr>
          <w:rFonts w:hint="eastAsia" w:ascii="宋体" w:hAnsi="宋体" w:cs="宋体"/>
          <w:color w:val="000000"/>
          <w:kern w:val="0"/>
          <w:sz w:val="24"/>
          <w:szCs w:val="24"/>
        </w:rPr>
        <w:t>，由谈判小组对供应商的资格证明文件进行审查，以确保供应商是否具备相应资格。</w:t>
      </w:r>
    </w:p>
    <w:p>
      <w:pPr>
        <w:overflowPunct w:val="0"/>
        <w:adjustRightInd w:val="0"/>
        <w:snapToGrid w:val="0"/>
        <w:spacing w:line="500" w:lineRule="exact"/>
        <w:ind w:left="420"/>
        <w:rPr>
          <w:rFonts w:ascii="宋体" w:cs="宋体"/>
          <w:color w:val="000000"/>
          <w:kern w:val="0"/>
          <w:sz w:val="24"/>
          <w:szCs w:val="24"/>
        </w:rPr>
      </w:pPr>
      <w:r>
        <w:rPr>
          <w:rFonts w:ascii="宋体" w:hAnsi="宋体" w:cs="宋体"/>
          <w:color w:val="000000"/>
          <w:kern w:val="0"/>
          <w:sz w:val="24"/>
          <w:szCs w:val="24"/>
        </w:rPr>
        <w:t xml:space="preserve"> 3.2 </w:t>
      </w:r>
      <w:r>
        <w:rPr>
          <w:rFonts w:hint="eastAsia" w:ascii="宋体" w:hAnsi="宋体" w:cs="宋体"/>
          <w:color w:val="000000"/>
          <w:kern w:val="0"/>
          <w:sz w:val="24"/>
          <w:szCs w:val="24"/>
        </w:rPr>
        <w:t>响应文件符合性审查</w:t>
      </w:r>
    </w:p>
    <w:p>
      <w:pPr>
        <w:tabs>
          <w:tab w:val="left" w:pos="0"/>
        </w:tabs>
        <w:spacing w:line="500" w:lineRule="exact"/>
        <w:ind w:firstLine="420" w:firstLineChars="175"/>
        <w:jc w:val="left"/>
        <w:rPr>
          <w:rFonts w:ascii="宋体" w:hAnsi="宋体" w:cs="宋体"/>
          <w:kern w:val="0"/>
          <w:sz w:val="24"/>
          <w:szCs w:val="24"/>
        </w:rPr>
      </w:pPr>
      <w:r>
        <w:rPr>
          <w:rFonts w:hint="eastAsia" w:ascii="宋体" w:hAnsi="宋体" w:cs="宋体"/>
          <w:kern w:val="0"/>
          <w:sz w:val="24"/>
          <w:szCs w:val="24"/>
        </w:rPr>
        <w:t>谈判小组应当对符合资格的供应商的响应文件进行符合性审查，以确定其是否满足采购文件的实质性要求。符合性审查内容详见供应商须知前附表。</w:t>
      </w:r>
    </w:p>
    <w:p>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sz w:val="24"/>
          <w:szCs w:val="24"/>
        </w:rPr>
        <w:t>3.3</w:t>
      </w:r>
      <w:r>
        <w:rPr>
          <w:rFonts w:hint="eastAsia" w:hAnsi="宋体"/>
          <w:sz w:val="24"/>
          <w:szCs w:val="24"/>
        </w:rPr>
        <w:t>对通过审查的，被认为其响应文件完整、合格，有效，可进入下阶段的协商。</w:t>
      </w:r>
      <w:r>
        <w:rPr>
          <w:rFonts w:hint="eastAsia" w:ascii="宋体" w:hAnsi="宋体" w:cs="宋体"/>
          <w:sz w:val="24"/>
          <w:szCs w:val="24"/>
        </w:rPr>
        <w:t xml:space="preserve"> </w:t>
      </w:r>
    </w:p>
    <w:p>
      <w:pPr>
        <w:pStyle w:val="4"/>
        <w:numPr>
          <w:ilvl w:val="0"/>
          <w:numId w:val="13"/>
        </w:numPr>
        <w:spacing w:line="500" w:lineRule="exact"/>
        <w:ind w:firstLine="643" w:firstLineChars="200"/>
        <w:rPr>
          <w:rFonts w:ascii="宋体" w:cs="宋体"/>
          <w:szCs w:val="28"/>
        </w:rPr>
      </w:pPr>
      <w:bookmarkStart w:id="49" w:name="_Toc17705"/>
      <w:r>
        <w:rPr>
          <w:rFonts w:hint="eastAsia" w:ascii="宋体" w:hAnsi="宋体" w:cs="宋体"/>
          <w:szCs w:val="28"/>
        </w:rPr>
        <w:t>响应文件澄清</w:t>
      </w:r>
      <w:bookmarkEnd w:id="49"/>
    </w:p>
    <w:p>
      <w:pPr>
        <w:overflowPunct w:val="0"/>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4.1 </w:t>
      </w:r>
      <w:r>
        <w:rPr>
          <w:rFonts w:hint="eastAsia" w:ascii="宋体" w:hAnsi="宋体" w:cs="宋体"/>
          <w:sz w:val="24"/>
          <w:szCs w:val="24"/>
        </w:rPr>
        <w:t>在协商期间</w:t>
      </w:r>
      <w:r>
        <w:rPr>
          <w:rFonts w:ascii="宋体" w:cs="宋体"/>
          <w:sz w:val="24"/>
          <w:szCs w:val="24"/>
        </w:rPr>
        <w:t>,</w:t>
      </w:r>
      <w:r>
        <w:rPr>
          <w:rFonts w:hint="eastAsia" w:ascii="宋体" w:hAnsi="宋体" w:cs="宋体"/>
          <w:sz w:val="24"/>
          <w:szCs w:val="24"/>
        </w:rPr>
        <w:t>采购代理机构可根据谈判小组对其响应文件有疑义不清楚的内容，要求供应商对其响应文件进行澄清。</w:t>
      </w:r>
    </w:p>
    <w:p>
      <w:pPr>
        <w:spacing w:line="500" w:lineRule="exact"/>
        <w:ind w:firstLine="480" w:firstLineChars="200"/>
        <w:rPr>
          <w:rFonts w:ascii="宋体" w:cs="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供应商必须按照谈判小组通知的内容和时间做出书面答复，该答复经法定代表人或供应商代表的签字认可，将作为响应文件内容的一部分。供应商拒不按照要求对响应文件进行澄清、说明或者补正的，供应商将自行承担无效响应的风险。</w:t>
      </w:r>
      <w:r>
        <w:rPr>
          <w:rFonts w:ascii="宋体" w:hAnsi="宋体" w:cs="宋体"/>
          <w:kern w:val="0"/>
          <w:sz w:val="24"/>
          <w:szCs w:val="24"/>
        </w:rPr>
        <w:t xml:space="preserve"> </w:t>
      </w:r>
    </w:p>
    <w:p>
      <w:pPr>
        <w:pStyle w:val="4"/>
        <w:numPr>
          <w:ilvl w:val="0"/>
          <w:numId w:val="13"/>
        </w:numPr>
        <w:spacing w:line="500" w:lineRule="exact"/>
        <w:ind w:firstLine="643" w:firstLineChars="200"/>
        <w:rPr>
          <w:rFonts w:ascii="宋体" w:cs="宋体"/>
          <w:szCs w:val="28"/>
        </w:rPr>
      </w:pPr>
      <w:r>
        <w:rPr>
          <w:rFonts w:hint="eastAsia" w:ascii="宋体" w:cs="宋体"/>
          <w:szCs w:val="28"/>
        </w:rPr>
        <w:t>协商</w:t>
      </w:r>
    </w:p>
    <w:p>
      <w:pPr>
        <w:spacing w:line="360" w:lineRule="auto"/>
        <w:ind w:firstLine="480" w:firstLineChars="200"/>
        <w:rPr>
          <w:rFonts w:ascii="宋体" w:hAnsi="宋体" w:cs="宋体"/>
          <w:sz w:val="24"/>
          <w:szCs w:val="24"/>
        </w:rPr>
      </w:pPr>
      <w:r>
        <w:rPr>
          <w:rFonts w:hint="eastAsia" w:ascii="宋体" w:hAnsi="宋体" w:cs="宋体"/>
          <w:sz w:val="24"/>
          <w:szCs w:val="24"/>
        </w:rPr>
        <w:t>谈判小组应严格按照采购文件的要求和条件进行；具体协商原则和成交条件详见采购文件第四部分“评审办法”。</w:t>
      </w:r>
    </w:p>
    <w:p>
      <w:pPr>
        <w:pStyle w:val="4"/>
        <w:numPr>
          <w:ilvl w:val="0"/>
          <w:numId w:val="13"/>
        </w:numPr>
        <w:spacing w:line="500" w:lineRule="exact"/>
        <w:ind w:firstLine="643" w:firstLineChars="200"/>
        <w:rPr>
          <w:rFonts w:ascii="宋体" w:cs="宋体"/>
          <w:szCs w:val="28"/>
        </w:rPr>
      </w:pPr>
      <w:r>
        <w:rPr>
          <w:rFonts w:hint="eastAsia" w:ascii="宋体" w:cs="宋体"/>
          <w:szCs w:val="28"/>
        </w:rPr>
        <w:t>确认协商记录</w:t>
      </w:r>
    </w:p>
    <w:p>
      <w:pPr>
        <w:spacing w:line="500" w:lineRule="exact"/>
        <w:ind w:firstLine="480" w:firstLineChars="200"/>
        <w:jc w:val="left"/>
        <w:rPr>
          <w:rFonts w:ascii="宋体" w:cs="宋体"/>
          <w:sz w:val="24"/>
          <w:szCs w:val="24"/>
        </w:rPr>
      </w:pPr>
      <w:r>
        <w:rPr>
          <w:rFonts w:ascii="宋体" w:hAnsi="宋体" w:cs="宋体"/>
          <w:sz w:val="24"/>
          <w:szCs w:val="24"/>
        </w:rPr>
        <w:t>6.1</w:t>
      </w:r>
      <w:r>
        <w:rPr>
          <w:rFonts w:hint="eastAsia" w:ascii="宋体" w:hAnsi="宋体" w:cs="宋体"/>
          <w:sz w:val="24"/>
          <w:szCs w:val="24"/>
        </w:rPr>
        <w:t>代理机构在协商结束后</w:t>
      </w:r>
      <w:r>
        <w:rPr>
          <w:rFonts w:ascii="宋体" w:hAnsi="宋体" w:cs="宋体"/>
          <w:sz w:val="24"/>
          <w:szCs w:val="24"/>
        </w:rPr>
        <w:t>2</w:t>
      </w:r>
      <w:r>
        <w:rPr>
          <w:rFonts w:hint="eastAsia" w:ascii="宋体" w:hAnsi="宋体" w:cs="宋体"/>
          <w:sz w:val="24"/>
          <w:szCs w:val="24"/>
        </w:rPr>
        <w:t>个工作日内将协商情况报告送达采购单位，采购单位在收到协商情况报告后</w:t>
      </w:r>
      <w:r>
        <w:rPr>
          <w:rFonts w:ascii="宋体" w:hAnsi="宋体" w:cs="宋体"/>
          <w:sz w:val="24"/>
          <w:szCs w:val="24"/>
        </w:rPr>
        <w:t>5</w:t>
      </w:r>
      <w:r>
        <w:rPr>
          <w:rFonts w:hint="eastAsia" w:ascii="宋体" w:hAnsi="宋体" w:cs="宋体"/>
          <w:sz w:val="24"/>
          <w:szCs w:val="24"/>
        </w:rPr>
        <w:t>个工作日内，按照协商情况报告确认结果，同时书面复函代理机构；</w:t>
      </w:r>
    </w:p>
    <w:p>
      <w:pPr>
        <w:spacing w:line="500" w:lineRule="exact"/>
        <w:ind w:firstLine="480" w:firstLineChars="200"/>
        <w:jc w:val="left"/>
        <w:rPr>
          <w:rFonts w:ascii="宋体" w:cs="宋体"/>
          <w:sz w:val="24"/>
          <w:szCs w:val="24"/>
        </w:rPr>
      </w:pPr>
      <w:r>
        <w:rPr>
          <w:rFonts w:ascii="宋体" w:hAnsi="宋体" w:cs="宋体"/>
          <w:sz w:val="24"/>
          <w:szCs w:val="24"/>
        </w:rPr>
        <w:t>6.2</w:t>
      </w:r>
      <w:r>
        <w:rPr>
          <w:rFonts w:hint="eastAsia" w:ascii="宋体" w:hAnsi="宋体" w:cs="宋体"/>
          <w:sz w:val="24"/>
          <w:szCs w:val="24"/>
        </w:rPr>
        <w:t>代理机构收到采购单位“成交复函”后</w:t>
      </w:r>
      <w:r>
        <w:rPr>
          <w:rFonts w:ascii="宋体" w:hAnsi="宋体" w:cs="宋体"/>
          <w:sz w:val="24"/>
          <w:szCs w:val="24"/>
        </w:rPr>
        <w:t>2</w:t>
      </w:r>
      <w:r>
        <w:rPr>
          <w:rFonts w:hint="eastAsia" w:ascii="宋体" w:hAnsi="宋体" w:cs="宋体"/>
          <w:sz w:val="24"/>
          <w:szCs w:val="24"/>
        </w:rPr>
        <w:t>个工作日内，在财政部门指定的政府采购信息媒体上发布公告，并向供应商发出“成交通知书”。</w:t>
      </w:r>
    </w:p>
    <w:p>
      <w:pPr>
        <w:widowControl/>
        <w:spacing w:beforeLines="50" w:afterLines="50" w:line="500" w:lineRule="exact"/>
        <w:jc w:val="center"/>
        <w:outlineLvl w:val="1"/>
        <w:rPr>
          <w:rFonts w:ascii="宋体" w:cs="宋体"/>
          <w:b/>
          <w:bCs/>
          <w:kern w:val="0"/>
          <w:sz w:val="32"/>
          <w:szCs w:val="28"/>
        </w:rPr>
      </w:pPr>
      <w:bookmarkStart w:id="50" w:name="_Toc19972"/>
      <w:bookmarkStart w:id="51" w:name="_Toc25308"/>
      <w:bookmarkStart w:id="52" w:name="_Toc7695"/>
      <w:r>
        <w:rPr>
          <w:rFonts w:hint="eastAsia" w:ascii="宋体" w:hAnsi="宋体" w:cs="宋体"/>
          <w:b/>
          <w:bCs/>
          <w:kern w:val="0"/>
          <w:sz w:val="32"/>
          <w:szCs w:val="28"/>
        </w:rPr>
        <w:t>六、签订合同</w:t>
      </w:r>
      <w:bookmarkEnd w:id="50"/>
      <w:bookmarkEnd w:id="51"/>
      <w:bookmarkEnd w:id="52"/>
    </w:p>
    <w:p>
      <w:pPr>
        <w:spacing w:line="360" w:lineRule="auto"/>
        <w:ind w:firstLine="420" w:firstLineChars="175"/>
        <w:jc w:val="left"/>
        <w:rPr>
          <w:rFonts w:hint="eastAsia" w:ascii="宋体" w:cs="宋体"/>
          <w:sz w:val="24"/>
        </w:rPr>
      </w:pPr>
      <w:bookmarkStart w:id="53" w:name="_Toc3298"/>
      <w:r>
        <w:rPr>
          <w:rFonts w:ascii="宋体" w:cs="宋体"/>
          <w:sz w:val="24"/>
        </w:rPr>
        <w:t xml:space="preserve">6.1 </w:t>
      </w:r>
      <w:r>
        <w:rPr>
          <w:rFonts w:hint="eastAsia" w:ascii="宋体" w:cs="宋体"/>
          <w:sz w:val="24"/>
        </w:rPr>
        <w:t>成交后，成交供应商与采购人洽谈合同条款，并签订供货合同，同时送代理机构归档，单一来源采购文件及成交供应商的响应文件均作为合同的组成部分。</w:t>
      </w:r>
    </w:p>
    <w:p>
      <w:pPr>
        <w:spacing w:line="360" w:lineRule="auto"/>
        <w:ind w:firstLine="420" w:firstLineChars="175"/>
        <w:jc w:val="left"/>
        <w:rPr>
          <w:rFonts w:ascii="宋体" w:cs="宋体"/>
          <w:sz w:val="24"/>
        </w:rPr>
      </w:pPr>
      <w:r>
        <w:rPr>
          <w:rFonts w:hint="eastAsia" w:ascii="宋体" w:cs="宋体"/>
          <w:sz w:val="24"/>
        </w:rPr>
        <w:t>待合同执行完毕、验收合格后凭验收单和缴款收据，合同履约保证金予以无息退还。如遇下列情况之一者，合同履约保证金不予退还，作为对招标人的赔偿：</w:t>
      </w:r>
    </w:p>
    <w:p>
      <w:pPr>
        <w:spacing w:line="360" w:lineRule="auto"/>
        <w:ind w:firstLine="420" w:firstLineChars="175"/>
        <w:jc w:val="left"/>
        <w:rPr>
          <w:rFonts w:ascii="宋体" w:cs="宋体"/>
          <w:sz w:val="24"/>
        </w:rPr>
      </w:pPr>
      <w:r>
        <w:rPr>
          <w:rFonts w:hint="eastAsia" w:ascii="宋体" w:cs="宋体"/>
          <w:sz w:val="24"/>
        </w:rPr>
        <w:t>（1）合同签订后不能按合同时限要求供货或安装调试的；</w:t>
      </w:r>
    </w:p>
    <w:p>
      <w:pPr>
        <w:spacing w:line="360" w:lineRule="auto"/>
        <w:ind w:firstLine="420" w:firstLineChars="175"/>
        <w:jc w:val="left"/>
        <w:rPr>
          <w:rFonts w:ascii="宋体" w:cs="宋体"/>
          <w:sz w:val="24"/>
        </w:rPr>
      </w:pPr>
      <w:r>
        <w:rPr>
          <w:rFonts w:hint="eastAsia" w:ascii="宋体" w:cs="宋体"/>
          <w:sz w:val="24"/>
        </w:rPr>
        <w:t>（2）与合同不符或验收不合格的；</w:t>
      </w:r>
    </w:p>
    <w:p>
      <w:pPr>
        <w:spacing w:line="360" w:lineRule="auto"/>
        <w:ind w:firstLine="420" w:firstLineChars="175"/>
        <w:jc w:val="left"/>
        <w:rPr>
          <w:rFonts w:ascii="宋体" w:cs="宋体"/>
          <w:sz w:val="24"/>
        </w:rPr>
      </w:pPr>
      <w:r>
        <w:rPr>
          <w:rFonts w:hint="eastAsia" w:ascii="宋体" w:cs="宋体"/>
          <w:sz w:val="24"/>
        </w:rPr>
        <w:t>（3）不能按合同履约的。</w:t>
      </w:r>
    </w:p>
    <w:p>
      <w:pPr>
        <w:spacing w:line="360" w:lineRule="auto"/>
        <w:jc w:val="left"/>
        <w:rPr>
          <w:rFonts w:ascii="宋体" w:cs="宋体"/>
          <w:sz w:val="24"/>
        </w:rPr>
      </w:pPr>
      <w:r>
        <w:rPr>
          <w:rFonts w:ascii="宋体" w:cs="宋体"/>
          <w:sz w:val="24"/>
        </w:rPr>
        <w:t xml:space="preserve">   6.2</w:t>
      </w:r>
      <w:r>
        <w:rPr>
          <w:rFonts w:hint="eastAsia" w:ascii="宋体" w:cs="宋体"/>
          <w:sz w:val="24"/>
        </w:rPr>
        <w:t>根据需要，代理机构应协助采购人监督、协调和处理履约过程中出现的问题。</w:t>
      </w:r>
    </w:p>
    <w:p>
      <w:pPr>
        <w:spacing w:line="360" w:lineRule="auto"/>
        <w:ind w:firstLine="420" w:firstLineChars="175"/>
        <w:jc w:val="left"/>
        <w:rPr>
          <w:rFonts w:ascii="宋体" w:cs="宋体"/>
          <w:sz w:val="24"/>
        </w:rPr>
      </w:pPr>
      <w:r>
        <w:rPr>
          <w:rFonts w:ascii="宋体" w:cs="宋体"/>
          <w:sz w:val="24"/>
        </w:rPr>
        <w:t>6.3</w:t>
      </w:r>
      <w:r>
        <w:rPr>
          <w:rFonts w:hint="eastAsia" w:ascii="宋体" w:cs="宋体"/>
          <w:sz w:val="24"/>
        </w:rPr>
        <w:t>陕西省财政厅政府采购管理处在合同履行期间以及履行期后，可以随时检查项目的执行情况，对采购标准、采购内容进行调查核实，并对发现的问题进行处理。</w:t>
      </w:r>
    </w:p>
    <w:p>
      <w:pPr>
        <w:pStyle w:val="2"/>
        <w:pageBreakBefore/>
        <w:numPr>
          <w:ilvl w:val="0"/>
          <w:numId w:val="15"/>
        </w:numPr>
        <w:spacing w:beforeLines="100" w:afterLines="100" w:line="500" w:lineRule="exact"/>
        <w:rPr>
          <w:rFonts w:ascii="宋体" w:cs="宋体"/>
          <w:color w:val="000000"/>
          <w:sz w:val="36"/>
          <w:szCs w:val="36"/>
        </w:rPr>
      </w:pPr>
      <w:bookmarkStart w:id="54" w:name="_Toc16321"/>
      <w:r>
        <w:rPr>
          <w:rFonts w:hint="eastAsia" w:ascii="宋体" w:hAnsi="宋体" w:cs="宋体"/>
          <w:color w:val="000000"/>
          <w:sz w:val="36"/>
          <w:szCs w:val="36"/>
        </w:rPr>
        <w:t>分</w:t>
      </w:r>
      <w:r>
        <w:rPr>
          <w:rFonts w:ascii="宋体" w:hAnsi="宋体" w:cs="宋体"/>
          <w:color w:val="000000"/>
          <w:sz w:val="36"/>
          <w:szCs w:val="36"/>
        </w:rPr>
        <w:t xml:space="preserve">  </w:t>
      </w:r>
      <w:bookmarkEnd w:id="53"/>
      <w:r>
        <w:rPr>
          <w:rFonts w:hint="eastAsia" w:ascii="宋体" w:hAnsi="宋体" w:cs="宋体"/>
          <w:color w:val="000000"/>
          <w:sz w:val="36"/>
          <w:szCs w:val="36"/>
        </w:rPr>
        <w:t>评审办法</w:t>
      </w:r>
      <w:bookmarkEnd w:id="54"/>
    </w:p>
    <w:p>
      <w:pPr>
        <w:spacing w:line="360" w:lineRule="auto"/>
        <w:ind w:firstLine="482" w:firstLineChars="200"/>
        <w:rPr>
          <w:b/>
          <w:bCs/>
          <w:sz w:val="24"/>
          <w:szCs w:val="24"/>
        </w:rPr>
      </w:pPr>
      <w:r>
        <w:rPr>
          <w:rFonts w:hint="eastAsia"/>
          <w:b/>
          <w:bCs/>
          <w:sz w:val="24"/>
          <w:szCs w:val="24"/>
        </w:rPr>
        <w:t>1、评定原则：</w:t>
      </w:r>
    </w:p>
    <w:p>
      <w:pPr>
        <w:spacing w:line="360" w:lineRule="auto"/>
        <w:ind w:firstLine="480"/>
        <w:rPr>
          <w:rFonts w:ascii="宋体" w:hAnsi="宋体"/>
          <w:sz w:val="24"/>
          <w:szCs w:val="24"/>
        </w:rPr>
      </w:pPr>
      <w:r>
        <w:rPr>
          <w:rFonts w:hint="eastAsia"/>
          <w:sz w:val="24"/>
          <w:szCs w:val="24"/>
        </w:rPr>
        <w:t>1.</w:t>
      </w:r>
      <w:r>
        <w:rPr>
          <w:rFonts w:ascii="宋体" w:hAnsi="宋体"/>
          <w:sz w:val="24"/>
          <w:szCs w:val="24"/>
        </w:rPr>
        <w:t>采取单一来源方式采购的，</w:t>
      </w:r>
      <w:r>
        <w:rPr>
          <w:rFonts w:hint="eastAsia" w:ascii="宋体" w:hAnsi="宋体"/>
          <w:sz w:val="24"/>
          <w:szCs w:val="24"/>
        </w:rPr>
        <w:t>采购人与供应商应当</w:t>
      </w:r>
      <w:r>
        <w:rPr>
          <w:rFonts w:ascii="宋体" w:hAnsi="宋体"/>
          <w:sz w:val="24"/>
          <w:szCs w:val="24"/>
        </w:rPr>
        <w:t>在保证采购项目质量和双方商定合理价格的基础上进行采购。</w:t>
      </w:r>
    </w:p>
    <w:p>
      <w:pPr>
        <w:spacing w:line="360" w:lineRule="auto"/>
        <w:ind w:firstLine="480"/>
        <w:rPr>
          <w:sz w:val="24"/>
          <w:szCs w:val="24"/>
        </w:rPr>
      </w:pPr>
      <w:r>
        <w:rPr>
          <w:rFonts w:hint="eastAsia"/>
          <w:b/>
          <w:bCs/>
          <w:sz w:val="24"/>
          <w:szCs w:val="24"/>
        </w:rPr>
        <w:t>2、谈判方式及程序：</w:t>
      </w:r>
    </w:p>
    <w:p>
      <w:pPr>
        <w:spacing w:line="360" w:lineRule="auto"/>
        <w:rPr>
          <w:sz w:val="24"/>
          <w:szCs w:val="24"/>
        </w:rPr>
      </w:pPr>
      <w:r>
        <w:rPr>
          <w:rFonts w:hint="eastAsia"/>
          <w:sz w:val="24"/>
          <w:szCs w:val="24"/>
        </w:rPr>
        <w:t xml:space="preserve">    2.1.初审和初评：由谈判小组对参谈供应商提供的文件资料进行初审和初评。</w:t>
      </w:r>
    </w:p>
    <w:p>
      <w:pPr>
        <w:spacing w:line="360" w:lineRule="auto"/>
        <w:rPr>
          <w:sz w:val="24"/>
          <w:szCs w:val="24"/>
        </w:rPr>
      </w:pPr>
      <w:r>
        <w:rPr>
          <w:rFonts w:hint="eastAsia"/>
          <w:sz w:val="24"/>
          <w:szCs w:val="24"/>
        </w:rPr>
        <w:t xml:space="preserve">    2.2.第一轮谈判：对参谈供应商再次进行评审、质疑和澄清。在此阶段，谈判小组依据参谈供应商递交的文件资料进行服务和商务谈判，根据评审情况要求参谈供应商进行重新承诺服务和第二次报价，以满足采购人最大需求。</w:t>
      </w:r>
    </w:p>
    <w:p>
      <w:pPr>
        <w:spacing w:line="360" w:lineRule="auto"/>
        <w:rPr>
          <w:sz w:val="24"/>
          <w:szCs w:val="24"/>
        </w:rPr>
      </w:pPr>
      <w:r>
        <w:rPr>
          <w:rFonts w:hint="eastAsia"/>
          <w:sz w:val="24"/>
          <w:szCs w:val="24"/>
        </w:rPr>
        <w:t xml:space="preserve">    2.3.第二轮谈判：对第一轮谈判结果不满意，谈判小组可以再次要求参谈供应商进行第二轮谈判，谈判内容及要求跟第一轮谈判一样。</w:t>
      </w:r>
    </w:p>
    <w:p>
      <w:pPr>
        <w:spacing w:line="360" w:lineRule="auto"/>
        <w:rPr>
          <w:sz w:val="24"/>
          <w:szCs w:val="24"/>
        </w:rPr>
      </w:pPr>
      <w:r>
        <w:rPr>
          <w:rFonts w:hint="eastAsia"/>
          <w:sz w:val="24"/>
          <w:szCs w:val="24"/>
        </w:rPr>
        <w:t xml:space="preserve">    2. 4.谈判轮次最多不得超过三轮。</w:t>
      </w:r>
    </w:p>
    <w:p>
      <w:pPr>
        <w:spacing w:line="360" w:lineRule="auto"/>
        <w:rPr>
          <w:sz w:val="24"/>
          <w:szCs w:val="24"/>
        </w:rPr>
      </w:pPr>
      <w:r>
        <w:rPr>
          <w:rFonts w:hint="eastAsia"/>
          <w:sz w:val="24"/>
          <w:szCs w:val="24"/>
        </w:rPr>
        <w:t xml:space="preserve">    2.5.最终报价：谈判结束前，谈判小组需对参谈供应商要求一次最后的报价。</w:t>
      </w:r>
    </w:p>
    <w:p>
      <w:pPr>
        <w:spacing w:line="360" w:lineRule="auto"/>
        <w:rPr>
          <w:sz w:val="24"/>
          <w:szCs w:val="24"/>
        </w:rPr>
      </w:pPr>
      <w:r>
        <w:rPr>
          <w:rFonts w:hint="eastAsia"/>
          <w:sz w:val="24"/>
          <w:szCs w:val="24"/>
        </w:rPr>
        <w:t xml:space="preserve">    2. 6.如果谈判小组对最终结果还是不满意的，谈判小组有权决定拒绝谈判。</w:t>
      </w:r>
    </w:p>
    <w:p>
      <w:pPr>
        <w:spacing w:line="360" w:lineRule="auto"/>
        <w:rPr>
          <w:sz w:val="24"/>
          <w:szCs w:val="24"/>
        </w:rPr>
      </w:pPr>
      <w:r>
        <w:rPr>
          <w:rFonts w:hint="eastAsia"/>
          <w:sz w:val="24"/>
          <w:szCs w:val="24"/>
        </w:rPr>
        <w:t xml:space="preserve">    2.7.谈判时，供应商应派代表参加谈判。参谈供应商人员必须在由采购代理机构指定的地点，并及时解释和澄清参谈文件内容及重新承诺书等。</w:t>
      </w:r>
    </w:p>
    <w:p>
      <w:pPr>
        <w:spacing w:line="360" w:lineRule="auto"/>
        <w:rPr>
          <w:sz w:val="24"/>
          <w:szCs w:val="24"/>
        </w:rPr>
      </w:pPr>
      <w:r>
        <w:rPr>
          <w:rFonts w:hint="eastAsia"/>
          <w:b/>
          <w:bCs/>
          <w:sz w:val="24"/>
          <w:szCs w:val="24"/>
        </w:rPr>
        <w:t>3、成交原则</w:t>
      </w:r>
      <w:r>
        <w:rPr>
          <w:rFonts w:hint="eastAsia"/>
          <w:sz w:val="24"/>
          <w:szCs w:val="24"/>
        </w:rPr>
        <w:t>：采取单一来源方式采购的，采购人与供应商应当在保证采购项目质量和双方商定合理价格的基础上进行采购。</w:t>
      </w:r>
    </w:p>
    <w:p>
      <w:pPr>
        <w:spacing w:line="360" w:lineRule="auto"/>
      </w:pPr>
    </w:p>
    <w:p>
      <w:pPr>
        <w:pStyle w:val="2"/>
        <w:pageBreakBefore/>
        <w:numPr>
          <w:ilvl w:val="0"/>
          <w:numId w:val="16"/>
        </w:numPr>
        <w:spacing w:beforeLines="100" w:afterLines="100" w:line="500" w:lineRule="exact"/>
        <w:rPr>
          <w:rFonts w:ascii="宋体" w:hAnsi="宋体" w:cs="宋体"/>
          <w:sz w:val="36"/>
          <w:szCs w:val="36"/>
        </w:rPr>
      </w:pPr>
      <w:r>
        <w:rPr>
          <w:rFonts w:ascii="宋体" w:hAnsi="宋体" w:cs="宋体"/>
          <w:sz w:val="36"/>
          <w:szCs w:val="36"/>
        </w:rPr>
        <w:t xml:space="preserve">  </w:t>
      </w:r>
      <w:bookmarkStart w:id="55" w:name="_Toc24845"/>
      <w:r>
        <w:rPr>
          <w:rFonts w:hint="eastAsia" w:ascii="宋体" w:hAnsi="宋体" w:cs="宋体"/>
          <w:sz w:val="36"/>
          <w:szCs w:val="36"/>
        </w:rPr>
        <w:t>采购要求</w:t>
      </w:r>
      <w:bookmarkEnd w:id="55"/>
    </w:p>
    <w:p>
      <w:pPr>
        <w:spacing w:line="360" w:lineRule="auto"/>
        <w:ind w:firstLine="480" w:firstLineChars="200"/>
        <w:rPr>
          <w:rFonts w:ascii="宋体" w:hAnsi="宋体" w:cs="宋体"/>
          <w:sz w:val="24"/>
          <w:szCs w:val="24"/>
        </w:rPr>
      </w:pPr>
      <w:bookmarkStart w:id="56" w:name="_Hlk535327525"/>
      <w:r>
        <w:rPr>
          <w:rFonts w:hint="eastAsia" w:ascii="宋体" w:hAnsi="宋体" w:cs="宋体"/>
          <w:sz w:val="24"/>
          <w:szCs w:val="24"/>
        </w:rPr>
        <w:t>1.根据《西安建筑科技大学关于提升研究生学位论文质量的若干规定》，为保障学位授予质量，我校研究生学位论文需进行答辩前送审及授位后抽检，需要拥有权威专家的官方平台保证学位论文质量及评议结果权威有效。</w:t>
      </w:r>
    </w:p>
    <w:p>
      <w:pPr>
        <w:spacing w:line="360" w:lineRule="auto"/>
        <w:ind w:firstLine="480" w:firstLineChars="200"/>
        <w:rPr>
          <w:rFonts w:ascii="宋体" w:hAnsi="宋体" w:cs="宋体"/>
          <w:sz w:val="24"/>
          <w:szCs w:val="24"/>
        </w:rPr>
      </w:pPr>
      <w:r>
        <w:rPr>
          <w:rFonts w:hint="eastAsia" w:ascii="宋体" w:hAnsi="宋体" w:cs="宋体"/>
          <w:sz w:val="24"/>
          <w:szCs w:val="24"/>
        </w:rPr>
        <w:t>2.根据《西安建筑科技大学优秀博（硕）士学位论文评选及奖励办法（修订稿）》，为保证评价标准公正、评价结论一致，需使用官方、专家权威的优秀论文评价平台。</w:t>
      </w:r>
    </w:p>
    <w:p>
      <w:pPr>
        <w:spacing w:line="360" w:lineRule="auto"/>
        <w:ind w:firstLine="480" w:firstLineChars="200"/>
        <w:rPr>
          <w:rFonts w:ascii="宋体" w:hAnsi="宋体" w:cs="宋体"/>
          <w:sz w:val="24"/>
          <w:szCs w:val="24"/>
        </w:rPr>
      </w:pPr>
      <w:r>
        <w:rPr>
          <w:rFonts w:hint="eastAsia" w:ascii="宋体" w:hAnsi="宋体" w:cs="宋体"/>
          <w:sz w:val="24"/>
          <w:szCs w:val="24"/>
        </w:rPr>
        <w:t>3.上述权威专家须为“双一流”高校或整体水平高于我校的双非院校的相近学科（专业）专家，平台专家库须涵盖我校所有学科（专业）。评审周期为博士35工作日，硕士30工作日，博士论文评审专家须为博士研究生导师，或至少有正高级职称的专家，硕士论文评审专家必须为硕士研究生导师，或至少具有副高级职称的专家。</w:t>
      </w:r>
    </w:p>
    <w:p>
      <w:pPr>
        <w:pStyle w:val="2"/>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br w:type="page"/>
      </w:r>
      <w:bookmarkStart w:id="57" w:name="_Toc22514"/>
      <w:r>
        <w:rPr>
          <w:rStyle w:val="41"/>
          <w:rFonts w:hint="eastAsia"/>
          <w:b/>
        </w:rPr>
        <w:t>第六部分  合同</w:t>
      </w:r>
      <w:bookmarkEnd w:id="57"/>
    </w:p>
    <w:bookmarkEnd w:id="56"/>
    <w:p>
      <w:pPr>
        <w:spacing w:line="288" w:lineRule="auto"/>
        <w:jc w:val="right"/>
        <w:rPr>
          <w:rFonts w:eastAsia="仿宋_GB2312"/>
          <w:b/>
          <w:sz w:val="31"/>
        </w:rPr>
      </w:pPr>
      <w:r>
        <w:rPr>
          <w:rFonts w:eastAsia="仿宋_GB2312"/>
        </w:rPr>
        <w:drawing>
          <wp:anchor distT="0" distB="0" distL="114300" distR="114300" simplePos="0" relativeHeight="251660288" behindDoc="0" locked="0" layoutInCell="1" allowOverlap="1">
            <wp:simplePos x="0" y="0"/>
            <wp:positionH relativeFrom="column">
              <wp:posOffset>40005</wp:posOffset>
            </wp:positionH>
            <wp:positionV relativeFrom="paragraph">
              <wp:posOffset>-1270</wp:posOffset>
            </wp:positionV>
            <wp:extent cx="1402715" cy="1251585"/>
            <wp:effectExtent l="0" t="0" r="6985" b="5715"/>
            <wp:wrapNone/>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08826" cy="1257515"/>
                    </a:xfrm>
                    <a:prstGeom prst="rect">
                      <a:avLst/>
                    </a:prstGeom>
                    <a:noFill/>
                    <a:ln w="9525">
                      <a:noFill/>
                      <a:miter lim="800000"/>
                      <a:headEnd/>
                      <a:tailEnd/>
                    </a:ln>
                  </pic:spPr>
                </pic:pic>
              </a:graphicData>
            </a:graphic>
          </wp:anchor>
        </w:drawing>
      </w:r>
    </w:p>
    <w:p>
      <w:pPr>
        <w:wordWrap w:val="0"/>
        <w:spacing w:line="288" w:lineRule="auto"/>
        <w:jc w:val="right"/>
        <w:rPr>
          <w:rFonts w:eastAsia="仿宋_GB2312"/>
          <w:sz w:val="28"/>
        </w:rPr>
      </w:pPr>
      <w:r>
        <w:rPr>
          <w:rFonts w:eastAsia="仿宋_GB2312"/>
          <w:sz w:val="30"/>
          <w:szCs w:val="30"/>
        </w:rPr>
        <w:t>协议编号：</w:t>
      </w:r>
      <w:r>
        <w:rPr>
          <w:rFonts w:hint="eastAsia" w:eastAsia="仿宋_GB2312"/>
          <w:sz w:val="30"/>
          <w:szCs w:val="30"/>
          <w:u w:val="single"/>
        </w:rPr>
        <w:t xml:space="preserve">                   </w:t>
      </w:r>
    </w:p>
    <w:p>
      <w:pPr>
        <w:rPr>
          <w:rFonts w:eastAsia="仿宋_GB2312"/>
          <w:sz w:val="28"/>
        </w:rPr>
      </w:pPr>
    </w:p>
    <w:p>
      <w:pPr>
        <w:rPr>
          <w:rFonts w:eastAsia="仿宋_GB2312"/>
          <w:sz w:val="28"/>
        </w:rPr>
      </w:pPr>
    </w:p>
    <w:p>
      <w:pPr>
        <w:ind w:firstLine="723" w:firstLineChars="100"/>
        <w:rPr>
          <w:rFonts w:ascii="方正小标宋简体" w:hAnsi="方正小标宋简体" w:eastAsia="方正小标宋简体" w:cs="方正小标宋简体"/>
          <w:b/>
          <w:sz w:val="72"/>
          <w:szCs w:val="72"/>
        </w:rPr>
      </w:pPr>
      <w:r>
        <w:rPr>
          <w:rFonts w:hint="eastAsia" w:ascii="方正小标宋简体" w:hAnsi="方正小标宋简体" w:eastAsia="方正小标宋简体" w:cs="方正小标宋简体"/>
          <w:b/>
          <w:sz w:val="72"/>
          <w:szCs w:val="72"/>
        </w:rPr>
        <w:t>学位论文质量监测服务</w:t>
      </w:r>
    </w:p>
    <w:p>
      <w:pPr>
        <w:jc w:val="center"/>
        <w:rPr>
          <w:rFonts w:ascii="方正小标宋简体" w:hAnsi="方正小标宋简体" w:eastAsia="方正小标宋简体" w:cs="方正小标宋简体"/>
          <w:b/>
          <w:sz w:val="96"/>
          <w:szCs w:val="96"/>
        </w:rPr>
      </w:pPr>
      <w:r>
        <w:rPr>
          <w:rFonts w:hint="eastAsia" w:ascii="方正小标宋简体" w:hAnsi="方正小标宋简体" w:eastAsia="方正小标宋简体" w:cs="方正小标宋简体"/>
          <w:b/>
          <w:sz w:val="96"/>
          <w:szCs w:val="96"/>
        </w:rPr>
        <w:t>合</w:t>
      </w:r>
    </w:p>
    <w:p>
      <w:pPr>
        <w:jc w:val="center"/>
        <w:rPr>
          <w:rFonts w:ascii="方正小标宋简体" w:hAnsi="方正小标宋简体" w:eastAsia="方正小标宋简体" w:cs="方正小标宋简体"/>
          <w:b/>
          <w:sz w:val="96"/>
          <w:szCs w:val="96"/>
        </w:rPr>
      </w:pPr>
      <w:r>
        <w:rPr>
          <w:rFonts w:hint="eastAsia" w:ascii="方正小标宋简体" w:hAnsi="方正小标宋简体" w:eastAsia="方正小标宋简体" w:cs="方正小标宋简体"/>
          <w:b/>
          <w:sz w:val="96"/>
          <w:szCs w:val="96"/>
        </w:rPr>
        <w:t>作</w:t>
      </w:r>
    </w:p>
    <w:p>
      <w:pPr>
        <w:jc w:val="center"/>
        <w:rPr>
          <w:rFonts w:ascii="方正小标宋简体" w:hAnsi="方正小标宋简体" w:eastAsia="方正小标宋简体" w:cs="方正小标宋简体"/>
          <w:b/>
          <w:sz w:val="96"/>
          <w:szCs w:val="96"/>
        </w:rPr>
      </w:pPr>
      <w:r>
        <w:rPr>
          <w:rFonts w:hint="eastAsia" w:ascii="方正小标宋简体" w:hAnsi="方正小标宋简体" w:eastAsia="方正小标宋简体" w:cs="方正小标宋简体"/>
          <w:b/>
          <w:sz w:val="96"/>
          <w:szCs w:val="96"/>
        </w:rPr>
        <w:t>协</w:t>
      </w:r>
    </w:p>
    <w:p>
      <w:pPr>
        <w:spacing w:afterLines="50"/>
        <w:jc w:val="center"/>
        <w:rPr>
          <w:rFonts w:ascii="方正小标宋简体" w:hAnsi="方正小标宋简体" w:eastAsia="方正小标宋简体" w:cs="方正小标宋简体"/>
          <w:b/>
          <w:sz w:val="96"/>
          <w:szCs w:val="96"/>
        </w:rPr>
      </w:pPr>
      <w:r>
        <w:rPr>
          <w:rFonts w:hint="eastAsia" w:ascii="方正小标宋简体" w:hAnsi="方正小标宋简体" w:eastAsia="方正小标宋简体" w:cs="方正小标宋简体"/>
          <w:b/>
          <w:sz w:val="96"/>
          <w:szCs w:val="96"/>
        </w:rPr>
        <w:t>议</w:t>
      </w:r>
    </w:p>
    <w:p>
      <w:pPr>
        <w:spacing w:afterLines="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（西安建筑科技大学）</w:t>
      </w:r>
    </w:p>
    <w:p>
      <w:pPr>
        <w:spacing w:line="600" w:lineRule="auto"/>
        <w:rPr>
          <w:rFonts w:ascii="宋体" w:hAnsi="宋体" w:cs="宋体"/>
          <w:sz w:val="24"/>
          <w:szCs w:val="24"/>
        </w:rPr>
      </w:pPr>
    </w:p>
    <w:p>
      <w:pPr>
        <w:spacing w:line="600" w:lineRule="auto"/>
        <w:jc w:val="center"/>
      </w:pPr>
      <w:r>
        <w:rPr>
          <w:rFonts w:hint="eastAsia" w:ascii="宋体" w:hAnsi="宋体" w:cs="宋体"/>
          <w:sz w:val="24"/>
          <w:szCs w:val="24"/>
        </w:rPr>
        <w:t>签订日期：  年  月  日</w:t>
      </w:r>
    </w:p>
    <w:tbl>
      <w:tblPr>
        <w:tblStyle w:val="30"/>
        <w:tblpPr w:leftFromText="180" w:rightFromText="180" w:vertAnchor="text" w:horzAnchor="margin" w:tblpXSpec="center" w:tblpY="218"/>
        <w:tblW w:w="7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961"/>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bookmarkStart w:id="58" w:name="_Hlk501352165"/>
            <w:r>
              <w:rPr>
                <w:rFonts w:hint="eastAsia" w:ascii="宋体" w:hAnsi="宋体" w:cs="宋体"/>
                <w:b/>
                <w:kern w:val="0"/>
                <w:szCs w:val="21"/>
              </w:rPr>
              <w:t>甲方名称</w:t>
            </w:r>
            <w:r>
              <w:rPr>
                <w:rFonts w:hint="eastAsia" w:ascii="宋体" w:hAnsi="宋体" w:cs="宋体"/>
                <w:kern w:val="0"/>
                <w:szCs w:val="21"/>
              </w:rPr>
              <w:t>：</w:t>
            </w:r>
          </w:p>
        </w:tc>
        <w:tc>
          <w:tcPr>
            <w:tcW w:w="2961" w:type="dxa"/>
          </w:tcPr>
          <w:p>
            <w:pPr>
              <w:spacing w:line="500" w:lineRule="exact"/>
              <w:rPr>
                <w:rFonts w:ascii="宋体" w:hAnsi="宋体" w:cs="宋体"/>
                <w:kern w:val="0"/>
                <w:szCs w:val="21"/>
              </w:rPr>
            </w:pPr>
            <w:r>
              <w:rPr>
                <w:rFonts w:hint="eastAsia" w:ascii="宋体" w:hAnsi="宋体" w:cs="宋体"/>
                <w:szCs w:val="21"/>
              </w:rPr>
              <w:t xml:space="preserve">西安建筑科技大学       </w:t>
            </w:r>
            <w:r>
              <w:rPr>
                <w:rFonts w:hint="eastAsia" w:ascii="宋体" w:hAnsi="宋体" w:cs="宋体"/>
                <w:kern w:val="0"/>
                <w:szCs w:val="21"/>
              </w:rPr>
              <w:t xml:space="preserve">  </w:t>
            </w:r>
          </w:p>
        </w:tc>
        <w:tc>
          <w:tcPr>
            <w:tcW w:w="2126" w:type="dxa"/>
          </w:tcPr>
          <w:p>
            <w:pPr>
              <w:spacing w:line="500" w:lineRule="exact"/>
              <w:jc w:val="left"/>
              <w:rPr>
                <w:rFonts w:ascii="宋体" w:hAnsi="宋体" w:cs="宋体"/>
                <w:kern w:val="0"/>
                <w:szCs w:val="21"/>
              </w:rPr>
            </w:pPr>
            <w:r>
              <w:rPr>
                <w:rFonts w:hint="eastAsia" w:ascii="宋体" w:hAnsi="宋体" w:cs="宋体"/>
                <w:kern w:val="0"/>
                <w:szCs w:val="21"/>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b/>
                <w:kern w:val="0"/>
                <w:szCs w:val="21"/>
              </w:rPr>
            </w:pPr>
            <w:r>
              <w:rPr>
                <w:rFonts w:hint="eastAsia" w:ascii="宋体" w:hAnsi="宋体" w:cs="宋体"/>
                <w:kern w:val="0"/>
                <w:szCs w:val="21"/>
              </w:rPr>
              <w:t>统一社会信用代码：</w:t>
            </w:r>
          </w:p>
        </w:tc>
        <w:tc>
          <w:tcPr>
            <w:tcW w:w="2961" w:type="dxa"/>
          </w:tcPr>
          <w:p>
            <w:pPr>
              <w:spacing w:line="500" w:lineRule="exact"/>
              <w:rPr>
                <w:rFonts w:ascii="宋体" w:hAnsi="宋体" w:cs="宋体"/>
                <w:kern w:val="0"/>
                <w:szCs w:val="21"/>
              </w:rPr>
            </w:pPr>
            <w:r>
              <w:rPr>
                <w:rFonts w:hint="eastAsia" w:ascii="宋体" w:hAnsi="宋体" w:cs="宋体"/>
                <w:szCs w:val="21"/>
              </w:rPr>
              <w:t>1261000043523106XB</w:t>
            </w:r>
            <w:r>
              <w:rPr>
                <w:rFonts w:hint="eastAsia" w:ascii="宋体" w:hAnsi="宋体" w:cs="宋体"/>
                <w:kern w:val="0"/>
                <w:szCs w:val="21"/>
              </w:rPr>
              <w:t xml:space="preserve">      </w:t>
            </w:r>
          </w:p>
        </w:tc>
        <w:tc>
          <w:tcPr>
            <w:tcW w:w="2126" w:type="dxa"/>
          </w:tcPr>
          <w:p>
            <w:pPr>
              <w:spacing w:line="500" w:lineRule="exact"/>
              <w:jc w:val="left"/>
              <w:rPr>
                <w:rFonts w:ascii="宋体" w:hAnsi="宋体" w:cs="宋体"/>
                <w:kern w:val="0"/>
                <w:szCs w:val="21"/>
              </w:rPr>
            </w:pPr>
            <w:r>
              <w:rPr>
                <w:rFonts w:hint="eastAsia" w:ascii="宋体" w:hAnsi="宋体" w:cs="宋体"/>
                <w:kern w:val="0"/>
                <w:szCs w:val="21"/>
              </w:rPr>
              <w:t>（18位）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银行账号：</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3700023009026400639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开户行：</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工行西安雁塔路支行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部门负责人：</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王快社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所属部门、职务：</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研究生院 、常务副院长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固定电话、手机：</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029-82202827 、13186002826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联系人：</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樊永生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所属部门、职务：</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研究生院学位办公室 、科长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固定电话、手机：</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029-82202268 、13468664850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邮箱地址：</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xauatxwb@126.com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通讯地址：</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陕西省西安市碑林区雁塔路中段13号</w:t>
            </w:r>
          </w:p>
          <w:p>
            <w:pPr>
              <w:spacing w:line="500" w:lineRule="exact"/>
              <w:rPr>
                <w:rFonts w:ascii="宋体" w:hAnsi="宋体" w:cs="宋体"/>
                <w:kern w:val="0"/>
                <w:szCs w:val="21"/>
              </w:rPr>
            </w:pPr>
            <w:r>
              <w:rPr>
                <w:rFonts w:hint="eastAsia" w:ascii="宋体" w:hAnsi="宋体" w:cs="宋体"/>
                <w:kern w:val="0"/>
                <w:szCs w:val="21"/>
              </w:rPr>
              <w:t xml:space="preserve">西安建筑科技大学研究生院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552" w:type="dxa"/>
          </w:tcPr>
          <w:p>
            <w:pPr>
              <w:spacing w:line="500" w:lineRule="exact"/>
              <w:jc w:val="right"/>
              <w:rPr>
                <w:rFonts w:ascii="宋体" w:hAnsi="宋体" w:cs="宋体"/>
                <w:kern w:val="0"/>
                <w:szCs w:val="21"/>
              </w:rPr>
            </w:pPr>
            <w:r>
              <w:rPr>
                <w:rFonts w:hint="eastAsia" w:ascii="宋体" w:hAnsi="宋体" w:cs="宋体"/>
                <w:kern w:val="0"/>
                <w:szCs w:val="21"/>
              </w:rPr>
              <w:t>邮编：</w:t>
            </w:r>
          </w:p>
        </w:tc>
        <w:tc>
          <w:tcPr>
            <w:tcW w:w="5087" w:type="dxa"/>
            <w:gridSpan w:val="2"/>
          </w:tcPr>
          <w:p>
            <w:pPr>
              <w:spacing w:line="500" w:lineRule="exact"/>
              <w:rPr>
                <w:rFonts w:ascii="宋体" w:hAnsi="宋体" w:cs="宋体"/>
                <w:kern w:val="0"/>
                <w:szCs w:val="21"/>
              </w:rPr>
            </w:pPr>
            <w:r>
              <w:rPr>
                <w:rFonts w:hint="eastAsia" w:ascii="宋体" w:hAnsi="宋体" w:cs="宋体"/>
                <w:kern w:val="0"/>
                <w:szCs w:val="21"/>
              </w:rPr>
              <w:t xml:space="preserve">710055 </w:t>
            </w:r>
          </w:p>
        </w:tc>
      </w:tr>
    </w:tbl>
    <w:p>
      <w:pPr>
        <w:spacing w:line="400" w:lineRule="exact"/>
        <w:rPr>
          <w:rFonts w:ascii="宋体" w:hAnsi="宋体" w:cs="宋体"/>
          <w:szCs w:val="21"/>
        </w:rPr>
      </w:pPr>
    </w:p>
    <w:bookmarkEnd w:id="58"/>
    <w:tbl>
      <w:tblPr>
        <w:tblStyle w:val="30"/>
        <w:tblpPr w:leftFromText="180" w:rightFromText="180" w:vertAnchor="text" w:horzAnchor="margin" w:tblpXSpec="center" w:tblpY="100"/>
        <w:tblW w:w="7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5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b/>
                <w:kern w:val="0"/>
                <w:szCs w:val="21"/>
              </w:rPr>
              <w:t>乙方名称</w:t>
            </w:r>
            <w:r>
              <w:rPr>
                <w:rFonts w:hint="eastAsia" w:ascii="宋体" w:hAnsi="宋体" w:cs="宋体"/>
                <w:kern w:val="0"/>
                <w:szCs w:val="21"/>
              </w:rPr>
              <w:t>：</w:t>
            </w:r>
          </w:p>
        </w:tc>
        <w:tc>
          <w:tcPr>
            <w:tcW w:w="5087" w:type="dxa"/>
          </w:tcPr>
          <w:p>
            <w:pPr>
              <w:spacing w:line="520" w:lineRule="exact"/>
              <w:rPr>
                <w:rFonts w:ascii="宋体" w:hAnsi="宋体" w:cs="宋体"/>
                <w:kern w:val="0"/>
                <w:szCs w:val="21"/>
              </w:rPr>
            </w:pPr>
            <w:r>
              <w:rPr>
                <w:rFonts w:hint="eastAsia" w:ascii="宋体" w:hAnsi="宋体" w:cs="宋体"/>
                <w:b/>
                <w:kern w:val="0"/>
                <w:szCs w:val="21"/>
              </w:rPr>
              <w:t>教育部学位与研究生教育发展中心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统一社会信用代码：</w:t>
            </w:r>
          </w:p>
        </w:tc>
        <w:tc>
          <w:tcPr>
            <w:tcW w:w="5087" w:type="dxa"/>
          </w:tcPr>
          <w:p>
            <w:pPr>
              <w:spacing w:line="520" w:lineRule="exact"/>
              <w:rPr>
                <w:rFonts w:ascii="宋体" w:hAnsi="宋体" w:cs="宋体"/>
                <w:kern w:val="0"/>
                <w:szCs w:val="21"/>
              </w:rPr>
            </w:pPr>
            <w:r>
              <w:rPr>
                <w:rFonts w:hint="eastAsia" w:ascii="宋体" w:hAnsi="宋体" w:cs="宋体"/>
                <w:kern w:val="0"/>
                <w:szCs w:val="21"/>
              </w:rPr>
              <w:t>121000007178046202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银行账号：</w:t>
            </w:r>
          </w:p>
        </w:tc>
        <w:tc>
          <w:tcPr>
            <w:tcW w:w="5087" w:type="dxa"/>
          </w:tcPr>
          <w:p>
            <w:pPr>
              <w:spacing w:line="520" w:lineRule="exact"/>
              <w:rPr>
                <w:rFonts w:ascii="宋体" w:hAnsi="宋体" w:cs="宋体"/>
                <w:kern w:val="0"/>
                <w:szCs w:val="21"/>
              </w:rPr>
            </w:pPr>
            <w:r>
              <w:rPr>
                <w:rFonts w:hint="eastAsia" w:ascii="宋体" w:hAnsi="宋体" w:cs="宋体"/>
                <w:kern w:val="0"/>
                <w:szCs w:val="21"/>
              </w:rPr>
              <w:t>323356031527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开户行：</w:t>
            </w:r>
          </w:p>
        </w:tc>
        <w:tc>
          <w:tcPr>
            <w:tcW w:w="5087" w:type="dxa"/>
          </w:tcPr>
          <w:p>
            <w:pPr>
              <w:spacing w:line="520" w:lineRule="exact"/>
              <w:rPr>
                <w:rFonts w:ascii="宋体" w:hAnsi="宋体" w:cs="宋体"/>
                <w:kern w:val="0"/>
                <w:szCs w:val="21"/>
              </w:rPr>
            </w:pPr>
            <w:r>
              <w:rPr>
                <w:rFonts w:hint="eastAsia" w:ascii="宋体" w:hAnsi="宋体" w:cs="宋体"/>
                <w:kern w:val="0"/>
                <w:szCs w:val="21"/>
              </w:rPr>
              <w:t>中国银行北京中关村科技园区支行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部门负责人：</w:t>
            </w:r>
          </w:p>
        </w:tc>
        <w:tc>
          <w:tcPr>
            <w:tcW w:w="5087" w:type="dxa"/>
          </w:tcPr>
          <w:p>
            <w:pPr>
              <w:spacing w:line="520" w:lineRule="exact"/>
              <w:rPr>
                <w:rFonts w:ascii="宋体" w:hAnsi="宋体" w:cs="宋体"/>
                <w:kern w:val="0"/>
                <w:szCs w:val="21"/>
              </w:rPr>
            </w:pPr>
            <w:r>
              <w:rPr>
                <w:rFonts w:hint="eastAsia" w:ascii="宋体" w:hAnsi="宋体" w:cs="宋体"/>
                <w:kern w:val="0"/>
                <w:szCs w:val="21"/>
              </w:rPr>
              <w:t>李恒金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所属部门、职务：</w:t>
            </w:r>
          </w:p>
        </w:tc>
        <w:tc>
          <w:tcPr>
            <w:tcW w:w="5087" w:type="dxa"/>
          </w:tcPr>
          <w:p>
            <w:pPr>
              <w:spacing w:line="520" w:lineRule="exact"/>
              <w:rPr>
                <w:rFonts w:ascii="宋体" w:hAnsi="宋体" w:cs="宋体"/>
                <w:kern w:val="0"/>
                <w:szCs w:val="21"/>
              </w:rPr>
            </w:pPr>
            <w:r>
              <w:rPr>
                <w:rFonts w:hint="eastAsia" w:ascii="宋体" w:hAnsi="宋体" w:cs="宋体"/>
                <w:kern w:val="0"/>
                <w:szCs w:val="21"/>
              </w:rPr>
              <w:t>论文质量监测处、处长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项目联系人：</w:t>
            </w:r>
          </w:p>
        </w:tc>
        <w:tc>
          <w:tcPr>
            <w:tcW w:w="5087" w:type="dxa"/>
          </w:tcPr>
          <w:p>
            <w:pPr>
              <w:spacing w:line="520" w:lineRule="exact"/>
              <w:rPr>
                <w:rFonts w:ascii="宋体" w:hAnsi="宋体" w:cs="宋体"/>
                <w:kern w:val="0"/>
                <w:szCs w:val="21"/>
              </w:rPr>
            </w:pPr>
            <w:r>
              <w:rPr>
                <w:rFonts w:hint="eastAsia" w:ascii="宋体" w:hAnsi="宋体" w:cs="宋体"/>
                <w:kern w:val="0"/>
                <w:szCs w:val="21"/>
              </w:rPr>
              <w:t>邢亚群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所属部门、职务：</w:t>
            </w:r>
          </w:p>
        </w:tc>
        <w:tc>
          <w:tcPr>
            <w:tcW w:w="5087" w:type="dxa"/>
          </w:tcPr>
          <w:p>
            <w:pPr>
              <w:spacing w:line="520" w:lineRule="exact"/>
              <w:rPr>
                <w:rFonts w:ascii="宋体" w:hAnsi="宋体" w:cs="宋体"/>
                <w:kern w:val="0"/>
                <w:szCs w:val="21"/>
              </w:rPr>
            </w:pPr>
            <w:r>
              <w:rPr>
                <w:rFonts w:hint="eastAsia" w:ascii="宋体" w:hAnsi="宋体" w:cs="宋体"/>
                <w:kern w:val="0"/>
                <w:szCs w:val="21"/>
              </w:rPr>
              <w:t>论文质量监测处、项目主管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固定电话、QQ：</w:t>
            </w:r>
          </w:p>
        </w:tc>
        <w:tc>
          <w:tcPr>
            <w:tcW w:w="5087" w:type="dxa"/>
          </w:tcPr>
          <w:p>
            <w:pPr>
              <w:spacing w:line="520" w:lineRule="exact"/>
              <w:rPr>
                <w:rFonts w:ascii="宋体" w:hAnsi="宋体" w:cs="宋体"/>
                <w:kern w:val="0"/>
                <w:szCs w:val="21"/>
              </w:rPr>
            </w:pPr>
            <w:r>
              <w:rPr>
                <w:rFonts w:hint="eastAsia" w:ascii="宋体" w:hAnsi="宋体" w:cs="宋体"/>
                <w:szCs w:val="21"/>
              </w:rPr>
              <w:t>010-82378231、2840232790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szCs w:val="21"/>
              </w:rPr>
              <w:t>邮箱地址：</w:t>
            </w:r>
          </w:p>
        </w:tc>
        <w:tc>
          <w:tcPr>
            <w:tcW w:w="5087" w:type="dxa"/>
          </w:tcPr>
          <w:p>
            <w:pPr>
              <w:spacing w:line="520" w:lineRule="exact"/>
              <w:ind w:right="-397" w:rightChars="-189"/>
              <w:rPr>
                <w:rFonts w:ascii="宋体" w:hAnsi="宋体" w:cs="宋体"/>
                <w:kern w:val="0"/>
                <w:szCs w:val="21"/>
              </w:rPr>
            </w:pPr>
            <w:r>
              <w:rPr>
                <w:rFonts w:hint="eastAsia" w:ascii="宋体" w:hAnsi="宋体" w:cs="宋体"/>
                <w:szCs w:val="21"/>
              </w:rPr>
              <w:t>xingyq@cdgdc.edu.cn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通讯地址：</w:t>
            </w:r>
          </w:p>
        </w:tc>
        <w:tc>
          <w:tcPr>
            <w:tcW w:w="5087" w:type="dxa"/>
          </w:tcPr>
          <w:p>
            <w:pPr>
              <w:spacing w:line="520" w:lineRule="exact"/>
              <w:ind w:right="-397" w:rightChars="-189"/>
              <w:rPr>
                <w:rFonts w:ascii="宋体" w:hAnsi="宋体" w:cs="宋体"/>
                <w:kern w:val="0"/>
                <w:szCs w:val="21"/>
              </w:rPr>
            </w:pPr>
            <w:r>
              <w:rPr>
                <w:rFonts w:hint="eastAsia" w:ascii="宋体" w:hAnsi="宋体" w:cs="宋体"/>
                <w:kern w:val="0"/>
                <w:szCs w:val="21"/>
              </w:rPr>
              <w:t>北京市海淀区王庄路1号同方科技广场B座1706室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520" w:lineRule="exact"/>
              <w:jc w:val="right"/>
              <w:rPr>
                <w:rFonts w:ascii="宋体" w:hAnsi="宋体" w:cs="宋体"/>
                <w:kern w:val="0"/>
                <w:szCs w:val="21"/>
              </w:rPr>
            </w:pPr>
            <w:r>
              <w:rPr>
                <w:rFonts w:hint="eastAsia" w:ascii="宋体" w:hAnsi="宋体" w:cs="宋体"/>
                <w:kern w:val="0"/>
                <w:szCs w:val="21"/>
              </w:rPr>
              <w:t>邮编：</w:t>
            </w:r>
          </w:p>
        </w:tc>
        <w:tc>
          <w:tcPr>
            <w:tcW w:w="5087" w:type="dxa"/>
          </w:tcPr>
          <w:p>
            <w:pPr>
              <w:spacing w:line="520" w:lineRule="exact"/>
              <w:rPr>
                <w:rFonts w:ascii="宋体" w:hAnsi="宋体" w:cs="宋体"/>
                <w:kern w:val="0"/>
                <w:szCs w:val="21"/>
              </w:rPr>
            </w:pPr>
            <w:r>
              <w:rPr>
                <w:rFonts w:hint="eastAsia" w:ascii="宋体" w:hAnsi="宋体" w:cs="宋体"/>
                <w:kern w:val="0"/>
                <w:szCs w:val="21"/>
              </w:rPr>
              <w:t>100083</w:t>
            </w:r>
          </w:p>
        </w:tc>
      </w:tr>
    </w:tbl>
    <w:p>
      <w:pPr>
        <w:spacing w:line="400" w:lineRule="exact"/>
        <w:rPr>
          <w:rFonts w:eastAsia="仿宋_GB2312"/>
          <w:sz w:val="22"/>
          <w:szCs w:val="28"/>
        </w:rPr>
      </w:pPr>
    </w:p>
    <w:p>
      <w:pPr>
        <w:spacing w:line="560" w:lineRule="exact"/>
        <w:ind w:firstLine="480" w:firstLineChars="200"/>
        <w:rPr>
          <w:rFonts w:ascii="宋体" w:hAnsi="宋体" w:cs="宋体"/>
          <w:sz w:val="24"/>
          <w:szCs w:val="24"/>
        </w:rPr>
      </w:pPr>
      <w:r>
        <w:rPr>
          <w:rFonts w:hint="eastAsia" w:ascii="宋体" w:hAnsi="宋体" w:cs="宋体"/>
          <w:sz w:val="24"/>
          <w:szCs w:val="24"/>
        </w:rPr>
        <w:t>依据《中华人民共和国民法典》等相关规定，甲乙双方在平等自愿的基础上，经协商一致就学位论文质量监测服务达成合作协议，以明确双方的责权并保证共同遵守以下协议内容。</w:t>
      </w:r>
    </w:p>
    <w:p>
      <w:pPr>
        <w:spacing w:line="560" w:lineRule="exact"/>
        <w:ind w:firstLine="482" w:firstLineChars="200"/>
        <w:rPr>
          <w:rFonts w:ascii="宋体" w:hAnsi="宋体" w:cs="宋体"/>
          <w:b/>
          <w:bCs/>
          <w:sz w:val="24"/>
          <w:szCs w:val="24"/>
        </w:rPr>
      </w:pPr>
      <w:r>
        <w:rPr>
          <w:rFonts w:hint="eastAsia" w:ascii="宋体" w:hAnsi="宋体" w:cs="宋体"/>
          <w:b/>
          <w:bCs/>
          <w:sz w:val="24"/>
          <w:szCs w:val="24"/>
        </w:rPr>
        <w:t>第一条 服务内容</w:t>
      </w:r>
    </w:p>
    <w:p>
      <w:pPr>
        <w:spacing w:line="560" w:lineRule="exact"/>
        <w:ind w:firstLine="480" w:firstLineChars="200"/>
        <w:rPr>
          <w:rFonts w:ascii="宋体" w:hAnsi="宋体" w:cs="宋体"/>
          <w:sz w:val="24"/>
          <w:szCs w:val="24"/>
        </w:rPr>
      </w:pPr>
      <w:bookmarkStart w:id="59" w:name="_Hlk499735660"/>
      <w:r>
        <w:rPr>
          <w:rFonts w:hint="eastAsia" w:ascii="宋体" w:hAnsi="宋体" w:cs="宋体"/>
          <w:sz w:val="24"/>
          <w:szCs w:val="24"/>
        </w:rPr>
        <w:t>经协商，甲乙双方就学位论文质量监测服务开展合作：</w:t>
      </w:r>
    </w:p>
    <w:p>
      <w:pPr>
        <w:spacing w:line="560" w:lineRule="exact"/>
        <w:ind w:firstLine="480" w:firstLineChars="200"/>
        <w:rPr>
          <w:rFonts w:ascii="宋体" w:hAnsi="宋体" w:cs="宋体"/>
          <w:sz w:val="24"/>
          <w:szCs w:val="24"/>
        </w:rPr>
      </w:pPr>
      <w:r>
        <w:rPr>
          <w:rFonts w:hint="eastAsia" w:ascii="宋体" w:hAnsi="宋体" w:cs="宋体"/>
          <w:sz w:val="24"/>
          <w:szCs w:val="24"/>
        </w:rPr>
        <w:t>乙方作为专业评价机构，为甲方提供学位论文质量监测服务平台（以下简称平台）、同行评议专家资源和评议过程技术服务。</w:t>
      </w:r>
    </w:p>
    <w:p>
      <w:pPr>
        <w:spacing w:line="560" w:lineRule="exact"/>
        <w:ind w:firstLine="480" w:firstLineChars="200"/>
        <w:rPr>
          <w:rFonts w:ascii="宋体" w:hAnsi="宋体" w:cs="宋体"/>
          <w:sz w:val="24"/>
          <w:szCs w:val="24"/>
        </w:rPr>
      </w:pPr>
      <w:r>
        <w:rPr>
          <w:rFonts w:hint="eastAsia" w:ascii="宋体" w:hAnsi="宋体" w:cs="宋体"/>
          <w:sz w:val="24"/>
          <w:szCs w:val="24"/>
        </w:rPr>
        <w:t>甲方作为学位论文质量监测责任主体，依托乙方上述服务自主组织开展：</w:t>
      </w:r>
    </w:p>
    <w:p>
      <w:pPr>
        <w:spacing w:line="560" w:lineRule="exact"/>
        <w:ind w:firstLine="480" w:firstLineChars="200"/>
        <w:rPr>
          <w:rFonts w:ascii="宋体" w:hAnsi="宋体" w:cs="宋体"/>
          <w:sz w:val="24"/>
          <w:szCs w:val="24"/>
        </w:rPr>
      </w:pPr>
      <w:r>
        <w:rPr>
          <w:rFonts w:hint="eastAsia" w:ascii="宋体" w:hAnsi="宋体" w:cs="宋体"/>
          <w:sz w:val="24"/>
          <w:szCs w:val="24"/>
        </w:rPr>
        <w:t>■ 1.博士学位论文答辩前评议</w:t>
      </w:r>
    </w:p>
    <w:p>
      <w:pPr>
        <w:spacing w:line="560" w:lineRule="exact"/>
        <w:ind w:firstLine="480" w:firstLineChars="200"/>
        <w:rPr>
          <w:rFonts w:ascii="宋体" w:hAnsi="宋体" w:cs="宋体"/>
          <w:sz w:val="24"/>
          <w:szCs w:val="24"/>
        </w:rPr>
      </w:pPr>
      <w:r>
        <w:rPr>
          <w:rFonts w:hint="eastAsia" w:ascii="宋体" w:hAnsi="宋体" w:cs="宋体"/>
          <w:sz w:val="24"/>
          <w:szCs w:val="24"/>
        </w:rPr>
        <w:t>■ 2.硕士学位论文答辩前评议</w:t>
      </w:r>
    </w:p>
    <w:p>
      <w:pPr>
        <w:spacing w:line="560" w:lineRule="exact"/>
        <w:ind w:firstLine="480" w:firstLineChars="200"/>
        <w:rPr>
          <w:rFonts w:ascii="宋体" w:hAnsi="宋体" w:cs="宋体"/>
          <w:sz w:val="24"/>
          <w:szCs w:val="24"/>
        </w:rPr>
      </w:pPr>
      <w:r>
        <w:rPr>
          <w:rFonts w:hint="eastAsia" w:ascii="宋体" w:hAnsi="宋体" w:cs="宋体"/>
          <w:sz w:val="24"/>
          <w:szCs w:val="24"/>
        </w:rPr>
        <w:t>■ 3.博士学位论文答辩后抽检评议</w:t>
      </w:r>
    </w:p>
    <w:p>
      <w:pPr>
        <w:spacing w:line="560" w:lineRule="exact"/>
        <w:ind w:firstLine="480" w:firstLineChars="200"/>
        <w:rPr>
          <w:rFonts w:ascii="宋体" w:hAnsi="宋体" w:cs="宋体"/>
          <w:sz w:val="24"/>
          <w:szCs w:val="24"/>
        </w:rPr>
      </w:pPr>
      <w:r>
        <w:rPr>
          <w:rFonts w:hint="eastAsia" w:ascii="宋体" w:hAnsi="宋体" w:cs="宋体"/>
          <w:sz w:val="24"/>
          <w:szCs w:val="24"/>
        </w:rPr>
        <w:t>■ 4.硕士学位论文答辩后抽检评议</w:t>
      </w:r>
    </w:p>
    <w:bookmarkEnd w:id="59"/>
    <w:p>
      <w:pPr>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甲方权利</w:t>
      </w:r>
    </w:p>
    <w:p>
      <w:pPr>
        <w:numPr>
          <w:ilvl w:val="0"/>
          <w:numId w:val="18"/>
        </w:numPr>
        <w:spacing w:line="560" w:lineRule="exact"/>
        <w:ind w:firstLine="480" w:firstLineChars="200"/>
        <w:rPr>
          <w:rFonts w:ascii="宋体" w:hAnsi="宋体" w:cs="宋体"/>
          <w:sz w:val="24"/>
          <w:szCs w:val="24"/>
        </w:rPr>
      </w:pPr>
      <w:r>
        <w:rPr>
          <w:rFonts w:hint="eastAsia" w:ascii="宋体" w:hAnsi="宋体" w:cs="宋体"/>
          <w:sz w:val="24"/>
          <w:szCs w:val="24"/>
        </w:rPr>
        <w:t>甲方有权依据国家及本单位研究生学位论文质量管理有关规定，自主制定学位论文评议要素及要求，在平台中自主设置博士、硕士学位论文相应评审项目评阅书模板。</w:t>
      </w:r>
    </w:p>
    <w:p>
      <w:pPr>
        <w:numPr>
          <w:ilvl w:val="0"/>
          <w:numId w:val="18"/>
        </w:numPr>
        <w:spacing w:line="560" w:lineRule="exact"/>
        <w:ind w:firstLine="480" w:firstLineChars="200"/>
        <w:rPr>
          <w:rFonts w:ascii="宋体" w:hAnsi="宋体" w:cs="宋体"/>
          <w:sz w:val="24"/>
          <w:szCs w:val="24"/>
        </w:rPr>
      </w:pPr>
      <w:r>
        <w:rPr>
          <w:rFonts w:hint="eastAsia" w:ascii="宋体" w:hAnsi="宋体" w:cs="宋体"/>
          <w:sz w:val="24"/>
          <w:szCs w:val="24"/>
        </w:rPr>
        <w:t>甲方有权决定是否对待评审学位论文材料中的学位论文作者、导师等信息进行隐匿处理，如未做处理，有关专家在评议过程中将可查看相关信息。</w:t>
      </w:r>
    </w:p>
    <w:p>
      <w:pPr>
        <w:numPr>
          <w:ilvl w:val="0"/>
          <w:numId w:val="18"/>
        </w:numPr>
        <w:spacing w:line="560" w:lineRule="exact"/>
        <w:ind w:firstLine="480" w:firstLineChars="200"/>
        <w:rPr>
          <w:rFonts w:ascii="宋体" w:hAnsi="宋体" w:cs="宋体"/>
          <w:bCs/>
          <w:sz w:val="24"/>
          <w:szCs w:val="24"/>
        </w:rPr>
      </w:pPr>
      <w:r>
        <w:rPr>
          <w:rFonts w:hint="eastAsia" w:ascii="宋体" w:hAnsi="宋体" w:cs="宋体"/>
          <w:bCs/>
          <w:sz w:val="24"/>
          <w:szCs w:val="24"/>
        </w:rPr>
        <w:t>甲方有权按如下条件“自动遴选”学位论文评议专家：</w:t>
      </w:r>
    </w:p>
    <w:p>
      <w:pPr>
        <w:spacing w:line="560" w:lineRule="exact"/>
        <w:ind w:firstLine="480" w:firstLineChars="200"/>
        <w:rPr>
          <w:rFonts w:ascii="宋体" w:hAnsi="宋体" w:cs="宋体"/>
          <w:sz w:val="24"/>
          <w:szCs w:val="24"/>
        </w:rPr>
      </w:pPr>
      <w:r>
        <w:rPr>
          <w:rFonts w:hint="eastAsia" w:ascii="宋体" w:hAnsi="宋体" w:cs="宋体"/>
          <w:sz w:val="24"/>
          <w:szCs w:val="24"/>
        </w:rPr>
        <w:t>1.学术学位论文和专业学位论文分别在学位论文所属《研究生教育学科专业目录》的一级学科和专业学位类别范围内遴选专家。</w:t>
      </w:r>
    </w:p>
    <w:p>
      <w:pPr>
        <w:spacing w:line="560" w:lineRule="exact"/>
        <w:ind w:firstLine="480" w:firstLineChars="200"/>
        <w:rPr>
          <w:rFonts w:ascii="宋体" w:hAnsi="宋体" w:cs="宋体"/>
          <w:sz w:val="24"/>
          <w:szCs w:val="24"/>
        </w:rPr>
      </w:pPr>
      <w:r>
        <w:rPr>
          <w:rFonts w:hint="eastAsia" w:ascii="宋体" w:hAnsi="宋体" w:cs="宋体"/>
          <w:sz w:val="24"/>
          <w:szCs w:val="24"/>
        </w:rPr>
        <w:t>2.遴选专家所在单位类型：</w:t>
      </w:r>
    </w:p>
    <w:p>
      <w:pPr>
        <w:spacing w:line="560" w:lineRule="exact"/>
        <w:ind w:firstLine="480" w:firstLineChars="200"/>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 xml:space="preserve">优先一流大学建设高校 </w:t>
      </w:r>
    </w:p>
    <w:p>
      <w:pPr>
        <w:spacing w:line="560" w:lineRule="exact"/>
        <w:ind w:firstLine="480" w:firstLineChars="200"/>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 xml:space="preserve">优先“双一流”建设高校和科研院所 </w:t>
      </w:r>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■优先一流学科建设高校、科研院所和非“双一流”建设高校 </w:t>
      </w:r>
    </w:p>
    <w:p>
      <w:pPr>
        <w:spacing w:line="560" w:lineRule="exact"/>
        <w:ind w:firstLine="480" w:firstLineChars="200"/>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全部高校</w:t>
      </w:r>
    </w:p>
    <w:p>
      <w:pPr>
        <w:spacing w:line="560" w:lineRule="exact"/>
        <w:ind w:firstLine="480" w:firstLineChars="200"/>
        <w:rPr>
          <w:rFonts w:ascii="宋体" w:hAnsi="宋体" w:cs="宋体"/>
          <w:sz w:val="24"/>
          <w:szCs w:val="24"/>
        </w:rPr>
      </w:pPr>
      <w:r>
        <w:rPr>
          <w:rFonts w:hint="eastAsia" w:ascii="宋体" w:hAnsi="宋体" w:cs="宋体"/>
          <w:sz w:val="24"/>
          <w:szCs w:val="24"/>
        </w:rPr>
        <w:t>注：以上选项为单选，且所选选项需包含甲方所在单位类型，当所选单位类型的专家无法满足遴选需求时，平台自动在其他类型单位的专家中遴选。</w:t>
      </w:r>
    </w:p>
    <w:p>
      <w:pPr>
        <w:spacing w:line="560" w:lineRule="exact"/>
        <w:ind w:firstLine="480" w:firstLineChars="200"/>
        <w:rPr>
          <w:rFonts w:ascii="宋体" w:hAnsi="宋体" w:cs="宋体"/>
          <w:sz w:val="24"/>
          <w:szCs w:val="24"/>
        </w:rPr>
      </w:pPr>
      <w:r>
        <w:rPr>
          <w:rFonts w:hint="eastAsia" w:ascii="宋体" w:hAnsi="宋体" w:cs="宋体"/>
          <w:sz w:val="24"/>
          <w:szCs w:val="24"/>
        </w:rPr>
        <w:t>3.按照学位论文的研究方向、关键词、题目、摘要与专家研究方向进行匹配，如甲方在送评过程中对学位论文的研究方向进行修正，平台自动依据修正后的研究方向进行匹配。</w:t>
      </w:r>
    </w:p>
    <w:p>
      <w:pPr>
        <w:spacing w:line="560" w:lineRule="exact"/>
        <w:ind w:firstLine="480" w:firstLineChars="200"/>
        <w:rPr>
          <w:rFonts w:ascii="宋体" w:hAnsi="宋体" w:cs="宋体"/>
          <w:sz w:val="24"/>
          <w:szCs w:val="24"/>
        </w:rPr>
      </w:pPr>
      <w:r>
        <w:rPr>
          <w:rFonts w:hint="eastAsia" w:ascii="宋体" w:hAnsi="宋体" w:cs="宋体"/>
          <w:sz w:val="24"/>
          <w:szCs w:val="24"/>
        </w:rPr>
        <w:t>4.回避甲方专家（含兼职）。</w:t>
      </w:r>
    </w:p>
    <w:p>
      <w:pPr>
        <w:widowControl/>
        <w:spacing w:line="560" w:lineRule="exact"/>
        <w:ind w:firstLine="480" w:firstLineChars="200"/>
        <w:rPr>
          <w:rFonts w:ascii="宋体" w:hAnsi="宋体" w:cs="宋体"/>
          <w:sz w:val="24"/>
          <w:szCs w:val="24"/>
        </w:rPr>
      </w:pPr>
      <w:r>
        <w:rPr>
          <w:rFonts w:hint="eastAsia" w:ascii="宋体" w:hAnsi="宋体" w:cs="宋体"/>
          <w:sz w:val="24"/>
          <w:szCs w:val="24"/>
        </w:rPr>
        <w:t xml:space="preserve">5.博士学位论文遴选：■博士生导师 </w:t>
      </w:r>
      <w:r>
        <w:rPr>
          <w:rFonts w:hint="eastAsia" w:ascii="宋体" w:hAnsi="宋体" w:cs="宋体"/>
          <w:sz w:val="24"/>
          <w:szCs w:val="24"/>
        </w:rPr>
        <w:sym w:font="Wingdings 2" w:char="00A3"/>
      </w:r>
      <w:r>
        <w:rPr>
          <w:rFonts w:hint="eastAsia" w:ascii="宋体" w:hAnsi="宋体" w:cs="宋体"/>
          <w:sz w:val="24"/>
          <w:szCs w:val="24"/>
        </w:rPr>
        <w:t>硕士生导师（教授）；硕士学位论文优先遴选硕士生导师，当硕士生导师不足时，遴选博士生导师。</w:t>
      </w:r>
    </w:p>
    <w:p>
      <w:pPr>
        <w:widowControl/>
        <w:spacing w:line="560" w:lineRule="exact"/>
        <w:ind w:firstLine="480" w:firstLineChars="200"/>
        <w:rPr>
          <w:rFonts w:ascii="宋体" w:hAnsi="宋体" w:cs="宋体"/>
          <w:sz w:val="24"/>
          <w:szCs w:val="24"/>
          <w:highlight w:val="green"/>
        </w:rPr>
      </w:pPr>
      <w:r>
        <w:rPr>
          <w:rFonts w:hint="eastAsia" w:ascii="宋体" w:hAnsi="宋体" w:cs="宋体"/>
          <w:sz w:val="24"/>
          <w:szCs w:val="24"/>
        </w:rPr>
        <w:t xml:space="preserve">6.学术学位论文遴选学术学位导师；专业学位论文遴选专业学位导师。 </w:t>
      </w:r>
    </w:p>
    <w:p>
      <w:pPr>
        <w:widowControl/>
        <w:spacing w:line="560" w:lineRule="exact"/>
        <w:ind w:firstLine="480" w:firstLineChars="200"/>
        <w:rPr>
          <w:rFonts w:ascii="宋体" w:hAnsi="宋体" w:cs="宋体"/>
          <w:sz w:val="24"/>
          <w:szCs w:val="24"/>
        </w:rPr>
      </w:pPr>
      <w:r>
        <w:rPr>
          <w:rFonts w:hint="eastAsia" w:ascii="宋体" w:hAnsi="宋体" w:cs="宋体"/>
          <w:sz w:val="24"/>
          <w:szCs w:val="24"/>
        </w:rPr>
        <w:t>7.在符合1-6条件的专家中随机遴选学位论文评议专家。</w:t>
      </w:r>
    </w:p>
    <w:p>
      <w:pPr>
        <w:numPr>
          <w:ilvl w:val="0"/>
          <w:numId w:val="18"/>
        </w:numPr>
        <w:spacing w:line="560" w:lineRule="exact"/>
        <w:ind w:firstLine="480" w:firstLineChars="200"/>
        <w:rPr>
          <w:rFonts w:ascii="宋体" w:hAnsi="宋体" w:cs="宋体"/>
          <w:bCs/>
          <w:sz w:val="24"/>
          <w:szCs w:val="24"/>
        </w:rPr>
      </w:pPr>
      <w:r>
        <w:rPr>
          <w:rFonts w:hint="eastAsia" w:ascii="宋体" w:hAnsi="宋体" w:cs="宋体"/>
          <w:bCs/>
          <w:sz w:val="24"/>
          <w:szCs w:val="24"/>
        </w:rPr>
        <w:t>甲方有权</w:t>
      </w:r>
      <w:r>
        <w:rPr>
          <w:rFonts w:hint="eastAsia" w:ascii="宋体" w:hAnsi="宋体" w:cs="宋体"/>
          <w:sz w:val="24"/>
          <w:szCs w:val="24"/>
        </w:rPr>
        <w:t>按如下条件“补充遴选”</w:t>
      </w:r>
      <w:r>
        <w:rPr>
          <w:rFonts w:hint="eastAsia" w:ascii="宋体" w:hAnsi="宋体" w:cs="宋体"/>
          <w:bCs/>
          <w:sz w:val="24"/>
          <w:szCs w:val="24"/>
        </w:rPr>
        <w:t>学位论文评议专家</w:t>
      </w:r>
      <w:r>
        <w:rPr>
          <w:rFonts w:hint="eastAsia" w:ascii="宋体" w:hAnsi="宋体" w:cs="宋体"/>
          <w:sz w:val="24"/>
          <w:szCs w:val="24"/>
        </w:rPr>
        <w:t>：</w:t>
      </w:r>
    </w:p>
    <w:p>
      <w:pPr>
        <w:widowControl/>
        <w:numPr>
          <w:ilvl w:val="255"/>
          <w:numId w:val="0"/>
        </w:numPr>
        <w:spacing w:line="560" w:lineRule="exact"/>
        <w:ind w:firstLine="480" w:firstLineChars="200"/>
        <w:rPr>
          <w:rFonts w:ascii="宋体" w:hAnsi="宋体" w:cs="宋体"/>
          <w:sz w:val="24"/>
          <w:szCs w:val="24"/>
        </w:rPr>
      </w:pPr>
      <w:r>
        <w:rPr>
          <w:rFonts w:hint="eastAsia" w:ascii="宋体" w:hAnsi="宋体" w:cs="宋体"/>
          <w:sz w:val="24"/>
          <w:szCs w:val="24"/>
        </w:rPr>
        <w:t>1.在满足第二条第（三）款必选项和条件7的前提下，在平台内对专家遴选规则进行删减或补充，形成甲方个性化专家补充遴选方案；</w:t>
      </w:r>
    </w:p>
    <w:p>
      <w:pPr>
        <w:widowControl/>
        <w:numPr>
          <w:ilvl w:val="255"/>
          <w:numId w:val="0"/>
        </w:numPr>
        <w:spacing w:line="560" w:lineRule="exact"/>
        <w:ind w:firstLine="480" w:firstLineChars="200"/>
        <w:rPr>
          <w:rFonts w:ascii="宋体" w:hAnsi="宋体" w:cs="宋体"/>
          <w:sz w:val="24"/>
          <w:szCs w:val="24"/>
        </w:rPr>
      </w:pPr>
      <w:r>
        <w:rPr>
          <w:rFonts w:hint="eastAsia" w:ascii="宋体" w:hAnsi="宋体" w:cs="宋体"/>
          <w:sz w:val="24"/>
          <w:szCs w:val="24"/>
        </w:rPr>
        <w:t>2.可申请跨一级学科进行专家遴选，经申请并在平台中完成备案后，在“补充遴选”方案中“忽略”或“指定”一级学科进行专家遴选。</w:t>
      </w:r>
    </w:p>
    <w:p>
      <w:pPr>
        <w:numPr>
          <w:ilvl w:val="0"/>
          <w:numId w:val="18"/>
        </w:numPr>
        <w:spacing w:line="560" w:lineRule="exact"/>
        <w:ind w:firstLine="480" w:firstLineChars="200"/>
        <w:rPr>
          <w:rFonts w:ascii="宋体" w:hAnsi="宋体" w:cs="宋体"/>
          <w:bCs/>
          <w:sz w:val="24"/>
          <w:szCs w:val="24"/>
        </w:rPr>
      </w:pPr>
      <w:r>
        <w:rPr>
          <w:rFonts w:hint="eastAsia" w:ascii="宋体" w:hAnsi="宋体" w:cs="宋体"/>
          <w:bCs/>
          <w:sz w:val="24"/>
          <w:szCs w:val="24"/>
        </w:rPr>
        <w:t>甲方可自行选择评议专家遴选方式。</w:t>
      </w:r>
    </w:p>
    <w:p>
      <w:pPr>
        <w:widowControl/>
        <w:spacing w:line="560" w:lineRule="exact"/>
        <w:ind w:firstLine="480" w:firstLineChars="200"/>
        <w:rPr>
          <w:rFonts w:ascii="宋体" w:hAnsi="宋体" w:cs="宋体"/>
          <w:sz w:val="24"/>
          <w:szCs w:val="24"/>
        </w:rPr>
      </w:pPr>
      <w:r>
        <w:rPr>
          <w:rFonts w:hint="eastAsia" w:ascii="宋体" w:hAnsi="宋体" w:cs="宋体"/>
          <w:sz w:val="24"/>
          <w:szCs w:val="24"/>
        </w:rPr>
        <w:t>1.如甲方选择“自动遴选”，即认可第二条第（三）款，平台将按此规则自动遴选专家，并自动发出评议邀请。</w:t>
      </w:r>
    </w:p>
    <w:p>
      <w:pPr>
        <w:widowControl/>
        <w:spacing w:line="560" w:lineRule="exact"/>
        <w:ind w:firstLine="480" w:firstLineChars="200"/>
        <w:rPr>
          <w:rFonts w:ascii="宋体" w:hAnsi="宋体" w:cs="宋体"/>
          <w:sz w:val="24"/>
          <w:szCs w:val="24"/>
        </w:rPr>
      </w:pPr>
      <w:r>
        <w:rPr>
          <w:rFonts w:hint="eastAsia" w:ascii="宋体" w:hAnsi="宋体" w:cs="宋体"/>
          <w:sz w:val="24"/>
          <w:szCs w:val="24"/>
        </w:rPr>
        <w:t>2.如甲方选择“补充遴选”，即认可按第二条第（四）款，平台将按甲方制定的个性化遴选方案遴选专家，并自动发出评议邀请。</w:t>
      </w:r>
    </w:p>
    <w:p>
      <w:pPr>
        <w:widowControl/>
        <w:spacing w:line="560" w:lineRule="exact"/>
        <w:ind w:firstLine="480" w:firstLineChars="200"/>
        <w:rPr>
          <w:rFonts w:ascii="宋体" w:hAnsi="宋体" w:cs="宋体"/>
          <w:sz w:val="24"/>
          <w:szCs w:val="24"/>
        </w:rPr>
      </w:pPr>
      <w:r>
        <w:rPr>
          <w:rFonts w:hint="eastAsia" w:ascii="宋体" w:hAnsi="宋体" w:cs="宋体"/>
          <w:sz w:val="24"/>
          <w:szCs w:val="24"/>
        </w:rPr>
        <w:t>3.可在平台内随时转换</w:t>
      </w:r>
      <w:r>
        <w:rPr>
          <w:rFonts w:hint="eastAsia" w:ascii="宋体" w:hAnsi="宋体" w:cs="宋体"/>
          <w:bCs/>
          <w:sz w:val="24"/>
          <w:szCs w:val="24"/>
        </w:rPr>
        <w:t>评议专家</w:t>
      </w:r>
      <w:r>
        <w:rPr>
          <w:rFonts w:hint="eastAsia" w:ascii="宋体" w:hAnsi="宋体" w:cs="宋体"/>
          <w:sz w:val="24"/>
          <w:szCs w:val="24"/>
        </w:rPr>
        <w:t>遴选方式，即将“自动遴选”下的学位论文转换至“补充遴选”中，或将“补充遴选”下的学位论文转换至“自动遴选”中；对于在“补充遴选”中修正“研究方向”后的学位论文，可继续进入“自动遴选”，也可在甲方自设遴选方案下“补充遴选”出的专家中进行自主选取。</w:t>
      </w:r>
    </w:p>
    <w:p>
      <w:pPr>
        <w:numPr>
          <w:ilvl w:val="0"/>
          <w:numId w:val="18"/>
        </w:numPr>
        <w:spacing w:line="560" w:lineRule="exact"/>
        <w:ind w:firstLine="480" w:firstLineChars="200"/>
        <w:rPr>
          <w:rFonts w:ascii="宋体" w:hAnsi="宋体" w:cs="宋体"/>
          <w:sz w:val="24"/>
          <w:szCs w:val="24"/>
        </w:rPr>
      </w:pPr>
      <w:r>
        <w:rPr>
          <w:rFonts w:hint="eastAsia" w:ascii="宋体" w:hAnsi="宋体" w:cs="宋体"/>
          <w:sz w:val="24"/>
          <w:szCs w:val="24"/>
        </w:rPr>
        <w:t>甲方有权按照本单位学位论文评议需求自主组织学位论文评议工作，把控送评流程，进行学位论文复评、增评、减评等。</w:t>
      </w:r>
    </w:p>
    <w:p>
      <w:pPr>
        <w:numPr>
          <w:ilvl w:val="0"/>
          <w:numId w:val="18"/>
        </w:numPr>
        <w:spacing w:line="560" w:lineRule="exact"/>
        <w:ind w:firstLine="480" w:firstLineChars="200"/>
        <w:rPr>
          <w:rFonts w:ascii="宋体" w:hAnsi="宋体" w:cs="宋体"/>
          <w:sz w:val="24"/>
          <w:szCs w:val="24"/>
        </w:rPr>
      </w:pPr>
      <w:r>
        <w:rPr>
          <w:rFonts w:hint="eastAsia" w:ascii="宋体" w:hAnsi="宋体" w:cs="宋体"/>
          <w:sz w:val="24"/>
          <w:szCs w:val="24"/>
        </w:rPr>
        <w:t>甲方有权决定如何使用专家评议意见。如对专家提交的评议意见存在异议，可在评议意见提交后30天内通过平台向乙方提出，并由双方协商解决。</w:t>
      </w:r>
    </w:p>
    <w:p>
      <w:pPr>
        <w:numPr>
          <w:ilvl w:val="0"/>
          <w:numId w:val="18"/>
        </w:numPr>
        <w:spacing w:line="560" w:lineRule="exact"/>
        <w:ind w:firstLine="480" w:firstLineChars="200"/>
        <w:rPr>
          <w:rFonts w:ascii="宋体" w:hAnsi="宋体" w:cs="宋体"/>
          <w:sz w:val="24"/>
          <w:szCs w:val="24"/>
        </w:rPr>
      </w:pPr>
      <w:r>
        <w:rPr>
          <w:rFonts w:hint="eastAsia" w:ascii="宋体" w:hAnsi="宋体" w:cs="宋体"/>
          <w:sz w:val="24"/>
          <w:szCs w:val="24"/>
        </w:rPr>
        <w:t>甲方可开通一个平台一级账户，该账户仅限本单位（部门）负责学位论文质量监测工作且在平台完成实名信息登记认证的管理人员使用。</w:t>
      </w:r>
    </w:p>
    <w:p>
      <w:pPr>
        <w:numPr>
          <w:ilvl w:val="0"/>
          <w:numId w:val="18"/>
        </w:numPr>
        <w:spacing w:line="560" w:lineRule="exact"/>
        <w:ind w:firstLine="480" w:firstLineChars="200"/>
        <w:rPr>
          <w:rFonts w:ascii="宋体" w:hAnsi="宋体" w:cs="宋体"/>
          <w:sz w:val="24"/>
          <w:szCs w:val="24"/>
        </w:rPr>
      </w:pPr>
      <w:r>
        <w:rPr>
          <w:rFonts w:hint="eastAsia" w:ascii="宋体" w:hAnsi="宋体" w:cs="宋体"/>
          <w:sz w:val="24"/>
          <w:szCs w:val="24"/>
        </w:rPr>
        <w:t>甲方可在一级账户下自主进行二级账户管理。包括：</w:t>
      </w:r>
    </w:p>
    <w:p>
      <w:pPr>
        <w:widowControl/>
        <w:numPr>
          <w:ilvl w:val="0"/>
          <w:numId w:val="19"/>
        </w:numPr>
        <w:spacing w:line="560" w:lineRule="exact"/>
        <w:ind w:firstLine="480" w:firstLineChars="200"/>
        <w:rPr>
          <w:rFonts w:ascii="宋体" w:hAnsi="宋体" w:cs="宋体"/>
          <w:sz w:val="24"/>
          <w:szCs w:val="24"/>
        </w:rPr>
      </w:pPr>
      <w:r>
        <w:rPr>
          <w:rFonts w:hint="eastAsia" w:ascii="宋体" w:hAnsi="宋体" w:cs="宋体"/>
          <w:sz w:val="24"/>
          <w:szCs w:val="24"/>
        </w:rPr>
        <w:t>开通、冻结二级账户，二级账户数量不多于甲方二级学院（系）总数</w:t>
      </w:r>
      <w:r>
        <w:rPr>
          <w:rFonts w:hint="eastAsia" w:ascii="宋体" w:hAnsi="宋体" w:cs="宋体"/>
          <w:sz w:val="24"/>
          <w:szCs w:val="24"/>
          <w:u w:val="single"/>
        </w:rPr>
        <w:t xml:space="preserve"> 20 </w:t>
      </w:r>
      <w:r>
        <w:rPr>
          <w:rFonts w:hint="eastAsia" w:ascii="宋体" w:hAnsi="宋体" w:cs="宋体"/>
          <w:sz w:val="24"/>
          <w:szCs w:val="24"/>
        </w:rPr>
        <w:t>个。</w:t>
      </w:r>
    </w:p>
    <w:p>
      <w:pPr>
        <w:widowControl/>
        <w:numPr>
          <w:ilvl w:val="0"/>
          <w:numId w:val="19"/>
        </w:numPr>
        <w:spacing w:line="560" w:lineRule="exact"/>
        <w:ind w:firstLine="480" w:firstLineChars="200"/>
        <w:rPr>
          <w:rFonts w:ascii="宋体" w:hAnsi="宋体" w:cs="宋体"/>
          <w:sz w:val="24"/>
          <w:szCs w:val="24"/>
        </w:rPr>
      </w:pPr>
      <w:r>
        <w:rPr>
          <w:rFonts w:hint="eastAsia" w:ascii="宋体" w:hAnsi="宋体" w:cs="宋体"/>
          <w:sz w:val="24"/>
          <w:szCs w:val="24"/>
        </w:rPr>
        <w:t>管理二级账户的功能权限，包括学位论文信息及材料上传、指定评阅书送评、专家遴选及评议结果下载等。</w:t>
      </w:r>
    </w:p>
    <w:p>
      <w:pPr>
        <w:widowControl/>
        <w:numPr>
          <w:ilvl w:val="0"/>
          <w:numId w:val="18"/>
        </w:numPr>
        <w:spacing w:line="560" w:lineRule="exact"/>
        <w:ind w:firstLine="480" w:firstLineChars="200"/>
        <w:rPr>
          <w:rFonts w:ascii="宋体" w:hAnsi="宋体" w:cs="宋体"/>
          <w:sz w:val="24"/>
          <w:szCs w:val="24"/>
        </w:rPr>
      </w:pPr>
      <w:r>
        <w:rPr>
          <w:rFonts w:hint="eastAsia" w:ascii="宋体" w:hAnsi="宋体" w:cs="宋体"/>
          <w:sz w:val="24"/>
          <w:szCs w:val="24"/>
        </w:rPr>
        <w:t>与学位论文质量监测服务相关的其他权利。</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甲方义务</w:t>
      </w:r>
    </w:p>
    <w:p>
      <w:pPr>
        <w:widowControl/>
        <w:numPr>
          <w:ilvl w:val="0"/>
          <w:numId w:val="20"/>
        </w:numPr>
        <w:spacing w:line="560" w:lineRule="exact"/>
        <w:ind w:firstLine="480" w:firstLineChars="200"/>
        <w:rPr>
          <w:rFonts w:ascii="宋体" w:hAnsi="宋体" w:cs="宋体"/>
          <w:sz w:val="24"/>
          <w:szCs w:val="24"/>
        </w:rPr>
      </w:pPr>
      <w:r>
        <w:rPr>
          <w:rFonts w:hint="eastAsia" w:ascii="宋体" w:hAnsi="宋体" w:cs="宋体"/>
          <w:sz w:val="24"/>
          <w:szCs w:val="24"/>
        </w:rPr>
        <w:t>甲方为本单位学位论文质量监测行为的责任主体，须正确理解乙方的第三方服务性质，在校内准确宣传本协议条款约定内容，引导导师、学生准确认识乙方第三方服务模式。</w:t>
      </w:r>
    </w:p>
    <w:p>
      <w:pPr>
        <w:widowControl/>
        <w:numPr>
          <w:ilvl w:val="0"/>
          <w:numId w:val="20"/>
        </w:numPr>
        <w:spacing w:line="560" w:lineRule="exact"/>
        <w:ind w:firstLine="480" w:firstLineChars="200"/>
        <w:rPr>
          <w:rFonts w:ascii="宋体" w:hAnsi="宋体" w:cs="宋体"/>
          <w:sz w:val="24"/>
          <w:szCs w:val="24"/>
        </w:rPr>
      </w:pPr>
      <w:r>
        <w:rPr>
          <w:rFonts w:hint="eastAsia" w:ascii="宋体" w:hAnsi="宋体" w:cs="宋体"/>
          <w:sz w:val="24"/>
          <w:szCs w:val="24"/>
        </w:rPr>
        <w:t>甲方确保本单位评阅书模板的规范性和合理性，确保上传平台学位论文信息及材料的真实性、准确性和完整性，严禁上传加密或涉密学位论文及相关评议材料。对于论文中涉及科研项目及学术成果等敏感信息，甲方需在上传论文前自行完成脱敏处理。</w:t>
      </w:r>
    </w:p>
    <w:p>
      <w:pPr>
        <w:widowControl/>
        <w:numPr>
          <w:ilvl w:val="0"/>
          <w:numId w:val="20"/>
        </w:numPr>
        <w:spacing w:line="560" w:lineRule="exact"/>
        <w:ind w:firstLine="480" w:firstLineChars="200"/>
        <w:rPr>
          <w:rFonts w:ascii="宋体" w:hAnsi="宋体" w:cs="宋体"/>
          <w:sz w:val="24"/>
          <w:szCs w:val="24"/>
        </w:rPr>
      </w:pPr>
      <w:r>
        <w:rPr>
          <w:rFonts w:hint="eastAsia" w:ascii="宋体" w:hAnsi="宋体" w:cs="宋体"/>
          <w:sz w:val="24"/>
          <w:szCs w:val="24"/>
        </w:rPr>
        <w:t>甲方应及时跟进、自主完成学位论文送评流程。</w:t>
      </w:r>
    </w:p>
    <w:p>
      <w:pPr>
        <w:spacing w:line="560" w:lineRule="exact"/>
        <w:ind w:firstLine="480" w:firstLineChars="200"/>
        <w:rPr>
          <w:rFonts w:ascii="宋体" w:hAnsi="宋体" w:cs="宋体"/>
          <w:sz w:val="24"/>
          <w:szCs w:val="24"/>
        </w:rPr>
      </w:pPr>
      <w:r>
        <w:rPr>
          <w:rFonts w:hint="eastAsia" w:ascii="宋体" w:hAnsi="宋体" w:cs="宋体"/>
          <w:sz w:val="24"/>
          <w:szCs w:val="24"/>
        </w:rPr>
        <w:t>1.对上传平台的学位论文、以及对“已确认参评专家”数量小于论文所需评议专家数量的学位论文及时进行专家遴选；</w:t>
      </w:r>
    </w:p>
    <w:p>
      <w:pPr>
        <w:spacing w:line="560" w:lineRule="exact"/>
        <w:ind w:firstLine="480" w:firstLineChars="200"/>
        <w:rPr>
          <w:rFonts w:ascii="宋体" w:hAnsi="宋体" w:cs="宋体"/>
          <w:sz w:val="24"/>
          <w:szCs w:val="24"/>
        </w:rPr>
      </w:pPr>
      <w:r>
        <w:rPr>
          <w:rFonts w:hint="eastAsia" w:ascii="宋体" w:hAnsi="宋体" w:cs="宋体"/>
          <w:sz w:val="24"/>
          <w:szCs w:val="24"/>
        </w:rPr>
        <w:t>2.对因专家个人原因超过评议时限未提交评议意见、在平台自动解除专家评议关系后仍缺少评议专家的学位论文，及时进行专家遴选；</w:t>
      </w:r>
    </w:p>
    <w:p>
      <w:pPr>
        <w:spacing w:line="560" w:lineRule="exact"/>
        <w:ind w:firstLine="480" w:firstLineChars="200"/>
        <w:rPr>
          <w:rFonts w:ascii="宋体" w:hAnsi="宋体" w:cs="宋体"/>
          <w:sz w:val="24"/>
          <w:szCs w:val="24"/>
        </w:rPr>
      </w:pPr>
      <w:r>
        <w:rPr>
          <w:rFonts w:hint="eastAsia" w:ascii="宋体" w:hAnsi="宋体" w:cs="宋体"/>
          <w:sz w:val="24"/>
          <w:szCs w:val="24"/>
        </w:rPr>
        <w:t>3.对</w:t>
      </w:r>
      <w:r>
        <w:rPr>
          <w:rFonts w:hint="eastAsia" w:ascii="宋体" w:hAnsi="宋体" w:cs="宋体"/>
          <w:bCs/>
          <w:sz w:val="24"/>
          <w:szCs w:val="24"/>
        </w:rPr>
        <w:t>需个性化送评或小语种、小学科等存在特殊情况的</w:t>
      </w:r>
      <w:r>
        <w:rPr>
          <w:rFonts w:hint="eastAsia" w:ascii="宋体" w:hAnsi="宋体" w:cs="宋体"/>
          <w:sz w:val="24"/>
          <w:szCs w:val="24"/>
        </w:rPr>
        <w:t>学位</w:t>
      </w:r>
      <w:r>
        <w:rPr>
          <w:rFonts w:hint="eastAsia" w:ascii="宋体" w:hAnsi="宋体" w:cs="宋体"/>
          <w:bCs/>
          <w:sz w:val="24"/>
          <w:szCs w:val="24"/>
        </w:rPr>
        <w:t>论文，当甲方在平台进行</w:t>
      </w:r>
      <w:r>
        <w:rPr>
          <w:rFonts w:hint="eastAsia" w:ascii="宋体" w:hAnsi="宋体" w:cs="宋体"/>
          <w:sz w:val="24"/>
          <w:szCs w:val="24"/>
        </w:rPr>
        <w:t>10次以上专家遴选操作（包括自动遴选和补充遴选）或遴选专家周期超</w:t>
      </w:r>
      <w:r>
        <w:rPr>
          <w:rFonts w:hint="eastAsia" w:ascii="宋体" w:hAnsi="宋体" w:cs="宋体"/>
          <w:color w:val="000000" w:themeColor="text1"/>
          <w:sz w:val="24"/>
          <w:szCs w:val="24"/>
        </w:rPr>
        <w:t>过30天</w:t>
      </w:r>
      <w:r>
        <w:rPr>
          <w:rFonts w:hint="eastAsia" w:ascii="宋体" w:hAnsi="宋体" w:cs="宋体"/>
          <w:sz w:val="24"/>
          <w:szCs w:val="24"/>
        </w:rPr>
        <w:t>仍缺少评议专家时，甲方可终止平台评议并自行线下处理</w:t>
      </w:r>
      <w:r>
        <w:rPr>
          <w:rFonts w:hint="eastAsia" w:ascii="宋体" w:hAnsi="宋体" w:cs="宋体"/>
          <w:bCs/>
          <w:sz w:val="24"/>
          <w:szCs w:val="24"/>
        </w:rPr>
        <w:t>。</w:t>
      </w:r>
    </w:p>
    <w:p>
      <w:pPr>
        <w:widowControl/>
        <w:numPr>
          <w:ilvl w:val="0"/>
          <w:numId w:val="20"/>
        </w:numPr>
        <w:spacing w:line="560" w:lineRule="exact"/>
        <w:ind w:firstLine="480" w:firstLineChars="200"/>
        <w:rPr>
          <w:rFonts w:ascii="宋体" w:hAnsi="宋体" w:cs="宋体"/>
          <w:sz w:val="24"/>
          <w:szCs w:val="24"/>
        </w:rPr>
      </w:pPr>
      <w:r>
        <w:rPr>
          <w:rFonts w:hint="eastAsia" w:ascii="宋体" w:hAnsi="宋体" w:cs="宋体"/>
          <w:sz w:val="24"/>
          <w:szCs w:val="24"/>
        </w:rPr>
        <w:t>甲方应保证本单位一级和二级账户管理员、相关工作人员等知悉本协议约定内容，甲方一级账户管理员每年须至少参加一次乙方组织的平台操作培训，并负责本单位二级账户管理员的平台操作培训，对二级账户管理员的平台操作行为进行管控。</w:t>
      </w:r>
    </w:p>
    <w:p>
      <w:pPr>
        <w:widowControl/>
        <w:numPr>
          <w:ilvl w:val="0"/>
          <w:numId w:val="20"/>
        </w:numPr>
        <w:spacing w:line="560" w:lineRule="exact"/>
        <w:ind w:firstLine="480" w:firstLineChars="200"/>
        <w:rPr>
          <w:rFonts w:ascii="宋体" w:hAnsi="宋体" w:cs="宋体"/>
          <w:sz w:val="24"/>
          <w:szCs w:val="24"/>
        </w:rPr>
      </w:pPr>
      <w:r>
        <w:rPr>
          <w:rFonts w:hint="eastAsia" w:ascii="宋体" w:hAnsi="宋体" w:cs="宋体"/>
          <w:sz w:val="24"/>
          <w:szCs w:val="24"/>
        </w:rPr>
        <w:t>任何情况下，甲方不得私自与评议专家就甲方学位论文评议工作进行直接联系和沟通。</w:t>
      </w:r>
    </w:p>
    <w:p>
      <w:pPr>
        <w:widowControl/>
        <w:numPr>
          <w:ilvl w:val="0"/>
          <w:numId w:val="20"/>
        </w:numPr>
        <w:spacing w:line="560" w:lineRule="exact"/>
        <w:ind w:firstLine="480" w:firstLineChars="200"/>
        <w:rPr>
          <w:rFonts w:ascii="宋体" w:hAnsi="宋体" w:cs="宋体"/>
          <w:sz w:val="24"/>
          <w:szCs w:val="24"/>
        </w:rPr>
      </w:pPr>
      <w:r>
        <w:rPr>
          <w:rFonts w:hint="eastAsia" w:ascii="宋体" w:hAnsi="宋体" w:cs="宋体"/>
          <w:sz w:val="24"/>
          <w:szCs w:val="24"/>
        </w:rPr>
        <w:t>甲方不得向被评议学位论文作者和导师透露任何乙方有关信息，包括但不限于平台使用规则、评议专家信息及乙方联系方式等；不得向其他第三方机构或他人提供乙方平台操作指南、相关培训材料，展示平台，包括但不限于信息拷贝、录制视频、页面截图、操作规则、送评数据、专家信息以及乙方信息。</w:t>
      </w:r>
    </w:p>
    <w:p>
      <w:pPr>
        <w:widowControl/>
        <w:numPr>
          <w:ilvl w:val="0"/>
          <w:numId w:val="20"/>
        </w:numPr>
        <w:spacing w:line="560" w:lineRule="exact"/>
        <w:ind w:firstLine="480" w:firstLineChars="200"/>
        <w:rPr>
          <w:rFonts w:ascii="宋体" w:hAnsi="宋体" w:cs="宋体"/>
          <w:sz w:val="24"/>
          <w:szCs w:val="24"/>
        </w:rPr>
      </w:pPr>
      <w:r>
        <w:rPr>
          <w:rFonts w:hint="eastAsia" w:ascii="宋体" w:hAnsi="宋体" w:cs="宋体"/>
          <w:sz w:val="24"/>
          <w:szCs w:val="24"/>
        </w:rPr>
        <w:t>甲方每年定期向乙方提供本单位专业技术职务为副高级及以上职称的博士生导师、硕士生导师及专业学位校外行业兼职导师作为学位论文评议专家，协助乙方对上述专家信息进行及时更新和维护。</w:t>
      </w:r>
    </w:p>
    <w:p>
      <w:pPr>
        <w:widowControl/>
        <w:numPr>
          <w:ilvl w:val="0"/>
          <w:numId w:val="20"/>
        </w:numPr>
        <w:spacing w:line="560" w:lineRule="exact"/>
        <w:ind w:firstLine="480" w:firstLineChars="200"/>
        <w:rPr>
          <w:rFonts w:ascii="宋体" w:hAnsi="宋体" w:cs="宋体"/>
          <w:sz w:val="24"/>
          <w:szCs w:val="24"/>
        </w:rPr>
      </w:pPr>
      <w:r>
        <w:rPr>
          <w:rFonts w:hint="eastAsia" w:ascii="宋体" w:hAnsi="宋体" w:cs="宋体"/>
          <w:sz w:val="24"/>
          <w:szCs w:val="24"/>
        </w:rPr>
        <w:t>与学位论文质量监测服务相关的其他义务。</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乙方权利</w:t>
      </w:r>
    </w:p>
    <w:p>
      <w:pPr>
        <w:numPr>
          <w:ilvl w:val="0"/>
          <w:numId w:val="21"/>
        </w:numPr>
        <w:spacing w:line="560" w:lineRule="exact"/>
        <w:ind w:firstLine="480" w:firstLineChars="200"/>
        <w:rPr>
          <w:rFonts w:ascii="宋体" w:hAnsi="宋体" w:cs="宋体"/>
          <w:sz w:val="24"/>
          <w:szCs w:val="24"/>
        </w:rPr>
      </w:pPr>
      <w:r>
        <w:rPr>
          <w:rFonts w:hint="eastAsia" w:ascii="宋体" w:hAnsi="宋体" w:cs="宋体"/>
          <w:sz w:val="24"/>
          <w:szCs w:val="24"/>
        </w:rPr>
        <w:t>在甲方（一级和二级账户）出现下列行为时，乙方有权暂停甲方一级或二级账户使用权限。甲方一级或二级账户管理员经重新参加培训后，以正式公函形式（加盖法人公章）申请恢复相应账户使用权限。</w:t>
      </w:r>
    </w:p>
    <w:p>
      <w:pPr>
        <w:numPr>
          <w:ilvl w:val="0"/>
          <w:numId w:val="22"/>
        </w:numPr>
        <w:spacing w:line="560" w:lineRule="exact"/>
        <w:ind w:firstLine="480" w:firstLineChars="200"/>
        <w:rPr>
          <w:rFonts w:ascii="宋体" w:hAnsi="宋体" w:cs="宋体"/>
          <w:sz w:val="24"/>
          <w:szCs w:val="24"/>
        </w:rPr>
      </w:pPr>
      <w:r>
        <w:rPr>
          <w:rFonts w:hint="eastAsia" w:ascii="宋体" w:hAnsi="宋体" w:cs="宋体"/>
          <w:sz w:val="24"/>
          <w:szCs w:val="24"/>
        </w:rPr>
        <w:t>违背协议约定内容误导导师、学位论文作者等，曲解、转移甲方学位论文送评的主体责任，造成不良后果；</w:t>
      </w:r>
    </w:p>
    <w:p>
      <w:pPr>
        <w:numPr>
          <w:ilvl w:val="0"/>
          <w:numId w:val="22"/>
        </w:numPr>
        <w:spacing w:line="560" w:lineRule="exact"/>
        <w:ind w:firstLine="480" w:firstLineChars="200"/>
        <w:rPr>
          <w:rFonts w:ascii="宋体" w:hAnsi="宋体" w:cs="宋体"/>
          <w:sz w:val="24"/>
          <w:szCs w:val="24"/>
        </w:rPr>
      </w:pPr>
      <w:r>
        <w:rPr>
          <w:rFonts w:hint="eastAsia" w:ascii="宋体" w:hAnsi="宋体" w:cs="宋体"/>
          <w:sz w:val="24"/>
          <w:szCs w:val="24"/>
        </w:rPr>
        <w:t>向平台登记管理员以外的个人及单位转借平台账户；</w:t>
      </w:r>
    </w:p>
    <w:p>
      <w:pPr>
        <w:numPr>
          <w:ilvl w:val="0"/>
          <w:numId w:val="22"/>
        </w:numPr>
        <w:spacing w:line="560" w:lineRule="exact"/>
        <w:ind w:firstLine="480" w:firstLineChars="200"/>
        <w:jc w:val="left"/>
        <w:rPr>
          <w:rFonts w:ascii="宋体" w:hAnsi="宋体" w:cs="宋体"/>
          <w:sz w:val="24"/>
          <w:szCs w:val="24"/>
        </w:rPr>
      </w:pPr>
      <w:r>
        <w:rPr>
          <w:rFonts w:hint="eastAsia" w:ascii="宋体" w:hAnsi="宋体" w:cs="宋体"/>
          <w:sz w:val="24"/>
          <w:szCs w:val="24"/>
        </w:rPr>
        <w:t>出现两次（含）评阅书模板设置错误、评阅书模板与学位论文信息材料匹配错误、单批次送评20篇（含）以上学位论文信息及其附件材料错误等重大操作失误，严重影响专家评议工作。</w:t>
      </w:r>
    </w:p>
    <w:p>
      <w:pPr>
        <w:numPr>
          <w:ilvl w:val="0"/>
          <w:numId w:val="21"/>
        </w:numPr>
        <w:spacing w:line="560" w:lineRule="exact"/>
        <w:ind w:firstLine="480" w:firstLineChars="200"/>
        <w:jc w:val="left"/>
        <w:rPr>
          <w:rFonts w:ascii="宋体" w:hAnsi="宋体" w:cs="宋体"/>
          <w:sz w:val="24"/>
          <w:szCs w:val="24"/>
        </w:rPr>
      </w:pPr>
      <w:r>
        <w:rPr>
          <w:rFonts w:hint="eastAsia" w:ascii="宋体" w:hAnsi="宋体" w:cs="宋体"/>
          <w:sz w:val="24"/>
          <w:szCs w:val="24"/>
        </w:rPr>
        <w:t>与学位论文质量监测服务相关的其他权利。</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乙方义务</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乙方负责提供智能、精准、高效、安全的学位论文质量监测服务平台，满足甲方学位论文评议功能需求，包括学位论文信息及其附件材料上传、评阅书设置、专家自动遴选或补充遴选、评议结果下载等。</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乙方须及时响应和解决甲方提出的平台技术问题，定期收集研判甲方的功能需求和建议，对平台功能及时升级优化，为甲方自主开展学位论文评议工作提供技术保障。</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乙方负责提供覆盖全国的、类型丰富、层次多样的高水平博士、硕士学位论文评议专家资源，并定期补充专家资源，对专家信息进行更新，保证专家资源充沛，专家信息准确。</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负责通过平台保障甲方学位论文评议过程中与评议专家间的信息交互，通过平台向专家发送相应消息通知或提醒等；协助甲方与参评专家沟通解决学术意见以外的问题，如：评议意见文字表述或格式错误、平台操作等问题。</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乙方负责通过平台向经甲方遴选后的学位论文评议专家提供参评确认、评议材料阅读、评阅意见填写、评议结果提交等功能。</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为甲方学位论文自主评议工作提供辅助服务，协助甲方一级账户管理员解决在送评过程中遇到的平台操作等技术问题，关注甲方学位论文评议进度，及时提醒甲方完成开始专家遴选操作25天以上的博士学位论文及20天以上的硕士学位论文的送评流程（甲方间隔5天以上未进行遴选专家操作的学位论文除外）。</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乙方负责及时审核甲方通过平台提出的有关申请，包括：</w:t>
      </w:r>
    </w:p>
    <w:p>
      <w:pPr>
        <w:spacing w:line="560" w:lineRule="exact"/>
        <w:ind w:firstLine="480" w:firstLineChars="200"/>
        <w:rPr>
          <w:rFonts w:ascii="宋体" w:hAnsi="宋体" w:cs="宋体"/>
          <w:sz w:val="24"/>
          <w:szCs w:val="24"/>
        </w:rPr>
      </w:pPr>
      <w:r>
        <w:rPr>
          <w:rFonts w:hint="eastAsia" w:ascii="宋体" w:hAnsi="宋体" w:cs="宋体"/>
          <w:sz w:val="24"/>
          <w:szCs w:val="24"/>
        </w:rPr>
        <w:t>1.审核甲方提出的已送评学位论文的评议材料修改或替换申请，但由甲方自行决定是否采用在修改或替换材料前已提交的专家评议意见，已产生的质量监测服务费由甲方支付；</w:t>
      </w:r>
    </w:p>
    <w:p>
      <w:pPr>
        <w:spacing w:line="560" w:lineRule="exact"/>
        <w:ind w:firstLine="480" w:firstLineChars="200"/>
        <w:rPr>
          <w:rFonts w:ascii="宋体" w:hAnsi="宋体" w:cs="宋体"/>
          <w:sz w:val="24"/>
          <w:szCs w:val="24"/>
        </w:rPr>
      </w:pPr>
      <w:r>
        <w:rPr>
          <w:rFonts w:hint="eastAsia" w:ascii="宋体" w:hAnsi="宋体" w:cs="宋体"/>
          <w:sz w:val="24"/>
          <w:szCs w:val="24"/>
        </w:rPr>
        <w:t>2.审核甲方提出的已送评学位论文终止评议申请，对已确认评议的专家不能解除评议关系，但由甲方自行决定是否采用此类专家评议意见，已产生的质量监测服务费由甲方支付。</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乙方负责在本协议期满后，对协议期内已收回全部专家评议意见的学位论文进行数据归档，归档后甲方仍可查看、下载学位论文及专家评议意见。</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乙方为甲方提供年度学位论文评议情况统计报告，内容包括学位论文送评情况、学位论文评议结果、专家使用情况及服务费使用情况，以及对甲方学位论文质量监测工作的建议等。</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乙方负责每年免费对甲方一级账户管理员进行至少一次平台操作培训，为甲方提供和更新平台操作规程说明等；如甲方需要，乙方每年可为甲方提供一次个性化培训或二级账户管理员专项培训服务。</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任何情况下，乙方不得干扰甲方专家遴选工作，不得透露甲方学位论文评议专家个人信息，不得篡改甲方学位论文专家评议结果。</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乙方为甲方提供学位论文质量监测服务，不接受甲方学位论文作者、导师等个人对评议结果提出的异议。</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乙方不得向除甲方评议专家外的其他个人或机构提供甲方任何学位论文评议材料和相关信息，包括但不限于评阅书内容、评议规则、学位论文信息、评议意见等。</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乙方负责及时向本协议有效期内实际参与甲方学位论文评议的专家支付劳务费。</w:t>
      </w:r>
    </w:p>
    <w:p>
      <w:pPr>
        <w:numPr>
          <w:ilvl w:val="0"/>
          <w:numId w:val="23"/>
        </w:numPr>
        <w:spacing w:line="560" w:lineRule="exact"/>
        <w:ind w:left="0" w:firstLine="480" w:firstLineChars="200"/>
        <w:rPr>
          <w:rFonts w:ascii="宋体" w:hAnsi="宋体" w:cs="宋体"/>
          <w:sz w:val="24"/>
          <w:szCs w:val="24"/>
        </w:rPr>
      </w:pPr>
      <w:r>
        <w:rPr>
          <w:rFonts w:hint="eastAsia" w:ascii="宋体" w:hAnsi="宋体" w:cs="宋体"/>
          <w:sz w:val="24"/>
          <w:szCs w:val="24"/>
        </w:rPr>
        <w:t>与学位论文质量监测服务相关的其他义务。</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服务费标准与金额</w:t>
      </w:r>
    </w:p>
    <w:p>
      <w:pPr>
        <w:numPr>
          <w:ilvl w:val="0"/>
          <w:numId w:val="24"/>
        </w:numPr>
        <w:spacing w:line="560" w:lineRule="exact"/>
        <w:ind w:firstLine="480" w:firstLineChars="200"/>
        <w:rPr>
          <w:rFonts w:ascii="宋体" w:hAnsi="宋体" w:cs="宋体"/>
          <w:sz w:val="24"/>
          <w:szCs w:val="24"/>
        </w:rPr>
      </w:pPr>
      <w:r>
        <w:rPr>
          <w:rFonts w:hint="eastAsia" w:ascii="宋体" w:hAnsi="宋体" w:cs="宋体"/>
          <w:sz w:val="24"/>
          <w:szCs w:val="24"/>
        </w:rPr>
        <w:t>博士学位论文质量监测服务费（含初评、复评、增评）为￥</w:t>
      </w:r>
      <w:r>
        <w:rPr>
          <w:rFonts w:hint="eastAsia" w:ascii="宋体" w:hAnsi="宋体" w:cs="宋体"/>
          <w:sz w:val="24"/>
          <w:szCs w:val="24"/>
          <w:u w:val="single"/>
          <w:lang w:val="en-US" w:eastAsia="zh-CN"/>
        </w:rPr>
        <w:t xml:space="preserve">    </w:t>
      </w:r>
      <w:r>
        <w:rPr>
          <w:rFonts w:hint="eastAsia" w:ascii="宋体" w:hAnsi="宋体" w:cs="宋体"/>
          <w:sz w:val="24"/>
          <w:szCs w:val="24"/>
        </w:rPr>
        <w:t>元/篇次，</w:t>
      </w:r>
      <w:r>
        <w:rPr>
          <w:rFonts w:hint="eastAsia" w:ascii="宋体" w:hAnsi="宋体" w:cs="宋体"/>
          <w:b/>
          <w:bCs/>
          <w:sz w:val="24"/>
          <w:szCs w:val="24"/>
        </w:rPr>
        <w:t>其中</w:t>
      </w:r>
      <w:r>
        <w:rPr>
          <w:rFonts w:hint="eastAsia" w:ascii="宋体" w:hAnsi="宋体" w:cs="宋体"/>
          <w:sz w:val="24"/>
          <w:szCs w:val="24"/>
        </w:rPr>
        <w:t>使用外国语言文字撰写的博士学位论文（不包括文学学科门类）质量监测服务费（含初评、复评、增评）为￥</w:t>
      </w:r>
      <w:r>
        <w:rPr>
          <w:rFonts w:hint="eastAsia" w:ascii="宋体" w:hAnsi="宋体" w:cs="宋体"/>
          <w:sz w:val="24"/>
          <w:szCs w:val="24"/>
          <w:u w:val="single"/>
          <w:lang w:val="en-US" w:eastAsia="zh-CN"/>
        </w:rPr>
        <w:t xml:space="preserve">    </w:t>
      </w:r>
      <w:r>
        <w:rPr>
          <w:rFonts w:hint="eastAsia" w:ascii="宋体" w:hAnsi="宋体" w:cs="宋体"/>
          <w:sz w:val="24"/>
          <w:szCs w:val="24"/>
        </w:rPr>
        <w:t>元/篇次；硕士学位论文质量监测服务费（含初评、复评、增评）为￥</w:t>
      </w:r>
      <w:r>
        <w:rPr>
          <w:rFonts w:hint="eastAsia" w:ascii="宋体" w:hAnsi="宋体" w:cs="宋体"/>
          <w:sz w:val="24"/>
          <w:szCs w:val="24"/>
          <w:u w:val="single"/>
          <w:lang w:val="en-US" w:eastAsia="zh-CN"/>
        </w:rPr>
        <w:t xml:space="preserve">    </w:t>
      </w:r>
      <w:r>
        <w:rPr>
          <w:rFonts w:hint="eastAsia" w:ascii="宋体" w:hAnsi="宋体" w:cs="宋体"/>
          <w:sz w:val="24"/>
          <w:szCs w:val="24"/>
        </w:rPr>
        <w:t>元/篇次，</w:t>
      </w:r>
      <w:r>
        <w:rPr>
          <w:rFonts w:hint="eastAsia" w:ascii="宋体" w:hAnsi="宋体" w:cs="宋体"/>
          <w:b/>
          <w:bCs/>
          <w:sz w:val="24"/>
          <w:szCs w:val="24"/>
        </w:rPr>
        <w:t>其中</w:t>
      </w:r>
      <w:r>
        <w:rPr>
          <w:rFonts w:hint="eastAsia" w:ascii="宋体" w:hAnsi="宋体" w:cs="宋体"/>
          <w:sz w:val="24"/>
          <w:szCs w:val="24"/>
        </w:rPr>
        <w:t>使用外国语言文字撰写的硕士学位论文（不包括文学学科门类）质量监测服务费（含初评、复评、增评）为￥</w:t>
      </w:r>
      <w:r>
        <w:rPr>
          <w:rFonts w:hint="eastAsia" w:ascii="宋体" w:hAnsi="宋体" w:cs="宋体"/>
          <w:sz w:val="24"/>
          <w:szCs w:val="24"/>
          <w:u w:val="single"/>
          <w:lang w:val="en-US" w:eastAsia="zh-CN"/>
        </w:rPr>
        <w:t xml:space="preserve">    </w:t>
      </w:r>
      <w:r>
        <w:rPr>
          <w:rFonts w:hint="eastAsia" w:ascii="宋体" w:hAnsi="宋体" w:cs="宋体"/>
          <w:sz w:val="24"/>
          <w:szCs w:val="24"/>
        </w:rPr>
        <w:t>元/篇次。</w:t>
      </w:r>
    </w:p>
    <w:p>
      <w:pPr>
        <w:numPr>
          <w:ilvl w:val="0"/>
          <w:numId w:val="24"/>
        </w:numPr>
        <w:spacing w:line="560" w:lineRule="exact"/>
        <w:ind w:firstLine="560"/>
        <w:rPr>
          <w:rFonts w:ascii="宋体" w:hAnsi="宋体" w:cs="宋体"/>
          <w:sz w:val="24"/>
          <w:szCs w:val="24"/>
        </w:rPr>
      </w:pPr>
      <w:r>
        <w:rPr>
          <w:rFonts w:hint="eastAsia" w:ascii="宋体" w:hAnsi="宋体" w:cs="宋体"/>
          <w:sz w:val="24"/>
          <w:szCs w:val="24"/>
        </w:rPr>
        <w:t>本协议服务费总额依据服务费标准与甲方预估送评学位论文篇次数量进行计算。甲方须如实填写上传平台的论文层次、撰写语种等学位论文信息，以确定适用的服务费标准。如出现信息与实际送评学位论文原文不一致的情况，将以学位论文原文为准计费。</w:t>
      </w:r>
    </w:p>
    <w:p>
      <w:pPr>
        <w:numPr>
          <w:ilvl w:val="0"/>
          <w:numId w:val="24"/>
        </w:numPr>
        <w:spacing w:line="560" w:lineRule="exact"/>
        <w:ind w:firstLine="480" w:firstLineChars="200"/>
        <w:rPr>
          <w:rFonts w:ascii="宋体" w:hAnsi="宋体" w:cs="宋体"/>
          <w:sz w:val="24"/>
          <w:szCs w:val="24"/>
        </w:rPr>
      </w:pPr>
      <w:r>
        <w:rPr>
          <w:rFonts w:hint="eastAsia" w:ascii="宋体" w:hAnsi="宋体" w:cs="宋体"/>
          <w:sz w:val="24"/>
          <w:szCs w:val="24"/>
        </w:rPr>
        <w:t>本协议有效期内甲方预计送评博士学位论文</w:t>
      </w:r>
      <w:r>
        <w:rPr>
          <w:rFonts w:hint="eastAsia" w:ascii="宋体" w:hAnsi="宋体" w:cs="宋体"/>
          <w:sz w:val="24"/>
          <w:szCs w:val="24"/>
          <w:u w:val="single"/>
        </w:rPr>
        <w:t xml:space="preserve"> 622 </w:t>
      </w:r>
      <w:r>
        <w:rPr>
          <w:rFonts w:hint="eastAsia" w:ascii="宋体" w:hAnsi="宋体" w:cs="宋体"/>
          <w:sz w:val="24"/>
          <w:szCs w:val="24"/>
        </w:rPr>
        <w:t>篇次、硕士学位论文</w:t>
      </w:r>
      <w:r>
        <w:rPr>
          <w:rFonts w:hint="eastAsia" w:ascii="宋体" w:hAnsi="宋体" w:cs="宋体"/>
          <w:sz w:val="24"/>
          <w:szCs w:val="24"/>
          <w:u w:val="single"/>
        </w:rPr>
        <w:t xml:space="preserve">2087 </w:t>
      </w:r>
      <w:r>
        <w:rPr>
          <w:rFonts w:hint="eastAsia" w:ascii="宋体" w:hAnsi="宋体" w:cs="宋体"/>
          <w:sz w:val="24"/>
          <w:szCs w:val="24"/>
        </w:rPr>
        <w:t>篇次，</w:t>
      </w:r>
      <w:r>
        <w:rPr>
          <w:rFonts w:hint="eastAsia" w:ascii="宋体" w:hAnsi="宋体" w:cs="宋体"/>
          <w:b/>
          <w:bCs/>
          <w:sz w:val="24"/>
          <w:szCs w:val="24"/>
        </w:rPr>
        <w:t>其中</w:t>
      </w:r>
      <w:r>
        <w:rPr>
          <w:rFonts w:hint="eastAsia" w:ascii="宋体" w:hAnsi="宋体" w:cs="宋体"/>
          <w:sz w:val="24"/>
          <w:szCs w:val="24"/>
        </w:rPr>
        <w:t>使用外国语言文字撰写（不包括文学学科门类）的博士学位论文</w:t>
      </w:r>
      <w:r>
        <w:rPr>
          <w:rFonts w:hint="eastAsia" w:ascii="宋体" w:hAnsi="宋体" w:cs="宋体"/>
          <w:sz w:val="24"/>
          <w:szCs w:val="24"/>
          <w:u w:val="single"/>
        </w:rPr>
        <w:t xml:space="preserve"> 12 </w:t>
      </w:r>
      <w:r>
        <w:rPr>
          <w:rFonts w:hint="eastAsia" w:ascii="宋体" w:hAnsi="宋体" w:cs="宋体"/>
          <w:sz w:val="24"/>
          <w:szCs w:val="24"/>
        </w:rPr>
        <w:t>篇次、硕士学位论文</w:t>
      </w:r>
      <w:r>
        <w:rPr>
          <w:rFonts w:hint="eastAsia" w:ascii="宋体" w:hAnsi="宋体" w:cs="宋体"/>
          <w:sz w:val="24"/>
          <w:szCs w:val="24"/>
          <w:u w:val="single"/>
        </w:rPr>
        <w:t>22</w:t>
      </w:r>
      <w:r>
        <w:rPr>
          <w:rFonts w:hint="eastAsia" w:ascii="宋体" w:hAnsi="宋体" w:cs="宋体"/>
          <w:sz w:val="24"/>
          <w:szCs w:val="24"/>
        </w:rPr>
        <w:t>篇次；预估甲方支付服务费总额为￥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元整）。</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服务费支付与结算</w:t>
      </w:r>
    </w:p>
    <w:p>
      <w:pPr>
        <w:numPr>
          <w:ilvl w:val="0"/>
          <w:numId w:val="25"/>
        </w:numPr>
        <w:spacing w:line="560" w:lineRule="exact"/>
        <w:rPr>
          <w:rFonts w:ascii="宋体" w:hAnsi="宋体" w:cs="宋体"/>
          <w:sz w:val="24"/>
          <w:szCs w:val="24"/>
        </w:rPr>
      </w:pPr>
      <w:r>
        <w:rPr>
          <w:rFonts w:hint="eastAsia" w:ascii="宋体" w:hAnsi="宋体" w:cs="宋体"/>
          <w:sz w:val="24"/>
          <w:szCs w:val="24"/>
        </w:rPr>
        <w:t>甲方可采取服务费一次性支付或分期支付方式。若甲方采取一次性支付方式，须于协议签署后，开始上传学位论文前，支付全部服务费。若甲方采取分期支付方式，本协议有效期内支付次数不超过两次。第一次支付金额不低于甲方预估服务费总额的60%，即￥</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元整），须于协议签署后，开始上传学位论文前完成支付；第二次根据实际送审篇次支付剩余全部服务费，须于2023年12月20日前完成支付。</w:t>
      </w:r>
    </w:p>
    <w:p>
      <w:pPr>
        <w:numPr>
          <w:ilvl w:val="0"/>
          <w:numId w:val="25"/>
        </w:numPr>
        <w:spacing w:line="560" w:lineRule="exact"/>
        <w:ind w:firstLine="480" w:firstLineChars="200"/>
        <w:rPr>
          <w:rFonts w:ascii="宋体" w:hAnsi="宋体" w:cs="宋体"/>
          <w:sz w:val="24"/>
          <w:szCs w:val="24"/>
        </w:rPr>
      </w:pPr>
      <w:r>
        <w:rPr>
          <w:rFonts w:hint="eastAsia" w:ascii="宋体" w:hAnsi="宋体" w:cs="宋体"/>
          <w:sz w:val="24"/>
          <w:szCs w:val="24"/>
        </w:rPr>
        <w:t>服务费金额以实际返回评议意见的学位论文篇次数量（即专家实际提交评议意见数量）计算，平台根据甲方学位论文送评进度自动计算服务费并在预付款中扣除，甲方可在平台实时查看服务费使用情况。完成阶段性送评后，甲方可在线申请下载《学位论文质量监测服务费用结算说明》（以下简称《结算说明》），乙方根据《结算说明》开具增值税普通发票。</w:t>
      </w:r>
    </w:p>
    <w:p>
      <w:pPr>
        <w:numPr>
          <w:ilvl w:val="0"/>
          <w:numId w:val="25"/>
        </w:numPr>
        <w:spacing w:line="560" w:lineRule="exact"/>
        <w:ind w:firstLine="480" w:firstLineChars="200"/>
        <w:rPr>
          <w:rFonts w:ascii="宋体" w:hAnsi="宋体" w:cs="宋体"/>
          <w:sz w:val="24"/>
          <w:szCs w:val="24"/>
        </w:rPr>
      </w:pPr>
      <w:r>
        <w:rPr>
          <w:rFonts w:hint="eastAsia" w:ascii="宋体" w:hAnsi="宋体" w:cs="宋体"/>
          <w:sz w:val="24"/>
          <w:szCs w:val="24"/>
        </w:rPr>
        <w:t>甲方可通过网银或支票汇款，汇款时须在“附言”处填入“院系（可选）+论文质量监测”字样，并在平台“缴费管理”中填写汇款信息、上传汇款凭证扫描件，经乙方确认款项到达乙方指定银行账户后，视为完成汇款；若平台收到甲方汇款凭证扫描件但乙方未查询到款项，甲方有义务配合乙方完成汇款情况确认。</w:t>
      </w:r>
    </w:p>
    <w:p>
      <w:pPr>
        <w:numPr>
          <w:ilvl w:val="0"/>
          <w:numId w:val="25"/>
        </w:numPr>
        <w:spacing w:line="560" w:lineRule="exact"/>
        <w:ind w:firstLine="480" w:firstLineChars="200"/>
        <w:rPr>
          <w:rFonts w:ascii="宋体" w:hAnsi="宋体" w:cs="宋体"/>
          <w:sz w:val="24"/>
          <w:szCs w:val="24"/>
        </w:rPr>
      </w:pPr>
      <w:r>
        <w:rPr>
          <w:rFonts w:hint="eastAsia" w:ascii="宋体" w:hAnsi="宋体" w:cs="宋体"/>
          <w:sz w:val="24"/>
          <w:szCs w:val="24"/>
        </w:rPr>
        <w:t>本协议有效期满，扣除实际发生的服务费后，若存在结余，按第</w:t>
      </w:r>
      <w:r>
        <w:rPr>
          <w:rFonts w:hint="eastAsia" w:ascii="宋体" w:hAnsi="宋体" w:cs="宋体"/>
          <w:sz w:val="24"/>
          <w:szCs w:val="24"/>
          <w:u w:val="single"/>
        </w:rPr>
        <w:t xml:space="preserve"> 1 </w:t>
      </w:r>
      <w:r>
        <w:rPr>
          <w:rFonts w:hint="eastAsia" w:ascii="宋体" w:hAnsi="宋体" w:cs="宋体"/>
          <w:sz w:val="24"/>
          <w:szCs w:val="24"/>
        </w:rPr>
        <w:t>种方式进行处理。</w:t>
      </w:r>
    </w:p>
    <w:p>
      <w:pPr>
        <w:numPr>
          <w:ilvl w:val="0"/>
          <w:numId w:val="26"/>
        </w:numPr>
        <w:spacing w:line="560" w:lineRule="exact"/>
        <w:ind w:firstLine="560"/>
        <w:rPr>
          <w:rFonts w:ascii="宋体" w:hAnsi="宋体" w:cs="宋体"/>
          <w:sz w:val="24"/>
          <w:szCs w:val="24"/>
        </w:rPr>
      </w:pPr>
      <w:r>
        <w:rPr>
          <w:rFonts w:hint="eastAsia" w:ascii="宋体" w:hAnsi="宋体" w:cs="宋体"/>
          <w:sz w:val="24"/>
          <w:szCs w:val="24"/>
        </w:rPr>
        <w:t>如需继续开展合作，待签署协议后转为甲方下期协议预付服务费。</w:t>
      </w:r>
    </w:p>
    <w:p>
      <w:pPr>
        <w:numPr>
          <w:ilvl w:val="0"/>
          <w:numId w:val="26"/>
        </w:numPr>
        <w:spacing w:line="560" w:lineRule="exact"/>
        <w:ind w:firstLine="480" w:firstLineChars="200"/>
        <w:rPr>
          <w:rFonts w:ascii="宋体" w:hAnsi="宋体" w:cs="宋体"/>
          <w:sz w:val="24"/>
          <w:szCs w:val="24"/>
        </w:rPr>
      </w:pPr>
      <w:r>
        <w:rPr>
          <w:rFonts w:hint="eastAsia" w:ascii="宋体" w:hAnsi="宋体" w:cs="宋体"/>
          <w:sz w:val="24"/>
          <w:szCs w:val="24"/>
        </w:rPr>
        <w:t>甲方提交退款申请，乙方确认后将结余退回至甲方指定银行账户。</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协议的有效期及变更与终止</w:t>
      </w:r>
    </w:p>
    <w:p>
      <w:pPr>
        <w:numPr>
          <w:ilvl w:val="0"/>
          <w:numId w:val="27"/>
        </w:numPr>
        <w:spacing w:line="560" w:lineRule="exact"/>
        <w:ind w:firstLine="480" w:firstLineChars="200"/>
        <w:rPr>
          <w:rFonts w:ascii="宋体" w:hAnsi="宋体" w:cs="宋体"/>
          <w:sz w:val="24"/>
          <w:szCs w:val="24"/>
        </w:rPr>
      </w:pPr>
      <w:r>
        <w:rPr>
          <w:rFonts w:hint="eastAsia" w:ascii="宋体" w:hAnsi="宋体" w:cs="宋体"/>
          <w:sz w:val="24"/>
          <w:szCs w:val="24"/>
        </w:rPr>
        <w:t>本协议有效期为协议签署之日起至</w:t>
      </w:r>
      <w:r>
        <w:rPr>
          <w:rFonts w:hint="eastAsia" w:ascii="宋体" w:hAnsi="宋体" w:cs="宋体"/>
          <w:sz w:val="24"/>
          <w:szCs w:val="24"/>
          <w:lang w:val="en-US" w:eastAsia="zh-CN"/>
        </w:rPr>
        <w:t>2024</w:t>
      </w:r>
      <w:r>
        <w:rPr>
          <w:rFonts w:hint="eastAsia" w:ascii="宋体" w:hAnsi="宋体" w:cs="宋体"/>
          <w:sz w:val="24"/>
          <w:szCs w:val="24"/>
          <w:u w:val="single"/>
        </w:rPr>
        <w:t>年</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月</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日</w:t>
      </w:r>
      <w:r>
        <w:rPr>
          <w:rFonts w:hint="eastAsia" w:ascii="宋体" w:hAnsi="宋体" w:cs="宋体"/>
          <w:sz w:val="24"/>
          <w:szCs w:val="24"/>
        </w:rPr>
        <w:t>，协议有效期满后自动终止，如需继续开展服务合作须另行签订协议。</w:t>
      </w:r>
    </w:p>
    <w:p>
      <w:pPr>
        <w:numPr>
          <w:ilvl w:val="0"/>
          <w:numId w:val="27"/>
        </w:numPr>
        <w:spacing w:line="560" w:lineRule="exact"/>
        <w:ind w:firstLine="480" w:firstLineChars="200"/>
        <w:rPr>
          <w:rFonts w:ascii="宋体" w:hAnsi="宋体" w:cs="宋体"/>
          <w:sz w:val="24"/>
          <w:szCs w:val="24"/>
        </w:rPr>
      </w:pPr>
      <w:r>
        <w:rPr>
          <w:rFonts w:hint="eastAsia" w:ascii="宋体" w:hAnsi="宋体" w:cs="宋体"/>
          <w:sz w:val="24"/>
          <w:szCs w:val="24"/>
        </w:rPr>
        <w:t>本协议条款不得随意变更或删除，如确须变更协议内容，须经双方协商同意后，另行签订补充服务协议。</w:t>
      </w:r>
    </w:p>
    <w:p>
      <w:pPr>
        <w:numPr>
          <w:ilvl w:val="0"/>
          <w:numId w:val="27"/>
        </w:numPr>
        <w:spacing w:line="560" w:lineRule="exact"/>
        <w:ind w:firstLine="480" w:firstLineChars="200"/>
        <w:rPr>
          <w:rFonts w:ascii="宋体" w:hAnsi="宋体" w:cs="宋体"/>
          <w:sz w:val="24"/>
          <w:szCs w:val="24"/>
        </w:rPr>
      </w:pPr>
      <w:r>
        <w:rPr>
          <w:rFonts w:hint="eastAsia" w:ascii="宋体" w:hAnsi="宋体" w:cs="宋体"/>
          <w:sz w:val="24"/>
          <w:szCs w:val="24"/>
        </w:rPr>
        <w:t>因自然灾害、战争、政策调整等不可抗力等原因导致本协议无法履行，本协议将自动终止。协议终止后乙方应于一个月内将扣除实际发生服务费后的结余退回甲方。</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违约责任</w:t>
      </w:r>
    </w:p>
    <w:p>
      <w:pPr>
        <w:numPr>
          <w:ilvl w:val="0"/>
          <w:numId w:val="28"/>
        </w:numPr>
        <w:spacing w:line="560" w:lineRule="exact"/>
        <w:ind w:firstLine="480" w:firstLineChars="200"/>
        <w:rPr>
          <w:rFonts w:ascii="宋体" w:hAnsi="宋体" w:cs="宋体"/>
          <w:sz w:val="24"/>
          <w:szCs w:val="24"/>
        </w:rPr>
      </w:pPr>
      <w:r>
        <w:rPr>
          <w:rFonts w:hint="eastAsia" w:ascii="宋体" w:hAnsi="宋体" w:cs="宋体"/>
          <w:sz w:val="24"/>
          <w:szCs w:val="24"/>
        </w:rPr>
        <w:t>若因甲方人为因素导致送评工作无法顺利进行，影响学位论文送评工作进度以及专家评议结果的，甲方按过错承担责任，因此产生的质量监测服务费由甲方在责任范围内承担，乙方有权暂停甲方平台使用权限或与甲方终止合作。</w:t>
      </w:r>
    </w:p>
    <w:p>
      <w:pPr>
        <w:numPr>
          <w:ilvl w:val="0"/>
          <w:numId w:val="28"/>
        </w:numPr>
        <w:spacing w:line="560" w:lineRule="exact"/>
        <w:ind w:firstLine="480" w:firstLineChars="200"/>
        <w:rPr>
          <w:rFonts w:ascii="宋体" w:hAnsi="宋体" w:cs="宋体"/>
          <w:sz w:val="24"/>
          <w:szCs w:val="24"/>
        </w:rPr>
      </w:pPr>
      <w:r>
        <w:rPr>
          <w:rFonts w:hint="eastAsia" w:ascii="宋体" w:hAnsi="宋体" w:cs="宋体"/>
          <w:sz w:val="24"/>
          <w:szCs w:val="24"/>
        </w:rPr>
        <w:t>若因甲方未按约定及时支付质量监测服务费，导致平台送评服务中断，责任由甲方承担。</w:t>
      </w:r>
    </w:p>
    <w:p>
      <w:pPr>
        <w:numPr>
          <w:ilvl w:val="0"/>
          <w:numId w:val="28"/>
        </w:numPr>
        <w:spacing w:line="560" w:lineRule="exact"/>
        <w:ind w:firstLine="480" w:firstLineChars="200"/>
        <w:rPr>
          <w:rFonts w:ascii="宋体" w:hAnsi="宋体" w:cs="宋体"/>
          <w:sz w:val="24"/>
          <w:szCs w:val="24"/>
        </w:rPr>
      </w:pPr>
      <w:r>
        <w:rPr>
          <w:rFonts w:hint="eastAsia" w:ascii="宋体" w:hAnsi="宋体" w:cs="宋体"/>
          <w:sz w:val="24"/>
          <w:szCs w:val="24"/>
        </w:rPr>
        <w:t>若因乙方人为因素导致送评工作无法顺利进行，影响学位论文送评工作进度以及专家评议结果的，乙方按过错承担责任，因此产生的质量监测服务费由乙方在责任范围内承担，甲方有权终止合作。</w:t>
      </w:r>
    </w:p>
    <w:p>
      <w:pPr>
        <w:numPr>
          <w:ilvl w:val="0"/>
          <w:numId w:val="28"/>
        </w:numPr>
        <w:spacing w:line="560" w:lineRule="exact"/>
        <w:ind w:firstLine="480" w:firstLineChars="200"/>
        <w:rPr>
          <w:rFonts w:ascii="宋体" w:hAnsi="宋体" w:cs="宋体"/>
          <w:sz w:val="24"/>
          <w:szCs w:val="24"/>
        </w:rPr>
      </w:pPr>
      <w:r>
        <w:rPr>
          <w:rFonts w:hint="eastAsia" w:ascii="宋体" w:hAnsi="宋体" w:cs="宋体"/>
          <w:sz w:val="24"/>
          <w:szCs w:val="24"/>
        </w:rPr>
        <w:t>若因人为因素以外的客观原因导致送评工作无法顺利进行，则双方互不承担责任，所产生的费用由双方按照平等原则分担。</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争议解决办法</w:t>
      </w:r>
    </w:p>
    <w:p>
      <w:pPr>
        <w:spacing w:line="560" w:lineRule="exact"/>
        <w:ind w:firstLine="480" w:firstLineChars="200"/>
        <w:rPr>
          <w:rFonts w:ascii="宋体" w:hAnsi="宋体" w:cs="宋体"/>
          <w:sz w:val="24"/>
          <w:szCs w:val="24"/>
        </w:rPr>
      </w:pPr>
      <w:r>
        <w:rPr>
          <w:rFonts w:hint="eastAsia" w:ascii="宋体" w:hAnsi="宋体" w:cs="宋体"/>
          <w:sz w:val="24"/>
          <w:szCs w:val="24"/>
        </w:rPr>
        <w:t>若双方就本协议内容或在执行过程中发生任何争议，由双方协商或请有关部门调解解决；如协商或调解不成，向乙方所在地的法院提出诉讼。</w:t>
      </w:r>
    </w:p>
    <w:p>
      <w:pPr>
        <w:widowControl/>
        <w:numPr>
          <w:ilvl w:val="0"/>
          <w:numId w:val="17"/>
        </w:numPr>
        <w:spacing w:line="560" w:lineRule="exact"/>
        <w:ind w:firstLine="482" w:firstLineChars="200"/>
        <w:rPr>
          <w:rFonts w:ascii="宋体" w:hAnsi="宋体" w:cs="宋体"/>
          <w:b/>
          <w:bCs/>
          <w:sz w:val="24"/>
          <w:szCs w:val="24"/>
        </w:rPr>
      </w:pPr>
      <w:r>
        <w:rPr>
          <w:rFonts w:hint="eastAsia" w:ascii="宋体" w:hAnsi="宋体" w:cs="宋体"/>
          <w:b/>
          <w:bCs/>
          <w:sz w:val="24"/>
          <w:szCs w:val="24"/>
        </w:rPr>
        <w:t>其他</w:t>
      </w:r>
    </w:p>
    <w:p>
      <w:pPr>
        <w:numPr>
          <w:ilvl w:val="0"/>
          <w:numId w:val="29"/>
        </w:numPr>
        <w:spacing w:line="560" w:lineRule="exact"/>
        <w:ind w:firstLine="480" w:firstLineChars="200"/>
        <w:rPr>
          <w:rFonts w:ascii="宋体" w:hAnsi="宋体" w:cs="宋体"/>
          <w:sz w:val="24"/>
          <w:szCs w:val="24"/>
        </w:rPr>
      </w:pPr>
      <w:r>
        <w:rPr>
          <w:rFonts w:hint="eastAsia" w:ascii="宋体" w:hAnsi="宋体" w:cs="宋体"/>
          <w:sz w:val="24"/>
          <w:szCs w:val="24"/>
        </w:rPr>
        <w:t>本协议一式肆份，甲、乙双方各执贰份。公章须为双方法人公章或合同专用章，签字须为双方法定代表人或委托代理人，由委托代理人签字的须提供本单位法定代表人授权的书面证明。</w:t>
      </w:r>
    </w:p>
    <w:p>
      <w:pPr>
        <w:numPr>
          <w:ilvl w:val="0"/>
          <w:numId w:val="29"/>
        </w:numPr>
        <w:spacing w:line="560" w:lineRule="exact"/>
        <w:ind w:firstLine="480" w:firstLineChars="200"/>
        <w:rPr>
          <w:rFonts w:eastAsia="仿宋_GB2312"/>
          <w:sz w:val="28"/>
          <w:szCs w:val="28"/>
        </w:rPr>
      </w:pPr>
      <w:r>
        <w:rPr>
          <w:rFonts w:hint="eastAsia" w:ascii="宋体" w:hAnsi="宋体" w:cs="宋体"/>
          <w:sz w:val="24"/>
          <w:szCs w:val="24"/>
        </w:rPr>
        <w:t>本协议最终解释权归乙方所有，自双方法定代表人或委托代理人签字并加盖公章之日起生效。</w:t>
      </w:r>
    </w:p>
    <w:tbl>
      <w:tblPr>
        <w:tblStyle w:val="30"/>
        <w:tblpPr w:leftFromText="180" w:rightFromText="180" w:vertAnchor="text" w:horzAnchor="page" w:tblpX="1899" w:tblpY="670"/>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9"/>
        <w:gridCol w:w="1111"/>
        <w:gridCol w:w="879"/>
        <w:gridCol w:w="1134"/>
        <w:gridCol w:w="283"/>
        <w:gridCol w:w="1236"/>
        <w:gridCol w:w="1134"/>
        <w:gridCol w:w="776"/>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540" w:lineRule="exact"/>
              <w:rPr>
                <w:rFonts w:ascii="宋体" w:hAnsi="宋体" w:cs="宋体"/>
                <w:sz w:val="24"/>
                <w:szCs w:val="24"/>
              </w:rPr>
            </w:pPr>
            <w:r>
              <w:rPr>
                <w:rFonts w:hint="eastAsia" w:ascii="宋体" w:hAnsi="宋体" w:cs="宋体"/>
                <w:sz w:val="24"/>
                <w:szCs w:val="24"/>
              </w:rPr>
              <w:t>甲方（名称、公章/合同专用章）：</w:t>
            </w:r>
          </w:p>
        </w:tc>
        <w:tc>
          <w:tcPr>
            <w:tcW w:w="283" w:type="dxa"/>
          </w:tcPr>
          <w:p>
            <w:pPr>
              <w:spacing w:line="540" w:lineRule="exact"/>
              <w:rPr>
                <w:rFonts w:ascii="宋体" w:hAnsi="宋体" w:cs="宋体"/>
                <w:sz w:val="24"/>
                <w:szCs w:val="24"/>
              </w:rPr>
            </w:pPr>
          </w:p>
        </w:tc>
        <w:tc>
          <w:tcPr>
            <w:tcW w:w="4253" w:type="dxa"/>
            <w:gridSpan w:val="4"/>
          </w:tcPr>
          <w:p>
            <w:pPr>
              <w:spacing w:line="540" w:lineRule="exact"/>
              <w:rPr>
                <w:rFonts w:ascii="宋体" w:hAnsi="宋体" w:cs="宋体"/>
                <w:sz w:val="24"/>
                <w:szCs w:val="24"/>
              </w:rPr>
            </w:pPr>
            <w:r>
              <w:rPr>
                <w:rFonts w:hint="eastAsia" w:ascii="宋体" w:hAnsi="宋体" w:cs="宋体"/>
                <w:sz w:val="24"/>
                <w:szCs w:val="24"/>
              </w:rPr>
              <w:t>乙方（名称、公章/合同专用章）：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540" w:lineRule="exact"/>
              <w:rPr>
                <w:rFonts w:ascii="宋体" w:hAnsi="宋体" w:cs="宋体"/>
                <w:sz w:val="24"/>
                <w:szCs w:val="24"/>
                <w:u w:val="thick"/>
              </w:rPr>
            </w:pPr>
            <w:r>
              <w:rPr>
                <w:rFonts w:hint="eastAsia" w:ascii="宋体" w:hAnsi="宋体" w:cs="宋体"/>
                <w:sz w:val="24"/>
                <w:szCs w:val="24"/>
                <w:u w:val="thick"/>
              </w:rPr>
              <w:t xml:space="preserve">  西安建筑科技大学</w:t>
            </w:r>
          </w:p>
        </w:tc>
        <w:tc>
          <w:tcPr>
            <w:tcW w:w="283" w:type="dxa"/>
          </w:tcPr>
          <w:p>
            <w:pPr>
              <w:spacing w:line="540" w:lineRule="exact"/>
              <w:rPr>
                <w:rFonts w:ascii="宋体" w:hAnsi="宋体" w:cs="宋体"/>
                <w:sz w:val="24"/>
                <w:szCs w:val="24"/>
                <w:u w:val="thick"/>
              </w:rPr>
            </w:pPr>
          </w:p>
        </w:tc>
        <w:tc>
          <w:tcPr>
            <w:tcW w:w="4253" w:type="dxa"/>
            <w:gridSpan w:val="4"/>
          </w:tcPr>
          <w:p>
            <w:pPr>
              <w:spacing w:line="540" w:lineRule="exact"/>
              <w:rPr>
                <w:rFonts w:ascii="宋体" w:hAnsi="宋体" w:cs="宋体"/>
                <w:sz w:val="24"/>
                <w:szCs w:val="24"/>
                <w:u w:val="thick"/>
              </w:rPr>
            </w:pPr>
            <w:r>
              <w:rPr>
                <w:rFonts w:hint="eastAsia" w:ascii="宋体" w:hAnsi="宋体" w:cs="宋体"/>
                <w:sz w:val="24"/>
                <w:szCs w:val="24"/>
                <w:u w:val="thick"/>
              </w:rPr>
              <w:t xml:space="preserve">  教育部学位与研究生教育发展中心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540" w:lineRule="exact"/>
              <w:rPr>
                <w:rFonts w:ascii="宋体" w:hAnsi="宋体" w:cs="宋体"/>
                <w:sz w:val="24"/>
                <w:szCs w:val="24"/>
              </w:rPr>
            </w:pPr>
          </w:p>
        </w:tc>
        <w:tc>
          <w:tcPr>
            <w:tcW w:w="283" w:type="dxa"/>
          </w:tcPr>
          <w:p>
            <w:pPr>
              <w:spacing w:line="540" w:lineRule="exact"/>
              <w:rPr>
                <w:rFonts w:ascii="宋体" w:hAnsi="宋体" w:cs="宋体"/>
                <w:sz w:val="24"/>
                <w:szCs w:val="24"/>
              </w:rPr>
            </w:pPr>
          </w:p>
        </w:tc>
        <w:tc>
          <w:tcPr>
            <w:tcW w:w="4253" w:type="dxa"/>
            <w:gridSpan w:val="4"/>
          </w:tcPr>
          <w:p>
            <w:pPr>
              <w:spacing w:line="540" w:lineRule="exact"/>
              <w:rPr>
                <w:rFonts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540" w:lineRule="exact"/>
              <w:rPr>
                <w:rFonts w:ascii="宋体" w:hAnsi="宋体" w:cs="宋体"/>
                <w:sz w:val="24"/>
                <w:szCs w:val="24"/>
              </w:rPr>
            </w:pPr>
            <w:r>
              <w:rPr>
                <w:rFonts w:hint="eastAsia" w:ascii="宋体" w:hAnsi="宋体" w:cs="宋体"/>
                <w:sz w:val="24"/>
                <w:szCs w:val="24"/>
              </w:rPr>
              <w:t xml:space="preserve">甲方法定代表人或委托代理人（签字/盖章）：  </w:t>
            </w:r>
          </w:p>
        </w:tc>
        <w:tc>
          <w:tcPr>
            <w:tcW w:w="283" w:type="dxa"/>
          </w:tcPr>
          <w:p>
            <w:pPr>
              <w:spacing w:line="540" w:lineRule="exact"/>
              <w:rPr>
                <w:rFonts w:ascii="宋体" w:hAnsi="宋体" w:cs="宋体"/>
                <w:sz w:val="24"/>
                <w:szCs w:val="24"/>
              </w:rPr>
            </w:pPr>
          </w:p>
        </w:tc>
        <w:tc>
          <w:tcPr>
            <w:tcW w:w="4253" w:type="dxa"/>
            <w:gridSpan w:val="4"/>
          </w:tcPr>
          <w:p>
            <w:pPr>
              <w:spacing w:line="540" w:lineRule="exact"/>
              <w:rPr>
                <w:rFonts w:ascii="宋体" w:hAnsi="宋体" w:cs="宋体"/>
                <w:sz w:val="24"/>
                <w:szCs w:val="24"/>
              </w:rPr>
            </w:pPr>
            <w:r>
              <w:rPr>
                <w:rFonts w:hint="eastAsia" w:ascii="宋体" w:hAnsi="宋体" w:cs="宋体"/>
                <w:sz w:val="24"/>
                <w:szCs w:val="24"/>
              </w:rPr>
              <w:t>乙方法定代表人或委托代理人（签字/盖章）：</w:t>
            </w:r>
          </w:p>
          <w:p>
            <w:pPr>
              <w:spacing w:line="540" w:lineRule="exact"/>
              <w:rPr>
                <w:rFonts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253" w:type="dxa"/>
            <w:gridSpan w:val="4"/>
          </w:tcPr>
          <w:p>
            <w:pPr>
              <w:spacing w:line="540" w:lineRule="exact"/>
              <w:rPr>
                <w:rFonts w:ascii="宋体" w:hAnsi="宋体" w:cs="宋体"/>
                <w:sz w:val="24"/>
                <w:szCs w:val="24"/>
              </w:rPr>
            </w:pPr>
          </w:p>
        </w:tc>
        <w:tc>
          <w:tcPr>
            <w:tcW w:w="283" w:type="dxa"/>
          </w:tcPr>
          <w:p>
            <w:pPr>
              <w:spacing w:line="540" w:lineRule="exact"/>
              <w:rPr>
                <w:rFonts w:ascii="宋体" w:hAnsi="宋体" w:cs="宋体"/>
                <w:sz w:val="24"/>
                <w:szCs w:val="24"/>
              </w:rPr>
            </w:pPr>
          </w:p>
        </w:tc>
        <w:tc>
          <w:tcPr>
            <w:tcW w:w="4253" w:type="dxa"/>
            <w:gridSpan w:val="4"/>
          </w:tcPr>
          <w:p>
            <w:pPr>
              <w:spacing w:line="540" w:lineRule="exact"/>
              <w:rPr>
                <w:rFonts w:ascii="宋体" w:hAnsi="宋体" w:cs="宋体"/>
                <w:sz w:val="24"/>
                <w:szCs w:val="24"/>
              </w:rPr>
            </w:pPr>
          </w:p>
          <w:p>
            <w:pPr>
              <w:spacing w:line="540" w:lineRule="exact"/>
              <w:rPr>
                <w:rFonts w:ascii="宋体" w:hAnsi="宋体" w:cs="宋体"/>
                <w:sz w:val="24"/>
                <w:szCs w:val="24"/>
              </w:rPr>
            </w:pPr>
          </w:p>
          <w:p>
            <w:pPr>
              <w:spacing w:line="540" w:lineRule="exact"/>
              <w:rPr>
                <w:rFonts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129" w:type="dxa"/>
          </w:tcPr>
          <w:p>
            <w:pPr>
              <w:spacing w:line="540" w:lineRule="exact"/>
              <w:rPr>
                <w:rFonts w:ascii="宋体" w:hAnsi="宋体" w:cs="宋体"/>
                <w:sz w:val="24"/>
                <w:szCs w:val="24"/>
              </w:rPr>
            </w:pPr>
            <w:r>
              <w:rPr>
                <w:rFonts w:hint="eastAsia" w:ascii="宋体" w:hAnsi="宋体" w:cs="宋体"/>
                <w:sz w:val="24"/>
                <w:szCs w:val="24"/>
              </w:rPr>
              <w:t xml:space="preserve">日期：               </w:t>
            </w:r>
          </w:p>
        </w:tc>
        <w:tc>
          <w:tcPr>
            <w:tcW w:w="1111" w:type="dxa"/>
          </w:tcPr>
          <w:p>
            <w:pPr>
              <w:spacing w:line="540" w:lineRule="exact"/>
              <w:jc w:val="right"/>
              <w:rPr>
                <w:rFonts w:ascii="宋体" w:hAnsi="宋体" w:cs="宋体"/>
                <w:sz w:val="24"/>
                <w:szCs w:val="24"/>
              </w:rPr>
            </w:pPr>
            <w:r>
              <w:rPr>
                <w:rFonts w:hint="eastAsia" w:ascii="宋体" w:hAnsi="宋体" w:cs="宋体"/>
                <w:sz w:val="24"/>
                <w:szCs w:val="24"/>
              </w:rPr>
              <w:t>年</w:t>
            </w:r>
          </w:p>
        </w:tc>
        <w:tc>
          <w:tcPr>
            <w:tcW w:w="879" w:type="dxa"/>
          </w:tcPr>
          <w:p>
            <w:pPr>
              <w:spacing w:line="540" w:lineRule="exact"/>
              <w:jc w:val="right"/>
              <w:rPr>
                <w:rFonts w:ascii="宋体" w:hAnsi="宋体" w:cs="宋体"/>
                <w:sz w:val="24"/>
                <w:szCs w:val="24"/>
              </w:rPr>
            </w:pPr>
            <w:r>
              <w:rPr>
                <w:rFonts w:hint="eastAsia" w:ascii="宋体" w:hAnsi="宋体" w:cs="宋体"/>
                <w:sz w:val="24"/>
                <w:szCs w:val="24"/>
              </w:rPr>
              <w:t>月</w:t>
            </w:r>
          </w:p>
        </w:tc>
        <w:tc>
          <w:tcPr>
            <w:tcW w:w="1134" w:type="dxa"/>
          </w:tcPr>
          <w:p>
            <w:pPr>
              <w:spacing w:line="540" w:lineRule="exact"/>
              <w:jc w:val="right"/>
              <w:rPr>
                <w:rFonts w:ascii="宋体" w:hAnsi="宋体" w:cs="宋体"/>
                <w:sz w:val="24"/>
                <w:szCs w:val="24"/>
              </w:rPr>
            </w:pPr>
            <w:r>
              <w:rPr>
                <w:rFonts w:hint="eastAsia" w:ascii="宋体" w:hAnsi="宋体" w:cs="宋体"/>
                <w:sz w:val="24"/>
                <w:szCs w:val="24"/>
              </w:rPr>
              <w:t>日</w:t>
            </w:r>
          </w:p>
        </w:tc>
        <w:tc>
          <w:tcPr>
            <w:tcW w:w="283" w:type="dxa"/>
          </w:tcPr>
          <w:p>
            <w:pPr>
              <w:spacing w:line="540" w:lineRule="exact"/>
              <w:rPr>
                <w:rFonts w:ascii="宋体" w:hAnsi="宋体" w:cs="宋体"/>
                <w:sz w:val="24"/>
                <w:szCs w:val="24"/>
              </w:rPr>
            </w:pPr>
          </w:p>
        </w:tc>
        <w:tc>
          <w:tcPr>
            <w:tcW w:w="1236" w:type="dxa"/>
          </w:tcPr>
          <w:p>
            <w:pPr>
              <w:spacing w:line="540" w:lineRule="exact"/>
              <w:rPr>
                <w:rFonts w:ascii="宋体" w:hAnsi="宋体" w:cs="宋体"/>
                <w:sz w:val="24"/>
                <w:szCs w:val="24"/>
              </w:rPr>
            </w:pPr>
            <w:r>
              <w:rPr>
                <w:rFonts w:hint="eastAsia" w:ascii="宋体" w:hAnsi="宋体" w:cs="宋体"/>
                <w:sz w:val="24"/>
                <w:szCs w:val="24"/>
              </w:rPr>
              <w:t xml:space="preserve">日期：               </w:t>
            </w:r>
          </w:p>
        </w:tc>
        <w:tc>
          <w:tcPr>
            <w:tcW w:w="1134" w:type="dxa"/>
          </w:tcPr>
          <w:p>
            <w:pPr>
              <w:spacing w:line="540" w:lineRule="exact"/>
              <w:jc w:val="right"/>
              <w:rPr>
                <w:rFonts w:ascii="宋体" w:hAnsi="宋体" w:cs="宋体"/>
                <w:sz w:val="24"/>
                <w:szCs w:val="24"/>
              </w:rPr>
            </w:pPr>
            <w:r>
              <w:rPr>
                <w:rFonts w:hint="eastAsia" w:ascii="宋体" w:hAnsi="宋体" w:cs="宋体"/>
                <w:sz w:val="24"/>
                <w:szCs w:val="24"/>
              </w:rPr>
              <w:t>年</w:t>
            </w:r>
          </w:p>
        </w:tc>
        <w:tc>
          <w:tcPr>
            <w:tcW w:w="776" w:type="dxa"/>
          </w:tcPr>
          <w:p>
            <w:pPr>
              <w:spacing w:line="540" w:lineRule="exact"/>
              <w:jc w:val="right"/>
              <w:rPr>
                <w:rFonts w:ascii="宋体" w:hAnsi="宋体" w:cs="宋体"/>
                <w:sz w:val="24"/>
                <w:szCs w:val="24"/>
              </w:rPr>
            </w:pPr>
            <w:r>
              <w:rPr>
                <w:rFonts w:hint="eastAsia" w:ascii="宋体" w:hAnsi="宋体" w:cs="宋体"/>
                <w:sz w:val="24"/>
                <w:szCs w:val="24"/>
              </w:rPr>
              <w:t>月</w:t>
            </w:r>
          </w:p>
        </w:tc>
        <w:tc>
          <w:tcPr>
            <w:tcW w:w="1107" w:type="dxa"/>
          </w:tcPr>
          <w:p>
            <w:pPr>
              <w:spacing w:line="540" w:lineRule="exact"/>
              <w:jc w:val="right"/>
              <w:rPr>
                <w:rFonts w:ascii="宋体" w:hAnsi="宋体" w:cs="宋体"/>
                <w:sz w:val="24"/>
                <w:szCs w:val="24"/>
              </w:rPr>
            </w:pPr>
            <w:r>
              <w:rPr>
                <w:rFonts w:hint="eastAsia" w:ascii="宋体" w:hAnsi="宋体" w:cs="宋体"/>
                <w:sz w:val="24"/>
                <w:szCs w:val="24"/>
              </w:rPr>
              <w:t>日</w:t>
            </w:r>
          </w:p>
        </w:tc>
      </w:tr>
    </w:tbl>
    <w:p>
      <w:pPr>
        <w:numPr>
          <w:ilvl w:val="255"/>
          <w:numId w:val="0"/>
        </w:numPr>
        <w:spacing w:line="540" w:lineRule="exact"/>
        <w:rPr>
          <w:rFonts w:eastAsia="仿宋_GB2312"/>
          <w:sz w:val="28"/>
          <w:szCs w:val="28"/>
        </w:rPr>
      </w:pPr>
    </w:p>
    <w:p>
      <w:pPr>
        <w:tabs>
          <w:tab w:val="left" w:pos="5355"/>
        </w:tabs>
        <w:spacing w:line="360" w:lineRule="auto"/>
        <w:rPr>
          <w:rFonts w:ascii="宋体" w:hAnsi="宋体"/>
          <w:b/>
          <w:sz w:val="24"/>
          <w:szCs w:val="24"/>
        </w:rPr>
      </w:pPr>
    </w:p>
    <w:p>
      <w:pPr>
        <w:pStyle w:val="2"/>
        <w:keepNext w:val="0"/>
        <w:pageBreakBefore/>
        <w:spacing w:beforeLines="100" w:afterLines="150" w:line="500" w:lineRule="exact"/>
        <w:rPr>
          <w:rFonts w:ascii="宋体" w:cs="宋体"/>
        </w:rPr>
      </w:pPr>
      <w:bookmarkStart w:id="60" w:name="_Toc2234"/>
      <w:bookmarkStart w:id="61" w:name="_Toc22811"/>
      <w:r>
        <w:rPr>
          <w:rFonts w:hint="eastAsia" w:ascii="宋体" w:hAnsi="宋体" w:cs="宋体"/>
          <w:sz w:val="36"/>
          <w:szCs w:val="36"/>
        </w:rPr>
        <w:t>第七部分</w:t>
      </w:r>
      <w:r>
        <w:rPr>
          <w:rFonts w:ascii="宋体" w:hAnsi="宋体" w:cs="宋体"/>
          <w:sz w:val="36"/>
          <w:szCs w:val="36"/>
        </w:rPr>
        <w:t xml:space="preserve">  </w:t>
      </w:r>
      <w:r>
        <w:rPr>
          <w:rFonts w:hint="eastAsia" w:ascii="宋体" w:hAnsi="宋体" w:cs="宋体"/>
          <w:sz w:val="36"/>
          <w:szCs w:val="36"/>
        </w:rPr>
        <w:t>响应文件格式</w:t>
      </w:r>
      <w:bookmarkEnd w:id="60"/>
      <w:bookmarkEnd w:id="61"/>
    </w:p>
    <w:p>
      <w:pPr>
        <w:adjustRightInd w:val="0"/>
        <w:snapToGrid w:val="0"/>
        <w:spacing w:line="500" w:lineRule="exact"/>
        <w:jc w:val="left"/>
        <w:rPr>
          <w:rFonts w:ascii="宋体" w:cs="宋体"/>
          <w:b/>
          <w:w w:val="120"/>
          <w:sz w:val="28"/>
          <w:szCs w:val="28"/>
        </w:rPr>
      </w:pPr>
      <w:r>
        <w:rPr>
          <w:rFonts w:hint="eastAsia" w:ascii="宋体" w:hAnsi="宋体" w:cs="宋体"/>
          <w:b/>
          <w:w w:val="120"/>
          <w:sz w:val="28"/>
          <w:szCs w:val="28"/>
        </w:rPr>
        <w:t>项目编号：</w:t>
      </w:r>
      <w:r>
        <w:rPr>
          <w:rFonts w:ascii="宋体" w:hAnsi="宋体" w:cs="宋体"/>
          <w:b/>
          <w:w w:val="120"/>
          <w:sz w:val="28"/>
          <w:szCs w:val="28"/>
        </w:rPr>
        <w:t xml:space="preserve"> </w:t>
      </w:r>
      <w:r>
        <w:rPr>
          <w:rFonts w:hint="eastAsia" w:ascii="宋体" w:hAnsi="宋体" w:cs="宋体"/>
          <w:b/>
          <w:w w:val="120"/>
          <w:sz w:val="28"/>
          <w:szCs w:val="28"/>
        </w:rPr>
        <w:t>ZMZB2023XJD-296</w:t>
      </w:r>
      <w:r>
        <w:rPr>
          <w:rFonts w:ascii="宋体" w:hAnsi="宋体" w:cs="宋体"/>
          <w:b/>
          <w:w w:val="120"/>
          <w:sz w:val="28"/>
          <w:szCs w:val="28"/>
        </w:rPr>
        <w:t xml:space="preserve">       </w:t>
      </w:r>
      <w:r>
        <w:rPr>
          <w:rFonts w:hint="eastAsia" w:ascii="宋体" w:hAnsi="宋体" w:cs="宋体"/>
          <w:b/>
          <w:w w:val="120"/>
          <w:sz w:val="28"/>
          <w:szCs w:val="28"/>
        </w:rPr>
        <w:t>（正本或副本）</w:t>
      </w:r>
    </w:p>
    <w:p>
      <w:pPr>
        <w:snapToGrid w:val="0"/>
        <w:spacing w:line="360" w:lineRule="auto"/>
        <w:ind w:right="-99" w:rightChars="-47"/>
        <w:jc w:val="center"/>
        <w:rPr>
          <w:rFonts w:ascii="宋体" w:cs="宋体"/>
          <w:b/>
          <w:bCs/>
          <w:sz w:val="72"/>
          <w:szCs w:val="72"/>
        </w:rPr>
      </w:pPr>
    </w:p>
    <w:p>
      <w:pPr>
        <w:pStyle w:val="8"/>
        <w:jc w:val="center"/>
        <w:rPr>
          <w:rFonts w:ascii="宋体" w:cs="宋体"/>
          <w:b/>
          <w:bCs/>
          <w:sz w:val="48"/>
          <w:szCs w:val="44"/>
        </w:rPr>
      </w:pPr>
      <w:r>
        <w:rPr>
          <w:rFonts w:hint="eastAsia" w:ascii="宋体" w:cs="宋体"/>
          <w:b/>
          <w:bCs/>
          <w:sz w:val="48"/>
          <w:szCs w:val="44"/>
        </w:rPr>
        <w:t>西安建筑科技大学教育部学位与研究生教育发展中心学位论文质量监测服务采购项目</w:t>
      </w:r>
    </w:p>
    <w:p>
      <w:pPr>
        <w:pStyle w:val="28"/>
        <w:ind w:firstLine="964"/>
        <w:rPr>
          <w:rFonts w:ascii="宋体" w:cs="宋体"/>
          <w:b/>
          <w:bCs/>
          <w:sz w:val="48"/>
          <w:szCs w:val="44"/>
        </w:rPr>
      </w:pPr>
    </w:p>
    <w:p>
      <w:pPr>
        <w:pStyle w:val="28"/>
        <w:ind w:firstLine="964"/>
        <w:rPr>
          <w:rFonts w:ascii="宋体" w:cs="宋体"/>
          <w:b/>
          <w:bCs/>
          <w:sz w:val="48"/>
          <w:szCs w:val="44"/>
        </w:rPr>
      </w:pPr>
    </w:p>
    <w:p>
      <w:pPr>
        <w:pStyle w:val="28"/>
        <w:ind w:firstLine="964"/>
        <w:rPr>
          <w:rFonts w:ascii="宋体" w:cs="宋体"/>
          <w:b/>
          <w:bCs/>
          <w:sz w:val="48"/>
          <w:szCs w:val="44"/>
        </w:rPr>
      </w:pPr>
    </w:p>
    <w:p>
      <w:pPr>
        <w:pStyle w:val="28"/>
        <w:ind w:firstLine="400"/>
      </w:pPr>
    </w:p>
    <w:p>
      <w:pPr>
        <w:snapToGrid w:val="0"/>
        <w:spacing w:line="480" w:lineRule="auto"/>
        <w:ind w:firstLine="2891" w:firstLineChars="400"/>
        <w:rPr>
          <w:rFonts w:ascii="宋体" w:cs="宋体"/>
          <w:b/>
          <w:bCs/>
          <w:sz w:val="72"/>
          <w:szCs w:val="72"/>
        </w:rPr>
      </w:pPr>
      <w:r>
        <w:rPr>
          <w:rFonts w:hint="eastAsia" w:ascii="宋体" w:hAnsi="宋体" w:cs="宋体"/>
          <w:b/>
          <w:bCs/>
          <w:sz w:val="72"/>
          <w:szCs w:val="72"/>
        </w:rPr>
        <w:t>响应文件</w:t>
      </w:r>
    </w:p>
    <w:p>
      <w:pPr>
        <w:snapToGrid w:val="0"/>
        <w:spacing w:line="360" w:lineRule="auto"/>
        <w:ind w:firstLine="1600" w:firstLineChars="500"/>
        <w:jc w:val="left"/>
        <w:rPr>
          <w:rFonts w:ascii="宋体" w:cs="宋体"/>
          <w:sz w:val="32"/>
          <w:szCs w:val="32"/>
          <w:lang w:val="zh-CN"/>
        </w:rPr>
      </w:pPr>
    </w:p>
    <w:p>
      <w:pPr>
        <w:snapToGrid w:val="0"/>
        <w:spacing w:line="360" w:lineRule="auto"/>
        <w:jc w:val="left"/>
        <w:rPr>
          <w:rFonts w:ascii="宋体" w:hAnsi="宋体" w:cs="宋体"/>
          <w:sz w:val="32"/>
          <w:szCs w:val="32"/>
        </w:rPr>
      </w:pPr>
    </w:p>
    <w:p>
      <w:pPr>
        <w:pStyle w:val="40"/>
      </w:pPr>
    </w:p>
    <w:p>
      <w:pPr>
        <w:snapToGrid w:val="0"/>
        <w:spacing w:line="360" w:lineRule="auto"/>
        <w:jc w:val="left"/>
        <w:rPr>
          <w:rFonts w:ascii="宋体" w:hAnsi="宋体" w:cs="宋体"/>
          <w:sz w:val="32"/>
          <w:szCs w:val="32"/>
        </w:rPr>
      </w:pPr>
      <w:r>
        <w:rPr>
          <w:rFonts w:hint="eastAsia" w:ascii="宋体" w:hAnsi="宋体" w:cs="宋体"/>
          <w:sz w:val="32"/>
          <w:szCs w:val="32"/>
        </w:rPr>
        <w:t>供应商：教育部学位与研究生教育发展中心（加盖单位公章）</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pageBreakBefore/>
        <w:spacing w:beforeLines="100" w:afterLines="150" w:line="500" w:lineRule="exact"/>
        <w:ind w:firstLine="723" w:firstLineChars="200"/>
        <w:jc w:val="center"/>
        <w:rPr>
          <w:rFonts w:ascii="宋体" w:cs="宋体"/>
          <w:b/>
          <w:sz w:val="50"/>
        </w:rPr>
      </w:pPr>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第一部分  响应函</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第二部分  响应一览表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商务响应说明</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第四部分  </w:t>
      </w:r>
      <w:r>
        <w:rPr>
          <w:rFonts w:hint="eastAsia" w:hAnsi="宋体" w:cs="宋体"/>
          <w:b/>
          <w:sz w:val="28"/>
          <w:szCs w:val="28"/>
        </w:rPr>
        <w:t>供应商资格要求</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第五部分  </w:t>
      </w:r>
      <w:r>
        <w:rPr>
          <w:rFonts w:hint="eastAsia" w:hAnsi="宋体" w:cs="宋体"/>
          <w:b/>
          <w:sz w:val="28"/>
          <w:szCs w:val="28"/>
        </w:rPr>
        <w:t>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b/>
          <w:bCs/>
          <w:sz w:val="28"/>
          <w:szCs w:val="28"/>
        </w:rPr>
      </w:pPr>
      <w:r>
        <w:rPr>
          <w:rFonts w:hint="eastAsia" w:ascii="宋体" w:hAnsi="宋体" w:cs="宋体"/>
          <w:b/>
          <w:bCs/>
          <w:sz w:val="28"/>
          <w:szCs w:val="28"/>
        </w:rPr>
        <w:t>第七部分</w:t>
      </w:r>
      <w:r>
        <w:rPr>
          <w:rFonts w:ascii="宋体" w:hAnsi="宋体" w:cs="宋体"/>
          <w:b/>
          <w:bCs/>
          <w:sz w:val="28"/>
          <w:szCs w:val="28"/>
        </w:rPr>
        <w:t xml:space="preserve">  </w:t>
      </w:r>
      <w:r>
        <w:rPr>
          <w:rFonts w:hint="eastAsia" w:ascii="宋体" w:hAnsi="宋体" w:cs="宋体"/>
          <w:b/>
          <w:bCs/>
          <w:sz w:val="28"/>
          <w:szCs w:val="28"/>
        </w:rPr>
        <w:t>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w:t>
      </w:r>
      <w:r>
        <w:rPr>
          <w:rFonts w:ascii="宋体" w:hAnsi="宋体" w:cs="宋体"/>
          <w:b/>
          <w:bCs/>
          <w:sz w:val="28"/>
          <w:szCs w:val="28"/>
        </w:rPr>
        <w:t xml:space="preserve">  </w:t>
      </w:r>
      <w:r>
        <w:rPr>
          <w:rFonts w:hint="eastAsia" w:ascii="宋体" w:hAnsi="宋体" w:cs="宋体"/>
          <w:b/>
          <w:bCs/>
          <w:sz w:val="28"/>
          <w:szCs w:val="28"/>
        </w:rPr>
        <w:t>供应商认为有必要说明的其他问题</w:t>
      </w:r>
    </w:p>
    <w:p>
      <w:pPr>
        <w:snapToGrid w:val="0"/>
        <w:spacing w:line="480" w:lineRule="auto"/>
        <w:ind w:firstLine="562" w:firstLineChars="200"/>
        <w:jc w:val="left"/>
        <w:rPr>
          <w:rFonts w:ascii="宋体" w:cs="宋体"/>
          <w:b/>
          <w:bCs/>
          <w:sz w:val="28"/>
          <w:szCs w:val="28"/>
        </w:rPr>
        <w:sectPr>
          <w:headerReference r:id="rId14" w:type="default"/>
          <w:pgSz w:w="11906" w:h="16838"/>
          <w:pgMar w:top="1440" w:right="1803" w:bottom="1440" w:left="1803" w:header="851" w:footer="992" w:gutter="0"/>
          <w:cols w:space="720" w:num="1"/>
          <w:docGrid w:type="lines" w:linePitch="319" w:charSpace="0"/>
        </w:sectPr>
      </w:pPr>
    </w:p>
    <w:p>
      <w:pPr>
        <w:pStyle w:val="3"/>
        <w:pageBreakBefore/>
        <w:spacing w:beforeLines="100" w:afterLines="150" w:line="500" w:lineRule="exact"/>
        <w:jc w:val="center"/>
        <w:rPr>
          <w:rFonts w:ascii="宋体" w:cs="宋体"/>
          <w:sz w:val="36"/>
          <w:szCs w:val="36"/>
        </w:rPr>
      </w:pPr>
      <w:bookmarkStart w:id="62" w:name="_Toc2536"/>
      <w:bookmarkStart w:id="63" w:name="_Toc389"/>
      <w:r>
        <w:rPr>
          <w:rFonts w:hint="eastAsia" w:ascii="宋体" w:hAnsi="宋体" w:cs="宋体"/>
          <w:sz w:val="36"/>
          <w:szCs w:val="36"/>
        </w:rPr>
        <w:t>第一部分</w:t>
      </w:r>
      <w:r>
        <w:rPr>
          <w:rFonts w:ascii="宋体" w:hAnsi="宋体" w:cs="宋体"/>
          <w:sz w:val="36"/>
          <w:szCs w:val="36"/>
        </w:rPr>
        <w:t xml:space="preserve">  </w:t>
      </w:r>
      <w:r>
        <w:rPr>
          <w:rFonts w:hint="eastAsia" w:ascii="宋体" w:hAnsi="宋体" w:cs="宋体"/>
          <w:sz w:val="36"/>
          <w:szCs w:val="36"/>
        </w:rPr>
        <w:t>响应函</w:t>
      </w:r>
      <w:bookmarkEnd w:id="62"/>
      <w:bookmarkEnd w:id="63"/>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我单位收到项目名称：</w:t>
      </w:r>
      <w:r>
        <w:rPr>
          <w:rFonts w:hint="eastAsia" w:ascii="宋体" w:hAnsi="宋体" w:cs="宋体"/>
          <w:sz w:val="24"/>
          <w:szCs w:val="24"/>
          <w:u w:val="single"/>
        </w:rPr>
        <w:t>西安建筑科技大学教育部学位与研究生教育发展中心学位论文质量监测服务采购项目</w:t>
      </w:r>
      <w:r>
        <w:rPr>
          <w:rFonts w:hint="eastAsia" w:ascii="宋体" w:hAnsi="宋体" w:cs="宋体"/>
          <w:sz w:val="24"/>
          <w:szCs w:val="24"/>
        </w:rPr>
        <w:t>编号为：</w:t>
      </w:r>
      <w:r>
        <w:rPr>
          <w:rFonts w:hint="eastAsia" w:ascii="宋体" w:hAnsi="宋体" w:cs="宋体"/>
          <w:sz w:val="24"/>
          <w:szCs w:val="24"/>
          <w:u w:val="single"/>
        </w:rPr>
        <w:t>ZMZB2023XJD-296</w:t>
      </w:r>
      <w:r>
        <w:rPr>
          <w:rFonts w:hint="eastAsia" w:ascii="宋体" w:hAnsi="宋体" w:cs="宋体"/>
          <w:sz w:val="24"/>
          <w:szCs w:val="24"/>
        </w:rPr>
        <w:t>的采购文件，经详细研究，我公司决定参加本次采购活动。为此，我方郑重承诺以下诸点，并负法律责任。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份、响应报价一览表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、同意向贵方提供贵方可能要求的任何证据资料。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、我方承诺投标有效期为开标后</w:t>
      </w:r>
      <w:r>
        <w:rPr>
          <w:rFonts w:hint="eastAsia" w:ascii="宋体" w:hAnsi="宋体" w:cs="宋体"/>
          <w:b/>
          <w:bCs/>
          <w:sz w:val="24"/>
          <w:szCs w:val="24"/>
          <w:u w:val="single"/>
        </w:rPr>
        <w:t>90</w:t>
      </w:r>
      <w:r>
        <w:rPr>
          <w:rFonts w:hint="eastAsia" w:ascii="宋体" w:hAnsi="宋体" w:cs="宋体"/>
          <w:b/>
          <w:bCs/>
          <w:sz w:val="24"/>
          <w:szCs w:val="24"/>
        </w:rPr>
        <w:t>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、所有关于本次响应的函电，请按下列地址联系：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供应商：教育部学位与研究生教育发展中心（加盖单位公章）</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年</w:t>
      </w:r>
      <w:r>
        <w:rPr>
          <w:rFonts w:hint="eastAsia" w:ascii="宋体" w:hAnsi="宋体" w:cs="宋体"/>
          <w:sz w:val="24"/>
        </w:rPr>
        <w:t>_____</w:t>
      </w:r>
      <w:r>
        <w:rPr>
          <w:rFonts w:hint="eastAsia" w:ascii="宋体" w:hAnsi="宋体" w:cs="宋体"/>
          <w:sz w:val="24"/>
          <w:szCs w:val="24"/>
        </w:rPr>
        <w:t>月</w:t>
      </w:r>
      <w:r>
        <w:rPr>
          <w:rFonts w:hint="eastAsia" w:ascii="宋体" w:hAnsi="宋体" w:cs="宋体"/>
          <w:sz w:val="24"/>
        </w:rPr>
        <w:t>_____</w:t>
      </w:r>
      <w:r>
        <w:rPr>
          <w:rFonts w:hint="eastAsia" w:ascii="宋体" w:hAnsi="宋体" w:cs="宋体"/>
          <w:sz w:val="24"/>
          <w:szCs w:val="24"/>
        </w:rPr>
        <w:t>日</w:t>
      </w:r>
    </w:p>
    <w:p>
      <w:pPr>
        <w:widowControl/>
        <w:spacing w:line="460" w:lineRule="exact"/>
        <w:ind w:firstLine="480" w:firstLineChars="200"/>
        <w:jc w:val="left"/>
        <w:rPr>
          <w:rFonts w:ascii="宋体" w:cs="宋体"/>
          <w:sz w:val="24"/>
          <w:szCs w:val="24"/>
          <w:u w:val="single"/>
        </w:rPr>
      </w:pPr>
    </w:p>
    <w:p>
      <w:pPr>
        <w:pStyle w:val="15"/>
        <w:spacing w:line="480" w:lineRule="auto"/>
        <w:ind w:firstLine="643" w:firstLineChars="200"/>
        <w:jc w:val="center"/>
        <w:rPr>
          <w:rFonts w:cs="宋体"/>
          <w:b/>
          <w:sz w:val="32"/>
        </w:rPr>
      </w:pPr>
    </w:p>
    <w:p>
      <w:pPr>
        <w:pStyle w:val="3"/>
        <w:numPr>
          <w:ilvl w:val="0"/>
          <w:numId w:val="30"/>
        </w:numPr>
        <w:spacing w:beforeLines="100" w:afterLines="150" w:line="500" w:lineRule="exact"/>
        <w:jc w:val="center"/>
        <w:rPr>
          <w:rFonts w:ascii="宋体" w:hAnsi="宋体" w:cs="宋体"/>
          <w:sz w:val="28"/>
          <w:szCs w:val="28"/>
        </w:rPr>
      </w:pPr>
      <w:bookmarkStart w:id="64" w:name="_Toc28494"/>
      <w:r>
        <w:rPr>
          <w:rFonts w:ascii="宋体" w:hAnsi="宋体" w:cs="宋体"/>
          <w:sz w:val="36"/>
          <w:szCs w:val="36"/>
        </w:rPr>
        <w:t xml:space="preserve"> </w:t>
      </w:r>
      <w:bookmarkStart w:id="65" w:name="_Toc11334"/>
      <w:r>
        <w:rPr>
          <w:rFonts w:hint="eastAsia" w:ascii="宋体" w:hAnsi="宋体" w:cs="宋体"/>
          <w:sz w:val="36"/>
          <w:szCs w:val="36"/>
        </w:rPr>
        <w:t>响应一览表</w:t>
      </w:r>
      <w:bookmarkEnd w:id="64"/>
      <w:bookmarkEnd w:id="65"/>
      <w:r>
        <w:rPr>
          <w:rFonts w:ascii="宋体" w:hAnsi="宋体" w:cs="宋体"/>
          <w:sz w:val="36"/>
          <w:szCs w:val="36"/>
        </w:rPr>
        <w:t xml:space="preserve"> </w:t>
      </w:r>
      <w:r>
        <w:rPr>
          <w:rFonts w:ascii="宋体" w:hAnsi="宋体" w:cs="宋体"/>
          <w:sz w:val="28"/>
          <w:szCs w:val="28"/>
        </w:rPr>
        <w:t xml:space="preserve">    </w:t>
      </w:r>
    </w:p>
    <w:p>
      <w:pPr>
        <w:widowControl/>
        <w:wordWrap w:val="0"/>
        <w:spacing w:line="360" w:lineRule="auto"/>
        <w:jc w:val="left"/>
        <w:rPr>
          <w:rFonts w:ascii="宋体" w:cs="宋体"/>
          <w:sz w:val="24"/>
        </w:rPr>
      </w:pPr>
      <w:r>
        <w:rPr>
          <w:rFonts w:hint="eastAsia" w:ascii="宋体" w:cs="宋体"/>
          <w:sz w:val="24"/>
        </w:rPr>
        <w:t xml:space="preserve">项目名称：西安建筑科技大学教育部学位与研究生教育发展中心学位论文质量监测服务采购项目      </w:t>
      </w:r>
    </w:p>
    <w:p>
      <w:pPr>
        <w:widowControl/>
        <w:wordWrap w:val="0"/>
        <w:spacing w:line="360" w:lineRule="auto"/>
        <w:jc w:val="left"/>
        <w:rPr>
          <w:rFonts w:ascii="宋体" w:cs="宋体"/>
          <w:sz w:val="24"/>
        </w:rPr>
      </w:pPr>
      <w:r>
        <w:rPr>
          <w:rFonts w:hint="eastAsia" w:ascii="宋体" w:cs="宋体"/>
          <w:sz w:val="24"/>
        </w:rPr>
        <w:t>项目编号：ZMZB2023XJD-296</w:t>
      </w:r>
    </w:p>
    <w:p>
      <w:pPr>
        <w:widowControl/>
        <w:wordWrap w:val="0"/>
        <w:spacing w:line="360" w:lineRule="auto"/>
        <w:jc w:val="left"/>
        <w:rPr>
          <w:rFonts w:ascii="宋体" w:cs="宋体"/>
          <w:sz w:val="24"/>
        </w:rPr>
      </w:pPr>
      <w:r>
        <w:rPr>
          <w:rFonts w:hint="eastAsia" w:ascii="宋体" w:cs="宋体"/>
          <w:sz w:val="24"/>
        </w:rPr>
        <w:t xml:space="preserve">供应商名称：教育部学位与研究生教育发展中心 </w:t>
      </w:r>
      <w:r>
        <w:rPr>
          <w:rFonts w:ascii="宋体" w:hAnsi="宋体" w:cs="宋体"/>
          <w:sz w:val="28"/>
          <w:szCs w:val="28"/>
        </w:rPr>
        <w:t xml:space="preserve">        </w:t>
      </w:r>
      <w:r>
        <w:rPr>
          <w:rFonts w:hint="eastAsia" w:ascii="宋体" w:hAnsi="宋体" w:cs="宋体"/>
          <w:sz w:val="28"/>
          <w:szCs w:val="28"/>
        </w:rPr>
        <w:t xml:space="preserve">                </w:t>
      </w:r>
      <w:r>
        <w:rPr>
          <w:rFonts w:hint="eastAsia" w:ascii="宋体" w:cs="宋体"/>
          <w:sz w:val="24"/>
        </w:rPr>
        <w:t xml:space="preserve">  </w:t>
      </w:r>
    </w:p>
    <w:tbl>
      <w:tblPr>
        <w:tblStyle w:val="29"/>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289"/>
        <w:gridCol w:w="1274"/>
        <w:gridCol w:w="959"/>
        <w:gridCol w:w="18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74"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28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w:t>
            </w:r>
          </w:p>
        </w:tc>
        <w:tc>
          <w:tcPr>
            <w:tcW w:w="1274"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单项报价（元）</w:t>
            </w:r>
          </w:p>
        </w:tc>
        <w:tc>
          <w:tcPr>
            <w:tcW w:w="95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数量（篇）</w:t>
            </w:r>
          </w:p>
        </w:tc>
        <w:tc>
          <w:tcPr>
            <w:tcW w:w="1845"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小计（元）</w:t>
            </w:r>
          </w:p>
        </w:tc>
        <w:tc>
          <w:tcPr>
            <w:tcW w:w="107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4" w:type="dxa"/>
            <w:vMerge w:val="restart"/>
            <w:vAlign w:val="center"/>
          </w:tcPr>
          <w:p>
            <w:pPr>
              <w:jc w:val="center"/>
              <w:rPr>
                <w:rFonts w:asciiTheme="minorEastAsia" w:hAnsiTheme="minorEastAsia" w:eastAsiaTheme="minorEastAsia" w:cstheme="minorEastAsia"/>
                <w:sz w:val="24"/>
                <w:szCs w:val="24"/>
              </w:rPr>
            </w:pPr>
            <w:r>
              <w:rPr>
                <w:rFonts w:hint="eastAsia" w:ascii="宋体" w:cs="宋体"/>
                <w:sz w:val="24"/>
              </w:rPr>
              <w:t>西安建筑科技大学</w:t>
            </w:r>
            <w:r>
              <w:rPr>
                <w:rFonts w:hint="eastAsia" w:asciiTheme="minorEastAsia" w:hAnsiTheme="minorEastAsia" w:eastAsiaTheme="minorEastAsia" w:cstheme="minorEastAsia"/>
                <w:sz w:val="24"/>
                <w:szCs w:val="24"/>
              </w:rPr>
              <w:t>教育部学位与研究生教育发展中心学位论文质量监测服务采购项目</w:t>
            </w:r>
          </w:p>
        </w:tc>
        <w:tc>
          <w:tcPr>
            <w:tcW w:w="228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硕士学位论文质量监测服务费（含初评、复评、增评）</w:t>
            </w:r>
          </w:p>
        </w:tc>
        <w:tc>
          <w:tcPr>
            <w:tcW w:w="1274" w:type="dxa"/>
            <w:vAlign w:val="center"/>
          </w:tcPr>
          <w:p>
            <w:pPr>
              <w:jc w:val="center"/>
              <w:rPr>
                <w:rFonts w:asciiTheme="minorEastAsia" w:hAnsiTheme="minorEastAsia" w:eastAsiaTheme="minorEastAsia" w:cstheme="minorEastAsia"/>
                <w:color w:val="FF0000"/>
                <w:sz w:val="24"/>
                <w:szCs w:val="24"/>
              </w:rPr>
            </w:pPr>
          </w:p>
        </w:tc>
        <w:tc>
          <w:tcPr>
            <w:tcW w:w="959" w:type="dxa"/>
            <w:vAlign w:val="center"/>
          </w:tcPr>
          <w:p>
            <w:pPr>
              <w:jc w:val="center"/>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2065</w:t>
            </w:r>
          </w:p>
        </w:tc>
        <w:tc>
          <w:tcPr>
            <w:tcW w:w="1845" w:type="dxa"/>
            <w:vAlign w:val="center"/>
          </w:tcPr>
          <w:p>
            <w:pPr>
              <w:jc w:val="center"/>
              <w:rPr>
                <w:rFonts w:asciiTheme="minorEastAsia" w:hAnsiTheme="minorEastAsia" w:eastAsiaTheme="minorEastAsia" w:cstheme="minorEastAsia"/>
                <w:color w:val="FF0000"/>
                <w:sz w:val="24"/>
                <w:szCs w:val="24"/>
              </w:rPr>
            </w:pPr>
          </w:p>
        </w:tc>
        <w:tc>
          <w:tcPr>
            <w:tcW w:w="107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4" w:type="dxa"/>
            <w:vMerge w:val="continue"/>
            <w:vAlign w:val="center"/>
          </w:tcPr>
          <w:p>
            <w:pPr>
              <w:jc w:val="center"/>
              <w:rPr>
                <w:rFonts w:asciiTheme="minorEastAsia" w:hAnsiTheme="minorEastAsia" w:eastAsiaTheme="minorEastAsia" w:cstheme="minorEastAsia"/>
                <w:sz w:val="24"/>
                <w:szCs w:val="24"/>
              </w:rPr>
            </w:pPr>
          </w:p>
        </w:tc>
        <w:tc>
          <w:tcPr>
            <w:tcW w:w="228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使用外国语言文字撰写的硕士学位论文（不包括文学学科门类）质量监测服务费（含初评、复评、增评）</w:t>
            </w:r>
          </w:p>
        </w:tc>
        <w:tc>
          <w:tcPr>
            <w:tcW w:w="1274" w:type="dxa"/>
            <w:vAlign w:val="center"/>
          </w:tcPr>
          <w:p>
            <w:pPr>
              <w:jc w:val="center"/>
              <w:rPr>
                <w:rFonts w:asciiTheme="minorEastAsia" w:hAnsiTheme="minorEastAsia" w:eastAsiaTheme="minorEastAsia" w:cstheme="minorEastAsia"/>
                <w:color w:val="FF0000"/>
                <w:sz w:val="24"/>
                <w:szCs w:val="24"/>
              </w:rPr>
            </w:pPr>
          </w:p>
        </w:tc>
        <w:tc>
          <w:tcPr>
            <w:tcW w:w="959" w:type="dxa"/>
            <w:vAlign w:val="center"/>
          </w:tcPr>
          <w:p>
            <w:pPr>
              <w:jc w:val="center"/>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22</w:t>
            </w:r>
          </w:p>
        </w:tc>
        <w:tc>
          <w:tcPr>
            <w:tcW w:w="1845" w:type="dxa"/>
            <w:vAlign w:val="center"/>
          </w:tcPr>
          <w:p>
            <w:pPr>
              <w:jc w:val="center"/>
              <w:rPr>
                <w:rFonts w:asciiTheme="minorEastAsia" w:hAnsiTheme="minorEastAsia" w:eastAsiaTheme="minorEastAsia" w:cstheme="minorEastAsia"/>
                <w:color w:val="FF0000"/>
                <w:sz w:val="24"/>
                <w:szCs w:val="24"/>
              </w:rPr>
            </w:pPr>
          </w:p>
        </w:tc>
        <w:tc>
          <w:tcPr>
            <w:tcW w:w="107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4" w:type="dxa"/>
            <w:vMerge w:val="continue"/>
            <w:vAlign w:val="center"/>
          </w:tcPr>
          <w:p>
            <w:pPr>
              <w:jc w:val="center"/>
              <w:rPr>
                <w:rFonts w:asciiTheme="minorEastAsia" w:hAnsiTheme="minorEastAsia" w:eastAsiaTheme="minorEastAsia" w:cstheme="minorEastAsia"/>
                <w:sz w:val="24"/>
                <w:szCs w:val="24"/>
              </w:rPr>
            </w:pPr>
          </w:p>
        </w:tc>
        <w:tc>
          <w:tcPr>
            <w:tcW w:w="228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博士学位论文质量监测服务费（含初评、复评、增评）</w:t>
            </w:r>
          </w:p>
        </w:tc>
        <w:tc>
          <w:tcPr>
            <w:tcW w:w="1274" w:type="dxa"/>
            <w:vAlign w:val="center"/>
          </w:tcPr>
          <w:p>
            <w:pPr>
              <w:jc w:val="center"/>
              <w:rPr>
                <w:rFonts w:asciiTheme="minorEastAsia" w:hAnsiTheme="minorEastAsia" w:eastAsiaTheme="minorEastAsia" w:cstheme="minorEastAsia"/>
                <w:color w:val="FF0000"/>
                <w:sz w:val="24"/>
                <w:szCs w:val="24"/>
              </w:rPr>
            </w:pPr>
          </w:p>
        </w:tc>
        <w:tc>
          <w:tcPr>
            <w:tcW w:w="959" w:type="dxa"/>
            <w:vAlign w:val="center"/>
          </w:tcPr>
          <w:p>
            <w:pPr>
              <w:jc w:val="center"/>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610</w:t>
            </w:r>
          </w:p>
        </w:tc>
        <w:tc>
          <w:tcPr>
            <w:tcW w:w="1845" w:type="dxa"/>
            <w:vAlign w:val="center"/>
          </w:tcPr>
          <w:p>
            <w:pPr>
              <w:jc w:val="center"/>
              <w:rPr>
                <w:rFonts w:asciiTheme="minorEastAsia" w:hAnsiTheme="minorEastAsia" w:eastAsiaTheme="minorEastAsia" w:cstheme="minorEastAsia"/>
                <w:color w:val="FF0000"/>
                <w:sz w:val="24"/>
                <w:szCs w:val="24"/>
              </w:rPr>
            </w:pPr>
          </w:p>
        </w:tc>
        <w:tc>
          <w:tcPr>
            <w:tcW w:w="107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4" w:type="dxa"/>
            <w:vMerge w:val="continue"/>
            <w:vAlign w:val="center"/>
          </w:tcPr>
          <w:p>
            <w:pPr>
              <w:jc w:val="center"/>
              <w:rPr>
                <w:rFonts w:asciiTheme="minorEastAsia" w:hAnsiTheme="minorEastAsia" w:eastAsiaTheme="minorEastAsia" w:cstheme="minorEastAsia"/>
                <w:sz w:val="24"/>
                <w:szCs w:val="24"/>
              </w:rPr>
            </w:pPr>
          </w:p>
        </w:tc>
        <w:tc>
          <w:tcPr>
            <w:tcW w:w="228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使用外国语言文字撰写的博士学位论文（不包括文学学科门类）质量监测服务费（含初评、复评、增评）</w:t>
            </w:r>
          </w:p>
        </w:tc>
        <w:tc>
          <w:tcPr>
            <w:tcW w:w="1274" w:type="dxa"/>
            <w:vAlign w:val="center"/>
          </w:tcPr>
          <w:p>
            <w:pPr>
              <w:jc w:val="center"/>
              <w:rPr>
                <w:rFonts w:asciiTheme="minorEastAsia" w:hAnsiTheme="minorEastAsia" w:eastAsiaTheme="minorEastAsia" w:cstheme="minorEastAsia"/>
                <w:color w:val="FF0000"/>
                <w:sz w:val="24"/>
                <w:szCs w:val="24"/>
              </w:rPr>
            </w:pPr>
          </w:p>
        </w:tc>
        <w:tc>
          <w:tcPr>
            <w:tcW w:w="959" w:type="dxa"/>
            <w:vAlign w:val="center"/>
          </w:tcPr>
          <w:p>
            <w:pPr>
              <w:jc w:val="center"/>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12</w:t>
            </w:r>
          </w:p>
        </w:tc>
        <w:tc>
          <w:tcPr>
            <w:tcW w:w="1845" w:type="dxa"/>
            <w:vAlign w:val="center"/>
          </w:tcPr>
          <w:p>
            <w:pPr>
              <w:jc w:val="center"/>
              <w:rPr>
                <w:rFonts w:asciiTheme="minorEastAsia" w:hAnsiTheme="minorEastAsia" w:eastAsiaTheme="minorEastAsia" w:cstheme="minorEastAsia"/>
                <w:color w:val="FF0000"/>
                <w:sz w:val="24"/>
                <w:szCs w:val="24"/>
              </w:rPr>
            </w:pPr>
          </w:p>
        </w:tc>
        <w:tc>
          <w:tcPr>
            <w:tcW w:w="1076" w:type="dxa"/>
            <w:vAlign w:val="center"/>
          </w:tcPr>
          <w:p>
            <w:pPr>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4"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总报价（元）</w:t>
            </w:r>
          </w:p>
        </w:tc>
        <w:tc>
          <w:tcPr>
            <w:tcW w:w="7443" w:type="dxa"/>
            <w:gridSpan w:val="5"/>
            <w:vAlign w:val="center"/>
          </w:tcPr>
          <w:p>
            <w:pPr>
              <w:ind w:firstLine="120" w:firstLineChars="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大写：                 小写：</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FF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74"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w:t>
            </w:r>
          </w:p>
        </w:tc>
        <w:tc>
          <w:tcPr>
            <w:tcW w:w="7443" w:type="dxa"/>
            <w:gridSpan w:val="5"/>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协议签订之日起至 2024 年6月 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574"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443" w:type="dxa"/>
            <w:gridSpan w:val="5"/>
            <w:vAlign w:val="center"/>
          </w:tcPr>
          <w:p>
            <w:pPr>
              <w:kinsoku w:val="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1.表内报价内容以元为单位，精确到小数点后两位。</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auto"/>
                <w:sz w:val="24"/>
                <w:szCs w:val="24"/>
                <w:highlight w:val="none"/>
              </w:rPr>
              <w:t>.预计服务期内送评博士学位论文622 篇次、硕士学位论文 2087 篇次，其中使用外国语言文字撰写（不包括文学学科门类）的博士学位论文 12篇次、硕士学位论文22篇次，供应商根据此预估数量报出总价，最终据实结算。</w:t>
            </w:r>
          </w:p>
        </w:tc>
      </w:tr>
    </w:tbl>
    <w:p>
      <w:pPr>
        <w:widowControl/>
        <w:tabs>
          <w:tab w:val="left" w:pos="4000"/>
        </w:tabs>
        <w:snapToGrid w:val="0"/>
        <w:spacing w:line="300" w:lineRule="auto"/>
        <w:jc w:val="left"/>
        <w:rPr>
          <w:rFonts w:ascii="宋体" w:cs="宋体"/>
          <w:b/>
          <w:bCs/>
          <w:spacing w:val="20"/>
          <w:kern w:val="0"/>
          <w:sz w:val="28"/>
          <w:szCs w:val="28"/>
        </w:rPr>
      </w:pPr>
    </w:p>
    <w:p>
      <w:pPr>
        <w:widowControl/>
        <w:tabs>
          <w:tab w:val="left" w:pos="4000"/>
        </w:tabs>
        <w:snapToGrid w:val="0"/>
        <w:spacing w:line="300" w:lineRule="auto"/>
        <w:jc w:val="left"/>
        <w:rPr>
          <w:rFonts w:ascii="宋体" w:cs="宋体"/>
          <w:b/>
          <w:bCs/>
          <w:spacing w:val="20"/>
          <w:kern w:val="0"/>
          <w:sz w:val="28"/>
          <w:szCs w:val="28"/>
        </w:rPr>
      </w:pPr>
      <w:r>
        <w:rPr>
          <w:rFonts w:ascii="宋体" w:hAnsi="宋体" w:cs="宋体"/>
          <w:b/>
          <w:bCs/>
          <w:spacing w:val="20"/>
          <w:kern w:val="0"/>
          <w:sz w:val="28"/>
          <w:szCs w:val="28"/>
        </w:rPr>
        <w:t xml:space="preserve">   </w:t>
      </w:r>
    </w:p>
    <w:p>
      <w:pPr>
        <w:snapToGrid w:val="0"/>
        <w:spacing w:line="360" w:lineRule="auto"/>
        <w:jc w:val="left"/>
        <w:rPr>
          <w:rFonts w:ascii="宋体" w:hAnsi="宋体" w:cs="宋体"/>
          <w:sz w:val="24"/>
          <w:szCs w:val="24"/>
        </w:rPr>
      </w:pPr>
      <w:r>
        <w:rPr>
          <w:rFonts w:hint="eastAsia" w:ascii="宋体" w:hAnsi="宋体" w:cs="宋体"/>
          <w:sz w:val="24"/>
          <w:szCs w:val="24"/>
        </w:rPr>
        <w:t>供应商：教育部学位与研究生教育发展中心（加盖单位公章）</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w:t>
      </w:r>
    </w:p>
    <w:p>
      <w:pPr>
        <w:snapToGrid w:val="0"/>
        <w:spacing w:line="360" w:lineRule="auto"/>
        <w:jc w:val="left"/>
        <w:rPr>
          <w:rFonts w:ascii="宋体" w:cs="宋体"/>
          <w:sz w:val="24"/>
          <w:szCs w:val="24"/>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lang w:val="zh-CN"/>
        </w:rPr>
        <w:t>：</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_____日</w:t>
      </w:r>
    </w:p>
    <w:p>
      <w:pPr>
        <w:rPr>
          <w:rFonts w:ascii="宋体" w:hAnsi="宋体" w:cs="宋体"/>
          <w:sz w:val="28"/>
          <w:szCs w:val="28"/>
        </w:rPr>
      </w:pPr>
    </w:p>
    <w:p>
      <w:pPr>
        <w:rPr>
          <w:rFonts w:ascii="宋体" w:hAnsi="宋体" w:cs="宋体"/>
          <w:sz w:val="28"/>
          <w:szCs w:val="28"/>
        </w:rPr>
      </w:pPr>
    </w:p>
    <w:p>
      <w:pPr>
        <w:pStyle w:val="15"/>
        <w:spacing w:line="480" w:lineRule="auto"/>
        <w:ind w:firstLine="560" w:firstLineChars="200"/>
        <w:jc w:val="center"/>
        <w:rPr>
          <w:rFonts w:hAnsi="宋体" w:cs="宋体"/>
          <w:kern w:val="2"/>
          <w:sz w:val="28"/>
          <w:szCs w:val="28"/>
        </w:rPr>
        <w:sectPr>
          <w:headerReference r:id="rId15" w:type="default"/>
          <w:footerReference r:id="rId16" w:type="default"/>
          <w:pgSz w:w="11906" w:h="16838"/>
          <w:pgMar w:top="1440" w:right="1803" w:bottom="1440" w:left="1803" w:header="851" w:footer="992" w:gutter="0"/>
          <w:cols w:space="720" w:num="1"/>
          <w:docGrid w:type="lines" w:linePitch="319" w:charSpace="0"/>
        </w:sectPr>
      </w:pPr>
    </w:p>
    <w:p>
      <w:pPr>
        <w:pStyle w:val="3"/>
        <w:jc w:val="center"/>
        <w:rPr>
          <w:rFonts w:ascii="宋体" w:hAnsi="宋体" w:cs="宋体"/>
          <w:sz w:val="36"/>
          <w:szCs w:val="36"/>
        </w:rPr>
      </w:pPr>
      <w:bookmarkStart w:id="66" w:name="_Toc19766"/>
      <w:bookmarkStart w:id="67" w:name="_Toc2299"/>
      <w:r>
        <w:rPr>
          <w:rFonts w:hint="eastAsia" w:hAnsi="宋体" w:cs="宋体"/>
          <w:sz w:val="36"/>
          <w:szCs w:val="36"/>
        </w:rPr>
        <w:t>第三部分</w:t>
      </w:r>
      <w:r>
        <w:rPr>
          <w:rFonts w:hAnsi="宋体" w:cs="宋体"/>
          <w:sz w:val="36"/>
          <w:szCs w:val="36"/>
        </w:rPr>
        <w:t xml:space="preserve"> </w:t>
      </w:r>
      <w:bookmarkEnd w:id="66"/>
      <w:r>
        <w:rPr>
          <w:rFonts w:hint="eastAsia" w:ascii="宋体" w:hAnsi="宋体" w:cs="宋体"/>
          <w:sz w:val="36"/>
          <w:szCs w:val="36"/>
        </w:rPr>
        <w:t xml:space="preserve"> 商务响应说明</w:t>
      </w:r>
      <w:bookmarkEnd w:id="67"/>
    </w:p>
    <w:p>
      <w:pPr>
        <w:jc w:val="center"/>
        <w:rPr>
          <w:rFonts w:ascii="宋体" w:hAnsi="宋体" w:cs="宋体"/>
        </w:rPr>
      </w:pPr>
      <w:r>
        <w:rPr>
          <w:rFonts w:hint="eastAsia" w:ascii="宋体" w:hAnsi="宋体" w:cs="宋体"/>
          <w:b/>
          <w:bCs/>
          <w:sz w:val="28"/>
          <w:szCs w:val="32"/>
        </w:rPr>
        <w:t>商务偏离表</w:t>
      </w:r>
    </w:p>
    <w:tbl>
      <w:tblPr>
        <w:tblStyle w:val="29"/>
        <w:tblW w:w="95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61"/>
        <w:gridCol w:w="2472"/>
        <w:gridCol w:w="2731"/>
        <w:gridCol w:w="93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8" w:type="dxa"/>
            <w:vAlign w:val="center"/>
          </w:tcPr>
          <w:p>
            <w:pPr>
              <w:pStyle w:val="15"/>
              <w:spacing w:line="480" w:lineRule="auto"/>
              <w:jc w:val="center"/>
              <w:rPr>
                <w:rFonts w:hAnsi="宋体" w:cs="宋体"/>
                <w:sz w:val="24"/>
                <w:szCs w:val="24"/>
              </w:rPr>
            </w:pPr>
            <w:r>
              <w:rPr>
                <w:rFonts w:hint="eastAsia" w:hAnsi="宋体" w:cs="宋体"/>
                <w:sz w:val="24"/>
                <w:szCs w:val="24"/>
              </w:rPr>
              <w:t>序号</w:t>
            </w:r>
          </w:p>
        </w:tc>
        <w:tc>
          <w:tcPr>
            <w:tcW w:w="1361" w:type="dxa"/>
            <w:vAlign w:val="center"/>
          </w:tcPr>
          <w:p>
            <w:pPr>
              <w:pStyle w:val="15"/>
              <w:spacing w:line="480" w:lineRule="auto"/>
              <w:jc w:val="center"/>
              <w:rPr>
                <w:rFonts w:hAnsi="宋体" w:cs="宋体"/>
                <w:sz w:val="24"/>
                <w:szCs w:val="24"/>
              </w:rPr>
            </w:pPr>
            <w:r>
              <w:rPr>
                <w:rFonts w:hint="eastAsia" w:hAnsi="宋体" w:cs="宋体"/>
                <w:sz w:val="24"/>
                <w:szCs w:val="24"/>
              </w:rPr>
              <w:t>商务条款</w:t>
            </w:r>
          </w:p>
        </w:tc>
        <w:tc>
          <w:tcPr>
            <w:tcW w:w="2472" w:type="dxa"/>
            <w:vAlign w:val="center"/>
          </w:tcPr>
          <w:p>
            <w:pPr>
              <w:pStyle w:val="15"/>
              <w:spacing w:line="480" w:lineRule="auto"/>
              <w:jc w:val="center"/>
              <w:rPr>
                <w:rFonts w:hAnsi="宋体" w:cs="宋体"/>
                <w:sz w:val="24"/>
                <w:szCs w:val="24"/>
              </w:rPr>
            </w:pPr>
            <w:r>
              <w:rPr>
                <w:rFonts w:hint="eastAsia" w:hAnsi="宋体" w:cs="宋体"/>
                <w:sz w:val="24"/>
                <w:szCs w:val="24"/>
              </w:rPr>
              <w:t>商务要求内容</w:t>
            </w:r>
          </w:p>
        </w:tc>
        <w:tc>
          <w:tcPr>
            <w:tcW w:w="2731" w:type="dxa"/>
            <w:vAlign w:val="center"/>
          </w:tcPr>
          <w:p>
            <w:pPr>
              <w:pStyle w:val="15"/>
              <w:spacing w:line="480" w:lineRule="auto"/>
              <w:jc w:val="center"/>
              <w:rPr>
                <w:rFonts w:hAnsi="宋体" w:cs="宋体"/>
                <w:sz w:val="24"/>
                <w:szCs w:val="24"/>
              </w:rPr>
            </w:pPr>
            <w:r>
              <w:rPr>
                <w:rFonts w:hint="eastAsia" w:hAnsi="宋体" w:cs="宋体"/>
                <w:sz w:val="24"/>
                <w:szCs w:val="24"/>
              </w:rPr>
              <w:t>响应文件响应商务内容</w:t>
            </w:r>
          </w:p>
        </w:tc>
        <w:tc>
          <w:tcPr>
            <w:tcW w:w="933" w:type="dxa"/>
            <w:vAlign w:val="center"/>
          </w:tcPr>
          <w:p>
            <w:pPr>
              <w:pStyle w:val="15"/>
              <w:spacing w:line="480" w:lineRule="auto"/>
              <w:jc w:val="center"/>
              <w:rPr>
                <w:rFonts w:hAnsi="宋体" w:cs="宋体"/>
                <w:sz w:val="24"/>
                <w:szCs w:val="24"/>
              </w:rPr>
            </w:pPr>
            <w:r>
              <w:rPr>
                <w:rFonts w:hint="eastAsia" w:hAnsi="宋体" w:cs="宋体"/>
                <w:sz w:val="24"/>
                <w:szCs w:val="24"/>
              </w:rPr>
              <w:t>偏离情况</w:t>
            </w:r>
          </w:p>
        </w:tc>
        <w:tc>
          <w:tcPr>
            <w:tcW w:w="1351" w:type="dxa"/>
            <w:vAlign w:val="center"/>
          </w:tcPr>
          <w:p>
            <w:pPr>
              <w:pStyle w:val="15"/>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8" w:type="dxa"/>
            <w:vAlign w:val="center"/>
          </w:tcPr>
          <w:p>
            <w:pPr>
              <w:pStyle w:val="15"/>
              <w:spacing w:line="480" w:lineRule="auto"/>
              <w:jc w:val="center"/>
              <w:rPr>
                <w:rFonts w:hAnsi="宋体" w:cs="宋体"/>
                <w:sz w:val="24"/>
                <w:szCs w:val="24"/>
              </w:rPr>
            </w:pPr>
            <w:r>
              <w:rPr>
                <w:rFonts w:hint="eastAsia" w:hAnsi="宋体" w:cs="宋体"/>
                <w:sz w:val="24"/>
                <w:szCs w:val="24"/>
              </w:rPr>
              <w:t>1</w:t>
            </w:r>
          </w:p>
        </w:tc>
        <w:tc>
          <w:tcPr>
            <w:tcW w:w="1361" w:type="dxa"/>
            <w:vAlign w:val="center"/>
          </w:tcPr>
          <w:p>
            <w:pPr>
              <w:pStyle w:val="15"/>
              <w:spacing w:line="480" w:lineRule="auto"/>
              <w:jc w:val="center"/>
              <w:rPr>
                <w:rFonts w:hAnsi="宋体" w:cs="宋体"/>
                <w:sz w:val="24"/>
                <w:szCs w:val="24"/>
              </w:rPr>
            </w:pPr>
            <w:r>
              <w:rPr>
                <w:rFonts w:hint="eastAsia" w:hAnsi="宋体" w:cs="宋体"/>
                <w:sz w:val="24"/>
                <w:szCs w:val="24"/>
              </w:rPr>
              <w:t>服务期</w:t>
            </w:r>
          </w:p>
        </w:tc>
        <w:tc>
          <w:tcPr>
            <w:tcW w:w="2472" w:type="dxa"/>
            <w:vAlign w:val="center"/>
          </w:tcPr>
          <w:p>
            <w:pPr>
              <w:pStyle w:val="15"/>
              <w:spacing w:line="480" w:lineRule="auto"/>
              <w:jc w:val="center"/>
              <w:rPr>
                <w:rFonts w:hAnsi="宋体" w:cs="宋体"/>
                <w:sz w:val="24"/>
                <w:szCs w:val="24"/>
              </w:rPr>
            </w:pPr>
          </w:p>
        </w:tc>
        <w:tc>
          <w:tcPr>
            <w:tcW w:w="2731" w:type="dxa"/>
            <w:vAlign w:val="center"/>
          </w:tcPr>
          <w:p>
            <w:pPr>
              <w:pStyle w:val="15"/>
              <w:spacing w:line="480" w:lineRule="auto"/>
              <w:jc w:val="center"/>
              <w:rPr>
                <w:rFonts w:hAnsi="宋体" w:cs="宋体"/>
                <w:sz w:val="24"/>
                <w:szCs w:val="24"/>
              </w:rPr>
            </w:pPr>
          </w:p>
        </w:tc>
        <w:tc>
          <w:tcPr>
            <w:tcW w:w="933" w:type="dxa"/>
            <w:vAlign w:val="center"/>
          </w:tcPr>
          <w:p>
            <w:pPr>
              <w:pStyle w:val="15"/>
              <w:spacing w:line="480" w:lineRule="auto"/>
              <w:jc w:val="center"/>
              <w:rPr>
                <w:rFonts w:hAnsi="宋体" w:cs="宋体"/>
                <w:sz w:val="24"/>
                <w:szCs w:val="24"/>
              </w:rPr>
            </w:pPr>
          </w:p>
        </w:tc>
        <w:tc>
          <w:tcPr>
            <w:tcW w:w="1351"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8" w:type="dxa"/>
            <w:vAlign w:val="center"/>
          </w:tcPr>
          <w:p>
            <w:pPr>
              <w:pStyle w:val="15"/>
              <w:spacing w:line="480" w:lineRule="auto"/>
              <w:jc w:val="center"/>
              <w:rPr>
                <w:rFonts w:hAnsi="宋体" w:cs="宋体"/>
                <w:sz w:val="24"/>
                <w:szCs w:val="24"/>
              </w:rPr>
            </w:pPr>
            <w:r>
              <w:rPr>
                <w:rFonts w:hint="eastAsia" w:hAnsi="宋体" w:cs="宋体"/>
                <w:sz w:val="24"/>
                <w:szCs w:val="24"/>
              </w:rPr>
              <w:t>2</w:t>
            </w:r>
          </w:p>
        </w:tc>
        <w:tc>
          <w:tcPr>
            <w:tcW w:w="1361" w:type="dxa"/>
            <w:vAlign w:val="center"/>
          </w:tcPr>
          <w:p>
            <w:pPr>
              <w:pStyle w:val="15"/>
              <w:spacing w:line="480" w:lineRule="auto"/>
              <w:jc w:val="center"/>
              <w:rPr>
                <w:rFonts w:hAnsi="宋体" w:cs="宋体"/>
                <w:sz w:val="24"/>
                <w:szCs w:val="24"/>
              </w:rPr>
            </w:pPr>
            <w:r>
              <w:rPr>
                <w:rFonts w:hint="eastAsia" w:hAnsi="宋体" w:cs="宋体"/>
                <w:kern w:val="2"/>
                <w:sz w:val="24"/>
                <w:szCs w:val="24"/>
              </w:rPr>
              <w:t>服务地点</w:t>
            </w:r>
          </w:p>
        </w:tc>
        <w:tc>
          <w:tcPr>
            <w:tcW w:w="2472" w:type="dxa"/>
            <w:vAlign w:val="center"/>
          </w:tcPr>
          <w:p>
            <w:pPr>
              <w:pStyle w:val="15"/>
              <w:spacing w:line="480" w:lineRule="auto"/>
              <w:ind w:firstLine="480" w:firstLineChars="200"/>
              <w:jc w:val="center"/>
              <w:rPr>
                <w:rFonts w:hAnsi="宋体" w:cs="宋体"/>
                <w:sz w:val="24"/>
                <w:szCs w:val="24"/>
              </w:rPr>
            </w:pPr>
          </w:p>
        </w:tc>
        <w:tc>
          <w:tcPr>
            <w:tcW w:w="2731" w:type="dxa"/>
            <w:vAlign w:val="center"/>
          </w:tcPr>
          <w:p>
            <w:pPr>
              <w:pStyle w:val="15"/>
              <w:spacing w:line="480" w:lineRule="auto"/>
              <w:ind w:firstLine="480" w:firstLineChars="200"/>
              <w:jc w:val="center"/>
              <w:rPr>
                <w:rFonts w:hAnsi="宋体" w:cs="宋体"/>
                <w:sz w:val="24"/>
                <w:szCs w:val="24"/>
              </w:rPr>
            </w:pPr>
          </w:p>
        </w:tc>
        <w:tc>
          <w:tcPr>
            <w:tcW w:w="933" w:type="dxa"/>
            <w:vAlign w:val="center"/>
          </w:tcPr>
          <w:p>
            <w:pPr>
              <w:pStyle w:val="15"/>
              <w:spacing w:line="480" w:lineRule="auto"/>
              <w:jc w:val="center"/>
              <w:rPr>
                <w:rFonts w:hAnsi="宋体" w:cs="宋体"/>
                <w:sz w:val="24"/>
                <w:szCs w:val="24"/>
              </w:rPr>
            </w:pPr>
          </w:p>
        </w:tc>
        <w:tc>
          <w:tcPr>
            <w:tcW w:w="1351"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8" w:type="dxa"/>
            <w:vAlign w:val="center"/>
          </w:tcPr>
          <w:p>
            <w:pPr>
              <w:pStyle w:val="15"/>
              <w:spacing w:line="480" w:lineRule="auto"/>
              <w:jc w:val="center"/>
              <w:rPr>
                <w:rFonts w:hAnsi="宋体" w:cs="宋体"/>
                <w:sz w:val="24"/>
                <w:szCs w:val="24"/>
              </w:rPr>
            </w:pPr>
            <w:r>
              <w:rPr>
                <w:rFonts w:hint="eastAsia" w:hAnsi="宋体" w:cs="宋体"/>
                <w:sz w:val="24"/>
                <w:szCs w:val="24"/>
              </w:rPr>
              <w:t>3</w:t>
            </w:r>
          </w:p>
        </w:tc>
        <w:tc>
          <w:tcPr>
            <w:tcW w:w="1361" w:type="dxa"/>
            <w:vAlign w:val="center"/>
          </w:tcPr>
          <w:p>
            <w:pPr>
              <w:pStyle w:val="15"/>
              <w:spacing w:line="480" w:lineRule="auto"/>
              <w:jc w:val="center"/>
              <w:rPr>
                <w:rFonts w:hAnsi="宋体" w:cs="宋体"/>
                <w:sz w:val="24"/>
                <w:szCs w:val="24"/>
              </w:rPr>
            </w:pPr>
            <w:r>
              <w:rPr>
                <w:rFonts w:hint="eastAsia" w:hAnsi="宋体" w:cs="宋体"/>
                <w:sz w:val="24"/>
                <w:szCs w:val="20"/>
              </w:rPr>
              <w:t>付款方式</w:t>
            </w:r>
          </w:p>
        </w:tc>
        <w:tc>
          <w:tcPr>
            <w:tcW w:w="2472" w:type="dxa"/>
          </w:tcPr>
          <w:p>
            <w:pPr>
              <w:rPr>
                <w:rFonts w:hAnsi="宋体" w:cs="宋体"/>
                <w:sz w:val="24"/>
                <w:szCs w:val="24"/>
              </w:rPr>
            </w:pPr>
          </w:p>
        </w:tc>
        <w:tc>
          <w:tcPr>
            <w:tcW w:w="2731" w:type="dxa"/>
          </w:tcPr>
          <w:p>
            <w:pPr>
              <w:rPr>
                <w:rFonts w:hAnsi="宋体" w:cs="宋体"/>
                <w:sz w:val="24"/>
                <w:szCs w:val="24"/>
              </w:rPr>
            </w:pPr>
          </w:p>
        </w:tc>
        <w:tc>
          <w:tcPr>
            <w:tcW w:w="933" w:type="dxa"/>
            <w:vAlign w:val="center"/>
          </w:tcPr>
          <w:p>
            <w:pPr>
              <w:pStyle w:val="15"/>
              <w:spacing w:line="480" w:lineRule="auto"/>
              <w:jc w:val="center"/>
              <w:rPr>
                <w:rFonts w:hAnsi="宋体" w:cs="宋体"/>
                <w:sz w:val="24"/>
                <w:szCs w:val="24"/>
              </w:rPr>
            </w:pPr>
          </w:p>
        </w:tc>
        <w:tc>
          <w:tcPr>
            <w:tcW w:w="1351" w:type="dxa"/>
          </w:tcPr>
          <w:p>
            <w:pPr>
              <w:pStyle w:val="15"/>
              <w:spacing w:line="480" w:lineRule="auto"/>
              <w:ind w:firstLine="480" w:firstLineChars="200"/>
              <w:jc w:val="left"/>
              <w:rPr>
                <w:rFonts w:hAnsi="宋体" w:cs="宋体"/>
                <w:sz w:val="24"/>
                <w:szCs w:val="24"/>
              </w:rPr>
            </w:pPr>
          </w:p>
        </w:tc>
      </w:tr>
    </w:tbl>
    <w:p>
      <w:pPr>
        <w:pStyle w:val="8"/>
        <w:numPr>
          <w:ilvl w:val="0"/>
          <w:numId w:val="31"/>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供应商：教育部学位与研究生教育发展中心（加盖单位公章）</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 xml:space="preserve"> 日</w:t>
      </w:r>
    </w:p>
    <w:p>
      <w:pPr>
        <w:tabs>
          <w:tab w:val="left" w:pos="0"/>
        </w:tabs>
        <w:jc w:val="center"/>
        <w:outlineLvl w:val="1"/>
        <w:rPr>
          <w:rFonts w:ascii="宋体" w:hAnsi="宋体" w:cs="宋体"/>
          <w:b/>
          <w:bCs/>
          <w:kern w:val="0"/>
          <w:sz w:val="36"/>
          <w:szCs w:val="36"/>
        </w:rPr>
        <w:sectPr>
          <w:pgSz w:w="11906" w:h="16838"/>
          <w:pgMar w:top="1440" w:right="1803" w:bottom="1440" w:left="1803" w:header="851" w:footer="992" w:gutter="0"/>
          <w:cols w:space="720" w:num="1"/>
          <w:docGrid w:type="lines" w:linePitch="319" w:charSpace="0"/>
        </w:sectPr>
      </w:pPr>
      <w:bookmarkStart w:id="68" w:name="_Toc19138"/>
      <w:bookmarkStart w:id="69" w:name="_Toc9172"/>
      <w:bookmarkStart w:id="70" w:name="_Toc26254"/>
      <w:bookmarkStart w:id="71" w:name="_Toc16677"/>
      <w:bookmarkStart w:id="72" w:name="_Toc16790"/>
      <w:bookmarkStart w:id="73" w:name="_Toc2049"/>
      <w:bookmarkStart w:id="74" w:name="_Toc19652"/>
      <w:bookmarkStart w:id="75" w:name="_Toc1803"/>
    </w:p>
    <w:p>
      <w:pPr>
        <w:tabs>
          <w:tab w:val="left" w:pos="0"/>
        </w:tabs>
        <w:jc w:val="center"/>
        <w:outlineLvl w:val="1"/>
        <w:rPr>
          <w:rFonts w:ascii="宋体" w:hAnsi="宋体" w:cs="宋体"/>
          <w:b/>
          <w:bCs/>
          <w:kern w:val="0"/>
          <w:sz w:val="36"/>
          <w:szCs w:val="36"/>
        </w:rPr>
      </w:pPr>
      <w:r>
        <w:rPr>
          <w:rFonts w:hint="eastAsia" w:ascii="宋体" w:hAnsi="宋体" w:cs="宋体"/>
          <w:b/>
          <w:bCs/>
          <w:kern w:val="0"/>
          <w:sz w:val="36"/>
          <w:szCs w:val="36"/>
        </w:rPr>
        <w:t xml:space="preserve">第四部分 </w:t>
      </w:r>
      <w:bookmarkEnd w:id="68"/>
      <w:bookmarkEnd w:id="69"/>
      <w:r>
        <w:rPr>
          <w:rFonts w:hint="eastAsia" w:ascii="宋体" w:hAnsi="宋体" w:cs="宋体"/>
          <w:b/>
          <w:bCs/>
          <w:kern w:val="0"/>
          <w:sz w:val="36"/>
          <w:szCs w:val="36"/>
        </w:rPr>
        <w:t xml:space="preserve"> </w:t>
      </w:r>
      <w:bookmarkEnd w:id="70"/>
      <w:r>
        <w:rPr>
          <w:rFonts w:hint="eastAsia" w:ascii="宋体" w:hAnsi="宋体" w:cs="宋体"/>
          <w:b/>
          <w:bCs/>
          <w:kern w:val="0"/>
          <w:sz w:val="36"/>
          <w:szCs w:val="36"/>
        </w:rPr>
        <w:t>供应商资格要求</w:t>
      </w:r>
      <w:bookmarkEnd w:id="71"/>
    </w:p>
    <w:p>
      <w:pPr>
        <w:tabs>
          <w:tab w:val="left" w:pos="0"/>
        </w:tabs>
        <w:jc w:val="center"/>
        <w:rPr>
          <w:rFonts w:ascii="宋体" w:hAnsi="宋体" w:cs="宋体"/>
          <w:b/>
          <w:bCs/>
          <w:kern w:val="0"/>
          <w:sz w:val="36"/>
          <w:szCs w:val="36"/>
        </w:rPr>
      </w:pPr>
      <w:r>
        <w:rPr>
          <w:rFonts w:hint="eastAsia" w:ascii="宋体" w:hAnsi="宋体" w:cs="宋体"/>
          <w:b/>
          <w:bCs/>
          <w:kern w:val="0"/>
          <w:sz w:val="36"/>
          <w:szCs w:val="36"/>
        </w:rPr>
        <w:t>基本资格条件：</w:t>
      </w:r>
    </w:p>
    <w:p>
      <w:pPr>
        <w:pStyle w:val="40"/>
        <w:spacing w:line="360" w:lineRule="auto"/>
      </w:pPr>
    </w:p>
    <w:p>
      <w:pPr>
        <w:spacing w:line="360" w:lineRule="auto"/>
        <w:rPr>
          <w:rFonts w:ascii="宋体"/>
        </w:rPr>
      </w:pPr>
      <w:r>
        <w:rPr>
          <w:rFonts w:hint="eastAsia" w:ascii="宋体" w:cs="宋体"/>
          <w:sz w:val="24"/>
          <w:szCs w:val="24"/>
        </w:rPr>
        <w:t>供应商符合《政府采购法》第二十二条规定条件的承诺函</w:t>
      </w:r>
    </w:p>
    <w:p>
      <w:pPr>
        <w:pStyle w:val="13"/>
        <w:spacing w:line="360" w:lineRule="auto"/>
        <w:ind w:left="0" w:leftChars="0"/>
        <w:rPr>
          <w:rFonts w:ascii="宋体"/>
          <w:sz w:val="24"/>
          <w:szCs w:val="24"/>
        </w:rPr>
      </w:pPr>
      <w:r>
        <w:rPr>
          <w:rFonts w:hint="eastAsia" w:ascii="宋体" w:cs="宋体"/>
          <w:sz w:val="24"/>
          <w:szCs w:val="24"/>
        </w:rPr>
        <w:t>致陕西卓佲项目管理有限公司：</w:t>
      </w:r>
    </w:p>
    <w:p>
      <w:pPr>
        <w:pStyle w:val="13"/>
        <w:spacing w:line="360" w:lineRule="auto"/>
        <w:ind w:left="0" w:leftChars="0" w:firstLine="540" w:firstLineChars="225"/>
        <w:rPr>
          <w:rFonts w:ascii="宋体"/>
          <w:sz w:val="24"/>
          <w:szCs w:val="24"/>
        </w:rPr>
      </w:pPr>
      <w:r>
        <w:rPr>
          <w:rFonts w:hint="eastAsia" w:ascii="宋体" w:cs="宋体"/>
          <w:sz w:val="24"/>
          <w:szCs w:val="24"/>
        </w:rPr>
        <w:t>本公司</w:t>
      </w:r>
      <w:r>
        <w:rPr>
          <w:rFonts w:hint="eastAsia" w:ascii="宋体" w:cs="宋体"/>
          <w:sz w:val="24"/>
          <w:szCs w:val="24"/>
          <w:u w:val="single"/>
        </w:rPr>
        <w:t>（教育部学位与研究生教育发展中心）</w:t>
      </w:r>
      <w:r>
        <w:rPr>
          <w:rFonts w:hint="eastAsia" w:ascii="宋体" w:cs="宋体"/>
          <w:sz w:val="24"/>
          <w:szCs w:val="24"/>
        </w:rPr>
        <w:t>参加</w:t>
      </w:r>
      <w:r>
        <w:rPr>
          <w:rFonts w:hint="eastAsia" w:ascii="宋体" w:cs="宋体"/>
          <w:sz w:val="24"/>
          <w:szCs w:val="24"/>
          <w:u w:val="single"/>
        </w:rPr>
        <w:t>（西安建筑科技大学教育部学位与研究生教育发展中心学位论文质量监测服务采购项目）</w:t>
      </w:r>
      <w:r>
        <w:rPr>
          <w:rFonts w:hint="eastAsia" w:ascii="宋体" w:cs="宋体"/>
          <w:sz w:val="24"/>
          <w:szCs w:val="24"/>
        </w:rPr>
        <w:t>的投标活动，现承诺：</w:t>
      </w:r>
    </w:p>
    <w:p>
      <w:pPr>
        <w:pStyle w:val="13"/>
        <w:spacing w:line="360" w:lineRule="auto"/>
        <w:ind w:left="0" w:leftChars="0" w:firstLine="540" w:firstLineChars="225"/>
        <w:rPr>
          <w:rFonts w:ascii="宋体"/>
          <w:sz w:val="24"/>
          <w:szCs w:val="24"/>
        </w:rPr>
      </w:pPr>
      <w:r>
        <w:rPr>
          <w:rFonts w:hint="eastAsia" w:ascii="宋体" w:cs="宋体"/>
          <w:sz w:val="24"/>
          <w:szCs w:val="24"/>
        </w:rPr>
        <w:t>我公司满足政府采购法第二十二条关于供应商的资格要求：</w:t>
      </w:r>
    </w:p>
    <w:p>
      <w:pPr>
        <w:pStyle w:val="13"/>
        <w:spacing w:line="360" w:lineRule="auto"/>
        <w:ind w:left="0" w:leftChars="0" w:firstLine="540" w:firstLineChars="225"/>
        <w:rPr>
          <w:rFonts w:ascii="宋体"/>
          <w:sz w:val="24"/>
          <w:szCs w:val="24"/>
        </w:rPr>
      </w:pPr>
      <w:r>
        <w:rPr>
          <w:rFonts w:hint="eastAsia" w:ascii="宋体" w:cs="宋体"/>
          <w:sz w:val="24"/>
          <w:szCs w:val="24"/>
        </w:rPr>
        <w:t>（一）具有独立承担民事责任的能力；</w:t>
      </w:r>
    </w:p>
    <w:p>
      <w:pPr>
        <w:pStyle w:val="13"/>
        <w:spacing w:line="360" w:lineRule="auto"/>
        <w:ind w:left="0" w:leftChars="0" w:firstLine="540" w:firstLineChars="225"/>
        <w:rPr>
          <w:rFonts w:ascii="宋体"/>
          <w:sz w:val="24"/>
          <w:szCs w:val="24"/>
        </w:rPr>
      </w:pPr>
      <w:r>
        <w:rPr>
          <w:rFonts w:hint="eastAsia" w:ascii="宋体" w:cs="宋体"/>
          <w:sz w:val="24"/>
          <w:szCs w:val="24"/>
        </w:rPr>
        <w:t>（二）具有良好的商业信誉和健全的财务会计制度；</w:t>
      </w:r>
    </w:p>
    <w:p>
      <w:pPr>
        <w:pStyle w:val="13"/>
        <w:spacing w:line="360" w:lineRule="auto"/>
        <w:ind w:left="0" w:leftChars="0" w:firstLine="540" w:firstLineChars="225"/>
        <w:rPr>
          <w:rFonts w:ascii="宋体"/>
          <w:sz w:val="24"/>
          <w:szCs w:val="24"/>
        </w:rPr>
      </w:pPr>
      <w:r>
        <w:rPr>
          <w:rFonts w:hint="eastAsia" w:ascii="宋体" w:cs="宋体"/>
          <w:sz w:val="24"/>
          <w:szCs w:val="24"/>
        </w:rPr>
        <w:t>（三）具有履行合同所必需的设备和专业技术能力；</w:t>
      </w:r>
    </w:p>
    <w:p>
      <w:pPr>
        <w:pStyle w:val="13"/>
        <w:spacing w:line="360" w:lineRule="auto"/>
        <w:ind w:left="0" w:leftChars="0" w:firstLine="540" w:firstLineChars="225"/>
        <w:rPr>
          <w:rFonts w:ascii="宋体"/>
          <w:sz w:val="24"/>
          <w:szCs w:val="24"/>
        </w:rPr>
      </w:pPr>
      <w:r>
        <w:rPr>
          <w:rFonts w:hint="eastAsia" w:ascii="宋体" w:cs="宋体"/>
          <w:sz w:val="24"/>
          <w:szCs w:val="24"/>
        </w:rPr>
        <w:t>（四）有依法缴纳税收的良好记录；</w:t>
      </w:r>
    </w:p>
    <w:p>
      <w:pPr>
        <w:pStyle w:val="13"/>
        <w:spacing w:line="360" w:lineRule="auto"/>
        <w:ind w:left="0" w:leftChars="0" w:firstLine="540" w:firstLineChars="225"/>
        <w:rPr>
          <w:rFonts w:ascii="宋体" w:cs="宋体"/>
          <w:sz w:val="24"/>
          <w:szCs w:val="24"/>
        </w:rPr>
      </w:pPr>
      <w:r>
        <w:rPr>
          <w:rFonts w:hint="eastAsia" w:ascii="宋体" w:cs="宋体"/>
          <w:sz w:val="24"/>
          <w:szCs w:val="24"/>
        </w:rPr>
        <w:t>（五）参加政府采购活动前3年内在经营活动中没有重大违法记录；</w:t>
      </w:r>
    </w:p>
    <w:p>
      <w:pPr>
        <w:pStyle w:val="13"/>
        <w:spacing w:line="360" w:lineRule="auto"/>
        <w:ind w:left="0" w:leftChars="0" w:firstLine="540" w:firstLineChars="225"/>
        <w:rPr>
          <w:rFonts w:ascii="宋体"/>
          <w:sz w:val="24"/>
          <w:szCs w:val="24"/>
        </w:rPr>
      </w:pPr>
      <w:r>
        <w:rPr>
          <w:rFonts w:hint="eastAsia" w:ascii="宋体" w:cs="宋体"/>
          <w:sz w:val="24"/>
          <w:szCs w:val="24"/>
        </w:rPr>
        <w:t>（六）法律、行政法规规定的其他条件。</w:t>
      </w:r>
    </w:p>
    <w:p>
      <w:pPr>
        <w:spacing w:line="360" w:lineRule="auto"/>
        <w:ind w:firstLine="432"/>
        <w:rPr>
          <w:sz w:val="24"/>
        </w:rPr>
      </w:pPr>
      <w:r>
        <w:rPr>
          <w:rFonts w:hint="eastAsia"/>
          <w:sz w:val="24"/>
        </w:rPr>
        <w:t>本单位对上述承诺的内容事项真实性负责。如经查实上述承诺的内容事项存在虚假，我单位愿意接受以提供虚假材料谋取中标追究法律责任。</w:t>
      </w:r>
    </w:p>
    <w:p>
      <w:pPr>
        <w:pStyle w:val="13"/>
        <w:spacing w:line="360" w:lineRule="auto"/>
        <w:ind w:left="0" w:leftChars="0" w:firstLine="540" w:firstLineChars="225"/>
        <w:rPr>
          <w:rFonts w:ascii="宋体"/>
          <w:sz w:val="24"/>
          <w:szCs w:val="24"/>
          <w:highlight w:val="yellow"/>
        </w:rPr>
      </w:pPr>
    </w:p>
    <w:p>
      <w:pPr>
        <w:pStyle w:val="13"/>
        <w:spacing w:line="360" w:lineRule="auto"/>
        <w:ind w:left="0" w:leftChars="0"/>
        <w:rPr>
          <w:rFonts w:ascii="宋体"/>
          <w:sz w:val="24"/>
          <w:szCs w:val="24"/>
        </w:rPr>
      </w:pPr>
    </w:p>
    <w:p>
      <w:pPr>
        <w:spacing w:line="360" w:lineRule="auto"/>
        <w:rPr>
          <w:rFonts w:ascii="宋体"/>
          <w:sz w:val="24"/>
          <w:szCs w:val="24"/>
        </w:rPr>
      </w:pPr>
      <w:r>
        <w:rPr>
          <w:rFonts w:hint="eastAsia" w:ascii="宋体" w:cs="宋体"/>
          <w:sz w:val="24"/>
          <w:szCs w:val="24"/>
        </w:rPr>
        <w:t>供应商：教育部学位与研究生教育发展中心（加盖单位公章）</w:t>
      </w:r>
    </w:p>
    <w:p>
      <w:pPr>
        <w:spacing w:line="360" w:lineRule="auto"/>
        <w:rPr>
          <w:rFonts w:ascii="宋体"/>
          <w:sz w:val="24"/>
          <w:szCs w:val="24"/>
        </w:rPr>
      </w:pPr>
      <w:r>
        <w:rPr>
          <w:rFonts w:hint="eastAsia" w:ascii="宋体" w:cs="宋体"/>
          <w:sz w:val="24"/>
          <w:szCs w:val="24"/>
        </w:rPr>
        <w:t>法定代表人</w:t>
      </w:r>
      <w:r>
        <w:rPr>
          <w:rFonts w:hint="eastAsia" w:ascii="宋体" w:hAnsi="宋体" w:cs="宋体"/>
          <w:sz w:val="24"/>
          <w:szCs w:val="24"/>
        </w:rPr>
        <w:t>或</w:t>
      </w:r>
      <w:r>
        <w:rPr>
          <w:rFonts w:hint="eastAsia" w:ascii="宋体" w:cs="宋体"/>
          <w:sz w:val="24"/>
          <w:szCs w:val="24"/>
        </w:rPr>
        <w:t>被授权人（签字或盖章）：</w:t>
      </w:r>
      <w:r>
        <w:rPr>
          <w:rFonts w:hint="eastAsia" w:ascii="宋体" w:hAnsi="宋体" w:cs="宋体"/>
          <w:sz w:val="28"/>
          <w:szCs w:val="28"/>
        </w:rPr>
        <w:t>___________________</w:t>
      </w:r>
    </w:p>
    <w:p>
      <w:pPr>
        <w:spacing w:line="360" w:lineRule="auto"/>
        <w:rPr>
          <w:rFonts w:ascii="宋体"/>
          <w:sz w:val="24"/>
          <w:szCs w:val="24"/>
        </w:rPr>
      </w:pPr>
      <w:r>
        <w:rPr>
          <w:rFonts w:hint="eastAsia" w:ascii="宋体" w:cs="宋体"/>
          <w:sz w:val="24"/>
          <w:szCs w:val="24"/>
        </w:rPr>
        <w:t>日期：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_____日</w:t>
      </w:r>
    </w:p>
    <w:p>
      <w:pPr>
        <w:pStyle w:val="8"/>
        <w:ind w:firstLine="0"/>
      </w:pPr>
    </w:p>
    <w:p/>
    <w:p/>
    <w:p/>
    <w:p/>
    <w:p/>
    <w:p/>
    <w:p/>
    <w:p/>
    <w:p>
      <w:pPr>
        <w:rPr>
          <w:rFonts w:ascii="宋体" w:cs="宋体"/>
          <w:b/>
          <w:bCs/>
          <w:sz w:val="28"/>
          <w:szCs w:val="28"/>
        </w:rPr>
      </w:pPr>
      <w:r>
        <w:rPr>
          <w:rFonts w:hint="eastAsia" w:ascii="宋体" w:cs="宋体"/>
          <w:b/>
          <w:bCs/>
          <w:sz w:val="28"/>
          <w:szCs w:val="28"/>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rPr>
          <w:rFonts w:ascii="宋体" w:hAnsi="宋体" w:cs="宋体"/>
          <w:sz w:val="24"/>
          <w:szCs w:val="24"/>
        </w:rPr>
      </w:pPr>
      <w:r>
        <w:rPr>
          <w:rFonts w:hint="eastAsia" w:ascii="宋体" w:hAnsi="宋体" w:cs="宋体"/>
          <w:sz w:val="24"/>
          <w:szCs w:val="24"/>
        </w:rPr>
        <w:t>（2）法定代表人证明书及法定代表人授权书</w:t>
      </w:r>
    </w:p>
    <w:p>
      <w:pPr>
        <w:spacing w:line="360" w:lineRule="auto"/>
        <w:jc w:val="center"/>
        <w:rPr>
          <w:sz w:val="24"/>
          <w:szCs w:val="24"/>
        </w:rPr>
      </w:pPr>
      <w:r>
        <w:rPr>
          <w:rFonts w:hint="eastAsia"/>
          <w:sz w:val="24"/>
          <w:szCs w:val="24"/>
        </w:rPr>
        <w:t>2-1法定代表人证明书</w:t>
      </w:r>
    </w:p>
    <w:tbl>
      <w:tblPr>
        <w:tblStyle w:val="29"/>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cs="宋体"/>
                <w:kern w:val="0"/>
                <w:szCs w:val="21"/>
              </w:rPr>
            </w:pPr>
            <w:r>
              <w:rPr>
                <w:rFonts w:hint="eastAsia" w:asci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企</w:t>
            </w:r>
          </w:p>
          <w:p>
            <w:pPr>
              <w:tabs>
                <w:tab w:val="left" w:pos="210"/>
              </w:tabs>
              <w:spacing w:line="360" w:lineRule="auto"/>
              <w:jc w:val="center"/>
              <w:rPr>
                <w:rFonts w:ascii="宋体" w:cs="宋体"/>
                <w:kern w:val="0"/>
                <w:szCs w:val="21"/>
              </w:rPr>
            </w:pPr>
            <w:r>
              <w:rPr>
                <w:rFonts w:hint="eastAsia" w:ascii="宋体" w:cs="宋体"/>
                <w:kern w:val="0"/>
                <w:szCs w:val="21"/>
              </w:rPr>
              <w:t>业</w:t>
            </w:r>
          </w:p>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人</w:t>
            </w: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企业名称</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法定地址</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邮政编码</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工商登记机关</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Merge w:val="restart"/>
            <w:vAlign w:val="center"/>
          </w:tcPr>
          <w:p>
            <w:pPr>
              <w:tabs>
                <w:tab w:val="left" w:pos="210"/>
              </w:tabs>
              <w:spacing w:line="360" w:lineRule="auto"/>
              <w:rPr>
                <w:rFonts w:ascii="宋体" w:cs="宋体"/>
                <w:kern w:val="0"/>
                <w:szCs w:val="21"/>
              </w:rPr>
            </w:pPr>
            <w:r>
              <w:rPr>
                <w:rFonts w:hint="eastAsia" w:ascii="宋体" w:cs="宋体"/>
                <w:kern w:val="0"/>
                <w:szCs w:val="21"/>
              </w:rPr>
              <w:t>税务登记机关</w:t>
            </w:r>
          </w:p>
        </w:tc>
        <w:tc>
          <w:tcPr>
            <w:tcW w:w="6656" w:type="dxa"/>
            <w:gridSpan w:val="4"/>
            <w:vAlign w:val="center"/>
          </w:tcPr>
          <w:p>
            <w:pPr>
              <w:tabs>
                <w:tab w:val="left" w:pos="210"/>
              </w:tabs>
              <w:spacing w:line="360" w:lineRule="auto"/>
              <w:jc w:val="left"/>
              <w:rPr>
                <w:rFonts w:ascii="宋体" w:cs="宋体"/>
                <w:kern w:val="0"/>
                <w:szCs w:val="21"/>
              </w:rPr>
            </w:pPr>
            <w:r>
              <w:rPr>
                <w:rFonts w:hint="eastAsia" w:ascii="宋体" w:cs="宋体"/>
                <w:kern w:val="0"/>
                <w:szCs w:val="21"/>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Merge w:val="continue"/>
            <w:vAlign w:val="center"/>
          </w:tcPr>
          <w:p/>
        </w:tc>
        <w:tc>
          <w:tcPr>
            <w:tcW w:w="6656" w:type="dxa"/>
            <w:gridSpan w:val="4"/>
            <w:vAlign w:val="center"/>
          </w:tcPr>
          <w:p>
            <w:pPr>
              <w:tabs>
                <w:tab w:val="left" w:pos="210"/>
              </w:tabs>
              <w:spacing w:line="360" w:lineRule="auto"/>
              <w:jc w:val="left"/>
              <w:rPr>
                <w:rFonts w:ascii="宋体" w:cs="宋体"/>
                <w:kern w:val="0"/>
                <w:szCs w:val="21"/>
              </w:rPr>
            </w:pPr>
            <w:r>
              <w:rPr>
                <w:rFonts w:hint="eastAsia" w:ascii="宋体" w:cs="宋体"/>
                <w:kern w:val="0"/>
                <w:szCs w:val="21"/>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机构代码证号</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定</w:t>
            </w:r>
          </w:p>
          <w:p>
            <w:pPr>
              <w:tabs>
                <w:tab w:val="left" w:pos="210"/>
              </w:tabs>
              <w:spacing w:line="360" w:lineRule="auto"/>
              <w:jc w:val="center"/>
              <w:rPr>
                <w:rFonts w:ascii="宋体" w:cs="宋体"/>
                <w:kern w:val="0"/>
                <w:szCs w:val="21"/>
              </w:rPr>
            </w:pPr>
            <w:r>
              <w:rPr>
                <w:rFonts w:hint="eastAsia" w:ascii="宋体" w:cs="宋体"/>
                <w:kern w:val="0"/>
                <w:szCs w:val="21"/>
              </w:rPr>
              <w:t>代</w:t>
            </w:r>
          </w:p>
          <w:p>
            <w:pPr>
              <w:tabs>
                <w:tab w:val="left" w:pos="210"/>
              </w:tabs>
              <w:spacing w:line="360" w:lineRule="auto"/>
              <w:jc w:val="center"/>
              <w:rPr>
                <w:rFonts w:ascii="宋体" w:cs="宋体"/>
                <w:kern w:val="0"/>
                <w:szCs w:val="21"/>
              </w:rPr>
            </w:pPr>
            <w:r>
              <w:rPr>
                <w:rFonts w:hint="eastAsia" w:ascii="宋体" w:cs="宋体"/>
                <w:kern w:val="0"/>
                <w:szCs w:val="21"/>
              </w:rPr>
              <w:t>表</w:t>
            </w:r>
          </w:p>
          <w:p>
            <w:pPr>
              <w:tabs>
                <w:tab w:val="left" w:pos="210"/>
              </w:tabs>
              <w:spacing w:line="360" w:lineRule="auto"/>
              <w:jc w:val="center"/>
              <w:rPr>
                <w:rFonts w:ascii="宋体" w:cs="宋体"/>
                <w:kern w:val="0"/>
                <w:szCs w:val="21"/>
              </w:rPr>
            </w:pPr>
            <w:r>
              <w:rPr>
                <w:rFonts w:hint="eastAsia" w:ascii="宋体" w:cs="宋体"/>
                <w:kern w:val="0"/>
                <w:szCs w:val="21"/>
              </w:rPr>
              <w:t>人</w:t>
            </w: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cs="宋体"/>
                <w:kern w:val="0"/>
                <w:szCs w:val="21"/>
              </w:rPr>
            </w:pPr>
          </w:p>
        </w:tc>
        <w:tc>
          <w:tcPr>
            <w:tcW w:w="2156" w:type="dxa"/>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性别</w:t>
            </w:r>
          </w:p>
        </w:tc>
        <w:tc>
          <w:tcPr>
            <w:tcW w:w="2160" w:type="dxa"/>
            <w:vAlign w:val="center"/>
          </w:tcPr>
          <w:p>
            <w:pPr>
              <w:tabs>
                <w:tab w:val="left" w:pos="210"/>
              </w:tabs>
              <w:spacing w:line="360" w:lineRule="auto"/>
              <w:ind w:firstLine="420" w:firstLineChars="200"/>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职务</w:t>
            </w:r>
          </w:p>
        </w:tc>
        <w:tc>
          <w:tcPr>
            <w:tcW w:w="2340" w:type="dxa"/>
            <w:gridSpan w:val="2"/>
            <w:vAlign w:val="center"/>
          </w:tcPr>
          <w:p>
            <w:pPr>
              <w:tabs>
                <w:tab w:val="left" w:pos="210"/>
              </w:tabs>
              <w:spacing w:line="360" w:lineRule="auto"/>
              <w:jc w:val="left"/>
              <w:rPr>
                <w:rFonts w:ascii="宋体" w:cs="宋体"/>
                <w:kern w:val="0"/>
                <w:szCs w:val="21"/>
              </w:rPr>
            </w:pPr>
          </w:p>
        </w:tc>
        <w:tc>
          <w:tcPr>
            <w:tcW w:w="2156" w:type="dxa"/>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传真</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定</w:t>
            </w:r>
          </w:p>
          <w:p>
            <w:pPr>
              <w:tabs>
                <w:tab w:val="left" w:pos="210"/>
              </w:tabs>
              <w:spacing w:line="360" w:lineRule="auto"/>
              <w:jc w:val="center"/>
              <w:rPr>
                <w:rFonts w:ascii="宋体" w:cs="宋体"/>
                <w:kern w:val="0"/>
                <w:szCs w:val="21"/>
              </w:rPr>
            </w:pPr>
            <w:r>
              <w:rPr>
                <w:rFonts w:hint="eastAsia" w:ascii="宋体" w:cs="宋体"/>
                <w:kern w:val="0"/>
                <w:szCs w:val="21"/>
              </w:rPr>
              <w:t>代</w:t>
            </w:r>
          </w:p>
          <w:p>
            <w:pPr>
              <w:tabs>
                <w:tab w:val="left" w:pos="210"/>
              </w:tabs>
              <w:spacing w:line="360" w:lineRule="auto"/>
              <w:jc w:val="center"/>
              <w:rPr>
                <w:rFonts w:ascii="宋体" w:cs="宋体"/>
                <w:kern w:val="0"/>
                <w:szCs w:val="21"/>
              </w:rPr>
            </w:pPr>
            <w:r>
              <w:rPr>
                <w:rFonts w:hint="eastAsia" w:ascii="宋体" w:cs="宋体"/>
                <w:kern w:val="0"/>
                <w:szCs w:val="21"/>
              </w:rPr>
              <w:t>表</w:t>
            </w:r>
          </w:p>
          <w:p>
            <w:pPr>
              <w:tabs>
                <w:tab w:val="left" w:pos="210"/>
              </w:tabs>
              <w:spacing w:line="360" w:lineRule="auto"/>
              <w:jc w:val="center"/>
              <w:rPr>
                <w:rFonts w:ascii="宋体" w:cs="宋体"/>
                <w:kern w:val="0"/>
                <w:szCs w:val="21"/>
              </w:rPr>
            </w:pPr>
            <w:r>
              <w:rPr>
                <w:rFonts w:hint="eastAsia" w:ascii="宋体" w:cs="宋体"/>
                <w:kern w:val="0"/>
                <w:szCs w:val="21"/>
              </w:rPr>
              <w:t>人</w:t>
            </w:r>
          </w:p>
          <w:p>
            <w:pPr>
              <w:tabs>
                <w:tab w:val="left" w:pos="210"/>
              </w:tabs>
              <w:spacing w:line="360" w:lineRule="auto"/>
              <w:jc w:val="center"/>
              <w:rPr>
                <w:rFonts w:ascii="宋体" w:cs="宋体"/>
                <w:kern w:val="0"/>
                <w:szCs w:val="21"/>
              </w:rPr>
            </w:pPr>
            <w:r>
              <w:rPr>
                <w:rFonts w:hint="eastAsia" w:ascii="宋体" w:cs="宋体"/>
                <w:kern w:val="0"/>
                <w:szCs w:val="21"/>
              </w:rPr>
              <w:t>身</w:t>
            </w:r>
          </w:p>
          <w:p>
            <w:pPr>
              <w:tabs>
                <w:tab w:val="left" w:pos="210"/>
              </w:tabs>
              <w:spacing w:line="360" w:lineRule="auto"/>
              <w:jc w:val="center"/>
              <w:rPr>
                <w:rFonts w:ascii="宋体" w:cs="宋体"/>
                <w:kern w:val="0"/>
                <w:szCs w:val="21"/>
              </w:rPr>
            </w:pPr>
            <w:r>
              <w:rPr>
                <w:rFonts w:hint="eastAsia" w:ascii="宋体" w:cs="宋体"/>
                <w:kern w:val="0"/>
                <w:szCs w:val="21"/>
              </w:rPr>
              <w:t>份</w:t>
            </w:r>
          </w:p>
          <w:p>
            <w:pPr>
              <w:tabs>
                <w:tab w:val="left" w:pos="210"/>
              </w:tabs>
              <w:spacing w:line="360" w:lineRule="auto"/>
              <w:jc w:val="center"/>
              <w:rPr>
                <w:rFonts w:ascii="宋体" w:cs="宋体"/>
                <w:kern w:val="0"/>
                <w:szCs w:val="21"/>
              </w:rPr>
            </w:pPr>
            <w:r>
              <w:rPr>
                <w:rFonts w:hint="eastAsia" w:ascii="宋体" w:cs="宋体"/>
                <w:kern w:val="0"/>
                <w:szCs w:val="21"/>
              </w:rPr>
              <w:t>证</w:t>
            </w:r>
          </w:p>
          <w:p>
            <w:pPr>
              <w:tabs>
                <w:tab w:val="left" w:pos="210"/>
              </w:tabs>
              <w:spacing w:line="360" w:lineRule="auto"/>
              <w:jc w:val="center"/>
              <w:rPr>
                <w:rFonts w:ascii="宋体" w:cs="宋体"/>
                <w:kern w:val="0"/>
                <w:szCs w:val="21"/>
              </w:rPr>
            </w:pPr>
            <w:r>
              <w:rPr>
                <w:rFonts w:hint="eastAsia" w:ascii="宋体" w:cs="宋体"/>
                <w:kern w:val="0"/>
                <w:szCs w:val="21"/>
              </w:rPr>
              <w:t>复</w:t>
            </w:r>
          </w:p>
          <w:p>
            <w:pPr>
              <w:tabs>
                <w:tab w:val="left" w:pos="210"/>
              </w:tabs>
              <w:spacing w:line="360" w:lineRule="auto"/>
              <w:jc w:val="center"/>
              <w:rPr>
                <w:rFonts w:ascii="宋体" w:cs="宋体"/>
                <w:kern w:val="0"/>
                <w:szCs w:val="21"/>
              </w:rPr>
            </w:pPr>
            <w:r>
              <w:rPr>
                <w:rFonts w:hint="eastAsia" w:ascii="宋体" w:cs="宋体"/>
                <w:kern w:val="0"/>
                <w:szCs w:val="21"/>
              </w:rPr>
              <w:t>印</w:t>
            </w:r>
          </w:p>
          <w:p>
            <w:pPr>
              <w:tabs>
                <w:tab w:val="left" w:pos="210"/>
              </w:tabs>
              <w:spacing w:line="360" w:lineRule="auto"/>
              <w:jc w:val="center"/>
              <w:rPr>
                <w:rFonts w:ascii="宋体" w:cs="宋体"/>
                <w:kern w:val="0"/>
                <w:szCs w:val="21"/>
              </w:rPr>
            </w:pPr>
            <w:r>
              <w:rPr>
                <w:rFonts w:hint="eastAsia" w:asci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tc>
        <w:tc>
          <w:tcPr>
            <w:tcW w:w="4316" w:type="dxa"/>
            <w:gridSpan w:val="2"/>
            <w:vMerge w:val="continue"/>
            <w:vAlign w:val="center"/>
          </w:tcPr>
          <w:p/>
        </w:tc>
        <w:tc>
          <w:tcPr>
            <w:tcW w:w="4500" w:type="dxa"/>
            <w:gridSpan w:val="3"/>
            <w:vAlign w:val="bottom"/>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（公章）</w:t>
            </w:r>
          </w:p>
          <w:p>
            <w:pPr>
              <w:tabs>
                <w:tab w:val="left" w:pos="210"/>
              </w:tabs>
              <w:spacing w:line="360" w:lineRule="auto"/>
              <w:jc w:val="left"/>
              <w:rPr>
                <w:rFonts w:ascii="宋体" w:cs="宋体"/>
                <w:kern w:val="0"/>
                <w:szCs w:val="21"/>
              </w:rPr>
            </w:pPr>
          </w:p>
          <w:p>
            <w:pPr>
              <w:tabs>
                <w:tab w:val="left" w:pos="210"/>
              </w:tabs>
              <w:spacing w:line="360" w:lineRule="auto"/>
              <w:jc w:val="left"/>
              <w:rPr>
                <w:rFonts w:ascii="宋体" w:cs="宋体"/>
                <w:kern w:val="0"/>
                <w:szCs w:val="21"/>
              </w:rPr>
            </w:pPr>
          </w:p>
          <w:p>
            <w:pPr>
              <w:tabs>
                <w:tab w:val="left" w:pos="210"/>
              </w:tabs>
              <w:spacing w:line="360" w:lineRule="auto"/>
              <w:jc w:val="left"/>
              <w:rPr>
                <w:rFonts w:ascii="宋体" w:cs="宋体"/>
                <w:kern w:val="0"/>
                <w:szCs w:val="21"/>
              </w:rPr>
            </w:pPr>
          </w:p>
          <w:p>
            <w:pPr>
              <w:adjustRightInd w:val="0"/>
              <w:snapToGrid w:val="0"/>
              <w:spacing w:line="480" w:lineRule="auto"/>
              <w:ind w:firstLine="480" w:firstLineChars="200"/>
              <w:jc w:val="right"/>
              <w:rPr>
                <w:rFonts w:ascii="宋体" w:cs="宋体"/>
                <w:kern w:val="0"/>
                <w:szCs w:val="21"/>
              </w:rPr>
            </w:pPr>
            <w:r>
              <w:rPr>
                <w:rFonts w:hint="eastAsia" w:ascii="宋体" w:cs="宋体"/>
                <w:sz w:val="24"/>
              </w:rPr>
              <w:t>年  月  日</w:t>
            </w:r>
          </w:p>
        </w:tc>
      </w:tr>
    </w:tbl>
    <w:p>
      <w:pPr>
        <w:pStyle w:val="5"/>
        <w:sectPr>
          <w:pgSz w:w="11906" w:h="16838"/>
          <w:pgMar w:top="1440" w:right="1803" w:bottom="1440" w:left="1803" w:header="851" w:footer="992" w:gutter="0"/>
          <w:cols w:space="720" w:num="1"/>
          <w:docGrid w:type="lines" w:linePitch="319" w:charSpace="0"/>
        </w:sectPr>
      </w:pPr>
    </w:p>
    <w:p>
      <w:pPr>
        <w:pageBreakBefore/>
        <w:tabs>
          <w:tab w:val="left" w:pos="210"/>
        </w:tabs>
        <w:spacing w:line="360" w:lineRule="auto"/>
        <w:jc w:val="center"/>
        <w:rPr>
          <w:rFonts w:cs="宋体"/>
          <w:sz w:val="24"/>
          <w:szCs w:val="24"/>
        </w:rPr>
      </w:pPr>
      <w:r>
        <w:rPr>
          <w:rFonts w:hint="eastAsia" w:ascii="宋体" w:cs="宋体"/>
          <w:b/>
          <w:kern w:val="0"/>
          <w:sz w:val="24"/>
          <w:szCs w:val="24"/>
        </w:rPr>
        <w:t>2-2</w:t>
      </w:r>
      <w:r>
        <w:rPr>
          <w:rFonts w:hint="eastAsia" w:cs="宋体"/>
          <w:b/>
          <w:sz w:val="24"/>
          <w:szCs w:val="24"/>
        </w:rPr>
        <w:t>法定代表人授权书</w:t>
      </w:r>
    </w:p>
    <w:p>
      <w:pPr>
        <w:pStyle w:val="15"/>
        <w:spacing w:line="360" w:lineRule="auto"/>
        <w:jc w:val="left"/>
        <w:rPr>
          <w:rFonts w:cs="宋体"/>
          <w:sz w:val="24"/>
          <w:szCs w:val="24"/>
        </w:rPr>
      </w:pPr>
      <w:r>
        <w:rPr>
          <w:rFonts w:hint="eastAsia" w:cs="宋体"/>
          <w:sz w:val="24"/>
          <w:szCs w:val="24"/>
        </w:rPr>
        <w:t>陕西卓佲项目管理有限公司：</w:t>
      </w:r>
    </w:p>
    <w:p>
      <w:pPr>
        <w:tabs>
          <w:tab w:val="left" w:pos="8820"/>
        </w:tabs>
        <w:spacing w:line="360" w:lineRule="auto"/>
        <w:ind w:firstLine="570"/>
        <w:rPr>
          <w:rFonts w:ascii="宋体" w:cs="宋体"/>
          <w:sz w:val="24"/>
          <w:u w:val="single"/>
        </w:rPr>
      </w:pPr>
      <w:r>
        <w:rPr>
          <w:rFonts w:hint="eastAsia" w:ascii="宋体" w:cs="宋体"/>
          <w:sz w:val="24"/>
        </w:rPr>
        <w:t>本授权委托书声明：我</w:t>
      </w:r>
      <w:r>
        <w:rPr>
          <w:rFonts w:hint="eastAsia" w:ascii="宋体" w:cs="宋体"/>
          <w:sz w:val="24"/>
          <w:u w:val="single"/>
        </w:rPr>
        <w:t xml:space="preserve">（法定代表人姓名）   </w:t>
      </w:r>
      <w:r>
        <w:rPr>
          <w:rFonts w:hint="eastAsia" w:ascii="宋体" w:cs="宋体"/>
          <w:sz w:val="24"/>
        </w:rPr>
        <w:t>系注册于</w:t>
      </w:r>
      <w:r>
        <w:rPr>
          <w:rFonts w:hint="eastAsia" w:ascii="宋体" w:cs="宋体"/>
          <w:sz w:val="24"/>
          <w:u w:val="single"/>
        </w:rPr>
        <w:t xml:space="preserve">  （供应商地址）     </w:t>
      </w:r>
      <w:r>
        <w:rPr>
          <w:rFonts w:hint="eastAsia" w:ascii="宋体" w:cs="宋体"/>
          <w:sz w:val="24"/>
        </w:rPr>
        <w:t>的</w:t>
      </w:r>
      <w:r>
        <w:rPr>
          <w:rFonts w:hint="eastAsia" w:ascii="宋体" w:cs="宋体"/>
          <w:sz w:val="24"/>
          <w:u w:val="single"/>
        </w:rPr>
        <w:t xml:space="preserve">（供应商名称）  </w:t>
      </w:r>
      <w:r>
        <w:rPr>
          <w:rFonts w:hint="eastAsia" w:ascii="宋体" w:cs="宋体"/>
          <w:sz w:val="24"/>
        </w:rPr>
        <w:t>的法定代表人，现代表公司授权</w:t>
      </w:r>
      <w:r>
        <w:rPr>
          <w:rFonts w:hint="eastAsia" w:ascii="宋体" w:cs="宋体"/>
          <w:sz w:val="24"/>
          <w:u w:val="single"/>
        </w:rPr>
        <w:t xml:space="preserve">（被授权人的姓名、职务）   </w:t>
      </w:r>
      <w:r>
        <w:rPr>
          <w:rFonts w:hint="eastAsia" w:ascii="宋体" w:cs="宋体"/>
          <w:sz w:val="24"/>
        </w:rPr>
        <w:t>为我公司合法代理人，代表本公司参加</w:t>
      </w:r>
      <w:r>
        <w:rPr>
          <w:rFonts w:hint="eastAsia" w:ascii="宋体" w:cs="宋体"/>
          <w:sz w:val="24"/>
          <w:u w:val="single"/>
        </w:rPr>
        <w:t>西安建筑科技大学教育部学位与研究生教育发展中心学位论文质量监测服务采购项目</w:t>
      </w:r>
      <w:r>
        <w:rPr>
          <w:rFonts w:hint="eastAsia" w:ascii="宋体" w:cs="宋体"/>
          <w:sz w:val="24"/>
        </w:rPr>
        <w:t>采购项目编号为</w:t>
      </w:r>
      <w:r>
        <w:rPr>
          <w:rFonts w:hint="eastAsia" w:ascii="宋体" w:cs="宋体"/>
          <w:sz w:val="24"/>
          <w:u w:val="single"/>
        </w:rPr>
        <w:t>ZMZB2023XJD-296</w:t>
      </w:r>
      <w:r>
        <w:rPr>
          <w:rFonts w:hint="eastAsia" w:ascii="宋体" w:cs="宋体"/>
          <w:sz w:val="24"/>
        </w:rPr>
        <w:t>的采购活动。以我方名义全权处理该项目有关谈判、签订合同以及执行合同等一切事宜。</w:t>
      </w:r>
    </w:p>
    <w:p>
      <w:pPr>
        <w:spacing w:line="360" w:lineRule="auto"/>
        <w:ind w:firstLine="480" w:firstLineChars="200"/>
        <w:rPr>
          <w:rFonts w:ascii="宋体" w:cs="宋体"/>
          <w:sz w:val="24"/>
          <w:szCs w:val="24"/>
        </w:rPr>
      </w:pPr>
      <w:r>
        <w:rPr>
          <w:rFonts w:hint="eastAsia" w:ascii="宋体" w:cs="宋体"/>
          <w:sz w:val="24"/>
        </w:rPr>
        <w:t>本授权书于</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日生效，自投标文件递交截止之日</w:t>
      </w:r>
      <w:r>
        <w:rPr>
          <w:rFonts w:hint="eastAsia" w:ascii="宋体" w:cs="宋体"/>
          <w:sz w:val="24"/>
          <w:u w:val="single"/>
        </w:rPr>
        <w:t>起    日历天</w:t>
      </w:r>
      <w:r>
        <w:rPr>
          <w:rFonts w:hint="eastAsia" w:ascii="宋体" w:cs="宋体"/>
          <w:sz w:val="24"/>
        </w:rPr>
        <w:t>，特此声明。</w:t>
      </w:r>
    </w:p>
    <w:p>
      <w:pPr>
        <w:pStyle w:val="15"/>
        <w:spacing w:line="360" w:lineRule="auto"/>
        <w:ind w:firstLine="480" w:firstLineChars="200"/>
        <w:jc w:val="left"/>
        <w:rPr>
          <w:rFonts w:cs="宋体"/>
          <w:sz w:val="24"/>
          <w:szCs w:val="24"/>
        </w:rPr>
      </w:pPr>
      <w:r>
        <w:rPr>
          <w:rFonts w:hint="eastAsia" w:cs="宋体"/>
          <w:sz w:val="24"/>
          <w:szCs w:val="24"/>
        </w:rPr>
        <w:t>供应商：</w:t>
      </w:r>
      <w:r>
        <w:rPr>
          <w:rFonts w:hint="eastAsia" w:cs="宋体"/>
          <w:sz w:val="24"/>
          <w:szCs w:val="24"/>
          <w:u w:val="single"/>
        </w:rPr>
        <w:t xml:space="preserve">教育部学位与研究生教育发展中心（加盖单位公章）              </w:t>
      </w:r>
    </w:p>
    <w:p>
      <w:pPr>
        <w:pStyle w:val="15"/>
        <w:spacing w:line="360" w:lineRule="auto"/>
        <w:ind w:firstLine="480" w:firstLineChars="200"/>
        <w:jc w:val="left"/>
        <w:rPr>
          <w:rFonts w:cs="宋体"/>
          <w:sz w:val="24"/>
          <w:szCs w:val="24"/>
        </w:rPr>
      </w:pPr>
      <w:r>
        <w:rPr>
          <w:rFonts w:hint="eastAsia" w:cs="宋体"/>
          <w:sz w:val="24"/>
          <w:szCs w:val="24"/>
        </w:rPr>
        <w:t>法定代表人（签字或盖章）：</w:t>
      </w:r>
      <w:r>
        <w:rPr>
          <w:rFonts w:hint="eastAsia" w:hAnsi="宋体" w:cs="宋体"/>
          <w:sz w:val="28"/>
          <w:szCs w:val="28"/>
        </w:rPr>
        <w:t xml:space="preserve">_________________ </w:t>
      </w:r>
      <w:r>
        <w:rPr>
          <w:rFonts w:hint="eastAsia" w:cs="宋体"/>
          <w:sz w:val="24"/>
          <w:szCs w:val="24"/>
          <w:u w:val="single"/>
        </w:rPr>
        <w:t xml:space="preserve">                  </w:t>
      </w:r>
    </w:p>
    <w:p>
      <w:pPr>
        <w:pStyle w:val="15"/>
        <w:spacing w:line="360" w:lineRule="auto"/>
        <w:ind w:firstLine="480" w:firstLineChars="200"/>
        <w:jc w:val="left"/>
        <w:rPr>
          <w:rFonts w:cs="宋体"/>
          <w:sz w:val="24"/>
          <w:szCs w:val="24"/>
          <w:u w:val="single"/>
        </w:rPr>
      </w:pPr>
      <w:r>
        <w:rPr>
          <w:rFonts w:hint="eastAsia" w:cs="宋体"/>
          <w:sz w:val="24"/>
          <w:szCs w:val="24"/>
        </w:rPr>
        <w:t>被授权人姓名：</w:t>
      </w:r>
      <w:r>
        <w:rPr>
          <w:rFonts w:hint="eastAsia" w:cs="宋体"/>
          <w:sz w:val="24"/>
          <w:szCs w:val="24"/>
          <w:u w:val="single"/>
        </w:rPr>
        <w:t xml:space="preserve">      </w:t>
      </w:r>
      <w:r>
        <w:rPr>
          <w:rFonts w:hint="eastAsia" w:cs="宋体"/>
          <w:sz w:val="24"/>
          <w:szCs w:val="24"/>
        </w:rPr>
        <w:t>性别：</w:t>
      </w:r>
      <w:r>
        <w:rPr>
          <w:rFonts w:hint="eastAsia" w:cs="宋体"/>
          <w:sz w:val="24"/>
          <w:szCs w:val="24"/>
          <w:u w:val="single"/>
        </w:rPr>
        <w:t xml:space="preserve">        </w:t>
      </w:r>
      <w:r>
        <w:rPr>
          <w:rFonts w:hint="eastAsia" w:cs="宋体"/>
          <w:sz w:val="24"/>
          <w:szCs w:val="24"/>
        </w:rPr>
        <w:t>职务：</w:t>
      </w:r>
      <w:r>
        <w:rPr>
          <w:rFonts w:hint="eastAsia" w:hAnsi="宋体" w:cs="宋体"/>
          <w:sz w:val="28"/>
          <w:szCs w:val="28"/>
        </w:rPr>
        <w:t>______</w:t>
      </w:r>
    </w:p>
    <w:p>
      <w:pPr>
        <w:pStyle w:val="15"/>
        <w:spacing w:line="360" w:lineRule="auto"/>
        <w:ind w:firstLine="480" w:firstLineChars="200"/>
        <w:jc w:val="left"/>
        <w:rPr>
          <w:rFonts w:cs="宋体"/>
          <w:sz w:val="24"/>
          <w:szCs w:val="24"/>
        </w:rPr>
      </w:pPr>
      <w:r>
        <w:rPr>
          <w:rFonts w:hint="eastAsia" w:cs="宋体"/>
          <w:sz w:val="24"/>
          <w:szCs w:val="24"/>
        </w:rPr>
        <w:t>被授权人身份证号码：</w:t>
      </w:r>
      <w:r>
        <w:rPr>
          <w:rFonts w:hint="eastAsia" w:hAnsi="宋体" w:cs="宋体"/>
          <w:sz w:val="28"/>
          <w:szCs w:val="28"/>
        </w:rPr>
        <w:t>_________________</w:t>
      </w:r>
      <w:r>
        <w:rPr>
          <w:rFonts w:hint="eastAsia" w:cs="宋体"/>
          <w:sz w:val="24"/>
          <w:szCs w:val="24"/>
          <w:u w:val="single"/>
        </w:rPr>
        <w:t xml:space="preserve">                                  </w:t>
      </w:r>
    </w:p>
    <w:p>
      <w:pPr>
        <w:pStyle w:val="15"/>
        <w:spacing w:line="360" w:lineRule="auto"/>
        <w:ind w:firstLine="480" w:firstLineChars="200"/>
        <w:jc w:val="left"/>
        <w:rPr>
          <w:rFonts w:cs="宋体"/>
          <w:sz w:val="24"/>
          <w:szCs w:val="24"/>
          <w:u w:val="single"/>
        </w:rPr>
      </w:pPr>
      <w:r>
        <w:rPr>
          <w:rFonts w:hint="eastAsia" w:cs="宋体"/>
          <w:sz w:val="24"/>
          <w:szCs w:val="24"/>
        </w:rPr>
        <w:t>联系地址：</w:t>
      </w:r>
      <w:r>
        <w:rPr>
          <w:rFonts w:hint="eastAsia" w:hAnsi="宋体" w:cs="宋体"/>
          <w:sz w:val="28"/>
          <w:szCs w:val="28"/>
        </w:rPr>
        <w:t>_________________</w:t>
      </w:r>
      <w:r>
        <w:rPr>
          <w:rFonts w:hint="eastAsia" w:cs="宋体"/>
          <w:sz w:val="24"/>
          <w:szCs w:val="24"/>
          <w:u w:val="single"/>
        </w:rPr>
        <w:t xml:space="preserve">               </w:t>
      </w:r>
    </w:p>
    <w:p>
      <w:pPr>
        <w:pStyle w:val="15"/>
        <w:spacing w:line="360" w:lineRule="auto"/>
        <w:ind w:firstLine="480" w:firstLineChars="200"/>
        <w:jc w:val="left"/>
        <w:rPr>
          <w:rFonts w:cs="宋体"/>
          <w:sz w:val="24"/>
          <w:szCs w:val="24"/>
          <w:u w:val="single"/>
        </w:rPr>
      </w:pPr>
      <w:r>
        <w:rPr>
          <w:rFonts w:hint="eastAsia" w:cs="宋体"/>
          <w:sz w:val="24"/>
          <w:szCs w:val="24"/>
        </w:rPr>
        <w:t>联系电话：</w:t>
      </w:r>
      <w:r>
        <w:rPr>
          <w:rFonts w:hint="eastAsia" w:hAnsi="宋体" w:cs="宋体"/>
          <w:sz w:val="28"/>
          <w:szCs w:val="28"/>
        </w:rPr>
        <w:t>_________________</w:t>
      </w:r>
    </w:p>
    <w:p>
      <w:pPr>
        <w:pStyle w:val="15"/>
        <w:spacing w:line="360" w:lineRule="auto"/>
        <w:ind w:firstLine="480" w:firstLineChars="200"/>
        <w:jc w:val="left"/>
        <w:rPr>
          <w:rFonts w:cs="宋体"/>
          <w:sz w:val="24"/>
          <w:szCs w:val="24"/>
        </w:rPr>
      </w:pPr>
      <w:r>
        <w:rPr>
          <w:rFonts w:hint="eastAsia" w:cs="宋体"/>
          <w:sz w:val="24"/>
          <w:szCs w:val="24"/>
        </w:rPr>
        <w:t>法定代表人及被授权人身份证复印件/扫描件</w:t>
      </w:r>
    </w:p>
    <w:tbl>
      <w:tblPr>
        <w:tblStyle w:val="29"/>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5"/>
              <w:spacing w:line="360" w:lineRule="auto"/>
              <w:jc w:val="left"/>
              <w:rPr>
                <w:rFonts w:cs="宋体"/>
                <w:sz w:val="24"/>
                <w:szCs w:val="24"/>
              </w:rPr>
            </w:pPr>
            <w:r>
              <w:rPr>
                <w:rFonts w:hint="eastAsia" w:cs="宋体"/>
                <w:sz w:val="24"/>
                <w:szCs w:val="24"/>
                <w:shd w:val="pct10" w:color="auto" w:fill="FFFFFF"/>
              </w:rPr>
              <w:t>法定代表人身份证复印件</w:t>
            </w:r>
            <w:r>
              <w:rPr>
                <w:rFonts w:hint="eastAsia" w:cs="宋体"/>
                <w:sz w:val="24"/>
                <w:szCs w:val="24"/>
              </w:rPr>
              <w:t>/扫描件</w:t>
            </w:r>
          </w:p>
          <w:p>
            <w:pPr>
              <w:pStyle w:val="15"/>
              <w:spacing w:line="360" w:lineRule="auto"/>
              <w:jc w:val="left"/>
              <w:rPr>
                <w:rFonts w:cs="宋体"/>
                <w:sz w:val="24"/>
                <w:szCs w:val="24"/>
                <w:shd w:val="pct10" w:color="auto" w:fill="FFFFFF"/>
              </w:rPr>
            </w:pPr>
            <w:r>
              <w:rPr>
                <w:rFonts w:hint="eastAsia" w:cs="宋体"/>
                <w:sz w:val="24"/>
                <w:szCs w:val="24"/>
                <w:shd w:val="pct10" w:color="auto" w:fill="FFFFFF"/>
              </w:rPr>
              <w:t>（正反面）</w:t>
            </w:r>
          </w:p>
          <w:p>
            <w:pPr>
              <w:pStyle w:val="15"/>
              <w:spacing w:line="360" w:lineRule="auto"/>
              <w:jc w:val="left"/>
              <w:rPr>
                <w:rFonts w:cs="宋体"/>
                <w:sz w:val="24"/>
                <w:szCs w:val="24"/>
                <w:shd w:val="pct10" w:color="auto" w:fill="FFFFFF"/>
              </w:rPr>
            </w:pPr>
          </w:p>
        </w:tc>
        <w:tc>
          <w:tcPr>
            <w:tcW w:w="4546" w:type="dxa"/>
            <w:shd w:val="clear" w:color="auto" w:fill="D9D9D9"/>
            <w:vAlign w:val="center"/>
          </w:tcPr>
          <w:p>
            <w:pPr>
              <w:pStyle w:val="15"/>
              <w:spacing w:line="360" w:lineRule="auto"/>
              <w:ind w:firstLine="480" w:firstLineChars="200"/>
              <w:jc w:val="left"/>
              <w:rPr>
                <w:rFonts w:cs="宋体"/>
                <w:sz w:val="24"/>
                <w:szCs w:val="24"/>
              </w:rPr>
            </w:pPr>
            <w:r>
              <w:rPr>
                <w:rFonts w:hint="eastAsia" w:cs="宋体"/>
                <w:sz w:val="24"/>
                <w:szCs w:val="24"/>
                <w:shd w:val="pct10" w:color="auto" w:fill="FFFFFF"/>
              </w:rPr>
              <w:t>被授权人身份证复印件</w:t>
            </w:r>
            <w:r>
              <w:rPr>
                <w:rFonts w:hint="eastAsia" w:cs="宋体"/>
                <w:sz w:val="24"/>
                <w:szCs w:val="24"/>
              </w:rPr>
              <w:t>/扫描件</w:t>
            </w:r>
          </w:p>
          <w:p>
            <w:pPr>
              <w:pStyle w:val="15"/>
              <w:spacing w:line="360" w:lineRule="auto"/>
              <w:ind w:firstLine="480" w:firstLineChars="200"/>
              <w:jc w:val="left"/>
              <w:rPr>
                <w:rFonts w:cs="宋体"/>
                <w:sz w:val="24"/>
                <w:szCs w:val="24"/>
                <w:shd w:val="pct10" w:color="auto" w:fill="FFFFFF"/>
              </w:rPr>
            </w:pPr>
            <w:r>
              <w:rPr>
                <w:rFonts w:hint="eastAsia" w:cs="宋体"/>
                <w:sz w:val="24"/>
                <w:szCs w:val="24"/>
                <w:shd w:val="pct10" w:color="auto" w:fill="FFFFFF"/>
              </w:rPr>
              <w:t>（正反面）</w:t>
            </w:r>
          </w:p>
          <w:p>
            <w:pPr>
              <w:pStyle w:val="15"/>
              <w:spacing w:line="360" w:lineRule="auto"/>
              <w:ind w:firstLine="480" w:firstLineChars="200"/>
              <w:jc w:val="left"/>
              <w:rPr>
                <w:rFonts w:cs="宋体"/>
                <w:sz w:val="24"/>
                <w:szCs w:val="24"/>
                <w:shd w:val="pct10" w:color="auto" w:fill="FFFFFF"/>
              </w:rPr>
            </w:pPr>
          </w:p>
        </w:tc>
      </w:tr>
    </w:tbl>
    <w:p>
      <w:pPr>
        <w:sectPr>
          <w:pgSz w:w="11906" w:h="16838"/>
          <w:pgMar w:top="1440" w:right="1803" w:bottom="1440" w:left="1803" w:header="851" w:footer="992" w:gutter="0"/>
          <w:cols w:space="720" w:num="1"/>
          <w:docGrid w:type="lines" w:linePitch="319" w:charSpace="0"/>
        </w:sectPr>
      </w:pPr>
    </w:p>
    <w:p>
      <w:pPr>
        <w:rPr>
          <w:rFonts w:ascii="宋体" w:hAnsi="宋体" w:cs="宋体"/>
          <w:sz w:val="24"/>
          <w:szCs w:val="24"/>
        </w:rPr>
      </w:pPr>
      <w:r>
        <w:rPr>
          <w:rFonts w:hint="eastAsia" w:ascii="宋体" w:hAnsi="宋体" w:cs="宋体"/>
          <w:sz w:val="24"/>
          <w:szCs w:val="24"/>
        </w:rPr>
        <w:t>（3）无重大违法记录声明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西安建筑科技大学教育部学位与研究生教育发展中心学位论文质量监测服务采购项目(项目名称)单一来源谈判，我单位郑重声明：我方参加本项目单一来源谈判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供应商：教育部学位与研究生教育发展中心（</w:t>
      </w:r>
      <w:r>
        <w:rPr>
          <w:rFonts w:hint="eastAsia" w:hAnsi="宋体" w:cs="宋体"/>
          <w:sz w:val="24"/>
          <w:szCs w:val="24"/>
        </w:rPr>
        <w:t>加盖单位公章</w:t>
      </w:r>
      <w:r>
        <w:rPr>
          <w:rFonts w:hint="eastAsia" w:hAnsi="宋体" w:cs="宋体"/>
          <w:sz w:val="24"/>
        </w:rPr>
        <w:t>）</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w:t>
      </w:r>
    </w:p>
    <w:p>
      <w:pPr>
        <w:adjustRightInd w:val="0"/>
        <w:snapToGrid w:val="0"/>
        <w:spacing w:line="480" w:lineRule="auto"/>
        <w:rPr>
          <w:rFonts w:ascii="宋体" w:hAnsi="宋体" w:cs="宋体"/>
          <w:sz w:val="28"/>
          <w:szCs w:val="28"/>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_____日</w:t>
      </w:r>
    </w:p>
    <w:p>
      <w:pPr>
        <w:adjustRightInd w:val="0"/>
        <w:snapToGrid w:val="0"/>
        <w:spacing w:line="480" w:lineRule="auto"/>
        <w:rPr>
          <w:rFonts w:ascii="宋体" w:hAnsi="宋体" w:cs="宋体"/>
          <w:sz w:val="24"/>
          <w:szCs w:val="24"/>
        </w:rPr>
      </w:pPr>
      <w:r>
        <w:rPr>
          <w:rFonts w:hint="eastAsia" w:ascii="宋体" w:hAnsi="宋体" w:cs="宋体"/>
          <w:sz w:val="24"/>
          <w:szCs w:val="24"/>
        </w:rPr>
        <w:br w:type="page"/>
      </w:r>
    </w:p>
    <w:p>
      <w:pPr>
        <w:rPr>
          <w:rFonts w:ascii="宋体" w:hAnsi="宋体" w:cs="宋体"/>
          <w:sz w:val="24"/>
          <w:szCs w:val="24"/>
        </w:rPr>
      </w:pPr>
      <w:r>
        <w:rPr>
          <w:rFonts w:hint="eastAsia" w:ascii="宋体" w:hAnsi="宋体" w:cs="宋体"/>
          <w:sz w:val="24"/>
          <w:szCs w:val="24"/>
        </w:rPr>
        <w:t>（4）具有履行合同所必需的设备和专业技术能力的书面声明</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(采购人名称）西安建筑科技大学：</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w:t>
      </w:r>
      <w:r>
        <w:rPr>
          <w:rFonts w:hint="eastAsia" w:ascii="宋体" w:hAnsi="宋体" w:cs="宋体"/>
          <w:kern w:val="0"/>
          <w:sz w:val="24"/>
          <w:szCs w:val="24"/>
          <w:u w:val="single"/>
        </w:rPr>
        <w:t>西安建筑科技大学教育部学位与研究生教育发展中心学位论文质量监测服务采购项目</w:t>
      </w:r>
      <w:r>
        <w:rPr>
          <w:rFonts w:hint="eastAsia" w:ascii="宋体" w:hAnsi="宋体" w:cs="宋体"/>
          <w:kern w:val="0"/>
          <w:sz w:val="24"/>
          <w:szCs w:val="24"/>
        </w:rPr>
        <w:t>(项目名称)，我单位郑重声明：我方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供应商：教育部学位与研究生教育发展中心（</w:t>
      </w:r>
      <w:r>
        <w:rPr>
          <w:rFonts w:hint="eastAsia" w:hAnsi="宋体" w:cs="宋体"/>
          <w:sz w:val="24"/>
          <w:szCs w:val="24"/>
        </w:rPr>
        <w:t>加盖单位公章</w:t>
      </w:r>
      <w:r>
        <w:rPr>
          <w:rFonts w:hint="eastAsia" w:hAnsi="宋体" w:cs="宋体"/>
          <w:sz w:val="24"/>
        </w:rPr>
        <w:t>）：</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jc w:val="left"/>
        <w:outlineLvl w:val="1"/>
        <w:rPr>
          <w:rFonts w:ascii="宋体" w:cs="宋体"/>
          <w:b/>
          <w:bCs/>
          <w:color w:val="FF0000"/>
          <w:sz w:val="36"/>
          <w:szCs w:val="36"/>
        </w:rPr>
      </w:pPr>
      <w:bookmarkStart w:id="76" w:name="_Toc15929"/>
      <w:r>
        <w:rPr>
          <w:rFonts w:hint="eastAsia" w:ascii="宋体" w:hAnsi="宋体" w:cs="宋体"/>
          <w:kern w:val="0"/>
          <w:sz w:val="24"/>
          <w:szCs w:val="21"/>
        </w:rPr>
        <w:t>日    期：_____年_____ 月_____日</w:t>
      </w:r>
      <w:r>
        <w:rPr>
          <w:rFonts w:hint="eastAsia" w:ascii="宋体" w:hAnsi="宋体" w:cs="宋体"/>
          <w:bCs/>
          <w:kern w:val="0"/>
          <w:sz w:val="24"/>
          <w:szCs w:val="24"/>
        </w:rPr>
        <w:br w:type="page"/>
      </w:r>
      <w:bookmarkEnd w:id="72"/>
      <w:bookmarkEnd w:id="73"/>
      <w:bookmarkEnd w:id="74"/>
      <w:bookmarkEnd w:id="75"/>
      <w:bookmarkStart w:id="77" w:name="_Toc10026"/>
      <w:r>
        <w:rPr>
          <w:rFonts w:hint="eastAsia" w:ascii="宋体" w:hAnsi="宋体" w:cs="宋体"/>
          <w:b/>
          <w:bCs/>
          <w:sz w:val="36"/>
          <w:szCs w:val="36"/>
        </w:rPr>
        <w:t>第五部分  供应商认为有必要说明的其他问题</w:t>
      </w:r>
      <w:bookmarkEnd w:id="76"/>
      <w:bookmarkEnd w:id="77"/>
    </w:p>
    <w:p>
      <w:r>
        <w:t xml:space="preserve">  </w:t>
      </w:r>
    </w:p>
    <w:p/>
    <w:p/>
    <w:p>
      <w:pPr>
        <w:adjustRightInd w:val="0"/>
        <w:snapToGrid w:val="0"/>
        <w:jc w:val="left"/>
        <w:rPr>
          <w:rFonts w:ascii="宋体" w:cs="宋体"/>
          <w:bCs/>
          <w:sz w:val="36"/>
          <w:szCs w:val="36"/>
        </w:rPr>
      </w:pPr>
    </w:p>
    <w:p>
      <w:pPr>
        <w:widowControl/>
        <w:spacing w:line="460" w:lineRule="exact"/>
        <w:ind w:firstLine="480" w:firstLineChars="200"/>
        <w:jc w:val="left"/>
        <w:rPr>
          <w:rFonts w:ascii="宋体" w:cs="宋体"/>
          <w:sz w:val="24"/>
          <w:szCs w:val="28"/>
        </w:rPr>
        <w:sectPr>
          <w:headerReference r:id="rId17" w:type="default"/>
          <w:pgSz w:w="11906" w:h="16838"/>
          <w:pgMar w:top="1440" w:right="1803" w:bottom="1440" w:left="1803" w:header="851" w:footer="992" w:gutter="0"/>
          <w:cols w:space="720" w:num="1"/>
          <w:docGrid w:type="lines" w:linePitch="319" w:charSpace="0"/>
        </w:sectPr>
      </w:pPr>
    </w:p>
    <w:p>
      <w:pPr>
        <w:pStyle w:val="3"/>
        <w:adjustRightInd w:val="0"/>
        <w:spacing w:line="500" w:lineRule="exact"/>
        <w:textAlignment w:val="baseline"/>
        <w:rPr>
          <w:rFonts w:ascii="宋体" w:cs="宋体"/>
        </w:rPr>
      </w:pPr>
      <w:bookmarkStart w:id="78" w:name="_Toc25841"/>
      <w:r>
        <w:rPr>
          <w:rFonts w:hint="eastAsia" w:ascii="宋体" w:hAnsi="宋体" w:cs="宋体"/>
        </w:rPr>
        <w:t>附件一：封袋正面标识式样</w:t>
      </w:r>
      <w:bookmarkEnd w:id="78"/>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11430</wp:posOffset>
                </wp:positionV>
                <wp:extent cx="6058535" cy="3387090"/>
                <wp:effectExtent l="4445" t="4445" r="13970" b="18415"/>
                <wp:wrapNone/>
                <wp:docPr id="1" name="Text Box 3"/>
                <wp:cNvGraphicFramePr/>
                <a:graphic xmlns:a="http://schemas.openxmlformats.org/drawingml/2006/main">
                  <a:graphicData uri="http://schemas.microsoft.com/office/word/2010/wordprocessingShape">
                    <wps:wsp>
                      <wps:cNvSpPr txBox="1"/>
                      <wps:spPr>
                        <a:xfrm>
                          <a:off x="0" y="0"/>
                          <a:ext cx="6058535" cy="3387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项目编号：ZMZB2023XJD-296</w:t>
                            </w:r>
                          </w:p>
                          <w:p>
                            <w:pPr>
                              <w:rPr>
                                <w:b/>
                                <w:sz w:val="44"/>
                                <w:szCs w:val="44"/>
                              </w:rPr>
                            </w:pPr>
                            <w:r>
                              <w:rPr>
                                <w:rFonts w:hint="eastAsia"/>
                                <w:sz w:val="28"/>
                                <w:szCs w:val="28"/>
                              </w:rPr>
                              <w:t>项目名称：西安建筑科技大学教育部学位与研究生教育发展中心学位论文质量监测服务采购项目</w:t>
                            </w:r>
                            <w:r>
                              <w:rPr>
                                <w:sz w:val="28"/>
                                <w:szCs w:val="28"/>
                              </w:rPr>
                              <w:t xml:space="preserve">             </w:t>
                            </w:r>
                          </w:p>
                          <w:p>
                            <w:pPr>
                              <w:jc w:val="center"/>
                            </w:pPr>
                            <w:r>
                              <w:rPr>
                                <w:rFonts w:hint="eastAsia"/>
                                <w:b/>
                                <w:sz w:val="44"/>
                                <w:szCs w:val="44"/>
                              </w:rPr>
                              <w:t>响应文件（正本）</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txbxContent>
                      </wps:txbx>
                      <wps:bodyPr upright="1"/>
                    </wps:wsp>
                  </a:graphicData>
                </a:graphic>
              </wp:anchor>
            </w:drawing>
          </mc:Choice>
          <mc:Fallback>
            <w:pict>
              <v:shape id="Text Box 3" o:spid="_x0000_s1026" o:spt="202" type="#_x0000_t202" style="position:absolute;left:0pt;margin-left:-19.9pt;margin-top:0.9pt;height:266.7pt;width:477.05pt;z-index:251661312;mso-width-relative:page;mso-height-relative:page;" fillcolor="#FFFFFF" filled="t" stroked="t" coordsize="21600,21600" o:gfxdata="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4guq9kAAAAJAQAADwAAAAAAAAABACAAAAAiAAAAZHJz&#10;L2Rvd25yZXYueG1sUEsBAhQAFAAAAAgAh07iQAUY8EoDAgAARAQAAA4AAAAAAAAAAQAgAAAAKAEA&#10;AGRycy9lMm9Eb2MueG1sUEsFBgAAAAAGAAYAWQEAAJ0FAAAAAA==&#10;">
                <v:fill on="t" focussize="0,0"/>
                <v:stroke color="#000000" joinstyle="miter"/>
                <v:imagedata o:title=""/>
                <o:lock v:ext="edit" aspectratio="f"/>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项目编号：ZMZB2023XJD-296</w:t>
                      </w:r>
                    </w:p>
                    <w:p>
                      <w:pPr>
                        <w:rPr>
                          <w:b/>
                          <w:sz w:val="44"/>
                          <w:szCs w:val="44"/>
                        </w:rPr>
                      </w:pPr>
                      <w:r>
                        <w:rPr>
                          <w:rFonts w:hint="eastAsia"/>
                          <w:sz w:val="28"/>
                          <w:szCs w:val="28"/>
                        </w:rPr>
                        <w:t>项目名称：西安建筑科技大学教育部学位与研究生教育发展中心学位论文质量监测服务采购项目</w:t>
                      </w:r>
                      <w:r>
                        <w:rPr>
                          <w:sz w:val="28"/>
                          <w:szCs w:val="28"/>
                        </w:rPr>
                        <w:t xml:space="preserve">             </w:t>
                      </w:r>
                    </w:p>
                    <w:p>
                      <w:pPr>
                        <w:jc w:val="center"/>
                      </w:pPr>
                      <w:r>
                        <w:rPr>
                          <w:rFonts w:hint="eastAsia"/>
                          <w:b/>
                          <w:sz w:val="44"/>
                          <w:szCs w:val="44"/>
                        </w:rPr>
                        <w:t>响应文件（正本）</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txbxContent>
                </v:textbox>
              </v:shape>
            </w:pict>
          </mc:Fallback>
        </mc:AlternateConten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20" w:firstLineChars="200"/>
        <w:jc w:val="left"/>
        <w:rPr>
          <w:rFonts w:ascii="宋体" w:cs="宋体"/>
          <w:b/>
          <w:sz w:val="24"/>
        </w:rPr>
      </w:pPr>
      <w:r>
        <mc:AlternateContent>
          <mc:Choice Requires="wps">
            <w:drawing>
              <wp:anchor distT="0" distB="0" distL="114300" distR="114300" simplePos="0" relativeHeight="251662336" behindDoc="0" locked="0" layoutInCell="1" allowOverlap="1">
                <wp:simplePos x="0" y="0"/>
                <wp:positionH relativeFrom="column">
                  <wp:posOffset>-300990</wp:posOffset>
                </wp:positionH>
                <wp:positionV relativeFrom="paragraph">
                  <wp:posOffset>264160</wp:posOffset>
                </wp:positionV>
                <wp:extent cx="6098540" cy="3725545"/>
                <wp:effectExtent l="4445" t="5080" r="12065" b="22225"/>
                <wp:wrapNone/>
                <wp:docPr id="2" name="Text Box 4"/>
                <wp:cNvGraphicFramePr/>
                <a:graphic xmlns:a="http://schemas.openxmlformats.org/drawingml/2006/main">
                  <a:graphicData uri="http://schemas.microsoft.com/office/word/2010/wordprocessingShape">
                    <wps:wsp>
                      <wps:cNvSpPr txBox="1"/>
                      <wps:spPr>
                        <a:xfrm>
                          <a:off x="0" y="0"/>
                          <a:ext cx="6098540" cy="3725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项目编号：ZMZB2023XJD-296</w:t>
                            </w:r>
                          </w:p>
                          <w:p>
                            <w:pPr>
                              <w:rPr>
                                <w:sz w:val="28"/>
                                <w:szCs w:val="28"/>
                              </w:rPr>
                            </w:pPr>
                            <w:r>
                              <w:rPr>
                                <w:rFonts w:hint="eastAsia"/>
                                <w:sz w:val="28"/>
                                <w:szCs w:val="28"/>
                              </w:rPr>
                              <w:t>项目名称：西安建筑科技大学教育部学位与研究生教育发展中心学位论文质量监测服务采购项目</w:t>
                            </w:r>
                            <w:r>
                              <w:rPr>
                                <w:sz w:val="28"/>
                                <w:szCs w:val="28"/>
                              </w:rPr>
                              <w:t xml:space="preserve">   </w:t>
                            </w:r>
                          </w:p>
                          <w:p>
                            <w:pPr>
                              <w:jc w:val="center"/>
                              <w:rPr>
                                <w:b/>
                                <w:sz w:val="44"/>
                                <w:szCs w:val="44"/>
                              </w:rPr>
                            </w:pPr>
                            <w:r>
                              <w:rPr>
                                <w:rFonts w:hint="eastAsia"/>
                                <w:b/>
                                <w:sz w:val="44"/>
                                <w:szCs w:val="44"/>
                              </w:rPr>
                              <w:t xml:space="preserve">响应文件（副本） </w:t>
                            </w:r>
                          </w:p>
                          <w:p>
                            <w:pPr>
                              <w:jc w:val="center"/>
                              <w:rPr>
                                <w:sz w:val="28"/>
                                <w:szCs w:val="28"/>
                              </w:rPr>
                            </w:pPr>
                            <w:r>
                              <w:rPr>
                                <w:rFonts w:hint="eastAsia"/>
                                <w:sz w:val="28"/>
                                <w:szCs w:val="28"/>
                              </w:rPr>
                              <w:t>（非采购会议不得启封）</w:t>
                            </w:r>
                          </w:p>
                          <w:p>
                            <w:pPr>
                              <w:pStyle w:val="5"/>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rPr>
                                <w:sz w:val="28"/>
                                <w:szCs w:val="28"/>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txbxContent>
                      </wps:txbx>
                      <wps:bodyPr upright="1"/>
                    </wps:wsp>
                  </a:graphicData>
                </a:graphic>
              </wp:anchor>
            </w:drawing>
          </mc:Choice>
          <mc:Fallback>
            <w:pict>
              <v:shape id="Text Box 4" o:spid="_x0000_s1026" o:spt="202" type="#_x0000_t202" style="position:absolute;left:0pt;margin-left:-23.7pt;margin-top:20.8pt;height:293.35pt;width:480.2pt;z-index:251662336;mso-width-relative:page;mso-height-relative:page;" fillcolor="#FFFFFF" filled="t" stroked="t" coordsize="21600,21600" o:gfxdata="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gol/toAAAAKAQAADwAAAAAAAAABACAAAAAiAAAAZHJz&#10;L2Rvd25yZXYueG1sUEsBAhQAFAAAAAgAh07iQEcF2goCAgAARAQAAA4AAAAAAAAAAQAgAAAAKQEA&#10;AGRycy9lMm9Eb2MueG1sUEsFBgAAAAAGAAYAWQEAAJ0FAAAAAA==&#10;">
                <v:fill on="t" focussize="0,0"/>
                <v:stroke color="#000000" joinstyle="miter"/>
                <v:imagedata o:title=""/>
                <o:lock v:ext="edit" aspectratio="f"/>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项目编号：ZMZB2023XJD-296</w:t>
                      </w:r>
                    </w:p>
                    <w:p>
                      <w:pPr>
                        <w:rPr>
                          <w:sz w:val="28"/>
                          <w:szCs w:val="28"/>
                        </w:rPr>
                      </w:pPr>
                      <w:r>
                        <w:rPr>
                          <w:rFonts w:hint="eastAsia"/>
                          <w:sz w:val="28"/>
                          <w:szCs w:val="28"/>
                        </w:rPr>
                        <w:t>项目名称：西安建筑科技大学教育部学位与研究生教育发展中心学位论文质量监测服务采购项目</w:t>
                      </w:r>
                      <w:r>
                        <w:rPr>
                          <w:sz w:val="28"/>
                          <w:szCs w:val="28"/>
                        </w:rPr>
                        <w:t xml:space="preserve">   </w:t>
                      </w:r>
                    </w:p>
                    <w:p>
                      <w:pPr>
                        <w:jc w:val="center"/>
                        <w:rPr>
                          <w:b/>
                          <w:sz w:val="44"/>
                          <w:szCs w:val="44"/>
                        </w:rPr>
                      </w:pPr>
                      <w:r>
                        <w:rPr>
                          <w:rFonts w:hint="eastAsia"/>
                          <w:b/>
                          <w:sz w:val="44"/>
                          <w:szCs w:val="44"/>
                        </w:rPr>
                        <w:t xml:space="preserve">响应文件（副本） </w:t>
                      </w:r>
                    </w:p>
                    <w:p>
                      <w:pPr>
                        <w:jc w:val="center"/>
                        <w:rPr>
                          <w:sz w:val="28"/>
                          <w:szCs w:val="28"/>
                        </w:rPr>
                      </w:pPr>
                      <w:r>
                        <w:rPr>
                          <w:rFonts w:hint="eastAsia"/>
                          <w:sz w:val="28"/>
                          <w:szCs w:val="28"/>
                        </w:rPr>
                        <w:t>（非采购会议不得启封）</w:t>
                      </w:r>
                    </w:p>
                    <w:p>
                      <w:pPr>
                        <w:pStyle w:val="5"/>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rPr>
                          <w:sz w:val="28"/>
                          <w:szCs w:val="28"/>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txbxContent>
                </v:textbox>
              </v:shape>
            </w:pict>
          </mc:Fallback>
        </mc:AlternateConten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pgSz w:w="11906" w:h="16838"/>
          <w:pgMar w:top="1440" w:right="1800" w:bottom="1440" w:left="1800" w:header="851" w:footer="992" w:gutter="0"/>
          <w:cols w:space="720" w:num="1"/>
          <w:docGrid w:type="lines" w:linePitch="312" w:charSpace="0"/>
        </w:sectPr>
      </w:pPr>
    </w:p>
    <w:p>
      <w:pPr>
        <w:spacing w:line="460" w:lineRule="exact"/>
        <w:jc w:val="left"/>
        <w:rPr>
          <w:rFonts w:ascii="宋体" w:cs="宋体"/>
          <w:b/>
          <w:sz w:val="28"/>
          <w:szCs w:val="28"/>
        </w:rPr>
      </w:pPr>
      <w:r>
        <w:rPr>
          <w:rFonts w:hint="eastAsia" w:ascii="宋体" w:hAnsi="宋体" w:cs="宋体"/>
          <w:b/>
          <w:sz w:val="28"/>
          <w:szCs w:val="28"/>
        </w:rPr>
        <w:t>附件一：</w:t>
      </w:r>
    </w:p>
    <w:p>
      <w:pPr>
        <w:spacing w:line="460" w:lineRule="exact"/>
        <w:ind w:firstLine="562" w:firstLineChars="200"/>
        <w:jc w:val="left"/>
        <w:rPr>
          <w:rFonts w:ascii="宋体" w:cs="宋体"/>
          <w:b/>
          <w:sz w:val="28"/>
          <w:szCs w:val="28"/>
        </w:rPr>
      </w:pPr>
      <w:r>
        <w:rPr>
          <w:rFonts w:hint="eastAsia" w:ascii="宋体" w:hAnsi="宋体" w:cs="宋体"/>
          <w:b/>
          <w:sz w:val="28"/>
          <w:szCs w:val="28"/>
        </w:rPr>
        <w:t>响应一览表封袋正面标识式样</w:t>
      </w:r>
    </w:p>
    <w:p>
      <w:pPr>
        <w:spacing w:line="460" w:lineRule="exact"/>
        <w:ind w:firstLine="420" w:firstLineChars="200"/>
        <w:jc w:val="left"/>
        <w:rPr>
          <w:rFonts w:ascii="宋体" w:cs="宋体"/>
          <w:b/>
          <w:sz w:val="24"/>
        </w:rPr>
      </w:pPr>
      <w:r>
        <mc:AlternateContent>
          <mc:Choice Requires="wps">
            <w:drawing>
              <wp:anchor distT="0" distB="0" distL="114300" distR="114300" simplePos="0" relativeHeight="251663360" behindDoc="0" locked="0" layoutInCell="1" allowOverlap="1">
                <wp:simplePos x="0" y="0"/>
                <wp:positionH relativeFrom="column">
                  <wp:posOffset>-275590</wp:posOffset>
                </wp:positionH>
                <wp:positionV relativeFrom="paragraph">
                  <wp:posOffset>227965</wp:posOffset>
                </wp:positionV>
                <wp:extent cx="6088380" cy="3421380"/>
                <wp:effectExtent l="4445" t="4445" r="22225" b="22225"/>
                <wp:wrapNone/>
                <wp:docPr id="3" name="文本框 7"/>
                <wp:cNvGraphicFramePr/>
                <a:graphic xmlns:a="http://schemas.openxmlformats.org/drawingml/2006/main">
                  <a:graphicData uri="http://schemas.microsoft.com/office/word/2010/wordprocessingShape">
                    <wps:wsp>
                      <wps:cNvSpPr txBox="1"/>
                      <wps:spPr>
                        <a:xfrm>
                          <a:off x="0" y="0"/>
                          <a:ext cx="6088380" cy="3421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项目编号：ZMZB2023XJD-296</w:t>
                            </w:r>
                          </w:p>
                          <w:p>
                            <w:pPr>
                              <w:rPr>
                                <w:sz w:val="28"/>
                                <w:szCs w:val="28"/>
                              </w:rPr>
                            </w:pPr>
                            <w:r>
                              <w:rPr>
                                <w:rFonts w:hint="eastAsia"/>
                                <w:sz w:val="28"/>
                                <w:szCs w:val="28"/>
                              </w:rPr>
                              <w:t>项目名称：西安建筑科技大学教育部学位与研究生教育发展中心学位论文质量监测服务采购项目</w:t>
                            </w:r>
                            <w:r>
                              <w:rPr>
                                <w:sz w:val="28"/>
                                <w:szCs w:val="28"/>
                              </w:rPr>
                              <w:t xml:space="preserve">   </w:t>
                            </w:r>
                          </w:p>
                          <w:p>
                            <w:pPr>
                              <w:jc w:val="center"/>
                              <w:rPr>
                                <w:b/>
                                <w:sz w:val="44"/>
                                <w:szCs w:val="44"/>
                              </w:rPr>
                            </w:pPr>
                            <w:r>
                              <w:rPr>
                                <w:rFonts w:hint="eastAsia"/>
                                <w:b/>
                                <w:sz w:val="44"/>
                                <w:szCs w:val="44"/>
                              </w:rPr>
                              <w:t xml:space="preserve">响应一览表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wps:txbx>
                      <wps:bodyPr upright="1"/>
                    </wps:wsp>
                  </a:graphicData>
                </a:graphic>
              </wp:anchor>
            </w:drawing>
          </mc:Choice>
          <mc:Fallback>
            <w:pict>
              <v:shape id="文本框 7" o:spid="_x0000_s1026" o:spt="202" type="#_x0000_t202" style="position:absolute;left:0pt;margin-left:-21.7pt;margin-top:17.95pt;height:269.4pt;width:479.4pt;z-index:251663360;mso-width-relative:page;mso-height-relative:page;" fillcolor="#FFFFFF" filled="t" stroked="t" coordsize="21600,21600" o:gfxdata="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UStC2gAAAAoBAAAPAAAAAAAA&#10;AAEAIAAAACIAAABkcnMvZG93bnJldi54bWxQSwECFAAUAAAACACHTuJA/u32ChACAABFBAAADgAA&#10;AAAAAAABACAAAAApAQAAZHJzL2Uyb0RvYy54bWxQSwUGAAAAAAYABgBZAQAAqwUAAAAA&#10;">
                <v:fill on="t" focussize="0,0"/>
                <v:stroke color="#000000" joinstyle="miter"/>
                <v:imagedata o:title=""/>
                <o:lock v:ext="edit" aspectratio="f"/>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项目编号：ZMZB2023XJD-296</w:t>
                      </w:r>
                    </w:p>
                    <w:p>
                      <w:pPr>
                        <w:rPr>
                          <w:sz w:val="28"/>
                          <w:szCs w:val="28"/>
                        </w:rPr>
                      </w:pPr>
                      <w:r>
                        <w:rPr>
                          <w:rFonts w:hint="eastAsia"/>
                          <w:sz w:val="28"/>
                          <w:szCs w:val="28"/>
                        </w:rPr>
                        <w:t>项目名称：西安建筑科技大学教育部学位与研究生教育发展中心学位论文质量监测服务采购项目</w:t>
                      </w:r>
                      <w:r>
                        <w:rPr>
                          <w:sz w:val="28"/>
                          <w:szCs w:val="28"/>
                        </w:rPr>
                        <w:t xml:space="preserve">   </w:t>
                      </w:r>
                    </w:p>
                    <w:p>
                      <w:pPr>
                        <w:jc w:val="center"/>
                        <w:rPr>
                          <w:b/>
                          <w:sz w:val="44"/>
                          <w:szCs w:val="44"/>
                        </w:rPr>
                      </w:pPr>
                      <w:r>
                        <w:rPr>
                          <w:rFonts w:hint="eastAsia"/>
                          <w:b/>
                          <w:sz w:val="44"/>
                          <w:szCs w:val="44"/>
                        </w:rPr>
                        <w:t xml:space="preserve">响应一览表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mc:Fallback>
        </mc:AlternateConten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mc:AlternateContent>
          <mc:Choice Requires="wps">
            <w:drawing>
              <wp:anchor distT="0" distB="0" distL="114300" distR="114300" simplePos="0" relativeHeight="251664384" behindDoc="0" locked="0" layoutInCell="1" allowOverlap="1">
                <wp:simplePos x="0" y="0"/>
                <wp:positionH relativeFrom="column">
                  <wp:posOffset>-360045</wp:posOffset>
                </wp:positionH>
                <wp:positionV relativeFrom="paragraph">
                  <wp:posOffset>150495</wp:posOffset>
                </wp:positionV>
                <wp:extent cx="6140450" cy="3443605"/>
                <wp:effectExtent l="5080" t="4445" r="7620" b="19050"/>
                <wp:wrapNone/>
                <wp:docPr id="4" name="文本框 8"/>
                <wp:cNvGraphicFramePr/>
                <a:graphic xmlns:a="http://schemas.openxmlformats.org/drawingml/2006/main">
                  <a:graphicData uri="http://schemas.microsoft.com/office/word/2010/wordprocessingShape">
                    <wps:wsp>
                      <wps:cNvSpPr txBox="1"/>
                      <wps:spPr>
                        <a:xfrm>
                          <a:off x="0" y="0"/>
                          <a:ext cx="6140450" cy="3443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项目编号：ZMZB2023XJD-296</w:t>
                            </w:r>
                          </w:p>
                          <w:p>
                            <w:pPr>
                              <w:rPr>
                                <w:sz w:val="28"/>
                                <w:szCs w:val="28"/>
                              </w:rPr>
                            </w:pPr>
                            <w:r>
                              <w:rPr>
                                <w:rFonts w:hint="eastAsia"/>
                                <w:sz w:val="28"/>
                                <w:szCs w:val="28"/>
                              </w:rPr>
                              <w:t>项目名称：西安建筑科技大学教育部学位与研究生教育发展中心学位论文质量监测服务采购项目</w:t>
                            </w:r>
                            <w:r>
                              <w:rPr>
                                <w:sz w:val="28"/>
                                <w:szCs w:val="28"/>
                              </w:rPr>
                              <w:t xml:space="preserve">   </w:t>
                            </w:r>
                          </w:p>
                          <w:p>
                            <w:pPr>
                              <w:jc w:val="center"/>
                              <w:rPr>
                                <w:b/>
                                <w:sz w:val="44"/>
                                <w:szCs w:val="44"/>
                              </w:rPr>
                            </w:pPr>
                            <w:r>
                              <w:rPr>
                                <w:rFonts w:hint="eastAsia"/>
                                <w:b/>
                                <w:sz w:val="44"/>
                                <w:szCs w:val="44"/>
                              </w:rPr>
                              <w:t xml:space="preserve">电子文档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txbxContent>
                      </wps:txbx>
                      <wps:bodyPr upright="1"/>
                    </wps:wsp>
                  </a:graphicData>
                </a:graphic>
              </wp:anchor>
            </w:drawing>
          </mc:Choice>
          <mc:Fallback>
            <w:pict>
              <v:shape id="文本框 8" o:spid="_x0000_s1026" o:spt="202" type="#_x0000_t202" style="position:absolute;left:0pt;margin-left:-28.35pt;margin-top:11.85pt;height:271.15pt;width:483.5pt;z-index:251664384;mso-width-relative:page;mso-height-relative:page;" fillcolor="#FFFFFF" filled="t" stroked="t" coordsize="21600,21600" o:gfxdata="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GOXDd2wAAAAoBAAAPAAAA&#10;AAAAAAEAIAAAACIAAABkcnMvZG93bnJldi54bWxQSwECFAAUAAAACACHTuJAqis8wBICAABFBAAA&#10;DgAAAAAAAAABACAAAAAqAQAAZHJzL2Uyb0RvYy54bWxQSwUGAAAAAAYABgBZAQAArgUAAAAA&#10;">
                <v:fill on="t" focussize="0,0"/>
                <v:stroke color="#000000" joinstyle="miter"/>
                <v:imagedata o:title=""/>
                <o:lock v:ext="edit" aspectratio="f"/>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项目编号：ZMZB2023XJD-296</w:t>
                      </w:r>
                    </w:p>
                    <w:p>
                      <w:pPr>
                        <w:rPr>
                          <w:sz w:val="28"/>
                          <w:szCs w:val="28"/>
                        </w:rPr>
                      </w:pPr>
                      <w:r>
                        <w:rPr>
                          <w:rFonts w:hint="eastAsia"/>
                          <w:sz w:val="28"/>
                          <w:szCs w:val="28"/>
                        </w:rPr>
                        <w:t>项目名称：西安建筑科技大学教育部学位与研究生教育发展中心学位论文质量监测服务采购项目</w:t>
                      </w:r>
                      <w:r>
                        <w:rPr>
                          <w:sz w:val="28"/>
                          <w:szCs w:val="28"/>
                        </w:rPr>
                        <w:t xml:space="preserve">   </w:t>
                      </w:r>
                    </w:p>
                    <w:p>
                      <w:pPr>
                        <w:jc w:val="center"/>
                        <w:rPr>
                          <w:b/>
                          <w:sz w:val="44"/>
                          <w:szCs w:val="44"/>
                        </w:rPr>
                      </w:pPr>
                      <w:r>
                        <w:rPr>
                          <w:rFonts w:hint="eastAsia"/>
                          <w:b/>
                          <w:sz w:val="44"/>
                          <w:szCs w:val="44"/>
                        </w:rPr>
                        <w:t xml:space="preserve">电子文档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txbxContent>
                </v:textbox>
              </v:shape>
            </w:pict>
          </mc:Fallback>
        </mc:AlternateConten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pageBreakBefore/>
        <w:spacing w:line="420" w:lineRule="auto"/>
        <w:rPr>
          <w:rFonts w:ascii="宋体" w:cs="宋体"/>
          <w:b/>
          <w:bCs/>
          <w:sz w:val="36"/>
          <w:szCs w:val="36"/>
        </w:rPr>
        <w:sectPr>
          <w:pgSz w:w="11906" w:h="16838"/>
          <w:pgMar w:top="1440" w:right="1803" w:bottom="1440" w:left="1803" w:header="851" w:footer="992" w:gutter="0"/>
          <w:cols w:space="720" w:num="1"/>
          <w:docGrid w:type="lines" w:linePitch="319" w:charSpace="0"/>
        </w:sectPr>
      </w:pPr>
    </w:p>
    <w:bookmarkEnd w:id="0"/>
    <w:p>
      <w:pPr>
        <w:ind w:firstLine="819" w:firstLineChars="100"/>
        <w:jc w:val="left"/>
        <w:rPr>
          <w:rFonts w:ascii="宋体" w:cs="宋体"/>
          <w:b/>
          <w:spacing w:val="48"/>
          <w:sz w:val="72"/>
          <w:szCs w:val="72"/>
        </w:rPr>
      </w:pPr>
      <w:r>
        <w:rPr>
          <w:rFonts w:hint="eastAsia" w:ascii="宋体" w:hAnsi="宋体" w:cs="宋体"/>
          <w:b/>
          <w:spacing w:val="48"/>
          <w:sz w:val="72"/>
          <w:szCs w:val="72"/>
        </w:rPr>
        <w:t>公平</w:t>
      </w:r>
      <w:r>
        <w:rPr>
          <w:rFonts w:ascii="宋体" w:hAnsi="宋体" w:cs="宋体"/>
          <w:b/>
          <w:spacing w:val="48"/>
          <w:sz w:val="72"/>
          <w:szCs w:val="72"/>
        </w:rPr>
        <w:t xml:space="preserve">       </w:t>
      </w:r>
      <w:r>
        <w:rPr>
          <w:rFonts w:hint="eastAsia" w:ascii="宋体" w:hAnsi="宋体" w:cs="宋体"/>
          <w:b/>
          <w:spacing w:val="48"/>
          <w:sz w:val="72"/>
          <w:szCs w:val="72"/>
        </w:rPr>
        <w:t>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cs="宋体"/>
          <w:b/>
          <w:spacing w:val="48"/>
          <w:sz w:val="72"/>
          <w:szCs w:val="72"/>
        </w:rPr>
      </w:pPr>
      <w:r>
        <w:rPr>
          <w:rFonts w:hint="eastAsia" w:ascii="宋体" w:hAnsi="宋体" w:cs="宋体"/>
          <w:b/>
          <w:spacing w:val="48"/>
          <w:sz w:val="72"/>
          <w:szCs w:val="72"/>
        </w:rPr>
        <w:t>专业</w:t>
      </w:r>
      <w:r>
        <w:rPr>
          <w:rFonts w:ascii="宋体" w:hAnsi="宋体" w:cs="宋体"/>
          <w:b/>
          <w:spacing w:val="48"/>
          <w:sz w:val="72"/>
          <w:szCs w:val="72"/>
        </w:rPr>
        <w:t xml:space="preserve">       </w:t>
      </w:r>
      <w:r>
        <w:rPr>
          <w:rFonts w:hint="eastAsia" w:ascii="宋体" w:hAnsi="宋体" w:cs="宋体"/>
          <w:b/>
          <w:spacing w:val="48"/>
          <w:sz w:val="72"/>
          <w:szCs w:val="72"/>
        </w:rPr>
        <w:t>高效</w:t>
      </w: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w:t>
      </w:r>
      <w:r>
        <w:rPr>
          <w:rFonts w:ascii="宋体" w:hAnsi="宋体" w:cs="宋体"/>
          <w:b/>
          <w:sz w:val="30"/>
          <w:szCs w:val="30"/>
        </w:rPr>
        <w:t>A</w:t>
      </w:r>
      <w:r>
        <w:rPr>
          <w:rFonts w:hint="eastAsia" w:ascii="宋体" w:hAnsi="宋体" w:cs="宋体"/>
          <w:b/>
          <w:sz w:val="30"/>
          <w:szCs w:val="30"/>
        </w:rPr>
        <w:t>座20层</w:t>
      </w:r>
      <w:r>
        <w:rPr>
          <w:rFonts w:ascii="宋体" w:hAnsi="宋体" w:cs="宋体"/>
          <w:b/>
          <w:sz w:val="30"/>
          <w:szCs w:val="30"/>
        </w:rPr>
        <w:t>2002</w:t>
      </w:r>
      <w:r>
        <w:rPr>
          <w:rFonts w:hint="eastAsia" w:ascii="宋体" w:hAnsi="宋体" w:cs="宋体"/>
          <w:b/>
          <w:sz w:val="30"/>
          <w:szCs w:val="30"/>
        </w:rPr>
        <w:t>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710065</w:t>
      </w:r>
    </w:p>
    <w:p>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029-88440695</w:t>
      </w:r>
    </w:p>
    <w:p>
      <w:pPr>
        <w:rPr>
          <w:rFonts w:ascii="宋体" w:cs="宋体"/>
        </w:rPr>
      </w:pPr>
      <w:r>
        <w:rPr>
          <w:rFonts w:hint="eastAsia" w:ascii="宋体" w:hAnsi="宋体" w:cs="宋体"/>
          <w:b/>
          <w:sz w:val="30"/>
          <w:szCs w:val="30"/>
        </w:rPr>
        <w:t>传真：</w:t>
      </w:r>
      <w:r>
        <w:rPr>
          <w:rFonts w:ascii="宋体" w:hAnsi="宋体" w:cs="宋体"/>
          <w:b/>
          <w:sz w:val="30"/>
          <w:szCs w:val="30"/>
        </w:rPr>
        <w:t>029-88440695</w:t>
      </w:r>
    </w:p>
    <w:p>
      <w:pPr>
        <w:rPr>
          <w:rFonts w:ascii="宋体" w:cs="宋体"/>
        </w:rPr>
      </w:pPr>
    </w:p>
    <w:sectPr>
      <w:headerReference r:id="rId18" w:type="default"/>
      <w:footerReference r:id="rId1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Neue">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cs="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t xml:space="preserve">第 </w:t>
                          </w:r>
                          <w:r>
                            <w:rPr>
                              <w:rFonts w:hint="eastAsia"/>
                            </w:rPr>
                            <w:t>1</w:t>
                          </w:r>
                          <w:r>
                            <w:t xml:space="preserve"> 页 共 </w:t>
                          </w:r>
                          <w:r>
                            <w:rPr>
                              <w:rFonts w:hint="eastAsia"/>
                            </w:rPr>
                            <w:t>49</w:t>
                          </w:r>
                          <w:r>
                            <w:t>页</w:t>
                          </w:r>
                        </w:p>
                      </w:txbxContent>
                    </wps:txbx>
                    <wps:bodyPr wrap="none" lIns="0" tIns="0" rIns="0" bIns="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tdUM4BAACoAwAADgAAAGRycy9lMm9Eb2MueG1srVNLbtswEN0X6B0I&#10;7mspLhA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JozJyw9+Pnnj/OvP+ff39nb&#10;ZdKnD1hR2X2gwji88wNtzRxHCibaQws2fYkQozype7qoq4bIZLq0Wq5WJaUk5WaH8IuH6wEwvlfe&#10;smTUHOj5sqri+BHjWDqXpG7O32lj8hMa90+AMMeIyjsw3U5MxomTFYfdMNHb+eZE7Hrag5o7WnvO&#10;zAdHMqeVmQ2Yjd1sHALofZd3KnXHcHuINFKeNHUYYYlhcugBM9dp2dKGPPZz1cMPt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3bXVDOAQAAqAMAAA4AAAAAAAAAAQAgAAAAHgEAAGRycy9l&#10;Mm9Eb2MueG1sUEsFBgAAAAAGAAYAWQEAAF4FAAAAAA==&#10;">
              <v:fill on="f" focussize="0,0"/>
              <v:stroke on="f"/>
              <v:imagedata o:title=""/>
              <o:lock v:ext="edit" aspectratio="f"/>
              <v:textbox inset="0mm,0mm,0mm,0mm" style="mso-fit-shape-to-text:t;">
                <w:txbxContent>
                  <w:p>
                    <w:pPr>
                      <w:pStyle w:val="19"/>
                    </w:pPr>
                    <w:r>
                      <w:t xml:space="preserve">第 </w:t>
                    </w:r>
                    <w:r>
                      <w:rPr>
                        <w:rFonts w:hint="eastAsia"/>
                      </w:rPr>
                      <w:t>1</w:t>
                    </w:r>
                    <w:r>
                      <w:t xml:space="preserve"> 页 共 </w:t>
                    </w:r>
                    <w:r>
                      <w:rPr>
                        <w:rFonts w:hint="eastAsia"/>
                      </w:rPr>
                      <w:t>49</w:t>
                    </w:r>
                    <w:r>
                      <w:t>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rPr>
                            <w:t>49</w:t>
                          </w:r>
                          <w:r>
                            <w:t xml:space="preserve"> 页</w:t>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p8/JjOAQAAqAMAAA4AAAAAAAAAAQAgAAAAHgEAAGRycy9l&#10;Mm9Eb2MueG1sUEsFBgAAAAAGAAYAWQEAAF4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rPr>
                      <w:t>49</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rPr>
                            <w:t>49</w:t>
                          </w:r>
                          <w:r>
                            <w:t xml:space="preserve"> 页</w:t>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tfY/MzwEAAKgDAAAOAAAAAAAAAAEAIAAAAB4BAABkcnMv&#10;ZTJvRG9jLnhtbFBLBQYAAAAABgAGAFkBAABfBQ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rPr>
                      <w:t>49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rPr>
                            <w:t>49</w:t>
                          </w:r>
                          <w:r>
                            <w:t xml:space="preserve"> 页</w:t>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raLgTOAQAAqAMAAA4AAAAAAAAAAQAgAAAAHgEAAGRycy9l&#10;Mm9Eb2MueG1sUEsFBgAAAAAGAAYAWQEAAF4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rPr>
                      <w:t>49</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掌阅精选数字阅读推广数据库</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ZMZB2023XJD-296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210" w:hanging="210" w:hangingChars="100"/>
      <w:jc w:val="left"/>
      <w:rPr>
        <w:rFonts w:ascii="宋体" w:cs="宋体"/>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sz w:val="15"/>
        <w:szCs w:val="15"/>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210" w:hanging="210" w:hangingChars="10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AA703584"/>
    <w:multiLevelType w:val="singleLevel"/>
    <w:tmpl w:val="AA703584"/>
    <w:lvl w:ilvl="0" w:tentative="0">
      <w:start w:val="1"/>
      <w:numFmt w:val="chineseCounting"/>
      <w:suff w:val="nothing"/>
      <w:lvlText w:val="（%1）"/>
      <w:lvlJc w:val="left"/>
      <w:rPr>
        <w:rFonts w:hint="eastAsia"/>
      </w:rPr>
    </w:lvl>
  </w:abstractNum>
  <w:abstractNum w:abstractNumId="2">
    <w:nsid w:val="C0DBED7D"/>
    <w:multiLevelType w:val="singleLevel"/>
    <w:tmpl w:val="C0DBED7D"/>
    <w:lvl w:ilvl="0" w:tentative="0">
      <w:start w:val="1"/>
      <w:numFmt w:val="chineseCounting"/>
      <w:suff w:val="nothing"/>
      <w:lvlText w:val="（%1）"/>
      <w:lvlJc w:val="left"/>
      <w:pPr>
        <w:ind w:left="0" w:firstLine="420"/>
      </w:pPr>
      <w:rPr>
        <w:rFonts w:hint="eastAsia"/>
      </w:rPr>
    </w:lvl>
  </w:abstractNum>
  <w:abstractNum w:abstractNumId="3">
    <w:nsid w:val="DB7B02B1"/>
    <w:multiLevelType w:val="singleLevel"/>
    <w:tmpl w:val="DB7B02B1"/>
    <w:lvl w:ilvl="0" w:tentative="0">
      <w:start w:val="1"/>
      <w:numFmt w:val="chineseCounting"/>
      <w:suff w:val="nothing"/>
      <w:lvlText w:val="（%1）"/>
      <w:lvlJc w:val="left"/>
      <w:pPr>
        <w:ind w:left="0" w:firstLine="420"/>
      </w:pPr>
      <w:rPr>
        <w:rFonts w:hint="eastAsia"/>
      </w:rPr>
    </w:lvl>
  </w:abstractNum>
  <w:abstractNum w:abstractNumId="4">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5">
    <w:nsid w:val="E53AE426"/>
    <w:multiLevelType w:val="singleLevel"/>
    <w:tmpl w:val="E53AE426"/>
    <w:lvl w:ilvl="0" w:tentative="0">
      <w:start w:val="1"/>
      <w:numFmt w:val="chineseCounting"/>
      <w:suff w:val="nothing"/>
      <w:lvlText w:val="（%1）"/>
      <w:lvlJc w:val="left"/>
      <w:pPr>
        <w:ind w:left="-210" w:firstLine="420"/>
      </w:pPr>
      <w:rPr>
        <w:rFonts w:hint="eastAsia"/>
      </w:rPr>
    </w:lvl>
  </w:abstractNum>
  <w:abstractNum w:abstractNumId="6">
    <w:nsid w:val="EBC3FBBF"/>
    <w:multiLevelType w:val="singleLevel"/>
    <w:tmpl w:val="EBC3FBBF"/>
    <w:lvl w:ilvl="0" w:tentative="0">
      <w:start w:val="1"/>
      <w:numFmt w:val="chineseCounting"/>
      <w:suff w:val="nothing"/>
      <w:lvlText w:val="（%1）"/>
      <w:lvlJc w:val="left"/>
      <w:pPr>
        <w:ind w:left="0" w:firstLine="420"/>
      </w:pPr>
      <w:rPr>
        <w:rFonts w:hint="eastAsia"/>
      </w:rPr>
    </w:lvl>
  </w:abstractNum>
  <w:abstractNum w:abstractNumId="7">
    <w:nsid w:val="F181BAFF"/>
    <w:multiLevelType w:val="singleLevel"/>
    <w:tmpl w:val="F181BAFF"/>
    <w:lvl w:ilvl="0" w:tentative="0">
      <w:start w:val="1"/>
      <w:numFmt w:val="decimal"/>
      <w:lvlText w:val="%1."/>
      <w:lvlJc w:val="left"/>
      <w:pPr>
        <w:tabs>
          <w:tab w:val="left" w:pos="312"/>
        </w:tabs>
      </w:pPr>
    </w:lvl>
  </w:abstractNum>
  <w:abstractNum w:abstractNumId="8">
    <w:nsid w:val="F7648288"/>
    <w:multiLevelType w:val="singleLevel"/>
    <w:tmpl w:val="F7648288"/>
    <w:lvl w:ilvl="0" w:tentative="0">
      <w:start w:val="1"/>
      <w:numFmt w:val="chineseCounting"/>
      <w:suff w:val="nothing"/>
      <w:lvlText w:val="（%1）"/>
      <w:lvlJc w:val="left"/>
      <w:rPr>
        <w:rFonts w:hint="eastAsia"/>
      </w:rPr>
    </w:lvl>
  </w:abstractNum>
  <w:abstractNum w:abstractNumId="9">
    <w:nsid w:val="0C771DDB"/>
    <w:multiLevelType w:val="singleLevel"/>
    <w:tmpl w:val="0C771DDB"/>
    <w:lvl w:ilvl="0" w:tentative="0">
      <w:start w:val="2"/>
      <w:numFmt w:val="chineseCounting"/>
      <w:suff w:val="space"/>
      <w:lvlText w:val="第%1条"/>
      <w:lvlJc w:val="left"/>
      <w:rPr>
        <w:rFonts w:hint="eastAsia"/>
      </w:rPr>
    </w:lvl>
  </w:abstractNum>
  <w:abstractNum w:abstractNumId="10">
    <w:nsid w:val="0FA23393"/>
    <w:multiLevelType w:val="singleLevel"/>
    <w:tmpl w:val="0FA23393"/>
    <w:lvl w:ilvl="0" w:tentative="0">
      <w:start w:val="1"/>
      <w:numFmt w:val="decimal"/>
      <w:lvlText w:val="%1."/>
      <w:lvlJc w:val="left"/>
      <w:pPr>
        <w:tabs>
          <w:tab w:val="left" w:pos="312"/>
        </w:tabs>
      </w:pPr>
    </w:lvl>
  </w:abstractNum>
  <w:abstractNum w:abstractNumId="11">
    <w:nsid w:val="11BF566B"/>
    <w:multiLevelType w:val="singleLevel"/>
    <w:tmpl w:val="11BF566B"/>
    <w:lvl w:ilvl="0" w:tentative="0">
      <w:start w:val="2"/>
      <w:numFmt w:val="chineseCounting"/>
      <w:suff w:val="space"/>
      <w:lvlText w:val="第%1部分"/>
      <w:lvlJc w:val="left"/>
      <w:rPr>
        <w:rFonts w:hint="eastAsia"/>
        <w:sz w:val="36"/>
        <w:szCs w:val="36"/>
      </w:rPr>
    </w:lvl>
  </w:abstractNum>
  <w:abstractNum w:abstractNumId="12">
    <w:nsid w:val="19B057FC"/>
    <w:multiLevelType w:val="singleLevel"/>
    <w:tmpl w:val="19B057FC"/>
    <w:lvl w:ilvl="0" w:tentative="0">
      <w:start w:val="1"/>
      <w:numFmt w:val="decimal"/>
      <w:suff w:val="nothing"/>
      <w:lvlText w:val="%1、"/>
      <w:lvlJc w:val="left"/>
      <w:pPr>
        <w:ind w:left="140" w:firstLine="0"/>
      </w:pPr>
    </w:lvl>
  </w:abstractNum>
  <w:abstractNum w:abstractNumId="13">
    <w:nsid w:val="2B8E75AB"/>
    <w:multiLevelType w:val="singleLevel"/>
    <w:tmpl w:val="2B8E75AB"/>
    <w:lvl w:ilvl="0" w:tentative="0">
      <w:start w:val="1"/>
      <w:numFmt w:val="chineseCounting"/>
      <w:suff w:val="nothing"/>
      <w:lvlText w:val="（%1）"/>
      <w:lvlJc w:val="left"/>
      <w:rPr>
        <w:rFonts w:hint="eastAsia"/>
      </w:rPr>
    </w:lvl>
  </w:abstractNum>
  <w:abstractNum w:abstractNumId="14">
    <w:nsid w:val="3BEF8355"/>
    <w:multiLevelType w:val="singleLevel"/>
    <w:tmpl w:val="3BEF8355"/>
    <w:lvl w:ilvl="0" w:tentative="0">
      <w:start w:val="1"/>
      <w:numFmt w:val="chineseCounting"/>
      <w:suff w:val="nothing"/>
      <w:lvlText w:val="（%1）"/>
      <w:lvlJc w:val="left"/>
      <w:pPr>
        <w:ind w:left="0" w:firstLine="420"/>
      </w:pPr>
      <w:rPr>
        <w:rFonts w:hint="eastAsia"/>
      </w:rPr>
    </w:lvl>
  </w:abstractNum>
  <w:abstractNum w:abstractNumId="15">
    <w:nsid w:val="5440B15D"/>
    <w:multiLevelType w:val="singleLevel"/>
    <w:tmpl w:val="5440B15D"/>
    <w:lvl w:ilvl="0" w:tentative="0">
      <w:start w:val="1"/>
      <w:numFmt w:val="chineseCounting"/>
      <w:suff w:val="nothing"/>
      <w:lvlText w:val="（%1）"/>
      <w:lvlJc w:val="left"/>
      <w:pPr>
        <w:ind w:left="0" w:firstLine="420"/>
      </w:pPr>
      <w:rPr>
        <w:rFonts w:hint="eastAsia"/>
      </w:rPr>
    </w:lvl>
  </w:abstractNum>
  <w:abstractNum w:abstractNumId="16">
    <w:nsid w:val="55698368"/>
    <w:multiLevelType w:val="singleLevel"/>
    <w:tmpl w:val="55698368"/>
    <w:lvl w:ilvl="0" w:tentative="0">
      <w:start w:val="1"/>
      <w:numFmt w:val="decimal"/>
      <w:suff w:val="nothing"/>
      <w:lvlText w:val="%1、"/>
      <w:lvlJc w:val="left"/>
      <w:pPr>
        <w:ind w:firstLine="420"/>
      </w:pPr>
      <w:rPr>
        <w:rFonts w:hint="default" w:cs="Times New Roman"/>
      </w:rPr>
    </w:lvl>
  </w:abstractNum>
  <w:abstractNum w:abstractNumId="17">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18">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19">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20">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21">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22">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23">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24">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25">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26">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27">
    <w:nsid w:val="5902B6A7"/>
    <w:multiLevelType w:val="singleLevel"/>
    <w:tmpl w:val="5902B6A7"/>
    <w:lvl w:ilvl="0" w:tentative="0">
      <w:start w:val="1"/>
      <w:numFmt w:val="decimal"/>
      <w:pStyle w:val="7"/>
      <w:lvlText w:val="%1."/>
      <w:lvlJc w:val="left"/>
      <w:pPr>
        <w:tabs>
          <w:tab w:val="left" w:pos="360"/>
        </w:tabs>
        <w:ind w:left="360" w:hanging="360"/>
      </w:pPr>
      <w:rPr>
        <w:rFonts w:cs="Times New Roman"/>
      </w:rPr>
    </w:lvl>
  </w:abstractNum>
  <w:abstractNum w:abstractNumId="28">
    <w:nsid w:val="5A0A7AC5"/>
    <w:multiLevelType w:val="singleLevel"/>
    <w:tmpl w:val="5A0A7AC5"/>
    <w:lvl w:ilvl="0" w:tentative="0">
      <w:start w:val="4"/>
      <w:numFmt w:val="chineseCounting"/>
      <w:suff w:val="nothing"/>
      <w:lvlText w:val="第%1部"/>
      <w:lvlJc w:val="left"/>
      <w:rPr>
        <w:rFonts w:cs="Times New Roman"/>
      </w:rPr>
    </w:lvl>
  </w:abstractNum>
  <w:abstractNum w:abstractNumId="29">
    <w:nsid w:val="73B16C72"/>
    <w:multiLevelType w:val="singleLevel"/>
    <w:tmpl w:val="73B16C72"/>
    <w:lvl w:ilvl="0" w:tentative="0">
      <w:start w:val="1"/>
      <w:numFmt w:val="decimal"/>
      <w:lvlText w:val="%1."/>
      <w:lvlJc w:val="left"/>
      <w:pPr>
        <w:tabs>
          <w:tab w:val="left" w:pos="312"/>
        </w:tabs>
      </w:pPr>
    </w:lvl>
  </w:abstractNum>
  <w:abstractNum w:abstractNumId="30">
    <w:nsid w:val="7454A098"/>
    <w:multiLevelType w:val="singleLevel"/>
    <w:tmpl w:val="7454A098"/>
    <w:lvl w:ilvl="0" w:tentative="0">
      <w:start w:val="5"/>
      <w:numFmt w:val="chineseCounting"/>
      <w:suff w:val="space"/>
      <w:lvlText w:val="第%1部分"/>
      <w:lvlJc w:val="left"/>
      <w:rPr>
        <w:rFonts w:hint="eastAsia" w:cs="Times New Roman"/>
      </w:rPr>
    </w:lvl>
  </w:abstractNum>
  <w:num w:numId="1">
    <w:abstractNumId w:val="27"/>
  </w:num>
  <w:num w:numId="2">
    <w:abstractNumId w:val="26"/>
  </w:num>
  <w:num w:numId="3">
    <w:abstractNumId w:val="4"/>
  </w:num>
  <w:num w:numId="4">
    <w:abstractNumId w:val="0"/>
  </w:num>
  <w:num w:numId="5">
    <w:abstractNumId w:val="16"/>
  </w:num>
  <w:num w:numId="6">
    <w:abstractNumId w:val="19"/>
  </w:num>
  <w:num w:numId="7">
    <w:abstractNumId w:val="17"/>
  </w:num>
  <w:num w:numId="8">
    <w:abstractNumId w:val="23"/>
  </w:num>
  <w:num w:numId="9">
    <w:abstractNumId w:val="24"/>
  </w:num>
  <w:num w:numId="10">
    <w:abstractNumId w:val="20"/>
  </w:num>
  <w:num w:numId="11">
    <w:abstractNumId w:val="18"/>
  </w:num>
  <w:num w:numId="12">
    <w:abstractNumId w:val="21"/>
  </w:num>
  <w:num w:numId="13">
    <w:abstractNumId w:val="22"/>
  </w:num>
  <w:num w:numId="14">
    <w:abstractNumId w:val="25"/>
  </w:num>
  <w:num w:numId="15">
    <w:abstractNumId w:val="28"/>
  </w:num>
  <w:num w:numId="16">
    <w:abstractNumId w:val="30"/>
  </w:num>
  <w:num w:numId="17">
    <w:abstractNumId w:val="9"/>
  </w:num>
  <w:num w:numId="18">
    <w:abstractNumId w:val="2"/>
  </w:num>
  <w:num w:numId="19">
    <w:abstractNumId w:val="10"/>
  </w:num>
  <w:num w:numId="20">
    <w:abstractNumId w:val="3"/>
  </w:num>
  <w:num w:numId="21">
    <w:abstractNumId w:val="1"/>
  </w:num>
  <w:num w:numId="22">
    <w:abstractNumId w:val="7"/>
  </w:num>
  <w:num w:numId="23">
    <w:abstractNumId w:val="5"/>
  </w:num>
  <w:num w:numId="24">
    <w:abstractNumId w:val="8"/>
  </w:num>
  <w:num w:numId="25">
    <w:abstractNumId w:val="15"/>
  </w:num>
  <w:num w:numId="26">
    <w:abstractNumId w:val="29"/>
  </w:num>
  <w:num w:numId="27">
    <w:abstractNumId w:val="14"/>
  </w:num>
  <w:num w:numId="28">
    <w:abstractNumId w:val="6"/>
  </w:num>
  <w:num w:numId="29">
    <w:abstractNumId w:val="13"/>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319"/>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NmVlMWFiZDU5MjhiMmJlM2Y1NmM4NWIyN2E1YTkifQ=="/>
  </w:docVars>
  <w:rsids>
    <w:rsidRoot w:val="2627224F"/>
    <w:rsid w:val="00067C11"/>
    <w:rsid w:val="000A043D"/>
    <w:rsid w:val="000A2C45"/>
    <w:rsid w:val="000B3DD4"/>
    <w:rsid w:val="000C0895"/>
    <w:rsid w:val="000C673D"/>
    <w:rsid w:val="000D590C"/>
    <w:rsid w:val="000D7288"/>
    <w:rsid w:val="000E1394"/>
    <w:rsid w:val="000E2BA9"/>
    <w:rsid w:val="000E545B"/>
    <w:rsid w:val="0011607E"/>
    <w:rsid w:val="00156B1A"/>
    <w:rsid w:val="00161ACB"/>
    <w:rsid w:val="00167A28"/>
    <w:rsid w:val="00175AA2"/>
    <w:rsid w:val="00183973"/>
    <w:rsid w:val="00195011"/>
    <w:rsid w:val="001A439C"/>
    <w:rsid w:val="001B4163"/>
    <w:rsid w:val="001D76B9"/>
    <w:rsid w:val="001E7E49"/>
    <w:rsid w:val="001F5070"/>
    <w:rsid w:val="00205EEF"/>
    <w:rsid w:val="00233551"/>
    <w:rsid w:val="0025657F"/>
    <w:rsid w:val="002647A7"/>
    <w:rsid w:val="00295F6C"/>
    <w:rsid w:val="002C54CF"/>
    <w:rsid w:val="002D7A6D"/>
    <w:rsid w:val="002E07BF"/>
    <w:rsid w:val="002E67EA"/>
    <w:rsid w:val="002E7833"/>
    <w:rsid w:val="002F6FCA"/>
    <w:rsid w:val="003040CA"/>
    <w:rsid w:val="00315495"/>
    <w:rsid w:val="00325C63"/>
    <w:rsid w:val="00332D32"/>
    <w:rsid w:val="00337601"/>
    <w:rsid w:val="00360C09"/>
    <w:rsid w:val="003A3201"/>
    <w:rsid w:val="003A62FB"/>
    <w:rsid w:val="003C2DEE"/>
    <w:rsid w:val="003C67F2"/>
    <w:rsid w:val="003C68C1"/>
    <w:rsid w:val="003D37C1"/>
    <w:rsid w:val="003D5D13"/>
    <w:rsid w:val="003E1DDF"/>
    <w:rsid w:val="003E65D8"/>
    <w:rsid w:val="003E7B81"/>
    <w:rsid w:val="003F04B9"/>
    <w:rsid w:val="003F3874"/>
    <w:rsid w:val="003F3D18"/>
    <w:rsid w:val="003F5518"/>
    <w:rsid w:val="003F64A7"/>
    <w:rsid w:val="004057C8"/>
    <w:rsid w:val="004456E2"/>
    <w:rsid w:val="00481E05"/>
    <w:rsid w:val="00482B14"/>
    <w:rsid w:val="004862AD"/>
    <w:rsid w:val="004A79A8"/>
    <w:rsid w:val="004C18B4"/>
    <w:rsid w:val="004C2AF8"/>
    <w:rsid w:val="004D70C5"/>
    <w:rsid w:val="004D7327"/>
    <w:rsid w:val="004E4CF5"/>
    <w:rsid w:val="004F3D5C"/>
    <w:rsid w:val="0050491F"/>
    <w:rsid w:val="00520C66"/>
    <w:rsid w:val="005217F8"/>
    <w:rsid w:val="00522064"/>
    <w:rsid w:val="00525E3A"/>
    <w:rsid w:val="00530399"/>
    <w:rsid w:val="00536870"/>
    <w:rsid w:val="00536E83"/>
    <w:rsid w:val="005419F3"/>
    <w:rsid w:val="00562EC4"/>
    <w:rsid w:val="00571D17"/>
    <w:rsid w:val="00575B42"/>
    <w:rsid w:val="00576A5F"/>
    <w:rsid w:val="00576E0E"/>
    <w:rsid w:val="005931AD"/>
    <w:rsid w:val="00593B91"/>
    <w:rsid w:val="005A280C"/>
    <w:rsid w:val="005B3960"/>
    <w:rsid w:val="005D7A12"/>
    <w:rsid w:val="00604E52"/>
    <w:rsid w:val="00613B65"/>
    <w:rsid w:val="00632F20"/>
    <w:rsid w:val="00650037"/>
    <w:rsid w:val="006634A6"/>
    <w:rsid w:val="006657C9"/>
    <w:rsid w:val="00682228"/>
    <w:rsid w:val="00696FBA"/>
    <w:rsid w:val="006A208B"/>
    <w:rsid w:val="006D77FD"/>
    <w:rsid w:val="006E169C"/>
    <w:rsid w:val="006E46DF"/>
    <w:rsid w:val="006F1FD6"/>
    <w:rsid w:val="00736BCC"/>
    <w:rsid w:val="0074281E"/>
    <w:rsid w:val="007447C1"/>
    <w:rsid w:val="00770871"/>
    <w:rsid w:val="0077254B"/>
    <w:rsid w:val="00784DDB"/>
    <w:rsid w:val="00787327"/>
    <w:rsid w:val="00792491"/>
    <w:rsid w:val="007941F2"/>
    <w:rsid w:val="007A4E4B"/>
    <w:rsid w:val="007D15F9"/>
    <w:rsid w:val="007E485E"/>
    <w:rsid w:val="007F0358"/>
    <w:rsid w:val="00811783"/>
    <w:rsid w:val="008259FA"/>
    <w:rsid w:val="008573C1"/>
    <w:rsid w:val="008634ED"/>
    <w:rsid w:val="008732D2"/>
    <w:rsid w:val="00874A96"/>
    <w:rsid w:val="008866C0"/>
    <w:rsid w:val="008866C4"/>
    <w:rsid w:val="00895737"/>
    <w:rsid w:val="008962A7"/>
    <w:rsid w:val="008A367A"/>
    <w:rsid w:val="008E7C81"/>
    <w:rsid w:val="008F6EFE"/>
    <w:rsid w:val="00903A2C"/>
    <w:rsid w:val="0090653D"/>
    <w:rsid w:val="00906D0F"/>
    <w:rsid w:val="009450C0"/>
    <w:rsid w:val="00954CF1"/>
    <w:rsid w:val="00963883"/>
    <w:rsid w:val="009C5890"/>
    <w:rsid w:val="009D4B52"/>
    <w:rsid w:val="009E3BD2"/>
    <w:rsid w:val="009E7878"/>
    <w:rsid w:val="009F29DA"/>
    <w:rsid w:val="00A00F37"/>
    <w:rsid w:val="00A02D64"/>
    <w:rsid w:val="00A248F4"/>
    <w:rsid w:val="00A24F9A"/>
    <w:rsid w:val="00A40632"/>
    <w:rsid w:val="00A50E8F"/>
    <w:rsid w:val="00A51FDF"/>
    <w:rsid w:val="00A55ABC"/>
    <w:rsid w:val="00A6190D"/>
    <w:rsid w:val="00A62024"/>
    <w:rsid w:val="00A63494"/>
    <w:rsid w:val="00A73B47"/>
    <w:rsid w:val="00A8343C"/>
    <w:rsid w:val="00A921BA"/>
    <w:rsid w:val="00AB0730"/>
    <w:rsid w:val="00AB54D5"/>
    <w:rsid w:val="00AC7625"/>
    <w:rsid w:val="00AD6709"/>
    <w:rsid w:val="00AF40F8"/>
    <w:rsid w:val="00B2147D"/>
    <w:rsid w:val="00B32079"/>
    <w:rsid w:val="00B356BE"/>
    <w:rsid w:val="00B4047B"/>
    <w:rsid w:val="00B41325"/>
    <w:rsid w:val="00B530E4"/>
    <w:rsid w:val="00B577D8"/>
    <w:rsid w:val="00B73E01"/>
    <w:rsid w:val="00B74DE0"/>
    <w:rsid w:val="00B76303"/>
    <w:rsid w:val="00B76DB3"/>
    <w:rsid w:val="00BA44C1"/>
    <w:rsid w:val="00BC1AB3"/>
    <w:rsid w:val="00BC54D5"/>
    <w:rsid w:val="00BD2757"/>
    <w:rsid w:val="00BD2877"/>
    <w:rsid w:val="00BD3EC5"/>
    <w:rsid w:val="00C003AB"/>
    <w:rsid w:val="00C12CCF"/>
    <w:rsid w:val="00C22831"/>
    <w:rsid w:val="00C41E46"/>
    <w:rsid w:val="00C45FEF"/>
    <w:rsid w:val="00C51045"/>
    <w:rsid w:val="00C56615"/>
    <w:rsid w:val="00C7157F"/>
    <w:rsid w:val="00C965C9"/>
    <w:rsid w:val="00CB13A4"/>
    <w:rsid w:val="00CB1893"/>
    <w:rsid w:val="00CB3716"/>
    <w:rsid w:val="00CD2391"/>
    <w:rsid w:val="00CE65B1"/>
    <w:rsid w:val="00D01247"/>
    <w:rsid w:val="00D17176"/>
    <w:rsid w:val="00D574E4"/>
    <w:rsid w:val="00D576EF"/>
    <w:rsid w:val="00D75D78"/>
    <w:rsid w:val="00DA05D9"/>
    <w:rsid w:val="00DA4229"/>
    <w:rsid w:val="00DB7219"/>
    <w:rsid w:val="00DC1518"/>
    <w:rsid w:val="00DC1986"/>
    <w:rsid w:val="00DC7FB0"/>
    <w:rsid w:val="00E04145"/>
    <w:rsid w:val="00E13657"/>
    <w:rsid w:val="00E20E24"/>
    <w:rsid w:val="00E2372B"/>
    <w:rsid w:val="00E24AFE"/>
    <w:rsid w:val="00E45089"/>
    <w:rsid w:val="00E65904"/>
    <w:rsid w:val="00E85273"/>
    <w:rsid w:val="00E95F6A"/>
    <w:rsid w:val="00E9724B"/>
    <w:rsid w:val="00EA1ECE"/>
    <w:rsid w:val="00EA395A"/>
    <w:rsid w:val="00EC5558"/>
    <w:rsid w:val="00EC6E7A"/>
    <w:rsid w:val="00ED2AB6"/>
    <w:rsid w:val="00F15049"/>
    <w:rsid w:val="00F157FC"/>
    <w:rsid w:val="00F20B01"/>
    <w:rsid w:val="00F234ED"/>
    <w:rsid w:val="00F445F5"/>
    <w:rsid w:val="00F55543"/>
    <w:rsid w:val="00F57524"/>
    <w:rsid w:val="00F60BD8"/>
    <w:rsid w:val="00F66023"/>
    <w:rsid w:val="00F75245"/>
    <w:rsid w:val="00F83555"/>
    <w:rsid w:val="00F8677F"/>
    <w:rsid w:val="00F94DCB"/>
    <w:rsid w:val="00FC4ED1"/>
    <w:rsid w:val="00FE167F"/>
    <w:rsid w:val="00FE3310"/>
    <w:rsid w:val="010000C7"/>
    <w:rsid w:val="01171A91"/>
    <w:rsid w:val="01272072"/>
    <w:rsid w:val="013A223F"/>
    <w:rsid w:val="01500663"/>
    <w:rsid w:val="01552F4F"/>
    <w:rsid w:val="015936EF"/>
    <w:rsid w:val="01652B2F"/>
    <w:rsid w:val="018471C5"/>
    <w:rsid w:val="01920D21"/>
    <w:rsid w:val="01C34D19"/>
    <w:rsid w:val="01C4700A"/>
    <w:rsid w:val="01D31509"/>
    <w:rsid w:val="01E2724D"/>
    <w:rsid w:val="01F11552"/>
    <w:rsid w:val="01F90F7C"/>
    <w:rsid w:val="02064B47"/>
    <w:rsid w:val="020A5EF3"/>
    <w:rsid w:val="02132B87"/>
    <w:rsid w:val="021A4A01"/>
    <w:rsid w:val="02293966"/>
    <w:rsid w:val="02701597"/>
    <w:rsid w:val="02733B30"/>
    <w:rsid w:val="0277484A"/>
    <w:rsid w:val="02854F8C"/>
    <w:rsid w:val="02DB4DF7"/>
    <w:rsid w:val="02F8646C"/>
    <w:rsid w:val="030A0C9E"/>
    <w:rsid w:val="030C784E"/>
    <w:rsid w:val="031332BA"/>
    <w:rsid w:val="03205381"/>
    <w:rsid w:val="03266551"/>
    <w:rsid w:val="03315787"/>
    <w:rsid w:val="036F1D46"/>
    <w:rsid w:val="037D7DDB"/>
    <w:rsid w:val="03AD5C47"/>
    <w:rsid w:val="03B61C9F"/>
    <w:rsid w:val="03C03826"/>
    <w:rsid w:val="03C25B44"/>
    <w:rsid w:val="03C44107"/>
    <w:rsid w:val="03C84A6E"/>
    <w:rsid w:val="03CA6AE8"/>
    <w:rsid w:val="03F25F11"/>
    <w:rsid w:val="03FA6DFF"/>
    <w:rsid w:val="041378F5"/>
    <w:rsid w:val="041C2E32"/>
    <w:rsid w:val="04316655"/>
    <w:rsid w:val="04327F61"/>
    <w:rsid w:val="046469BF"/>
    <w:rsid w:val="049B0F6D"/>
    <w:rsid w:val="04E000E3"/>
    <w:rsid w:val="04E5250D"/>
    <w:rsid w:val="04F540AB"/>
    <w:rsid w:val="05132859"/>
    <w:rsid w:val="052B6233"/>
    <w:rsid w:val="053D1998"/>
    <w:rsid w:val="05402991"/>
    <w:rsid w:val="054E1CE0"/>
    <w:rsid w:val="05633974"/>
    <w:rsid w:val="057A7F6E"/>
    <w:rsid w:val="0582199D"/>
    <w:rsid w:val="05842543"/>
    <w:rsid w:val="058F6095"/>
    <w:rsid w:val="05BD25A6"/>
    <w:rsid w:val="05CF6EC6"/>
    <w:rsid w:val="05DD2B0F"/>
    <w:rsid w:val="05F9132D"/>
    <w:rsid w:val="05FC494C"/>
    <w:rsid w:val="0600061F"/>
    <w:rsid w:val="060454DB"/>
    <w:rsid w:val="062466F3"/>
    <w:rsid w:val="06686B0C"/>
    <w:rsid w:val="066D1D57"/>
    <w:rsid w:val="069960ED"/>
    <w:rsid w:val="06A523B7"/>
    <w:rsid w:val="06B36D07"/>
    <w:rsid w:val="06B63114"/>
    <w:rsid w:val="06B81AE0"/>
    <w:rsid w:val="06BA1BC5"/>
    <w:rsid w:val="06BE30D0"/>
    <w:rsid w:val="06CC6E03"/>
    <w:rsid w:val="06EC4048"/>
    <w:rsid w:val="06EF35C6"/>
    <w:rsid w:val="070010C5"/>
    <w:rsid w:val="070309DD"/>
    <w:rsid w:val="0750265D"/>
    <w:rsid w:val="078540E1"/>
    <w:rsid w:val="07944E69"/>
    <w:rsid w:val="079C330F"/>
    <w:rsid w:val="079C7ECA"/>
    <w:rsid w:val="07B36083"/>
    <w:rsid w:val="07C96C38"/>
    <w:rsid w:val="08010166"/>
    <w:rsid w:val="08186ED9"/>
    <w:rsid w:val="083549A9"/>
    <w:rsid w:val="08480F22"/>
    <w:rsid w:val="084B746C"/>
    <w:rsid w:val="085B6064"/>
    <w:rsid w:val="08667849"/>
    <w:rsid w:val="086808A0"/>
    <w:rsid w:val="088A735E"/>
    <w:rsid w:val="08A75DFA"/>
    <w:rsid w:val="08BA1E84"/>
    <w:rsid w:val="08CC2D1D"/>
    <w:rsid w:val="08DD3836"/>
    <w:rsid w:val="08F85756"/>
    <w:rsid w:val="090A42F6"/>
    <w:rsid w:val="091F7003"/>
    <w:rsid w:val="09212265"/>
    <w:rsid w:val="092F2201"/>
    <w:rsid w:val="09433010"/>
    <w:rsid w:val="094D7EEA"/>
    <w:rsid w:val="098B0A11"/>
    <w:rsid w:val="09EA213D"/>
    <w:rsid w:val="0A08744C"/>
    <w:rsid w:val="0A095ECA"/>
    <w:rsid w:val="0A0976BB"/>
    <w:rsid w:val="0A2B4F41"/>
    <w:rsid w:val="0A3E3F88"/>
    <w:rsid w:val="0A672A35"/>
    <w:rsid w:val="0A6A3D7A"/>
    <w:rsid w:val="0AAD1F15"/>
    <w:rsid w:val="0AAF6A88"/>
    <w:rsid w:val="0ADB202D"/>
    <w:rsid w:val="0B167DBC"/>
    <w:rsid w:val="0B190442"/>
    <w:rsid w:val="0B1E47BC"/>
    <w:rsid w:val="0B2B66AD"/>
    <w:rsid w:val="0B2C0444"/>
    <w:rsid w:val="0B462D50"/>
    <w:rsid w:val="0B5D1A85"/>
    <w:rsid w:val="0B64032A"/>
    <w:rsid w:val="0B6C3597"/>
    <w:rsid w:val="0B85086D"/>
    <w:rsid w:val="0B923335"/>
    <w:rsid w:val="0B923C35"/>
    <w:rsid w:val="0B986F9F"/>
    <w:rsid w:val="0BAE2F91"/>
    <w:rsid w:val="0BD2199B"/>
    <w:rsid w:val="0BE92434"/>
    <w:rsid w:val="0C22749B"/>
    <w:rsid w:val="0C4B1E57"/>
    <w:rsid w:val="0C62138A"/>
    <w:rsid w:val="0C662702"/>
    <w:rsid w:val="0C7A75F8"/>
    <w:rsid w:val="0C7F3BFC"/>
    <w:rsid w:val="0C9A6E94"/>
    <w:rsid w:val="0C9A7A9B"/>
    <w:rsid w:val="0CA719D0"/>
    <w:rsid w:val="0CB6728F"/>
    <w:rsid w:val="0CDA6279"/>
    <w:rsid w:val="0CF14B0E"/>
    <w:rsid w:val="0CFD25BD"/>
    <w:rsid w:val="0D3A39B1"/>
    <w:rsid w:val="0D4A02A6"/>
    <w:rsid w:val="0D6046C4"/>
    <w:rsid w:val="0D933F5C"/>
    <w:rsid w:val="0D9E014B"/>
    <w:rsid w:val="0DAB1B73"/>
    <w:rsid w:val="0DB81EB3"/>
    <w:rsid w:val="0DE66A16"/>
    <w:rsid w:val="0DFD2A28"/>
    <w:rsid w:val="0E0C42FA"/>
    <w:rsid w:val="0E2A0BC1"/>
    <w:rsid w:val="0E2C42E2"/>
    <w:rsid w:val="0E34347A"/>
    <w:rsid w:val="0E4D16C6"/>
    <w:rsid w:val="0E5B5CE1"/>
    <w:rsid w:val="0E8B4F0A"/>
    <w:rsid w:val="0E9D07DC"/>
    <w:rsid w:val="0EA9643B"/>
    <w:rsid w:val="0EBE3F82"/>
    <w:rsid w:val="0EBE7EA1"/>
    <w:rsid w:val="0EF653FC"/>
    <w:rsid w:val="0EFB3DED"/>
    <w:rsid w:val="0F05205F"/>
    <w:rsid w:val="0F237E63"/>
    <w:rsid w:val="0F2D19E5"/>
    <w:rsid w:val="0F3E123E"/>
    <w:rsid w:val="0F4A771B"/>
    <w:rsid w:val="0F862A78"/>
    <w:rsid w:val="0F9C165C"/>
    <w:rsid w:val="0FC00610"/>
    <w:rsid w:val="0FD56007"/>
    <w:rsid w:val="10001A32"/>
    <w:rsid w:val="10055616"/>
    <w:rsid w:val="100A749C"/>
    <w:rsid w:val="100F17AC"/>
    <w:rsid w:val="104B4EC7"/>
    <w:rsid w:val="104F5CF5"/>
    <w:rsid w:val="10597FA0"/>
    <w:rsid w:val="106A6CB4"/>
    <w:rsid w:val="107B291F"/>
    <w:rsid w:val="10853848"/>
    <w:rsid w:val="108E6DDE"/>
    <w:rsid w:val="10D20FA3"/>
    <w:rsid w:val="10D83E38"/>
    <w:rsid w:val="110E1B5E"/>
    <w:rsid w:val="112E7DFF"/>
    <w:rsid w:val="112F26C0"/>
    <w:rsid w:val="113F0C8E"/>
    <w:rsid w:val="114215F5"/>
    <w:rsid w:val="1144077B"/>
    <w:rsid w:val="114542EA"/>
    <w:rsid w:val="1149117E"/>
    <w:rsid w:val="1149499B"/>
    <w:rsid w:val="115E258B"/>
    <w:rsid w:val="11735D85"/>
    <w:rsid w:val="118C5030"/>
    <w:rsid w:val="11B361D3"/>
    <w:rsid w:val="11C94C43"/>
    <w:rsid w:val="11E51BDB"/>
    <w:rsid w:val="11E75253"/>
    <w:rsid w:val="120B2859"/>
    <w:rsid w:val="121A3BD7"/>
    <w:rsid w:val="121B7591"/>
    <w:rsid w:val="121C6614"/>
    <w:rsid w:val="12415950"/>
    <w:rsid w:val="124B62EC"/>
    <w:rsid w:val="125D587B"/>
    <w:rsid w:val="12650308"/>
    <w:rsid w:val="126E66D8"/>
    <w:rsid w:val="12766F68"/>
    <w:rsid w:val="12784E55"/>
    <w:rsid w:val="127A0A34"/>
    <w:rsid w:val="12886C29"/>
    <w:rsid w:val="12890478"/>
    <w:rsid w:val="128A78E8"/>
    <w:rsid w:val="128C33F4"/>
    <w:rsid w:val="12A60E26"/>
    <w:rsid w:val="12B13C67"/>
    <w:rsid w:val="12D80C3D"/>
    <w:rsid w:val="12FB01C6"/>
    <w:rsid w:val="131307AB"/>
    <w:rsid w:val="1314350A"/>
    <w:rsid w:val="131B2F33"/>
    <w:rsid w:val="13487675"/>
    <w:rsid w:val="134C0A8C"/>
    <w:rsid w:val="138D11BC"/>
    <w:rsid w:val="139D2FCC"/>
    <w:rsid w:val="13AB6434"/>
    <w:rsid w:val="13CD4188"/>
    <w:rsid w:val="13D84C83"/>
    <w:rsid w:val="14253493"/>
    <w:rsid w:val="142F30DE"/>
    <w:rsid w:val="143A40ED"/>
    <w:rsid w:val="1441058C"/>
    <w:rsid w:val="14505634"/>
    <w:rsid w:val="14A95C11"/>
    <w:rsid w:val="14B00589"/>
    <w:rsid w:val="14B13614"/>
    <w:rsid w:val="14B629C7"/>
    <w:rsid w:val="14C35174"/>
    <w:rsid w:val="14CE6335"/>
    <w:rsid w:val="15285578"/>
    <w:rsid w:val="152F6ADB"/>
    <w:rsid w:val="15486511"/>
    <w:rsid w:val="154B4CFB"/>
    <w:rsid w:val="15550B09"/>
    <w:rsid w:val="155550C1"/>
    <w:rsid w:val="155C7162"/>
    <w:rsid w:val="156664AB"/>
    <w:rsid w:val="156E26BA"/>
    <w:rsid w:val="15B036A4"/>
    <w:rsid w:val="15C56451"/>
    <w:rsid w:val="15C8772A"/>
    <w:rsid w:val="15CD6F92"/>
    <w:rsid w:val="15D9735E"/>
    <w:rsid w:val="15F47714"/>
    <w:rsid w:val="16162C58"/>
    <w:rsid w:val="163457C8"/>
    <w:rsid w:val="164046D4"/>
    <w:rsid w:val="1647321B"/>
    <w:rsid w:val="1654287F"/>
    <w:rsid w:val="16557A45"/>
    <w:rsid w:val="16576DE7"/>
    <w:rsid w:val="166B3507"/>
    <w:rsid w:val="168B5A4E"/>
    <w:rsid w:val="168E1097"/>
    <w:rsid w:val="16972ACC"/>
    <w:rsid w:val="16AE086B"/>
    <w:rsid w:val="16BB29C9"/>
    <w:rsid w:val="16BF6BE7"/>
    <w:rsid w:val="16DA0B9D"/>
    <w:rsid w:val="17071B4A"/>
    <w:rsid w:val="170F7C04"/>
    <w:rsid w:val="172072CE"/>
    <w:rsid w:val="17563FF8"/>
    <w:rsid w:val="17634832"/>
    <w:rsid w:val="1768053A"/>
    <w:rsid w:val="17821F33"/>
    <w:rsid w:val="1782436C"/>
    <w:rsid w:val="17896B45"/>
    <w:rsid w:val="17907B2D"/>
    <w:rsid w:val="17B553DF"/>
    <w:rsid w:val="17CA5536"/>
    <w:rsid w:val="17F854E7"/>
    <w:rsid w:val="1817443A"/>
    <w:rsid w:val="18636AB6"/>
    <w:rsid w:val="18656CB7"/>
    <w:rsid w:val="18783248"/>
    <w:rsid w:val="187B0115"/>
    <w:rsid w:val="188B1530"/>
    <w:rsid w:val="18921717"/>
    <w:rsid w:val="189749BB"/>
    <w:rsid w:val="18C160CE"/>
    <w:rsid w:val="18E02502"/>
    <w:rsid w:val="18E609DE"/>
    <w:rsid w:val="18FA490E"/>
    <w:rsid w:val="19107563"/>
    <w:rsid w:val="19225F28"/>
    <w:rsid w:val="192F739D"/>
    <w:rsid w:val="193F5F21"/>
    <w:rsid w:val="19535114"/>
    <w:rsid w:val="195948F7"/>
    <w:rsid w:val="19734497"/>
    <w:rsid w:val="19805D37"/>
    <w:rsid w:val="199D289B"/>
    <w:rsid w:val="19A60E10"/>
    <w:rsid w:val="19BD63E6"/>
    <w:rsid w:val="19C82216"/>
    <w:rsid w:val="19CC0FD2"/>
    <w:rsid w:val="19DD309C"/>
    <w:rsid w:val="19E85AD7"/>
    <w:rsid w:val="19ED0A5E"/>
    <w:rsid w:val="19F313F9"/>
    <w:rsid w:val="19F77FA4"/>
    <w:rsid w:val="19F86A5F"/>
    <w:rsid w:val="1A143CB2"/>
    <w:rsid w:val="1A167085"/>
    <w:rsid w:val="1A324F2D"/>
    <w:rsid w:val="1A42582D"/>
    <w:rsid w:val="1A462475"/>
    <w:rsid w:val="1A4B2F42"/>
    <w:rsid w:val="1A5D5027"/>
    <w:rsid w:val="1A912B40"/>
    <w:rsid w:val="1A997EE2"/>
    <w:rsid w:val="1AF0507E"/>
    <w:rsid w:val="1AF86107"/>
    <w:rsid w:val="1B115D3C"/>
    <w:rsid w:val="1B1172F8"/>
    <w:rsid w:val="1B1E0896"/>
    <w:rsid w:val="1B501040"/>
    <w:rsid w:val="1B6A11E1"/>
    <w:rsid w:val="1B6A6896"/>
    <w:rsid w:val="1B76020A"/>
    <w:rsid w:val="1B7E7971"/>
    <w:rsid w:val="1B807337"/>
    <w:rsid w:val="1B901A2D"/>
    <w:rsid w:val="1B99695D"/>
    <w:rsid w:val="1B9F56F1"/>
    <w:rsid w:val="1BA47C58"/>
    <w:rsid w:val="1BB3263F"/>
    <w:rsid w:val="1BB37A87"/>
    <w:rsid w:val="1BB80F43"/>
    <w:rsid w:val="1BC170B5"/>
    <w:rsid w:val="1BC85289"/>
    <w:rsid w:val="1BE45D74"/>
    <w:rsid w:val="1BE64759"/>
    <w:rsid w:val="1BEA1B07"/>
    <w:rsid w:val="1BF0529D"/>
    <w:rsid w:val="1BFB3FE9"/>
    <w:rsid w:val="1C0104E4"/>
    <w:rsid w:val="1C550846"/>
    <w:rsid w:val="1C557320"/>
    <w:rsid w:val="1C6C08F4"/>
    <w:rsid w:val="1C9B7F2C"/>
    <w:rsid w:val="1CA73788"/>
    <w:rsid w:val="1CBF12F9"/>
    <w:rsid w:val="1CD7431E"/>
    <w:rsid w:val="1CEF4C58"/>
    <w:rsid w:val="1D144517"/>
    <w:rsid w:val="1D261673"/>
    <w:rsid w:val="1D385997"/>
    <w:rsid w:val="1D6965C6"/>
    <w:rsid w:val="1D6B0D1C"/>
    <w:rsid w:val="1DB74394"/>
    <w:rsid w:val="1DE173F1"/>
    <w:rsid w:val="1DEB4DB4"/>
    <w:rsid w:val="1DF44C32"/>
    <w:rsid w:val="1DF97E9A"/>
    <w:rsid w:val="1E000AFE"/>
    <w:rsid w:val="1E327190"/>
    <w:rsid w:val="1E4C6E90"/>
    <w:rsid w:val="1E6D42C6"/>
    <w:rsid w:val="1E7F6DB3"/>
    <w:rsid w:val="1E957826"/>
    <w:rsid w:val="1E990AA4"/>
    <w:rsid w:val="1EAF03E7"/>
    <w:rsid w:val="1EF23D3E"/>
    <w:rsid w:val="1EFB0510"/>
    <w:rsid w:val="1F0B61F0"/>
    <w:rsid w:val="1F175BAF"/>
    <w:rsid w:val="1F38635D"/>
    <w:rsid w:val="1F4A43EB"/>
    <w:rsid w:val="1F563715"/>
    <w:rsid w:val="1F7441F7"/>
    <w:rsid w:val="1F7678AB"/>
    <w:rsid w:val="1FC1428A"/>
    <w:rsid w:val="1FC4124F"/>
    <w:rsid w:val="1FEC37F2"/>
    <w:rsid w:val="1FF62459"/>
    <w:rsid w:val="20021A5F"/>
    <w:rsid w:val="2069677C"/>
    <w:rsid w:val="209D0A3F"/>
    <w:rsid w:val="20A623B7"/>
    <w:rsid w:val="20A669F1"/>
    <w:rsid w:val="20DB699E"/>
    <w:rsid w:val="20DC2CFE"/>
    <w:rsid w:val="20F7685E"/>
    <w:rsid w:val="21170B84"/>
    <w:rsid w:val="213360E8"/>
    <w:rsid w:val="214D7F75"/>
    <w:rsid w:val="215A14EE"/>
    <w:rsid w:val="21692402"/>
    <w:rsid w:val="2196624D"/>
    <w:rsid w:val="21AC6C50"/>
    <w:rsid w:val="21B53414"/>
    <w:rsid w:val="21D60A7B"/>
    <w:rsid w:val="21FE0428"/>
    <w:rsid w:val="221D31A8"/>
    <w:rsid w:val="22292C54"/>
    <w:rsid w:val="22360BE8"/>
    <w:rsid w:val="224421A6"/>
    <w:rsid w:val="22530AD3"/>
    <w:rsid w:val="228C2DED"/>
    <w:rsid w:val="22C80936"/>
    <w:rsid w:val="2302703B"/>
    <w:rsid w:val="231B37F5"/>
    <w:rsid w:val="23437DEB"/>
    <w:rsid w:val="23536B7C"/>
    <w:rsid w:val="238D208B"/>
    <w:rsid w:val="239C5114"/>
    <w:rsid w:val="23B034FE"/>
    <w:rsid w:val="23C635E2"/>
    <w:rsid w:val="23D2502D"/>
    <w:rsid w:val="23E303FA"/>
    <w:rsid w:val="23E3603F"/>
    <w:rsid w:val="23EC1646"/>
    <w:rsid w:val="23F85777"/>
    <w:rsid w:val="24292561"/>
    <w:rsid w:val="24386065"/>
    <w:rsid w:val="243C68DF"/>
    <w:rsid w:val="24575A93"/>
    <w:rsid w:val="24705532"/>
    <w:rsid w:val="24756793"/>
    <w:rsid w:val="24876E88"/>
    <w:rsid w:val="249634AA"/>
    <w:rsid w:val="24A41B3A"/>
    <w:rsid w:val="24BE2F37"/>
    <w:rsid w:val="24BF59CA"/>
    <w:rsid w:val="24D66860"/>
    <w:rsid w:val="24EB52AB"/>
    <w:rsid w:val="250331AC"/>
    <w:rsid w:val="25113ECB"/>
    <w:rsid w:val="252E1698"/>
    <w:rsid w:val="252F1C59"/>
    <w:rsid w:val="25326A1A"/>
    <w:rsid w:val="253F637A"/>
    <w:rsid w:val="25414CCE"/>
    <w:rsid w:val="254678DF"/>
    <w:rsid w:val="254730AC"/>
    <w:rsid w:val="2549701E"/>
    <w:rsid w:val="255F7AD2"/>
    <w:rsid w:val="256D4FBD"/>
    <w:rsid w:val="25890078"/>
    <w:rsid w:val="259D3142"/>
    <w:rsid w:val="25A9744D"/>
    <w:rsid w:val="25CC7C2C"/>
    <w:rsid w:val="25E8350B"/>
    <w:rsid w:val="25EF68E7"/>
    <w:rsid w:val="2627224F"/>
    <w:rsid w:val="263159B5"/>
    <w:rsid w:val="263B1D5A"/>
    <w:rsid w:val="263C69EF"/>
    <w:rsid w:val="26507C71"/>
    <w:rsid w:val="265422D1"/>
    <w:rsid w:val="265D5752"/>
    <w:rsid w:val="265F6B76"/>
    <w:rsid w:val="26890D8F"/>
    <w:rsid w:val="26983BC5"/>
    <w:rsid w:val="26AC2B16"/>
    <w:rsid w:val="26E639F7"/>
    <w:rsid w:val="270C7E7B"/>
    <w:rsid w:val="271565C6"/>
    <w:rsid w:val="27180E6A"/>
    <w:rsid w:val="271D7B22"/>
    <w:rsid w:val="271E393C"/>
    <w:rsid w:val="2727416B"/>
    <w:rsid w:val="273A709B"/>
    <w:rsid w:val="27581696"/>
    <w:rsid w:val="2788719D"/>
    <w:rsid w:val="278F4995"/>
    <w:rsid w:val="279C320C"/>
    <w:rsid w:val="27A110F5"/>
    <w:rsid w:val="27A577CF"/>
    <w:rsid w:val="27BA3E75"/>
    <w:rsid w:val="27C729DE"/>
    <w:rsid w:val="27C72AEF"/>
    <w:rsid w:val="28031598"/>
    <w:rsid w:val="281A748F"/>
    <w:rsid w:val="282B1EC6"/>
    <w:rsid w:val="282F1840"/>
    <w:rsid w:val="283E6198"/>
    <w:rsid w:val="286B6FAB"/>
    <w:rsid w:val="28765CFB"/>
    <w:rsid w:val="28817023"/>
    <w:rsid w:val="28A56A47"/>
    <w:rsid w:val="28A85DF1"/>
    <w:rsid w:val="28B34564"/>
    <w:rsid w:val="28ED3586"/>
    <w:rsid w:val="29216C5F"/>
    <w:rsid w:val="294409BC"/>
    <w:rsid w:val="29690D96"/>
    <w:rsid w:val="29840C22"/>
    <w:rsid w:val="298B2A87"/>
    <w:rsid w:val="29911DBB"/>
    <w:rsid w:val="29935671"/>
    <w:rsid w:val="29AC67B2"/>
    <w:rsid w:val="29AF4563"/>
    <w:rsid w:val="29B46D85"/>
    <w:rsid w:val="29FF6315"/>
    <w:rsid w:val="2A2123F9"/>
    <w:rsid w:val="2A4A0382"/>
    <w:rsid w:val="2A604683"/>
    <w:rsid w:val="2A641987"/>
    <w:rsid w:val="2AA02867"/>
    <w:rsid w:val="2AB357E7"/>
    <w:rsid w:val="2AC27D31"/>
    <w:rsid w:val="2ACD0A6A"/>
    <w:rsid w:val="2AD22B66"/>
    <w:rsid w:val="2AF26A19"/>
    <w:rsid w:val="2AF76423"/>
    <w:rsid w:val="2B0E09A2"/>
    <w:rsid w:val="2B333189"/>
    <w:rsid w:val="2B395A62"/>
    <w:rsid w:val="2B3A4AA5"/>
    <w:rsid w:val="2B467033"/>
    <w:rsid w:val="2B521C82"/>
    <w:rsid w:val="2B63494F"/>
    <w:rsid w:val="2B9E6A50"/>
    <w:rsid w:val="2BAA024D"/>
    <w:rsid w:val="2BAC55B5"/>
    <w:rsid w:val="2BAD6E83"/>
    <w:rsid w:val="2BB23B01"/>
    <w:rsid w:val="2BC22732"/>
    <w:rsid w:val="2BDD7F5F"/>
    <w:rsid w:val="2BE43FF8"/>
    <w:rsid w:val="2BF7105C"/>
    <w:rsid w:val="2C5754A8"/>
    <w:rsid w:val="2C783CDC"/>
    <w:rsid w:val="2C831E0A"/>
    <w:rsid w:val="2CAC46BC"/>
    <w:rsid w:val="2CB42BE2"/>
    <w:rsid w:val="2CC94CCF"/>
    <w:rsid w:val="2CC9536F"/>
    <w:rsid w:val="2CCD23D1"/>
    <w:rsid w:val="2CE00083"/>
    <w:rsid w:val="2CE32F1B"/>
    <w:rsid w:val="2CF617E0"/>
    <w:rsid w:val="2CFC651F"/>
    <w:rsid w:val="2D167580"/>
    <w:rsid w:val="2D382A50"/>
    <w:rsid w:val="2D521469"/>
    <w:rsid w:val="2D5B1A46"/>
    <w:rsid w:val="2D6A3083"/>
    <w:rsid w:val="2D6C1A1A"/>
    <w:rsid w:val="2D74692B"/>
    <w:rsid w:val="2D926FDB"/>
    <w:rsid w:val="2DBB723B"/>
    <w:rsid w:val="2DBE42E8"/>
    <w:rsid w:val="2DC37DF1"/>
    <w:rsid w:val="2DDD4AFC"/>
    <w:rsid w:val="2DEF7827"/>
    <w:rsid w:val="2E0D173F"/>
    <w:rsid w:val="2E183B3B"/>
    <w:rsid w:val="2E756ED5"/>
    <w:rsid w:val="2E825B76"/>
    <w:rsid w:val="2E8D2E9E"/>
    <w:rsid w:val="2E93697C"/>
    <w:rsid w:val="2EA20D1E"/>
    <w:rsid w:val="2EA5217A"/>
    <w:rsid w:val="2EAF195F"/>
    <w:rsid w:val="2EC116C4"/>
    <w:rsid w:val="2EDD0D84"/>
    <w:rsid w:val="2EE57D02"/>
    <w:rsid w:val="2EED45EC"/>
    <w:rsid w:val="2F0B25ED"/>
    <w:rsid w:val="2F2303C4"/>
    <w:rsid w:val="2F4A1FBC"/>
    <w:rsid w:val="2F4C1DD0"/>
    <w:rsid w:val="2F85760E"/>
    <w:rsid w:val="2F87406A"/>
    <w:rsid w:val="2F90771D"/>
    <w:rsid w:val="2F97555A"/>
    <w:rsid w:val="2F984ABB"/>
    <w:rsid w:val="2FA662B0"/>
    <w:rsid w:val="2FAB667E"/>
    <w:rsid w:val="2FCA0AAD"/>
    <w:rsid w:val="2FD664A1"/>
    <w:rsid w:val="2FE32412"/>
    <w:rsid w:val="2FE734F8"/>
    <w:rsid w:val="300D568E"/>
    <w:rsid w:val="30104CBD"/>
    <w:rsid w:val="301E2A15"/>
    <w:rsid w:val="30224D9D"/>
    <w:rsid w:val="302A75B3"/>
    <w:rsid w:val="30323073"/>
    <w:rsid w:val="30346EAA"/>
    <w:rsid w:val="30541F26"/>
    <w:rsid w:val="30561692"/>
    <w:rsid w:val="30642C10"/>
    <w:rsid w:val="3093449F"/>
    <w:rsid w:val="30AA13BF"/>
    <w:rsid w:val="30B65918"/>
    <w:rsid w:val="30D53C1C"/>
    <w:rsid w:val="30EF0A8C"/>
    <w:rsid w:val="310C4A4C"/>
    <w:rsid w:val="31161B4F"/>
    <w:rsid w:val="31195802"/>
    <w:rsid w:val="31361745"/>
    <w:rsid w:val="31502380"/>
    <w:rsid w:val="31643061"/>
    <w:rsid w:val="316E648F"/>
    <w:rsid w:val="31926D16"/>
    <w:rsid w:val="31934866"/>
    <w:rsid w:val="31A1306B"/>
    <w:rsid w:val="31AF02A0"/>
    <w:rsid w:val="31C23E77"/>
    <w:rsid w:val="31D1014A"/>
    <w:rsid w:val="31DE7FBD"/>
    <w:rsid w:val="320C19BC"/>
    <w:rsid w:val="324E226E"/>
    <w:rsid w:val="32A230EF"/>
    <w:rsid w:val="32B15F25"/>
    <w:rsid w:val="32B871AC"/>
    <w:rsid w:val="32D4454C"/>
    <w:rsid w:val="32F341BB"/>
    <w:rsid w:val="32FF588D"/>
    <w:rsid w:val="3341058C"/>
    <w:rsid w:val="33434A04"/>
    <w:rsid w:val="335C0F0C"/>
    <w:rsid w:val="336545F3"/>
    <w:rsid w:val="336A6D2A"/>
    <w:rsid w:val="33783A5F"/>
    <w:rsid w:val="33843069"/>
    <w:rsid w:val="3391004C"/>
    <w:rsid w:val="339E4194"/>
    <w:rsid w:val="33DC601A"/>
    <w:rsid w:val="34082B42"/>
    <w:rsid w:val="34187567"/>
    <w:rsid w:val="3437534A"/>
    <w:rsid w:val="343B185A"/>
    <w:rsid w:val="34433D9B"/>
    <w:rsid w:val="344A3B15"/>
    <w:rsid w:val="344A5CAF"/>
    <w:rsid w:val="34627E84"/>
    <w:rsid w:val="346678FC"/>
    <w:rsid w:val="3474527A"/>
    <w:rsid w:val="34761B3D"/>
    <w:rsid w:val="3498592F"/>
    <w:rsid w:val="34CE5A84"/>
    <w:rsid w:val="34E40917"/>
    <w:rsid w:val="34ED2EF3"/>
    <w:rsid w:val="34FB6280"/>
    <w:rsid w:val="3565162C"/>
    <w:rsid w:val="356D3F5E"/>
    <w:rsid w:val="35870680"/>
    <w:rsid w:val="35884C5D"/>
    <w:rsid w:val="35943800"/>
    <w:rsid w:val="359E1D7B"/>
    <w:rsid w:val="35B0659A"/>
    <w:rsid w:val="35BE55CE"/>
    <w:rsid w:val="360E3D96"/>
    <w:rsid w:val="36111515"/>
    <w:rsid w:val="36362A7C"/>
    <w:rsid w:val="36504388"/>
    <w:rsid w:val="367204CD"/>
    <w:rsid w:val="36860188"/>
    <w:rsid w:val="36873437"/>
    <w:rsid w:val="369F5F8F"/>
    <w:rsid w:val="36D72354"/>
    <w:rsid w:val="36D954F0"/>
    <w:rsid w:val="370666E5"/>
    <w:rsid w:val="372F4C19"/>
    <w:rsid w:val="376B6B46"/>
    <w:rsid w:val="3782361C"/>
    <w:rsid w:val="3795011C"/>
    <w:rsid w:val="37BB36C6"/>
    <w:rsid w:val="37ED13AF"/>
    <w:rsid w:val="37F53C21"/>
    <w:rsid w:val="380D0203"/>
    <w:rsid w:val="38243ABD"/>
    <w:rsid w:val="383A131B"/>
    <w:rsid w:val="385C09E6"/>
    <w:rsid w:val="385F1A9D"/>
    <w:rsid w:val="387E408E"/>
    <w:rsid w:val="389712F2"/>
    <w:rsid w:val="38A17658"/>
    <w:rsid w:val="38B76633"/>
    <w:rsid w:val="38BA0B05"/>
    <w:rsid w:val="38BC5397"/>
    <w:rsid w:val="38BC5D6B"/>
    <w:rsid w:val="38C377DA"/>
    <w:rsid w:val="3903758B"/>
    <w:rsid w:val="390F2E15"/>
    <w:rsid w:val="3935437F"/>
    <w:rsid w:val="3963636D"/>
    <w:rsid w:val="3971469F"/>
    <w:rsid w:val="39736414"/>
    <w:rsid w:val="397841F4"/>
    <w:rsid w:val="397D2382"/>
    <w:rsid w:val="398630C2"/>
    <w:rsid w:val="39A03524"/>
    <w:rsid w:val="39A15199"/>
    <w:rsid w:val="39CF0B7D"/>
    <w:rsid w:val="39E60D3D"/>
    <w:rsid w:val="39E901AB"/>
    <w:rsid w:val="39E91C6F"/>
    <w:rsid w:val="39FF203B"/>
    <w:rsid w:val="3A365E76"/>
    <w:rsid w:val="3A4A3FFD"/>
    <w:rsid w:val="3A621F66"/>
    <w:rsid w:val="3A657C2B"/>
    <w:rsid w:val="3A8D3267"/>
    <w:rsid w:val="3AA97504"/>
    <w:rsid w:val="3AD30754"/>
    <w:rsid w:val="3AD67AF1"/>
    <w:rsid w:val="3AF36F06"/>
    <w:rsid w:val="3AFD68A7"/>
    <w:rsid w:val="3B045404"/>
    <w:rsid w:val="3B1D2901"/>
    <w:rsid w:val="3B3C33AD"/>
    <w:rsid w:val="3B4F12B2"/>
    <w:rsid w:val="3B565AE5"/>
    <w:rsid w:val="3B606BFF"/>
    <w:rsid w:val="3B662376"/>
    <w:rsid w:val="3B6952BA"/>
    <w:rsid w:val="3B730A2C"/>
    <w:rsid w:val="3B8D15A9"/>
    <w:rsid w:val="3BAC3AEF"/>
    <w:rsid w:val="3BAD5592"/>
    <w:rsid w:val="3BC760D0"/>
    <w:rsid w:val="3BFD75A8"/>
    <w:rsid w:val="3C06240F"/>
    <w:rsid w:val="3C0A04BB"/>
    <w:rsid w:val="3C560DD2"/>
    <w:rsid w:val="3C5F3058"/>
    <w:rsid w:val="3C7057AE"/>
    <w:rsid w:val="3C774BD7"/>
    <w:rsid w:val="3C913DE4"/>
    <w:rsid w:val="3CA8627B"/>
    <w:rsid w:val="3CA97F92"/>
    <w:rsid w:val="3CD46105"/>
    <w:rsid w:val="3CF23AC0"/>
    <w:rsid w:val="3D0126CA"/>
    <w:rsid w:val="3D093678"/>
    <w:rsid w:val="3D18434A"/>
    <w:rsid w:val="3D311DC7"/>
    <w:rsid w:val="3D3712B0"/>
    <w:rsid w:val="3D48086F"/>
    <w:rsid w:val="3D4B442E"/>
    <w:rsid w:val="3D7D48B2"/>
    <w:rsid w:val="3DAA4390"/>
    <w:rsid w:val="3DB724DE"/>
    <w:rsid w:val="3DC63AB0"/>
    <w:rsid w:val="3DC70F93"/>
    <w:rsid w:val="3DDF67F8"/>
    <w:rsid w:val="3E1C78E7"/>
    <w:rsid w:val="3E2E431B"/>
    <w:rsid w:val="3E4522CA"/>
    <w:rsid w:val="3E4E23C4"/>
    <w:rsid w:val="3E74486F"/>
    <w:rsid w:val="3E752336"/>
    <w:rsid w:val="3E7F2494"/>
    <w:rsid w:val="3E8E6CA9"/>
    <w:rsid w:val="3EA96912"/>
    <w:rsid w:val="3EC12894"/>
    <w:rsid w:val="3EC7628C"/>
    <w:rsid w:val="3EDC2981"/>
    <w:rsid w:val="3EF0432B"/>
    <w:rsid w:val="3F02112C"/>
    <w:rsid w:val="3F0C2C0C"/>
    <w:rsid w:val="3F1B1231"/>
    <w:rsid w:val="3F41445E"/>
    <w:rsid w:val="3F43477F"/>
    <w:rsid w:val="3F4F1C39"/>
    <w:rsid w:val="3F5A50A4"/>
    <w:rsid w:val="3F6A25FF"/>
    <w:rsid w:val="3F6B14B3"/>
    <w:rsid w:val="3F6F4131"/>
    <w:rsid w:val="3FA46EF8"/>
    <w:rsid w:val="3FB05A8C"/>
    <w:rsid w:val="3FD52BD0"/>
    <w:rsid w:val="3FDA0AC6"/>
    <w:rsid w:val="401D79CF"/>
    <w:rsid w:val="40206E6E"/>
    <w:rsid w:val="40214852"/>
    <w:rsid w:val="404366F0"/>
    <w:rsid w:val="40596BBF"/>
    <w:rsid w:val="40890E81"/>
    <w:rsid w:val="40977A9B"/>
    <w:rsid w:val="40A86F45"/>
    <w:rsid w:val="40D82D33"/>
    <w:rsid w:val="40F76F36"/>
    <w:rsid w:val="41181D29"/>
    <w:rsid w:val="41303C39"/>
    <w:rsid w:val="414B2E3E"/>
    <w:rsid w:val="414F74CB"/>
    <w:rsid w:val="41513DF7"/>
    <w:rsid w:val="415B6654"/>
    <w:rsid w:val="41610CC9"/>
    <w:rsid w:val="417C2EE6"/>
    <w:rsid w:val="41A0365E"/>
    <w:rsid w:val="41C5774B"/>
    <w:rsid w:val="41C92B51"/>
    <w:rsid w:val="41D301C3"/>
    <w:rsid w:val="41D623AF"/>
    <w:rsid w:val="41E618AB"/>
    <w:rsid w:val="41EA6B66"/>
    <w:rsid w:val="421439EB"/>
    <w:rsid w:val="422F49B3"/>
    <w:rsid w:val="42433017"/>
    <w:rsid w:val="42494A28"/>
    <w:rsid w:val="425B50E1"/>
    <w:rsid w:val="425B7C9B"/>
    <w:rsid w:val="42802614"/>
    <w:rsid w:val="42B01704"/>
    <w:rsid w:val="42CC4106"/>
    <w:rsid w:val="42E068CB"/>
    <w:rsid w:val="433858A5"/>
    <w:rsid w:val="433E126A"/>
    <w:rsid w:val="43406343"/>
    <w:rsid w:val="43423125"/>
    <w:rsid w:val="43506DE5"/>
    <w:rsid w:val="43920E07"/>
    <w:rsid w:val="43951B04"/>
    <w:rsid w:val="43AA1A2A"/>
    <w:rsid w:val="43C31C84"/>
    <w:rsid w:val="43C72C0A"/>
    <w:rsid w:val="43CB30F4"/>
    <w:rsid w:val="43DE0B83"/>
    <w:rsid w:val="44185BB6"/>
    <w:rsid w:val="441952D0"/>
    <w:rsid w:val="44200C7E"/>
    <w:rsid w:val="4422721F"/>
    <w:rsid w:val="4441382D"/>
    <w:rsid w:val="44441E1C"/>
    <w:rsid w:val="44473B3D"/>
    <w:rsid w:val="4465559E"/>
    <w:rsid w:val="44740DDB"/>
    <w:rsid w:val="447B5189"/>
    <w:rsid w:val="44984355"/>
    <w:rsid w:val="44A8226D"/>
    <w:rsid w:val="44CC2C4F"/>
    <w:rsid w:val="44F913D3"/>
    <w:rsid w:val="4524498B"/>
    <w:rsid w:val="45254F87"/>
    <w:rsid w:val="452F7EEA"/>
    <w:rsid w:val="4576238A"/>
    <w:rsid w:val="45AA7E73"/>
    <w:rsid w:val="45BF355C"/>
    <w:rsid w:val="45C23580"/>
    <w:rsid w:val="45DC6777"/>
    <w:rsid w:val="45DE1EC3"/>
    <w:rsid w:val="45EA7483"/>
    <w:rsid w:val="45EF2CD6"/>
    <w:rsid w:val="45F2794A"/>
    <w:rsid w:val="45FB5A7C"/>
    <w:rsid w:val="45FD3E50"/>
    <w:rsid w:val="45FE2A7D"/>
    <w:rsid w:val="4601483F"/>
    <w:rsid w:val="46301D5D"/>
    <w:rsid w:val="464E3334"/>
    <w:rsid w:val="46572CEA"/>
    <w:rsid w:val="466E33E3"/>
    <w:rsid w:val="46760020"/>
    <w:rsid w:val="467E34C4"/>
    <w:rsid w:val="46A7659A"/>
    <w:rsid w:val="46C853F2"/>
    <w:rsid w:val="46DD1D2C"/>
    <w:rsid w:val="46E9783E"/>
    <w:rsid w:val="46F722E3"/>
    <w:rsid w:val="4705563D"/>
    <w:rsid w:val="470A40B5"/>
    <w:rsid w:val="47124567"/>
    <w:rsid w:val="47170400"/>
    <w:rsid w:val="472B3FFD"/>
    <w:rsid w:val="47316B3D"/>
    <w:rsid w:val="4734684B"/>
    <w:rsid w:val="47522AD7"/>
    <w:rsid w:val="476A5FE9"/>
    <w:rsid w:val="4780564D"/>
    <w:rsid w:val="47952C69"/>
    <w:rsid w:val="47B0127B"/>
    <w:rsid w:val="47B9350B"/>
    <w:rsid w:val="47BA1BC8"/>
    <w:rsid w:val="47CC1367"/>
    <w:rsid w:val="47DE1152"/>
    <w:rsid w:val="47E72A1F"/>
    <w:rsid w:val="48017210"/>
    <w:rsid w:val="48236679"/>
    <w:rsid w:val="482B1F03"/>
    <w:rsid w:val="483D62E5"/>
    <w:rsid w:val="484935F2"/>
    <w:rsid w:val="488E52A0"/>
    <w:rsid w:val="489A09D2"/>
    <w:rsid w:val="48A52420"/>
    <w:rsid w:val="48CB6A41"/>
    <w:rsid w:val="48D22C29"/>
    <w:rsid w:val="48DB7360"/>
    <w:rsid w:val="48FF5525"/>
    <w:rsid w:val="49001E86"/>
    <w:rsid w:val="49085277"/>
    <w:rsid w:val="49110649"/>
    <w:rsid w:val="493D2F8A"/>
    <w:rsid w:val="4952637D"/>
    <w:rsid w:val="49563262"/>
    <w:rsid w:val="495C4C37"/>
    <w:rsid w:val="49734683"/>
    <w:rsid w:val="497B4E0F"/>
    <w:rsid w:val="49AF138D"/>
    <w:rsid w:val="49B94DB5"/>
    <w:rsid w:val="49F64E88"/>
    <w:rsid w:val="4A234FEC"/>
    <w:rsid w:val="4AB30EDE"/>
    <w:rsid w:val="4ABB7979"/>
    <w:rsid w:val="4AD2212C"/>
    <w:rsid w:val="4AE374EF"/>
    <w:rsid w:val="4AF04697"/>
    <w:rsid w:val="4B2F3BE7"/>
    <w:rsid w:val="4B341F77"/>
    <w:rsid w:val="4B3C528F"/>
    <w:rsid w:val="4B7D207A"/>
    <w:rsid w:val="4B875EB6"/>
    <w:rsid w:val="4BAD1EF1"/>
    <w:rsid w:val="4BAF7C51"/>
    <w:rsid w:val="4BB2318A"/>
    <w:rsid w:val="4BBA6469"/>
    <w:rsid w:val="4BCD5586"/>
    <w:rsid w:val="4BD73847"/>
    <w:rsid w:val="4BD84E86"/>
    <w:rsid w:val="4BEF4740"/>
    <w:rsid w:val="4C157042"/>
    <w:rsid w:val="4C182F26"/>
    <w:rsid w:val="4C1E3EFD"/>
    <w:rsid w:val="4C214F0E"/>
    <w:rsid w:val="4C3C3FBA"/>
    <w:rsid w:val="4C43598E"/>
    <w:rsid w:val="4C553EC6"/>
    <w:rsid w:val="4C6514B0"/>
    <w:rsid w:val="4C6C0D90"/>
    <w:rsid w:val="4C7003C0"/>
    <w:rsid w:val="4C737880"/>
    <w:rsid w:val="4C7D1FFD"/>
    <w:rsid w:val="4C7D2B41"/>
    <w:rsid w:val="4C7F3656"/>
    <w:rsid w:val="4CB209AF"/>
    <w:rsid w:val="4CB95B97"/>
    <w:rsid w:val="4CC637BD"/>
    <w:rsid w:val="4CCB2D14"/>
    <w:rsid w:val="4CD45629"/>
    <w:rsid w:val="4CE1500D"/>
    <w:rsid w:val="4CF5763E"/>
    <w:rsid w:val="4D216840"/>
    <w:rsid w:val="4D3F7CBF"/>
    <w:rsid w:val="4D5574B5"/>
    <w:rsid w:val="4D58649D"/>
    <w:rsid w:val="4D62389D"/>
    <w:rsid w:val="4D6B6018"/>
    <w:rsid w:val="4D875A80"/>
    <w:rsid w:val="4D997B27"/>
    <w:rsid w:val="4DAA6920"/>
    <w:rsid w:val="4DC46301"/>
    <w:rsid w:val="4DDB0254"/>
    <w:rsid w:val="4DDF4EB1"/>
    <w:rsid w:val="4DE60A4C"/>
    <w:rsid w:val="4DF60896"/>
    <w:rsid w:val="4DFE3CC8"/>
    <w:rsid w:val="4E022606"/>
    <w:rsid w:val="4E201F72"/>
    <w:rsid w:val="4E4E418E"/>
    <w:rsid w:val="4E774C88"/>
    <w:rsid w:val="4E87316E"/>
    <w:rsid w:val="4E9546E4"/>
    <w:rsid w:val="4EB9175E"/>
    <w:rsid w:val="4EF20653"/>
    <w:rsid w:val="4F0A7123"/>
    <w:rsid w:val="4F1C1A77"/>
    <w:rsid w:val="4F2A3762"/>
    <w:rsid w:val="4F2E0DB1"/>
    <w:rsid w:val="4F356EFF"/>
    <w:rsid w:val="4F60510A"/>
    <w:rsid w:val="4F6B1530"/>
    <w:rsid w:val="4F7A5394"/>
    <w:rsid w:val="4F990B00"/>
    <w:rsid w:val="4F9A2DBB"/>
    <w:rsid w:val="4FB018A6"/>
    <w:rsid w:val="4FC43ED6"/>
    <w:rsid w:val="4FD41C1D"/>
    <w:rsid w:val="4FD54DAA"/>
    <w:rsid w:val="4FED2322"/>
    <w:rsid w:val="4FFD53C6"/>
    <w:rsid w:val="501A3D27"/>
    <w:rsid w:val="50265E12"/>
    <w:rsid w:val="50355DE5"/>
    <w:rsid w:val="503A48A0"/>
    <w:rsid w:val="503D1B16"/>
    <w:rsid w:val="503E193F"/>
    <w:rsid w:val="504467DB"/>
    <w:rsid w:val="505E4959"/>
    <w:rsid w:val="5074268E"/>
    <w:rsid w:val="50876B84"/>
    <w:rsid w:val="508E47DC"/>
    <w:rsid w:val="509C363D"/>
    <w:rsid w:val="50A940E7"/>
    <w:rsid w:val="50AA17E4"/>
    <w:rsid w:val="50AE3F83"/>
    <w:rsid w:val="50BD18EF"/>
    <w:rsid w:val="50CF7A4B"/>
    <w:rsid w:val="50FC1A18"/>
    <w:rsid w:val="51022777"/>
    <w:rsid w:val="51077E16"/>
    <w:rsid w:val="511C39D2"/>
    <w:rsid w:val="51254DDE"/>
    <w:rsid w:val="5135331A"/>
    <w:rsid w:val="5137564E"/>
    <w:rsid w:val="514A237E"/>
    <w:rsid w:val="515C0CB9"/>
    <w:rsid w:val="51610EDB"/>
    <w:rsid w:val="5168443D"/>
    <w:rsid w:val="516C1A4D"/>
    <w:rsid w:val="51821556"/>
    <w:rsid w:val="51A846EE"/>
    <w:rsid w:val="51AB6731"/>
    <w:rsid w:val="51B46774"/>
    <w:rsid w:val="51BF3983"/>
    <w:rsid w:val="51F10280"/>
    <w:rsid w:val="520923F4"/>
    <w:rsid w:val="5211020B"/>
    <w:rsid w:val="521C7493"/>
    <w:rsid w:val="522971A1"/>
    <w:rsid w:val="52367A86"/>
    <w:rsid w:val="52424C81"/>
    <w:rsid w:val="524467AD"/>
    <w:rsid w:val="527D24BA"/>
    <w:rsid w:val="52873776"/>
    <w:rsid w:val="529E7DC9"/>
    <w:rsid w:val="52A1157D"/>
    <w:rsid w:val="52AD1C3B"/>
    <w:rsid w:val="52C276E1"/>
    <w:rsid w:val="52D007CE"/>
    <w:rsid w:val="52E87B38"/>
    <w:rsid w:val="52F30525"/>
    <w:rsid w:val="52F83F52"/>
    <w:rsid w:val="53046705"/>
    <w:rsid w:val="532452B2"/>
    <w:rsid w:val="533D3764"/>
    <w:rsid w:val="53413E36"/>
    <w:rsid w:val="534461E7"/>
    <w:rsid w:val="5350294B"/>
    <w:rsid w:val="535B4CF0"/>
    <w:rsid w:val="536317EF"/>
    <w:rsid w:val="53773EDD"/>
    <w:rsid w:val="53907125"/>
    <w:rsid w:val="53A6039D"/>
    <w:rsid w:val="53B805F8"/>
    <w:rsid w:val="53BC632B"/>
    <w:rsid w:val="53D01CCC"/>
    <w:rsid w:val="53DA3C95"/>
    <w:rsid w:val="53DD39B2"/>
    <w:rsid w:val="53DE413A"/>
    <w:rsid w:val="53EA2399"/>
    <w:rsid w:val="5400093A"/>
    <w:rsid w:val="54210A02"/>
    <w:rsid w:val="54320C48"/>
    <w:rsid w:val="543E150A"/>
    <w:rsid w:val="54563CF7"/>
    <w:rsid w:val="54590B7E"/>
    <w:rsid w:val="547159D4"/>
    <w:rsid w:val="54B13217"/>
    <w:rsid w:val="54B72D9E"/>
    <w:rsid w:val="54F62233"/>
    <w:rsid w:val="551F414B"/>
    <w:rsid w:val="55411377"/>
    <w:rsid w:val="554169B9"/>
    <w:rsid w:val="5569348D"/>
    <w:rsid w:val="55891C60"/>
    <w:rsid w:val="55992746"/>
    <w:rsid w:val="559E3812"/>
    <w:rsid w:val="55A4243F"/>
    <w:rsid w:val="55B00ABD"/>
    <w:rsid w:val="55EF58A5"/>
    <w:rsid w:val="55EF6E62"/>
    <w:rsid w:val="55F70845"/>
    <w:rsid w:val="55FB2450"/>
    <w:rsid w:val="56521518"/>
    <w:rsid w:val="566C6AAD"/>
    <w:rsid w:val="56880550"/>
    <w:rsid w:val="569549B7"/>
    <w:rsid w:val="569B59A6"/>
    <w:rsid w:val="56F00AC2"/>
    <w:rsid w:val="56F31CFD"/>
    <w:rsid w:val="56F65263"/>
    <w:rsid w:val="56F705B5"/>
    <w:rsid w:val="56F87229"/>
    <w:rsid w:val="57032983"/>
    <w:rsid w:val="57132F95"/>
    <w:rsid w:val="5719604A"/>
    <w:rsid w:val="572D56F6"/>
    <w:rsid w:val="573736FA"/>
    <w:rsid w:val="575B54C2"/>
    <w:rsid w:val="5764383E"/>
    <w:rsid w:val="57690382"/>
    <w:rsid w:val="576A1ED8"/>
    <w:rsid w:val="57737278"/>
    <w:rsid w:val="57806D53"/>
    <w:rsid w:val="57817915"/>
    <w:rsid w:val="57BF21FE"/>
    <w:rsid w:val="5827740E"/>
    <w:rsid w:val="58340256"/>
    <w:rsid w:val="58430210"/>
    <w:rsid w:val="584B6565"/>
    <w:rsid w:val="5863214C"/>
    <w:rsid w:val="58717162"/>
    <w:rsid w:val="58781DC6"/>
    <w:rsid w:val="58853F70"/>
    <w:rsid w:val="589011C0"/>
    <w:rsid w:val="58914CFB"/>
    <w:rsid w:val="589A70FA"/>
    <w:rsid w:val="58A24B8B"/>
    <w:rsid w:val="58A725D8"/>
    <w:rsid w:val="58B8618D"/>
    <w:rsid w:val="58C45F58"/>
    <w:rsid w:val="591279D6"/>
    <w:rsid w:val="592F1B5C"/>
    <w:rsid w:val="59811176"/>
    <w:rsid w:val="5998713C"/>
    <w:rsid w:val="5A145FB7"/>
    <w:rsid w:val="5A3571BF"/>
    <w:rsid w:val="5A400973"/>
    <w:rsid w:val="5A44572C"/>
    <w:rsid w:val="5A85791B"/>
    <w:rsid w:val="5A8A6ADB"/>
    <w:rsid w:val="5A971DBF"/>
    <w:rsid w:val="5AA549B2"/>
    <w:rsid w:val="5AB86784"/>
    <w:rsid w:val="5ACA34DF"/>
    <w:rsid w:val="5AE6019C"/>
    <w:rsid w:val="5AF742D8"/>
    <w:rsid w:val="5B002D6C"/>
    <w:rsid w:val="5B1803F2"/>
    <w:rsid w:val="5B201EB1"/>
    <w:rsid w:val="5B432E41"/>
    <w:rsid w:val="5B47319C"/>
    <w:rsid w:val="5B4D5E03"/>
    <w:rsid w:val="5B5104F9"/>
    <w:rsid w:val="5B6A7A00"/>
    <w:rsid w:val="5B6F2C19"/>
    <w:rsid w:val="5BAC4E3A"/>
    <w:rsid w:val="5BC20461"/>
    <w:rsid w:val="5BC71CBC"/>
    <w:rsid w:val="5BED6039"/>
    <w:rsid w:val="5BF32F12"/>
    <w:rsid w:val="5BFC15BD"/>
    <w:rsid w:val="5C014771"/>
    <w:rsid w:val="5C040F8A"/>
    <w:rsid w:val="5C06547D"/>
    <w:rsid w:val="5C0A2FD8"/>
    <w:rsid w:val="5C0C484C"/>
    <w:rsid w:val="5C123043"/>
    <w:rsid w:val="5C1D42A1"/>
    <w:rsid w:val="5C230E90"/>
    <w:rsid w:val="5C362AF4"/>
    <w:rsid w:val="5C3E4720"/>
    <w:rsid w:val="5C472BC4"/>
    <w:rsid w:val="5C526BB4"/>
    <w:rsid w:val="5C577494"/>
    <w:rsid w:val="5C715941"/>
    <w:rsid w:val="5C7523B0"/>
    <w:rsid w:val="5C796E62"/>
    <w:rsid w:val="5C802FB3"/>
    <w:rsid w:val="5C8F4BCF"/>
    <w:rsid w:val="5CA675F4"/>
    <w:rsid w:val="5CC34110"/>
    <w:rsid w:val="5CC87CE2"/>
    <w:rsid w:val="5D236172"/>
    <w:rsid w:val="5D323CBC"/>
    <w:rsid w:val="5D3751CD"/>
    <w:rsid w:val="5D3D160C"/>
    <w:rsid w:val="5D4609D3"/>
    <w:rsid w:val="5D635FCC"/>
    <w:rsid w:val="5D81368A"/>
    <w:rsid w:val="5D9E2345"/>
    <w:rsid w:val="5DB22A59"/>
    <w:rsid w:val="5DD07349"/>
    <w:rsid w:val="5DFE1B73"/>
    <w:rsid w:val="5E046391"/>
    <w:rsid w:val="5E074110"/>
    <w:rsid w:val="5E191D1E"/>
    <w:rsid w:val="5E2869D2"/>
    <w:rsid w:val="5E401FD5"/>
    <w:rsid w:val="5E5474D9"/>
    <w:rsid w:val="5E56287D"/>
    <w:rsid w:val="5E58634F"/>
    <w:rsid w:val="5E9A2800"/>
    <w:rsid w:val="5EA51661"/>
    <w:rsid w:val="5EC52109"/>
    <w:rsid w:val="5ED167E0"/>
    <w:rsid w:val="5EDC6635"/>
    <w:rsid w:val="5EDF242A"/>
    <w:rsid w:val="5EEC4CC9"/>
    <w:rsid w:val="5F387DD8"/>
    <w:rsid w:val="5F50041F"/>
    <w:rsid w:val="5F5843B0"/>
    <w:rsid w:val="5F610F9A"/>
    <w:rsid w:val="5F674CD0"/>
    <w:rsid w:val="5F6800CC"/>
    <w:rsid w:val="5F766605"/>
    <w:rsid w:val="5F7B6EC0"/>
    <w:rsid w:val="5F827A0C"/>
    <w:rsid w:val="5F9B1418"/>
    <w:rsid w:val="5FAE7B2D"/>
    <w:rsid w:val="5FD50E06"/>
    <w:rsid w:val="600D41B4"/>
    <w:rsid w:val="600F713A"/>
    <w:rsid w:val="602B5CAC"/>
    <w:rsid w:val="60412AB3"/>
    <w:rsid w:val="60442474"/>
    <w:rsid w:val="605613A7"/>
    <w:rsid w:val="6089592F"/>
    <w:rsid w:val="60A07B49"/>
    <w:rsid w:val="60B4760E"/>
    <w:rsid w:val="60D31A6F"/>
    <w:rsid w:val="60E4245B"/>
    <w:rsid w:val="60F45521"/>
    <w:rsid w:val="611266E2"/>
    <w:rsid w:val="612C0C00"/>
    <w:rsid w:val="61541900"/>
    <w:rsid w:val="61610817"/>
    <w:rsid w:val="61704BEA"/>
    <w:rsid w:val="618A0472"/>
    <w:rsid w:val="618C6950"/>
    <w:rsid w:val="61905F8C"/>
    <w:rsid w:val="61B42655"/>
    <w:rsid w:val="61B64AE6"/>
    <w:rsid w:val="61DF648C"/>
    <w:rsid w:val="61EB04E9"/>
    <w:rsid w:val="620F7978"/>
    <w:rsid w:val="622F4266"/>
    <w:rsid w:val="62340A15"/>
    <w:rsid w:val="62462A72"/>
    <w:rsid w:val="62545E33"/>
    <w:rsid w:val="627A499B"/>
    <w:rsid w:val="62835C1F"/>
    <w:rsid w:val="628E0150"/>
    <w:rsid w:val="628F5929"/>
    <w:rsid w:val="62ED7494"/>
    <w:rsid w:val="62F225B3"/>
    <w:rsid w:val="63030F14"/>
    <w:rsid w:val="63102BC9"/>
    <w:rsid w:val="63176B72"/>
    <w:rsid w:val="632068F5"/>
    <w:rsid w:val="634C41C4"/>
    <w:rsid w:val="636173F7"/>
    <w:rsid w:val="636C1F8E"/>
    <w:rsid w:val="63710B89"/>
    <w:rsid w:val="639076DF"/>
    <w:rsid w:val="63A06A41"/>
    <w:rsid w:val="63C416EC"/>
    <w:rsid w:val="640377CE"/>
    <w:rsid w:val="640C3504"/>
    <w:rsid w:val="6413475D"/>
    <w:rsid w:val="64402990"/>
    <w:rsid w:val="645B5B40"/>
    <w:rsid w:val="64671E02"/>
    <w:rsid w:val="64771084"/>
    <w:rsid w:val="647B4F20"/>
    <w:rsid w:val="64A036C7"/>
    <w:rsid w:val="64B43D65"/>
    <w:rsid w:val="64B52719"/>
    <w:rsid w:val="64B87558"/>
    <w:rsid w:val="64D96B53"/>
    <w:rsid w:val="64DB7D2E"/>
    <w:rsid w:val="64E75BE6"/>
    <w:rsid w:val="64EC5F80"/>
    <w:rsid w:val="64F6132C"/>
    <w:rsid w:val="64F87AB2"/>
    <w:rsid w:val="654235AD"/>
    <w:rsid w:val="65454B08"/>
    <w:rsid w:val="654F5B7F"/>
    <w:rsid w:val="656B6764"/>
    <w:rsid w:val="6586222B"/>
    <w:rsid w:val="658A290A"/>
    <w:rsid w:val="65954339"/>
    <w:rsid w:val="65A12770"/>
    <w:rsid w:val="65F554EA"/>
    <w:rsid w:val="6612488F"/>
    <w:rsid w:val="661462F7"/>
    <w:rsid w:val="66231B10"/>
    <w:rsid w:val="66543314"/>
    <w:rsid w:val="667128E4"/>
    <w:rsid w:val="667C1F05"/>
    <w:rsid w:val="66A85798"/>
    <w:rsid w:val="66B329EA"/>
    <w:rsid w:val="66E30E48"/>
    <w:rsid w:val="66FD7A4F"/>
    <w:rsid w:val="67010AE3"/>
    <w:rsid w:val="67117AE4"/>
    <w:rsid w:val="672112E1"/>
    <w:rsid w:val="672A2D67"/>
    <w:rsid w:val="673C20FB"/>
    <w:rsid w:val="67420EC9"/>
    <w:rsid w:val="67685576"/>
    <w:rsid w:val="67686F27"/>
    <w:rsid w:val="67740C3E"/>
    <w:rsid w:val="67754B8E"/>
    <w:rsid w:val="67840E3F"/>
    <w:rsid w:val="67A744C9"/>
    <w:rsid w:val="67AA66D7"/>
    <w:rsid w:val="67AB555E"/>
    <w:rsid w:val="67C119C7"/>
    <w:rsid w:val="67C373D8"/>
    <w:rsid w:val="68002120"/>
    <w:rsid w:val="680D1350"/>
    <w:rsid w:val="68282249"/>
    <w:rsid w:val="68282E58"/>
    <w:rsid w:val="682859FC"/>
    <w:rsid w:val="6844684A"/>
    <w:rsid w:val="684D5057"/>
    <w:rsid w:val="685343D6"/>
    <w:rsid w:val="68A42834"/>
    <w:rsid w:val="68B65387"/>
    <w:rsid w:val="68E814B4"/>
    <w:rsid w:val="68F91EAB"/>
    <w:rsid w:val="69142EFB"/>
    <w:rsid w:val="69154D60"/>
    <w:rsid w:val="69466661"/>
    <w:rsid w:val="694A6DBA"/>
    <w:rsid w:val="69791826"/>
    <w:rsid w:val="697D31CA"/>
    <w:rsid w:val="697E3C44"/>
    <w:rsid w:val="69951D6A"/>
    <w:rsid w:val="69CD7FDE"/>
    <w:rsid w:val="69D709A9"/>
    <w:rsid w:val="69DA654F"/>
    <w:rsid w:val="69EF305A"/>
    <w:rsid w:val="6A066F7A"/>
    <w:rsid w:val="6A195354"/>
    <w:rsid w:val="6A313ACF"/>
    <w:rsid w:val="6A367232"/>
    <w:rsid w:val="6A3828E1"/>
    <w:rsid w:val="6A3E49CA"/>
    <w:rsid w:val="6A5B015F"/>
    <w:rsid w:val="6A615C08"/>
    <w:rsid w:val="6AA162E3"/>
    <w:rsid w:val="6AB036A9"/>
    <w:rsid w:val="6AB7364C"/>
    <w:rsid w:val="6AC4631F"/>
    <w:rsid w:val="6AC9111D"/>
    <w:rsid w:val="6ACE2499"/>
    <w:rsid w:val="6ADD1396"/>
    <w:rsid w:val="6AE2354A"/>
    <w:rsid w:val="6AE8023A"/>
    <w:rsid w:val="6AE91398"/>
    <w:rsid w:val="6B001D33"/>
    <w:rsid w:val="6B0D2A8A"/>
    <w:rsid w:val="6B0F3217"/>
    <w:rsid w:val="6B22477C"/>
    <w:rsid w:val="6B320A31"/>
    <w:rsid w:val="6B491DA4"/>
    <w:rsid w:val="6B566601"/>
    <w:rsid w:val="6B5D28FD"/>
    <w:rsid w:val="6B5E4D2E"/>
    <w:rsid w:val="6B634467"/>
    <w:rsid w:val="6B837184"/>
    <w:rsid w:val="6BA3754E"/>
    <w:rsid w:val="6BB35CD4"/>
    <w:rsid w:val="6BC71444"/>
    <w:rsid w:val="6BDC52A9"/>
    <w:rsid w:val="6BE116D3"/>
    <w:rsid w:val="6BF058FA"/>
    <w:rsid w:val="6C1978E6"/>
    <w:rsid w:val="6C2A7865"/>
    <w:rsid w:val="6C2C31E3"/>
    <w:rsid w:val="6C2D715B"/>
    <w:rsid w:val="6C3C1E75"/>
    <w:rsid w:val="6C4D516A"/>
    <w:rsid w:val="6C5207BE"/>
    <w:rsid w:val="6C581927"/>
    <w:rsid w:val="6C6A54FD"/>
    <w:rsid w:val="6C82426E"/>
    <w:rsid w:val="6CC76B66"/>
    <w:rsid w:val="6CE229A5"/>
    <w:rsid w:val="6CE346E3"/>
    <w:rsid w:val="6CF40293"/>
    <w:rsid w:val="6CF839D9"/>
    <w:rsid w:val="6D257859"/>
    <w:rsid w:val="6D404882"/>
    <w:rsid w:val="6D4119C0"/>
    <w:rsid w:val="6D5024CC"/>
    <w:rsid w:val="6D555633"/>
    <w:rsid w:val="6D572015"/>
    <w:rsid w:val="6D8259F7"/>
    <w:rsid w:val="6DA306D8"/>
    <w:rsid w:val="6DB14B61"/>
    <w:rsid w:val="6DB166DC"/>
    <w:rsid w:val="6DB70CB4"/>
    <w:rsid w:val="6DE64FCF"/>
    <w:rsid w:val="6E094352"/>
    <w:rsid w:val="6E424BD5"/>
    <w:rsid w:val="6E68598E"/>
    <w:rsid w:val="6EBB7AF6"/>
    <w:rsid w:val="6EC36A66"/>
    <w:rsid w:val="6EEA43DA"/>
    <w:rsid w:val="6F1537EE"/>
    <w:rsid w:val="6F525376"/>
    <w:rsid w:val="6F5834D8"/>
    <w:rsid w:val="6F815117"/>
    <w:rsid w:val="6F9456A2"/>
    <w:rsid w:val="6FB37FD9"/>
    <w:rsid w:val="6FCA40F7"/>
    <w:rsid w:val="6FCF3C65"/>
    <w:rsid w:val="6FD55483"/>
    <w:rsid w:val="6FE85F62"/>
    <w:rsid w:val="6FFB71F0"/>
    <w:rsid w:val="70253E6C"/>
    <w:rsid w:val="7028758A"/>
    <w:rsid w:val="702A2DF0"/>
    <w:rsid w:val="704A1802"/>
    <w:rsid w:val="70557E0B"/>
    <w:rsid w:val="708F3F4F"/>
    <w:rsid w:val="70AA1938"/>
    <w:rsid w:val="70C413C2"/>
    <w:rsid w:val="70EC1752"/>
    <w:rsid w:val="7137018B"/>
    <w:rsid w:val="714856F9"/>
    <w:rsid w:val="71491548"/>
    <w:rsid w:val="714C6327"/>
    <w:rsid w:val="71845A2F"/>
    <w:rsid w:val="719E503F"/>
    <w:rsid w:val="71A30E24"/>
    <w:rsid w:val="71AC3D91"/>
    <w:rsid w:val="71BB1304"/>
    <w:rsid w:val="71D315A7"/>
    <w:rsid w:val="71D9326F"/>
    <w:rsid w:val="71E7403D"/>
    <w:rsid w:val="71F83376"/>
    <w:rsid w:val="71FF0740"/>
    <w:rsid w:val="71FF0BB1"/>
    <w:rsid w:val="7205522D"/>
    <w:rsid w:val="728733AE"/>
    <w:rsid w:val="728A466C"/>
    <w:rsid w:val="72A1542E"/>
    <w:rsid w:val="72D037B9"/>
    <w:rsid w:val="72D3059A"/>
    <w:rsid w:val="72D86580"/>
    <w:rsid w:val="72DD62F0"/>
    <w:rsid w:val="72E314FA"/>
    <w:rsid w:val="72EB0849"/>
    <w:rsid w:val="73005E81"/>
    <w:rsid w:val="73013FCC"/>
    <w:rsid w:val="7305661E"/>
    <w:rsid w:val="730B40D5"/>
    <w:rsid w:val="731516FB"/>
    <w:rsid w:val="732378A8"/>
    <w:rsid w:val="734E5AA8"/>
    <w:rsid w:val="73547991"/>
    <w:rsid w:val="736938A6"/>
    <w:rsid w:val="736B7CB7"/>
    <w:rsid w:val="73832C16"/>
    <w:rsid w:val="738E6C4C"/>
    <w:rsid w:val="738F4CC1"/>
    <w:rsid w:val="739007EC"/>
    <w:rsid w:val="739169F9"/>
    <w:rsid w:val="739F15D1"/>
    <w:rsid w:val="73D11781"/>
    <w:rsid w:val="73D117E8"/>
    <w:rsid w:val="73F11FA4"/>
    <w:rsid w:val="73F328B4"/>
    <w:rsid w:val="73F8703D"/>
    <w:rsid w:val="740E561C"/>
    <w:rsid w:val="74366A2C"/>
    <w:rsid w:val="74375F03"/>
    <w:rsid w:val="74413752"/>
    <w:rsid w:val="7455588A"/>
    <w:rsid w:val="745D0A44"/>
    <w:rsid w:val="748D3F84"/>
    <w:rsid w:val="748D793D"/>
    <w:rsid w:val="749E119A"/>
    <w:rsid w:val="74D33EF6"/>
    <w:rsid w:val="74D901D8"/>
    <w:rsid w:val="74E40FC2"/>
    <w:rsid w:val="750C0D23"/>
    <w:rsid w:val="750C3C60"/>
    <w:rsid w:val="75317252"/>
    <w:rsid w:val="756C1B2B"/>
    <w:rsid w:val="7572258D"/>
    <w:rsid w:val="75992D53"/>
    <w:rsid w:val="759C0093"/>
    <w:rsid w:val="75A04E43"/>
    <w:rsid w:val="75A91B6E"/>
    <w:rsid w:val="75B35979"/>
    <w:rsid w:val="75B35D11"/>
    <w:rsid w:val="75BA093F"/>
    <w:rsid w:val="75BC31F4"/>
    <w:rsid w:val="75D94171"/>
    <w:rsid w:val="75F770AF"/>
    <w:rsid w:val="75FB22F9"/>
    <w:rsid w:val="761A6A1B"/>
    <w:rsid w:val="761D211C"/>
    <w:rsid w:val="76250470"/>
    <w:rsid w:val="762E5215"/>
    <w:rsid w:val="76346F66"/>
    <w:rsid w:val="764E165C"/>
    <w:rsid w:val="764E6B88"/>
    <w:rsid w:val="7654205F"/>
    <w:rsid w:val="767A50C2"/>
    <w:rsid w:val="76895DB8"/>
    <w:rsid w:val="7698243C"/>
    <w:rsid w:val="769A7B14"/>
    <w:rsid w:val="769D4442"/>
    <w:rsid w:val="76A842C4"/>
    <w:rsid w:val="76A95F35"/>
    <w:rsid w:val="76AC07FE"/>
    <w:rsid w:val="76AF515A"/>
    <w:rsid w:val="76B6368F"/>
    <w:rsid w:val="76CB150B"/>
    <w:rsid w:val="76E806D7"/>
    <w:rsid w:val="76E85B8D"/>
    <w:rsid w:val="770C3F16"/>
    <w:rsid w:val="773751BA"/>
    <w:rsid w:val="773D64AD"/>
    <w:rsid w:val="77647B24"/>
    <w:rsid w:val="77760F59"/>
    <w:rsid w:val="777703EE"/>
    <w:rsid w:val="777D4FCB"/>
    <w:rsid w:val="7798025B"/>
    <w:rsid w:val="77AF28E8"/>
    <w:rsid w:val="77C67C27"/>
    <w:rsid w:val="77CA5641"/>
    <w:rsid w:val="77D970E1"/>
    <w:rsid w:val="77DE7281"/>
    <w:rsid w:val="77E06E55"/>
    <w:rsid w:val="77F652C1"/>
    <w:rsid w:val="780D4DDE"/>
    <w:rsid w:val="78203AD8"/>
    <w:rsid w:val="78307537"/>
    <w:rsid w:val="785139C9"/>
    <w:rsid w:val="785628A3"/>
    <w:rsid w:val="786269F1"/>
    <w:rsid w:val="786979DB"/>
    <w:rsid w:val="786E3042"/>
    <w:rsid w:val="78780CEE"/>
    <w:rsid w:val="78875582"/>
    <w:rsid w:val="788A489C"/>
    <w:rsid w:val="78936E26"/>
    <w:rsid w:val="78AB33EC"/>
    <w:rsid w:val="78C058C0"/>
    <w:rsid w:val="78C83AD2"/>
    <w:rsid w:val="78DA6ABA"/>
    <w:rsid w:val="790641FD"/>
    <w:rsid w:val="7927660D"/>
    <w:rsid w:val="792A6984"/>
    <w:rsid w:val="79430AC2"/>
    <w:rsid w:val="796310BB"/>
    <w:rsid w:val="798A5C60"/>
    <w:rsid w:val="799675C9"/>
    <w:rsid w:val="79976B54"/>
    <w:rsid w:val="79A07515"/>
    <w:rsid w:val="79B467E2"/>
    <w:rsid w:val="79C03E2E"/>
    <w:rsid w:val="7A003E33"/>
    <w:rsid w:val="7A00729F"/>
    <w:rsid w:val="7A261BB3"/>
    <w:rsid w:val="7A2E15EF"/>
    <w:rsid w:val="7A345080"/>
    <w:rsid w:val="7A392CE7"/>
    <w:rsid w:val="7A523E97"/>
    <w:rsid w:val="7A5D4A19"/>
    <w:rsid w:val="7A6944AD"/>
    <w:rsid w:val="7A6E07B0"/>
    <w:rsid w:val="7A9861CB"/>
    <w:rsid w:val="7AB4761B"/>
    <w:rsid w:val="7ACA5466"/>
    <w:rsid w:val="7AD45C10"/>
    <w:rsid w:val="7AE3328E"/>
    <w:rsid w:val="7AF53A9D"/>
    <w:rsid w:val="7B015340"/>
    <w:rsid w:val="7B025A25"/>
    <w:rsid w:val="7B0A6A9B"/>
    <w:rsid w:val="7B0D2818"/>
    <w:rsid w:val="7B186573"/>
    <w:rsid w:val="7B260F87"/>
    <w:rsid w:val="7B72199A"/>
    <w:rsid w:val="7B994E29"/>
    <w:rsid w:val="7BA838BD"/>
    <w:rsid w:val="7BD41347"/>
    <w:rsid w:val="7BD673E4"/>
    <w:rsid w:val="7BE32FBE"/>
    <w:rsid w:val="7C2B048D"/>
    <w:rsid w:val="7C996138"/>
    <w:rsid w:val="7C9B7124"/>
    <w:rsid w:val="7CB82DCD"/>
    <w:rsid w:val="7CC37A67"/>
    <w:rsid w:val="7CCB71F0"/>
    <w:rsid w:val="7CE41AA1"/>
    <w:rsid w:val="7D0E5203"/>
    <w:rsid w:val="7D174F06"/>
    <w:rsid w:val="7D1A1482"/>
    <w:rsid w:val="7D244665"/>
    <w:rsid w:val="7D393862"/>
    <w:rsid w:val="7D6D0647"/>
    <w:rsid w:val="7D7035DC"/>
    <w:rsid w:val="7D831B33"/>
    <w:rsid w:val="7DA9460F"/>
    <w:rsid w:val="7DDF08AD"/>
    <w:rsid w:val="7DE65FBE"/>
    <w:rsid w:val="7DF81DFD"/>
    <w:rsid w:val="7DFF6F70"/>
    <w:rsid w:val="7E1640FB"/>
    <w:rsid w:val="7E370647"/>
    <w:rsid w:val="7E3A6DE8"/>
    <w:rsid w:val="7E3B2283"/>
    <w:rsid w:val="7E56329C"/>
    <w:rsid w:val="7E6C5B31"/>
    <w:rsid w:val="7E6F6EBC"/>
    <w:rsid w:val="7E73271F"/>
    <w:rsid w:val="7E7B3986"/>
    <w:rsid w:val="7E826950"/>
    <w:rsid w:val="7E9064E4"/>
    <w:rsid w:val="7E9A2761"/>
    <w:rsid w:val="7E9E2C4F"/>
    <w:rsid w:val="7E9F4D2C"/>
    <w:rsid w:val="7EA30CDC"/>
    <w:rsid w:val="7EBA320B"/>
    <w:rsid w:val="7EE77D52"/>
    <w:rsid w:val="7EF82D86"/>
    <w:rsid w:val="7F2F0053"/>
    <w:rsid w:val="7F431180"/>
    <w:rsid w:val="7F511D57"/>
    <w:rsid w:val="7F545C0A"/>
    <w:rsid w:val="7F631191"/>
    <w:rsid w:val="7F6C1BA5"/>
    <w:rsid w:val="7F6C4C7C"/>
    <w:rsid w:val="7F7405C7"/>
    <w:rsid w:val="7F8A7F3B"/>
    <w:rsid w:val="7F9D3DF9"/>
    <w:rsid w:val="7FC342F2"/>
    <w:rsid w:val="7FC90C93"/>
    <w:rsid w:val="7FCE1E91"/>
    <w:rsid w:val="7FEB7E92"/>
    <w:rsid w:val="7FFA2F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99"/>
    <w:pPr>
      <w:keepNext/>
      <w:keepLines/>
      <w:spacing w:line="576" w:lineRule="auto"/>
      <w:jc w:val="center"/>
      <w:outlineLvl w:val="0"/>
    </w:pPr>
    <w:rPr>
      <w:rFonts w:ascii="Times New Roman" w:hAnsi="Times New Roman"/>
      <w:b/>
      <w:kern w:val="44"/>
      <w:sz w:val="32"/>
      <w:szCs w:val="20"/>
    </w:rPr>
  </w:style>
  <w:style w:type="paragraph" w:styleId="3">
    <w:name w:val="heading 2"/>
    <w:basedOn w:val="1"/>
    <w:next w:val="1"/>
    <w:link w:val="42"/>
    <w:qFormat/>
    <w:uiPriority w:val="99"/>
    <w:pPr>
      <w:keepNext/>
      <w:keepLines/>
      <w:spacing w:line="413" w:lineRule="auto"/>
      <w:jc w:val="left"/>
      <w:outlineLvl w:val="1"/>
    </w:pPr>
    <w:rPr>
      <w:rFonts w:ascii="Cambria" w:hAnsi="Cambria"/>
      <w:b/>
      <w:bCs/>
      <w:kern w:val="0"/>
      <w:sz w:val="32"/>
      <w:szCs w:val="32"/>
    </w:rPr>
  </w:style>
  <w:style w:type="paragraph" w:styleId="4">
    <w:name w:val="heading 3"/>
    <w:basedOn w:val="1"/>
    <w:next w:val="1"/>
    <w:link w:val="43"/>
    <w:qFormat/>
    <w:uiPriority w:val="99"/>
    <w:pPr>
      <w:keepNext/>
      <w:keepLines/>
      <w:spacing w:line="413" w:lineRule="auto"/>
      <w:outlineLvl w:val="2"/>
    </w:pPr>
    <w:rPr>
      <w:b/>
      <w:bCs/>
      <w:kern w:val="0"/>
      <w:sz w:val="32"/>
      <w:szCs w:val="32"/>
    </w:rPr>
  </w:style>
  <w:style w:type="paragraph" w:styleId="5">
    <w:name w:val="heading 4"/>
    <w:basedOn w:val="1"/>
    <w:next w:val="1"/>
    <w:link w:val="44"/>
    <w:qFormat/>
    <w:uiPriority w:val="99"/>
    <w:pPr>
      <w:keepNext/>
      <w:keepLines/>
      <w:jc w:val="left"/>
      <w:outlineLvl w:val="3"/>
    </w:pPr>
    <w:rPr>
      <w:rFonts w:ascii="Cambria" w:hAnsi="Cambria"/>
      <w:b/>
      <w:bCs/>
      <w:kern w:val="0"/>
      <w:sz w:val="28"/>
      <w:szCs w:val="28"/>
    </w:rPr>
  </w:style>
  <w:style w:type="paragraph" w:styleId="6">
    <w:name w:val="heading 5"/>
    <w:basedOn w:val="1"/>
    <w:next w:val="1"/>
    <w:link w:val="45"/>
    <w:qFormat/>
    <w:uiPriority w:val="99"/>
    <w:pPr>
      <w:keepNext/>
      <w:keepLines/>
      <w:spacing w:line="372" w:lineRule="auto"/>
      <w:outlineLvl w:val="4"/>
    </w:pPr>
    <w:rPr>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99"/>
    <w:pPr>
      <w:numPr>
        <w:ilvl w:val="0"/>
        <w:numId w:val="1"/>
      </w:numPr>
    </w:pPr>
  </w:style>
  <w:style w:type="paragraph" w:styleId="8">
    <w:name w:val="Normal Indent"/>
    <w:basedOn w:val="1"/>
    <w:next w:val="9"/>
    <w:qFormat/>
    <w:uiPriority w:val="99"/>
    <w:pPr>
      <w:ind w:firstLine="420"/>
    </w:pPr>
    <w:rPr>
      <w:szCs w:val="20"/>
    </w:rPr>
  </w:style>
  <w:style w:type="paragraph" w:styleId="9">
    <w:name w:val="toc 4"/>
    <w:basedOn w:val="1"/>
    <w:next w:val="1"/>
    <w:unhideWhenUsed/>
    <w:qFormat/>
    <w:locked/>
    <w:uiPriority w:val="39"/>
    <w:pPr>
      <w:ind w:left="1260" w:leftChars="600"/>
    </w:pPr>
    <w:rPr>
      <w:szCs w:val="24"/>
    </w:rPr>
  </w:style>
  <w:style w:type="paragraph" w:styleId="10">
    <w:name w:val="Document Map"/>
    <w:basedOn w:val="1"/>
    <w:link w:val="50"/>
    <w:qFormat/>
    <w:uiPriority w:val="99"/>
    <w:rPr>
      <w:rFonts w:ascii="宋体"/>
      <w:sz w:val="18"/>
      <w:szCs w:val="18"/>
    </w:rPr>
  </w:style>
  <w:style w:type="paragraph" w:styleId="11">
    <w:name w:val="annotation text"/>
    <w:basedOn w:val="1"/>
    <w:link w:val="46"/>
    <w:qFormat/>
    <w:uiPriority w:val="99"/>
    <w:pPr>
      <w:jc w:val="left"/>
    </w:pPr>
    <w:rPr>
      <w:rFonts w:ascii="宋体"/>
      <w:kern w:val="0"/>
      <w:sz w:val="22"/>
    </w:rPr>
  </w:style>
  <w:style w:type="paragraph" w:styleId="12">
    <w:name w:val="Body Text"/>
    <w:basedOn w:val="1"/>
    <w:next w:val="1"/>
    <w:link w:val="48"/>
    <w:qFormat/>
    <w:uiPriority w:val="99"/>
    <w:rPr>
      <w:kern w:val="0"/>
      <w:sz w:val="20"/>
      <w:szCs w:val="20"/>
    </w:rPr>
  </w:style>
  <w:style w:type="paragraph" w:styleId="13">
    <w:name w:val="Body Text Indent"/>
    <w:basedOn w:val="1"/>
    <w:link w:val="51"/>
    <w:qFormat/>
    <w:uiPriority w:val="99"/>
    <w:pPr>
      <w:ind w:left="420" w:leftChars="200"/>
    </w:pPr>
    <w:rPr>
      <w:kern w:val="0"/>
      <w:sz w:val="20"/>
      <w:szCs w:val="20"/>
    </w:rPr>
  </w:style>
  <w:style w:type="paragraph" w:styleId="14">
    <w:name w:val="toc 3"/>
    <w:basedOn w:val="1"/>
    <w:next w:val="1"/>
    <w:qFormat/>
    <w:uiPriority w:val="99"/>
    <w:pPr>
      <w:ind w:left="840" w:leftChars="400"/>
    </w:pPr>
  </w:style>
  <w:style w:type="paragraph" w:styleId="15">
    <w:name w:val="Plain Text"/>
    <w:basedOn w:val="1"/>
    <w:link w:val="52"/>
    <w:qFormat/>
    <w:uiPriority w:val="99"/>
    <w:pPr>
      <w:spacing w:line="324" w:lineRule="auto"/>
    </w:pPr>
    <w:rPr>
      <w:rFonts w:ascii="宋体" w:hAnsi="Courier New"/>
      <w:kern w:val="0"/>
      <w:szCs w:val="21"/>
    </w:rPr>
  </w:style>
  <w:style w:type="paragraph" w:styleId="16">
    <w:name w:val="Date"/>
    <w:basedOn w:val="1"/>
    <w:next w:val="1"/>
    <w:link w:val="53"/>
    <w:qFormat/>
    <w:uiPriority w:val="99"/>
    <w:rPr>
      <w:kern w:val="0"/>
      <w:sz w:val="20"/>
      <w:szCs w:val="20"/>
    </w:rPr>
  </w:style>
  <w:style w:type="paragraph" w:styleId="17">
    <w:name w:val="Body Text Indent 2"/>
    <w:basedOn w:val="1"/>
    <w:link w:val="54"/>
    <w:qFormat/>
    <w:uiPriority w:val="99"/>
    <w:pPr>
      <w:spacing w:after="120" w:line="480" w:lineRule="auto"/>
      <w:ind w:left="420" w:leftChars="200"/>
    </w:pPr>
    <w:rPr>
      <w:kern w:val="0"/>
      <w:sz w:val="20"/>
      <w:szCs w:val="20"/>
    </w:rPr>
  </w:style>
  <w:style w:type="paragraph" w:styleId="18">
    <w:name w:val="Balloon Text"/>
    <w:basedOn w:val="1"/>
    <w:link w:val="55"/>
    <w:qFormat/>
    <w:uiPriority w:val="99"/>
    <w:rPr>
      <w:sz w:val="18"/>
      <w:szCs w:val="18"/>
    </w:rPr>
  </w:style>
  <w:style w:type="paragraph" w:styleId="19">
    <w:name w:val="footer"/>
    <w:basedOn w:val="1"/>
    <w:link w:val="56"/>
    <w:qFormat/>
    <w:uiPriority w:val="99"/>
    <w:pPr>
      <w:tabs>
        <w:tab w:val="center" w:pos="4153"/>
        <w:tab w:val="right" w:pos="8306"/>
      </w:tabs>
      <w:snapToGrid w:val="0"/>
      <w:jc w:val="left"/>
    </w:pPr>
    <w:rPr>
      <w:kern w:val="0"/>
      <w:sz w:val="18"/>
      <w:szCs w:val="18"/>
    </w:rPr>
  </w:style>
  <w:style w:type="paragraph" w:styleId="20">
    <w:name w:val="header"/>
    <w:basedOn w:val="1"/>
    <w:link w:val="57"/>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99"/>
  </w:style>
  <w:style w:type="paragraph" w:styleId="22">
    <w:name w:val="footnote text"/>
    <w:basedOn w:val="1"/>
    <w:link w:val="58"/>
    <w:qFormat/>
    <w:uiPriority w:val="99"/>
    <w:pPr>
      <w:snapToGrid w:val="0"/>
      <w:jc w:val="left"/>
    </w:pPr>
    <w:rPr>
      <w:kern w:val="0"/>
      <w:sz w:val="18"/>
      <w:szCs w:val="18"/>
    </w:rPr>
  </w:style>
  <w:style w:type="paragraph" w:styleId="23">
    <w:name w:val="toc 2"/>
    <w:basedOn w:val="1"/>
    <w:next w:val="1"/>
    <w:qFormat/>
    <w:uiPriority w:val="99"/>
    <w:pPr>
      <w:ind w:left="420" w:leftChars="200"/>
    </w:pPr>
  </w:style>
  <w:style w:type="paragraph" w:styleId="24">
    <w:name w:val="Body Text 2"/>
    <w:basedOn w:val="1"/>
    <w:link w:val="59"/>
    <w:qFormat/>
    <w:uiPriority w:val="99"/>
    <w:pPr>
      <w:jc w:val="center"/>
    </w:pPr>
    <w:rPr>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1"/>
    <w:next w:val="11"/>
    <w:link w:val="47"/>
    <w:qFormat/>
    <w:uiPriority w:val="99"/>
    <w:rPr>
      <w:rFonts w:ascii="Calibri"/>
      <w:b/>
      <w:bCs/>
      <w:kern w:val="2"/>
    </w:rPr>
  </w:style>
  <w:style w:type="paragraph" w:styleId="27">
    <w:name w:val="Body Text First Indent"/>
    <w:basedOn w:val="12"/>
    <w:link w:val="49"/>
    <w:qFormat/>
    <w:uiPriority w:val="99"/>
    <w:pPr>
      <w:ind w:firstLine="420" w:firstLineChars="100"/>
    </w:pPr>
  </w:style>
  <w:style w:type="paragraph" w:styleId="28">
    <w:name w:val="Body Text First Indent 2"/>
    <w:basedOn w:val="13"/>
    <w:unhideWhenUsed/>
    <w:qFormat/>
    <w:locked/>
    <w:uiPriority w:val="0"/>
    <w:pPr>
      <w:ind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99"/>
    <w:rPr>
      <w:rFonts w:cs="Times New Roman"/>
      <w:b/>
      <w:sz w:val="24"/>
    </w:rPr>
  </w:style>
  <w:style w:type="character" w:styleId="33">
    <w:name w:val="page number"/>
    <w:basedOn w:val="31"/>
    <w:qFormat/>
    <w:uiPriority w:val="99"/>
    <w:rPr>
      <w:rFonts w:cs="Times New Roman"/>
    </w:rPr>
  </w:style>
  <w:style w:type="character" w:styleId="34">
    <w:name w:val="FollowedHyperlink"/>
    <w:basedOn w:val="31"/>
    <w:qFormat/>
    <w:uiPriority w:val="99"/>
    <w:rPr>
      <w:rFonts w:ascii="宋体" w:hAnsi="宋体" w:eastAsia="宋体" w:cs="Times New Roman"/>
      <w:color w:val="000000"/>
      <w:sz w:val="18"/>
      <w:u w:val="none"/>
    </w:rPr>
  </w:style>
  <w:style w:type="character" w:styleId="35">
    <w:name w:val="Emphasis"/>
    <w:basedOn w:val="31"/>
    <w:qFormat/>
    <w:uiPriority w:val="99"/>
    <w:rPr>
      <w:rFonts w:cs="Times New Roman"/>
      <w:i/>
    </w:rPr>
  </w:style>
  <w:style w:type="character" w:styleId="36">
    <w:name w:val="Hyperlink"/>
    <w:basedOn w:val="31"/>
    <w:qFormat/>
    <w:uiPriority w:val="99"/>
    <w:rPr>
      <w:rFonts w:cs="Times New Roman"/>
      <w:color w:val="0000FF"/>
      <w:u w:val="single"/>
    </w:rPr>
  </w:style>
  <w:style w:type="character" w:styleId="37">
    <w:name w:val="annotation reference"/>
    <w:basedOn w:val="31"/>
    <w:qFormat/>
    <w:uiPriority w:val="99"/>
    <w:rPr>
      <w:rFonts w:cs="Times New Roman"/>
      <w:sz w:val="21"/>
    </w:rPr>
  </w:style>
  <w:style w:type="character" w:styleId="38">
    <w:name w:val="HTML Cite"/>
    <w:basedOn w:val="31"/>
    <w:qFormat/>
    <w:uiPriority w:val="99"/>
    <w:rPr>
      <w:rFonts w:cs="Times New Roman"/>
      <w:sz w:val="24"/>
    </w:rPr>
  </w:style>
  <w:style w:type="character" w:styleId="39">
    <w:name w:val="footnote reference"/>
    <w:basedOn w:val="31"/>
    <w:qFormat/>
    <w:uiPriority w:val="99"/>
    <w:rPr>
      <w:rFonts w:cs="Times New Roman"/>
      <w:vertAlign w:val="superscript"/>
    </w:rPr>
  </w:style>
  <w:style w:type="paragraph" w:customStyle="1" w:styleId="40">
    <w:name w:val="无间隔1"/>
    <w:qFormat/>
    <w:uiPriority w:val="0"/>
    <w:rPr>
      <w:rFonts w:ascii="Times New Roman" w:hAnsi="Times New Roman" w:eastAsia="宋体" w:cs="Times New Roman"/>
      <w:kern w:val="2"/>
      <w:sz w:val="21"/>
      <w:szCs w:val="22"/>
      <w:lang w:val="en-US" w:eastAsia="zh-CN" w:bidi="ar-SA"/>
    </w:rPr>
  </w:style>
  <w:style w:type="character" w:customStyle="1" w:styleId="41">
    <w:name w:val="标题 1 Char"/>
    <w:basedOn w:val="31"/>
    <w:link w:val="2"/>
    <w:qFormat/>
    <w:locked/>
    <w:uiPriority w:val="99"/>
    <w:rPr>
      <w:rFonts w:ascii="Times New Roman" w:hAnsi="Times New Roman" w:eastAsia="宋体"/>
      <w:b/>
      <w:kern w:val="44"/>
      <w:sz w:val="32"/>
    </w:rPr>
  </w:style>
  <w:style w:type="character" w:customStyle="1" w:styleId="42">
    <w:name w:val="标题 2 Char"/>
    <w:basedOn w:val="31"/>
    <w:link w:val="3"/>
    <w:semiHidden/>
    <w:qFormat/>
    <w:locked/>
    <w:uiPriority w:val="99"/>
    <w:rPr>
      <w:rFonts w:ascii="Cambria" w:hAnsi="Cambria" w:eastAsia="宋体"/>
      <w:b/>
      <w:sz w:val="32"/>
    </w:rPr>
  </w:style>
  <w:style w:type="character" w:customStyle="1" w:styleId="43">
    <w:name w:val="标题 3 Char"/>
    <w:basedOn w:val="31"/>
    <w:link w:val="4"/>
    <w:semiHidden/>
    <w:qFormat/>
    <w:locked/>
    <w:uiPriority w:val="99"/>
    <w:rPr>
      <w:rFonts w:ascii="Calibri" w:hAnsi="Calibri"/>
      <w:b/>
      <w:sz w:val="32"/>
    </w:rPr>
  </w:style>
  <w:style w:type="character" w:customStyle="1" w:styleId="44">
    <w:name w:val="标题 4 Char"/>
    <w:basedOn w:val="31"/>
    <w:link w:val="5"/>
    <w:semiHidden/>
    <w:qFormat/>
    <w:locked/>
    <w:uiPriority w:val="99"/>
    <w:rPr>
      <w:rFonts w:ascii="Cambria" w:hAnsi="Cambria" w:eastAsia="宋体"/>
      <w:b/>
      <w:sz w:val="28"/>
    </w:rPr>
  </w:style>
  <w:style w:type="character" w:customStyle="1" w:styleId="45">
    <w:name w:val="标题 5 Char"/>
    <w:basedOn w:val="31"/>
    <w:link w:val="6"/>
    <w:semiHidden/>
    <w:qFormat/>
    <w:locked/>
    <w:uiPriority w:val="99"/>
    <w:rPr>
      <w:rFonts w:ascii="Calibri" w:hAnsi="Calibri"/>
      <w:b/>
      <w:sz w:val="28"/>
    </w:rPr>
  </w:style>
  <w:style w:type="character" w:customStyle="1" w:styleId="46">
    <w:name w:val="批注文字 Char"/>
    <w:basedOn w:val="31"/>
    <w:link w:val="11"/>
    <w:qFormat/>
    <w:locked/>
    <w:uiPriority w:val="99"/>
    <w:rPr>
      <w:rFonts w:ascii="宋体" w:hAnsi="Calibri" w:eastAsia="宋体"/>
      <w:sz w:val="22"/>
    </w:rPr>
  </w:style>
  <w:style w:type="character" w:customStyle="1" w:styleId="47">
    <w:name w:val="批注主题 Char"/>
    <w:basedOn w:val="46"/>
    <w:link w:val="26"/>
    <w:qFormat/>
    <w:locked/>
    <w:uiPriority w:val="99"/>
    <w:rPr>
      <w:rFonts w:ascii="Calibri" w:hAnsi="Calibri" w:eastAsia="宋体"/>
      <w:b/>
      <w:kern w:val="2"/>
      <w:sz w:val="22"/>
    </w:rPr>
  </w:style>
  <w:style w:type="character" w:customStyle="1" w:styleId="48">
    <w:name w:val="正文文本 Char"/>
    <w:basedOn w:val="31"/>
    <w:link w:val="12"/>
    <w:semiHidden/>
    <w:qFormat/>
    <w:locked/>
    <w:uiPriority w:val="99"/>
    <w:rPr>
      <w:rFonts w:ascii="Calibri" w:hAnsi="Calibri"/>
    </w:rPr>
  </w:style>
  <w:style w:type="character" w:customStyle="1" w:styleId="49">
    <w:name w:val="正文首行缩进 Char"/>
    <w:basedOn w:val="48"/>
    <w:link w:val="27"/>
    <w:semiHidden/>
    <w:qFormat/>
    <w:locked/>
    <w:uiPriority w:val="99"/>
    <w:rPr>
      <w:rFonts w:ascii="Calibri" w:hAnsi="Calibri" w:cs="Times New Roman"/>
    </w:rPr>
  </w:style>
  <w:style w:type="character" w:customStyle="1" w:styleId="50">
    <w:name w:val="文档结构图 Char"/>
    <w:basedOn w:val="31"/>
    <w:link w:val="10"/>
    <w:qFormat/>
    <w:locked/>
    <w:uiPriority w:val="99"/>
    <w:rPr>
      <w:rFonts w:ascii="宋体" w:hAnsi="Calibri"/>
      <w:kern w:val="2"/>
      <w:sz w:val="18"/>
    </w:rPr>
  </w:style>
  <w:style w:type="character" w:customStyle="1" w:styleId="51">
    <w:name w:val="正文文本缩进 Char"/>
    <w:basedOn w:val="31"/>
    <w:link w:val="13"/>
    <w:semiHidden/>
    <w:qFormat/>
    <w:locked/>
    <w:uiPriority w:val="99"/>
    <w:rPr>
      <w:rFonts w:ascii="Calibri" w:hAnsi="Calibri"/>
    </w:rPr>
  </w:style>
  <w:style w:type="character" w:customStyle="1" w:styleId="52">
    <w:name w:val="纯文本 Char"/>
    <w:basedOn w:val="31"/>
    <w:link w:val="15"/>
    <w:semiHidden/>
    <w:qFormat/>
    <w:locked/>
    <w:uiPriority w:val="99"/>
    <w:rPr>
      <w:rFonts w:ascii="宋体" w:hAnsi="Courier New"/>
      <w:sz w:val="21"/>
    </w:rPr>
  </w:style>
  <w:style w:type="character" w:customStyle="1" w:styleId="53">
    <w:name w:val="日期 Char"/>
    <w:basedOn w:val="31"/>
    <w:link w:val="16"/>
    <w:semiHidden/>
    <w:qFormat/>
    <w:locked/>
    <w:uiPriority w:val="99"/>
    <w:rPr>
      <w:rFonts w:ascii="Calibri" w:hAnsi="Calibri"/>
    </w:rPr>
  </w:style>
  <w:style w:type="character" w:customStyle="1" w:styleId="54">
    <w:name w:val="正文文本缩进 2 Char"/>
    <w:basedOn w:val="31"/>
    <w:link w:val="17"/>
    <w:semiHidden/>
    <w:qFormat/>
    <w:locked/>
    <w:uiPriority w:val="99"/>
    <w:rPr>
      <w:rFonts w:ascii="Calibri" w:hAnsi="Calibri"/>
    </w:rPr>
  </w:style>
  <w:style w:type="character" w:customStyle="1" w:styleId="55">
    <w:name w:val="批注框文本 Char"/>
    <w:basedOn w:val="31"/>
    <w:link w:val="18"/>
    <w:qFormat/>
    <w:locked/>
    <w:uiPriority w:val="99"/>
    <w:rPr>
      <w:rFonts w:ascii="Calibri" w:hAnsi="Calibri" w:eastAsia="宋体"/>
      <w:kern w:val="2"/>
      <w:sz w:val="18"/>
    </w:rPr>
  </w:style>
  <w:style w:type="character" w:customStyle="1" w:styleId="56">
    <w:name w:val="页脚 Char"/>
    <w:basedOn w:val="31"/>
    <w:link w:val="19"/>
    <w:semiHidden/>
    <w:qFormat/>
    <w:locked/>
    <w:uiPriority w:val="99"/>
    <w:rPr>
      <w:rFonts w:ascii="Calibri" w:hAnsi="Calibri"/>
      <w:sz w:val="18"/>
    </w:rPr>
  </w:style>
  <w:style w:type="character" w:customStyle="1" w:styleId="57">
    <w:name w:val="页眉 Char"/>
    <w:basedOn w:val="31"/>
    <w:link w:val="20"/>
    <w:semiHidden/>
    <w:qFormat/>
    <w:locked/>
    <w:uiPriority w:val="99"/>
    <w:rPr>
      <w:rFonts w:ascii="Calibri" w:hAnsi="Calibri"/>
      <w:sz w:val="18"/>
    </w:rPr>
  </w:style>
  <w:style w:type="character" w:customStyle="1" w:styleId="58">
    <w:name w:val="脚注文本 Char"/>
    <w:basedOn w:val="31"/>
    <w:link w:val="22"/>
    <w:semiHidden/>
    <w:qFormat/>
    <w:locked/>
    <w:uiPriority w:val="99"/>
    <w:rPr>
      <w:rFonts w:ascii="Calibri" w:hAnsi="Calibri"/>
      <w:sz w:val="18"/>
    </w:rPr>
  </w:style>
  <w:style w:type="character" w:customStyle="1" w:styleId="59">
    <w:name w:val="正文文本 2 Char"/>
    <w:basedOn w:val="31"/>
    <w:link w:val="24"/>
    <w:semiHidden/>
    <w:qFormat/>
    <w:locked/>
    <w:uiPriority w:val="99"/>
    <w:rPr>
      <w:rFonts w:ascii="Calibri" w:hAnsi="Calibri"/>
    </w:rPr>
  </w:style>
  <w:style w:type="paragraph" w:customStyle="1" w:styleId="60">
    <w:name w:val="Char2 Char Char Char"/>
    <w:basedOn w:val="1"/>
    <w:qFormat/>
    <w:uiPriority w:val="99"/>
    <w:rPr>
      <w:rFonts w:ascii="Tahoma" w:hAnsi="Tahoma"/>
      <w:sz w:val="24"/>
      <w:szCs w:val="20"/>
    </w:rPr>
  </w:style>
  <w:style w:type="paragraph" w:customStyle="1" w:styleId="61">
    <w:name w:val="列出段落1"/>
    <w:basedOn w:val="1"/>
    <w:qFormat/>
    <w:uiPriority w:val="99"/>
    <w:pPr>
      <w:ind w:firstLine="420" w:firstLineChars="200"/>
    </w:pPr>
  </w:style>
  <w:style w:type="character" w:customStyle="1" w:styleId="62">
    <w:name w:val="10"/>
    <w:qFormat/>
    <w:uiPriority w:val="99"/>
    <w:rPr>
      <w:rFonts w:ascii="Calibri" w:hAnsi="Calibri"/>
    </w:rPr>
  </w:style>
  <w:style w:type="character" w:customStyle="1" w:styleId="63">
    <w:name w:val="15"/>
    <w:qFormat/>
    <w:uiPriority w:val="99"/>
    <w:rPr>
      <w:rFonts w:ascii="Calibri" w:hAnsi="Calibri"/>
      <w:i/>
    </w:rPr>
  </w:style>
  <w:style w:type="paragraph" w:customStyle="1" w:styleId="64">
    <w:name w:val="_Style 2"/>
    <w:basedOn w:val="1"/>
    <w:qFormat/>
    <w:uiPriority w:val="99"/>
    <w:pPr>
      <w:ind w:firstLine="420" w:firstLineChars="200"/>
    </w:pPr>
  </w:style>
  <w:style w:type="character" w:customStyle="1" w:styleId="65">
    <w:name w:val="apple-style-span"/>
    <w:qFormat/>
    <w:uiPriority w:val="99"/>
  </w:style>
  <w:style w:type="character" w:customStyle="1" w:styleId="66">
    <w:name w:val="del"/>
    <w:qFormat/>
    <w:uiPriority w:val="99"/>
  </w:style>
  <w:style w:type="character" w:customStyle="1" w:styleId="67">
    <w:name w:val="del1"/>
    <w:qFormat/>
    <w:uiPriority w:val="99"/>
    <w:rPr>
      <w:vanish/>
      <w:color w:val="666666"/>
      <w:sz w:val="18"/>
      <w:u w:val="single"/>
    </w:rPr>
  </w:style>
  <w:style w:type="character" w:customStyle="1" w:styleId="68">
    <w:name w:val="del2"/>
    <w:qFormat/>
    <w:uiPriority w:val="99"/>
    <w:rPr>
      <w:vanish/>
    </w:rPr>
  </w:style>
  <w:style w:type="character" w:customStyle="1" w:styleId="69">
    <w:name w:val="del3"/>
    <w:qFormat/>
    <w:uiPriority w:val="99"/>
    <w:rPr>
      <w:vanish/>
    </w:rPr>
  </w:style>
  <w:style w:type="paragraph" w:customStyle="1" w:styleId="70">
    <w:name w:val="列出段落2"/>
    <w:basedOn w:val="1"/>
    <w:qFormat/>
    <w:uiPriority w:val="99"/>
    <w:pPr>
      <w:ind w:firstLine="420" w:firstLineChars="200"/>
    </w:pPr>
    <w:rPr>
      <w:rFonts w:ascii="宋体"/>
      <w:sz w:val="28"/>
    </w:rPr>
  </w:style>
  <w:style w:type="paragraph" w:customStyle="1" w:styleId="71">
    <w:name w:val="普通(网站)1"/>
    <w:basedOn w:val="1"/>
    <w:qFormat/>
    <w:uiPriority w:val="99"/>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2">
    <w:name w:val="样式 宋体 小四 首行缩进:  0.93 厘米 段前: 11.15 磅 段后: 11.15 磅1"/>
    <w:basedOn w:val="1"/>
    <w:qFormat/>
    <w:uiPriority w:val="99"/>
    <w:pPr>
      <w:ind w:left="200"/>
    </w:pPr>
    <w:rPr>
      <w:rFonts w:ascii="宋体" w:hAnsi="宋体"/>
      <w:color w:val="000000"/>
      <w:kern w:val="1"/>
      <w:sz w:val="24"/>
      <w:szCs w:val="20"/>
    </w:rPr>
  </w:style>
  <w:style w:type="paragraph" w:customStyle="1" w:styleId="73">
    <w:name w:val="列出段落3"/>
    <w:basedOn w:val="1"/>
    <w:qFormat/>
    <w:uiPriority w:val="99"/>
    <w:pPr>
      <w:ind w:firstLine="420" w:firstLineChars="200"/>
    </w:pPr>
    <w:rPr>
      <w:rFonts w:ascii="宋体"/>
      <w:sz w:val="28"/>
    </w:rPr>
  </w:style>
  <w:style w:type="paragraph" w:customStyle="1" w:styleId="74">
    <w:name w:val="list number ＋left spaceing"/>
    <w:basedOn w:val="7"/>
    <w:qFormat/>
    <w:uiPriority w:val="99"/>
    <w:pPr>
      <w:widowControl/>
      <w:tabs>
        <w:tab w:val="left" w:pos="839"/>
      </w:tabs>
      <w:ind w:left="0" w:firstLine="0"/>
      <w:jc w:val="left"/>
    </w:pPr>
    <w:rPr>
      <w:kern w:val="0"/>
    </w:rPr>
  </w:style>
  <w:style w:type="paragraph" w:customStyle="1" w:styleId="75">
    <w:name w:val="正文框"/>
    <w:basedOn w:val="1"/>
    <w:qFormat/>
    <w:uiPriority w:val="99"/>
    <w:pPr>
      <w:widowControl/>
      <w:adjustRightInd w:val="0"/>
      <w:spacing w:line="312" w:lineRule="atLeast"/>
      <w:jc w:val="left"/>
      <w:textAlignment w:val="baseline"/>
    </w:pPr>
    <w:rPr>
      <w:sz w:val="24"/>
    </w:rPr>
  </w:style>
  <w:style w:type="paragraph" w:customStyle="1" w:styleId="76">
    <w:name w:val="Char"/>
    <w:basedOn w:val="1"/>
    <w:qFormat/>
    <w:uiPriority w:val="99"/>
    <w:pPr>
      <w:jc w:val="left"/>
    </w:pPr>
    <w:rPr>
      <w:rFonts w:ascii="Tahoma" w:hAnsi="Tahoma"/>
      <w:sz w:val="24"/>
      <w:szCs w:val="20"/>
    </w:rPr>
  </w:style>
  <w:style w:type="character" w:customStyle="1" w:styleId="77">
    <w:name w:val="font11"/>
    <w:qFormat/>
    <w:uiPriority w:val="99"/>
    <w:rPr>
      <w:rFonts w:ascii="宋体" w:hAnsi="宋体" w:eastAsia="宋体"/>
      <w:color w:val="000000"/>
      <w:sz w:val="22"/>
      <w:u w:val="none"/>
    </w:rPr>
  </w:style>
  <w:style w:type="character" w:customStyle="1" w:styleId="78">
    <w:name w:val="font61"/>
    <w:qFormat/>
    <w:uiPriority w:val="99"/>
    <w:rPr>
      <w:rFonts w:ascii="Tahoma" w:hAnsi="Tahoma"/>
      <w:color w:val="000000"/>
      <w:sz w:val="22"/>
      <w:u w:val="none"/>
    </w:rPr>
  </w:style>
  <w:style w:type="character" w:customStyle="1" w:styleId="79">
    <w:name w:val="font01"/>
    <w:qFormat/>
    <w:uiPriority w:val="99"/>
    <w:rPr>
      <w:rFonts w:ascii="宋体" w:hAnsi="宋体" w:eastAsia="宋体"/>
      <w:b/>
      <w:color w:val="000000"/>
      <w:sz w:val="24"/>
      <w:u w:val="none"/>
    </w:rPr>
  </w:style>
  <w:style w:type="paragraph" w:customStyle="1" w:styleId="80">
    <w:name w:val="列出段落4"/>
    <w:basedOn w:val="1"/>
    <w:qFormat/>
    <w:uiPriority w:val="99"/>
    <w:pPr>
      <w:ind w:firstLine="420" w:firstLineChars="200"/>
    </w:pPr>
  </w:style>
  <w:style w:type="paragraph" w:customStyle="1" w:styleId="81">
    <w:name w:val="列出段落5"/>
    <w:basedOn w:val="1"/>
    <w:qFormat/>
    <w:uiPriority w:val="99"/>
    <w:pPr>
      <w:ind w:firstLine="420" w:firstLineChars="200"/>
    </w:pPr>
  </w:style>
  <w:style w:type="paragraph" w:customStyle="1" w:styleId="82">
    <w:name w:val="TableHeader"/>
    <w:qFormat/>
    <w:uiPriority w:val="99"/>
    <w:pPr>
      <w:spacing w:before="40" w:after="40"/>
      <w:jc w:val="center"/>
    </w:pPr>
    <w:rPr>
      <w:rFonts w:ascii="Arial" w:hAnsi="Arial" w:eastAsia="宋体" w:cs="Times New Roman"/>
      <w:b/>
      <w:bCs/>
      <w:kern w:val="44"/>
      <w:sz w:val="18"/>
      <w:szCs w:val="44"/>
      <w:lang w:val="en-US" w:eastAsia="zh-CN" w:bidi="ar-SA"/>
    </w:rPr>
  </w:style>
  <w:style w:type="paragraph" w:customStyle="1" w:styleId="83">
    <w:name w:val="列出段落11"/>
    <w:basedOn w:val="1"/>
    <w:qFormat/>
    <w:uiPriority w:val="99"/>
    <w:pPr>
      <w:ind w:firstLine="420" w:firstLineChars="200"/>
    </w:pPr>
  </w:style>
  <w:style w:type="paragraph" w:customStyle="1" w:styleId="84">
    <w:name w:val="列出段落6"/>
    <w:basedOn w:val="1"/>
    <w:qFormat/>
    <w:uiPriority w:val="99"/>
    <w:pPr>
      <w:widowControl/>
      <w:spacing w:after="200" w:line="276" w:lineRule="auto"/>
      <w:ind w:left="720"/>
      <w:contextualSpacing/>
      <w:jc w:val="left"/>
    </w:pPr>
    <w:rPr>
      <w:kern w:val="0"/>
      <w:sz w:val="22"/>
    </w:rPr>
  </w:style>
  <w:style w:type="paragraph" w:customStyle="1" w:styleId="85">
    <w:name w:val="No Spacing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6">
    <w:name w:val="Default"/>
    <w:qFormat/>
    <w:uiPriority w:val="99"/>
    <w:pPr>
      <w:widowControl w:val="0"/>
      <w:autoSpaceDE w:val="0"/>
      <w:autoSpaceDN w:val="0"/>
      <w:adjustRightInd w:val="0"/>
    </w:pPr>
    <w:rPr>
      <w:rFonts w:ascii="Helvetica Neue" w:hAnsi="Times New Roman" w:eastAsia="Times New Roman" w:cs="Times New Roman"/>
      <w:color w:val="000000"/>
      <w:sz w:val="24"/>
      <w:lang w:val="en-US" w:eastAsia="zh-CN" w:bidi="ar-SA"/>
    </w:rPr>
  </w:style>
  <w:style w:type="paragraph" w:customStyle="1" w:styleId="87">
    <w:name w:val="_Style 3"/>
    <w:basedOn w:val="1"/>
    <w:qFormat/>
    <w:uiPriority w:val="99"/>
    <w:pPr>
      <w:widowControl/>
      <w:ind w:firstLine="420"/>
    </w:pPr>
    <w:rPr>
      <w:rFonts w:ascii="等线" w:hAnsi="等线" w:eastAsia="等线" w:cs="宋体"/>
      <w:szCs w:val="21"/>
    </w:rPr>
  </w:style>
  <w:style w:type="paragraph" w:customStyle="1" w:styleId="88">
    <w:name w:val="_Style 1"/>
    <w:basedOn w:val="1"/>
    <w:qFormat/>
    <w:uiPriority w:val="99"/>
    <w:pPr>
      <w:ind w:firstLine="420" w:firstLineChars="200"/>
    </w:pPr>
    <w:rPr>
      <w:szCs w:val="21"/>
    </w:rPr>
  </w:style>
  <w:style w:type="paragraph" w:customStyle="1" w:styleId="89">
    <w:name w:val="List Paragraph1"/>
    <w:basedOn w:val="1"/>
    <w:qFormat/>
    <w:uiPriority w:val="99"/>
    <w:pPr>
      <w:ind w:firstLine="420" w:firstLineChars="200"/>
    </w:pPr>
    <w:rPr>
      <w:szCs w:val="21"/>
    </w:rPr>
  </w:style>
  <w:style w:type="paragraph" w:customStyle="1" w:styleId="90">
    <w:name w:val="List Paragraph11"/>
    <w:basedOn w:val="1"/>
    <w:qFormat/>
    <w:uiPriority w:val="99"/>
    <w:pPr>
      <w:ind w:firstLine="420" w:firstLineChars="200"/>
    </w:pPr>
    <w:rPr>
      <w:szCs w:val="21"/>
    </w:rPr>
  </w:style>
  <w:style w:type="paragraph" w:customStyle="1" w:styleId="91">
    <w:name w:val="列出段落7"/>
    <w:basedOn w:val="1"/>
    <w:qFormat/>
    <w:uiPriority w:val="99"/>
    <w:pPr>
      <w:ind w:firstLine="420" w:firstLineChars="200"/>
    </w:pPr>
  </w:style>
  <w:style w:type="paragraph" w:customStyle="1" w:styleId="92">
    <w:name w:val="样式6"/>
    <w:basedOn w:val="1"/>
    <w:qFormat/>
    <w:uiPriority w:val="99"/>
    <w:pPr>
      <w:topLinePunct/>
      <w:spacing w:before="160" w:after="60"/>
      <w:jc w:val="center"/>
    </w:pPr>
    <w:rPr>
      <w:rFonts w:ascii="Times New Roman" w:hAnsi="Times New Roman" w:eastAsia="黑体"/>
      <w:kern w:val="0"/>
      <w:sz w:val="24"/>
      <w:szCs w:val="21"/>
    </w:rPr>
  </w:style>
  <w:style w:type="paragraph" w:customStyle="1" w:styleId="93">
    <w:name w:val="title1"/>
    <w:basedOn w:val="1"/>
    <w:qFormat/>
    <w:uiPriority w:val="0"/>
    <w:pPr>
      <w:spacing w:before="150"/>
      <w:jc w:val="left"/>
    </w:pPr>
    <w:rPr>
      <w:b/>
      <w:kern w:val="0"/>
      <w:sz w:val="22"/>
    </w:rPr>
  </w:style>
  <w:style w:type="paragraph" w:customStyle="1" w:styleId="94">
    <w:name w:val="title12"/>
    <w:basedOn w:val="1"/>
    <w:qFormat/>
    <w:uiPriority w:val="0"/>
    <w:pPr>
      <w:spacing w:before="150"/>
      <w:jc w:val="left"/>
    </w:pPr>
    <w:rPr>
      <w:b/>
      <w:kern w:val="0"/>
      <w:sz w:val="22"/>
    </w:rPr>
  </w:style>
  <w:style w:type="character" w:customStyle="1" w:styleId="95">
    <w:name w:val="number"/>
    <w:basedOn w:val="31"/>
    <w:qFormat/>
    <w:uiPriority w:val="0"/>
    <w:rPr>
      <w:color w:val="FF8833"/>
      <w:sz w:val="18"/>
      <w:szCs w:val="18"/>
    </w:rPr>
  </w:style>
  <w:style w:type="character" w:customStyle="1" w:styleId="96">
    <w:name w:val="proollist"/>
    <w:basedOn w:val="31"/>
    <w:qFormat/>
    <w:uiPriority w:val="0"/>
  </w:style>
  <w:style w:type="character" w:customStyle="1" w:styleId="97">
    <w:name w:val="phone"/>
    <w:basedOn w:val="31"/>
    <w:qFormat/>
    <w:uiPriority w:val="0"/>
    <w:rPr>
      <w:color w:val="FF8833"/>
      <w:sz w:val="18"/>
      <w:szCs w:val="18"/>
    </w:rPr>
  </w:style>
  <w:style w:type="character" w:customStyle="1" w:styleId="98">
    <w:name w:val="beforeinfotext"/>
    <w:basedOn w:val="31"/>
    <w:qFormat/>
    <w:uiPriority w:val="0"/>
    <w:rPr>
      <w:color w:val="666666"/>
    </w:rPr>
  </w:style>
  <w:style w:type="character" w:customStyle="1" w:styleId="99">
    <w:name w:val="stclosebtn"/>
    <w:basedOn w:val="31"/>
    <w:qFormat/>
    <w:uiPriority w:val="0"/>
  </w:style>
  <w:style w:type="character" w:customStyle="1" w:styleId="100">
    <w:name w:val="gjfg"/>
    <w:basedOn w:val="31"/>
    <w:qFormat/>
    <w:uiPriority w:val="0"/>
  </w:style>
  <w:style w:type="character" w:customStyle="1" w:styleId="101">
    <w:name w:val="qxdate"/>
    <w:basedOn w:val="31"/>
    <w:qFormat/>
    <w:uiPriority w:val="0"/>
    <w:rPr>
      <w:color w:val="333333"/>
      <w:sz w:val="18"/>
      <w:szCs w:val="18"/>
    </w:rPr>
  </w:style>
  <w:style w:type="character" w:customStyle="1" w:styleId="102">
    <w:name w:val="cfdate"/>
    <w:basedOn w:val="31"/>
    <w:qFormat/>
    <w:uiPriority w:val="0"/>
    <w:rPr>
      <w:color w:val="333333"/>
      <w:sz w:val="18"/>
      <w:szCs w:val="18"/>
    </w:rPr>
  </w:style>
  <w:style w:type="character" w:customStyle="1" w:styleId="103">
    <w:name w:val="prev2"/>
    <w:basedOn w:val="31"/>
    <w:qFormat/>
    <w:uiPriority w:val="0"/>
    <w:rPr>
      <w:rFonts w:ascii="微软雅黑" w:hAnsi="微软雅黑" w:eastAsia="微软雅黑" w:cs="微软雅黑"/>
      <w:sz w:val="21"/>
      <w:szCs w:val="21"/>
    </w:rPr>
  </w:style>
  <w:style w:type="character" w:customStyle="1" w:styleId="104">
    <w:name w:val="displayarti"/>
    <w:basedOn w:val="31"/>
    <w:qFormat/>
    <w:uiPriority w:val="0"/>
    <w:rPr>
      <w:color w:val="FFFFFF"/>
      <w:shd w:val="clear" w:color="auto" w:fill="A00000"/>
    </w:rPr>
  </w:style>
  <w:style w:type="character" w:customStyle="1" w:styleId="105">
    <w:name w:val="redfilefwwh"/>
    <w:basedOn w:val="31"/>
    <w:qFormat/>
    <w:uiPriority w:val="0"/>
    <w:rPr>
      <w:color w:val="BA2636"/>
      <w:sz w:val="18"/>
      <w:szCs w:val="18"/>
    </w:rPr>
  </w:style>
  <w:style w:type="character" w:customStyle="1" w:styleId="106">
    <w:name w:val="redfilenumber"/>
    <w:basedOn w:val="31"/>
    <w:qFormat/>
    <w:uiPriority w:val="0"/>
    <w:rPr>
      <w:color w:val="BA2636"/>
      <w:sz w:val="18"/>
      <w:szCs w:val="18"/>
    </w:rPr>
  </w:style>
  <w:style w:type="character" w:customStyle="1" w:styleId="107">
    <w:name w:val="next2"/>
    <w:basedOn w:val="31"/>
    <w:qFormat/>
    <w:uiPriority w:val="0"/>
    <w:rPr>
      <w:rFonts w:hint="eastAsia" w:ascii="微软雅黑" w:hAnsi="微软雅黑" w:eastAsia="微软雅黑" w:cs="微软雅黑"/>
      <w:sz w:val="21"/>
      <w:szCs w:val="21"/>
    </w:rPr>
  </w:style>
  <w:style w:type="character" w:customStyle="1" w:styleId="108">
    <w:name w:val="next3"/>
    <w:basedOn w:val="31"/>
    <w:qFormat/>
    <w:uiPriority w:val="0"/>
    <w:rPr>
      <w:color w:val="888888"/>
    </w:rPr>
  </w:style>
  <w:style w:type="character" w:customStyle="1" w:styleId="109">
    <w:name w:val="prev"/>
    <w:basedOn w:val="31"/>
    <w:qFormat/>
    <w:uiPriority w:val="0"/>
    <w:rPr>
      <w:color w:val="888888"/>
    </w:rPr>
  </w:style>
  <w:style w:type="character" w:customStyle="1" w:styleId="110">
    <w:name w:val="prev1"/>
    <w:basedOn w:val="31"/>
    <w:qFormat/>
    <w:uiPriority w:val="0"/>
    <w:rPr>
      <w:rFonts w:hint="eastAsia" w:ascii="微软雅黑" w:hAnsi="微软雅黑" w:eastAsia="微软雅黑" w:cs="微软雅黑"/>
      <w:sz w:val="21"/>
      <w:szCs w:val="21"/>
    </w:rPr>
  </w:style>
  <w:style w:type="paragraph" w:customStyle="1" w:styleId="111">
    <w:name w:val="首行缩进:2字符"/>
    <w:basedOn w:val="1"/>
    <w:qFormat/>
    <w:uiPriority w:val="0"/>
    <w:pPr>
      <w:spacing w:line="360" w:lineRule="auto"/>
      <w:ind w:firstLine="200" w:firstLineChars="200"/>
      <w:jc w:val="left"/>
    </w:pPr>
    <w:rPr>
      <w:rFonts w:ascii="Times New Roman" w:hAnsi="Times New Roman"/>
      <w:sz w:val="24"/>
      <w:szCs w:val="24"/>
    </w:rPr>
  </w:style>
  <w:style w:type="paragraph" w:styleId="1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9ABAF-F62B-471E-AB20-4B93ABF3ABA8}">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48</Pages>
  <Words>3170</Words>
  <Characters>18071</Characters>
  <Lines>150</Lines>
  <Paragraphs>42</Paragraphs>
  <TotalTime>48</TotalTime>
  <ScaleCrop>false</ScaleCrop>
  <LinksUpToDate>false</LinksUpToDate>
  <CharactersWithSpaces>21199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2020-07-25T01:52:00Z</dcterms:created>
  <dc:creator>Administrator</dc:creator>
  <cp:lastModifiedBy>®</cp:lastModifiedBy>
  <cp:lastPrinted>2023-10-18T07:01:54Z</cp:lastPrinted>
  <dcterms:modified xsi:type="dcterms:W3CDTF">2023-10-18T07:47:50Z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8843FCB7E19749E9BF275E789BAA250F_13</vt:lpwstr>
  </property>
  <property fmtid="{D5CDD505-2E9C-101B-9397-08002B2CF9AE}" pid="4" name="commondata">
    <vt:lpwstr>eyJoZGlkIjoiOTQwNDY4MTJjOTczYjQ2ZmM2MWJlZmNkMDcxZWVlMWEifQ==</vt:lpwstr>
  </property>
</Properties>
</file>