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outlineLvl w:val="0"/>
        <w:rPr>
          <w:rFonts w:ascii="宋体" w:hAnsi="宋体" w:cs="宋体"/>
          <w:b/>
          <w:sz w:val="30"/>
        </w:rPr>
      </w:pPr>
      <w:bookmarkStart w:id="0" w:name="_Toc11909"/>
      <w:bookmarkStart w:id="1" w:name="_Toc6721"/>
      <w:r>
        <w:rPr>
          <w:rFonts w:hint="eastAsia" w:ascii="宋体" w:hAnsi="宋体" w:cs="宋体"/>
          <w:b/>
          <w:sz w:val="30"/>
        </w:rPr>
        <w:t>政府采购项目</w:t>
      </w:r>
      <w:bookmarkEnd w:id="0"/>
      <w:bookmarkEnd w:id="1"/>
    </w:p>
    <w:p>
      <w:pPr>
        <w:adjustRightInd w:val="0"/>
        <w:snapToGrid w:val="0"/>
        <w:spacing w:line="360" w:lineRule="auto"/>
        <w:jc w:val="left"/>
        <w:outlineLvl w:val="0"/>
        <w:rPr>
          <w:rFonts w:hint="eastAsia" w:ascii="宋体" w:hAnsi="宋体" w:eastAsia="宋体" w:cs="宋体"/>
          <w:b/>
          <w:bCs/>
          <w:sz w:val="30"/>
          <w:lang w:eastAsia="zh-CN"/>
        </w:rPr>
      </w:pPr>
      <w:bookmarkStart w:id="2" w:name="_Toc9434"/>
      <w:bookmarkStart w:id="3" w:name="_Toc17556"/>
      <w:r>
        <w:rPr>
          <w:rFonts w:hint="eastAsia" w:ascii="宋体" w:hAnsi="宋体" w:cs="宋体"/>
          <w:b/>
          <w:sz w:val="30"/>
        </w:rPr>
        <w:t>项目编号：</w:t>
      </w:r>
      <w:bookmarkEnd w:id="2"/>
      <w:r>
        <w:rPr>
          <w:rFonts w:hint="eastAsia" w:ascii="宋体" w:hAnsi="宋体" w:cs="宋体"/>
          <w:b/>
          <w:bCs/>
          <w:kern w:val="0"/>
          <w:sz w:val="24"/>
          <w:szCs w:val="24"/>
          <w:lang w:eastAsia="zh-CN"/>
        </w:rPr>
        <w:t>SXWZ2023ZB-YXY-262</w:t>
      </w:r>
      <w:bookmarkEnd w:id="3"/>
    </w:p>
    <w:p>
      <w:pPr>
        <w:adjustRightInd w:val="0"/>
        <w:snapToGrid w:val="0"/>
        <w:spacing w:line="360" w:lineRule="auto"/>
        <w:jc w:val="left"/>
        <w:rPr>
          <w:rFonts w:ascii="宋体" w:hAnsi="宋体" w:cs="宋体"/>
          <w:b/>
          <w:sz w:val="30"/>
        </w:rPr>
      </w:pPr>
    </w:p>
    <w:p>
      <w:pPr>
        <w:adjustRightInd w:val="0"/>
        <w:snapToGrid w:val="0"/>
        <w:spacing w:line="360" w:lineRule="auto"/>
        <w:jc w:val="center"/>
        <w:rPr>
          <w:rFonts w:ascii="宋体" w:hAnsi="宋体" w:cs="宋体"/>
          <w:b/>
          <w:sz w:val="40"/>
          <w:szCs w:val="32"/>
        </w:rPr>
      </w:pPr>
    </w:p>
    <w:p>
      <w:pPr>
        <w:adjustRightInd w:val="0"/>
        <w:snapToGrid w:val="0"/>
        <w:spacing w:line="360" w:lineRule="auto"/>
        <w:jc w:val="center"/>
        <w:outlineLvl w:val="0"/>
        <w:rPr>
          <w:rFonts w:hint="eastAsia" w:ascii="宋体" w:hAnsi="宋体" w:cs="宋体"/>
          <w:b/>
          <w:sz w:val="40"/>
          <w:szCs w:val="32"/>
          <w:lang w:eastAsia="zh-CN"/>
        </w:rPr>
      </w:pPr>
      <w:bookmarkStart w:id="4" w:name="_Toc6987"/>
      <w:r>
        <w:rPr>
          <w:rFonts w:hint="eastAsia" w:ascii="宋体" w:hAnsi="宋体" w:cs="宋体"/>
          <w:b/>
          <w:sz w:val="40"/>
          <w:szCs w:val="32"/>
          <w:lang w:eastAsia="zh-CN"/>
        </w:rPr>
        <w:t>西安医学院教学质量监测与评估系统</w:t>
      </w:r>
      <w:bookmarkEnd w:id="4"/>
    </w:p>
    <w:p>
      <w:pPr>
        <w:adjustRightInd w:val="0"/>
        <w:snapToGrid w:val="0"/>
        <w:spacing w:line="360" w:lineRule="auto"/>
        <w:jc w:val="center"/>
        <w:outlineLvl w:val="0"/>
        <w:rPr>
          <w:rFonts w:ascii="宋体" w:hAnsi="宋体" w:cs="宋体"/>
          <w:b/>
          <w:sz w:val="40"/>
          <w:szCs w:val="32"/>
        </w:rPr>
      </w:pPr>
      <w:bookmarkStart w:id="5" w:name="_Toc28739"/>
      <w:r>
        <w:rPr>
          <w:rFonts w:hint="eastAsia" w:ascii="宋体" w:hAnsi="宋体" w:cs="宋体"/>
          <w:b/>
          <w:sz w:val="40"/>
          <w:szCs w:val="32"/>
          <w:lang w:eastAsia="zh-CN"/>
        </w:rPr>
        <w:t>建设采购项目</w:t>
      </w:r>
      <w:bookmarkEnd w:id="5"/>
      <w:r>
        <w:rPr>
          <w:rFonts w:hint="eastAsia" w:ascii="宋体" w:hAnsi="宋体" w:cs="宋体"/>
          <w:b/>
          <w:sz w:val="40"/>
          <w:szCs w:val="32"/>
        </w:rPr>
        <w:t xml:space="preserve"> </w:t>
      </w:r>
    </w:p>
    <w:p>
      <w:pPr>
        <w:adjustRightInd w:val="0"/>
        <w:snapToGrid w:val="0"/>
        <w:spacing w:line="360" w:lineRule="auto"/>
        <w:jc w:val="left"/>
        <w:rPr>
          <w:rFonts w:ascii="宋体" w:hAnsi="宋体" w:cs="宋体"/>
          <w:b/>
          <w:sz w:val="30"/>
        </w:rPr>
      </w:pPr>
    </w:p>
    <w:p>
      <w:pPr>
        <w:adjustRightInd w:val="0"/>
        <w:snapToGrid w:val="0"/>
        <w:spacing w:line="360" w:lineRule="auto"/>
        <w:jc w:val="left"/>
        <w:rPr>
          <w:rFonts w:ascii="宋体" w:hAnsi="宋体" w:cs="宋体"/>
          <w:b/>
          <w:sz w:val="52"/>
          <w:szCs w:val="52"/>
        </w:rPr>
      </w:pPr>
      <w:r>
        <w:rPr>
          <w:rFonts w:hint="eastAsia" w:ascii="宋体" w:hAnsi="宋体" w:cs="宋体"/>
        </w:rPr>
        <w:drawing>
          <wp:anchor distT="0" distB="0" distL="114300" distR="114300" simplePos="0" relativeHeight="251660288" behindDoc="1" locked="0" layoutInCell="1" allowOverlap="1">
            <wp:simplePos x="0" y="0"/>
            <wp:positionH relativeFrom="column">
              <wp:posOffset>1568450</wp:posOffset>
            </wp:positionH>
            <wp:positionV relativeFrom="paragraph">
              <wp:posOffset>305435</wp:posOffset>
            </wp:positionV>
            <wp:extent cx="2312670" cy="1447800"/>
            <wp:effectExtent l="0" t="0" r="11430" b="0"/>
            <wp:wrapTight wrapText="bothSides">
              <wp:wrapPolygon>
                <wp:start x="0" y="0"/>
                <wp:lineTo x="0" y="21316"/>
                <wp:lineTo x="21351" y="21316"/>
                <wp:lineTo x="21351" y="0"/>
                <wp:lineTo x="0"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6"/>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left"/>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outlineLvl w:val="0"/>
        <w:rPr>
          <w:rFonts w:ascii="宋体" w:hAnsi="宋体" w:cs="宋体"/>
          <w:b/>
          <w:sz w:val="30"/>
        </w:rPr>
      </w:pPr>
      <w:bookmarkStart w:id="6" w:name="_Toc10361"/>
      <w:bookmarkStart w:id="7" w:name="_Toc6001"/>
      <w:r>
        <w:rPr>
          <w:rFonts w:hint="eastAsia" w:ascii="宋体" w:hAnsi="宋体" w:cs="宋体"/>
          <w:b/>
          <w:sz w:val="72"/>
          <w:szCs w:val="72"/>
        </w:rPr>
        <w:t>竞争性磋商文件</w:t>
      </w:r>
      <w:bookmarkEnd w:id="6"/>
      <w:bookmarkEnd w:id="7"/>
    </w:p>
    <w:p>
      <w:pPr>
        <w:adjustRightInd w:val="0"/>
        <w:snapToGrid w:val="0"/>
        <w:spacing w:line="360" w:lineRule="auto"/>
        <w:jc w:val="left"/>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ind w:firstLine="1606" w:firstLineChars="500"/>
        <w:rPr>
          <w:rFonts w:ascii="宋体" w:hAnsi="宋体" w:cs="宋体"/>
          <w:b/>
          <w:sz w:val="32"/>
          <w:szCs w:val="32"/>
        </w:rPr>
      </w:pPr>
      <w:r>
        <w:rPr>
          <w:rFonts w:hint="eastAsia" w:ascii="宋体" w:hAnsi="宋体" w:cs="宋体"/>
          <w:b/>
          <w:sz w:val="32"/>
          <w:szCs w:val="32"/>
        </w:rPr>
        <w:t>采   购   人：西安医学院</w:t>
      </w:r>
    </w:p>
    <w:p>
      <w:pPr>
        <w:adjustRightInd w:val="0"/>
        <w:snapToGrid w:val="0"/>
        <w:spacing w:line="360" w:lineRule="auto"/>
        <w:jc w:val="center"/>
        <w:outlineLvl w:val="0"/>
        <w:rPr>
          <w:rFonts w:ascii="宋体" w:hAnsi="宋体" w:cs="宋体"/>
          <w:b/>
          <w:sz w:val="32"/>
          <w:szCs w:val="32"/>
        </w:rPr>
      </w:pPr>
      <w:bookmarkStart w:id="8" w:name="_Toc32413"/>
      <w:bookmarkStart w:id="9" w:name="_Toc23378"/>
      <w:r>
        <w:rPr>
          <w:rFonts w:hint="eastAsia" w:ascii="宋体" w:hAnsi="宋体" w:cs="宋体"/>
          <w:b/>
          <w:sz w:val="32"/>
          <w:szCs w:val="32"/>
        </w:rPr>
        <w:t>采购代理机构：陕西万泽招标有限公司</w:t>
      </w:r>
      <w:bookmarkEnd w:id="8"/>
      <w:bookmarkEnd w:id="9"/>
    </w:p>
    <w:p>
      <w:pPr>
        <w:jc w:val="center"/>
        <w:rPr>
          <w:rFonts w:hint="eastAsia" w:ascii="宋体" w:hAnsi="宋体" w:cs="宋体"/>
          <w:b/>
          <w:sz w:val="32"/>
          <w:szCs w:val="32"/>
        </w:rPr>
      </w:pPr>
      <w:r>
        <w:rPr>
          <w:rFonts w:hint="eastAsia" w:ascii="宋体" w:hAnsi="宋体" w:cs="宋体"/>
          <w:b/>
          <w:sz w:val="32"/>
          <w:szCs w:val="32"/>
        </w:rPr>
        <w:t>二〇二</w:t>
      </w:r>
      <w:r>
        <w:rPr>
          <w:rFonts w:hint="eastAsia" w:ascii="宋体" w:hAnsi="宋体" w:cs="宋体"/>
          <w:b/>
          <w:sz w:val="32"/>
          <w:szCs w:val="32"/>
          <w:lang w:eastAsia="zh-CN"/>
        </w:rPr>
        <w:t>三</w:t>
      </w:r>
      <w:r>
        <w:rPr>
          <w:rFonts w:hint="eastAsia" w:ascii="宋体" w:hAnsi="宋体" w:cs="宋体"/>
          <w:b/>
          <w:sz w:val="32"/>
          <w:szCs w:val="32"/>
        </w:rPr>
        <w:t>年</w:t>
      </w:r>
      <w:r>
        <w:rPr>
          <w:rFonts w:hint="eastAsia" w:ascii="宋体" w:hAnsi="宋体" w:cs="宋体"/>
          <w:b/>
          <w:sz w:val="32"/>
          <w:szCs w:val="32"/>
          <w:lang w:val="en-US" w:eastAsia="zh-CN"/>
        </w:rPr>
        <w:t>十</w:t>
      </w:r>
      <w:r>
        <w:rPr>
          <w:rFonts w:hint="eastAsia" w:ascii="宋体" w:hAnsi="宋体" w:cs="宋体"/>
          <w:b/>
          <w:sz w:val="32"/>
          <w:szCs w:val="32"/>
        </w:rPr>
        <w:t>月</w:t>
      </w:r>
    </w:p>
    <w:p>
      <w:pPr>
        <w:rPr>
          <w:rFonts w:hint="eastAsia" w:ascii="宋体" w:hAnsi="宋体" w:cs="宋体"/>
          <w:b/>
          <w:sz w:val="32"/>
          <w:szCs w:val="32"/>
        </w:rPr>
      </w:pPr>
      <w:r>
        <w:rPr>
          <w:rFonts w:hint="eastAsia" w:ascii="宋体" w:hAnsi="宋体" w:cs="宋体"/>
          <w:b/>
          <w:sz w:val="32"/>
          <w:szCs w:val="32"/>
        </w:rPr>
        <w:br w:type="page"/>
      </w:r>
    </w:p>
    <w:sdt>
      <w:sdtPr>
        <w:rPr>
          <w:rFonts w:ascii="宋体" w:hAnsi="宋体" w:eastAsia="宋体" w:cs="Times New Roman"/>
          <w:kern w:val="2"/>
          <w:sz w:val="21"/>
          <w:szCs w:val="22"/>
          <w:lang w:val="en-US" w:eastAsia="zh-CN" w:bidi="ar-SA"/>
        </w:rPr>
        <w:id w:val="147476150"/>
        <w15:color w:val="DBDBDB"/>
        <w:docPartObj>
          <w:docPartGallery w:val="Table of Contents"/>
          <w:docPartUnique/>
        </w:docPartObj>
      </w:sdtPr>
      <w:sdtEndPr>
        <w:rPr>
          <w:rFonts w:ascii="宋体" w:hAnsi="宋体" w:eastAsia="宋体" w:cs="Times New Roman"/>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10" w:name="_Toc26575"/>
          <w:bookmarkStart w:id="11" w:name="_Toc27507"/>
          <w:bookmarkStart w:id="12" w:name="_Toc27511"/>
          <w:bookmarkStart w:id="13" w:name="_Toc24773"/>
          <w:r>
            <w:rPr>
              <w:rFonts w:ascii="宋体" w:hAnsi="宋体" w:eastAsia="宋体"/>
              <w:sz w:val="21"/>
            </w:rPr>
            <w:t>目录</w:t>
          </w:r>
        </w:p>
        <w:p>
          <w:pPr>
            <w:pStyle w:val="13"/>
            <w:tabs>
              <w:tab w:val="right" w:leader="dot" w:pos="8400"/>
            </w:tabs>
          </w:pPr>
          <w:r>
            <w:fldChar w:fldCharType="begin"/>
          </w:r>
          <w:r>
            <w:instrText xml:space="preserve">TOC \o "1-2" \h \u </w:instrText>
          </w:r>
          <w:r>
            <w:fldChar w:fldCharType="separate"/>
          </w:r>
        </w:p>
        <w:p>
          <w:pPr>
            <w:pStyle w:val="13"/>
            <w:tabs>
              <w:tab w:val="right" w:leader="dot" w:pos="8400"/>
            </w:tabs>
          </w:pPr>
          <w:r>
            <w:fldChar w:fldCharType="begin"/>
          </w:r>
          <w:r>
            <w:instrText xml:space="preserve"> HYPERLINK \l _Toc8289 </w:instrText>
          </w:r>
          <w:r>
            <w:fldChar w:fldCharType="separate"/>
          </w:r>
          <w:r>
            <w:rPr>
              <w:rFonts w:hint="eastAsia" w:ascii="宋体" w:hAnsi="宋体" w:cs="宋体"/>
            </w:rPr>
            <w:t>第一部分 竞争性磋商公告</w:t>
          </w:r>
          <w:r>
            <w:tab/>
          </w:r>
          <w:r>
            <w:fldChar w:fldCharType="begin"/>
          </w:r>
          <w:r>
            <w:instrText xml:space="preserve"> PAGEREF _Toc8289 \h </w:instrText>
          </w:r>
          <w:r>
            <w:fldChar w:fldCharType="separate"/>
          </w:r>
          <w:r>
            <w:t>3</w:t>
          </w:r>
          <w:r>
            <w:fldChar w:fldCharType="end"/>
          </w:r>
          <w:r>
            <w:fldChar w:fldCharType="end"/>
          </w:r>
        </w:p>
        <w:p>
          <w:pPr>
            <w:pStyle w:val="13"/>
            <w:tabs>
              <w:tab w:val="right" w:leader="dot" w:pos="8400"/>
            </w:tabs>
          </w:pPr>
          <w:r>
            <w:fldChar w:fldCharType="begin"/>
          </w:r>
          <w:r>
            <w:instrText xml:space="preserve"> HYPERLINK \l _Toc8294 </w:instrText>
          </w:r>
          <w:r>
            <w:fldChar w:fldCharType="separate"/>
          </w:r>
          <w:r>
            <w:rPr>
              <w:rFonts w:hint="eastAsia" w:ascii="宋体" w:hAnsi="宋体" w:cs="宋体"/>
            </w:rPr>
            <w:t>第二部分 供应商须知前附表</w:t>
          </w:r>
          <w:r>
            <w:tab/>
          </w:r>
          <w:r>
            <w:fldChar w:fldCharType="begin"/>
          </w:r>
          <w:r>
            <w:instrText xml:space="preserve"> PAGEREF _Toc8294 \h </w:instrText>
          </w:r>
          <w:r>
            <w:fldChar w:fldCharType="separate"/>
          </w:r>
          <w:r>
            <w:t>5</w:t>
          </w:r>
          <w:r>
            <w:fldChar w:fldCharType="end"/>
          </w:r>
          <w:r>
            <w:fldChar w:fldCharType="end"/>
          </w:r>
        </w:p>
        <w:p>
          <w:pPr>
            <w:pStyle w:val="13"/>
            <w:tabs>
              <w:tab w:val="right" w:leader="dot" w:pos="8400"/>
            </w:tabs>
          </w:pPr>
          <w:r>
            <w:fldChar w:fldCharType="begin"/>
          </w:r>
          <w:r>
            <w:instrText xml:space="preserve"> HYPERLINK \l _Toc17091 </w:instrText>
          </w:r>
          <w:r>
            <w:fldChar w:fldCharType="separate"/>
          </w:r>
          <w:r>
            <w:rPr>
              <w:rFonts w:hint="eastAsia" w:ascii="宋体" w:hAnsi="宋体" w:cs="宋体"/>
            </w:rPr>
            <w:t>第三部分 供应商须知</w:t>
          </w:r>
          <w:r>
            <w:tab/>
          </w:r>
          <w:r>
            <w:fldChar w:fldCharType="begin"/>
          </w:r>
          <w:r>
            <w:instrText xml:space="preserve"> PAGEREF _Toc17091 \h </w:instrText>
          </w:r>
          <w:r>
            <w:fldChar w:fldCharType="separate"/>
          </w:r>
          <w:r>
            <w:t>9</w:t>
          </w:r>
          <w:r>
            <w:fldChar w:fldCharType="end"/>
          </w:r>
          <w:r>
            <w:fldChar w:fldCharType="end"/>
          </w:r>
        </w:p>
        <w:p>
          <w:pPr>
            <w:pStyle w:val="14"/>
            <w:tabs>
              <w:tab w:val="right" w:leader="dot" w:pos="8400"/>
            </w:tabs>
          </w:pPr>
          <w:r>
            <w:fldChar w:fldCharType="begin"/>
          </w:r>
          <w:r>
            <w:instrText xml:space="preserve"> HYPERLINK \l _Toc14307 </w:instrText>
          </w:r>
          <w:r>
            <w:fldChar w:fldCharType="separate"/>
          </w:r>
          <w:r>
            <w:rPr>
              <w:rFonts w:hint="eastAsia" w:ascii="宋体" w:hAnsi="宋体" w:cs="Times New Roman"/>
              <w:bCs/>
              <w:kern w:val="0"/>
              <w:szCs w:val="28"/>
            </w:rPr>
            <w:t xml:space="preserve">一、 </w:t>
          </w:r>
          <w:r>
            <w:rPr>
              <w:rFonts w:hint="eastAsia" w:ascii="宋体" w:hAnsi="宋体" w:cs="宋体"/>
              <w:bCs/>
              <w:kern w:val="0"/>
              <w:szCs w:val="28"/>
            </w:rPr>
            <w:t>总则</w:t>
          </w:r>
          <w:r>
            <w:tab/>
          </w:r>
          <w:r>
            <w:fldChar w:fldCharType="begin"/>
          </w:r>
          <w:r>
            <w:instrText xml:space="preserve"> PAGEREF _Toc14307 \h </w:instrText>
          </w:r>
          <w:r>
            <w:fldChar w:fldCharType="separate"/>
          </w:r>
          <w:r>
            <w:t>9</w:t>
          </w:r>
          <w:r>
            <w:fldChar w:fldCharType="end"/>
          </w:r>
          <w:r>
            <w:fldChar w:fldCharType="end"/>
          </w:r>
        </w:p>
        <w:p>
          <w:pPr>
            <w:pStyle w:val="14"/>
            <w:tabs>
              <w:tab w:val="right" w:leader="dot" w:pos="8400"/>
            </w:tabs>
          </w:pPr>
          <w:r>
            <w:fldChar w:fldCharType="begin"/>
          </w:r>
          <w:r>
            <w:instrText xml:space="preserve"> HYPERLINK \l _Toc31243 </w:instrText>
          </w:r>
          <w:r>
            <w:fldChar w:fldCharType="separate"/>
          </w:r>
          <w:r>
            <w:rPr>
              <w:rFonts w:hint="eastAsia" w:ascii="宋体" w:hAnsi="宋体" w:cs="Times New Roman"/>
              <w:bCs/>
              <w:kern w:val="0"/>
              <w:szCs w:val="28"/>
            </w:rPr>
            <w:t xml:space="preserve">二、 </w:t>
          </w:r>
          <w:r>
            <w:rPr>
              <w:rFonts w:hint="eastAsia" w:ascii="宋体" w:hAnsi="宋体" w:cs="宋体"/>
              <w:bCs/>
              <w:kern w:val="0"/>
              <w:szCs w:val="28"/>
            </w:rPr>
            <w:t>竞争性磋商文件</w:t>
          </w:r>
          <w:r>
            <w:tab/>
          </w:r>
          <w:r>
            <w:fldChar w:fldCharType="begin"/>
          </w:r>
          <w:r>
            <w:instrText xml:space="preserve"> PAGEREF _Toc31243 \h </w:instrText>
          </w:r>
          <w:r>
            <w:fldChar w:fldCharType="separate"/>
          </w:r>
          <w:r>
            <w:t>11</w:t>
          </w:r>
          <w:r>
            <w:fldChar w:fldCharType="end"/>
          </w:r>
          <w:r>
            <w:fldChar w:fldCharType="end"/>
          </w:r>
        </w:p>
        <w:p>
          <w:pPr>
            <w:pStyle w:val="14"/>
            <w:tabs>
              <w:tab w:val="right" w:leader="dot" w:pos="8400"/>
            </w:tabs>
          </w:pPr>
          <w:r>
            <w:fldChar w:fldCharType="begin"/>
          </w:r>
          <w:r>
            <w:instrText xml:space="preserve"> HYPERLINK \l _Toc21116 </w:instrText>
          </w:r>
          <w:r>
            <w:fldChar w:fldCharType="separate"/>
          </w:r>
          <w:r>
            <w:rPr>
              <w:rFonts w:hint="eastAsia" w:ascii="宋体" w:hAnsi="宋体" w:cs="Times New Roman"/>
              <w:bCs/>
              <w:kern w:val="0"/>
              <w:szCs w:val="28"/>
            </w:rPr>
            <w:t xml:space="preserve">三、 </w:t>
          </w:r>
          <w:r>
            <w:rPr>
              <w:rFonts w:hint="eastAsia" w:ascii="宋体" w:hAnsi="宋体" w:cs="宋体"/>
              <w:bCs/>
              <w:kern w:val="0"/>
              <w:szCs w:val="28"/>
            </w:rPr>
            <w:t>磋商响应文件</w:t>
          </w:r>
          <w:r>
            <w:tab/>
          </w:r>
          <w:r>
            <w:fldChar w:fldCharType="begin"/>
          </w:r>
          <w:r>
            <w:instrText xml:space="preserve"> PAGEREF _Toc21116 \h </w:instrText>
          </w:r>
          <w:r>
            <w:fldChar w:fldCharType="separate"/>
          </w:r>
          <w:r>
            <w:t>13</w:t>
          </w:r>
          <w:r>
            <w:fldChar w:fldCharType="end"/>
          </w:r>
          <w:r>
            <w:fldChar w:fldCharType="end"/>
          </w:r>
        </w:p>
        <w:p>
          <w:pPr>
            <w:pStyle w:val="14"/>
            <w:tabs>
              <w:tab w:val="right" w:leader="dot" w:pos="8400"/>
            </w:tabs>
          </w:pPr>
          <w:r>
            <w:fldChar w:fldCharType="begin"/>
          </w:r>
          <w:r>
            <w:instrText xml:space="preserve"> HYPERLINK \l _Toc29098 </w:instrText>
          </w:r>
          <w:r>
            <w:fldChar w:fldCharType="separate"/>
          </w:r>
          <w:r>
            <w:rPr>
              <w:rFonts w:hint="eastAsia" w:ascii="宋体" w:hAnsi="宋体" w:cs="Times New Roman"/>
              <w:bCs/>
              <w:kern w:val="0"/>
              <w:szCs w:val="28"/>
            </w:rPr>
            <w:t xml:space="preserve">四、 </w:t>
          </w:r>
          <w:r>
            <w:rPr>
              <w:rFonts w:hint="eastAsia" w:ascii="宋体" w:hAnsi="宋体" w:cs="宋体"/>
              <w:bCs/>
              <w:kern w:val="0"/>
              <w:szCs w:val="28"/>
            </w:rPr>
            <w:t>磋商响应文件的递交</w:t>
          </w:r>
          <w:r>
            <w:tab/>
          </w:r>
          <w:r>
            <w:fldChar w:fldCharType="begin"/>
          </w:r>
          <w:r>
            <w:instrText xml:space="preserve"> PAGEREF _Toc29098 \h </w:instrText>
          </w:r>
          <w:r>
            <w:fldChar w:fldCharType="separate"/>
          </w:r>
          <w:r>
            <w:t>16</w:t>
          </w:r>
          <w:r>
            <w:fldChar w:fldCharType="end"/>
          </w:r>
          <w:r>
            <w:fldChar w:fldCharType="end"/>
          </w:r>
        </w:p>
        <w:p>
          <w:pPr>
            <w:pStyle w:val="14"/>
            <w:tabs>
              <w:tab w:val="right" w:leader="dot" w:pos="8400"/>
            </w:tabs>
          </w:pPr>
          <w:r>
            <w:fldChar w:fldCharType="begin"/>
          </w:r>
          <w:r>
            <w:instrText xml:space="preserve"> HYPERLINK \l _Toc17690 </w:instrText>
          </w:r>
          <w:r>
            <w:fldChar w:fldCharType="separate"/>
          </w:r>
          <w:r>
            <w:rPr>
              <w:rFonts w:hint="eastAsia" w:ascii="宋体" w:hAnsi="宋体" w:cs="Times New Roman"/>
              <w:bCs/>
              <w:kern w:val="0"/>
              <w:szCs w:val="28"/>
            </w:rPr>
            <w:t xml:space="preserve">五、 </w:t>
          </w:r>
          <w:r>
            <w:rPr>
              <w:rFonts w:hint="eastAsia" w:ascii="宋体" w:hAnsi="宋体" w:cs="宋体"/>
              <w:bCs/>
              <w:kern w:val="0"/>
              <w:szCs w:val="28"/>
            </w:rPr>
            <w:t>磋商、评审、定标</w:t>
          </w:r>
          <w:r>
            <w:tab/>
          </w:r>
          <w:r>
            <w:fldChar w:fldCharType="begin"/>
          </w:r>
          <w:r>
            <w:instrText xml:space="preserve"> PAGEREF _Toc17690 \h </w:instrText>
          </w:r>
          <w:r>
            <w:fldChar w:fldCharType="separate"/>
          </w:r>
          <w:r>
            <w:t>17</w:t>
          </w:r>
          <w:r>
            <w:fldChar w:fldCharType="end"/>
          </w:r>
          <w:r>
            <w:fldChar w:fldCharType="end"/>
          </w:r>
        </w:p>
        <w:p>
          <w:pPr>
            <w:pStyle w:val="14"/>
            <w:tabs>
              <w:tab w:val="right" w:leader="dot" w:pos="8400"/>
            </w:tabs>
          </w:pPr>
          <w:r>
            <w:fldChar w:fldCharType="begin"/>
          </w:r>
          <w:r>
            <w:instrText xml:space="preserve"> HYPERLINK \l _Toc21718 </w:instrText>
          </w:r>
          <w:r>
            <w:fldChar w:fldCharType="separate"/>
          </w:r>
          <w:r>
            <w:rPr>
              <w:rFonts w:hint="eastAsia" w:ascii="宋体" w:hAnsi="宋体" w:cs="Times New Roman"/>
              <w:bCs/>
              <w:kern w:val="0"/>
              <w:szCs w:val="28"/>
            </w:rPr>
            <w:t xml:space="preserve">六、 </w:t>
          </w:r>
          <w:r>
            <w:rPr>
              <w:rFonts w:hint="eastAsia" w:ascii="宋体" w:hAnsi="宋体" w:cs="宋体"/>
              <w:bCs/>
              <w:kern w:val="0"/>
              <w:szCs w:val="28"/>
            </w:rPr>
            <w:t>签订合同</w:t>
          </w:r>
          <w:r>
            <w:tab/>
          </w:r>
          <w:r>
            <w:fldChar w:fldCharType="begin"/>
          </w:r>
          <w:r>
            <w:instrText xml:space="preserve"> PAGEREF _Toc21718 \h </w:instrText>
          </w:r>
          <w:r>
            <w:fldChar w:fldCharType="separate"/>
          </w:r>
          <w:r>
            <w:t>20</w:t>
          </w:r>
          <w:r>
            <w:fldChar w:fldCharType="end"/>
          </w:r>
          <w:r>
            <w:fldChar w:fldCharType="end"/>
          </w:r>
        </w:p>
        <w:p>
          <w:pPr>
            <w:pStyle w:val="14"/>
            <w:tabs>
              <w:tab w:val="right" w:leader="dot" w:pos="8400"/>
            </w:tabs>
          </w:pPr>
          <w:r>
            <w:fldChar w:fldCharType="begin"/>
          </w:r>
          <w:r>
            <w:instrText xml:space="preserve"> HYPERLINK \l _Toc196 </w:instrText>
          </w:r>
          <w:r>
            <w:fldChar w:fldCharType="separate"/>
          </w:r>
          <w:r>
            <w:rPr>
              <w:rFonts w:hint="eastAsia" w:ascii="宋体" w:hAnsi="宋体" w:cs="Times New Roman"/>
              <w:bCs/>
              <w:kern w:val="0"/>
              <w:szCs w:val="28"/>
            </w:rPr>
            <w:t xml:space="preserve">七、 </w:t>
          </w:r>
          <w:r>
            <w:rPr>
              <w:rFonts w:hint="eastAsia" w:ascii="宋体" w:hAnsi="宋体" w:cs="宋体"/>
              <w:bCs/>
              <w:kern w:val="0"/>
              <w:szCs w:val="28"/>
            </w:rPr>
            <w:t>代理服务费</w:t>
          </w:r>
          <w:r>
            <w:tab/>
          </w:r>
          <w:r>
            <w:fldChar w:fldCharType="begin"/>
          </w:r>
          <w:r>
            <w:instrText xml:space="preserve"> PAGEREF _Toc196 \h </w:instrText>
          </w:r>
          <w:r>
            <w:fldChar w:fldCharType="separate"/>
          </w:r>
          <w:r>
            <w:t>21</w:t>
          </w:r>
          <w:r>
            <w:fldChar w:fldCharType="end"/>
          </w:r>
          <w:r>
            <w:fldChar w:fldCharType="end"/>
          </w:r>
        </w:p>
        <w:p>
          <w:pPr>
            <w:pStyle w:val="14"/>
            <w:tabs>
              <w:tab w:val="right" w:leader="dot" w:pos="8400"/>
            </w:tabs>
          </w:pPr>
          <w:r>
            <w:fldChar w:fldCharType="begin"/>
          </w:r>
          <w:r>
            <w:instrText xml:space="preserve"> HYPERLINK \l _Toc3231 </w:instrText>
          </w:r>
          <w:r>
            <w:fldChar w:fldCharType="separate"/>
          </w:r>
          <w:r>
            <w:rPr>
              <w:rFonts w:hint="eastAsia" w:ascii="宋体" w:hAnsi="宋体" w:cs="Times New Roman"/>
              <w:bCs/>
              <w:kern w:val="0"/>
              <w:szCs w:val="28"/>
            </w:rPr>
            <w:t xml:space="preserve">八、 </w:t>
          </w:r>
          <w:r>
            <w:rPr>
              <w:rFonts w:hint="eastAsia" w:ascii="宋体" w:hAnsi="宋体" w:cs="宋体"/>
              <w:bCs/>
              <w:kern w:val="0"/>
              <w:szCs w:val="28"/>
            </w:rPr>
            <w:t>质疑和投诉</w:t>
          </w:r>
          <w:r>
            <w:tab/>
          </w:r>
          <w:r>
            <w:fldChar w:fldCharType="begin"/>
          </w:r>
          <w:r>
            <w:instrText xml:space="preserve"> PAGEREF _Toc3231 \h </w:instrText>
          </w:r>
          <w:r>
            <w:fldChar w:fldCharType="separate"/>
          </w:r>
          <w:r>
            <w:t>21</w:t>
          </w:r>
          <w:r>
            <w:fldChar w:fldCharType="end"/>
          </w:r>
          <w:r>
            <w:fldChar w:fldCharType="end"/>
          </w:r>
        </w:p>
        <w:p>
          <w:pPr>
            <w:pStyle w:val="13"/>
            <w:tabs>
              <w:tab w:val="right" w:leader="dot" w:pos="8400"/>
            </w:tabs>
          </w:pPr>
          <w:r>
            <w:fldChar w:fldCharType="begin"/>
          </w:r>
          <w:r>
            <w:instrText xml:space="preserve"> HYPERLINK \l _Toc11658 </w:instrText>
          </w:r>
          <w:r>
            <w:fldChar w:fldCharType="separate"/>
          </w:r>
          <w:r>
            <w:rPr>
              <w:rFonts w:hint="eastAsia"/>
            </w:rPr>
            <w:t>第四部分 评审标准</w:t>
          </w:r>
          <w:r>
            <w:tab/>
          </w:r>
          <w:r>
            <w:fldChar w:fldCharType="begin"/>
          </w:r>
          <w:r>
            <w:instrText xml:space="preserve"> PAGEREF _Toc11658 \h </w:instrText>
          </w:r>
          <w:r>
            <w:fldChar w:fldCharType="separate"/>
          </w:r>
          <w:r>
            <w:t>23</w:t>
          </w:r>
          <w:r>
            <w:fldChar w:fldCharType="end"/>
          </w:r>
          <w:r>
            <w:fldChar w:fldCharType="end"/>
          </w:r>
        </w:p>
        <w:p>
          <w:pPr>
            <w:pStyle w:val="13"/>
            <w:tabs>
              <w:tab w:val="right" w:leader="dot" w:pos="8400"/>
            </w:tabs>
          </w:pPr>
          <w:r>
            <w:fldChar w:fldCharType="begin"/>
          </w:r>
          <w:r>
            <w:instrText xml:space="preserve"> HYPERLINK \l _Toc25346 </w:instrText>
          </w:r>
          <w:r>
            <w:fldChar w:fldCharType="separate"/>
          </w:r>
          <w:r>
            <w:rPr>
              <w:rFonts w:ascii="宋体" w:hAnsi="宋体" w:cs="宋体"/>
            </w:rPr>
            <w:t>第五部</w:t>
          </w:r>
          <w:r>
            <w:rPr>
              <w:rFonts w:hint="eastAsia" w:ascii="宋体" w:hAnsi="宋体" w:cs="宋体"/>
            </w:rPr>
            <w:t>分 采购要求</w:t>
          </w:r>
          <w:r>
            <w:tab/>
          </w:r>
          <w:r>
            <w:fldChar w:fldCharType="begin"/>
          </w:r>
          <w:r>
            <w:instrText xml:space="preserve"> PAGEREF _Toc25346 \h </w:instrText>
          </w:r>
          <w:r>
            <w:fldChar w:fldCharType="separate"/>
          </w:r>
          <w:r>
            <w:t>27</w:t>
          </w:r>
          <w:r>
            <w:fldChar w:fldCharType="end"/>
          </w:r>
          <w:r>
            <w:fldChar w:fldCharType="end"/>
          </w:r>
        </w:p>
        <w:p>
          <w:pPr>
            <w:pStyle w:val="13"/>
            <w:tabs>
              <w:tab w:val="right" w:leader="dot" w:pos="8400"/>
            </w:tabs>
          </w:pPr>
          <w:r>
            <w:fldChar w:fldCharType="begin"/>
          </w:r>
          <w:r>
            <w:instrText xml:space="preserve"> HYPERLINK \l _Toc1865 </w:instrText>
          </w:r>
          <w:r>
            <w:fldChar w:fldCharType="separate"/>
          </w:r>
          <w:r>
            <w:rPr>
              <w:rFonts w:hint="eastAsia"/>
              <w:lang w:val="en-US" w:eastAsia="zh-CN"/>
            </w:rPr>
            <w:t>第六部分 合同条款</w:t>
          </w:r>
          <w:r>
            <w:tab/>
          </w:r>
          <w:r>
            <w:fldChar w:fldCharType="begin"/>
          </w:r>
          <w:r>
            <w:instrText xml:space="preserve"> PAGEREF _Toc1865 \h </w:instrText>
          </w:r>
          <w:r>
            <w:fldChar w:fldCharType="separate"/>
          </w:r>
          <w:r>
            <w:t>48</w:t>
          </w:r>
          <w:r>
            <w:fldChar w:fldCharType="end"/>
          </w:r>
          <w:r>
            <w:fldChar w:fldCharType="end"/>
          </w:r>
        </w:p>
        <w:p>
          <w:pPr>
            <w:pStyle w:val="14"/>
            <w:tabs>
              <w:tab w:val="right" w:leader="dot" w:pos="8400"/>
            </w:tabs>
          </w:pPr>
          <w:r>
            <w:fldChar w:fldCharType="begin"/>
          </w:r>
          <w:r>
            <w:instrText xml:space="preserve"> HYPERLINK \l _Toc26875 </w:instrText>
          </w:r>
          <w:r>
            <w:fldChar w:fldCharType="separate"/>
          </w:r>
          <w:r>
            <w:rPr>
              <w:rFonts w:hint="eastAsia" w:ascii="宋体" w:hAnsi="宋体" w:cs="宋体"/>
              <w:szCs w:val="28"/>
            </w:rPr>
            <w:t>合同条款</w:t>
          </w:r>
          <w:r>
            <w:tab/>
          </w:r>
          <w:r>
            <w:fldChar w:fldCharType="begin"/>
          </w:r>
          <w:r>
            <w:instrText xml:space="preserve"> PAGEREF _Toc26875 \h </w:instrText>
          </w:r>
          <w:r>
            <w:fldChar w:fldCharType="separate"/>
          </w:r>
          <w:r>
            <w:t>49</w:t>
          </w:r>
          <w:r>
            <w:fldChar w:fldCharType="end"/>
          </w:r>
          <w:r>
            <w:fldChar w:fldCharType="end"/>
          </w:r>
        </w:p>
        <w:p>
          <w:pPr>
            <w:pStyle w:val="14"/>
            <w:tabs>
              <w:tab w:val="right" w:leader="dot" w:pos="8400"/>
            </w:tabs>
          </w:pPr>
          <w:r>
            <w:fldChar w:fldCharType="begin"/>
          </w:r>
          <w:r>
            <w:instrText xml:space="preserve"> HYPERLINK \l _Toc5141 </w:instrText>
          </w:r>
          <w:r>
            <w:fldChar w:fldCharType="separate"/>
          </w:r>
          <w:r>
            <w:rPr>
              <w:rFonts w:hint="eastAsia" w:asciiTheme="majorEastAsia" w:hAnsiTheme="majorEastAsia" w:eastAsiaTheme="majorEastAsia" w:cstheme="majorEastAsia"/>
              <w:szCs w:val="24"/>
            </w:rPr>
            <w:t>合同格式</w:t>
          </w:r>
          <w:r>
            <w:tab/>
          </w:r>
          <w:r>
            <w:fldChar w:fldCharType="begin"/>
          </w:r>
          <w:r>
            <w:instrText xml:space="preserve"> PAGEREF _Toc5141 \h </w:instrText>
          </w:r>
          <w:r>
            <w:fldChar w:fldCharType="separate"/>
          </w:r>
          <w:r>
            <w:t>56</w:t>
          </w:r>
          <w:r>
            <w:fldChar w:fldCharType="end"/>
          </w:r>
          <w:r>
            <w:fldChar w:fldCharType="end"/>
          </w:r>
        </w:p>
        <w:p>
          <w:pPr>
            <w:pStyle w:val="13"/>
            <w:tabs>
              <w:tab w:val="right" w:leader="dot" w:pos="8400"/>
            </w:tabs>
          </w:pPr>
          <w:r>
            <w:fldChar w:fldCharType="begin"/>
          </w:r>
          <w:r>
            <w:instrText xml:space="preserve"> HYPERLINK \l _Toc2572 </w:instrText>
          </w:r>
          <w:r>
            <w:fldChar w:fldCharType="separate"/>
          </w:r>
          <w:r>
            <w:rPr>
              <w:rFonts w:hint="eastAsia" w:ascii="宋体" w:hAnsi="宋体" w:cs="宋体"/>
            </w:rPr>
            <w:t>第七部分 磋商响应文件格式</w:t>
          </w:r>
          <w:r>
            <w:tab/>
          </w:r>
          <w:r>
            <w:fldChar w:fldCharType="begin"/>
          </w:r>
          <w:r>
            <w:instrText xml:space="preserve"> PAGEREF _Toc2572 \h </w:instrText>
          </w:r>
          <w:r>
            <w:fldChar w:fldCharType="separate"/>
          </w:r>
          <w:r>
            <w:t>58</w:t>
          </w:r>
          <w:r>
            <w:fldChar w:fldCharType="end"/>
          </w:r>
          <w:r>
            <w:fldChar w:fldCharType="end"/>
          </w:r>
        </w:p>
        <w:p>
          <w:pPr>
            <w:pStyle w:val="14"/>
            <w:tabs>
              <w:tab w:val="right" w:leader="dot" w:pos="8400"/>
            </w:tabs>
          </w:pPr>
          <w:r>
            <w:fldChar w:fldCharType="begin"/>
          </w:r>
          <w:r>
            <w:instrText xml:space="preserve"> HYPERLINK \l _Toc12579 </w:instrText>
          </w:r>
          <w:r>
            <w:fldChar w:fldCharType="separate"/>
          </w:r>
          <w:r>
            <w:rPr>
              <w:rFonts w:hint="eastAsia"/>
            </w:rPr>
            <w:t>第一章  响应函</w:t>
          </w:r>
          <w:r>
            <w:tab/>
          </w:r>
          <w:r>
            <w:fldChar w:fldCharType="begin"/>
          </w:r>
          <w:r>
            <w:instrText xml:space="preserve"> PAGEREF _Toc12579 \h </w:instrText>
          </w:r>
          <w:r>
            <w:fldChar w:fldCharType="separate"/>
          </w:r>
          <w:r>
            <w:t>60</w:t>
          </w:r>
          <w:r>
            <w:fldChar w:fldCharType="end"/>
          </w:r>
          <w:r>
            <w:fldChar w:fldCharType="end"/>
          </w:r>
        </w:p>
        <w:p>
          <w:pPr>
            <w:pStyle w:val="14"/>
            <w:tabs>
              <w:tab w:val="right" w:leader="dot" w:pos="8400"/>
            </w:tabs>
          </w:pPr>
          <w:r>
            <w:fldChar w:fldCharType="begin"/>
          </w:r>
          <w:r>
            <w:instrText xml:space="preserve"> HYPERLINK \l _Toc32410 </w:instrText>
          </w:r>
          <w:r>
            <w:fldChar w:fldCharType="separate"/>
          </w:r>
          <w:r>
            <w:rPr>
              <w:rFonts w:hint="eastAsia" w:ascii="宋体" w:hAnsi="宋体" w:cs="宋体"/>
            </w:rPr>
            <w:t>第二</w:t>
          </w:r>
          <w:r>
            <w:rPr>
              <w:rFonts w:hint="eastAsia"/>
            </w:rPr>
            <w:t xml:space="preserve">章  </w:t>
          </w:r>
          <w:r>
            <w:rPr>
              <w:rFonts w:hint="eastAsia" w:ascii="宋体" w:hAnsi="宋体" w:cs="宋体"/>
            </w:rPr>
            <w:t>磋商一览表</w:t>
          </w:r>
          <w:r>
            <w:tab/>
          </w:r>
          <w:r>
            <w:fldChar w:fldCharType="begin"/>
          </w:r>
          <w:r>
            <w:instrText xml:space="preserve"> PAGEREF _Toc32410 \h </w:instrText>
          </w:r>
          <w:r>
            <w:fldChar w:fldCharType="separate"/>
          </w:r>
          <w:r>
            <w:t>61</w:t>
          </w:r>
          <w:r>
            <w:fldChar w:fldCharType="end"/>
          </w:r>
          <w:r>
            <w:fldChar w:fldCharType="end"/>
          </w:r>
        </w:p>
        <w:p>
          <w:pPr>
            <w:pStyle w:val="14"/>
            <w:tabs>
              <w:tab w:val="right" w:leader="dot" w:pos="8400"/>
            </w:tabs>
          </w:pPr>
          <w:r>
            <w:fldChar w:fldCharType="begin"/>
          </w:r>
          <w:r>
            <w:instrText xml:space="preserve"> HYPERLINK \l _Toc29933 </w:instrText>
          </w:r>
          <w:r>
            <w:fldChar w:fldCharType="separate"/>
          </w:r>
          <w:r>
            <w:rPr>
              <w:rFonts w:hint="eastAsia" w:hAnsi="宋体" w:cs="宋体"/>
            </w:rPr>
            <w:t>第三章</w:t>
          </w:r>
          <w:r>
            <w:rPr>
              <w:rFonts w:hint="eastAsia" w:hAnsi="宋体" w:cs="宋体"/>
              <w:lang w:val="en-US" w:eastAsia="zh-CN"/>
            </w:rPr>
            <w:t xml:space="preserve"> </w:t>
          </w:r>
          <w:r>
            <w:rPr>
              <w:rFonts w:hint="eastAsia" w:eastAsia="宋体" w:cs="Times New Roman"/>
            </w:rPr>
            <w:t>分项报价表</w:t>
          </w:r>
          <w:r>
            <w:tab/>
          </w:r>
          <w:r>
            <w:fldChar w:fldCharType="begin"/>
          </w:r>
          <w:r>
            <w:instrText xml:space="preserve"> PAGEREF _Toc29933 \h </w:instrText>
          </w:r>
          <w:r>
            <w:fldChar w:fldCharType="separate"/>
          </w:r>
          <w:r>
            <w:t>62</w:t>
          </w:r>
          <w:r>
            <w:fldChar w:fldCharType="end"/>
          </w:r>
          <w:r>
            <w:fldChar w:fldCharType="end"/>
          </w:r>
        </w:p>
        <w:p>
          <w:pPr>
            <w:pStyle w:val="14"/>
            <w:tabs>
              <w:tab w:val="right" w:leader="dot" w:pos="8400"/>
            </w:tabs>
          </w:pPr>
          <w:r>
            <w:fldChar w:fldCharType="begin"/>
          </w:r>
          <w:r>
            <w:instrText xml:space="preserve"> HYPERLINK \l _Toc16634 </w:instrText>
          </w:r>
          <w:r>
            <w:fldChar w:fldCharType="separate"/>
          </w:r>
          <w:r>
            <w:rPr>
              <w:rFonts w:hint="eastAsia"/>
            </w:rPr>
            <w:t>第四章</w:t>
          </w:r>
          <w:r>
            <w:rPr>
              <w:rFonts w:hint="eastAsia"/>
              <w:lang w:val="en-US" w:eastAsia="zh-CN"/>
            </w:rPr>
            <w:t xml:space="preserve"> </w:t>
          </w:r>
          <w:r>
            <w:rPr>
              <w:rFonts w:hint="eastAsia"/>
            </w:rPr>
            <w:t>磋商保证金</w:t>
          </w:r>
          <w:r>
            <w:tab/>
          </w:r>
          <w:r>
            <w:fldChar w:fldCharType="begin"/>
          </w:r>
          <w:r>
            <w:instrText xml:space="preserve"> PAGEREF _Toc16634 \h </w:instrText>
          </w:r>
          <w:r>
            <w:fldChar w:fldCharType="separate"/>
          </w:r>
          <w:r>
            <w:t>63</w:t>
          </w:r>
          <w:r>
            <w:fldChar w:fldCharType="end"/>
          </w:r>
          <w:r>
            <w:fldChar w:fldCharType="end"/>
          </w:r>
        </w:p>
        <w:p>
          <w:pPr>
            <w:pStyle w:val="14"/>
            <w:tabs>
              <w:tab w:val="right" w:leader="dot" w:pos="8400"/>
            </w:tabs>
          </w:pPr>
          <w:r>
            <w:fldChar w:fldCharType="begin"/>
          </w:r>
          <w:r>
            <w:instrText xml:space="preserve"> HYPERLINK \l _Toc11830 </w:instrText>
          </w:r>
          <w:r>
            <w:fldChar w:fldCharType="separate"/>
          </w:r>
          <w:r>
            <w:rPr>
              <w:rFonts w:hint="eastAsia"/>
            </w:rPr>
            <w:t>第五章  供应商资质证明资料</w:t>
          </w:r>
          <w:r>
            <w:tab/>
          </w:r>
          <w:r>
            <w:fldChar w:fldCharType="begin"/>
          </w:r>
          <w:r>
            <w:instrText xml:space="preserve"> PAGEREF _Toc11830 \h </w:instrText>
          </w:r>
          <w:r>
            <w:fldChar w:fldCharType="separate"/>
          </w:r>
          <w:r>
            <w:t>64</w:t>
          </w:r>
          <w:r>
            <w:fldChar w:fldCharType="end"/>
          </w:r>
          <w:r>
            <w:fldChar w:fldCharType="end"/>
          </w:r>
        </w:p>
        <w:p>
          <w:pPr>
            <w:pStyle w:val="14"/>
            <w:tabs>
              <w:tab w:val="right" w:leader="dot" w:pos="8400"/>
            </w:tabs>
          </w:pPr>
          <w:r>
            <w:fldChar w:fldCharType="begin"/>
          </w:r>
          <w:r>
            <w:instrText xml:space="preserve"> HYPERLINK \l _Toc5900 </w:instrText>
          </w:r>
          <w:r>
            <w:fldChar w:fldCharType="separate"/>
          </w:r>
          <w:r>
            <w:rPr>
              <w:rFonts w:hint="eastAsia"/>
            </w:rPr>
            <w:t>第六章  商务和技术响应偏离表</w:t>
          </w:r>
          <w:r>
            <w:tab/>
          </w:r>
          <w:r>
            <w:fldChar w:fldCharType="begin"/>
          </w:r>
          <w:r>
            <w:instrText xml:space="preserve"> PAGEREF _Toc5900 \h </w:instrText>
          </w:r>
          <w:r>
            <w:fldChar w:fldCharType="separate"/>
          </w:r>
          <w:r>
            <w:t>71</w:t>
          </w:r>
          <w:r>
            <w:fldChar w:fldCharType="end"/>
          </w:r>
          <w:r>
            <w:fldChar w:fldCharType="end"/>
          </w:r>
        </w:p>
        <w:p>
          <w:pPr>
            <w:pStyle w:val="14"/>
            <w:tabs>
              <w:tab w:val="right" w:leader="dot" w:pos="8400"/>
            </w:tabs>
          </w:pPr>
          <w:r>
            <w:fldChar w:fldCharType="begin"/>
          </w:r>
          <w:r>
            <w:instrText xml:space="preserve"> HYPERLINK \l _Toc7385 </w:instrText>
          </w:r>
          <w:r>
            <w:fldChar w:fldCharType="separate"/>
          </w:r>
          <w:r>
            <w:rPr>
              <w:rFonts w:hint="eastAsia" w:asciiTheme="minorEastAsia" w:hAnsiTheme="minorEastAsia" w:eastAsiaTheme="minorEastAsia" w:cstheme="minorEastAsia"/>
              <w:szCs w:val="36"/>
            </w:rPr>
            <w:t>第七章  技术支持资料</w:t>
          </w:r>
          <w:r>
            <w:tab/>
          </w:r>
          <w:r>
            <w:fldChar w:fldCharType="begin"/>
          </w:r>
          <w:r>
            <w:instrText xml:space="preserve"> PAGEREF _Toc7385 \h </w:instrText>
          </w:r>
          <w:r>
            <w:fldChar w:fldCharType="separate"/>
          </w:r>
          <w:r>
            <w:t>73</w:t>
          </w:r>
          <w:r>
            <w:fldChar w:fldCharType="end"/>
          </w:r>
          <w:r>
            <w:fldChar w:fldCharType="end"/>
          </w:r>
        </w:p>
        <w:p>
          <w:pPr>
            <w:pStyle w:val="14"/>
            <w:tabs>
              <w:tab w:val="right" w:leader="dot" w:pos="8400"/>
            </w:tabs>
          </w:pPr>
          <w:r>
            <w:fldChar w:fldCharType="begin"/>
          </w:r>
          <w:r>
            <w:instrText xml:space="preserve"> HYPERLINK \l _Toc5307 </w:instrText>
          </w:r>
          <w:r>
            <w:fldChar w:fldCharType="separate"/>
          </w:r>
          <w:r>
            <w:rPr>
              <w:rFonts w:hint="eastAsia"/>
            </w:rPr>
            <w:t>第八章  供应商业绩一览表</w:t>
          </w:r>
          <w:r>
            <w:tab/>
          </w:r>
          <w:r>
            <w:fldChar w:fldCharType="begin"/>
          </w:r>
          <w:r>
            <w:instrText xml:space="preserve"> PAGEREF _Toc5307 \h </w:instrText>
          </w:r>
          <w:r>
            <w:fldChar w:fldCharType="separate"/>
          </w:r>
          <w:r>
            <w:t>74</w:t>
          </w:r>
          <w:r>
            <w:fldChar w:fldCharType="end"/>
          </w:r>
          <w:r>
            <w:fldChar w:fldCharType="end"/>
          </w:r>
        </w:p>
        <w:p>
          <w:pPr>
            <w:pStyle w:val="14"/>
            <w:tabs>
              <w:tab w:val="right" w:leader="dot" w:pos="8400"/>
            </w:tabs>
          </w:pPr>
          <w:r>
            <w:fldChar w:fldCharType="begin"/>
          </w:r>
          <w:r>
            <w:instrText xml:space="preserve"> HYPERLINK \l _Toc29352 </w:instrText>
          </w:r>
          <w:r>
            <w:fldChar w:fldCharType="separate"/>
          </w:r>
          <w:r>
            <w:rPr>
              <w:rFonts w:hint="eastAsia"/>
            </w:rPr>
            <w:t>第九章  供应商认为有必要说明的其他问题</w:t>
          </w:r>
          <w:r>
            <w:tab/>
          </w:r>
          <w:r>
            <w:fldChar w:fldCharType="begin"/>
          </w:r>
          <w:r>
            <w:instrText xml:space="preserve"> PAGEREF _Toc29352 \h </w:instrText>
          </w:r>
          <w:r>
            <w:fldChar w:fldCharType="separate"/>
          </w:r>
          <w:r>
            <w:t>75</w:t>
          </w:r>
          <w:r>
            <w:fldChar w:fldCharType="end"/>
          </w:r>
          <w:r>
            <w:fldChar w:fldCharType="end"/>
          </w:r>
        </w:p>
        <w:p>
          <w:pPr>
            <w:pStyle w:val="14"/>
            <w:tabs>
              <w:tab w:val="right" w:leader="dot" w:pos="8400"/>
            </w:tabs>
          </w:pPr>
          <w:r>
            <w:fldChar w:fldCharType="begin"/>
          </w:r>
          <w:r>
            <w:instrText xml:space="preserve"> HYPERLINK \l _Toc9175 </w:instrText>
          </w:r>
          <w:r>
            <w:fldChar w:fldCharType="separate"/>
          </w:r>
          <w:r>
            <w:rPr>
              <w:rFonts w:hint="eastAsia" w:ascii="宋体" w:hAnsi="宋体" w:cs="宋体"/>
            </w:rPr>
            <w:t xml:space="preserve">第十章 </w:t>
          </w:r>
          <w:r>
            <w:rPr>
              <w:rFonts w:hint="eastAsia"/>
              <w:szCs w:val="30"/>
            </w:rPr>
            <w:t>供应商承诺书</w:t>
          </w:r>
          <w:r>
            <w:tab/>
          </w:r>
          <w:r>
            <w:fldChar w:fldCharType="begin"/>
          </w:r>
          <w:r>
            <w:instrText xml:space="preserve"> PAGEREF _Toc9175 \h </w:instrText>
          </w:r>
          <w:r>
            <w:fldChar w:fldCharType="separate"/>
          </w:r>
          <w:r>
            <w:t>76</w:t>
          </w:r>
          <w:r>
            <w:fldChar w:fldCharType="end"/>
          </w:r>
          <w:r>
            <w:fldChar w:fldCharType="end"/>
          </w:r>
        </w:p>
        <w:p>
          <w:pPr>
            <w:pStyle w:val="14"/>
            <w:tabs>
              <w:tab w:val="right" w:leader="dot" w:pos="8400"/>
            </w:tabs>
          </w:pPr>
          <w:r>
            <w:fldChar w:fldCharType="begin"/>
          </w:r>
          <w:r>
            <w:instrText xml:space="preserve"> HYPERLINK \l _Toc7253 </w:instrText>
          </w:r>
          <w:r>
            <w:fldChar w:fldCharType="separate"/>
          </w:r>
          <w:r>
            <w:rPr>
              <w:rFonts w:hint="eastAsia" w:ascii="宋体" w:hAnsi="宋体" w:cs="宋体"/>
            </w:rPr>
            <w:t>附件一：封袋正面标识式样</w:t>
          </w:r>
          <w:r>
            <w:tab/>
          </w:r>
          <w:r>
            <w:fldChar w:fldCharType="begin"/>
          </w:r>
          <w:r>
            <w:instrText xml:space="preserve"> PAGEREF _Toc7253 \h </w:instrText>
          </w:r>
          <w:r>
            <w:fldChar w:fldCharType="separate"/>
          </w:r>
          <w:r>
            <w:t>79</w:t>
          </w:r>
          <w:r>
            <w:fldChar w:fldCharType="end"/>
          </w:r>
          <w:r>
            <w:fldChar w:fldCharType="end"/>
          </w:r>
        </w:p>
        <w:p>
          <w:pPr>
            <w:pStyle w:val="14"/>
            <w:tabs>
              <w:tab w:val="right" w:leader="dot" w:pos="8400"/>
            </w:tabs>
          </w:pPr>
          <w:r>
            <w:fldChar w:fldCharType="begin"/>
          </w:r>
          <w:r>
            <w:instrText xml:space="preserve"> HYPERLINK \l _Toc2022 </w:instrText>
          </w:r>
          <w:r>
            <w:fldChar w:fldCharType="separate"/>
          </w:r>
          <w:r>
            <w:rPr>
              <w:rFonts w:hint="eastAsia" w:ascii="宋体" w:hAnsi="宋体" w:cs="宋体"/>
            </w:rPr>
            <w:t>附件二、中小企业申明</w:t>
          </w:r>
          <w:r>
            <w:tab/>
          </w:r>
          <w:r>
            <w:fldChar w:fldCharType="begin"/>
          </w:r>
          <w:r>
            <w:instrText xml:space="preserve"> PAGEREF _Toc2022 \h </w:instrText>
          </w:r>
          <w:r>
            <w:fldChar w:fldCharType="separate"/>
          </w:r>
          <w:r>
            <w:t>81</w:t>
          </w:r>
          <w:r>
            <w:fldChar w:fldCharType="end"/>
          </w:r>
          <w:r>
            <w:fldChar w:fldCharType="end"/>
          </w:r>
        </w:p>
        <w:p>
          <w:pPr>
            <w:pStyle w:val="14"/>
            <w:tabs>
              <w:tab w:val="right" w:leader="dot" w:pos="8400"/>
            </w:tabs>
          </w:pPr>
          <w:r>
            <w:fldChar w:fldCharType="begin"/>
          </w:r>
          <w:r>
            <w:instrText xml:space="preserve"> HYPERLINK \l _Toc6787 </w:instrText>
          </w:r>
          <w:r>
            <w:fldChar w:fldCharType="separate"/>
          </w:r>
          <w:r>
            <w:rPr>
              <w:rFonts w:hint="eastAsia"/>
            </w:rPr>
            <w:t>附件三、残疾人福利性单位声明</w:t>
          </w:r>
          <w:r>
            <w:tab/>
          </w:r>
          <w:r>
            <w:fldChar w:fldCharType="begin"/>
          </w:r>
          <w:r>
            <w:instrText xml:space="preserve"> PAGEREF _Toc6787 \h </w:instrText>
          </w:r>
          <w:r>
            <w:fldChar w:fldCharType="separate"/>
          </w:r>
          <w:r>
            <w:t>82</w:t>
          </w:r>
          <w:r>
            <w:fldChar w:fldCharType="end"/>
          </w:r>
          <w:r>
            <w:fldChar w:fldCharType="end"/>
          </w:r>
        </w:p>
        <w:p>
          <w:pPr>
            <w:pStyle w:val="14"/>
            <w:tabs>
              <w:tab w:val="right" w:leader="dot" w:pos="8400"/>
            </w:tabs>
          </w:pPr>
          <w:r>
            <w:fldChar w:fldCharType="begin"/>
          </w:r>
          <w:r>
            <w:instrText xml:space="preserve"> HYPERLINK \l _Toc9578 </w:instrText>
          </w:r>
          <w:r>
            <w:fldChar w:fldCharType="separate"/>
          </w:r>
          <w:r>
            <w:rPr>
              <w:rFonts w:hint="eastAsia"/>
            </w:rPr>
            <w:t>附件四、监狱企业证明文件</w:t>
          </w:r>
          <w:r>
            <w:tab/>
          </w:r>
          <w:r>
            <w:fldChar w:fldCharType="begin"/>
          </w:r>
          <w:r>
            <w:instrText xml:space="preserve"> PAGEREF _Toc9578 \h </w:instrText>
          </w:r>
          <w:r>
            <w:fldChar w:fldCharType="separate"/>
          </w:r>
          <w:r>
            <w:t>83</w:t>
          </w:r>
          <w:r>
            <w:fldChar w:fldCharType="end"/>
          </w:r>
          <w:r>
            <w:fldChar w:fldCharType="end"/>
          </w:r>
        </w:p>
        <w:p>
          <w:pPr>
            <w:pStyle w:val="14"/>
            <w:tabs>
              <w:tab w:val="right" w:leader="dot" w:pos="8400"/>
            </w:tabs>
          </w:pPr>
          <w:r>
            <w:fldChar w:fldCharType="begin"/>
          </w:r>
          <w:r>
            <w:instrText xml:space="preserve"> HYPERLINK \l _Toc13421 </w:instrText>
          </w:r>
          <w:r>
            <w:fldChar w:fldCharType="separate"/>
          </w:r>
          <w:r>
            <w:rPr>
              <w:rFonts w:hint="eastAsia" w:ascii="宋体" w:hAnsi="宋体" w:cs="宋体"/>
            </w:rPr>
            <w:t>附件五、“节能产品”，“环境标志产品”证明材料</w:t>
          </w:r>
          <w:r>
            <w:tab/>
          </w:r>
          <w:r>
            <w:fldChar w:fldCharType="begin"/>
          </w:r>
          <w:r>
            <w:instrText xml:space="preserve"> PAGEREF _Toc13421 \h </w:instrText>
          </w:r>
          <w:r>
            <w:fldChar w:fldCharType="separate"/>
          </w:r>
          <w:r>
            <w:t>83</w:t>
          </w:r>
          <w:r>
            <w:fldChar w:fldCharType="end"/>
          </w:r>
          <w:r>
            <w:fldChar w:fldCharType="end"/>
          </w:r>
        </w:p>
        <w:p>
          <w:pPr>
            <w:pStyle w:val="14"/>
            <w:tabs>
              <w:tab w:val="right" w:leader="dot" w:pos="8400"/>
            </w:tabs>
          </w:pPr>
          <w:r>
            <w:fldChar w:fldCharType="begin"/>
          </w:r>
          <w:r>
            <w:instrText xml:space="preserve"> HYPERLINK \l _Toc20587 </w:instrText>
          </w:r>
          <w:r>
            <w:fldChar w:fldCharType="separate"/>
          </w:r>
          <w:r>
            <w:rPr>
              <w:rFonts w:hint="eastAsia"/>
            </w:rPr>
            <w:t>附件六、质疑函范本</w:t>
          </w:r>
          <w:r>
            <w:tab/>
          </w:r>
          <w:r>
            <w:fldChar w:fldCharType="begin"/>
          </w:r>
          <w:r>
            <w:instrText xml:space="preserve"> PAGEREF _Toc20587 \h </w:instrText>
          </w:r>
          <w:r>
            <w:fldChar w:fldCharType="separate"/>
          </w:r>
          <w:r>
            <w:t>84</w:t>
          </w:r>
          <w:r>
            <w:fldChar w:fldCharType="end"/>
          </w:r>
          <w:r>
            <w:fldChar w:fldCharType="end"/>
          </w:r>
        </w:p>
        <w:p>
          <w:pPr>
            <w:pStyle w:val="14"/>
            <w:tabs>
              <w:tab w:val="right" w:leader="dot" w:pos="8400"/>
            </w:tabs>
          </w:pPr>
          <w:r>
            <w:fldChar w:fldCharType="begin"/>
          </w:r>
          <w:r>
            <w:instrText xml:space="preserve"> HYPERLINK \l _Toc22732 </w:instrText>
          </w:r>
          <w:r>
            <w:fldChar w:fldCharType="separate"/>
          </w:r>
          <w:r>
            <w:rPr>
              <w:rFonts w:hint="eastAsia"/>
            </w:rPr>
            <w:t>附件七、保证金退还账户信息确认表</w:t>
          </w:r>
          <w:r>
            <w:tab/>
          </w:r>
          <w:r>
            <w:fldChar w:fldCharType="begin"/>
          </w:r>
          <w:r>
            <w:instrText xml:space="preserve"> PAGEREF _Toc22732 \h </w:instrText>
          </w:r>
          <w:r>
            <w:fldChar w:fldCharType="separate"/>
          </w:r>
          <w:r>
            <w:t>86</w:t>
          </w:r>
          <w:r>
            <w:fldChar w:fldCharType="end"/>
          </w:r>
          <w:r>
            <w:fldChar w:fldCharType="end"/>
          </w:r>
        </w:p>
        <w:p>
          <w:r>
            <w:fldChar w:fldCharType="end"/>
          </w:r>
        </w:p>
      </w:sdtContent>
    </w:sdt>
    <w:p>
      <w:pPr>
        <w:rPr>
          <w:rFonts w:hint="eastAsia" w:ascii="宋体" w:hAnsi="宋体" w:cs="宋体"/>
        </w:rPr>
      </w:pPr>
      <w:r>
        <w:rPr>
          <w:rFonts w:hint="eastAsia" w:ascii="宋体" w:hAnsi="宋体" w:cs="宋体"/>
        </w:rPr>
        <w:br w:type="page"/>
      </w:r>
    </w:p>
    <w:p>
      <w:pPr>
        <w:pStyle w:val="4"/>
        <w:rPr>
          <w:rFonts w:ascii="宋体" w:hAnsi="宋体" w:cs="宋体"/>
        </w:rPr>
      </w:pPr>
      <w:bookmarkStart w:id="14" w:name="_Toc8289"/>
      <w:r>
        <w:rPr>
          <w:rFonts w:hint="eastAsia" w:ascii="宋体" w:hAnsi="宋体" w:cs="宋体"/>
        </w:rPr>
        <w:t>第一部分 竞争性磋商公告</w:t>
      </w:r>
      <w:bookmarkEnd w:id="10"/>
      <w:bookmarkEnd w:id="11"/>
      <w:bookmarkEnd w:id="12"/>
      <w:bookmarkEnd w:id="13"/>
      <w:bookmarkEnd w:id="14"/>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西安医学院教学质量监测与评估系统建设采购项目</w:t>
      </w:r>
      <w:r>
        <w:rPr>
          <w:rFonts w:hint="eastAsia" w:ascii="宋体" w:hAnsi="宋体" w:cs="宋体"/>
          <w:kern w:val="0"/>
          <w:sz w:val="24"/>
          <w:szCs w:val="24"/>
        </w:rPr>
        <w:t>进行竞争性磋商，欢迎符合资格条件的、有能力提供本次项目所需货物和服务的供应商参加磋商。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西安医学院教学质量监测与评估系统建设采购项目</w:t>
      </w:r>
      <w:r>
        <w:rPr>
          <w:rFonts w:hint="eastAsia" w:ascii="宋体" w:hAnsi="宋体" w:cs="宋体"/>
          <w:kern w:val="0"/>
          <w:sz w:val="24"/>
          <w:szCs w:val="24"/>
        </w:rPr>
        <w:t xml:space="preserve"> </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r>
        <w:rPr>
          <w:rFonts w:hint="eastAsia" w:ascii="宋体" w:hAnsi="宋体" w:cs="宋体"/>
          <w:kern w:val="0"/>
          <w:sz w:val="24"/>
          <w:szCs w:val="24"/>
          <w:lang w:eastAsia="zh-CN"/>
        </w:rPr>
        <w:t>SXWZ2023ZB-YXY-262</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bookmarkStart w:id="15" w:name="OLE_LINK2"/>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15"/>
    <w:p>
      <w:pPr>
        <w:widowControl/>
        <w:numPr>
          <w:ilvl w:val="0"/>
          <w:numId w:val="1"/>
        </w:numPr>
        <w:tabs>
          <w:tab w:val="left" w:pos="1620"/>
        </w:tabs>
        <w:wordWrap w:val="0"/>
        <w:snapToGrid w:val="0"/>
        <w:spacing w:line="360" w:lineRule="auto"/>
        <w:ind w:firstLine="480" w:firstLineChars="200"/>
        <w:jc w:val="left"/>
        <w:outlineLvl w:val="1"/>
        <w:rPr>
          <w:rFonts w:ascii="宋体" w:hAnsi="宋体" w:cs="宋体"/>
          <w:kern w:val="0"/>
          <w:sz w:val="24"/>
          <w:szCs w:val="24"/>
        </w:rPr>
      </w:pPr>
      <w:bookmarkStart w:id="16" w:name="_Toc1340"/>
      <w:bookmarkStart w:id="17" w:name="_Toc10322"/>
      <w:r>
        <w:rPr>
          <w:rFonts w:hint="eastAsia" w:ascii="宋体" w:hAnsi="宋体" w:cs="宋体"/>
          <w:kern w:val="0"/>
          <w:sz w:val="24"/>
          <w:szCs w:val="24"/>
        </w:rPr>
        <w:t>采购代理机构名称：陕西万泽招标有限公司</w:t>
      </w:r>
      <w:bookmarkEnd w:id="16"/>
      <w:bookmarkEnd w:id="17"/>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rPr>
      </w:pPr>
      <w:bookmarkStart w:id="18" w:name="_Toc12180"/>
      <w:bookmarkStart w:id="19" w:name="_Toc22394"/>
      <w:r>
        <w:rPr>
          <w:rFonts w:hint="eastAsia" w:ascii="宋体" w:hAnsi="宋体" w:cs="宋体"/>
          <w:kern w:val="0"/>
          <w:sz w:val="24"/>
          <w:szCs w:val="24"/>
        </w:rPr>
        <w:t>采购内容和要求：</w:t>
      </w:r>
      <w:bookmarkEnd w:id="18"/>
      <w:bookmarkEnd w:id="19"/>
    </w:p>
    <w:p>
      <w:pPr>
        <w:pStyle w:val="8"/>
        <w:spacing w:line="360" w:lineRule="auto"/>
        <w:ind w:firstLine="960" w:firstLineChars="400"/>
        <w:rPr>
          <w:rFonts w:hint="eastAsia" w:ascii="宋体" w:hAnsi="宋体" w:eastAsia="宋体" w:cs="宋体"/>
          <w:kern w:val="0"/>
          <w:sz w:val="24"/>
          <w:szCs w:val="24"/>
          <w:lang w:eastAsia="zh-CN"/>
        </w:rPr>
      </w:pPr>
      <w:r>
        <w:rPr>
          <w:rFonts w:hint="eastAsia" w:ascii="宋体" w:hAnsi="宋体" w:cs="宋体"/>
          <w:kern w:val="0"/>
          <w:sz w:val="24"/>
          <w:szCs w:val="24"/>
        </w:rPr>
        <w:t>采购内容：</w:t>
      </w:r>
      <w:r>
        <w:rPr>
          <w:rFonts w:hint="eastAsia" w:ascii="宋体" w:hAnsi="宋体" w:cs="宋体"/>
          <w:kern w:val="0"/>
          <w:sz w:val="24"/>
          <w:szCs w:val="24"/>
          <w:lang w:eastAsia="zh-CN"/>
        </w:rPr>
        <w:t>教学质量监测与评估系统建设采购项目</w:t>
      </w:r>
    </w:p>
    <w:p>
      <w:pPr>
        <w:pStyle w:val="8"/>
        <w:spacing w:line="360" w:lineRule="auto"/>
        <w:ind w:firstLine="960" w:firstLineChars="400"/>
        <w:rPr>
          <w:rFonts w:hint="eastAsia" w:ascii="宋体" w:hAnsi="宋体" w:eastAsia="宋体" w:cs="宋体"/>
          <w:sz w:val="24"/>
          <w:szCs w:val="24"/>
          <w:lang w:val="en-US" w:eastAsia="zh-CN"/>
        </w:rPr>
      </w:pPr>
      <w:r>
        <w:rPr>
          <w:rFonts w:hint="eastAsia" w:ascii="宋体" w:hAnsi="宋体" w:cs="宋体"/>
          <w:kern w:val="0"/>
          <w:sz w:val="24"/>
          <w:szCs w:val="24"/>
        </w:rPr>
        <w:t>采购预算：</w:t>
      </w:r>
      <w:r>
        <w:rPr>
          <w:rFonts w:hint="eastAsia" w:ascii="宋体" w:hAnsi="宋体" w:cs="宋体"/>
          <w:kern w:val="0"/>
          <w:sz w:val="24"/>
          <w:szCs w:val="24"/>
          <w:lang w:val="en-US" w:eastAsia="zh-CN"/>
        </w:rPr>
        <w:t>1300000.00元</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rPr>
      </w:pPr>
      <w:bookmarkStart w:id="20" w:name="_Toc143"/>
      <w:bookmarkStart w:id="21" w:name="_Toc3904"/>
      <w:r>
        <w:rPr>
          <w:rFonts w:hint="eastAsia" w:ascii="宋体" w:hAnsi="宋体" w:cs="宋体"/>
          <w:kern w:val="0"/>
          <w:sz w:val="24"/>
          <w:szCs w:val="24"/>
        </w:rPr>
        <w:t>供应商资质要求：</w:t>
      </w:r>
      <w:bookmarkEnd w:id="20"/>
      <w:bookmarkEnd w:id="21"/>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right="-197" w:rightChars="-94"/>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提供合格有效的法人或其他组织的营业执照等证明文件，自然人参与的提供其身份证原件；</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2、非法定代表人参加磋商的，须提供法定代表人授权委托书及被授权人身份证；法定代表人参加磋商时,只须提供法定代表人身份证；</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3、社会保障资金缴纳证明：提供已缴存的2022年</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至今任一月份的社会保障资金缴存单据或社保机构开具的社会保险参保缴费情况证明，单据或证明上应有社保机构或代收机构的公章。依法不需要缴纳社会保障资金的供应商应提供相关文件证明；</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4、税收缴纳证明：提供2022年</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至今已缴纳的</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任</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一个月的纳税证明或完税证明，依法免税的单位应提供相关证明材料； </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5、财务状况证明：提供202</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年的财务报告或在开标日期前六个月内其基本开户银行出具的资信证明；</w:t>
      </w:r>
    </w:p>
    <w:p>
      <w:pPr>
        <w:snapToGrid w:val="0"/>
        <w:spacing w:line="336" w:lineRule="auto"/>
        <w:ind w:right="-197" w:rightChars="-94" w:firstLine="480" w:firstLineChars="200"/>
        <w:jc w:val="left"/>
        <w:rPr>
          <w:rFonts w:hint="eastAsia" w:eastAsia="宋体" w:asciiTheme="minorEastAsia" w:hAnsi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宋体" w:hAnsi="宋体" w:cs="宋体"/>
          <w:bCs/>
          <w:color w:val="auto"/>
          <w:kern w:val="0"/>
          <w:sz w:val="24"/>
          <w:szCs w:val="24"/>
          <w:highlight w:val="none"/>
        </w:rPr>
        <w:t>本项目专门面向</w:t>
      </w:r>
      <w:r>
        <w:rPr>
          <w:rFonts w:hint="eastAsia" w:ascii="宋体" w:hAnsi="宋体" w:cs="宋体"/>
          <w:bCs/>
          <w:color w:val="auto"/>
          <w:kern w:val="0"/>
          <w:sz w:val="24"/>
          <w:szCs w:val="24"/>
          <w:highlight w:val="none"/>
          <w:lang w:eastAsia="zh-CN"/>
        </w:rPr>
        <w:t>中小</w:t>
      </w:r>
      <w:r>
        <w:rPr>
          <w:rFonts w:hint="eastAsia" w:ascii="宋体" w:hAnsi="宋体" w:cs="宋体"/>
          <w:bCs/>
          <w:color w:val="auto"/>
          <w:kern w:val="0"/>
          <w:sz w:val="24"/>
          <w:szCs w:val="24"/>
          <w:highlight w:val="none"/>
        </w:rPr>
        <w:t>企业采购，</w:t>
      </w:r>
      <w:r>
        <w:rPr>
          <w:rFonts w:hint="eastAsia" w:ascii="宋体" w:hAnsi="宋体" w:cs="宋体"/>
          <w:bCs/>
          <w:color w:val="auto"/>
          <w:kern w:val="0"/>
          <w:sz w:val="24"/>
          <w:szCs w:val="24"/>
          <w:highlight w:val="none"/>
          <w:lang w:val="en-US" w:eastAsia="zh-CN"/>
        </w:rPr>
        <w:t>供应商</w:t>
      </w:r>
      <w:r>
        <w:rPr>
          <w:rFonts w:hint="eastAsia" w:ascii="宋体" w:hAnsi="宋体" w:cs="宋体"/>
          <w:bCs/>
          <w:color w:val="auto"/>
          <w:kern w:val="0"/>
          <w:sz w:val="24"/>
          <w:szCs w:val="24"/>
          <w:highlight w:val="none"/>
        </w:rPr>
        <w:t>应提供</w:t>
      </w:r>
      <w:r>
        <w:rPr>
          <w:rFonts w:hint="eastAsia" w:ascii="宋体" w:hAnsi="宋体" w:cs="宋体"/>
          <w:bCs/>
          <w:color w:val="auto"/>
          <w:kern w:val="0"/>
          <w:sz w:val="24"/>
          <w:szCs w:val="24"/>
          <w:highlight w:val="none"/>
          <w:lang w:eastAsia="zh-CN"/>
        </w:rPr>
        <w:t>中小</w:t>
      </w:r>
      <w:r>
        <w:rPr>
          <w:rFonts w:hint="eastAsia" w:ascii="宋体" w:hAnsi="宋体" w:cs="宋体"/>
          <w:bCs/>
          <w:color w:val="auto"/>
          <w:kern w:val="0"/>
          <w:sz w:val="24"/>
          <w:szCs w:val="24"/>
          <w:highlight w:val="none"/>
        </w:rPr>
        <w:t>企业声明函</w:t>
      </w:r>
      <w:r>
        <w:rPr>
          <w:rFonts w:hint="eastAsia" w:ascii="宋体" w:hAnsi="宋体" w:cs="宋体"/>
          <w:bCs/>
          <w:color w:val="auto"/>
          <w:kern w:val="0"/>
          <w:sz w:val="24"/>
          <w:szCs w:val="24"/>
          <w:highlight w:val="none"/>
          <w:lang w:eastAsia="zh-CN"/>
        </w:rPr>
        <w:t>；</w:t>
      </w:r>
    </w:p>
    <w:p>
      <w:pPr>
        <w:snapToGrid w:val="0"/>
        <w:spacing w:line="336" w:lineRule="auto"/>
        <w:ind w:right="-197" w:rightChars="-94"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本项目不接受联合体磋商。</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rPr>
      </w:pPr>
      <w:bookmarkStart w:id="22" w:name="_Toc6675"/>
      <w:bookmarkStart w:id="23" w:name="_Toc22489"/>
      <w:r>
        <w:rPr>
          <w:rFonts w:hint="eastAsia" w:ascii="宋体" w:hAnsi="宋体" w:cs="宋体"/>
          <w:kern w:val="0"/>
          <w:sz w:val="24"/>
          <w:szCs w:val="24"/>
        </w:rPr>
        <w:t>采购项目需要落实的政府采购政策：</w:t>
      </w:r>
      <w:bookmarkEnd w:id="22"/>
      <w:bookmarkEnd w:id="23"/>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4、《节能产品政府采购实施意见》（财库[2004]185号）；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snapToGrid w:val="0"/>
        <w:spacing w:line="360" w:lineRule="auto"/>
        <w:ind w:left="7" w:firstLine="559" w:firstLineChars="233"/>
        <w:jc w:val="left"/>
        <w:rPr>
          <w:rFonts w:hint="eastAsia"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bCs/>
          <w:kern w:val="0"/>
          <w:sz w:val="24"/>
          <w:szCs w:val="24"/>
        </w:rPr>
        <w:t>8、其他需要落实的政府采购政策</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highlight w:val="none"/>
        </w:rPr>
      </w:pPr>
      <w:bookmarkStart w:id="24" w:name="_Toc29360"/>
      <w:bookmarkStart w:id="25" w:name="_Toc12137"/>
      <w:r>
        <w:rPr>
          <w:rFonts w:hint="eastAsia" w:ascii="宋体" w:hAnsi="宋体" w:cs="宋体"/>
          <w:kern w:val="0"/>
          <w:sz w:val="24"/>
          <w:szCs w:val="24"/>
        </w:rPr>
        <w:t>竞争性磋</w:t>
      </w:r>
      <w:r>
        <w:rPr>
          <w:rFonts w:hint="eastAsia" w:ascii="宋体" w:hAnsi="宋体" w:cs="宋体"/>
          <w:kern w:val="0"/>
          <w:sz w:val="24"/>
          <w:szCs w:val="24"/>
          <w:highlight w:val="none"/>
        </w:rPr>
        <w:t>商文件发售：</w:t>
      </w:r>
      <w:bookmarkEnd w:id="24"/>
      <w:bookmarkEnd w:id="25"/>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sz w:val="24"/>
          <w:highlight w:val="none"/>
        </w:rPr>
        <w:t>发售时间：</w:t>
      </w:r>
      <w:r>
        <w:rPr>
          <w:rFonts w:hint="eastAsia" w:ascii="宋体" w:hAnsi="宋体" w:cs="宋体"/>
          <w:b/>
          <w:bCs/>
          <w:color w:val="auto"/>
          <w:sz w:val="24"/>
          <w:highlight w:val="none"/>
        </w:rPr>
        <w:t>202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23</w:t>
      </w:r>
      <w:r>
        <w:rPr>
          <w:rFonts w:hint="eastAsia" w:ascii="宋体" w:hAnsi="宋体" w:cs="宋体"/>
          <w:b/>
          <w:bCs/>
          <w:color w:val="auto"/>
          <w:sz w:val="24"/>
          <w:highlight w:val="none"/>
        </w:rPr>
        <w:t>日至202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日</w:t>
      </w:r>
      <w:r>
        <w:rPr>
          <w:rFonts w:hint="eastAsia" w:ascii="宋体" w:hAnsi="宋体" w:cs="宋体"/>
          <w:sz w:val="24"/>
          <w:highlight w:val="none"/>
        </w:rPr>
        <w:t>止</w:t>
      </w:r>
      <w:r>
        <w:rPr>
          <w:rFonts w:hint="eastAsia" w:ascii="宋体" w:hAnsi="宋体" w:cs="宋体"/>
          <w:sz w:val="24"/>
          <w:szCs w:val="24"/>
          <w:highlight w:val="none"/>
        </w:rPr>
        <w:t>。</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3、文件售价：¥500元/套，售后不退，谢绝邮寄。</w:t>
      </w:r>
    </w:p>
    <w:p>
      <w:pPr>
        <w:widowControl/>
        <w:wordWrap w:val="0"/>
        <w:snapToGrid w:val="0"/>
        <w:spacing w:line="300" w:lineRule="auto"/>
        <w:ind w:right="-199" w:rightChars="-95"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w:t>
      </w:r>
      <w:r>
        <w:rPr>
          <w:rFonts w:hint="eastAsia" w:asciiTheme="minorEastAsia" w:hAnsiTheme="minorEastAsia" w:cstheme="minorEastAsia"/>
          <w:kern w:val="0"/>
          <w:sz w:val="24"/>
          <w:szCs w:val="24"/>
          <w:highlight w:val="none"/>
        </w:rPr>
        <w:t>（1）供应商领取标书时，请携带单位介绍信及经办人身份证原件及复印件加盖公章；（2）请供应商按照《陕西省财政厅关于政府采购供应商注册登记有关事项的通知》中的要求，通过陕西省政府采购网注册登记加入陕西省政府采购供应商库；（3）本项目为专门面向中小企业采购，仅允许中小企业或小型、微型企业参与投标</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highlight w:val="none"/>
        </w:rPr>
      </w:pPr>
      <w:bookmarkStart w:id="26" w:name="_Toc7191"/>
      <w:bookmarkStart w:id="27" w:name="_Toc3851"/>
      <w:r>
        <w:rPr>
          <w:rFonts w:hint="eastAsia" w:ascii="宋体" w:hAnsi="宋体" w:cs="宋体"/>
          <w:kern w:val="0"/>
          <w:sz w:val="24"/>
          <w:szCs w:val="24"/>
          <w:highlight w:val="none"/>
        </w:rPr>
        <w:t>磋商响应文件递交截止时间及磋商时间和地点：</w:t>
      </w:r>
      <w:bookmarkEnd w:id="26"/>
      <w:bookmarkEnd w:id="27"/>
    </w:p>
    <w:p>
      <w:pPr>
        <w:widowControl/>
        <w:tabs>
          <w:tab w:val="left" w:pos="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1、磋商响应文件递交截止时间：</w:t>
      </w:r>
      <w:r>
        <w:rPr>
          <w:rFonts w:hint="eastAsia" w:ascii="宋体" w:hAnsi="宋体" w:cs="宋体"/>
          <w:b/>
          <w:bCs/>
          <w:kern w:val="0"/>
          <w:sz w:val="24"/>
          <w:szCs w:val="24"/>
          <w:highlight w:val="none"/>
        </w:rPr>
        <w:t>202</w:t>
      </w:r>
      <w:r>
        <w:rPr>
          <w:rFonts w:hint="eastAsia" w:ascii="宋体" w:hAnsi="宋体" w:cs="宋体"/>
          <w:b/>
          <w:bCs/>
          <w:kern w:val="0"/>
          <w:sz w:val="24"/>
          <w:szCs w:val="24"/>
          <w:highlight w:val="none"/>
          <w:lang w:val="en-US" w:eastAsia="zh-CN"/>
        </w:rPr>
        <w:t>3</w:t>
      </w:r>
      <w:r>
        <w:rPr>
          <w:rFonts w:hint="eastAsia" w:ascii="宋体" w:hAnsi="宋体" w:cs="宋体"/>
          <w:b/>
          <w:bCs/>
          <w:kern w:val="0"/>
          <w:sz w:val="24"/>
          <w:szCs w:val="24"/>
          <w:highlight w:val="none"/>
        </w:rPr>
        <w:t>年</w:t>
      </w:r>
      <w:r>
        <w:rPr>
          <w:rFonts w:hint="eastAsia" w:ascii="宋体" w:hAnsi="宋体" w:cs="宋体"/>
          <w:b/>
          <w:bCs/>
          <w:kern w:val="0"/>
          <w:sz w:val="24"/>
          <w:szCs w:val="24"/>
          <w:highlight w:val="none"/>
          <w:lang w:val="en-US" w:eastAsia="zh-CN"/>
        </w:rPr>
        <w:t>11</w:t>
      </w:r>
      <w:r>
        <w:rPr>
          <w:rFonts w:hint="eastAsia" w:ascii="宋体" w:hAnsi="宋体" w:cs="宋体"/>
          <w:b/>
          <w:bCs/>
          <w:kern w:val="0"/>
          <w:sz w:val="24"/>
          <w:szCs w:val="24"/>
          <w:highlight w:val="none"/>
        </w:rPr>
        <w:t>月</w:t>
      </w:r>
      <w:r>
        <w:rPr>
          <w:rFonts w:hint="eastAsia" w:ascii="宋体" w:hAnsi="宋体" w:cs="宋体"/>
          <w:b/>
          <w:bCs/>
          <w:kern w:val="0"/>
          <w:sz w:val="24"/>
          <w:szCs w:val="24"/>
          <w:highlight w:val="none"/>
          <w:lang w:val="en-US" w:eastAsia="zh-CN"/>
        </w:rPr>
        <w:t>06</w:t>
      </w:r>
      <w:r>
        <w:rPr>
          <w:rFonts w:hint="eastAsia" w:ascii="宋体" w:hAnsi="宋体" w:cs="宋体"/>
          <w:b/>
          <w:bCs/>
          <w:kern w:val="0"/>
          <w:sz w:val="24"/>
          <w:szCs w:val="24"/>
          <w:highlight w:val="none"/>
        </w:rPr>
        <w:t>日14</w:t>
      </w:r>
      <w:r>
        <w:rPr>
          <w:rFonts w:hint="eastAsia" w:ascii="宋体" w:hAnsi="宋体" w:cs="宋体"/>
          <w:b/>
          <w:bCs/>
          <w:sz w:val="24"/>
          <w:szCs w:val="24"/>
          <w:highlight w:val="none"/>
        </w:rPr>
        <w:t>:30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yellow"/>
        </w:rPr>
      </w:pPr>
      <w:r>
        <w:rPr>
          <w:rFonts w:hint="eastAsia" w:ascii="宋体" w:hAnsi="宋体" w:cs="宋体"/>
          <w:kern w:val="0"/>
          <w:sz w:val="24"/>
          <w:szCs w:val="24"/>
          <w:highlight w:val="none"/>
        </w:rPr>
        <w:t>2、磋商时间：</w:t>
      </w:r>
      <w:r>
        <w:rPr>
          <w:rFonts w:hint="eastAsia" w:ascii="宋体" w:hAnsi="宋体" w:cs="宋体"/>
          <w:b/>
          <w:bCs/>
          <w:kern w:val="0"/>
          <w:sz w:val="24"/>
          <w:szCs w:val="24"/>
          <w:highlight w:val="none"/>
        </w:rPr>
        <w:t>202</w:t>
      </w:r>
      <w:r>
        <w:rPr>
          <w:rFonts w:hint="eastAsia" w:ascii="宋体" w:hAnsi="宋体" w:cs="宋体"/>
          <w:b/>
          <w:bCs/>
          <w:kern w:val="0"/>
          <w:sz w:val="24"/>
          <w:szCs w:val="24"/>
          <w:highlight w:val="none"/>
          <w:lang w:val="en-US" w:eastAsia="zh-CN"/>
        </w:rPr>
        <w:t>3</w:t>
      </w:r>
      <w:r>
        <w:rPr>
          <w:rFonts w:hint="eastAsia" w:ascii="宋体" w:hAnsi="宋体" w:cs="宋体"/>
          <w:b/>
          <w:bCs/>
          <w:kern w:val="0"/>
          <w:sz w:val="24"/>
          <w:szCs w:val="24"/>
          <w:highlight w:val="none"/>
        </w:rPr>
        <w:t>年</w:t>
      </w:r>
      <w:r>
        <w:rPr>
          <w:rFonts w:hint="eastAsia" w:ascii="宋体" w:hAnsi="宋体" w:cs="宋体"/>
          <w:b/>
          <w:bCs/>
          <w:kern w:val="0"/>
          <w:sz w:val="24"/>
          <w:szCs w:val="24"/>
          <w:highlight w:val="none"/>
          <w:lang w:val="en-US" w:eastAsia="zh-CN"/>
        </w:rPr>
        <w:t>11</w:t>
      </w:r>
      <w:r>
        <w:rPr>
          <w:rFonts w:hint="eastAsia" w:ascii="宋体" w:hAnsi="宋体" w:cs="宋体"/>
          <w:b/>
          <w:bCs/>
          <w:kern w:val="0"/>
          <w:sz w:val="24"/>
          <w:szCs w:val="24"/>
          <w:highlight w:val="none"/>
        </w:rPr>
        <w:t>月</w:t>
      </w:r>
      <w:r>
        <w:rPr>
          <w:rFonts w:hint="eastAsia" w:ascii="宋体" w:hAnsi="宋体" w:cs="宋体"/>
          <w:b/>
          <w:bCs/>
          <w:kern w:val="0"/>
          <w:sz w:val="24"/>
          <w:szCs w:val="24"/>
          <w:highlight w:val="none"/>
          <w:lang w:val="en-US" w:eastAsia="zh-CN"/>
        </w:rPr>
        <w:t>06</w:t>
      </w:r>
      <w:r>
        <w:rPr>
          <w:rFonts w:hint="eastAsia" w:ascii="宋体" w:hAnsi="宋体" w:cs="宋体"/>
          <w:b/>
          <w:bCs/>
          <w:kern w:val="0"/>
          <w:sz w:val="24"/>
          <w:szCs w:val="24"/>
          <w:highlight w:val="none"/>
        </w:rPr>
        <w:t>日14</w:t>
      </w:r>
      <w:r>
        <w:rPr>
          <w:rFonts w:hint="eastAsia" w:ascii="宋体" w:hAnsi="宋体" w:cs="宋体"/>
          <w:b/>
          <w:bCs/>
          <w:sz w:val="24"/>
          <w:szCs w:val="24"/>
          <w:highlight w:val="none"/>
        </w:rPr>
        <w:t>:30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3、磋商地点：西安市莲湖区西关正街英达大厦150</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会议室。</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highlight w:val="none"/>
        </w:rPr>
      </w:pPr>
      <w:bookmarkStart w:id="28" w:name="_Toc18003"/>
      <w:bookmarkStart w:id="29" w:name="_Toc9632"/>
      <w:r>
        <w:rPr>
          <w:rFonts w:hint="eastAsia" w:ascii="宋体" w:hAnsi="宋体" w:cs="宋体"/>
          <w:kern w:val="0"/>
          <w:sz w:val="24"/>
          <w:szCs w:val="24"/>
          <w:highlight w:val="none"/>
        </w:rPr>
        <w:t>其它应说明的事项：</w:t>
      </w:r>
      <w:bookmarkEnd w:id="28"/>
      <w:bookmarkEnd w:id="29"/>
      <w:r>
        <w:rPr>
          <w:rFonts w:hint="eastAsia" w:ascii="宋体" w:hAnsi="宋体" w:cs="宋体"/>
          <w:kern w:val="0"/>
          <w:sz w:val="24"/>
          <w:szCs w:val="24"/>
          <w:highlight w:val="none"/>
        </w:rPr>
        <w:t xml:space="preserve"> </w:t>
      </w:r>
    </w:p>
    <w:p>
      <w:pPr>
        <w:widowControl/>
        <w:wordWrap w:val="0"/>
        <w:snapToGrid w:val="0"/>
        <w:spacing w:line="30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1、采购项目联系人：崔方明</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许芳芳</w:t>
      </w:r>
      <w:r>
        <w:rPr>
          <w:rFonts w:hint="eastAsia" w:ascii="宋体" w:hAnsi="宋体" w:cs="宋体"/>
          <w:kern w:val="0"/>
          <w:sz w:val="24"/>
          <w:szCs w:val="24"/>
          <w:highlight w:val="none"/>
          <w:lang w:val="en-US" w:eastAsia="zh-CN"/>
        </w:rPr>
        <w:t xml:space="preserve"> 陈晓航</w:t>
      </w:r>
    </w:p>
    <w:p>
      <w:pPr>
        <w:widowControl/>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联系方式（电话/传真）：029-88319689-804/029-88319689-811</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账      号：211011580000015489</w:t>
      </w:r>
    </w:p>
    <w:p>
      <w:pPr>
        <w:widowControl/>
        <w:numPr>
          <w:ilvl w:val="0"/>
          <w:numId w:val="1"/>
        </w:numPr>
        <w:tabs>
          <w:tab w:val="left" w:pos="1620"/>
        </w:tabs>
        <w:wordWrap w:val="0"/>
        <w:snapToGrid w:val="0"/>
        <w:spacing w:line="300" w:lineRule="auto"/>
        <w:ind w:firstLine="480" w:firstLineChars="200"/>
        <w:jc w:val="left"/>
        <w:outlineLvl w:val="1"/>
        <w:rPr>
          <w:rFonts w:ascii="宋体" w:hAnsi="宋体" w:cs="宋体"/>
          <w:kern w:val="0"/>
          <w:sz w:val="24"/>
          <w:szCs w:val="24"/>
          <w:highlight w:val="none"/>
        </w:rPr>
      </w:pPr>
      <w:bookmarkStart w:id="30" w:name="_Toc23866"/>
      <w:bookmarkStart w:id="31" w:name="_Toc16037"/>
      <w:r>
        <w:rPr>
          <w:rFonts w:hint="eastAsia" w:ascii="宋体" w:hAnsi="宋体" w:cs="宋体"/>
          <w:kern w:val="0"/>
          <w:sz w:val="24"/>
          <w:szCs w:val="24"/>
          <w:highlight w:val="none"/>
        </w:rPr>
        <w:t>竞争性磋商公告的公告期限为3个工作日。</w:t>
      </w:r>
      <w:bookmarkEnd w:id="30"/>
      <w:bookmarkEnd w:id="31"/>
    </w:p>
    <w:p>
      <w:pPr>
        <w:rPr>
          <w:highlight w:val="none"/>
        </w:rPr>
      </w:pPr>
    </w:p>
    <w:p>
      <w:pPr>
        <w:widowControl/>
        <w:tabs>
          <w:tab w:val="left" w:pos="1620"/>
        </w:tabs>
        <w:snapToGrid w:val="0"/>
        <w:spacing w:line="300" w:lineRule="auto"/>
        <w:ind w:firstLine="420" w:firstLineChars="175"/>
        <w:jc w:val="right"/>
        <w:outlineLvl w:val="0"/>
        <w:rPr>
          <w:rFonts w:ascii="宋体" w:hAnsi="宋体" w:cs="宋体"/>
          <w:kern w:val="0"/>
          <w:sz w:val="24"/>
          <w:szCs w:val="24"/>
          <w:highlight w:val="none"/>
        </w:rPr>
      </w:pPr>
      <w:bookmarkStart w:id="32" w:name="_Toc12542"/>
      <w:bookmarkStart w:id="33" w:name="_Toc29088"/>
      <w:r>
        <w:rPr>
          <w:rFonts w:hint="eastAsia" w:ascii="宋体" w:hAnsi="宋体" w:cs="宋体"/>
          <w:kern w:val="0"/>
          <w:sz w:val="24"/>
          <w:szCs w:val="24"/>
          <w:highlight w:val="none"/>
        </w:rPr>
        <w:t>陕西万泽招标有限公司</w:t>
      </w:r>
      <w:bookmarkEnd w:id="32"/>
      <w:bookmarkEnd w:id="33"/>
    </w:p>
    <w:p>
      <w:pPr>
        <w:jc w:val="right"/>
        <w:rPr>
          <w:rFonts w:hint="eastAsia" w:ascii="宋体" w:hAnsi="宋体" w:cs="宋体"/>
          <w:kern w:val="0"/>
          <w:sz w:val="24"/>
          <w:szCs w:val="24"/>
          <w:highlight w:val="yellow"/>
        </w:rPr>
      </w:pPr>
      <w:r>
        <w:rPr>
          <w:rFonts w:hint="eastAsia" w:ascii="宋体" w:hAnsi="宋体" w:cs="宋体"/>
          <w:b/>
          <w:bCs/>
          <w:sz w:val="24"/>
          <w:highlight w:val="none"/>
        </w:rPr>
        <w:t>202</w:t>
      </w:r>
      <w:r>
        <w:rPr>
          <w:rFonts w:hint="eastAsia" w:ascii="宋体" w:hAnsi="宋体" w:cs="宋体"/>
          <w:b/>
          <w:bCs/>
          <w:sz w:val="24"/>
          <w:highlight w:val="none"/>
          <w:lang w:val="en-US" w:eastAsia="zh-CN"/>
        </w:rPr>
        <w:t>3</w:t>
      </w:r>
      <w:r>
        <w:rPr>
          <w:rFonts w:hint="eastAsia" w:ascii="宋体" w:hAnsi="宋体" w:cs="宋体"/>
          <w:b/>
          <w:bCs/>
          <w:sz w:val="24"/>
          <w:highlight w:val="none"/>
        </w:rPr>
        <w:t>年</w:t>
      </w:r>
      <w:r>
        <w:rPr>
          <w:rFonts w:hint="eastAsia" w:ascii="宋体" w:hAnsi="宋体" w:cs="宋体"/>
          <w:b/>
          <w:bCs/>
          <w:sz w:val="24"/>
          <w:highlight w:val="none"/>
          <w:lang w:val="en-US" w:eastAsia="zh-CN"/>
        </w:rPr>
        <w:t>10</w:t>
      </w:r>
      <w:r>
        <w:rPr>
          <w:rFonts w:hint="eastAsia" w:ascii="宋体" w:hAnsi="宋体" w:cs="宋体"/>
          <w:b/>
          <w:bCs/>
          <w:sz w:val="24"/>
          <w:highlight w:val="none"/>
        </w:rPr>
        <w:t>月</w:t>
      </w:r>
      <w:r>
        <w:rPr>
          <w:rFonts w:hint="eastAsia" w:ascii="宋体" w:hAnsi="宋体" w:cs="宋体"/>
          <w:b/>
          <w:bCs/>
          <w:sz w:val="24"/>
          <w:highlight w:val="none"/>
          <w:lang w:val="en-US" w:eastAsia="zh-CN"/>
        </w:rPr>
        <w:t>23</w:t>
      </w:r>
      <w:r>
        <w:rPr>
          <w:rFonts w:hint="eastAsia" w:ascii="宋体" w:hAnsi="宋体" w:cs="宋体"/>
          <w:b/>
          <w:bCs/>
          <w:sz w:val="24"/>
          <w:highlight w:val="none"/>
        </w:rPr>
        <w:t>日</w:t>
      </w:r>
      <w:r>
        <w:rPr>
          <w:rFonts w:hint="eastAsia" w:ascii="宋体" w:hAnsi="宋体" w:cs="宋体"/>
          <w:kern w:val="0"/>
          <w:sz w:val="24"/>
          <w:szCs w:val="24"/>
          <w:highlight w:val="yellow"/>
        </w:rPr>
        <w:br w:type="page"/>
      </w:r>
    </w:p>
    <w:p>
      <w:pPr>
        <w:pStyle w:val="4"/>
        <w:rPr>
          <w:rFonts w:ascii="宋体" w:hAnsi="宋体" w:cs="宋体"/>
        </w:rPr>
      </w:pPr>
      <w:bookmarkStart w:id="34" w:name="_Toc30089"/>
      <w:bookmarkStart w:id="35" w:name="_Toc8294"/>
      <w:bookmarkStart w:id="36" w:name="_Toc31083"/>
      <w:bookmarkStart w:id="37" w:name="_Toc10732"/>
      <w:bookmarkStart w:id="38" w:name="_Toc2880"/>
      <w:bookmarkStart w:id="39" w:name="_Toc438048787"/>
      <w:r>
        <w:rPr>
          <w:rFonts w:hint="eastAsia" w:ascii="宋体" w:hAnsi="宋体" w:cs="宋体"/>
        </w:rPr>
        <w:t>第二部分 供应商须知前附表</w:t>
      </w:r>
      <w:bookmarkEnd w:id="34"/>
      <w:bookmarkEnd w:id="35"/>
      <w:bookmarkEnd w:id="36"/>
      <w:bookmarkEnd w:id="37"/>
      <w:bookmarkEnd w:id="38"/>
      <w:bookmarkEnd w:id="39"/>
    </w:p>
    <w:tbl>
      <w:tblPr>
        <w:tblStyle w:val="18"/>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Lines="50"/>
              <w:jc w:val="center"/>
              <w:rPr>
                <w:rFonts w:ascii="宋体" w:hAnsi="宋体" w:cs="宋体"/>
                <w:b/>
                <w:szCs w:val="21"/>
              </w:rPr>
            </w:pPr>
            <w:r>
              <w:rPr>
                <w:rFonts w:hint="eastAsia" w:ascii="宋体" w:hAnsi="宋体" w:cs="宋体"/>
                <w:b/>
                <w:szCs w:val="21"/>
              </w:rPr>
              <w:t>条款</w:t>
            </w:r>
          </w:p>
        </w:tc>
        <w:tc>
          <w:tcPr>
            <w:tcW w:w="7359" w:type="dxa"/>
          </w:tcPr>
          <w:p>
            <w:pPr>
              <w:spacing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499" w:type="dxa"/>
          </w:tcPr>
          <w:p>
            <w:pPr>
              <w:spacing w:beforeLines="50"/>
              <w:jc w:val="center"/>
              <w:rPr>
                <w:rFonts w:ascii="宋体" w:hAnsi="宋体" w:cs="宋体"/>
                <w:b/>
                <w:szCs w:val="21"/>
              </w:rPr>
            </w:pPr>
            <w:r>
              <w:rPr>
                <w:rFonts w:hint="eastAsia" w:ascii="宋体" w:hAnsi="宋体" w:cs="宋体"/>
                <w:b/>
                <w:szCs w:val="21"/>
              </w:rPr>
              <w:t>1</w:t>
            </w:r>
          </w:p>
        </w:tc>
        <w:tc>
          <w:tcPr>
            <w:tcW w:w="1062"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359" w:type="dxa"/>
            <w:vAlign w:val="center"/>
          </w:tcPr>
          <w:p>
            <w:pPr>
              <w:spacing w:line="360" w:lineRule="auto"/>
              <w:jc w:val="center"/>
              <w:rPr>
                <w:rFonts w:ascii="宋体" w:hAnsi="宋体" w:cs="宋体"/>
                <w:szCs w:val="21"/>
              </w:rPr>
            </w:pPr>
            <w:r>
              <w:rPr>
                <w:rFonts w:hint="eastAsia" w:ascii="宋体" w:hAnsi="宋体" w:cs="宋体"/>
                <w:szCs w:val="21"/>
                <w:lang w:eastAsia="zh-CN"/>
              </w:rPr>
              <w:t>西安医学院教学质量监测与评估系统建设采购项目</w:t>
            </w:r>
            <w:r>
              <w:rPr>
                <w:rFonts w:hint="eastAsia" w:ascii="宋体" w:hAns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Lines="50"/>
              <w:jc w:val="center"/>
              <w:rPr>
                <w:rFonts w:hint="eastAsia" w:ascii="宋体" w:hAnsi="宋体" w:cs="宋体"/>
                <w:b/>
                <w:szCs w:val="21"/>
              </w:rPr>
            </w:pPr>
          </w:p>
          <w:p>
            <w:pPr>
              <w:spacing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hint="eastAsia" w:ascii="宋体" w:hAnsi="宋体" w:cs="宋体"/>
                <w:szCs w:val="21"/>
              </w:rPr>
            </w:pPr>
            <w:r>
              <w:rPr>
                <w:rFonts w:hint="eastAsia" w:ascii="宋体" w:hAnsi="宋体" w:cs="宋体"/>
                <w:szCs w:val="21"/>
              </w:rPr>
              <w:t>采购人名称：西安医学院</w:t>
            </w:r>
          </w:p>
          <w:p>
            <w:pPr>
              <w:bidi w:val="0"/>
              <w:rPr>
                <w:rFonts w:hint="eastAsia" w:eastAsia="宋体"/>
                <w:lang w:eastAsia="zh-CN"/>
              </w:rPr>
            </w:pPr>
            <w:r>
              <w:rPr>
                <w:rFonts w:hint="eastAsia"/>
                <w:lang w:eastAsia="zh-CN"/>
              </w:rPr>
              <w:t>联</w:t>
            </w:r>
            <w:r>
              <w:rPr>
                <w:rFonts w:hint="eastAsia"/>
                <w:lang w:val="en-US" w:eastAsia="zh-CN"/>
              </w:rPr>
              <w:t xml:space="preserve">  </w:t>
            </w:r>
            <w:r>
              <w:rPr>
                <w:rFonts w:hint="eastAsia"/>
                <w:lang w:eastAsia="zh-CN"/>
              </w:rPr>
              <w:t>系</w:t>
            </w:r>
            <w:r>
              <w:rPr>
                <w:rFonts w:hint="eastAsia"/>
                <w:lang w:val="en-US" w:eastAsia="zh-CN"/>
              </w:rPr>
              <w:t xml:space="preserve">  </w:t>
            </w:r>
            <w:r>
              <w:rPr>
                <w:rFonts w:hint="eastAsia"/>
                <w:lang w:eastAsia="zh-CN"/>
              </w:rPr>
              <w:t>人：许老师</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widowControl/>
              <w:wordWrap w:val="0"/>
              <w:spacing w:line="360" w:lineRule="auto"/>
              <w:jc w:val="left"/>
              <w:rPr>
                <w:rFonts w:ascii="宋体" w:hAnsi="宋体" w:cs="宋体"/>
                <w:szCs w:val="21"/>
              </w:rPr>
            </w:pPr>
            <w:r>
              <w:rPr>
                <w:rFonts w:hint="eastAsia" w:ascii="宋体" w:hAnsi="宋体" w:cs="宋体"/>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Lines="50"/>
              <w:jc w:val="center"/>
              <w:rPr>
                <w:rFonts w:hint="eastAsia" w:ascii="宋体" w:hAnsi="宋体" w:cs="宋体"/>
                <w:b/>
                <w:szCs w:val="21"/>
              </w:rPr>
            </w:pPr>
          </w:p>
          <w:p>
            <w:pPr>
              <w:spacing w:beforeLines="50"/>
              <w:jc w:val="center"/>
              <w:rPr>
                <w:rFonts w:hint="eastAsia" w:ascii="宋体" w:hAnsi="宋体" w:cs="宋体"/>
                <w:b/>
                <w:szCs w:val="21"/>
              </w:rPr>
            </w:pPr>
          </w:p>
          <w:p>
            <w:pPr>
              <w:spacing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ascii="宋体" w:hAnsi="宋体" w:cs="宋体"/>
                <w:szCs w:val="21"/>
              </w:rPr>
            </w:pPr>
            <w:r>
              <w:rPr>
                <w:rFonts w:hint="eastAsia" w:ascii="宋体" w:hAnsi="宋体" w:cs="宋体"/>
                <w:szCs w:val="21"/>
              </w:rPr>
              <w:t>联   系   人：崔方明</w:t>
            </w:r>
            <w:r>
              <w:rPr>
                <w:rFonts w:hint="eastAsia" w:ascii="宋体" w:hAnsi="宋体" w:cs="宋体"/>
                <w:szCs w:val="21"/>
                <w:lang w:val="en-US" w:eastAsia="zh-CN"/>
              </w:rPr>
              <w:t xml:space="preserve"> </w:t>
            </w:r>
            <w:r>
              <w:rPr>
                <w:rFonts w:hint="eastAsia" w:ascii="宋体" w:hAnsi="宋体" w:cs="宋体"/>
                <w:szCs w:val="21"/>
              </w:rPr>
              <w:t>许芳芳</w:t>
            </w:r>
            <w:r>
              <w:rPr>
                <w:rFonts w:hint="eastAsia" w:ascii="宋体" w:hAnsi="宋体" w:cs="宋体"/>
                <w:szCs w:val="21"/>
                <w:lang w:val="en-US" w:eastAsia="zh-CN"/>
              </w:rPr>
              <w:t xml:space="preserve"> 陈晓航</w:t>
            </w:r>
            <w:r>
              <w:rPr>
                <w:rFonts w:hint="eastAsia" w:ascii="宋体" w:hAnsi="宋体" w:cs="宋体"/>
                <w:szCs w:val="21"/>
              </w:rPr>
              <w:t xml:space="preserve">  </w:t>
            </w:r>
          </w:p>
          <w:p>
            <w:pPr>
              <w:spacing w:line="360" w:lineRule="auto"/>
              <w:jc w:val="left"/>
              <w:rPr>
                <w:rFonts w:ascii="宋体" w:hAnsi="宋体" w:cs="宋体"/>
                <w:szCs w:val="21"/>
              </w:rPr>
            </w:pPr>
            <w:r>
              <w:rPr>
                <w:rFonts w:hint="eastAsia" w:ascii="宋体" w:hAnsi="宋体" w:cs="宋体"/>
                <w:szCs w:val="21"/>
              </w:rPr>
              <w:t>电        话：029-88319689-804/029-88319689-811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打 包</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本次采购不分包，供应商可根据自身的资质情况和经营范围对本项目进行磋商，不得自行分解或只对本次项目中的品目进行不完全磋商，任何不完全的磋商将按无效磋商处理。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jc w:val="center"/>
              <w:rPr>
                <w:rFonts w:ascii="宋体" w:hAnsi="宋体" w:cs="宋体"/>
                <w:szCs w:val="21"/>
              </w:rPr>
            </w:pPr>
            <w:r>
              <w:rPr>
                <w:rFonts w:hint="eastAsia" w:ascii="宋体" w:hAnsi="宋体" w:cs="宋体"/>
                <w:szCs w:val="21"/>
              </w:rPr>
              <w:t>资 格</w:t>
            </w:r>
          </w:p>
          <w:p>
            <w:pPr>
              <w:jc w:val="center"/>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ascii="宋体" w:hAnsi="宋体"/>
                <w:b/>
                <w:bCs/>
                <w:szCs w:val="21"/>
              </w:rPr>
              <w:t>提供复印件加盖供应商鲜章</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2、</w:t>
            </w:r>
            <w:r>
              <w:rPr>
                <w:rFonts w:hint="eastAsia" w:ascii="宋体" w:hAnsi="宋体" w:cs="宋体"/>
                <w:b/>
                <w:kern w:val="0"/>
                <w:szCs w:val="21"/>
              </w:rPr>
              <w:t>非法定代表人参加磋商的，须提供法定代表人授权委托书及被授权人身份证；法定代表人参加磋商时,只须提供法定代表人身份证；</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3、社会保障资金缴纳证明：提供已缴存的2022年</w:t>
            </w:r>
            <w:r>
              <w:rPr>
                <w:rFonts w:hint="eastAsia" w:ascii="宋体" w:hAnsi="宋体" w:cs="宋体"/>
                <w:bCs/>
                <w:kern w:val="0"/>
                <w:szCs w:val="21"/>
                <w:lang w:val="en-US" w:eastAsia="zh-CN"/>
              </w:rPr>
              <w:t>10月</w:t>
            </w:r>
            <w:r>
              <w:rPr>
                <w:rFonts w:hint="eastAsia" w:ascii="宋体" w:hAnsi="宋体" w:cs="宋体"/>
                <w:bCs/>
                <w:kern w:val="0"/>
                <w:szCs w:val="21"/>
              </w:rPr>
              <w:t>至今任一月份的社会保障资金缴存单据或社保机构开具的社会保险参保缴费情况证明，单据或证明上应有社保机构或代收机构的公章。依法不需要缴纳社会保障资金的供应商应提供相关文件证明；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b/>
                <w:bCs/>
                <w:szCs w:val="21"/>
              </w:rPr>
              <w:t>提供复印件加盖供应商鲜章；</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4、税收缴纳证明：提供2022年</w:t>
            </w:r>
            <w:r>
              <w:rPr>
                <w:rFonts w:hint="eastAsia" w:ascii="宋体" w:hAnsi="宋体" w:cs="宋体"/>
                <w:bCs/>
                <w:kern w:val="0"/>
                <w:szCs w:val="21"/>
                <w:lang w:val="en-US" w:eastAsia="zh-CN"/>
              </w:rPr>
              <w:t>10月</w:t>
            </w:r>
            <w:r>
              <w:rPr>
                <w:rFonts w:hint="eastAsia" w:ascii="宋体" w:hAnsi="宋体" w:cs="宋体"/>
                <w:bCs/>
                <w:kern w:val="0"/>
                <w:szCs w:val="21"/>
              </w:rPr>
              <w:t>至今已缴纳的</w:t>
            </w:r>
            <w:r>
              <w:rPr>
                <w:rFonts w:hint="eastAsia" w:ascii="宋体" w:hAnsi="宋体" w:cs="宋体"/>
                <w:bCs/>
                <w:kern w:val="0"/>
                <w:szCs w:val="21"/>
                <w:lang w:val="en-US" w:eastAsia="zh-CN"/>
              </w:rPr>
              <w:t>任</w:t>
            </w:r>
            <w:r>
              <w:rPr>
                <w:rFonts w:hint="eastAsia" w:ascii="宋体" w:hAnsi="宋体" w:cs="宋体"/>
                <w:bCs/>
                <w:kern w:val="0"/>
                <w:szCs w:val="21"/>
              </w:rPr>
              <w:t>一个月的纳税证明或完税证明，依法免税的单位应提供相关证明材料；</w:t>
            </w:r>
            <w:r>
              <w:rPr>
                <w:rFonts w:hint="eastAsia" w:ascii="宋体" w:hAnsi="宋体"/>
                <w:b/>
                <w:bCs/>
                <w:szCs w:val="21"/>
              </w:rPr>
              <w:t>提供复印件加盖供应商鲜章；</w:t>
            </w:r>
            <w:r>
              <w:rPr>
                <w:rFonts w:hint="eastAsia" w:ascii="宋体" w:hAnsi="宋体" w:cs="宋体"/>
                <w:bCs/>
                <w:kern w:val="0"/>
                <w:szCs w:val="21"/>
              </w:rPr>
              <w:t> </w:t>
            </w:r>
          </w:p>
          <w:p>
            <w:pPr>
              <w:adjustRightInd w:val="0"/>
              <w:snapToGrid w:val="0"/>
              <w:spacing w:line="360" w:lineRule="auto"/>
              <w:rPr>
                <w:rFonts w:ascii="宋体" w:hAnsi="宋体" w:cs="宋体"/>
                <w:bCs/>
                <w:kern w:val="0"/>
                <w:szCs w:val="21"/>
              </w:rPr>
            </w:pPr>
            <w:r>
              <w:rPr>
                <w:rFonts w:hint="eastAsia" w:ascii="宋体" w:hAnsi="宋体" w:cs="宋体"/>
                <w:bCs/>
                <w:kern w:val="0"/>
                <w:szCs w:val="21"/>
              </w:rPr>
              <w:t>5、财务状况证明：提供202</w:t>
            </w:r>
            <w:r>
              <w:rPr>
                <w:rFonts w:hint="eastAsia" w:ascii="宋体" w:hAnsi="宋体" w:cs="宋体"/>
                <w:bCs/>
                <w:kern w:val="0"/>
                <w:szCs w:val="21"/>
                <w:lang w:val="en-US" w:eastAsia="zh-CN"/>
              </w:rPr>
              <w:t>2</w:t>
            </w:r>
            <w:r>
              <w:rPr>
                <w:rFonts w:hint="eastAsia" w:ascii="宋体" w:hAnsi="宋体" w:cs="宋体"/>
                <w:bCs/>
                <w:kern w:val="0"/>
                <w:szCs w:val="21"/>
              </w:rPr>
              <w:t>年的财务报告或在开标日期前六个月内其基本开户银行出具的资信证明；</w:t>
            </w:r>
            <w:r>
              <w:rPr>
                <w:rFonts w:hint="eastAsia" w:ascii="宋体" w:hAnsi="宋体"/>
                <w:b/>
                <w:bCs/>
                <w:szCs w:val="21"/>
              </w:rPr>
              <w:t>提供复印件加盖供应商鲜章；</w:t>
            </w:r>
          </w:p>
          <w:p>
            <w:pPr>
              <w:adjustRightInd w:val="0"/>
              <w:snapToGrid w:val="0"/>
              <w:spacing w:line="360" w:lineRule="auto"/>
              <w:rPr>
                <w:rFonts w:hint="eastAsia" w:ascii="宋体" w:hAnsi="宋体" w:cs="宋体"/>
                <w:bCs/>
                <w:kern w:val="0"/>
                <w:szCs w:val="21"/>
              </w:rPr>
            </w:pPr>
            <w:r>
              <w:rPr>
                <w:rFonts w:hint="eastAsia" w:ascii="宋体" w:hAnsi="宋体" w:cs="宋体"/>
                <w:b/>
                <w:bCs w:val="0"/>
                <w:kern w:val="0"/>
                <w:szCs w:val="21"/>
                <w:lang w:val="en-US" w:eastAsia="zh-CN"/>
              </w:rPr>
              <w:t>6</w:t>
            </w:r>
            <w:r>
              <w:rPr>
                <w:rFonts w:hint="eastAsia" w:ascii="宋体" w:hAnsi="宋体" w:cs="宋体"/>
                <w:b/>
                <w:bCs w:val="0"/>
                <w:kern w:val="0"/>
                <w:szCs w:val="21"/>
              </w:rPr>
              <w:t>、本项目专门面向</w:t>
            </w:r>
            <w:r>
              <w:rPr>
                <w:rFonts w:hint="eastAsia" w:ascii="宋体" w:hAnsi="宋体" w:cs="宋体"/>
                <w:b/>
                <w:bCs w:val="0"/>
                <w:kern w:val="0"/>
                <w:szCs w:val="21"/>
                <w:lang w:eastAsia="zh-CN"/>
              </w:rPr>
              <w:t>中小</w:t>
            </w:r>
            <w:r>
              <w:rPr>
                <w:rFonts w:hint="eastAsia" w:ascii="宋体" w:hAnsi="宋体" w:cs="宋体"/>
                <w:b/>
                <w:bCs w:val="0"/>
                <w:kern w:val="0"/>
                <w:szCs w:val="21"/>
              </w:rPr>
              <w:t>企业采购，</w:t>
            </w:r>
            <w:r>
              <w:rPr>
                <w:rFonts w:hint="eastAsia" w:ascii="宋体" w:hAnsi="宋体" w:cs="宋体"/>
                <w:b/>
                <w:bCs w:val="0"/>
                <w:kern w:val="0"/>
                <w:szCs w:val="21"/>
                <w:lang w:val="en-US" w:eastAsia="zh-CN"/>
              </w:rPr>
              <w:t>供应商</w:t>
            </w:r>
            <w:r>
              <w:rPr>
                <w:rFonts w:hint="eastAsia" w:ascii="宋体" w:hAnsi="宋体" w:cs="宋体"/>
                <w:b/>
                <w:bCs w:val="0"/>
                <w:kern w:val="0"/>
                <w:szCs w:val="21"/>
              </w:rPr>
              <w:t>应提供</w:t>
            </w:r>
            <w:r>
              <w:rPr>
                <w:rFonts w:hint="eastAsia" w:ascii="宋体" w:hAnsi="宋体" w:cs="宋体"/>
                <w:b/>
                <w:bCs w:val="0"/>
                <w:kern w:val="0"/>
                <w:szCs w:val="21"/>
                <w:lang w:eastAsia="zh-CN"/>
              </w:rPr>
              <w:t>中小</w:t>
            </w:r>
            <w:r>
              <w:rPr>
                <w:rFonts w:hint="eastAsia" w:ascii="宋体" w:hAnsi="宋体" w:cs="宋体"/>
                <w:b/>
                <w:bCs w:val="0"/>
                <w:kern w:val="0"/>
                <w:szCs w:val="21"/>
              </w:rPr>
              <w:t>企业声明函</w:t>
            </w:r>
            <w:r>
              <w:rPr>
                <w:rFonts w:hint="eastAsia" w:ascii="宋体" w:hAnsi="宋体" w:cs="宋体"/>
                <w:b/>
                <w:bCs w:val="0"/>
                <w:kern w:val="0"/>
                <w:szCs w:val="21"/>
                <w:lang w:eastAsia="zh-CN"/>
              </w:rPr>
              <w:t>（</w:t>
            </w:r>
            <w:r>
              <w:rPr>
                <w:rFonts w:hint="eastAsia" w:ascii="宋体" w:hAnsi="宋体" w:cs="宋体"/>
                <w:b/>
                <w:bCs w:val="0"/>
                <w:kern w:val="0"/>
                <w:szCs w:val="21"/>
                <w:lang w:val="en-US" w:eastAsia="zh-CN"/>
              </w:rPr>
              <w:t>格式详见附件二</w:t>
            </w:r>
            <w:r>
              <w:rPr>
                <w:rFonts w:hint="eastAsia" w:ascii="宋体" w:hAnsi="宋体" w:cs="宋体"/>
                <w:b/>
                <w:bCs w:val="0"/>
                <w:kern w:val="0"/>
                <w:szCs w:val="21"/>
                <w:lang w:eastAsia="zh-CN"/>
              </w:rPr>
              <w:t>）；</w:t>
            </w:r>
          </w:p>
          <w:p>
            <w:pPr>
              <w:adjustRightInd w:val="0"/>
              <w:snapToGrid w:val="0"/>
              <w:spacing w:line="360" w:lineRule="auto"/>
              <w:rPr>
                <w:rFonts w:ascii="宋体" w:hAnsi="宋体" w:cs="宋体"/>
                <w:bCs/>
                <w:kern w:val="0"/>
                <w:szCs w:val="21"/>
              </w:rPr>
            </w:pPr>
            <w:r>
              <w:rPr>
                <w:rFonts w:hint="eastAsia" w:ascii="宋体" w:hAnsi="宋体" w:cs="宋体"/>
                <w:bCs/>
                <w:kern w:val="0"/>
                <w:szCs w:val="21"/>
                <w:lang w:val="en-US" w:eastAsia="zh-CN"/>
              </w:rPr>
              <w:t>7、</w:t>
            </w:r>
            <w:r>
              <w:rPr>
                <w:rFonts w:hint="eastAsia" w:ascii="宋体" w:hAnsi="宋体" w:cs="宋体"/>
                <w:bCs/>
                <w:kern w:val="0"/>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8"/>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8"/>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w:t>
            </w:r>
            <w:r>
              <w:rPr>
                <w:rFonts w:hint="eastAsia" w:asciiTheme="minorEastAsia" w:hAnsiTheme="minorEastAsia" w:eastAsiaTheme="minorEastAsia" w:cstheme="minorEastAsia"/>
                <w:b/>
                <w:bCs/>
                <w:szCs w:val="21"/>
                <w:lang w:val="en-US" w:eastAsia="zh-CN"/>
              </w:rPr>
              <w:t>过度、</w:t>
            </w:r>
            <w:r>
              <w:rPr>
                <w:rFonts w:hint="eastAsia" w:asciiTheme="minorEastAsia" w:hAnsiTheme="minorEastAsia" w:eastAsiaTheme="minorEastAsia" w:cstheme="minorEastAsia"/>
                <w:b/>
                <w:bCs/>
                <w:szCs w:val="21"/>
              </w:rPr>
              <w:t>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保证金要求</w:t>
            </w:r>
          </w:p>
        </w:tc>
        <w:tc>
          <w:tcPr>
            <w:tcW w:w="7359" w:type="dxa"/>
          </w:tcPr>
          <w:p>
            <w:pPr>
              <w:spacing w:line="360" w:lineRule="auto"/>
              <w:jc w:val="left"/>
              <w:rPr>
                <w:rFonts w:ascii="宋体" w:hAnsi="宋体" w:cs="宋体"/>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b/>
                <w:bCs/>
                <w:color w:val="000000"/>
                <w:szCs w:val="21"/>
                <w:highlight w:val="none"/>
              </w:rPr>
              <w:t>人</w:t>
            </w:r>
            <w:r>
              <w:rPr>
                <w:rFonts w:hint="eastAsia" w:ascii="宋体" w:hAnsi="宋体"/>
                <w:b/>
                <w:bCs/>
                <w:szCs w:val="21"/>
                <w:highlight w:val="none"/>
              </w:rPr>
              <w:t>民币</w:t>
            </w:r>
            <w:r>
              <w:rPr>
                <w:rFonts w:hint="eastAsia" w:ascii="宋体" w:hAnsi="宋体"/>
                <w:b/>
                <w:bCs/>
                <w:szCs w:val="21"/>
                <w:highlight w:val="none"/>
                <w:lang w:val="en-US" w:eastAsia="zh-CN"/>
              </w:rPr>
              <w:t>贰万</w:t>
            </w:r>
            <w:r>
              <w:rPr>
                <w:rFonts w:hint="eastAsia" w:ascii="宋体" w:hAnsi="宋体"/>
                <w:b/>
                <w:bCs/>
                <w:szCs w:val="21"/>
                <w:highlight w:val="none"/>
              </w:rPr>
              <w:t>元整（</w:t>
            </w:r>
            <w:r>
              <w:rPr>
                <w:rFonts w:hint="eastAsia" w:ascii="宋体" w:hAnsi="宋体"/>
                <w:b/>
                <w:bCs/>
                <w:szCs w:val="21"/>
                <w:highlight w:val="none"/>
                <w:lang w:val="en-US" w:eastAsia="zh-CN"/>
              </w:rPr>
              <w:t>20</w:t>
            </w:r>
            <w:r>
              <w:rPr>
                <w:rFonts w:hint="eastAsia" w:ascii="宋体" w:hAnsi="宋体"/>
                <w:b/>
                <w:bCs/>
                <w:szCs w:val="21"/>
                <w:highlight w:val="none"/>
              </w:rPr>
              <w:t>000元）</w:t>
            </w:r>
          </w:p>
          <w:p>
            <w:pPr>
              <w:spacing w:line="360" w:lineRule="auto"/>
              <w:ind w:firstLine="422" w:firstLineChars="200"/>
              <w:jc w:val="left"/>
              <w:rPr>
                <w:szCs w:val="21"/>
              </w:rPr>
            </w:pPr>
            <w:r>
              <w:rPr>
                <w:rFonts w:hint="eastAsia" w:asciiTheme="minorEastAsia" w:hAnsiTheme="minorEastAsia" w:cstheme="minorEastAsia"/>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转账事由：医学院-</w:t>
            </w:r>
            <w:r>
              <w:rPr>
                <w:rFonts w:hint="eastAsia" w:ascii="宋体" w:hAnsi="宋体" w:cs="宋体"/>
                <w:b/>
                <w:bCs/>
                <w:szCs w:val="21"/>
                <w:lang w:val="en-US" w:eastAsia="zh-CN"/>
              </w:rPr>
              <w:t>262</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96"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1"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499" w:type="dxa"/>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3</w:t>
            </w:r>
          </w:p>
        </w:tc>
        <w:tc>
          <w:tcPr>
            <w:tcW w:w="1062" w:type="dxa"/>
            <w:vAlign w:val="center"/>
          </w:tcPr>
          <w:p>
            <w:pPr>
              <w:pStyle w:val="10"/>
              <w:jc w:val="center"/>
              <w:rPr>
                <w:rFonts w:ascii="宋体" w:hAnsi="宋体" w:cs="宋体"/>
                <w:color w:val="000000"/>
                <w:szCs w:val="21"/>
              </w:rPr>
            </w:pPr>
            <w:r>
              <w:rPr>
                <w:rFonts w:hint="eastAsia" w:hAnsi="宋体"/>
              </w:rPr>
              <w:t>现场踏勘</w:t>
            </w:r>
          </w:p>
        </w:tc>
        <w:tc>
          <w:tcPr>
            <w:tcW w:w="7359" w:type="dxa"/>
            <w:vAlign w:val="center"/>
          </w:tcPr>
          <w:p>
            <w:pPr>
              <w:pStyle w:val="10"/>
              <w:jc w:val="left"/>
              <w:rPr>
                <w:rFonts w:ascii="宋体" w:hAnsi="宋体" w:cs="宋体"/>
                <w:szCs w:val="21"/>
              </w:rPr>
            </w:pPr>
            <w:r>
              <w:rPr>
                <w:rFonts w:hint="eastAsia" w:hAnsi="宋体"/>
              </w:rPr>
              <w:t>是否组织踏勘：</w:t>
            </w:r>
            <w:r>
              <w:rPr>
                <w:rFonts w:hAnsi="宋体"/>
              </w:rPr>
              <w:t>□</w:t>
            </w:r>
            <w:r>
              <w:rPr>
                <w:rFonts w:hint="eastAsia" w:hAnsi="宋体"/>
              </w:rPr>
              <w:t>组织/</w:t>
            </w:r>
            <w:r>
              <w:rPr>
                <w:rFonts w:hAnsi="宋体"/>
              </w:rPr>
              <w:fldChar w:fldCharType="begin"/>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499" w:type="dxa"/>
            <w:vAlign w:val="center"/>
          </w:tcPr>
          <w:p>
            <w:pPr>
              <w:jc w:val="center"/>
              <w:rPr>
                <w:rFonts w:hint="eastAsia"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cs="宋体"/>
                <w:szCs w:val="21"/>
              </w:rPr>
              <w:t>1</w:t>
            </w:r>
            <w:r>
              <w:rPr>
                <w:rFonts w:hint="eastAsia" w:ascii="宋体" w:hAnsi="宋体" w:cs="宋体"/>
                <w:szCs w:val="21"/>
                <w:lang w:val="en-US" w:eastAsia="zh-CN"/>
              </w:rPr>
              <w:t>4</w:t>
            </w:r>
          </w:p>
        </w:tc>
        <w:tc>
          <w:tcPr>
            <w:tcW w:w="1062" w:type="dxa"/>
            <w:vAlign w:val="center"/>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color w:val="000000" w:themeColor="text1"/>
                <w:szCs w:val="21"/>
                <w14:textFill>
                  <w14:solidFill>
                    <w14:schemeClr w14:val="tx1"/>
                  </w14:solidFill>
                </w14:textFill>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5</w:t>
            </w:r>
          </w:p>
        </w:tc>
        <w:tc>
          <w:tcPr>
            <w:tcW w:w="1062" w:type="dxa"/>
            <w:vAlign w:val="center"/>
          </w:tcPr>
          <w:p>
            <w:pPr>
              <w:spacing w:line="360" w:lineRule="auto"/>
              <w:jc w:val="center"/>
              <w:rPr>
                <w:rFonts w:ascii="宋体" w:hAnsi="宋体" w:cs="宋体"/>
                <w:szCs w:val="21"/>
              </w:rPr>
            </w:pPr>
            <w:r>
              <w:rPr>
                <w:rFonts w:hint="eastAsia" w:ascii="宋体" w:hAnsi="宋体" w:cs="宋体"/>
                <w:szCs w:val="21"/>
              </w:rPr>
              <w:t>进口产品</w:t>
            </w:r>
          </w:p>
        </w:tc>
        <w:tc>
          <w:tcPr>
            <w:tcW w:w="7359" w:type="dxa"/>
            <w:vAlign w:val="center"/>
          </w:tcPr>
          <w:p>
            <w:pPr>
              <w:spacing w:line="360" w:lineRule="auto"/>
              <w:jc w:val="left"/>
              <w:rPr>
                <w:rFonts w:hAnsi="宋体" w:cs="宋体"/>
                <w:szCs w:val="21"/>
              </w:rPr>
            </w:pPr>
            <w:r>
              <w:rPr>
                <w:rFonts w:hint="eastAsia" w:ascii="宋体"/>
                <w:kern w:val="0"/>
                <w:szCs w:val="21"/>
              </w:rPr>
              <w:t>本项目不允许采购进口产品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16</w:t>
            </w:r>
          </w:p>
        </w:tc>
        <w:tc>
          <w:tcPr>
            <w:tcW w:w="1062" w:type="dxa"/>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Cs w:val="21"/>
                <w:highlight w:val="none"/>
                <w:lang w:val="en-US" w:eastAsia="zh-CN"/>
              </w:rPr>
              <w:t>核心产品</w:t>
            </w:r>
          </w:p>
        </w:tc>
        <w:tc>
          <w:tcPr>
            <w:tcW w:w="7359" w:type="dxa"/>
            <w:vAlign w:val="center"/>
          </w:tcPr>
          <w:p>
            <w:pPr>
              <w:spacing w:line="360" w:lineRule="auto"/>
              <w:jc w:val="left"/>
              <w:rPr>
                <w:rFonts w:hint="eastAsia" w:ascii="宋体" w:eastAsiaTheme="minorEastAsia"/>
                <w:kern w:val="0"/>
                <w:szCs w:val="21"/>
                <w:highlight w:val="none"/>
                <w:lang w:val="en-US" w:eastAsia="zh-CN"/>
              </w:rPr>
            </w:pPr>
            <w:r>
              <w:rPr>
                <w:rFonts w:hint="eastAsia" w:ascii="宋体" w:hAnsi="宋体" w:cs="宋体"/>
                <w:b/>
                <w:bCs/>
                <w:szCs w:val="21"/>
                <w:highlight w:val="none"/>
                <w:lang w:val="en-US" w:eastAsia="zh-CN"/>
              </w:rPr>
              <w:t>教学质量评价模块。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p>
        </w:tc>
        <w:tc>
          <w:tcPr>
            <w:tcW w:w="1062" w:type="dxa"/>
            <w:vAlign w:val="center"/>
          </w:tcPr>
          <w:p>
            <w:pPr>
              <w:spacing w:line="360" w:lineRule="auto"/>
              <w:jc w:val="center"/>
              <w:rPr>
                <w:rFonts w:ascii="宋体" w:hAnsi="宋体" w:cs="宋体"/>
                <w:szCs w:val="21"/>
              </w:rPr>
            </w:pPr>
            <w:r>
              <w:rPr>
                <w:rFonts w:hint="eastAsia" w:ascii="宋体" w:hAnsi="宋体" w:cs="宋体"/>
                <w:szCs w:val="21"/>
              </w:rPr>
              <w:t>政府采购融资政策</w:t>
            </w:r>
          </w:p>
        </w:tc>
        <w:tc>
          <w:tcPr>
            <w:tcW w:w="7359" w:type="dxa"/>
            <w:vAlign w:val="center"/>
          </w:tcPr>
          <w:p>
            <w:pPr>
              <w:spacing w:line="360" w:lineRule="auto"/>
              <w:rPr>
                <w:rFonts w:hAnsi="宋体" w:cs="宋体"/>
                <w:szCs w:val="21"/>
                <w:u w:val="single"/>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7"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062" w:type="dxa"/>
            <w:vAlign w:val="center"/>
          </w:tcPr>
          <w:p>
            <w:pPr>
              <w:spacing w:line="360" w:lineRule="auto"/>
              <w:rPr>
                <w:rFonts w:hint="eastAsia" w:ascii="宋体" w:hAnsi="宋体" w:cs="宋体"/>
                <w:szCs w:val="21"/>
              </w:rPr>
            </w:pPr>
            <w:r>
              <w:rPr>
                <w:rFonts w:hint="eastAsia" w:ascii="宋体" w:hAnsi="宋体" w:cs="宋体"/>
                <w:szCs w:val="21"/>
              </w:rPr>
              <w:t>项目性质</w:t>
            </w:r>
          </w:p>
        </w:tc>
        <w:tc>
          <w:tcPr>
            <w:tcW w:w="7359" w:type="dxa"/>
            <w:vAlign w:val="center"/>
          </w:tcPr>
          <w:p>
            <w:pPr>
              <w:spacing w:line="360" w:lineRule="auto"/>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非专门面向中小企业采购</w:t>
            </w:r>
          </w:p>
          <w:p>
            <w:pPr>
              <w:spacing w:line="360" w:lineRule="auto"/>
              <w:rPr>
                <w:rFonts w:ascii="宋体" w:hAnsi="宋体" w:cs="宋体"/>
                <w:szCs w:val="21"/>
              </w:rPr>
            </w:pPr>
            <w:r>
              <w:rPr>
                <w:rFonts w:hint="eastAsia" w:ascii="宋体" w:hAnsi="宋体" w:cs="宋体"/>
                <w:szCs w:val="21"/>
              </w:rPr>
              <w:t>对符合《政府采购促进中小企业发展管理办法》(财库{2020}46号)规定的小微企业(监狱企业视同小型、微型企业)的报价给予</w:t>
            </w:r>
            <w:r>
              <w:rPr>
                <w:rFonts w:hint="eastAsia" w:ascii="宋体" w:hAnsi="宋体" w:cs="宋体"/>
                <w:szCs w:val="21"/>
                <w:u w:val="single"/>
              </w:rPr>
              <w:t>10</w:t>
            </w:r>
            <w:r>
              <w:rPr>
                <w:rFonts w:hint="eastAsia" w:ascii="宋体" w:hAnsi="宋体" w:cs="宋体"/>
                <w:szCs w:val="21"/>
              </w:rPr>
              <w:t>％(10％-20％)的扣除,用扣除后的价格参加评审。</w:t>
            </w:r>
          </w:p>
          <w:p>
            <w:pPr>
              <w:spacing w:line="360" w:lineRule="auto"/>
              <w:jc w:val="left"/>
              <w:rPr>
                <w:rFonts w:ascii="宋体" w:hAnsi="宋体" w:cs="宋体"/>
                <w:szCs w:val="21"/>
              </w:rPr>
            </w:pPr>
            <w:r>
              <w:rPr>
                <w:rFonts w:hint="eastAsia" w:ascii="宋体" w:hAnsi="宋体" w:cs="宋体"/>
                <w:szCs w:val="21"/>
              </w:rPr>
              <w:t>根据《政府采购促进中小企业发展暂行办法》，投标人提供的《中小企业声明函》</w:t>
            </w:r>
            <w:r>
              <w:rPr>
                <w:rFonts w:hint="eastAsia" w:ascii="宋体" w:hAnsi="宋体" w:cs="宋体"/>
                <w:b/>
                <w:bCs/>
                <w:szCs w:val="21"/>
              </w:rPr>
              <w:t>（附件二）</w:t>
            </w:r>
            <w:r>
              <w:rPr>
                <w:rFonts w:hint="eastAsia" w:ascii="宋体" w:hAnsi="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hint="eastAsia" w:hAnsi="宋体" w:cs="宋体"/>
                <w:szCs w:val="21"/>
              </w:rPr>
            </w:pPr>
            <w:r>
              <w:rPr>
                <w:rFonts w:hint="eastAsia" w:ascii="宋体" w:hAnsi="宋体" w:cs="宋体"/>
                <w:szCs w:val="21"/>
                <w:lang w:eastAsia="zh-CN"/>
              </w:rPr>
              <w:t>☑</w:t>
            </w:r>
            <w:r>
              <w:rPr>
                <w:rFonts w:hint="eastAsia" w:ascii="宋体" w:hAnsi="宋体" w:cs="宋体"/>
                <w:szCs w:val="21"/>
              </w:rPr>
              <w:t>专门面向中小企业采购仅允许中小企业或小型、微型企业参与投标。</w:t>
            </w:r>
          </w:p>
        </w:tc>
      </w:tr>
    </w:tbl>
    <w:p>
      <w:pPr>
        <w:rPr>
          <w:rFonts w:hint="eastAsia" w:ascii="宋体" w:hAnsi="宋体" w:cs="宋体"/>
          <w:kern w:val="0"/>
          <w:sz w:val="24"/>
          <w:szCs w:val="24"/>
          <w:highlight w:val="yellow"/>
        </w:rPr>
      </w:pPr>
    </w:p>
    <w:p>
      <w:pPr>
        <w:rPr>
          <w:rFonts w:hint="eastAsia" w:ascii="宋体" w:hAnsi="宋体" w:cs="宋体"/>
        </w:rPr>
      </w:pPr>
      <w:bookmarkStart w:id="40" w:name="_Toc17091"/>
      <w:bookmarkStart w:id="41" w:name="_Toc11283"/>
      <w:r>
        <w:rPr>
          <w:rFonts w:hint="eastAsia" w:ascii="宋体" w:hAnsi="宋体" w:cs="宋体"/>
        </w:rPr>
        <w:br w:type="page"/>
      </w:r>
    </w:p>
    <w:p>
      <w:pPr>
        <w:pStyle w:val="4"/>
        <w:keepLines w:val="0"/>
        <w:ind w:firstLine="643" w:firstLineChars="200"/>
        <w:rPr>
          <w:rFonts w:ascii="宋体" w:hAnsi="宋体" w:cs="宋体"/>
        </w:rPr>
      </w:pPr>
      <w:r>
        <w:rPr>
          <w:rFonts w:hint="eastAsia" w:ascii="宋体" w:hAnsi="宋体" w:cs="宋体"/>
        </w:rPr>
        <w:t>第三部分 供应商须知</w:t>
      </w:r>
      <w:bookmarkEnd w:id="40"/>
      <w:bookmarkEnd w:id="41"/>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42" w:name="_Toc26739"/>
      <w:bookmarkStart w:id="43" w:name="_Toc12064"/>
      <w:bookmarkStart w:id="44" w:name="_Toc14581"/>
      <w:bookmarkStart w:id="45" w:name="_Toc10909"/>
      <w:bookmarkStart w:id="46" w:name="_Toc14307"/>
      <w:r>
        <w:rPr>
          <w:rFonts w:hint="eastAsia" w:ascii="宋体" w:hAnsi="宋体" w:cs="宋体"/>
          <w:b/>
          <w:bCs/>
          <w:kern w:val="0"/>
          <w:sz w:val="32"/>
          <w:szCs w:val="28"/>
        </w:rPr>
        <w:t>总则</w:t>
      </w:r>
      <w:bookmarkEnd w:id="42"/>
      <w:bookmarkEnd w:id="43"/>
      <w:bookmarkEnd w:id="44"/>
      <w:bookmarkEnd w:id="45"/>
      <w:bookmarkEnd w:id="46"/>
    </w:p>
    <w:p>
      <w:pPr>
        <w:pStyle w:val="6"/>
        <w:numPr>
          <w:ilvl w:val="0"/>
          <w:numId w:val="4"/>
        </w:numPr>
        <w:ind w:firstLine="562" w:firstLineChars="200"/>
        <w:rPr>
          <w:rFonts w:ascii="宋体" w:hAnsi="宋体" w:cs="宋体"/>
        </w:rPr>
      </w:pPr>
      <w:bookmarkStart w:id="47" w:name="_Toc358364319"/>
      <w:bookmarkStart w:id="48" w:name="_Toc6742"/>
      <w:bookmarkStart w:id="49" w:name="_Toc380336725"/>
      <w:bookmarkStart w:id="50" w:name="_Toc9257"/>
      <w:r>
        <w:rPr>
          <w:rFonts w:hint="eastAsia" w:ascii="宋体" w:hAnsi="宋体" w:cs="宋体"/>
        </w:rPr>
        <w:t>适用范围</w:t>
      </w:r>
      <w:bookmarkEnd w:id="47"/>
      <w:bookmarkEnd w:id="48"/>
      <w:bookmarkEnd w:id="49"/>
      <w:bookmarkEnd w:id="50"/>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本磋商文件适用于本次采购活动的全过程。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本次采购属政府采购，采购人、采购代理机构、供应商、磋商小组的相关行为均受《中华人民共和国政府采购法》及实施条例、财政部规章及政府采购项目所在地有关法规</w:t>
      </w:r>
      <w:r>
        <w:rPr>
          <w:rFonts w:hint="eastAsia" w:ascii="宋体" w:hAnsi="宋体" w:cs="宋体"/>
          <w:color w:val="000000" w:themeColor="text1"/>
          <w:kern w:val="0"/>
          <w:sz w:val="24"/>
          <w:szCs w:val="24"/>
          <w14:textFill>
            <w14:solidFill>
              <w14:schemeClr w14:val="tx1"/>
            </w14:solidFill>
          </w14:textFill>
        </w:rPr>
        <w:t>、规章</w:t>
      </w:r>
      <w:r>
        <w:rPr>
          <w:rFonts w:hint="eastAsia" w:ascii="宋体" w:hAnsi="宋体" w:cs="宋体"/>
          <w:kern w:val="0"/>
          <w:sz w:val="24"/>
          <w:szCs w:val="24"/>
        </w:rPr>
        <w:t>的约束，其权利受到上述法律法规的保护。</w:t>
      </w:r>
    </w:p>
    <w:p>
      <w:pPr>
        <w:pStyle w:val="6"/>
        <w:numPr>
          <w:ilvl w:val="0"/>
          <w:numId w:val="4"/>
        </w:numPr>
        <w:ind w:firstLine="562" w:firstLineChars="200"/>
        <w:rPr>
          <w:rFonts w:ascii="宋体" w:hAnsi="宋体" w:cs="宋体"/>
        </w:rPr>
      </w:pPr>
      <w:bookmarkStart w:id="51" w:name="_Toc380336726"/>
      <w:bookmarkStart w:id="52" w:name="_Toc11287"/>
      <w:bookmarkStart w:id="53" w:name="_Toc7922"/>
      <w:bookmarkStart w:id="54" w:name="_Toc358364320"/>
      <w:r>
        <w:rPr>
          <w:rFonts w:hint="eastAsia" w:ascii="宋体" w:hAnsi="宋体" w:cs="宋体"/>
        </w:rPr>
        <w:t>定义</w:t>
      </w:r>
      <w:bookmarkEnd w:id="51"/>
      <w:bookmarkEnd w:id="52"/>
      <w:bookmarkEnd w:id="53"/>
      <w:bookmarkEnd w:id="54"/>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2.1 “采购人”是指依法进行政府采购的国家机关、事业单位、团体组织。本次政府采购的采购人名称、地址、电话见供应商须知前附表。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2.2 “采购代理机构”是指接受采购人委托，代理采购项目的集中采购机构和其他采购代理机构。本次采购代理机构名称、地址、电话见供应商须知前附表。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2.3 “供应商”是</w:t>
      </w:r>
      <w:r>
        <w:rPr>
          <w:rFonts w:hint="eastAsia" w:ascii="宋体" w:hAnsi="宋体" w:cs="宋体"/>
          <w:sz w:val="24"/>
          <w:szCs w:val="24"/>
        </w:rPr>
        <w:t>参与本项目磋商活动的</w:t>
      </w:r>
      <w:r>
        <w:rPr>
          <w:rFonts w:hint="eastAsia" w:ascii="宋体" w:hAnsi="宋体" w:cs="宋体"/>
          <w:color w:val="000000"/>
          <w:sz w:val="24"/>
          <w:szCs w:val="24"/>
        </w:rPr>
        <w:t>法人、其他组织或自然人</w:t>
      </w:r>
      <w:r>
        <w:rPr>
          <w:rFonts w:hint="eastAsia" w:ascii="宋体" w:hAnsi="宋体" w:cs="宋体"/>
          <w:kern w:val="0"/>
          <w:sz w:val="24"/>
          <w:szCs w:val="24"/>
        </w:rPr>
        <w:t>。</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2.4 “货物” 是指各种形态和种类的物品，包括原材料、燃料</w:t>
      </w:r>
      <w:r>
        <w:rPr>
          <w:rFonts w:hint="eastAsia" w:ascii="宋体" w:hAnsi="宋体" w:cs="宋体"/>
          <w:color w:val="000000" w:themeColor="text1"/>
          <w:kern w:val="0"/>
          <w:sz w:val="24"/>
          <w:szCs w:val="24"/>
          <w14:textFill>
            <w14:solidFill>
              <w14:schemeClr w14:val="tx1"/>
            </w14:solidFill>
          </w14:textFill>
        </w:rPr>
        <w:t>、产品、等</w:t>
      </w:r>
      <w:r>
        <w:rPr>
          <w:rFonts w:hint="eastAsia" w:ascii="宋体" w:hAnsi="宋体" w:cs="宋体"/>
          <w:kern w:val="0"/>
          <w:sz w:val="24"/>
          <w:szCs w:val="24"/>
        </w:rPr>
        <w:t>。按照财政部《政府采购进口产品管理办法》（财库[2007]119号）的有关规定，本磋商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2.5 “服务”指除了货物和工程外的其他政府采购对象。包含除货物以外规定由供应商承担的与货物有关的辅助服务。</w:t>
      </w:r>
    </w:p>
    <w:p>
      <w:pPr>
        <w:pStyle w:val="6"/>
        <w:numPr>
          <w:ilvl w:val="0"/>
          <w:numId w:val="4"/>
        </w:numPr>
        <w:spacing w:line="500" w:lineRule="exact"/>
        <w:ind w:firstLine="562" w:firstLineChars="200"/>
        <w:rPr>
          <w:rFonts w:ascii="宋体" w:hAnsi="宋体" w:cs="宋体"/>
          <w:szCs w:val="28"/>
        </w:rPr>
      </w:pPr>
      <w:bookmarkStart w:id="55" w:name="_Toc358364321"/>
      <w:bookmarkStart w:id="56" w:name="_Toc17676"/>
      <w:bookmarkStart w:id="57" w:name="_Toc23781"/>
      <w:bookmarkStart w:id="58" w:name="_Toc380336727"/>
      <w:r>
        <w:rPr>
          <w:rFonts w:hint="eastAsia" w:ascii="宋体" w:hAnsi="宋体" w:cs="宋体"/>
          <w:szCs w:val="28"/>
        </w:rPr>
        <w:t>合格的</w:t>
      </w:r>
      <w:bookmarkEnd w:id="55"/>
      <w:bookmarkEnd w:id="56"/>
      <w:bookmarkEnd w:id="57"/>
      <w:bookmarkEnd w:id="58"/>
      <w:r>
        <w:rPr>
          <w:rFonts w:hint="eastAsia" w:ascii="宋体" w:hAnsi="宋体" w:cs="宋体"/>
          <w:szCs w:val="28"/>
        </w:rPr>
        <w:t>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3.1具有本项目生产、制造、加工、供应或实施能力，符合、承认并承诺履行本磋商文件各项规定的国内供应商。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3.2供应商应遵守有关的国家法律、法规和条例，具备《中华人民共和国政府采购法》和本文件中规定的条件：</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具有履行合同所必需的产品和专业技术能力；</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left="6" w:firstLine="499" w:firstLineChars="208"/>
        <w:rPr>
          <w:rFonts w:ascii="宋体" w:hAnsi="宋体" w:cs="宋体"/>
          <w:sz w:val="24"/>
          <w:szCs w:val="24"/>
        </w:rPr>
      </w:pPr>
      <w:r>
        <w:rPr>
          <w:rFonts w:hint="eastAsia" w:ascii="宋体" w:hAnsi="宋体" w:cs="宋体"/>
          <w:sz w:val="24"/>
          <w:szCs w:val="24"/>
        </w:rPr>
        <w:t>3.3供应商购买磋商文件时应登记备案，并提供有效联系方式。</w:t>
      </w:r>
    </w:p>
    <w:p>
      <w:pPr>
        <w:tabs>
          <w:tab w:val="left" w:pos="0"/>
        </w:tabs>
        <w:spacing w:line="500" w:lineRule="exact"/>
        <w:ind w:left="5" w:firstLine="518" w:firstLineChars="216"/>
        <w:rPr>
          <w:rFonts w:ascii="宋体" w:hAnsi="宋体" w:cs="宋体"/>
          <w:sz w:val="24"/>
          <w:szCs w:val="24"/>
        </w:rPr>
      </w:pPr>
      <w:r>
        <w:rPr>
          <w:rFonts w:hint="eastAsia" w:ascii="宋体" w:hAnsi="宋体" w:cs="宋体"/>
          <w:sz w:val="24"/>
          <w:szCs w:val="24"/>
        </w:rPr>
        <w:t>3.4如供应商代表不是法定代表人，须持有《法定代表人授权委托书》 (按磋商文件提供的格式填写)。</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sz w:val="24"/>
          <w:szCs w:val="24"/>
        </w:rPr>
        <w:t>3.5供应商应独立于采购人，不得直接或间接地与采购人为采购本次招标的货物进行设计、编制技术规格和其它文件所委托的咨询公司或其附属机构有任何关联。</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kern w:val="0"/>
          <w:sz w:val="24"/>
          <w:szCs w:val="24"/>
        </w:rPr>
        <w:t>3.6供应商不得存在下列情形之一</w:t>
      </w:r>
      <w:r>
        <w:rPr>
          <w:rFonts w:hint="eastAsia" w:ascii="宋体" w:hAnsi="宋体" w:cs="宋体"/>
          <w:sz w:val="24"/>
          <w:szCs w:val="24"/>
        </w:rPr>
        <w:t>：</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（1）与采购人或采购代理机构存在隶属关系或者其他利害关系；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（2）与其他供应商的法定代表人（或者负责人）为同一人，或者与其他供应商存在直接控股、管理关系；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left="5" w:firstLine="444" w:firstLineChars="185"/>
        <w:rPr>
          <w:rFonts w:ascii="宋体" w:hAnsi="宋体" w:cs="宋体"/>
          <w:b/>
          <w:bCs/>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在投标截止日前被列入失信被执行人、重大税收违法案件当事人名单、政府采购严重违法失信行为记录名单（处罚期限届满的除外）（以信用中国网（</w:t>
      </w:r>
      <w:r>
        <w:rPr>
          <w:rFonts w:hint="eastAsia" w:ascii="宋体" w:hAnsi="宋体" w:cs="宋体"/>
          <w:b/>
          <w:bCs/>
          <w:kern w:val="0"/>
          <w:sz w:val="24"/>
          <w:szCs w:val="24"/>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www.creditchina.gov.cn）、中国政府采购网（</w:t>
      </w:r>
      <w:r>
        <w:rPr>
          <w:rFonts w:hint="eastAsia" w:ascii="宋体" w:hAnsi="宋体" w:cs="宋体"/>
          <w:b/>
          <w:bCs/>
          <w:kern w:val="0"/>
          <w:sz w:val="24"/>
          <w:szCs w:val="24"/>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www.ccgp.gov.cn）查询结果为准、如相关失信记录已失效，供应商需提供相关证明资料）。</w:t>
      </w:r>
    </w:p>
    <w:p>
      <w:pPr>
        <w:pStyle w:val="6"/>
        <w:numPr>
          <w:ilvl w:val="0"/>
          <w:numId w:val="4"/>
        </w:numPr>
        <w:spacing w:line="500" w:lineRule="exact"/>
        <w:ind w:firstLine="562" w:firstLineChars="200"/>
        <w:rPr>
          <w:rFonts w:ascii="宋体" w:hAnsi="宋体" w:cs="宋体"/>
          <w:szCs w:val="28"/>
        </w:rPr>
      </w:pPr>
      <w:bookmarkStart w:id="59" w:name="_Toc540"/>
      <w:bookmarkStart w:id="60" w:name="_Toc380336728"/>
      <w:bookmarkStart w:id="61" w:name="_Toc22444"/>
      <w:bookmarkStart w:id="62" w:name="_Toc358364322"/>
      <w:r>
        <w:rPr>
          <w:rFonts w:hint="eastAsia" w:ascii="宋体" w:hAnsi="宋体" w:cs="宋体"/>
          <w:szCs w:val="28"/>
        </w:rPr>
        <w:t>费用</w:t>
      </w:r>
      <w:bookmarkEnd w:id="59"/>
      <w:bookmarkEnd w:id="60"/>
      <w:bookmarkEnd w:id="61"/>
      <w:bookmarkEnd w:id="62"/>
    </w:p>
    <w:p>
      <w:pPr>
        <w:widowControl/>
        <w:wordWrap w:val="0"/>
        <w:snapToGrid w:val="0"/>
        <w:spacing w:beforeLines="50" w:line="360" w:lineRule="auto"/>
        <w:ind w:right="-90" w:rightChars="-43" w:firstLine="480" w:firstLineChars="200"/>
        <w:jc w:val="left"/>
        <w:rPr>
          <w:rFonts w:ascii="宋体" w:hAnsi="宋体" w:cs="宋体"/>
          <w:kern w:val="0"/>
          <w:sz w:val="24"/>
          <w:szCs w:val="24"/>
        </w:rPr>
      </w:pPr>
      <w:r>
        <w:rPr>
          <w:rFonts w:hint="eastAsia" w:ascii="宋体" w:hAnsi="宋体" w:cs="宋体"/>
          <w:kern w:val="0"/>
          <w:sz w:val="24"/>
          <w:szCs w:val="24"/>
        </w:rPr>
        <w:t>供应商应承担所有与准备和参加投标有关的费用，采购代理机构（或采购人)在任何情况下均无义务和责任承担这些费用。</w:t>
      </w:r>
    </w:p>
    <w:p>
      <w:pPr>
        <w:pStyle w:val="6"/>
        <w:numPr>
          <w:ilvl w:val="0"/>
          <w:numId w:val="4"/>
        </w:numPr>
        <w:spacing w:line="500" w:lineRule="exact"/>
        <w:ind w:firstLine="562" w:firstLineChars="200"/>
        <w:rPr>
          <w:rFonts w:ascii="宋体" w:hAnsi="宋体" w:cs="宋体"/>
          <w:szCs w:val="28"/>
        </w:rPr>
      </w:pPr>
      <w:r>
        <w:rPr>
          <w:rFonts w:hint="eastAsia" w:ascii="宋体" w:hAnsi="宋体" w:cs="宋体"/>
          <w:szCs w:val="28"/>
        </w:rPr>
        <w:t>采购进口产品</w:t>
      </w:r>
    </w:p>
    <w:p>
      <w:pPr>
        <w:widowControl/>
        <w:wordWrap w:val="0"/>
        <w:snapToGrid w:val="0"/>
        <w:spacing w:beforeLines="50" w:line="360" w:lineRule="auto"/>
        <w:ind w:right="-90" w:rightChars="-43" w:firstLine="480" w:firstLineChars="200"/>
        <w:jc w:val="left"/>
        <w:rPr>
          <w:rFonts w:ascii="宋体" w:hAnsi="宋体" w:cs="宋体"/>
          <w:sz w:val="24"/>
          <w:szCs w:val="24"/>
        </w:rPr>
      </w:pPr>
      <w:r>
        <w:rPr>
          <w:rFonts w:hint="eastAsia" w:ascii="宋体" w:hAnsi="宋体" w:cs="宋体"/>
          <w:sz w:val="24"/>
          <w:szCs w:val="24"/>
        </w:rPr>
        <w:t>5.1 除公告或第五部分采购要求标明允许采购进口产品外，本项目拒绝进口产品参加采购活动。</w:t>
      </w:r>
    </w:p>
    <w:p>
      <w:pPr>
        <w:widowControl/>
        <w:wordWrap w:val="0"/>
        <w:snapToGrid w:val="0"/>
        <w:spacing w:line="360" w:lineRule="auto"/>
        <w:ind w:right="-92" w:rightChars="-44" w:firstLine="480" w:firstLineChars="200"/>
        <w:jc w:val="left"/>
        <w:rPr>
          <w:rFonts w:ascii="宋体" w:hAnsi="宋体" w:cs="宋体"/>
          <w:sz w:val="24"/>
          <w:szCs w:val="24"/>
        </w:rPr>
      </w:pPr>
      <w:r>
        <w:rPr>
          <w:rFonts w:hint="eastAsia" w:ascii="宋体" w:hAnsi="宋体" w:cs="宋体"/>
          <w:sz w:val="24"/>
          <w:szCs w:val="24"/>
        </w:rPr>
        <w:t>5.2 本项目第五部分采购要求中同意购买进口产品的，采购活动不限制满足磋商文件要求的国产产品参与本次采购。</w:t>
      </w:r>
    </w:p>
    <w:p>
      <w:pPr>
        <w:pStyle w:val="6"/>
        <w:numPr>
          <w:ilvl w:val="0"/>
          <w:numId w:val="4"/>
        </w:numPr>
        <w:spacing w:afterLines="100" w:line="500" w:lineRule="exact"/>
        <w:ind w:firstLine="562" w:firstLineChars="200"/>
        <w:rPr>
          <w:rFonts w:ascii="宋体" w:hAnsi="宋体" w:cs="宋体"/>
          <w:szCs w:val="28"/>
        </w:rPr>
      </w:pPr>
      <w:r>
        <w:rPr>
          <w:rFonts w:hint="eastAsia" w:ascii="宋体" w:hAnsi="宋体" w:cs="宋体"/>
          <w:szCs w:val="28"/>
        </w:rPr>
        <w:t>政府采购政策支持</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 xml:space="preserve">6.1 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6.2 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6.3 产品同时属于“非强制采购节能产品”、环境标志产品的，评审时只有其中一项能享受优先待遇（供应商自行选择，并在报价文件中填写相关信息及数据）。</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63" w:name="_Toc1811"/>
      <w:bookmarkStart w:id="64" w:name="_Toc31243"/>
      <w:bookmarkStart w:id="65" w:name="_Toc24962"/>
      <w:bookmarkStart w:id="66" w:name="_Toc5047"/>
      <w:r>
        <w:rPr>
          <w:rFonts w:hint="eastAsia" w:ascii="宋体" w:hAnsi="宋体" w:cs="宋体"/>
          <w:b/>
          <w:bCs/>
          <w:kern w:val="0"/>
          <w:sz w:val="32"/>
          <w:szCs w:val="28"/>
        </w:rPr>
        <w:t>竞争性磋商文件</w:t>
      </w:r>
      <w:bookmarkEnd w:id="63"/>
      <w:bookmarkEnd w:id="64"/>
      <w:bookmarkEnd w:id="65"/>
      <w:bookmarkEnd w:id="66"/>
    </w:p>
    <w:p>
      <w:pPr>
        <w:pStyle w:val="6"/>
        <w:numPr>
          <w:ilvl w:val="0"/>
          <w:numId w:val="6"/>
        </w:numPr>
        <w:rPr>
          <w:rFonts w:ascii="宋体" w:hAnsi="宋体" w:cs="宋体"/>
        </w:rPr>
      </w:pPr>
      <w:bookmarkStart w:id="67" w:name="_Toc5801"/>
      <w:r>
        <w:rPr>
          <w:rFonts w:hint="eastAsia" w:ascii="宋体" w:hAnsi="宋体" w:cs="宋体"/>
        </w:rPr>
        <w:t>竞争性磋商文件的构成</w:t>
      </w:r>
      <w:bookmarkEnd w:id="67"/>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竞争性磋商公告；</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供应商须知前附表；</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评审标准；</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采购要求；</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合同条款；</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磋商响应文件格式。</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pPr>
        <w:pStyle w:val="6"/>
        <w:numPr>
          <w:ilvl w:val="0"/>
          <w:numId w:val="6"/>
        </w:numPr>
        <w:rPr>
          <w:rFonts w:ascii="宋体" w:hAnsi="宋体" w:cs="宋体"/>
        </w:rPr>
      </w:pPr>
      <w:bookmarkStart w:id="68" w:name="_Toc19797"/>
      <w:r>
        <w:rPr>
          <w:rFonts w:hint="eastAsia" w:ascii="宋体" w:hAnsi="宋体" w:cs="宋体"/>
        </w:rPr>
        <w:t>竞争性磋商文件的澄清</w:t>
      </w:r>
      <w:bookmarkEnd w:id="68"/>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 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2.2任何对竞争性磋商文件进行询问或要求进行澄清的供应商，均应在收到竞争性磋商文件后二日内按竞争性磋商文件中的通讯地址以书面形式递交代理机构，采购人或代理机构对收到的任何询问或澄清要求将在三个工作日内作出书面答复。</w:t>
      </w:r>
    </w:p>
    <w:p>
      <w:pPr>
        <w:pStyle w:val="6"/>
        <w:numPr>
          <w:ilvl w:val="0"/>
          <w:numId w:val="6"/>
        </w:numPr>
        <w:rPr>
          <w:rFonts w:ascii="宋体" w:hAnsi="宋体" w:cs="宋体"/>
        </w:rPr>
      </w:pPr>
      <w:bookmarkStart w:id="69" w:name="_Toc6390"/>
      <w:r>
        <w:rPr>
          <w:rFonts w:hint="eastAsia" w:ascii="宋体" w:hAnsi="宋体" w:cs="宋体"/>
        </w:rPr>
        <w:t>竞争性磋商文件的修改</w:t>
      </w:r>
      <w:bookmarkEnd w:id="69"/>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3.1 在磋商截止时间五日前，无论出于何种原因，代理机构可主动地或在解答供应商提出的澄清问题时，对竞争性磋商文件进行修改。竞争性磋商文件的澄清和修改将以书面形式通知所有供应商，并作为竞争性磋商文件的补充，与其具有同等法律效力。</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3.2 为方便供应商对竞争性磋商文件修改或澄清内容有充分的时间进行补充修改，代理机构可适当延长磋商截止时间和磋商时间，在竞争性磋商文件要求提交磋商响应文件的截止期三日前，将变更时间书面通知所有购买竞争性磋商文件的供应商。</w:t>
      </w:r>
    </w:p>
    <w:p>
      <w:pPr>
        <w:pStyle w:val="6"/>
        <w:numPr>
          <w:ilvl w:val="0"/>
          <w:numId w:val="6"/>
        </w:numPr>
        <w:rPr>
          <w:rFonts w:ascii="宋体" w:hAnsi="宋体" w:cs="宋体"/>
        </w:rPr>
      </w:pPr>
      <w:bookmarkStart w:id="70" w:name="_Toc31188"/>
      <w:r>
        <w:rPr>
          <w:rFonts w:hint="eastAsia" w:ascii="宋体" w:hAnsi="宋体" w:cs="宋体"/>
        </w:rPr>
        <w:t>竞争性磋商文件的获取</w:t>
      </w:r>
      <w:bookmarkEnd w:id="70"/>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供应商必须从代理机构购买竞争性磋商文件，供应商自行转让或复制竞争性磋商文件视为无效。竞争性磋商文件一经售出，一律不退，仅作为本次竞争性磋商使用。</w:t>
      </w:r>
    </w:p>
    <w:p>
      <w:pPr>
        <w:pStyle w:val="6"/>
        <w:numPr>
          <w:ilvl w:val="0"/>
          <w:numId w:val="6"/>
        </w:numPr>
        <w:rPr>
          <w:rFonts w:ascii="宋体" w:hAnsi="宋体" w:cs="宋体"/>
        </w:rPr>
      </w:pPr>
      <w:bookmarkStart w:id="71" w:name="_Toc5095"/>
      <w:r>
        <w:rPr>
          <w:rFonts w:hint="eastAsia" w:ascii="宋体" w:hAnsi="宋体" w:cs="宋体"/>
        </w:rPr>
        <w:t>竞争性磋商文件的解释权归代理机构。</w:t>
      </w:r>
      <w:bookmarkEnd w:id="71"/>
    </w:p>
    <w:p>
      <w:pPr>
        <w:widowControl/>
        <w:numPr>
          <w:ilvl w:val="0"/>
          <w:numId w:val="3"/>
        </w:numPr>
        <w:spacing w:line="360" w:lineRule="auto"/>
        <w:ind w:firstLine="643" w:firstLineChars="200"/>
        <w:jc w:val="center"/>
        <w:outlineLvl w:val="1"/>
        <w:rPr>
          <w:rFonts w:ascii="宋体" w:hAnsi="宋体" w:cs="宋体"/>
          <w:b/>
          <w:bCs/>
          <w:kern w:val="0"/>
          <w:sz w:val="32"/>
          <w:szCs w:val="28"/>
        </w:rPr>
        <w:sectPr>
          <w:headerReference r:id="rId3" w:type="default"/>
          <w:footerReference r:id="rId4" w:type="default"/>
          <w:pgSz w:w="11906" w:h="16838"/>
          <w:pgMar w:top="1440" w:right="1706" w:bottom="1440" w:left="1800" w:header="851" w:footer="992" w:gutter="0"/>
          <w:pgNumType w:fmt="decimal"/>
          <w:cols w:space="720" w:num="1"/>
          <w:docGrid w:type="lines" w:linePitch="312" w:charSpace="0"/>
        </w:sectPr>
      </w:pP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72" w:name="_Toc21116"/>
      <w:bookmarkStart w:id="73" w:name="_Toc23299"/>
      <w:bookmarkStart w:id="74" w:name="_Toc25919"/>
      <w:bookmarkStart w:id="75" w:name="_Toc7124"/>
      <w:r>
        <w:rPr>
          <w:rFonts w:hint="eastAsia" w:ascii="宋体" w:hAnsi="宋体" w:cs="宋体"/>
          <w:b/>
          <w:bCs/>
          <w:kern w:val="0"/>
          <w:sz w:val="32"/>
          <w:szCs w:val="28"/>
        </w:rPr>
        <w:t>磋商响应文件</w:t>
      </w:r>
      <w:bookmarkEnd w:id="72"/>
      <w:bookmarkEnd w:id="73"/>
      <w:bookmarkEnd w:id="74"/>
      <w:bookmarkEnd w:id="75"/>
    </w:p>
    <w:p>
      <w:pPr>
        <w:pStyle w:val="6"/>
        <w:numPr>
          <w:ilvl w:val="0"/>
          <w:numId w:val="8"/>
        </w:numPr>
        <w:rPr>
          <w:rFonts w:ascii="宋体" w:hAnsi="宋体" w:cs="宋体"/>
        </w:rPr>
      </w:pPr>
      <w:bookmarkStart w:id="76" w:name="_Toc17549"/>
      <w:r>
        <w:rPr>
          <w:rFonts w:hint="eastAsia" w:ascii="宋体" w:hAnsi="宋体" w:cs="宋体"/>
        </w:rPr>
        <w:t>磋商响应文件的编制</w:t>
      </w:r>
      <w:bookmarkEnd w:id="76"/>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磋商响应文件必须根据代理机构发售的竞争性磋商文件格式和顺序认真编制。具体内容包括：</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响应函；</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磋商一览表 ；</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分项报价表；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磋商保证金；</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供应商资质证明资料；</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商务和技术响应偏离表；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技术支持资料；</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供应商业绩一览表；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供应商认为有必要说明的其他问题；</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供应商承诺书；</w:t>
      </w:r>
    </w:p>
    <w:p>
      <w:pPr>
        <w:pStyle w:val="6"/>
        <w:numPr>
          <w:ilvl w:val="0"/>
          <w:numId w:val="8"/>
        </w:numPr>
        <w:rPr>
          <w:rFonts w:ascii="宋体" w:hAnsi="宋体" w:cs="宋体"/>
        </w:rPr>
      </w:pPr>
      <w:r>
        <w:rPr>
          <w:rFonts w:hint="eastAsia" w:ascii="宋体" w:hAnsi="宋体" w:cs="宋体"/>
        </w:rPr>
        <w:t>响应报价</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2.1供应商应在响应报价表中标明本次招标所要求的设计服务且验收合格的所有费用，包括总报价、服务报价、技术培训费（如果有）、检测费、人工费、税金及进口产品（如果有）国家按现行税收政策征收的一切税费等。在合同实施期间，响应报价表中标明本项目所需的总价，不受市场价变化的影响，不受实际数量变化的影响。任何有选择的报价将不予接受，否则按无效响应处理。</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2.2供应商成交后承担服务过程中发生的安全事故产生的所有法律及经济责任。</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2.3响应报价表成交的价格，在合同执行过程中，不得以任何理由变更。</w:t>
      </w:r>
    </w:p>
    <w:p>
      <w:pPr>
        <w:tabs>
          <w:tab w:val="left" w:pos="0"/>
        </w:tabs>
        <w:adjustRightInd w:val="0"/>
        <w:snapToGrid w:val="0"/>
        <w:spacing w:line="440" w:lineRule="exact"/>
        <w:ind w:firstLine="480" w:firstLineChars="200"/>
        <w:jc w:val="left"/>
        <w:rPr>
          <w:rFonts w:ascii="宋体" w:hAnsi="宋体" w:cs="宋体"/>
          <w:color w:val="0000FF"/>
          <w:sz w:val="24"/>
          <w:szCs w:val="24"/>
        </w:rPr>
      </w:pPr>
      <w:r>
        <w:rPr>
          <w:rFonts w:hint="eastAsia" w:ascii="宋体" w:hAnsi="宋体" w:cs="宋体"/>
          <w:sz w:val="24"/>
          <w:szCs w:val="24"/>
        </w:rPr>
        <w:t>2.4供应商应在磋商响应文件中的磋商一览表上，标明</w:t>
      </w:r>
      <w:r>
        <w:rPr>
          <w:rFonts w:hint="eastAsia" w:ascii="宋体" w:hAnsi="宋体" w:cs="宋体"/>
          <w:sz w:val="24"/>
          <w:szCs w:val="24"/>
          <w:lang w:val="en-US" w:eastAsia="zh-CN"/>
        </w:rPr>
        <w:t>总报价</w:t>
      </w:r>
      <w:r>
        <w:rPr>
          <w:rFonts w:hint="eastAsia" w:ascii="宋体" w:hAnsi="宋体" w:cs="宋体"/>
          <w:sz w:val="24"/>
          <w:szCs w:val="24"/>
        </w:rPr>
        <w:t>、</w:t>
      </w:r>
      <w:r>
        <w:rPr>
          <w:rFonts w:hint="eastAsia" w:ascii="宋体" w:hAnsi="宋体" w:cs="宋体"/>
          <w:sz w:val="24"/>
          <w:szCs w:val="24"/>
          <w:lang w:val="en-US" w:eastAsia="zh-CN"/>
        </w:rPr>
        <w:t>交付期、质保期</w:t>
      </w:r>
      <w:r>
        <w:rPr>
          <w:rFonts w:hint="eastAsia" w:ascii="宋体" w:hAnsi="宋体" w:cs="宋体"/>
          <w:sz w:val="24"/>
          <w:szCs w:val="24"/>
        </w:rPr>
        <w:t>等磋商文件要求的其他内容；任何有选择的报价不予接受。</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2.5最低报价不是成交的唯一依据。</w:t>
      </w:r>
    </w:p>
    <w:p>
      <w:pPr>
        <w:pStyle w:val="6"/>
        <w:numPr>
          <w:ilvl w:val="0"/>
          <w:numId w:val="8"/>
        </w:numPr>
        <w:rPr>
          <w:rFonts w:ascii="宋体" w:hAnsi="宋体" w:cs="宋体"/>
        </w:rPr>
      </w:pPr>
      <w:bookmarkStart w:id="77" w:name="_Toc29200"/>
      <w:r>
        <w:rPr>
          <w:rFonts w:hint="eastAsia" w:ascii="宋体" w:hAnsi="宋体" w:cs="宋体"/>
        </w:rPr>
        <w:t>磋商货币</w:t>
      </w:r>
      <w:bookmarkEnd w:id="77"/>
    </w:p>
    <w:p>
      <w:pPr>
        <w:widowControl/>
        <w:spacing w:line="360" w:lineRule="auto"/>
        <w:ind w:firstLine="480" w:firstLineChars="200"/>
        <w:rPr>
          <w:rFonts w:ascii="宋体" w:hAnsi="宋体" w:cs="宋体"/>
          <w:kern w:val="0"/>
          <w:sz w:val="24"/>
        </w:rPr>
      </w:pPr>
      <w:r>
        <w:rPr>
          <w:rFonts w:hint="eastAsia" w:ascii="宋体" w:hAnsi="宋体" w:cs="宋体"/>
          <w:kern w:val="0"/>
          <w:sz w:val="24"/>
        </w:rPr>
        <w:t>采购人只接受人民币作为唯一磋商货币。</w:t>
      </w:r>
    </w:p>
    <w:p>
      <w:pPr>
        <w:pStyle w:val="6"/>
        <w:numPr>
          <w:ilvl w:val="0"/>
          <w:numId w:val="8"/>
        </w:numPr>
        <w:rPr>
          <w:rFonts w:ascii="宋体" w:hAnsi="宋体" w:cs="宋体"/>
        </w:rPr>
      </w:pPr>
      <w:bookmarkStart w:id="78" w:name="_Toc1311"/>
      <w:r>
        <w:rPr>
          <w:rFonts w:hint="eastAsia" w:ascii="宋体" w:hAnsi="宋体" w:cs="宋体"/>
        </w:rPr>
        <w:t>磋商保证金</w:t>
      </w:r>
      <w:bookmarkEnd w:id="78"/>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4.1磋商保证金按照供应商须知前附表要求缴纳。</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4.2供应商未按照竞争性磋商文件要求交纳磋商保证金的或磋商保证金的交付单位和供应商的名称不一致，视为无效磋商。</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4.3未成交供应商的磋商保证金，在成交通知书发出后5个工作日内无息退还；成交供应商的磋商保证金在合同签订后5个工作日内无息退还。</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4.4发生下列情形之一的，代理机构将不予退还供应商交纳的磋商保证金：</w:t>
      </w:r>
    </w:p>
    <w:p>
      <w:pPr>
        <w:numPr>
          <w:ilvl w:val="0"/>
          <w:numId w:val="10"/>
        </w:numPr>
        <w:tabs>
          <w:tab w:val="left" w:pos="0"/>
        </w:tabs>
        <w:adjustRightInd w:val="0"/>
        <w:snapToGrid w:val="0"/>
        <w:spacing w:line="360" w:lineRule="auto"/>
        <w:rPr>
          <w:rFonts w:ascii="宋体" w:hAnsi="宋体" w:cs="宋体"/>
          <w:sz w:val="24"/>
          <w:szCs w:val="24"/>
        </w:rPr>
      </w:pPr>
      <w:r>
        <w:rPr>
          <w:rFonts w:hint="eastAsia" w:ascii="宋体" w:hAnsi="宋体" w:cs="宋体"/>
          <w:sz w:val="24"/>
        </w:rPr>
        <w:t>磋商后在竞争性磋商文件规定的磋商有效期间，供应商撤回其磋商响应文件</w:t>
      </w:r>
      <w:r>
        <w:rPr>
          <w:rFonts w:hint="eastAsia" w:ascii="宋体" w:hAnsi="宋体" w:cs="宋体"/>
          <w:sz w:val="24"/>
          <w:szCs w:val="24"/>
        </w:rPr>
        <w:t>；</w:t>
      </w:r>
    </w:p>
    <w:p>
      <w:pPr>
        <w:numPr>
          <w:ilvl w:val="0"/>
          <w:numId w:val="10"/>
        </w:numPr>
        <w:adjustRightInd w:val="0"/>
        <w:snapToGrid w:val="0"/>
        <w:spacing w:line="360" w:lineRule="auto"/>
        <w:rPr>
          <w:rFonts w:ascii="宋体" w:hAnsi="宋体" w:cs="宋体"/>
          <w:sz w:val="24"/>
          <w:szCs w:val="24"/>
        </w:rPr>
      </w:pPr>
      <w:r>
        <w:rPr>
          <w:rFonts w:hint="eastAsia" w:ascii="宋体" w:hAnsi="宋体" w:cs="宋体"/>
          <w:sz w:val="24"/>
          <w:szCs w:val="24"/>
        </w:rPr>
        <w:t>在采购人确定成交供应商以前放弃成交候选资格的；</w:t>
      </w:r>
    </w:p>
    <w:p>
      <w:pPr>
        <w:numPr>
          <w:ilvl w:val="0"/>
          <w:numId w:val="10"/>
        </w:numPr>
        <w:adjustRightInd w:val="0"/>
        <w:snapToGrid w:val="0"/>
        <w:spacing w:line="360" w:lineRule="auto"/>
        <w:rPr>
          <w:rFonts w:ascii="宋体" w:hAnsi="宋体" w:cs="宋体"/>
          <w:sz w:val="24"/>
          <w:szCs w:val="24"/>
        </w:rPr>
      </w:pPr>
      <w:r>
        <w:rPr>
          <w:rFonts w:hint="eastAsia" w:ascii="宋体" w:hAnsi="宋体" w:cs="宋体"/>
          <w:sz w:val="24"/>
          <w:szCs w:val="24"/>
        </w:rPr>
        <w:t>由于成交供应商原因未能按照竞争性磋商文件的规定与采购人签订合同；</w:t>
      </w:r>
    </w:p>
    <w:p>
      <w:pPr>
        <w:numPr>
          <w:ilvl w:val="0"/>
          <w:numId w:val="10"/>
        </w:numPr>
        <w:adjustRightInd w:val="0"/>
        <w:snapToGrid w:val="0"/>
        <w:spacing w:line="360" w:lineRule="auto"/>
        <w:rPr>
          <w:rFonts w:ascii="宋体" w:hAnsi="宋体" w:cs="宋体"/>
          <w:sz w:val="24"/>
          <w:szCs w:val="24"/>
        </w:rPr>
      </w:pPr>
      <w:r>
        <w:rPr>
          <w:rFonts w:hint="eastAsia" w:ascii="宋体" w:hAnsi="宋体" w:cs="宋体"/>
          <w:sz w:val="24"/>
          <w:szCs w:val="24"/>
        </w:rPr>
        <w:t>由于成交供应商原因未能按照竞争性磋商文件的规定交纳履约保证金；</w:t>
      </w:r>
    </w:p>
    <w:p>
      <w:pPr>
        <w:numPr>
          <w:ilvl w:val="0"/>
          <w:numId w:val="10"/>
        </w:numPr>
        <w:adjustRightInd w:val="0"/>
        <w:snapToGrid w:val="0"/>
        <w:spacing w:line="360" w:lineRule="auto"/>
        <w:rPr>
          <w:rFonts w:ascii="宋体" w:hAnsi="宋体" w:cs="宋体"/>
          <w:sz w:val="24"/>
          <w:szCs w:val="24"/>
        </w:rPr>
      </w:pPr>
      <w:r>
        <w:rPr>
          <w:rFonts w:hint="eastAsia" w:ascii="宋体" w:hAnsi="宋体" w:cs="宋体"/>
          <w:sz w:val="24"/>
          <w:szCs w:val="24"/>
        </w:rPr>
        <w:t>磋商有效期内，供应商在政府采购活动中有违法、违规、违纪行为。</w:t>
      </w:r>
    </w:p>
    <w:p>
      <w:pPr>
        <w:tabs>
          <w:tab w:val="left" w:pos="0"/>
        </w:tabs>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4.5未成交的供应商在退取磋商保证金时，</w:t>
      </w:r>
      <w:r>
        <w:rPr>
          <w:rFonts w:hint="eastAsia" w:ascii="宋体" w:hAnsi="宋体" w:cs="宋体"/>
          <w:sz w:val="24"/>
        </w:rPr>
        <w:t>须</w:t>
      </w:r>
      <w:r>
        <w:rPr>
          <w:rFonts w:hint="eastAsia" w:ascii="宋体" w:hAnsi="宋体" w:cs="宋体"/>
          <w:sz w:val="24"/>
          <w:szCs w:val="24"/>
        </w:rPr>
        <w:t>携带以下资料办理到代理机构的财务部门办理:</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保证金汇款凭证复印件加盖公章；</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磋商企业对公银行账户信息（加盖公章）见</w:t>
      </w:r>
      <w:r>
        <w:rPr>
          <w:rFonts w:hint="eastAsia" w:ascii="宋体" w:hAnsi="宋体" w:cs="宋体"/>
          <w:b/>
          <w:bCs/>
          <w:sz w:val="24"/>
          <w:szCs w:val="24"/>
        </w:rPr>
        <w:t>附件七</w:t>
      </w:r>
      <w:r>
        <w:rPr>
          <w:rFonts w:hint="eastAsia" w:ascii="宋体" w:hAnsi="宋体" w:cs="宋体"/>
          <w:sz w:val="24"/>
          <w:szCs w:val="24"/>
        </w:rPr>
        <w:t>。</w:t>
      </w:r>
    </w:p>
    <w:p>
      <w:pPr>
        <w:numPr>
          <w:ilvl w:val="0"/>
          <w:numId w:val="12"/>
        </w:numPr>
        <w:adjustRightInd w:val="0"/>
        <w:snapToGrid w:val="0"/>
        <w:spacing w:line="360" w:lineRule="auto"/>
        <w:ind w:left="0" w:firstLine="0"/>
        <w:rPr>
          <w:rFonts w:ascii="宋体" w:hAnsi="宋体" w:cs="宋体"/>
          <w:b/>
          <w:bCs/>
          <w:sz w:val="24"/>
          <w:szCs w:val="24"/>
        </w:rPr>
      </w:pPr>
      <w:r>
        <w:rPr>
          <w:rFonts w:hint="eastAsia" w:ascii="宋体" w:hAnsi="宋体" w:cs="宋体"/>
          <w:b/>
          <w:bCs/>
          <w:sz w:val="24"/>
          <w:szCs w:val="24"/>
        </w:rPr>
        <w:t>供应商可在磋商当天将保证金退还账户信息确认表与磋商保证金汇款凭证复印件加盖公章一并交给工作人员，当天未提交保证金退还账户信息确认表与磋商保证金汇款凭证复印件加盖公章的供应商，在磋商后自行找财务办理保证金退还手续。</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4.6成交供应商在退取磋商保证金时，除携带上述资料外还需携带与采购人签订的采购合同（原件）。</w:t>
      </w:r>
    </w:p>
    <w:p>
      <w:pPr>
        <w:pStyle w:val="6"/>
        <w:numPr>
          <w:ilvl w:val="0"/>
          <w:numId w:val="8"/>
        </w:numPr>
        <w:rPr>
          <w:rFonts w:ascii="宋体" w:hAnsi="宋体" w:cs="宋体"/>
        </w:rPr>
      </w:pPr>
      <w:bookmarkStart w:id="79" w:name="_Toc19668"/>
      <w:r>
        <w:rPr>
          <w:rFonts w:hint="eastAsia" w:ascii="宋体" w:hAnsi="宋体" w:cs="宋体"/>
        </w:rPr>
        <w:t>磋商有效期</w:t>
      </w:r>
      <w:bookmarkEnd w:id="7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磋商有效期见供应商须知前附表，磋商有效期短于此规定期限的磋商响应文件，视为无效文件，其磋商响应文件将被拒绝。成交单位的磋商响应文件有效期延长至合同执行完毕。</w:t>
      </w:r>
    </w:p>
    <w:p>
      <w:pPr>
        <w:pStyle w:val="6"/>
        <w:numPr>
          <w:ilvl w:val="0"/>
          <w:numId w:val="8"/>
        </w:numPr>
        <w:rPr>
          <w:rFonts w:ascii="宋体" w:hAnsi="宋体" w:cs="宋体"/>
          <w:szCs w:val="32"/>
        </w:rPr>
      </w:pPr>
      <w:bookmarkStart w:id="80" w:name="_Toc24827"/>
      <w:r>
        <w:rPr>
          <w:rFonts w:hint="eastAsia" w:ascii="宋体" w:hAnsi="宋体" w:cs="宋体"/>
        </w:rPr>
        <w:t>磋商响应文件的格式、装订、密封和签署</w:t>
      </w:r>
      <w:bookmarkEnd w:id="80"/>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6.1供应商须依据竞争性磋商文件内容和磋商响应文件格式的要求编制磋商响应文件；</w:t>
      </w:r>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磋商响应文件的正本须打印或用不褪色蓝（黑）墨水（汁）书写，磋商响应文件的打印（</w:t>
      </w:r>
      <w:r>
        <w:rPr>
          <w:rFonts w:hint="eastAsia" w:ascii="宋体" w:hAnsi="宋体" w:cs="宋体"/>
          <w:b/>
          <w:bCs/>
          <w:sz w:val="24"/>
          <w:szCs w:val="24"/>
        </w:rPr>
        <w:t>建议双面打印</w:t>
      </w:r>
      <w:r>
        <w:rPr>
          <w:rFonts w:hint="eastAsia" w:ascii="宋体" w:hAnsi="宋体" w:cs="宋体"/>
          <w:sz w:val="24"/>
          <w:szCs w:val="24"/>
        </w:rPr>
        <w:t>）和书写应清楚工整，任何行间插字、涂改和增删，必须由供应商的法定代表人或其授权代表签字或加盖个人印章，字迹潦草或表达不清或可能导致非唯一理解的磋商响应文件可能视为无效文件；所有的副本可以为正本的复印件，并在每一页的正下方清楚标明第几页、共几页等字样。</w:t>
      </w:r>
    </w:p>
    <w:p>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6.2磋商响应文件的装订</w:t>
      </w:r>
    </w:p>
    <w:p>
      <w:pPr>
        <w:tabs>
          <w:tab w:val="left" w:pos="0"/>
        </w:tabs>
        <w:spacing w:line="360" w:lineRule="auto"/>
        <w:ind w:firstLine="480" w:firstLineChars="200"/>
        <w:rPr>
          <w:rFonts w:ascii="宋体" w:hAnsi="宋体" w:cs="宋体"/>
          <w:b/>
          <w:bCs/>
          <w:sz w:val="24"/>
          <w:szCs w:val="24"/>
        </w:rPr>
      </w:pPr>
      <w:r>
        <w:rPr>
          <w:rFonts w:hint="eastAsia" w:ascii="宋体" w:hAnsi="宋体" w:cs="宋体"/>
          <w:sz w:val="24"/>
          <w:szCs w:val="24"/>
        </w:rPr>
        <w:t>磋商响应文件</w:t>
      </w:r>
      <w:r>
        <w:rPr>
          <w:rFonts w:hint="eastAsia" w:ascii="宋体" w:hAnsi="宋体" w:cs="宋体"/>
          <w:b/>
          <w:bCs/>
          <w:sz w:val="24"/>
          <w:szCs w:val="24"/>
        </w:rPr>
        <w:t>正本壹份、副本叁份</w:t>
      </w:r>
      <w:r>
        <w:rPr>
          <w:rFonts w:hint="eastAsia" w:ascii="宋体" w:hAnsi="宋体" w:cs="宋体"/>
          <w:sz w:val="24"/>
          <w:szCs w:val="24"/>
        </w:rPr>
        <w:t>，分别胶装装订成册（散页无效），且封面须清楚地标明“正本”或“副本”；若正本和副本不符，以正本书面文件为准；同时提供与正本内容一致的</w:t>
      </w:r>
      <w:bookmarkStart w:id="81" w:name="OLE_LINK13"/>
      <w:r>
        <w:rPr>
          <w:rFonts w:hint="eastAsia" w:ascii="宋体" w:hAnsi="宋体" w:cs="宋体"/>
          <w:sz w:val="24"/>
          <w:szCs w:val="24"/>
        </w:rPr>
        <w:t>电子版</w:t>
      </w:r>
      <w:bookmarkEnd w:id="81"/>
      <w:r>
        <w:rPr>
          <w:rFonts w:hint="eastAsia" w:ascii="宋体" w:hAnsi="宋体" w:cs="宋体"/>
          <w:sz w:val="24"/>
          <w:szCs w:val="24"/>
        </w:rPr>
        <w:t>（</w:t>
      </w:r>
      <w:r>
        <w:rPr>
          <w:rFonts w:hint="eastAsia" w:ascii="宋体" w:hAnsi="宋体" w:cs="宋体"/>
          <w:b/>
          <w:bCs/>
          <w:sz w:val="24"/>
          <w:szCs w:val="24"/>
        </w:rPr>
        <w:t>U盘</w:t>
      </w:r>
      <w:r>
        <w:rPr>
          <w:rFonts w:hint="eastAsia" w:ascii="宋体" w:hAnsi="宋体" w:cs="宋体"/>
          <w:sz w:val="24"/>
          <w:szCs w:val="24"/>
        </w:rPr>
        <w:t>、</w:t>
      </w:r>
      <w:r>
        <w:rPr>
          <w:rFonts w:hint="eastAsia" w:ascii="宋体" w:hAnsi="宋体" w:cs="宋体"/>
          <w:b/>
          <w:bCs/>
          <w:sz w:val="24"/>
          <w:szCs w:val="24"/>
        </w:rPr>
        <w:t>电子文档应为PDF与WORD格式各一份</w:t>
      </w:r>
      <w:r>
        <w:rPr>
          <w:rFonts w:hint="eastAsia" w:ascii="宋体" w:hAnsi="宋体" w:cs="宋体"/>
          <w:sz w:val="24"/>
          <w:szCs w:val="24"/>
        </w:rPr>
        <w:t>）、磋商一览表壹份</w:t>
      </w:r>
      <w:r>
        <w:rPr>
          <w:rFonts w:hint="eastAsia" w:ascii="宋体" w:hAnsi="宋体" w:cs="宋体"/>
          <w:b/>
          <w:bCs/>
          <w:sz w:val="24"/>
          <w:szCs w:val="24"/>
        </w:rPr>
        <w:t>（</w:t>
      </w:r>
      <w:r>
        <w:rPr>
          <w:rFonts w:hint="eastAsia" w:ascii="宋体" w:hAnsi="宋体" w:cs="宋体"/>
          <w:sz w:val="24"/>
          <w:szCs w:val="24"/>
        </w:rPr>
        <w:t>单独提交的“磋商一览表”应为原件</w:t>
      </w:r>
      <w:r>
        <w:rPr>
          <w:rFonts w:hint="eastAsia" w:ascii="宋体" w:hAnsi="宋体" w:cs="宋体"/>
          <w:b/>
          <w:bCs/>
          <w:sz w:val="24"/>
          <w:szCs w:val="24"/>
        </w:rPr>
        <w:t>）。</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6.3磋商响应文件的签署</w:t>
      </w:r>
    </w:p>
    <w:p>
      <w:pPr>
        <w:numPr>
          <w:ilvl w:val="0"/>
          <w:numId w:val="13"/>
        </w:numPr>
        <w:spacing w:line="360" w:lineRule="auto"/>
        <w:jc w:val="left"/>
        <w:rPr>
          <w:rFonts w:ascii="宋体" w:hAnsi="宋体" w:cs="宋体"/>
          <w:sz w:val="24"/>
          <w:szCs w:val="24"/>
        </w:rPr>
      </w:pPr>
      <w:r>
        <w:rPr>
          <w:rFonts w:hint="eastAsia" w:ascii="宋体" w:hAnsi="宋体" w:cs="宋体"/>
          <w:sz w:val="24"/>
          <w:szCs w:val="24"/>
        </w:rPr>
        <w:t>供应商在磋商响应文件中指定的页面的落款处，按竞争性磋商文件要求由供应商的法定代表人或其授权代表在规定的签章处签字或盖章。</w:t>
      </w:r>
    </w:p>
    <w:p>
      <w:pPr>
        <w:numPr>
          <w:ilvl w:val="0"/>
          <w:numId w:val="13"/>
        </w:numPr>
        <w:spacing w:line="360" w:lineRule="auto"/>
        <w:jc w:val="left"/>
        <w:rPr>
          <w:rFonts w:ascii="宋体" w:hAnsi="宋体" w:cs="宋体"/>
          <w:sz w:val="24"/>
          <w:szCs w:val="24"/>
        </w:rPr>
      </w:pPr>
      <w:r>
        <w:rPr>
          <w:rFonts w:hint="eastAsia" w:ascii="宋体" w:hAnsi="宋体" w:cs="宋体"/>
          <w:sz w:val="24"/>
          <w:szCs w:val="24"/>
        </w:rPr>
        <w:t>供应商应按照磋商文件要求，在每一份磋商响应文件的正本和副本封面下方以及其他磋商文件要求的位置填写供应商全称并加盖公章。</w:t>
      </w:r>
    </w:p>
    <w:p>
      <w:pPr>
        <w:numPr>
          <w:ilvl w:val="0"/>
          <w:numId w:val="13"/>
        </w:numPr>
        <w:spacing w:line="360" w:lineRule="auto"/>
        <w:jc w:val="left"/>
        <w:rPr>
          <w:rFonts w:ascii="宋体" w:hAnsi="宋体" w:cs="宋体"/>
          <w:sz w:val="24"/>
          <w:szCs w:val="24"/>
        </w:rPr>
      </w:pPr>
      <w:r>
        <w:rPr>
          <w:rFonts w:hint="eastAsia" w:ascii="宋体" w:hAnsi="宋体" w:cs="宋体"/>
          <w:sz w:val="24"/>
          <w:szCs w:val="24"/>
        </w:rPr>
        <w:t>磋商响应文件应字迹清楚、内容齐全、不得涂改或增删。如有修改和增删，必须有供应商公章及法定代表人或其授权代表签字。</w:t>
      </w:r>
    </w:p>
    <w:p>
      <w:pPr>
        <w:numPr>
          <w:ilvl w:val="0"/>
          <w:numId w:val="13"/>
        </w:numPr>
        <w:spacing w:line="360" w:lineRule="auto"/>
        <w:jc w:val="left"/>
        <w:rPr>
          <w:rFonts w:ascii="宋体" w:hAnsi="宋体" w:cs="宋体"/>
          <w:sz w:val="24"/>
          <w:szCs w:val="24"/>
        </w:rPr>
      </w:pPr>
      <w:r>
        <w:rPr>
          <w:rFonts w:hint="eastAsia" w:ascii="宋体" w:hAnsi="宋体" w:cs="宋体"/>
          <w:sz w:val="24"/>
          <w:szCs w:val="24"/>
        </w:rPr>
        <w:t>因磋商响应文件字迹潦草或表达不清所引起的不利后果由供应商承担。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6.4磋商响应文件的密封</w:t>
      </w:r>
    </w:p>
    <w:p>
      <w:pPr>
        <w:spacing w:line="360" w:lineRule="auto"/>
        <w:ind w:firstLine="480" w:firstLineChars="200"/>
        <w:jc w:val="left"/>
        <w:rPr>
          <w:rFonts w:ascii="宋体" w:hAnsi="宋体" w:cs="宋体"/>
          <w:kern w:val="0"/>
          <w:sz w:val="24"/>
        </w:rPr>
      </w:pPr>
      <w:r>
        <w:rPr>
          <w:rFonts w:hint="eastAsia" w:ascii="宋体" w:hAnsi="宋体" w:cs="宋体"/>
          <w:sz w:val="24"/>
          <w:szCs w:val="24"/>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 w:val="24"/>
        </w:rPr>
        <w:t>磋商响应文件袋上应加盖供应商公章（</w:t>
      </w:r>
      <w:r>
        <w:rPr>
          <w:rFonts w:hint="eastAsia" w:ascii="宋体" w:hAnsi="宋体" w:cs="宋体"/>
          <w:sz w:val="24"/>
          <w:szCs w:val="24"/>
        </w:rPr>
        <w:t>封面标识见竞争性磋商文件</w:t>
      </w:r>
      <w:r>
        <w:rPr>
          <w:rFonts w:hint="eastAsia" w:ascii="宋体" w:hAnsi="宋体" w:cs="宋体"/>
          <w:b/>
          <w:bCs/>
          <w:sz w:val="24"/>
          <w:szCs w:val="24"/>
        </w:rPr>
        <w:t>附件一</w:t>
      </w:r>
      <w:r>
        <w:rPr>
          <w:rFonts w:hint="eastAsia" w:ascii="宋体" w:hAnsi="宋体" w:cs="宋体"/>
          <w:sz w:val="24"/>
          <w:szCs w:val="24"/>
        </w:rPr>
        <w:t>）</w:t>
      </w:r>
      <w:r>
        <w:rPr>
          <w:rFonts w:hint="eastAsia" w:ascii="宋体" w:hAnsi="宋体" w:cs="宋体"/>
          <w:kern w:val="0"/>
          <w:sz w:val="24"/>
        </w:rPr>
        <w:t>如果未按上述规定进行密封，供应商的磋商响应文件有权被拒绝</w:t>
      </w:r>
      <w:r>
        <w:rPr>
          <w:rFonts w:hint="eastAsia" w:ascii="宋体" w:hAnsi="宋体" w:cs="宋体"/>
          <w:sz w:val="24"/>
          <w:szCs w:val="24"/>
        </w:rPr>
        <w:t>。</w:t>
      </w:r>
    </w:p>
    <w:p>
      <w:pPr>
        <w:spacing w:line="360" w:lineRule="auto"/>
        <w:ind w:firstLine="480" w:firstLineChars="200"/>
        <w:jc w:val="left"/>
        <w:rPr>
          <w:rFonts w:ascii="宋体" w:hAnsi="宋体" w:cs="宋体"/>
          <w:kern w:val="0"/>
          <w:sz w:val="24"/>
        </w:rPr>
      </w:pPr>
      <w:r>
        <w:rPr>
          <w:rFonts w:hint="eastAsia" w:ascii="宋体" w:hAnsi="宋体" w:cs="宋体"/>
          <w:sz w:val="24"/>
          <w:szCs w:val="24"/>
        </w:rPr>
        <w:t>如果供应商未按上述要求密封及加写标记，误投或过早启封的磋商响应文件，将自行承担其磋商响应文件被视为无效磋商响应文件的风险。</w:t>
      </w:r>
    </w:p>
    <w:p>
      <w:pPr>
        <w:spacing w:line="360" w:lineRule="auto"/>
        <w:ind w:firstLine="480" w:firstLineChars="200"/>
        <w:rPr>
          <w:rFonts w:ascii="宋体" w:hAnsi="宋体" w:cs="宋体"/>
          <w:sz w:val="24"/>
          <w:szCs w:val="24"/>
        </w:rPr>
      </w:pPr>
      <w:r>
        <w:rPr>
          <w:rFonts w:hint="eastAsia" w:ascii="宋体" w:hAnsi="宋体" w:cs="宋体"/>
          <w:sz w:val="24"/>
          <w:szCs w:val="24"/>
        </w:rPr>
        <w:t>6.5本次磋商只接受简体中文文字的磋商响应文件；如磋商响应文件中出现外文资料，必须配以中文译文。否则，由此引发的一切责任由供应商自负。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6.6拒绝接受以电话、传真、电子邮件形式的磋商。</w:t>
      </w:r>
    </w:p>
    <w:p>
      <w:pPr>
        <w:pStyle w:val="6"/>
        <w:numPr>
          <w:ilvl w:val="0"/>
          <w:numId w:val="8"/>
        </w:numPr>
        <w:rPr>
          <w:rFonts w:ascii="宋体" w:hAnsi="宋体" w:cs="宋体"/>
        </w:rPr>
      </w:pPr>
      <w:bookmarkStart w:id="82" w:name="_Toc22752"/>
      <w:r>
        <w:rPr>
          <w:rFonts w:hint="eastAsia" w:ascii="宋体" w:hAnsi="宋体" w:cs="宋体"/>
        </w:rPr>
        <w:t>知识产权</w:t>
      </w:r>
      <w:bookmarkEnd w:id="82"/>
    </w:p>
    <w:p>
      <w:pPr>
        <w:spacing w:line="360" w:lineRule="auto"/>
        <w:ind w:firstLine="480" w:firstLineChars="200"/>
        <w:jc w:val="left"/>
        <w:rPr>
          <w:rFonts w:ascii="宋体" w:hAnsi="宋体" w:cs="宋体"/>
          <w:sz w:val="24"/>
          <w:szCs w:val="24"/>
        </w:rPr>
      </w:pPr>
      <w:r>
        <w:rPr>
          <w:rFonts w:hint="eastAsia" w:ascii="宋体" w:hAnsi="宋体" w:cs="宋体"/>
          <w:sz w:val="24"/>
          <w:szCs w:val="24"/>
        </w:rPr>
        <w:t>7.1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7.2采购人享有本项目在实施过程中产生的知识成果及知识产权。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7.3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pPr>
        <w:pStyle w:val="8"/>
        <w:jc w:val="left"/>
        <w:rPr>
          <w:rFonts w:hint="eastAsia" w:ascii="宋体" w:hAnsi="宋体" w:cs="宋体"/>
          <w:sz w:val="24"/>
          <w:szCs w:val="24"/>
        </w:rPr>
      </w:pPr>
      <w:r>
        <w:rPr>
          <w:rFonts w:hint="eastAsia" w:ascii="宋体" w:hAnsi="宋体" w:cs="宋体"/>
          <w:sz w:val="24"/>
          <w:szCs w:val="24"/>
        </w:rPr>
        <w:t>7.4如供应商所不拥有的知识产权，则在响应报价中必须包括合法获取该知识产权的相关费用。</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83" w:name="_Toc3565"/>
      <w:bookmarkStart w:id="84" w:name="_Toc7624"/>
      <w:bookmarkStart w:id="85" w:name="_Toc29098"/>
      <w:bookmarkStart w:id="86" w:name="_Toc2456"/>
      <w:bookmarkStart w:id="87" w:name="_Toc2312"/>
      <w:r>
        <w:rPr>
          <w:rFonts w:hint="eastAsia" w:ascii="宋体" w:hAnsi="宋体" w:cs="宋体"/>
          <w:b/>
          <w:bCs/>
          <w:kern w:val="0"/>
          <w:sz w:val="32"/>
          <w:szCs w:val="28"/>
        </w:rPr>
        <w:t>磋商响应文件的递交</w:t>
      </w:r>
      <w:bookmarkEnd w:id="83"/>
      <w:bookmarkEnd w:id="84"/>
      <w:bookmarkEnd w:id="85"/>
      <w:bookmarkEnd w:id="86"/>
      <w:bookmarkEnd w:id="87"/>
    </w:p>
    <w:p>
      <w:pPr>
        <w:pStyle w:val="6"/>
        <w:numPr>
          <w:ilvl w:val="0"/>
          <w:numId w:val="14"/>
        </w:numPr>
        <w:ind w:firstLine="562" w:firstLineChars="200"/>
        <w:rPr>
          <w:rFonts w:ascii="宋体" w:hAnsi="宋体" w:cs="宋体"/>
        </w:rPr>
      </w:pPr>
      <w:bookmarkStart w:id="88" w:name="_Toc3685"/>
      <w:r>
        <w:rPr>
          <w:rFonts w:hint="eastAsia" w:ascii="宋体" w:hAnsi="宋体" w:cs="宋体"/>
        </w:rPr>
        <w:t>磋商响应文件递交</w:t>
      </w:r>
      <w:bookmarkEnd w:id="88"/>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1.1供应商必须在竞争性磋商文件规定的磋商响应文件递交截止时间之前，将全部磋商响应文件递交至代理机构项目工作人员；代理机构项目承办人在竞争性磋商文件规定的磋商响应文件递交截止时间前，只负责磋商响应文件的接收、清点、造册登记工作，并请供应商代表签字确认，对其有效性不负任何责任。</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1.2代理机构在宣布递交磋商响应文件时间截止之后，拒绝接收任何人送达、递交的磋商响应文件；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1.3代理机构不接受邮寄的磋商响应文件；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1.4无论供应商成交与否，其磋商响应文件恕不退还。</w:t>
      </w:r>
    </w:p>
    <w:p>
      <w:pPr>
        <w:pStyle w:val="6"/>
        <w:numPr>
          <w:ilvl w:val="0"/>
          <w:numId w:val="14"/>
        </w:numPr>
        <w:ind w:firstLine="562" w:firstLineChars="200"/>
        <w:rPr>
          <w:rFonts w:ascii="宋体" w:hAnsi="宋体" w:cs="宋体"/>
        </w:rPr>
      </w:pPr>
      <w:bookmarkStart w:id="89" w:name="_Toc12741"/>
      <w:r>
        <w:rPr>
          <w:rFonts w:hint="eastAsia" w:ascii="宋体" w:hAnsi="宋体" w:cs="宋体"/>
        </w:rPr>
        <w:t>磋商响应文件的修改和撤回</w:t>
      </w:r>
      <w:bookmarkEnd w:id="89"/>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在磋商截止时间之后，供应商不得对其递交的磋商响应文件做任何修改或撤回。</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90" w:name="_Toc27066"/>
      <w:bookmarkStart w:id="91" w:name="_Toc14415"/>
      <w:bookmarkStart w:id="92" w:name="_Toc30333"/>
      <w:bookmarkStart w:id="93" w:name="_Toc17690"/>
      <w:bookmarkStart w:id="94" w:name="_Toc12035"/>
      <w:bookmarkStart w:id="95" w:name="_Toc27217"/>
      <w:r>
        <w:rPr>
          <w:rFonts w:hint="eastAsia" w:ascii="宋体" w:hAnsi="宋体" w:cs="宋体"/>
          <w:b/>
          <w:bCs/>
          <w:kern w:val="0"/>
          <w:sz w:val="32"/>
          <w:szCs w:val="28"/>
        </w:rPr>
        <w:t>磋商、评审、定标</w:t>
      </w:r>
      <w:bookmarkEnd w:id="90"/>
      <w:bookmarkEnd w:id="91"/>
      <w:bookmarkEnd w:id="92"/>
      <w:bookmarkEnd w:id="93"/>
      <w:bookmarkEnd w:id="94"/>
      <w:bookmarkEnd w:id="95"/>
    </w:p>
    <w:p>
      <w:pPr>
        <w:pStyle w:val="6"/>
        <w:numPr>
          <w:ilvl w:val="0"/>
          <w:numId w:val="15"/>
        </w:numPr>
        <w:ind w:firstLine="562" w:firstLineChars="200"/>
        <w:rPr>
          <w:rFonts w:ascii="宋体" w:hAnsi="宋体" w:cs="宋体"/>
        </w:rPr>
      </w:pPr>
      <w:r>
        <w:rPr>
          <w:rFonts w:hint="eastAsia" w:ascii="宋体" w:hAnsi="宋体" w:cs="宋体"/>
        </w:rPr>
        <w:t>磋商</w:t>
      </w:r>
    </w:p>
    <w:p>
      <w:pPr>
        <w:widowControl/>
        <w:tabs>
          <w:tab w:val="left" w:pos="0"/>
        </w:tabs>
        <w:spacing w:line="500" w:lineRule="exact"/>
        <w:ind w:firstLine="480" w:firstLineChars="200"/>
        <w:jc w:val="left"/>
        <w:rPr>
          <w:rFonts w:ascii="宋体"/>
          <w:sz w:val="24"/>
          <w:szCs w:val="24"/>
        </w:rPr>
      </w:pPr>
      <w:r>
        <w:rPr>
          <w:rFonts w:hint="eastAsia" w:asciiTheme="minorEastAsia" w:hAnsiTheme="minorEastAsia" w:cstheme="minorEastAsia"/>
          <w:sz w:val="24"/>
          <w:szCs w:val="24"/>
        </w:rPr>
        <w:t>1.1采购代理机构按磋商公告中规定的时间和地点接收供应商递交的响应文件，主持磋商会议，邀请供应商代表参加。</w:t>
      </w:r>
    </w:p>
    <w:p>
      <w:pPr>
        <w:widowControl/>
        <w:tabs>
          <w:tab w:val="left" w:pos="0"/>
        </w:tabs>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sz w:val="24"/>
          <w:szCs w:val="24"/>
        </w:rPr>
        <w:t xml:space="preserve">1.2 </w:t>
      </w:r>
      <w:r>
        <w:rPr>
          <w:rFonts w:hint="eastAsia" w:ascii="宋体" w:hAnsi="宋体" w:cs="宋体"/>
          <w:sz w:val="24"/>
          <w:szCs w:val="24"/>
        </w:rPr>
        <w:t>磋商</w:t>
      </w:r>
      <w:r>
        <w:rPr>
          <w:rFonts w:hint="eastAsia" w:asciiTheme="minorEastAsia" w:hAnsiTheme="minorEastAsia" w:cstheme="minorEastAsia"/>
          <w:sz w:val="24"/>
          <w:szCs w:val="24"/>
        </w:rPr>
        <w:t>时，由供应商或者其推选的代表检查响应文件的密封情况；经确认无误后，由采购代理机构工作人员拆封。代理机构指定专人负责将供应商的名称、项目名称、响应价格等进行记录，并存档备案。</w:t>
      </w:r>
    </w:p>
    <w:p>
      <w:pPr>
        <w:tabs>
          <w:tab w:val="left" w:pos="0"/>
        </w:tabs>
        <w:spacing w:line="360" w:lineRule="auto"/>
        <w:ind w:firstLine="480" w:firstLineChars="200"/>
        <w:jc w:val="left"/>
        <w:rPr>
          <w:rFonts w:ascii="宋体" w:hAnsi="宋体" w:cs="宋体"/>
          <w:kern w:val="0"/>
          <w:sz w:val="24"/>
        </w:rPr>
      </w:pPr>
      <w:r>
        <w:rPr>
          <w:rFonts w:hint="eastAsia" w:ascii="宋体" w:hAnsi="宋体" w:cs="宋体"/>
          <w:kern w:val="0"/>
          <w:sz w:val="24"/>
        </w:rPr>
        <w:t>1.3磋商时，磋商响应文件中出现下列情况，修正原则为：</w:t>
      </w:r>
    </w:p>
    <w:p>
      <w:pPr>
        <w:widowControl/>
        <w:numPr>
          <w:ilvl w:val="0"/>
          <w:numId w:val="16"/>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磋商文件中磋商一览表（报价表）内容与响应文件中相应内容不一致的，以磋商一览表（报价表）为准；报价精确到小数点后两位，不进行四舍五入；</w:t>
      </w:r>
    </w:p>
    <w:p>
      <w:pPr>
        <w:widowControl/>
        <w:numPr>
          <w:ilvl w:val="0"/>
          <w:numId w:val="16"/>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widowControl/>
        <w:numPr>
          <w:ilvl w:val="0"/>
          <w:numId w:val="16"/>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单价金额小数点或者百分比有明显错位的，以磋商一览表的总价为准，并修改单价；</w:t>
      </w:r>
    </w:p>
    <w:p>
      <w:pPr>
        <w:widowControl/>
        <w:numPr>
          <w:ilvl w:val="0"/>
          <w:numId w:val="16"/>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widowControl/>
        <w:numPr>
          <w:ilvl w:val="0"/>
          <w:numId w:val="16"/>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响应文件正本与副本不一致的，以正本为准；</w:t>
      </w:r>
    </w:p>
    <w:p>
      <w:pPr>
        <w:widowControl/>
        <w:numPr>
          <w:ilvl w:val="0"/>
          <w:numId w:val="16"/>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磋商响应文件中单独密封递交的磋商一览表内容与磋商响应文件中明细表内容与正本不一致的，以单独密封递交的磋商一览表为准。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rPr>
        <w:t>同时出现两种以上不一致的，按照前款规定的顺序修正。修正后的报价按照</w:t>
      </w:r>
      <w:r>
        <w:rPr>
          <w:rFonts w:hint="eastAsia" w:ascii="宋体" w:hAnsi="宋体" w:cs="宋体"/>
          <w:sz w:val="24"/>
        </w:rPr>
        <w:t>《政府采购竞争性磋商采购方式管理暂行办法》</w:t>
      </w:r>
      <w:r>
        <w:rPr>
          <w:rFonts w:hint="eastAsia" w:asciiTheme="minorEastAsia" w:hAnsiTheme="minorEastAsia" w:cstheme="minorEastAsia"/>
          <w:kern w:val="0"/>
          <w:sz w:val="24"/>
          <w:szCs w:val="24"/>
        </w:rPr>
        <w:t>的规定经供应商确认后产生约束力，供应商不确认的，其响应无效。</w:t>
      </w:r>
    </w:p>
    <w:p>
      <w:pPr>
        <w:pStyle w:val="6"/>
        <w:numPr>
          <w:ilvl w:val="0"/>
          <w:numId w:val="15"/>
        </w:numPr>
        <w:rPr>
          <w:rFonts w:ascii="宋体" w:hAnsi="宋体" w:cs="宋体"/>
        </w:rPr>
      </w:pPr>
      <w:r>
        <w:rPr>
          <w:rFonts w:hint="eastAsia" w:ascii="宋体" w:hAnsi="宋体" w:cs="宋体"/>
        </w:rPr>
        <w:t>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2.1采购人将根据本次采购项目的特点，参照《中华人民共和国政府采购法》及</w:t>
      </w:r>
      <w:r>
        <w:rPr>
          <w:rFonts w:hint="eastAsia" w:ascii="宋体" w:hAnsi="宋体" w:cs="宋体"/>
          <w:sz w:val="24"/>
        </w:rPr>
        <w:t>《政府采购竞争性磋商采购方式管理暂行办法》</w:t>
      </w:r>
      <w:r>
        <w:rPr>
          <w:rFonts w:hint="eastAsia" w:ascii="宋体" w:hAnsi="宋体" w:cs="宋体"/>
          <w:kern w:val="0"/>
          <w:sz w:val="24"/>
        </w:rPr>
        <w:t>等有关规定组建磋商小组。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2.2磋商小组由采购人代表和有关技术、经济等方面的专家组成，磋商小组产生方式符合国家和地方有关评审专家产生方式的规定。磋商小组负责评审活动。</w:t>
      </w:r>
    </w:p>
    <w:p>
      <w:pPr>
        <w:widowControl/>
        <w:spacing w:line="360" w:lineRule="auto"/>
        <w:ind w:firstLine="480" w:firstLineChars="200"/>
        <w:rPr>
          <w:rFonts w:ascii="宋体" w:hAnsi="宋体" w:cs="宋体"/>
          <w:b/>
          <w:sz w:val="24"/>
          <w:szCs w:val="24"/>
        </w:rPr>
      </w:pPr>
      <w:r>
        <w:rPr>
          <w:rFonts w:hint="eastAsia" w:ascii="宋体" w:hAnsi="宋体" w:cs="宋体"/>
          <w:kern w:val="0"/>
          <w:sz w:val="24"/>
        </w:rPr>
        <w:t>2.3磋商小组对各供应商的磋商响应文件进行审查、评估和比较，并推荐出成交候选人。</w:t>
      </w:r>
    </w:p>
    <w:p>
      <w:pPr>
        <w:pStyle w:val="6"/>
        <w:numPr>
          <w:ilvl w:val="0"/>
          <w:numId w:val="15"/>
        </w:numPr>
        <w:rPr>
          <w:rFonts w:ascii="宋体" w:hAnsi="宋体" w:cs="宋体"/>
        </w:rPr>
      </w:pPr>
      <w:bookmarkStart w:id="96" w:name="_Toc386129876"/>
      <w:bookmarkStart w:id="97" w:name="_Toc385958808"/>
      <w:bookmarkStart w:id="98" w:name="_Toc27940"/>
      <w:bookmarkStart w:id="99" w:name="_Toc28085"/>
      <w:r>
        <w:rPr>
          <w:rFonts w:hint="eastAsia" w:ascii="宋体" w:hAnsi="宋体" w:cs="宋体"/>
        </w:rPr>
        <w:t>磋商响应文件初审</w:t>
      </w:r>
      <w:bookmarkEnd w:id="96"/>
      <w:bookmarkEnd w:id="97"/>
      <w:bookmarkEnd w:id="98"/>
      <w:bookmarkEnd w:id="99"/>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3.1磋商响应文件的资格性审查</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依据法律法规和竞争性磋商文件的规定，</w:t>
      </w:r>
      <w:r>
        <w:rPr>
          <w:rFonts w:hint="eastAsia" w:ascii="宋体" w:hAnsi="宋体" w:cs="宋体"/>
          <w:kern w:val="0"/>
          <w:sz w:val="24"/>
          <w:lang w:eastAsia="zh-CN"/>
        </w:rPr>
        <w:t>采购人或采购代理机构</w:t>
      </w:r>
      <w:r>
        <w:rPr>
          <w:rFonts w:hint="eastAsia" w:ascii="宋体" w:hAnsi="宋体" w:cs="宋体"/>
          <w:kern w:val="0"/>
          <w:sz w:val="24"/>
        </w:rPr>
        <w:t>对磋商响应文件中的资格证明文件等进行审查，以确保供应商是否具备相应资格。</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3.2磋商响应文件符合性审查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w:t>
      </w:r>
      <w:r>
        <w:rPr>
          <w:rFonts w:hint="eastAsia" w:ascii="宋体" w:hAnsi="宋体" w:cs="宋体"/>
          <w:kern w:val="0"/>
          <w:sz w:val="24"/>
        </w:rPr>
        <w:t>法律法规和竞争性磋商文件的规定，由磋商小组对符合资格要求的供应商的响应文件有效性、完整性和对磋商文件的响应程度进行符合性审查，以确定是否对磋商文件的实质性内容作出响应，下列情况有一项不满足者（但不限于）不得进入下一轮评审：</w:t>
      </w:r>
    </w:p>
    <w:tbl>
      <w:tblPr>
        <w:tblStyle w:val="19"/>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19"/>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restart"/>
            <w:vAlign w:val="center"/>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符合性</w:t>
            </w:r>
          </w:p>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审查</w:t>
            </w: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供应商名称是否与营业执照、资质证书一致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vAlign w:val="top"/>
          </w:tcPr>
          <w:p>
            <w:pPr>
              <w:overflowPunct w:val="0"/>
              <w:adjustRightInd w:val="0"/>
              <w:snapToGrid w:val="0"/>
              <w:spacing w:line="500" w:lineRule="exac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2</w:t>
            </w:r>
          </w:p>
        </w:tc>
        <w:tc>
          <w:tcPr>
            <w:tcW w:w="6838" w:type="dxa"/>
          </w:tcPr>
          <w:p>
            <w:pPr>
              <w:overflowPunct w:val="0"/>
              <w:adjustRightInd w:val="0"/>
              <w:snapToGrid w:val="0"/>
              <w:spacing w:line="500" w:lineRule="exact"/>
              <w:rPr>
                <w:rFonts w:hint="eastAsia" w:asciiTheme="minorEastAsia" w:hAnsiTheme="minorEastAsia" w:cstheme="minorEastAsia"/>
                <w:kern w:val="0"/>
                <w:szCs w:val="21"/>
              </w:rPr>
            </w:pPr>
            <w:r>
              <w:rPr>
                <w:rFonts w:hint="eastAsia" w:asciiTheme="minorEastAsia" w:hAnsiTheme="minorEastAsia" w:cstheme="minorEastAsia"/>
                <w:kern w:val="0"/>
                <w:szCs w:val="21"/>
              </w:rPr>
              <w:t>响应报价是否超过预算或最高限价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vAlign w:val="top"/>
          </w:tcPr>
          <w:p>
            <w:pPr>
              <w:overflowPunct w:val="0"/>
              <w:adjustRightInd w:val="0"/>
              <w:snapToGrid w:val="0"/>
              <w:spacing w:line="500" w:lineRule="exact"/>
              <w:rPr>
                <w:rFonts w:hint="eastAsia" w:eastAsia="宋体" w:asciiTheme="minorEastAsia" w:hAnsiTheme="minorEastAsia" w:cstheme="minorEastAsia"/>
                <w:kern w:val="0"/>
                <w:szCs w:val="21"/>
                <w:lang w:eastAsia="zh-CN"/>
              </w:rPr>
            </w:pPr>
            <w:r>
              <w:rPr>
                <w:rFonts w:hint="eastAsia" w:asciiTheme="minorEastAsia" w:hAnsiTheme="minorEastAsia" w:cstheme="minorEastAsia"/>
                <w:kern w:val="0"/>
                <w:szCs w:val="21"/>
                <w:lang w:val="en-US" w:eastAsia="zh-CN"/>
              </w:rPr>
              <w:t>3</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响应文件签字、盖章是否满足竞争性磋商文件要求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vAlign w:val="top"/>
          </w:tcPr>
          <w:p>
            <w:pPr>
              <w:overflowPunct w:val="0"/>
              <w:adjustRightInd w:val="0"/>
              <w:snapToGrid w:val="0"/>
              <w:spacing w:line="500" w:lineRule="exact"/>
              <w:rPr>
                <w:rFonts w:hint="eastAsia" w:eastAsia="宋体"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4</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磋商有效期是否满足竞争性磋商文件要求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vAlign w:val="top"/>
          </w:tcPr>
          <w:p>
            <w:pPr>
              <w:overflowPunct w:val="0"/>
              <w:adjustRightInd w:val="0"/>
              <w:snapToGrid w:val="0"/>
              <w:spacing w:line="500" w:lineRule="exact"/>
              <w:rPr>
                <w:rFonts w:hint="eastAsia" w:eastAsia="宋体" w:asciiTheme="minorEastAsia" w:hAnsiTheme="minorEastAsia" w:cstheme="minorEastAsia"/>
                <w:kern w:val="0"/>
                <w:szCs w:val="21"/>
                <w:lang w:eastAsia="zh-CN"/>
              </w:rPr>
            </w:pPr>
            <w:r>
              <w:rPr>
                <w:rFonts w:hint="eastAsia" w:asciiTheme="minorEastAsia" w:hAnsiTheme="minorEastAsia" w:cstheme="minorEastAsia"/>
                <w:kern w:val="0"/>
                <w:szCs w:val="21"/>
                <w:lang w:val="en-US" w:eastAsia="zh-CN"/>
              </w:rPr>
              <w:t>5</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是否按照磋商文件要求缴纳保证金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vAlign w:val="top"/>
          </w:tcPr>
          <w:p>
            <w:pPr>
              <w:overflowPunct w:val="0"/>
              <w:adjustRightInd w:val="0"/>
              <w:snapToGrid w:val="0"/>
              <w:spacing w:line="500" w:lineRule="exact"/>
              <w:rPr>
                <w:rFonts w:hint="eastAsia" w:eastAsia="宋体" w:asciiTheme="minorEastAsia" w:hAnsiTheme="minorEastAsia" w:cstheme="minorEastAsia"/>
                <w:kern w:val="0"/>
                <w:szCs w:val="21"/>
                <w:lang w:eastAsia="zh-CN"/>
              </w:rPr>
            </w:pPr>
            <w:r>
              <w:rPr>
                <w:rFonts w:hint="eastAsia" w:asciiTheme="minorEastAsia" w:hAnsiTheme="minorEastAsia" w:cstheme="minorEastAsia"/>
                <w:kern w:val="0"/>
                <w:szCs w:val="21"/>
                <w:lang w:val="en-US" w:eastAsia="zh-CN"/>
              </w:rPr>
              <w:t>6</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szCs w:val="21"/>
              </w:rPr>
              <w:t>与磋商文件商务要求条款不一致或增加了采购人难以接受的条款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hint="eastAsia" w:eastAsia="宋体" w:asciiTheme="minorEastAsia" w:hAnsiTheme="minorEastAsia" w:cstheme="minorEastAsia"/>
                <w:kern w:val="0"/>
                <w:szCs w:val="21"/>
                <w:lang w:eastAsia="zh-CN"/>
              </w:rPr>
            </w:pPr>
            <w:r>
              <w:rPr>
                <w:rFonts w:hint="eastAsia" w:asciiTheme="minorEastAsia" w:hAnsiTheme="minorEastAsia" w:cstheme="minorEastAsia"/>
                <w:kern w:val="0"/>
                <w:szCs w:val="21"/>
                <w:lang w:val="en-US" w:eastAsia="zh-CN"/>
              </w:rPr>
              <w:t>7</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是否符合法律法规和磋商文件规定的其他实质性要求</w:t>
            </w:r>
          </w:p>
        </w:tc>
      </w:tr>
    </w:tbl>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3.3经过对供应商及磋商响应文件审查，出现下列情况者（但不限于），视为未响应磋商文件实质性条款，其响应文件按无效处理。</w:t>
      </w:r>
    </w:p>
    <w:p>
      <w:pPr>
        <w:numPr>
          <w:ilvl w:val="0"/>
          <w:numId w:val="17"/>
        </w:numPr>
        <w:spacing w:line="360" w:lineRule="auto"/>
        <w:ind w:firstLine="480" w:firstLineChars="200"/>
        <w:rPr>
          <w:rFonts w:ascii="宋体" w:hAnsi="宋体" w:cs="宋体"/>
          <w:sz w:val="24"/>
        </w:rPr>
      </w:pPr>
      <w:r>
        <w:rPr>
          <w:rFonts w:hint="eastAsia" w:ascii="宋体" w:hAnsi="宋体" w:cs="宋体"/>
          <w:sz w:val="24"/>
        </w:rPr>
        <w:t>供应商的响应报价超过采购预算或最高限价；</w:t>
      </w:r>
    </w:p>
    <w:p>
      <w:pPr>
        <w:numPr>
          <w:ilvl w:val="0"/>
          <w:numId w:val="17"/>
        </w:numPr>
        <w:spacing w:line="360" w:lineRule="auto"/>
        <w:ind w:firstLine="480" w:firstLineChars="200"/>
        <w:rPr>
          <w:rFonts w:ascii="宋体" w:hAnsi="宋体" w:cs="宋体"/>
          <w:sz w:val="24"/>
        </w:rPr>
      </w:pPr>
      <w:r>
        <w:rPr>
          <w:rFonts w:hint="eastAsia" w:ascii="宋体" w:hAnsi="宋体" w:cs="宋体"/>
          <w:sz w:val="24"/>
        </w:rPr>
        <w:t>供应商未经过正常渠道购买竞争性磋商文件，或供应商名称与购买竞争性磋商文件时登记的供应商名称不符的；</w:t>
      </w:r>
    </w:p>
    <w:p>
      <w:pPr>
        <w:numPr>
          <w:ilvl w:val="0"/>
          <w:numId w:val="17"/>
        </w:numPr>
        <w:spacing w:line="360" w:lineRule="auto"/>
        <w:ind w:firstLine="480" w:firstLineChars="200"/>
        <w:rPr>
          <w:rFonts w:ascii="宋体" w:hAnsi="宋体" w:cs="宋体"/>
          <w:sz w:val="24"/>
        </w:rPr>
      </w:pPr>
      <w:r>
        <w:rPr>
          <w:rFonts w:hint="eastAsia" w:ascii="宋体" w:hAnsi="宋体" w:cs="宋体"/>
          <w:sz w:val="24"/>
        </w:rPr>
        <w:t>磋商响应文件的签署、盖章不符合竞争性磋商文件要求；无磋商有效期或有效期达不到竞争性磋商文件要求的；</w:t>
      </w:r>
    </w:p>
    <w:p>
      <w:pPr>
        <w:numPr>
          <w:ilvl w:val="0"/>
          <w:numId w:val="17"/>
        </w:numPr>
        <w:spacing w:line="360" w:lineRule="auto"/>
        <w:ind w:firstLine="480" w:firstLineChars="200"/>
        <w:rPr>
          <w:rFonts w:ascii="宋体" w:hAnsi="宋体" w:cs="宋体"/>
          <w:sz w:val="24"/>
        </w:rPr>
      </w:pPr>
      <w:r>
        <w:rPr>
          <w:rFonts w:hint="eastAsia" w:ascii="宋体" w:hAnsi="宋体" w:cs="宋体"/>
          <w:sz w:val="24"/>
          <w:szCs w:val="24"/>
        </w:rPr>
        <w:t>供应商未按照竞争性磋商文件要求交纳磋商保证金的或磋商保证金的交付单位和供应商的名称不一致，视为无效响应</w:t>
      </w:r>
      <w:r>
        <w:rPr>
          <w:rFonts w:hint="eastAsia" w:ascii="宋体" w:hAnsi="宋体" w:cs="宋体"/>
          <w:sz w:val="24"/>
        </w:rPr>
        <w:t>；</w:t>
      </w:r>
    </w:p>
    <w:p>
      <w:pPr>
        <w:numPr>
          <w:ilvl w:val="0"/>
          <w:numId w:val="17"/>
        </w:numPr>
        <w:spacing w:line="360" w:lineRule="auto"/>
        <w:ind w:firstLine="480" w:firstLineChars="200"/>
        <w:rPr>
          <w:rFonts w:ascii="宋体" w:hAnsi="宋体" w:cs="宋体"/>
          <w:sz w:val="24"/>
        </w:rPr>
      </w:pPr>
      <w:r>
        <w:rPr>
          <w:rFonts w:hint="eastAsia" w:ascii="宋体" w:hAnsi="宋体" w:cs="宋体"/>
          <w:sz w:val="24"/>
        </w:rPr>
        <w:t>供应商针对同一项目递交两份或多份内容不同的磋商响应文件，未书面声明哪一份是有效的或出现选择性报价的；</w:t>
      </w:r>
    </w:p>
    <w:p>
      <w:pPr>
        <w:numPr>
          <w:ilvl w:val="0"/>
          <w:numId w:val="17"/>
        </w:numPr>
        <w:spacing w:line="360" w:lineRule="auto"/>
        <w:ind w:firstLine="480" w:firstLineChars="200"/>
        <w:rPr>
          <w:rFonts w:ascii="宋体" w:hAnsi="宋体" w:cs="宋体"/>
          <w:sz w:val="24"/>
        </w:rPr>
      </w:pPr>
      <w:r>
        <w:rPr>
          <w:rFonts w:hint="eastAsia" w:ascii="宋体" w:hAnsi="宋体" w:cs="宋体"/>
          <w:sz w:val="24"/>
        </w:rPr>
        <w:t>供应商未按竞争性磋商文件要求提供产品的技术参数及产品供货渠道不明确的；</w:t>
      </w:r>
    </w:p>
    <w:p>
      <w:pPr>
        <w:numPr>
          <w:ilvl w:val="0"/>
          <w:numId w:val="17"/>
        </w:numPr>
        <w:spacing w:line="360" w:lineRule="auto"/>
        <w:ind w:firstLine="480" w:firstLineChars="200"/>
        <w:rPr>
          <w:rFonts w:ascii="宋体" w:hAnsi="宋体" w:cs="宋体"/>
          <w:sz w:val="24"/>
        </w:rPr>
      </w:pPr>
      <w:r>
        <w:rPr>
          <w:rFonts w:hint="eastAsia" w:ascii="宋体" w:hAnsi="宋体" w:cs="宋体"/>
          <w:sz w:val="24"/>
        </w:rPr>
        <w:t>响应报价出现漏项或货物数量与要求不符的；</w:t>
      </w:r>
    </w:p>
    <w:p>
      <w:pPr>
        <w:numPr>
          <w:ilvl w:val="0"/>
          <w:numId w:val="17"/>
        </w:numPr>
        <w:spacing w:line="360" w:lineRule="auto"/>
        <w:ind w:firstLine="480" w:firstLineChars="200"/>
        <w:rPr>
          <w:rFonts w:ascii="宋体" w:hAnsi="宋体" w:cs="宋体"/>
          <w:sz w:val="24"/>
        </w:rPr>
      </w:pPr>
      <w:r>
        <w:rPr>
          <w:rFonts w:hint="eastAsia" w:ascii="宋体" w:hAnsi="宋体" w:cs="宋体"/>
          <w:sz w:val="24"/>
        </w:rPr>
        <w:t>经磋商小组一致认定响应产品的技术参数、性能指标与竞争性磋商文件要求出现重大负偏差的；或者提供虚假证明（包括第三方的虚假证明），除按无效文件处理外，还将按照政府采购法的有关规定进行处罚；</w:t>
      </w:r>
    </w:p>
    <w:p>
      <w:pPr>
        <w:numPr>
          <w:ilvl w:val="0"/>
          <w:numId w:val="17"/>
        </w:numPr>
        <w:spacing w:line="360" w:lineRule="auto"/>
        <w:ind w:firstLine="480" w:firstLineChars="200"/>
        <w:rPr>
          <w:rFonts w:ascii="宋体" w:hAnsi="宋体" w:cs="宋体"/>
          <w:sz w:val="24"/>
        </w:rPr>
      </w:pPr>
      <w:r>
        <w:rPr>
          <w:rFonts w:hint="eastAsia" w:ascii="宋体" w:hAnsi="宋体" w:cs="宋体"/>
          <w:sz w:val="24"/>
        </w:rPr>
        <w:t>磋商响应文件在商务响应方面（付款方式、</w:t>
      </w:r>
      <w:r>
        <w:rPr>
          <w:rFonts w:hint="eastAsia" w:ascii="宋体" w:hAnsi="宋体" w:cs="宋体"/>
          <w:sz w:val="24"/>
          <w:lang w:val="en-US" w:eastAsia="zh-CN"/>
        </w:rPr>
        <w:t>交付期、质保期</w:t>
      </w:r>
      <w:r>
        <w:rPr>
          <w:rFonts w:hint="eastAsia" w:ascii="宋体" w:hAnsi="宋体" w:cs="宋体"/>
          <w:sz w:val="24"/>
        </w:rPr>
        <w:t>、验收条件等）与竞争性磋商文件要求不一致或附加了采购单位难以接受的条件或条款的；</w:t>
      </w:r>
    </w:p>
    <w:p>
      <w:pPr>
        <w:numPr>
          <w:ilvl w:val="0"/>
          <w:numId w:val="17"/>
        </w:numPr>
        <w:spacing w:line="360" w:lineRule="auto"/>
        <w:ind w:firstLine="480" w:firstLineChars="200"/>
        <w:rPr>
          <w:rFonts w:ascii="宋体" w:hAnsi="宋体" w:cs="宋体"/>
          <w:kern w:val="0"/>
          <w:sz w:val="24"/>
        </w:rPr>
      </w:pPr>
      <w:r>
        <w:rPr>
          <w:rFonts w:hint="eastAsia" w:ascii="宋体" w:hAnsi="宋体" w:cs="宋体"/>
          <w:sz w:val="24"/>
        </w:rPr>
        <w:t>如澄清、补正、说明的内容与磋商响应文件内容有重大相悖或矛盾，将被认定为无效磋商。</w:t>
      </w:r>
    </w:p>
    <w:p>
      <w:pPr>
        <w:pStyle w:val="6"/>
        <w:numPr>
          <w:ilvl w:val="0"/>
          <w:numId w:val="15"/>
        </w:numPr>
        <w:rPr>
          <w:rFonts w:ascii="宋体" w:hAnsi="宋体" w:cs="宋体"/>
        </w:rPr>
      </w:pPr>
      <w:bookmarkStart w:id="100" w:name="_Toc17705"/>
      <w:r>
        <w:rPr>
          <w:rFonts w:hint="eastAsia" w:ascii="宋体" w:hAnsi="宋体" w:cs="宋体"/>
        </w:rPr>
        <w:t>磋商响应文件澄清</w:t>
      </w:r>
      <w:bookmarkEnd w:id="100"/>
    </w:p>
    <w:p>
      <w:pPr>
        <w:overflowPunct w:val="0"/>
        <w:adjustRightInd w:val="0"/>
        <w:snapToGrid w:val="0"/>
        <w:spacing w:line="360" w:lineRule="auto"/>
        <w:ind w:firstLine="480" w:firstLineChars="200"/>
        <w:rPr>
          <w:rFonts w:ascii="宋体" w:hAnsi="宋体" w:cs="宋体"/>
          <w:sz w:val="24"/>
        </w:rPr>
      </w:pPr>
      <w:r>
        <w:rPr>
          <w:rFonts w:hint="eastAsia" w:ascii="宋体" w:hAnsi="宋体" w:cs="宋体"/>
          <w:sz w:val="24"/>
          <w:szCs w:val="24"/>
        </w:rPr>
        <w:t>4.1在评审期间,采购代理机构可根据磋商小组对其磋商响应文件有疑义不清楚的内容，要求供应商对其磋商响应文件进行澄清，有关澄清的要求和答复应以书面形式</w:t>
      </w:r>
      <w:r>
        <w:rPr>
          <w:rFonts w:hint="eastAsia" w:ascii="宋体" w:hAnsi="宋体" w:cs="宋体"/>
          <w:sz w:val="24"/>
        </w:rPr>
        <w:t>提交，</w:t>
      </w:r>
      <w:r>
        <w:rPr>
          <w:rFonts w:hint="eastAsia" w:ascii="宋体" w:hAnsi="宋体" w:cs="宋体"/>
          <w:sz w:val="24"/>
          <w:szCs w:val="24"/>
        </w:rPr>
        <w:t>如磋商小组未变动实质性采购需求，供应商</w:t>
      </w:r>
      <w:r>
        <w:rPr>
          <w:rFonts w:hint="eastAsia" w:ascii="宋体" w:hAnsi="宋体" w:cs="宋体"/>
          <w:sz w:val="24"/>
        </w:rPr>
        <w:t>不得对实质性内容进行变动。</w:t>
      </w:r>
    </w:p>
    <w:p>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4.2供应商应采用书面形式进行澄清或说明，但不得超出磋商响应文件的范围或改变磋商响应文件的实质性内容。</w:t>
      </w:r>
    </w:p>
    <w:p>
      <w:pPr>
        <w:pStyle w:val="6"/>
        <w:numPr>
          <w:ilvl w:val="0"/>
          <w:numId w:val="15"/>
        </w:numPr>
        <w:rPr>
          <w:rFonts w:ascii="宋体" w:hAnsi="宋体" w:cs="宋体"/>
        </w:rPr>
      </w:pPr>
      <w:r>
        <w:rPr>
          <w:rFonts w:hint="eastAsia" w:ascii="宋体" w:hAnsi="宋体" w:cs="宋体"/>
        </w:rPr>
        <w:t>评审</w:t>
      </w:r>
    </w:p>
    <w:p>
      <w:pPr>
        <w:spacing w:line="360" w:lineRule="auto"/>
        <w:ind w:firstLine="480" w:firstLineChars="200"/>
        <w:rPr>
          <w:rFonts w:ascii="宋体" w:hAnsi="宋体" w:cs="宋体"/>
          <w:sz w:val="24"/>
        </w:rPr>
      </w:pPr>
      <w:bookmarkStart w:id="101" w:name="_Toc12947"/>
      <w:r>
        <w:rPr>
          <w:rFonts w:hint="eastAsia" w:ascii="宋体" w:hAnsi="宋体" w:cs="宋体"/>
          <w:sz w:val="24"/>
        </w:rPr>
        <w:t xml:space="preserve">5.1磋商小组有权对在磋商、评审过程中出现的一切问题，根据《中华人民共和国政府采购法》和《政府采购竞争性磋商采购方式管理暂行办法》的条款，本着公开、公平、公正的原则进行处理。 </w:t>
      </w:r>
    </w:p>
    <w:p>
      <w:pPr>
        <w:spacing w:line="360" w:lineRule="auto"/>
        <w:ind w:firstLine="480" w:firstLineChars="200"/>
        <w:rPr>
          <w:rFonts w:ascii="宋体" w:hAnsi="宋体" w:cs="宋体"/>
          <w:sz w:val="24"/>
        </w:rPr>
      </w:pPr>
      <w:r>
        <w:rPr>
          <w:rFonts w:hint="eastAsia" w:ascii="宋体" w:hAnsi="宋体" w:cs="宋体"/>
          <w:sz w:val="24"/>
        </w:rPr>
        <w:t>5.2磋商流程</w:t>
      </w:r>
    </w:p>
    <w:p>
      <w:pPr>
        <w:numPr>
          <w:ilvl w:val="0"/>
          <w:numId w:val="18"/>
        </w:numPr>
        <w:spacing w:line="360" w:lineRule="auto"/>
        <w:rPr>
          <w:rFonts w:ascii="宋体" w:hAnsi="宋体" w:cs="宋体"/>
          <w:sz w:val="24"/>
        </w:rPr>
      </w:pPr>
      <w:r>
        <w:rPr>
          <w:rFonts w:hint="eastAsia" w:ascii="宋体" w:hAnsi="宋体" w:cs="宋体"/>
          <w:sz w:val="24"/>
        </w:rPr>
        <w:t>磋商小组对供应商作符合性审查，只有通过符合性审查的供应商，才能进入第二阶段的磋商，否则被淘汰。</w:t>
      </w:r>
    </w:p>
    <w:p>
      <w:pPr>
        <w:numPr>
          <w:ilvl w:val="0"/>
          <w:numId w:val="18"/>
        </w:numPr>
        <w:spacing w:line="360" w:lineRule="auto"/>
        <w:rPr>
          <w:rFonts w:ascii="宋体" w:hAnsi="宋体" w:cs="宋体"/>
          <w:sz w:val="24"/>
        </w:rPr>
      </w:pPr>
      <w:r>
        <w:rPr>
          <w:rFonts w:hint="eastAsia" w:ascii="宋体" w:hAnsi="宋体" w:cs="宋体"/>
          <w:sz w:val="24"/>
        </w:rPr>
        <w:t>磋商小组所有成员集中与单一供应商分别进行磋商（磋商轮次为二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numPr>
          <w:ilvl w:val="0"/>
          <w:numId w:val="18"/>
        </w:numPr>
        <w:spacing w:line="360" w:lineRule="auto"/>
        <w:rPr>
          <w:rFonts w:ascii="宋体" w:hAnsi="宋体" w:cs="宋体"/>
          <w:sz w:val="24"/>
        </w:rPr>
      </w:pPr>
      <w:r>
        <w:rPr>
          <w:rFonts w:hint="eastAsia" w:ascii="宋体" w:hAnsi="宋体" w:cs="宋体"/>
          <w:kern w:val="0"/>
          <w:sz w:val="24"/>
          <w:szCs w:val="24"/>
        </w:rPr>
        <w:t xml:space="preserve"> 如磋商小组认为某个供应商最终报价明显不合理且低于其他通过符合性审查供应商的最终报价，有可能影响服务质量或者不能诚信履约的，应当在评标现场要求供应商提供书面说明及相关证明材料。供应商未提供或提供的相关证明材料不能证明其报价合理性的，将视为无效投标。</w:t>
      </w:r>
    </w:p>
    <w:p>
      <w:pPr>
        <w:numPr>
          <w:ilvl w:val="0"/>
          <w:numId w:val="18"/>
        </w:numPr>
        <w:spacing w:line="360" w:lineRule="auto"/>
        <w:rPr>
          <w:rFonts w:ascii="宋体" w:hAnsi="宋体" w:cs="宋体"/>
          <w:sz w:val="24"/>
        </w:rPr>
      </w:pPr>
      <w:r>
        <w:rPr>
          <w:rFonts w:hint="eastAsia" w:ascii="宋体" w:hAnsi="宋体" w:cs="宋体"/>
          <w:sz w:val="24"/>
        </w:rPr>
        <w:t>对磋商文件作出的实质性变动是磋商文件的有效组成部分，磋商小组应当及时以书面形式同时通知所有参加磋商的供应商。</w:t>
      </w:r>
    </w:p>
    <w:p>
      <w:pPr>
        <w:numPr>
          <w:ilvl w:val="0"/>
          <w:numId w:val="18"/>
        </w:numPr>
        <w:spacing w:line="360" w:lineRule="auto"/>
        <w:rPr>
          <w:rFonts w:ascii="宋体" w:hAnsi="宋体" w:cs="宋体"/>
          <w:sz w:val="24"/>
          <w:shd w:val="clear" w:color="FFFFFF" w:fill="D9D9D9"/>
        </w:rPr>
      </w:pPr>
      <w:r>
        <w:rPr>
          <w:rFonts w:hint="eastAsia" w:ascii="宋体" w:hAnsi="宋体" w:cs="宋体"/>
          <w:sz w:val="24"/>
        </w:rPr>
        <w:t>磋商结束后，磋商小组要求参加磋商的各供应商在规定的时间内集中提交最终报价。</w:t>
      </w:r>
    </w:p>
    <w:p>
      <w:pPr>
        <w:widowControl/>
        <w:numPr>
          <w:ilvl w:val="0"/>
          <w:numId w:val="18"/>
        </w:numPr>
        <w:spacing w:line="360" w:lineRule="auto"/>
        <w:jc w:val="left"/>
        <w:rPr>
          <w:rFonts w:ascii="宋体" w:hAnsi="宋体" w:cs="宋体"/>
          <w:sz w:val="24"/>
        </w:rPr>
      </w:pPr>
      <w:r>
        <w:rPr>
          <w:rFonts w:hint="eastAsia" w:ascii="宋体" w:hAnsi="宋体" w:cs="宋体"/>
          <w:sz w:val="24"/>
          <w:szCs w:val="24"/>
        </w:rPr>
        <w:t>在确定最终采购需求和提交最后报价的供应商后，由磋商小组采用综合评分法对提交最后报价的供应商进行综合评分。</w:t>
      </w:r>
      <w:r>
        <w:rPr>
          <w:rFonts w:hint="eastAsia" w:ascii="宋体" w:hAnsi="宋体" w:cs="宋体"/>
          <w:sz w:val="24"/>
        </w:rPr>
        <w:t>磋商小组第四部分评分标准规定的各项因素进行比较、自主打分、综合评审。磋商小组将评审得分汇总后，按评审总得分由高到低汇总排序，推荐3名成交候选人；</w:t>
      </w:r>
      <w:r>
        <w:rPr>
          <w:rFonts w:hint="eastAsia" w:ascii="宋体" w:hAnsi="宋体" w:cs="宋体"/>
          <w:sz w:val="24"/>
          <w:szCs w:val="24"/>
        </w:rPr>
        <w:t>评审得分相同的，按照最后报价由低到高的顺序推荐。评审得分且最后报价相同的，按照技术指标优劣顺序推荐。</w:t>
      </w:r>
    </w:p>
    <w:p>
      <w:pPr>
        <w:pStyle w:val="6"/>
        <w:numPr>
          <w:ilvl w:val="0"/>
          <w:numId w:val="15"/>
        </w:numPr>
        <w:rPr>
          <w:rFonts w:ascii="宋体" w:hAnsi="宋体" w:cs="宋体"/>
        </w:rPr>
      </w:pPr>
      <w:r>
        <w:rPr>
          <w:rFonts w:hint="eastAsia" w:ascii="宋体" w:hAnsi="宋体" w:cs="宋体"/>
        </w:rPr>
        <w:t>定标</w:t>
      </w:r>
      <w:bookmarkEnd w:id="101"/>
    </w:p>
    <w:p>
      <w:pPr>
        <w:spacing w:line="360" w:lineRule="auto"/>
        <w:ind w:left="420"/>
        <w:jc w:val="left"/>
        <w:rPr>
          <w:rFonts w:ascii="宋体" w:hAnsi="宋体" w:cs="宋体"/>
          <w:sz w:val="24"/>
        </w:rPr>
      </w:pPr>
      <w:r>
        <w:rPr>
          <w:rFonts w:hint="eastAsia" w:ascii="宋体" w:hAnsi="宋体" w:cs="宋体"/>
          <w:sz w:val="24"/>
        </w:rPr>
        <w:t>6.1代理机构在评审结束后2个工作日内将评审报告送达采购单位，采购单</w:t>
      </w:r>
    </w:p>
    <w:p>
      <w:pPr>
        <w:spacing w:line="360" w:lineRule="auto"/>
        <w:jc w:val="left"/>
        <w:rPr>
          <w:rFonts w:ascii="宋体" w:hAnsi="宋体" w:cs="宋体"/>
          <w:sz w:val="24"/>
        </w:rPr>
      </w:pPr>
      <w:r>
        <w:rPr>
          <w:rFonts w:hint="eastAsia" w:ascii="宋体" w:hAnsi="宋体" w:cs="宋体"/>
          <w:sz w:val="24"/>
        </w:rPr>
        <w:t>位在收到评审报告后5个工作日内，按照评审报告中推荐的成交候选人顺序确认第一成交候选人为成交单位，同时书面复函代理机构；</w:t>
      </w:r>
    </w:p>
    <w:p>
      <w:pPr>
        <w:spacing w:line="360" w:lineRule="auto"/>
        <w:ind w:firstLine="420" w:firstLineChars="175"/>
        <w:rPr>
          <w:rFonts w:ascii="宋体" w:hAnsi="宋体" w:cs="宋体"/>
          <w:sz w:val="24"/>
        </w:rPr>
      </w:pPr>
      <w:r>
        <w:rPr>
          <w:rFonts w:hint="eastAsia" w:ascii="宋体" w:hAnsi="宋体" w:cs="宋体"/>
          <w:sz w:val="24"/>
        </w:rPr>
        <w:t>6.2代理机构收到采购单位“</w:t>
      </w:r>
      <w:r>
        <w:rPr>
          <w:rFonts w:hint="eastAsia" w:ascii="宋体" w:hAnsi="宋体" w:cs="宋体"/>
          <w:sz w:val="24"/>
          <w:lang w:val="en-US" w:eastAsia="zh-CN"/>
        </w:rPr>
        <w:t>成交</w:t>
      </w:r>
      <w:r>
        <w:rPr>
          <w:rFonts w:hint="eastAsia" w:ascii="宋体" w:hAnsi="宋体" w:cs="宋体"/>
          <w:sz w:val="24"/>
        </w:rPr>
        <w:t>复函”后2个工作日内，在财政部门指定的政府采购信息媒体上发布公告，并向成交供应商发出“成交通知书”。</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102" w:name="_Toc25308"/>
      <w:bookmarkStart w:id="103" w:name="_Toc21718"/>
      <w:bookmarkStart w:id="104" w:name="_Toc19972"/>
      <w:bookmarkStart w:id="105" w:name="_Toc794"/>
      <w:bookmarkStart w:id="106" w:name="_Toc2716"/>
      <w:bookmarkStart w:id="107" w:name="_Toc740"/>
      <w:r>
        <w:rPr>
          <w:rFonts w:hint="eastAsia" w:ascii="宋体" w:hAnsi="宋体" w:cs="宋体"/>
          <w:b/>
          <w:bCs/>
          <w:kern w:val="0"/>
          <w:sz w:val="32"/>
          <w:szCs w:val="28"/>
        </w:rPr>
        <w:t>签订合同</w:t>
      </w:r>
      <w:bookmarkEnd w:id="102"/>
      <w:bookmarkEnd w:id="103"/>
      <w:bookmarkEnd w:id="104"/>
      <w:bookmarkEnd w:id="105"/>
      <w:bookmarkEnd w:id="106"/>
      <w:bookmarkEnd w:id="107"/>
    </w:p>
    <w:p>
      <w:pPr>
        <w:spacing w:line="360" w:lineRule="auto"/>
        <w:ind w:firstLine="480" w:firstLineChars="200"/>
        <w:jc w:val="left"/>
        <w:rPr>
          <w:rFonts w:ascii="宋体" w:hAnsi="宋体" w:cs="宋体"/>
          <w:sz w:val="24"/>
        </w:rPr>
      </w:pPr>
      <w:r>
        <w:rPr>
          <w:rFonts w:hint="eastAsia" w:ascii="宋体" w:hAnsi="宋体" w:cs="宋体"/>
          <w:sz w:val="24"/>
        </w:rPr>
        <w:t>1、成交后，成交供应商与采购人洽谈合同条款，并签订供货合同，同时送</w:t>
      </w:r>
    </w:p>
    <w:p>
      <w:pPr>
        <w:spacing w:line="360" w:lineRule="auto"/>
        <w:jc w:val="left"/>
        <w:rPr>
          <w:rFonts w:ascii="宋体" w:hAnsi="宋体" w:cs="宋体"/>
          <w:sz w:val="24"/>
        </w:rPr>
      </w:pPr>
      <w:r>
        <w:rPr>
          <w:rFonts w:hint="eastAsia" w:ascii="宋体" w:hAnsi="宋体" w:cs="宋体"/>
          <w:sz w:val="24"/>
        </w:rPr>
        <w:t>代理机构归档，竞争性磋商文件及成交供应商的磋商响应文件均作为合同的组成部分。</w:t>
      </w:r>
    </w:p>
    <w:p>
      <w:pPr>
        <w:spacing w:line="360" w:lineRule="auto"/>
        <w:ind w:firstLine="480" w:firstLineChars="200"/>
        <w:jc w:val="left"/>
        <w:rPr>
          <w:rFonts w:ascii="宋体" w:hAnsi="宋体" w:cs="宋体"/>
          <w:sz w:val="24"/>
        </w:rPr>
      </w:pPr>
      <w:r>
        <w:rPr>
          <w:rFonts w:hint="eastAsia" w:ascii="宋体" w:hAnsi="宋体" w:cs="宋体"/>
          <w:sz w:val="24"/>
        </w:rPr>
        <w:t>2、根据需要，代理机构应协助采购人监督、协调和处理履约过程中出现的</w:t>
      </w:r>
    </w:p>
    <w:p>
      <w:pPr>
        <w:spacing w:line="360" w:lineRule="auto"/>
        <w:jc w:val="left"/>
        <w:rPr>
          <w:rFonts w:ascii="宋体" w:hAnsi="宋体" w:cs="宋体"/>
          <w:sz w:val="24"/>
        </w:rPr>
      </w:pPr>
      <w:r>
        <w:rPr>
          <w:rFonts w:hint="eastAsia" w:ascii="宋体" w:hAnsi="宋体" w:cs="宋体"/>
          <w:sz w:val="24"/>
        </w:rPr>
        <w:t>问题。</w:t>
      </w:r>
    </w:p>
    <w:p>
      <w:pPr>
        <w:spacing w:line="360" w:lineRule="auto"/>
        <w:ind w:firstLine="480" w:firstLineChars="200"/>
        <w:jc w:val="left"/>
        <w:rPr>
          <w:rFonts w:ascii="宋体" w:hAnsi="宋体" w:cs="宋体"/>
          <w:sz w:val="24"/>
        </w:rPr>
      </w:pPr>
      <w:r>
        <w:rPr>
          <w:rFonts w:hint="eastAsia" w:ascii="宋体" w:hAnsi="宋体" w:cs="宋体"/>
          <w:sz w:val="24"/>
        </w:rPr>
        <w:t>3、财政部门在合同履行期间以及履行期后，可以随时检查项目的执行情况，对采购标准、采购内容进行调查核实，并对发现的问题进行处理。</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108" w:name="_Toc28603"/>
      <w:bookmarkStart w:id="109" w:name="_Toc26132"/>
      <w:bookmarkStart w:id="110" w:name="_Toc6476"/>
      <w:bookmarkStart w:id="111" w:name="_Toc196"/>
      <w:bookmarkStart w:id="112" w:name="_Toc3703"/>
      <w:bookmarkStart w:id="113" w:name="_Toc28110"/>
      <w:r>
        <w:rPr>
          <w:rFonts w:hint="eastAsia" w:ascii="宋体" w:hAnsi="宋体" w:cs="宋体"/>
          <w:b/>
          <w:bCs/>
          <w:kern w:val="0"/>
          <w:sz w:val="32"/>
          <w:szCs w:val="28"/>
        </w:rPr>
        <w:t>代理服务费</w:t>
      </w:r>
      <w:bookmarkEnd w:id="108"/>
      <w:bookmarkEnd w:id="109"/>
      <w:bookmarkEnd w:id="110"/>
      <w:bookmarkEnd w:id="111"/>
      <w:bookmarkEnd w:id="112"/>
      <w:bookmarkEnd w:id="113"/>
    </w:p>
    <w:p>
      <w:pPr>
        <w:spacing w:line="560" w:lineRule="exact"/>
        <w:ind w:firstLine="480" w:firstLineChars="200"/>
        <w:jc w:val="left"/>
        <w:rPr>
          <w:rFonts w:ascii="宋体" w:hAnsi="宋体" w:cs="宋体"/>
          <w:sz w:val="24"/>
          <w:szCs w:val="24"/>
        </w:rPr>
      </w:pPr>
      <w:bookmarkStart w:id="114" w:name="_Toc4197"/>
      <w:bookmarkStart w:id="115" w:name="_Toc13674"/>
      <w:bookmarkStart w:id="116" w:name="_Toc11862"/>
      <w:bookmarkStart w:id="117" w:name="_Toc13048"/>
      <w:bookmarkStart w:id="118" w:name="_Toc14280"/>
      <w:r>
        <w:rPr>
          <w:rFonts w:hint="eastAsia" w:ascii="宋体" w:hAnsi="宋体" w:cs="宋体"/>
          <w:sz w:val="24"/>
          <w:szCs w:val="24"/>
        </w:rPr>
        <w:t>1、以本采购项目中标价为基数，参照国家计委关于印发《招标代理服务收费管理暂行办法》的通知（计价格[2002]1980号）和发改办价格[2003]857号规定</w:t>
      </w:r>
      <w:r>
        <w:rPr>
          <w:rFonts w:hint="eastAsia" w:ascii="宋体" w:hAnsi="宋体" w:cs="宋体"/>
          <w:b/>
          <w:bCs/>
          <w:sz w:val="24"/>
          <w:szCs w:val="24"/>
          <w:lang w:val="en-US" w:eastAsia="zh-CN"/>
        </w:rPr>
        <w:t>下浮20%收取</w:t>
      </w:r>
      <w:r>
        <w:rPr>
          <w:rFonts w:hint="eastAsia" w:ascii="宋体" w:hAnsi="宋体" w:cs="宋体"/>
          <w:sz w:val="24"/>
          <w:szCs w:val="24"/>
          <w:lang w:eastAsia="zh-CN"/>
        </w:rPr>
        <w:t>，</w:t>
      </w:r>
      <w:r>
        <w:rPr>
          <w:rFonts w:hint="eastAsia" w:ascii="宋体" w:hAnsi="宋体" w:cs="宋体"/>
          <w:sz w:val="24"/>
          <w:szCs w:val="24"/>
        </w:rPr>
        <w:t>由中标人在领取中标通知书时向代理机构缴纳代理服务费。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将招标代理服务费计入投标报价但不单独列明，中标单位在领取中标通知书前，须向采购代理机构一次性支付招标代理服务费；代理服务费以转账、电汇或现金等形式交纳</w:t>
      </w:r>
      <w:r>
        <w:rPr>
          <w:rFonts w:hint="eastAsia" w:ascii="宋体" w:hAnsi="宋体" w:cs="宋体"/>
          <w:sz w:val="24"/>
          <w:szCs w:val="24"/>
        </w:rPr>
        <w:t>。</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119" w:name="_Toc3231"/>
      <w:r>
        <w:rPr>
          <w:rFonts w:hint="eastAsia" w:ascii="宋体" w:hAnsi="宋体" w:cs="宋体"/>
          <w:b/>
          <w:bCs/>
          <w:kern w:val="0"/>
          <w:sz w:val="32"/>
          <w:szCs w:val="28"/>
        </w:rPr>
        <w:t>质疑和投诉</w:t>
      </w:r>
      <w:bookmarkEnd w:id="114"/>
      <w:bookmarkEnd w:id="115"/>
      <w:bookmarkEnd w:id="116"/>
      <w:bookmarkEnd w:id="117"/>
      <w:bookmarkEnd w:id="118"/>
      <w:bookmarkEnd w:id="119"/>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333333"/>
          <w:sz w:val="24"/>
          <w:szCs w:val="24"/>
          <w:shd w:val="clear" w:color="auto" w:fill="FFFFFF"/>
        </w:rPr>
        <w:t>供应商应该在法定质疑期内一次性提出针对同一采购程序环节的质疑，</w:t>
      </w:r>
      <w:r>
        <w:rPr>
          <w:rFonts w:hint="eastAsia" w:asciiTheme="minorEastAsia" w:hAnsiTheme="minorEastAsia" w:cstheme="minorEastAsia"/>
          <w:sz w:val="24"/>
          <w:szCs w:val="24"/>
        </w:rPr>
        <w:t>逾期质疑无效。</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8.2 质疑文件应当包括下列主要内容：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4）提出质疑的日期。</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8.3 质疑函应当署名。质疑供应商为自然人的，应当由本人签字；质疑供应商为法人或者其他组织的，应当由法定代表人或者主要负责人签字盖章并加盖公章。</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8.4 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8.7 质疑受理部门：陕西万泽招标有限公司。</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8.8 提交质疑文件地点：西安市西关正街英达大厦1507室。</w:t>
      </w:r>
    </w:p>
    <w:p>
      <w:pPr>
        <w:spacing w:line="360" w:lineRule="auto"/>
        <w:ind w:right="-319" w:rightChars="-152"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8.9 本次采购活动中，采购代理机构对质疑回复等文件的送达方式为现场取件。</w:t>
      </w:r>
    </w:p>
    <w:p>
      <w:pPr>
        <w:pStyle w:val="8"/>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8.10 质疑函应当使用中文。质疑函范本详见附件六。</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pPr>
        <w:pStyle w:val="4"/>
        <w:keepLines w:val="0"/>
        <w:numPr>
          <w:ilvl w:val="0"/>
          <w:numId w:val="19"/>
        </w:numPr>
        <w:ind w:firstLine="643" w:firstLineChars="200"/>
        <w:rPr>
          <w:rFonts w:hint="eastAsia"/>
        </w:rPr>
      </w:pPr>
      <w:bookmarkStart w:id="120" w:name="_Toc11726"/>
      <w:r>
        <w:rPr>
          <w:rFonts w:hint="eastAsia"/>
          <w:lang w:val="en-US" w:eastAsia="zh-CN"/>
        </w:rPr>
        <w:t xml:space="preserve"> </w:t>
      </w:r>
      <w:bookmarkStart w:id="121" w:name="_Toc11658"/>
      <w:r>
        <w:rPr>
          <w:rFonts w:hint="eastAsia"/>
        </w:rPr>
        <w:t>评审标准</w:t>
      </w:r>
      <w:bookmarkEnd w:id="120"/>
      <w:bookmarkEnd w:id="121"/>
    </w:p>
    <w:p>
      <w:pPr>
        <w:spacing w:line="360" w:lineRule="auto"/>
        <w:ind w:firstLine="480" w:firstLineChars="200"/>
        <w:rPr>
          <w:rFonts w:ascii="仿宋_GB2312" w:hAnsi="仿宋_GB2312" w:eastAsia="仿宋_GB2312" w:cs="Times New Roman"/>
          <w:color w:val="FF0000"/>
          <w:sz w:val="24"/>
        </w:rPr>
      </w:pPr>
      <w:r>
        <w:rPr>
          <w:rFonts w:hint="eastAsia" w:asciiTheme="minorEastAsia" w:hAnsiTheme="minorEastAsia" w:cstheme="minorEastAsia"/>
          <w:sz w:val="24"/>
          <w:szCs w:val="24"/>
        </w:rPr>
        <w:t>本次评标采用综合评分法，综合评分因素的主要因素为价格、技术、业绩、服务等以及对竞争性磋商文件的响应程度。每一供应商的最终得分为所有评委评分的算数平均值。</w:t>
      </w:r>
    </w:p>
    <w:tbl>
      <w:tblPr>
        <w:tblStyle w:val="18"/>
        <w:tblpPr w:leftFromText="180" w:rightFromText="180" w:vertAnchor="text" w:horzAnchor="page" w:tblpX="1690" w:tblpY="804"/>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92"/>
        <w:gridCol w:w="1115"/>
        <w:gridCol w:w="731"/>
        <w:gridCol w:w="4678"/>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序号</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评分因素及权重</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分值</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评分标准</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磋商报价</w:t>
            </w:r>
          </w:p>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（20%）</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20</w:t>
            </w:r>
          </w:p>
        </w:tc>
        <w:tc>
          <w:tcPr>
            <w:tcW w:w="4678" w:type="dxa"/>
            <w:tcBorders>
              <w:top w:val="single" w:color="auto" w:sz="4" w:space="0"/>
              <w:left w:val="single" w:color="auto" w:sz="4" w:space="0"/>
              <w:bottom w:val="single" w:color="auto" w:sz="4" w:space="0"/>
              <w:right w:val="single" w:color="auto" w:sz="4" w:space="0"/>
            </w:tcBorders>
            <w:vAlign w:val="center"/>
          </w:tcPr>
          <w:p>
            <w:pPr>
              <w:numPr>
                <w:ilvl w:val="0"/>
                <w:numId w:val="20"/>
              </w:num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经初审合格的磋商文件，其磋商报价为有效磋商报价；</w:t>
            </w:r>
          </w:p>
          <w:p>
            <w:pPr>
              <w:numPr>
                <w:ilvl w:val="0"/>
                <w:numId w:val="20"/>
              </w:num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满足磋商文件要求且最终提交价格最低的响应报价为评标基准价。</w:t>
            </w:r>
          </w:p>
          <w:p>
            <w:pPr>
              <w:numPr>
                <w:ilvl w:val="0"/>
                <w:numId w:val="20"/>
              </w:num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响应报价得分=(评审基准价／最终响应报价)×</w:t>
            </w:r>
            <w:r>
              <w:rPr>
                <w:rFonts w:hint="eastAsia" w:asciiTheme="minorEastAsia" w:hAnsiTheme="minorEastAsia" w:eastAsiaTheme="minorEastAsia" w:cstheme="minorEastAsia"/>
                <w:sz w:val="21"/>
                <w:szCs w:val="21"/>
                <w:lang w:val="en-US" w:eastAsia="zh-CN"/>
              </w:rPr>
              <w:t>20</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rPr>
              <w:t>响应报价不完整的，本项得0分。</w:t>
            </w:r>
          </w:p>
        </w:tc>
        <w:tc>
          <w:tcPr>
            <w:tcW w:w="121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8"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c>
          <w:tcPr>
            <w:tcW w:w="89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整体方案（</w:t>
            </w:r>
            <w:r>
              <w:rPr>
                <w:rFonts w:hint="eastAsia" w:asciiTheme="minorEastAsia" w:hAnsiTheme="minorEastAsia" w:eastAsiaTheme="minorEastAsia" w:cstheme="minorEastAsia"/>
                <w:color w:val="auto"/>
                <w:kern w:val="2"/>
                <w:sz w:val="21"/>
                <w:szCs w:val="21"/>
                <w:highlight w:val="none"/>
                <w:lang w:val="en-US" w:eastAsia="zh-CN" w:bidi="ar-SA"/>
              </w:rPr>
              <w:t>13</w:t>
            </w:r>
            <w:r>
              <w:rPr>
                <w:rFonts w:hint="eastAsia" w:asciiTheme="minorEastAsia" w:hAnsiTheme="minorEastAsia" w:eastAsiaTheme="minorEastAsia" w:cstheme="minorEastAsia"/>
                <w:color w:val="auto"/>
                <w:kern w:val="2"/>
                <w:sz w:val="21"/>
                <w:szCs w:val="21"/>
                <w:lang w:val="en-US" w:eastAsia="zh-CN" w:bidi="ar-SA"/>
              </w:rPr>
              <w:t>%）</w:t>
            </w: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整体服务方案（8%）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4678" w:type="dxa"/>
            <w:tcBorders>
              <w:top w:val="single" w:color="auto" w:sz="4" w:space="0"/>
              <w:left w:val="single" w:color="auto" w:sz="4" w:space="0"/>
              <w:bottom w:val="single" w:color="auto" w:sz="4" w:space="0"/>
              <w:right w:val="single" w:color="auto" w:sz="4" w:space="0"/>
            </w:tcBorders>
            <w:vAlign w:val="center"/>
          </w:tcPr>
          <w:p>
            <w:pPr>
              <w:tabs>
                <w:tab w:val="left" w:pos="547"/>
              </w:tabs>
              <w:autoSpaceDE w:val="0"/>
              <w:autoSpaceDN w:val="0"/>
              <w:adjustRightInd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整体服务方案全面系统、内容完整详细、设计合理、架构完整、层次清楚，针对每一项内容的具体服务规范和方案、应急方案、信息保密、日常业务保障等能够确保学校各项业务内容的可靠、稳定，性能充分发挥综合赋分：</w:t>
            </w:r>
          </w:p>
          <w:p>
            <w:pPr>
              <w:tabs>
                <w:tab w:val="left" w:pos="547"/>
              </w:tabs>
              <w:autoSpaceDE w:val="0"/>
              <w:autoSpaceDN w:val="0"/>
              <w:adjustRightInd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整体服务方案内容全面完整、项目背景理解透彻清晰，对学校现状及需求分析程度完善，平台运行可靠性、稳定性强计6.1-8分；</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整体服务方案内容较全面、较完整，项目背景理解较透彻，对学校现状及需求分析程度较完善，平台运行可靠性、稳定性一般计3.1-5分；</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整体服务方案内容不全面、不完整，项目背景理解不透彻，对学校现状及需求分析程度不完善，平台运行可靠性、稳定性较差计0-3分；</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未提供不得分。</w:t>
            </w:r>
          </w:p>
        </w:tc>
        <w:tc>
          <w:tcPr>
            <w:tcW w:w="121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p>
        </w:tc>
        <w:tc>
          <w:tcPr>
            <w:tcW w:w="11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具体实施方案（</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4678" w:type="dxa"/>
            <w:tcBorders>
              <w:top w:val="single" w:color="auto" w:sz="4" w:space="0"/>
              <w:left w:val="single" w:color="auto" w:sz="4" w:space="0"/>
              <w:bottom w:val="single" w:color="auto" w:sz="4" w:space="0"/>
              <w:right w:val="single" w:color="auto" w:sz="4" w:space="0"/>
            </w:tcBorders>
            <w:vAlign w:val="center"/>
          </w:tcPr>
          <w:p>
            <w:pPr>
              <w:tabs>
                <w:tab w:val="left" w:pos="547"/>
              </w:tabs>
              <w:autoSpaceDE w:val="0"/>
              <w:autoSpaceDN w:val="0"/>
              <w:adjustRightInd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根据建设计划契合学校实际需求情况，建设期明确、实施机构、人员投入、实施计划、安全管理及保障措施等内容完整性，具有规范性、可行性，对项目质量有明确的保障措施，对项目如期完工的明确条件支撑，对项目实施方案有合理优化情况等综合赋分：</w:t>
            </w:r>
          </w:p>
          <w:p>
            <w:pPr>
              <w:tabs>
                <w:tab w:val="left" w:pos="547"/>
              </w:tabs>
              <w:autoSpaceDE w:val="0"/>
              <w:autoSpaceDN w:val="0"/>
              <w:adjustRightInd w:val="0"/>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实施方案全面，完全契合学校实际需求，保障措施完善，能够保障项目按期完工得3.1-5分；</w:t>
            </w:r>
          </w:p>
          <w:p>
            <w:pPr>
              <w:tabs>
                <w:tab w:val="left" w:pos="547"/>
              </w:tabs>
              <w:autoSpaceDE w:val="0"/>
              <w:autoSpaceDN w:val="0"/>
              <w:adjustRightInd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实施方案较全面，基本契合学校实际需求，保障措施较完善，基本保障项目按期完工得2.1-3分；</w:t>
            </w:r>
          </w:p>
          <w:p>
            <w:pPr>
              <w:tabs>
                <w:tab w:val="left" w:pos="547"/>
              </w:tabs>
              <w:autoSpaceDE w:val="0"/>
              <w:autoSpaceDN w:val="0"/>
              <w:adjustRightInd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实施方案不完整，与学校实际需求契合程度不高，保障措施不完善，未能保障项目按期完工得0-2分；</w:t>
            </w:r>
          </w:p>
          <w:p>
            <w:pPr>
              <w:tabs>
                <w:tab w:val="left" w:pos="547"/>
              </w:tabs>
              <w:autoSpaceDE w:val="0"/>
              <w:autoSpaceDN w:val="0"/>
              <w:adjustRightInd w:val="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不提供不得分。</w:t>
            </w:r>
          </w:p>
        </w:tc>
        <w:tc>
          <w:tcPr>
            <w:tcW w:w="121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418"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p>
        </w:tc>
        <w:tc>
          <w:tcPr>
            <w:tcW w:w="892"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技术方案（4</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p>
        </w:tc>
        <w:tc>
          <w:tcPr>
            <w:tcW w:w="1115"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技术指标响应情况</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rPr>
              <w:t>）</w:t>
            </w:r>
          </w:p>
          <w:p>
            <w:pPr>
              <w:pStyle w:val="8"/>
              <w:ind w:firstLine="0"/>
              <w:jc w:val="center"/>
              <w:rPr>
                <w:rFonts w:hint="eastAsia" w:asciiTheme="minorEastAsia" w:hAnsiTheme="minorEastAsia" w:eastAsiaTheme="minorEastAsia" w:cstheme="minorEastAsia"/>
                <w:color w:val="auto"/>
                <w:sz w:val="21"/>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p>
        </w:tc>
        <w:tc>
          <w:tcPr>
            <w:tcW w:w="4678" w:type="dxa"/>
            <w:tcBorders>
              <w:top w:val="single" w:color="auto" w:sz="4" w:space="0"/>
              <w:left w:val="single" w:color="auto" w:sz="4" w:space="0"/>
              <w:bottom w:val="single" w:color="auto" w:sz="4" w:space="0"/>
              <w:right w:val="single" w:color="auto" w:sz="4" w:space="0"/>
            </w:tcBorders>
          </w:tcPr>
          <w:p>
            <w:pPr>
              <w:pStyle w:val="8"/>
              <w:ind w:firstLine="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根据响应文件和相关证明材料对招标文件的响应情况，对照技术参数判断所投产品是否满足采购文件的要求，标注“▲”项的部分需提供证明材料，不提供证明材料或负偏离，每少一项扣2分。</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其它参数每负偏离一项扣1分，扣完为止。</w:t>
            </w:r>
          </w:p>
          <w:p>
            <w:pPr>
              <w:pStyle w:val="7"/>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注：所有标“▲”项需提供相关证明材料。</w:t>
            </w:r>
          </w:p>
        </w:tc>
        <w:tc>
          <w:tcPr>
            <w:tcW w:w="121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418"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c>
          <w:tcPr>
            <w:tcW w:w="892"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c>
          <w:tcPr>
            <w:tcW w:w="1115" w:type="dxa"/>
            <w:vMerge w:val="continue"/>
            <w:tcBorders>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kern w:val="2"/>
                <w:sz w:val="21"/>
                <w:szCs w:val="21"/>
                <w:lang w:val="en-US" w:eastAsia="zh-CN" w:bidi="ar-SA"/>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20</w:t>
            </w:r>
          </w:p>
        </w:tc>
        <w:tc>
          <w:tcPr>
            <w:tcW w:w="4678" w:type="dxa"/>
            <w:tcBorders>
              <w:top w:val="single" w:color="auto" w:sz="4" w:space="0"/>
              <w:left w:val="single" w:color="auto" w:sz="4" w:space="0"/>
              <w:bottom w:val="single" w:color="auto" w:sz="4" w:space="0"/>
              <w:right w:val="single" w:color="auto" w:sz="4" w:space="0"/>
            </w:tcBorders>
          </w:tcPr>
          <w:p>
            <w:pPr>
              <w:pStyle w:val="7"/>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演示部分需使用有数据结果呈现的真实用户系统逐条进行演示，不提供演示或技术参数每有一项不满足的扣2分，扣完为止。不能使用PPT或demo，无演示不得分。每位供应商演示时间不超过15分钟，演示人员不超过2人，供应商自行准备演示所需各类设备和网络环境，演示现场仅提供投影。演示内容具体详见采购要求演示部分具体内容。</w:t>
            </w:r>
          </w:p>
        </w:tc>
        <w:tc>
          <w:tcPr>
            <w:tcW w:w="121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8"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c>
          <w:tcPr>
            <w:tcW w:w="892" w:type="dxa"/>
            <w:vMerge w:val="continue"/>
            <w:tcBorders>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技术稳定性（5%）</w:t>
            </w:r>
          </w:p>
        </w:tc>
        <w:tc>
          <w:tcPr>
            <w:tcW w:w="731"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w:t>
            </w:r>
          </w:p>
        </w:tc>
        <w:tc>
          <w:tcPr>
            <w:tcW w:w="4678"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供应商提供与项目相关软件著作权证书包括：二级教学单位评估、课程评价、可视化督导、教师评学、信息员管理软件著作权登记证书。每提供1个证书得1分，最高5分，不提供或者提供无效证书的不计分。</w:t>
            </w:r>
          </w:p>
        </w:tc>
        <w:tc>
          <w:tcPr>
            <w:tcW w:w="121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418" w:type="dxa"/>
            <w:vMerge w:val="restart"/>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w:t>
            </w:r>
          </w:p>
        </w:tc>
        <w:tc>
          <w:tcPr>
            <w:tcW w:w="892"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综合商务（20%）</w:t>
            </w:r>
          </w:p>
        </w:tc>
        <w:tc>
          <w:tcPr>
            <w:tcW w:w="1115"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售后（6%）</w:t>
            </w:r>
          </w:p>
        </w:tc>
        <w:tc>
          <w:tcPr>
            <w:tcW w:w="731"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w:t>
            </w:r>
          </w:p>
        </w:tc>
        <w:tc>
          <w:tcPr>
            <w:tcW w:w="4678" w:type="dxa"/>
            <w:tcBorders>
              <w:top w:val="single" w:color="auto" w:sz="4" w:space="0"/>
              <w:left w:val="single" w:color="auto" w:sz="4" w:space="0"/>
              <w:bottom w:val="single" w:color="auto" w:sz="4" w:space="0"/>
              <w:right w:val="single" w:color="auto" w:sz="4" w:space="0"/>
            </w:tcBorders>
          </w:tcPr>
          <w:p>
            <w:pPr>
              <w:pStyle w:val="8"/>
              <w:ind w:firstLine="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1.根据供应商提供的售后服务方案详细、具体、可行（包括供应商售后服务方案详细程度、维护、拟投入售后服务人员配置情况、项目交付用户后出现故障响应时间等），按其响应程度得0-2分。</w:t>
            </w:r>
          </w:p>
          <w:p>
            <w:pPr>
              <w:pStyle w:val="8"/>
              <w:ind w:firstLine="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2.供应商具备相应的服务能力，及运维服务机构计2分，需提供营业执照或房屋租赁合同（同时提供不低于2人的社保证明材料），不提供或提供不全不得分。</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3.质保期内在学校数据采集、审核评估等关键时间节点按学校需求提供驻场服务，其它应急响应阶段，每提供一次，得0.5分，最高不超过2分，不响应不得分。</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418"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c>
          <w:tcPr>
            <w:tcW w:w="89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培训方案（4%）</w:t>
            </w:r>
          </w:p>
        </w:tc>
        <w:tc>
          <w:tcPr>
            <w:tcW w:w="731"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w:t>
            </w:r>
          </w:p>
        </w:tc>
        <w:tc>
          <w:tcPr>
            <w:tcW w:w="4678" w:type="dxa"/>
            <w:tcBorders>
              <w:top w:val="single" w:color="auto" w:sz="4" w:space="0"/>
              <w:left w:val="single" w:color="auto" w:sz="4" w:space="0"/>
              <w:bottom w:val="single" w:color="auto" w:sz="4" w:space="0"/>
              <w:right w:val="single" w:color="auto" w:sz="4" w:space="0"/>
            </w:tcBorders>
          </w:tcPr>
          <w:p>
            <w:pPr>
              <w:pStyle w:val="8"/>
              <w:ind w:firstLine="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提供培训方案完整可行，能够提供相对应详细的时间、内容等实施计划、培训内容有层次，培训方式适用，能够保障使用单位能熟练操作维护和正常使用。内容完整可行得3.1-4分；内容较完整，可行性一般得2.1-3分；内容不完整可行性较差得0-2分，未提供不得分。</w:t>
            </w:r>
          </w:p>
        </w:tc>
        <w:tc>
          <w:tcPr>
            <w:tcW w:w="1211"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18"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c>
          <w:tcPr>
            <w:tcW w:w="892"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业绩（10%）</w:t>
            </w:r>
          </w:p>
        </w:tc>
        <w:tc>
          <w:tcPr>
            <w:tcW w:w="731" w:type="dxa"/>
            <w:tcBorders>
              <w:top w:val="single" w:color="auto" w:sz="4" w:space="0"/>
              <w:left w:val="single" w:color="auto" w:sz="4" w:space="0"/>
              <w:bottom w:val="single" w:color="auto" w:sz="4" w:space="0"/>
              <w:right w:val="single" w:color="auto" w:sz="4" w:space="0"/>
            </w:tcBorders>
            <w:vAlign w:val="center"/>
          </w:tcPr>
          <w:p>
            <w:pPr>
              <w:pStyle w:val="8"/>
              <w:ind w:firstLine="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10</w:t>
            </w:r>
          </w:p>
        </w:tc>
        <w:tc>
          <w:tcPr>
            <w:tcW w:w="4678"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供应商提供2020年10月1日至今同类项目业绩合同证明材料，每提供一份证明材料得2分，最高得10分。</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注：同类项目合同案例的业绩证明材料至少包含合同首页、签字盖章页及标的物页，以上证明材料须加盖供应商公章。</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1"/>
                <w:szCs w:val="21"/>
                <w:lang w:val="en-US" w:eastAsia="zh-CN" w:bidi="ar-SA"/>
              </w:rPr>
            </w:pPr>
          </w:p>
        </w:tc>
      </w:tr>
    </w:tbl>
    <w:p>
      <w:pPr>
        <w:rPr>
          <w:rFonts w:ascii="宋体" w:cs="宋体"/>
          <w:b/>
          <w:bCs/>
          <w:sz w:val="24"/>
          <w:szCs w:val="24"/>
        </w:rPr>
      </w:pPr>
      <w:r>
        <w:rPr>
          <w:rFonts w:hint="eastAsia" w:ascii="宋体" w:hAnsi="宋体" w:cs="宋体"/>
          <w:b/>
          <w:bCs/>
          <w:sz w:val="24"/>
        </w:rPr>
        <w:t>备注：</w:t>
      </w: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cs="宋体"/>
          <w:sz w:val="24"/>
          <w:szCs w:val="24"/>
        </w:rPr>
      </w:pPr>
      <w:r>
        <w:rPr>
          <w:rFonts w:hint="eastAsia" w:ascii="宋体" w:hAnsi="宋体" w:cs="宋体"/>
          <w:sz w:val="24"/>
          <w:szCs w:val="24"/>
        </w:rPr>
        <w:t>根据《政府采购促进中小企业发展管理办法》（财库</w:t>
      </w:r>
      <w:r>
        <w:rPr>
          <w:rFonts w:ascii="宋体" w:hAnsi="宋体" w:cs="宋体"/>
          <w:sz w:val="24"/>
          <w:szCs w:val="24"/>
        </w:rPr>
        <w:t>[20</w:t>
      </w:r>
      <w:r>
        <w:rPr>
          <w:rFonts w:hint="eastAsia" w:ascii="宋体" w:hAnsi="宋体" w:cs="宋体"/>
          <w:sz w:val="24"/>
          <w:szCs w:val="24"/>
        </w:rPr>
        <w:t>20</w:t>
      </w:r>
      <w:r>
        <w:rPr>
          <w:rFonts w:ascii="宋体" w:hAnsi="宋体" w:cs="宋体"/>
          <w:sz w:val="24"/>
          <w:szCs w:val="24"/>
        </w:rPr>
        <w:t>]</w:t>
      </w:r>
      <w:r>
        <w:rPr>
          <w:rFonts w:hint="eastAsia" w:ascii="宋体" w:hAnsi="宋体" w:cs="宋体"/>
          <w:sz w:val="24"/>
          <w:szCs w:val="24"/>
        </w:rPr>
        <w:t>46号）的规定，对于非专门面向中小企业的项目，对小型和微型企业产品的价格给予10</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bidi w:val="0"/>
        <w:ind w:firstLine="482" w:firstLineChars="200"/>
      </w:pPr>
      <w:bookmarkStart w:id="122" w:name="_Toc14437"/>
      <w:r>
        <w:rPr>
          <w:rFonts w:hint="eastAsia" w:ascii="宋体" w:hAnsi="宋体" w:eastAsia="宋体" w:cs="宋体"/>
          <w:b/>
          <w:bCs/>
          <w:sz w:val="24"/>
          <w:szCs w:val="24"/>
        </w:rPr>
        <w:t>（二）对监狱企业、残疾人福利企业的扶持</w:t>
      </w:r>
      <w:bookmarkEnd w:id="122"/>
    </w:p>
    <w:p>
      <w:pPr>
        <w:spacing w:line="360" w:lineRule="auto"/>
        <w:ind w:firstLine="480" w:firstLineChars="200"/>
        <w:rPr>
          <w:rFonts w:ascii="宋体" w:hAnsi="宋体" w:cs="宋体"/>
          <w:sz w:val="24"/>
          <w:szCs w:val="24"/>
        </w:rPr>
      </w:pPr>
      <w:r>
        <w:rPr>
          <w:rFonts w:hint="eastAsia" w:ascii="宋体" w:cs="宋体"/>
          <w:sz w:val="24"/>
          <w:szCs w:val="24"/>
        </w:rPr>
        <w:t>根据《关于政府采购支持监狱企业发展有关问题的通知》（财库[2014]68号）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outlineLvl w:val="9"/>
        <w:rPr>
          <w:rFonts w:ascii="宋体" w:cs="宋体"/>
          <w:b/>
          <w:bCs/>
          <w:sz w:val="24"/>
          <w:szCs w:val="24"/>
        </w:rPr>
      </w:pPr>
      <w:bookmarkStart w:id="123" w:name="_Toc8293"/>
      <w:r>
        <w:rPr>
          <w:rFonts w:hint="eastAsia" w:ascii="宋体" w:hAnsi="宋体" w:cs="宋体"/>
          <w:b/>
          <w:bCs/>
          <w:sz w:val="24"/>
          <w:szCs w:val="24"/>
        </w:rPr>
        <w:t>（四）对节能、环保政策的支持</w:t>
      </w:r>
      <w:bookmarkEnd w:id="123"/>
    </w:p>
    <w:p>
      <w:pPr>
        <w:spacing w:line="360" w:lineRule="auto"/>
        <w:ind w:firstLine="480" w:firstLineChars="200"/>
        <w:rPr>
          <w:rFonts w:ascii="宋体"/>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rPr>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pPr>
        <w:pStyle w:val="4"/>
        <w:pageBreakBefore/>
        <w:numPr>
          <w:ilvl w:val="0"/>
          <w:numId w:val="21"/>
        </w:numPr>
        <w:rPr>
          <w:rFonts w:ascii="宋体" w:hAnsi="宋体" w:cs="宋体"/>
        </w:rPr>
      </w:pPr>
      <w:bookmarkStart w:id="124" w:name="_Toc262"/>
      <w:bookmarkStart w:id="125" w:name="_Toc3021"/>
      <w:bookmarkStart w:id="126" w:name="_Toc25346"/>
      <w:bookmarkStart w:id="127" w:name="_Toc18667"/>
      <w:bookmarkStart w:id="128" w:name="_Toc26757"/>
      <w:r>
        <w:rPr>
          <w:rFonts w:hint="eastAsia" w:ascii="宋体" w:hAnsi="宋体" w:cs="宋体"/>
        </w:rPr>
        <w:t>分</w:t>
      </w:r>
      <w:bookmarkEnd w:id="124"/>
      <w:r>
        <w:rPr>
          <w:rFonts w:hint="eastAsia" w:ascii="宋体" w:hAnsi="宋体" w:cs="宋体"/>
        </w:rPr>
        <w:t xml:space="preserve"> 采购要求</w:t>
      </w:r>
      <w:bookmarkEnd w:id="125"/>
      <w:bookmarkEnd w:id="126"/>
      <w:bookmarkEnd w:id="127"/>
      <w:bookmarkEnd w:id="128"/>
    </w:p>
    <w:p>
      <w:pPr>
        <w:pStyle w:val="4"/>
        <w:bidi w:val="0"/>
        <w:jc w:val="both"/>
      </w:pPr>
      <w:bookmarkStart w:id="129" w:name="_Toc2277"/>
      <w:bookmarkStart w:id="130" w:name="_Toc18105"/>
      <w:r>
        <w:rPr>
          <w:rFonts w:hint="eastAsia"/>
          <w:sz w:val="28"/>
          <w:szCs w:val="28"/>
        </w:rPr>
        <w:t>一、商务要求</w:t>
      </w:r>
      <w:bookmarkEnd w:id="129"/>
    </w:p>
    <w:p>
      <w:pPr>
        <w:widowControl/>
        <w:spacing w:line="460" w:lineRule="exact"/>
        <w:ind w:right="57" w:rightChars="27" w:firstLine="480" w:firstLineChars="200"/>
        <w:jc w:val="left"/>
        <w:rPr>
          <w:rFonts w:hint="eastAsia" w:eastAsia="宋体" w:asciiTheme="minorEastAsia" w:hAnsiTheme="minorEastAsia" w:cstheme="minorEastAsia"/>
          <w:bCs/>
          <w:sz w:val="24"/>
          <w:szCs w:val="24"/>
          <w:lang w:eastAsia="zh-CN"/>
        </w:rPr>
      </w:pPr>
      <w:r>
        <w:rPr>
          <w:rFonts w:hint="eastAsia" w:asciiTheme="minorEastAsia" w:hAnsiTheme="minorEastAsia" w:cstheme="minorEastAsia"/>
          <w:bCs/>
          <w:sz w:val="24"/>
          <w:szCs w:val="24"/>
        </w:rPr>
        <w:t>1、项目名称：</w:t>
      </w:r>
      <w:bookmarkStart w:id="408" w:name="_GoBack"/>
      <w:bookmarkEnd w:id="408"/>
      <w:r>
        <w:rPr>
          <w:rFonts w:hint="eastAsia" w:asciiTheme="minorEastAsia" w:hAnsiTheme="minorEastAsia" w:cstheme="minorEastAsia"/>
          <w:bCs/>
          <w:sz w:val="24"/>
          <w:szCs w:val="24"/>
          <w:lang w:eastAsia="zh-CN"/>
        </w:rPr>
        <w:t>西安医学院教学质量监测与评估系统建设采购项目</w:t>
      </w:r>
    </w:p>
    <w:p>
      <w:pPr>
        <w:widowControl/>
        <w:spacing w:line="460" w:lineRule="exact"/>
        <w:ind w:right="57" w:rightChars="27" w:firstLine="480" w:firstLineChars="200"/>
        <w:jc w:val="left"/>
        <w:rPr>
          <w:rFonts w:asciiTheme="minorEastAsia" w:hAnsiTheme="minorEastAsia" w:cstheme="minorEastAsia"/>
          <w:bCs/>
          <w:sz w:val="24"/>
          <w:szCs w:val="24"/>
        </w:rPr>
      </w:pPr>
      <w:r>
        <w:rPr>
          <w:rFonts w:hint="eastAsia" w:asciiTheme="minorEastAsia" w:hAnsiTheme="minorEastAsia" w:cstheme="minorEastAsia"/>
          <w:bCs/>
          <w:sz w:val="24"/>
          <w:szCs w:val="24"/>
          <w:highlight w:val="none"/>
        </w:rPr>
        <w:t>2、</w:t>
      </w:r>
      <w:r>
        <w:rPr>
          <w:rFonts w:hint="eastAsia" w:asciiTheme="minorEastAsia" w:hAnsiTheme="minorEastAsia" w:cstheme="minorEastAsia"/>
          <w:bCs/>
          <w:color w:val="000000" w:themeColor="text1"/>
          <w:sz w:val="24"/>
          <w:szCs w:val="24"/>
          <w:highlight w:val="none"/>
          <w14:textFill>
            <w14:solidFill>
              <w14:schemeClr w14:val="tx1"/>
            </w14:solidFill>
          </w14:textFill>
        </w:rPr>
        <w:t>交付期：</w:t>
      </w:r>
      <w:r>
        <w:rPr>
          <w:rFonts w:hint="eastAsia" w:ascii="宋体" w:hAnsi="宋体" w:cs="宋体"/>
          <w:sz w:val="24"/>
          <w:szCs w:val="24"/>
          <w:highlight w:val="none"/>
          <w:lang w:val="en-US" w:eastAsia="zh-CN"/>
        </w:rPr>
        <w:t>自合同签订之日起</w:t>
      </w:r>
      <w:r>
        <w:rPr>
          <w:rFonts w:hint="eastAsia" w:ascii="宋体" w:hAnsi="宋体" w:cs="宋体"/>
          <w:sz w:val="24"/>
          <w:szCs w:val="24"/>
          <w:highlight w:val="none"/>
          <w:u w:val="single"/>
          <w:lang w:val="en-US" w:eastAsia="zh-CN"/>
        </w:rPr>
        <w:t xml:space="preserve"> 3 </w:t>
      </w:r>
      <w:r>
        <w:rPr>
          <w:rFonts w:hint="eastAsia" w:ascii="宋体" w:hAnsi="宋体" w:cs="宋体"/>
          <w:sz w:val="24"/>
          <w:szCs w:val="24"/>
          <w:highlight w:val="none"/>
          <w:lang w:val="en-US" w:eastAsia="zh-CN"/>
        </w:rPr>
        <w:t>个月</w:t>
      </w:r>
      <w:r>
        <w:rPr>
          <w:rFonts w:hint="eastAsia" w:asciiTheme="minorEastAsia" w:hAnsi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 xml:space="preserve">  </w:t>
      </w:r>
      <w:r>
        <w:rPr>
          <w:rFonts w:hint="eastAsia" w:asciiTheme="minorEastAsia" w:hAnsiTheme="minorEastAsia" w:cstheme="minorEastAsia"/>
          <w:bCs/>
          <w:sz w:val="24"/>
          <w:szCs w:val="24"/>
        </w:rPr>
        <w:t xml:space="preserve">                            </w:t>
      </w:r>
    </w:p>
    <w:p>
      <w:pPr>
        <w:widowControl/>
        <w:spacing w:line="460" w:lineRule="exact"/>
        <w:ind w:right="57" w:rightChars="27" w:firstLine="480" w:firstLineChars="200"/>
        <w:jc w:val="left"/>
        <w:rPr>
          <w:rFonts w:hint="eastAsia" w:eastAsia="宋体" w:asciiTheme="minorEastAsia" w:hAnsiTheme="minorEastAsia" w:cstheme="minorEastAsia"/>
          <w:bCs/>
          <w:sz w:val="24"/>
          <w:szCs w:val="24"/>
          <w:lang w:eastAsia="zh-CN"/>
        </w:rPr>
      </w:pPr>
      <w:r>
        <w:rPr>
          <w:rFonts w:hint="eastAsia" w:asciiTheme="minorEastAsia" w:hAnsiTheme="minorEastAsia" w:cstheme="minorEastAsia"/>
          <w:bCs/>
          <w:sz w:val="24"/>
          <w:szCs w:val="24"/>
        </w:rPr>
        <w:t>3、质保期：</w:t>
      </w:r>
      <w:r>
        <w:rPr>
          <w:rFonts w:hint="eastAsia" w:asciiTheme="minorEastAsia" w:hAnsiTheme="minorEastAsia" w:cstheme="minorEastAsia"/>
          <w:bCs/>
          <w:color w:val="000000" w:themeColor="text1"/>
          <w:sz w:val="24"/>
          <w:szCs w:val="24"/>
          <w14:textFill>
            <w14:solidFill>
              <w14:schemeClr w14:val="tx1"/>
            </w14:solidFill>
          </w14:textFill>
        </w:rPr>
        <w:t>自验收合格之日起</w:t>
      </w:r>
      <w:r>
        <w:rPr>
          <w:rFonts w:hint="eastAsia" w:asciiTheme="minorEastAsia" w:hAnsiTheme="minorEastAsia" w:cstheme="minorEastAsia"/>
          <w:bCs/>
          <w:sz w:val="24"/>
          <w:szCs w:val="24"/>
          <w:u w:val="single"/>
          <w:lang w:val="en-US" w:eastAsia="zh-CN"/>
        </w:rPr>
        <w:t xml:space="preserve"> 3 </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eastAsia="zh-CN"/>
        </w:rPr>
        <w:t>；</w:t>
      </w:r>
    </w:p>
    <w:p>
      <w:pPr>
        <w:widowControl/>
        <w:spacing w:line="460" w:lineRule="exact"/>
        <w:ind w:right="57" w:rightChars="27" w:firstLine="480" w:firstLineChars="200"/>
        <w:jc w:val="left"/>
        <w:rPr>
          <w:rFonts w:asciiTheme="minorEastAsia" w:hAnsiTheme="minorEastAsia" w:cstheme="minorEastAsia"/>
          <w:bCs/>
          <w:sz w:val="24"/>
          <w:szCs w:val="24"/>
        </w:rPr>
      </w:pPr>
      <w:r>
        <w:rPr>
          <w:rFonts w:hint="eastAsia" w:asciiTheme="minorEastAsia" w:hAnsiTheme="minorEastAsia" w:cstheme="minorEastAsia"/>
          <w:bCs/>
          <w:sz w:val="24"/>
          <w:szCs w:val="24"/>
        </w:rPr>
        <w:t>4、服务地点：西安医学院指定地点；</w:t>
      </w:r>
    </w:p>
    <w:p>
      <w:pPr>
        <w:widowControl/>
        <w:spacing w:line="460" w:lineRule="exact"/>
        <w:ind w:right="57" w:rightChars="27" w:firstLine="480" w:firstLineChars="200"/>
        <w:jc w:val="left"/>
        <w:rPr>
          <w:rFonts w:asciiTheme="minorEastAsia" w:hAnsiTheme="minorEastAsia" w:cstheme="minorEastAsia"/>
          <w:bCs/>
          <w:sz w:val="24"/>
          <w:szCs w:val="24"/>
          <w:highlight w:val="none"/>
        </w:rPr>
      </w:pPr>
      <w:r>
        <w:rPr>
          <w:rFonts w:asciiTheme="minorEastAsia" w:hAnsiTheme="minorEastAsia" w:cstheme="minorEastAsia"/>
          <w:bCs/>
          <w:sz w:val="24"/>
          <w:szCs w:val="24"/>
        </w:rPr>
        <w:t>5、</w:t>
      </w:r>
      <w:r>
        <w:rPr>
          <w:rFonts w:asciiTheme="minorEastAsia" w:hAnsiTheme="minorEastAsia" w:cstheme="minorEastAsia"/>
          <w:bCs/>
          <w:sz w:val="24"/>
          <w:szCs w:val="24"/>
          <w:highlight w:val="none"/>
        </w:rPr>
        <w:t>付款方式：</w:t>
      </w:r>
    </w:p>
    <w:p>
      <w:pPr>
        <w:widowControl/>
        <w:spacing w:line="460" w:lineRule="exact"/>
        <w:ind w:right="57" w:rightChars="27" w:firstLine="482" w:firstLineChars="200"/>
        <w:jc w:val="left"/>
        <w:rPr>
          <w:rFonts w:ascii="宋体" w:hAnsi="宋体" w:cs="宋体"/>
          <w:b/>
          <w:sz w:val="24"/>
          <w:szCs w:val="24"/>
          <w:highlight w:val="none"/>
        </w:rPr>
      </w:pPr>
      <w:r>
        <w:rPr>
          <w:rFonts w:ascii="宋体" w:hAnsi="宋体" w:cs="宋体"/>
          <w:b/>
          <w:sz w:val="24"/>
          <w:szCs w:val="24"/>
          <w:highlight w:val="none"/>
        </w:rPr>
        <w:t>（1）合同款的支付：</w:t>
      </w:r>
    </w:p>
    <w:p>
      <w:pPr>
        <w:widowControl/>
        <w:spacing w:line="460" w:lineRule="exact"/>
        <w:ind w:right="57" w:rightChars="27" w:firstLine="482" w:firstLineChars="200"/>
        <w:jc w:val="left"/>
        <w:rPr>
          <w:rFonts w:ascii="宋体" w:hAnsi="宋体" w:cs="宋体"/>
          <w:b/>
          <w:sz w:val="24"/>
          <w:szCs w:val="24"/>
          <w:highlight w:val="none"/>
        </w:rPr>
      </w:pPr>
      <w:r>
        <w:rPr>
          <w:rFonts w:hint="eastAsia" w:ascii="宋体" w:hAnsi="宋体" w:cs="宋体"/>
          <w:b/>
          <w:sz w:val="24"/>
          <w:szCs w:val="24"/>
          <w:highlight w:val="none"/>
          <w:lang w:val="en-US" w:eastAsia="zh-CN"/>
        </w:rPr>
        <w:t>合同签订时</w:t>
      </w:r>
      <w:r>
        <w:rPr>
          <w:rFonts w:ascii="宋体" w:hAnsi="宋体" w:cs="宋体"/>
          <w:b/>
          <w:sz w:val="24"/>
          <w:szCs w:val="24"/>
          <w:highlight w:val="none"/>
        </w:rPr>
        <w:t>收取中标价10%的项目完善费用。按项目要求，功能均实现且用户满意，可进行预验收，预验收合格后，支付合同总款项的50%；经试运行后，可进行验收，验收合格后支付合同总款项的50%。项目完善费用待项目实施完成后无息退还。</w:t>
      </w:r>
    </w:p>
    <w:p>
      <w:pPr>
        <w:widowControl/>
        <w:spacing w:line="360" w:lineRule="auto"/>
        <w:ind w:right="57" w:rightChars="27" w:firstLine="482" w:firstLineChars="200"/>
        <w:jc w:val="left"/>
        <w:rPr>
          <w:rFonts w:ascii="宋体" w:hAnsi="宋体" w:cs="宋体"/>
          <w:b/>
          <w:sz w:val="24"/>
          <w:szCs w:val="24"/>
          <w:highlight w:val="yellow"/>
        </w:rPr>
      </w:pPr>
      <w:r>
        <w:rPr>
          <w:rFonts w:ascii="宋体" w:hAnsi="宋体" w:cs="宋体"/>
          <w:b/>
          <w:sz w:val="24"/>
          <w:szCs w:val="24"/>
          <w:highlight w:val="none"/>
        </w:rPr>
        <w:t>（2）结算方式：银行转账。</w:t>
      </w:r>
    </w:p>
    <w:p>
      <w:pPr>
        <w:bidi w:val="0"/>
        <w:spacing w:line="360" w:lineRule="auto"/>
        <w:ind w:firstLine="480" w:firstLineChars="200"/>
        <w:rPr>
          <w:rFonts w:hint="eastAsia"/>
        </w:rPr>
      </w:pPr>
      <w:r>
        <w:rPr>
          <w:rFonts w:hint="eastAsia" w:eastAsia="宋体" w:asciiTheme="minorEastAsia" w:hAnsiTheme="minorEastAsia" w:cstheme="minorEastAsia"/>
          <w:bCs/>
          <w:sz w:val="24"/>
          <w:szCs w:val="24"/>
        </w:rPr>
        <w:t>6、其他商务要求：详见第六部分合同条款。</w:t>
      </w:r>
    </w:p>
    <w:p>
      <w:pPr>
        <w:pStyle w:val="16"/>
        <w:jc w:val="left"/>
        <w:rPr>
          <w:rFonts w:hint="eastAsia" w:eastAsiaTheme="majorEastAsia"/>
          <w:sz w:val="28"/>
          <w:szCs w:val="28"/>
          <w:lang w:val="en-US" w:eastAsia="zh-CN"/>
        </w:rPr>
      </w:pPr>
      <w:bookmarkStart w:id="131" w:name="_Toc22411"/>
      <w:r>
        <w:rPr>
          <w:rFonts w:hint="eastAsia"/>
          <w:sz w:val="28"/>
          <w:szCs w:val="28"/>
          <w:lang w:val="en-US" w:eastAsia="zh-CN"/>
        </w:rPr>
        <w:t>二</w:t>
      </w:r>
      <w:r>
        <w:rPr>
          <w:rFonts w:hint="eastAsia"/>
          <w:sz w:val="28"/>
          <w:szCs w:val="28"/>
        </w:rPr>
        <w:t>、</w:t>
      </w:r>
      <w:r>
        <w:rPr>
          <w:rFonts w:hint="eastAsia"/>
          <w:sz w:val="28"/>
          <w:szCs w:val="28"/>
          <w:lang w:val="en-US" w:eastAsia="zh-CN"/>
        </w:rPr>
        <w:t>技术要求</w:t>
      </w:r>
      <w:bookmarkEnd w:id="131"/>
    </w:p>
    <w:p>
      <w:pPr>
        <w:pStyle w:val="16"/>
        <w:jc w:val="left"/>
        <w:rPr>
          <w:rFonts w:hint="eastAsia" w:asciiTheme="minorEastAsia" w:hAnsiTheme="minorEastAsia" w:eastAsiaTheme="minorEastAsia" w:cstheme="minorEastAsia"/>
          <w:sz w:val="24"/>
          <w:szCs w:val="24"/>
        </w:rPr>
      </w:pPr>
      <w:bookmarkStart w:id="132" w:name="_Toc12570"/>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建设背景</w:t>
      </w:r>
      <w:bookmarkEnd w:id="132"/>
    </w:p>
    <w:p>
      <w:pPr>
        <w:pStyle w:val="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教育现代化2035》中明确了推进教育现代化的指导思想、总体目标和战略任务。到2035年，我国要实现迈入教育强国行列的总体目标，实现高等教育竞争力明显提升的主要发展目标。为此部署了发展中国特色世界先进水平优质教育的战略任务，完善教育质量标准体系，制定覆盖全学段、体现世界先进水平、符合不同层次类型教育特点的教育质量标准，明确学生发展核心素养要求。</w:t>
      </w:r>
    </w:p>
    <w:p>
      <w:pPr>
        <w:pStyle w:val="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化新时代教育评价改革总体方案》提出，坚持科学有效，改进结果评价，强化过程评价，探索增值评价，健全综合评价，充分利用信息技术，提高教育评价的科学性、专业性、客观性。普通高等学校本科教育教学审核评估实施方案（2021—2025年）明确提出了对教学质量保障的高要求，会重点考察高校的“自我评价机制、评价结果反馈机制、质量改进机制的建立与运行情况”。</w:t>
      </w:r>
    </w:p>
    <w:p>
      <w:pPr>
        <w:pStyle w:val="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此，西安医学院采取多项措施，进一步提升学院教育教学质量，巩固深化教学成果。学校制定了《西安医学院教学工作规程》等一系列教学管理规章制度，也实施了涵盖一流本科专业建设、课程建设、课堂教学、课程考核等教学各环节质量标准及评价办法，为规范教学工作，保障教学质量提供了依据。此次项目实施通过对教学状态数据的深层次分析，结合我校各项质量标准和若干质量活动监测点，能够实现对人才培养全过程的动态质量监测和保障。</w:t>
      </w:r>
    </w:p>
    <w:p>
      <w:pPr>
        <w:pStyle w:val="16"/>
        <w:jc w:val="left"/>
        <w:rPr>
          <w:rFonts w:hint="eastAsia" w:asciiTheme="minorEastAsia" w:hAnsiTheme="minorEastAsia" w:eastAsiaTheme="minorEastAsia" w:cstheme="minorEastAsia"/>
          <w:sz w:val="24"/>
          <w:szCs w:val="24"/>
        </w:rPr>
      </w:pPr>
      <w:bookmarkStart w:id="133" w:name="_Toc147"/>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建设目标</w:t>
      </w:r>
      <w:bookmarkEnd w:id="133"/>
    </w:p>
    <w:p>
      <w:pPr>
        <w:pStyle w:val="8"/>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建立健全我校教学质量保障体系，不断深化教育教学改革，进一步夯实本科教育的内涵和根基，开展教学质量监测与评估系统项目建设。利用信息化技术进行数据多维分析和挖掘将学校全面运行状态实时地展现出来，循数管理、循证决策，促进“制度保障、过程监测、精准反馈、有效改进、持续跟踪”的闭环运行机制的形成，将“事后把关”转变为“事前控制”为主，便于教育教学过程的监督与管理。</w:t>
      </w:r>
    </w:p>
    <w:p>
      <w:pPr>
        <w:pStyle w:val="8"/>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在项目的建设过程中应坚持“立足当下，考虑长远”原则，系统采用分层次、模块化设计，便于功能扩展和升级。实现与我校现有智慧校园平台及有关系统的无缝对接。具体目标如下：</w:t>
      </w:r>
    </w:p>
    <w:p>
      <w:pPr>
        <w:pStyle w:val="8"/>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1.建成教学质量数据中心（</w:t>
      </w:r>
      <w:r>
        <w:rPr>
          <w:rFonts w:hint="eastAsia" w:asciiTheme="minorEastAsia" w:hAnsiTheme="minorEastAsia" w:eastAsiaTheme="minorEastAsia" w:cstheme="minorEastAsia"/>
          <w:color w:val="auto"/>
          <w:sz w:val="24"/>
          <w:szCs w:val="24"/>
        </w:rPr>
        <w:t>教学基本状态数据库</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），满足各类数据上报要求。能够及时发现数据及数据之间的问题并进行修正，方便查阅和调取需要的数据和统计分析结果，保证数据的准确性和统一性。</w:t>
      </w:r>
    </w:p>
    <w:p>
      <w:pPr>
        <w:pStyle w:val="8"/>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实现教学数据常态化监测。实时展现我校教学运行状态，及时发现各环节中出现问题或潜在的异常，通过短信、微信等方式通知到人，将教学质量保障从“事后把关”转变为“事前控制”为主，实现教育教学过程的监督与管理。</w:t>
      </w:r>
    </w:p>
    <w:p>
      <w:pPr>
        <w:pStyle w:val="8"/>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实现学校内外部线上评估。通过定性、定量或定性定量相结合的方式，实现对外部审核评估工作的有效支撑，并能够按照相关指标要求定期对二级教学单位、基层教学组织、专业、课程开展专项评估工作，避免重复采集数据，实现线上评估，有效反馈和分析等，并以可视化图表或数据分析报告等方式展现，便于评估的跟踪与改进。</w:t>
      </w:r>
    </w:p>
    <w:p>
      <w:pPr>
        <w:pStyle w:val="8"/>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实现教学质量过程监测。系统包含但不限于学生评教、教师评学、“可视化督导”、随堂评教、问卷调查、学生信息员等过程监控手段，可在线评价、追溯、跟踪、反馈、分析。定期分析教学行为、评价效果，为学校教学质量改进提供依据，帮助学校构建课堂教学质量评价、反馈、问题整改、持续改进的跟踪评价机制。“可视化督导”包括但不限于督导听课、指导教研活动、评审各类材料、评比竞赛等。</w:t>
      </w:r>
    </w:p>
    <w:p>
      <w:pPr>
        <w:pStyle w:val="8"/>
        <w:numPr>
          <w:ilvl w:val="0"/>
          <w:numId w:val="0"/>
        </w:num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对标教育教学审核评估指标体系，能够针对审核评估工作提前进行全方位把脉和摸底，方便开展自评工作，为正式评估打下坚实基础。服务内容深入到二级教学单位及专业层面，有利于更好地识别教学与管理过程中的问题，为评估工作提供坚实的数据支持。</w:t>
      </w:r>
    </w:p>
    <w:p>
      <w:pPr>
        <w:pStyle w:val="16"/>
        <w:jc w:val="left"/>
        <w:rPr>
          <w:rFonts w:hint="eastAsia" w:asciiTheme="minorEastAsia" w:hAnsiTheme="minorEastAsia" w:eastAsiaTheme="minorEastAsia" w:cstheme="minorEastAsia"/>
          <w:sz w:val="24"/>
          <w:szCs w:val="24"/>
        </w:rPr>
      </w:pPr>
      <w:bookmarkStart w:id="134" w:name="_Toc14247"/>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建设内容清单</w:t>
      </w:r>
      <w:bookmarkEnd w:id="134"/>
    </w:p>
    <w:tbl>
      <w:tblPr>
        <w:tblStyle w:val="18"/>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063"/>
        <w:gridCol w:w="3812"/>
        <w:gridCol w:w="70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83" w:type="dxa"/>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063" w:type="dxa"/>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子项目名称</w:t>
            </w:r>
          </w:p>
        </w:tc>
        <w:tc>
          <w:tcPr>
            <w:tcW w:w="3812" w:type="dxa"/>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主要内容</w:t>
            </w:r>
          </w:p>
        </w:tc>
        <w:tc>
          <w:tcPr>
            <w:tcW w:w="708" w:type="dxa"/>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79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8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63" w:type="dxa"/>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教学质量监测</w:t>
            </w:r>
          </w:p>
        </w:tc>
        <w:tc>
          <w:tcPr>
            <w:tcW w:w="3812" w:type="dxa"/>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高等教育质量监测国家数据平台</w:t>
            </w:r>
            <w:r>
              <w:rPr>
                <w:rFonts w:hint="eastAsia" w:asciiTheme="minorEastAsia" w:hAnsiTheme="minorEastAsia" w:eastAsiaTheme="minorEastAsia" w:cstheme="minorEastAsia"/>
                <w:color w:val="auto"/>
                <w:sz w:val="24"/>
                <w:szCs w:val="24"/>
              </w:rPr>
              <w:t>、数据采集、教学质量报告、资源检索、监控分析。</w:t>
            </w:r>
          </w:p>
        </w:tc>
        <w:tc>
          <w:tcPr>
            <w:tcW w:w="70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799"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63"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教育教学审核评估</w:t>
            </w:r>
          </w:p>
        </w:tc>
        <w:tc>
          <w:tcPr>
            <w:tcW w:w="3812"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教学文档管理、自评自建过程管理、审核评估自评、审核评估整改等，涵盖审核评估所有内容，并及时更新相关内容。</w:t>
            </w:r>
          </w:p>
        </w:tc>
        <w:tc>
          <w:tcPr>
            <w:tcW w:w="70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799"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063"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校内专项评估</w:t>
            </w:r>
          </w:p>
        </w:tc>
        <w:tc>
          <w:tcPr>
            <w:tcW w:w="3812"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二级教学单位评估、基层教学组织评估、专业评估、课程评估。</w:t>
            </w:r>
          </w:p>
        </w:tc>
        <w:tc>
          <w:tcPr>
            <w:tcW w:w="70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799"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63"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教学质量评价</w:t>
            </w:r>
          </w:p>
        </w:tc>
        <w:tc>
          <w:tcPr>
            <w:tcW w:w="3812"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基础数据与标准管理、课程评价（督导、同行、</w:t>
            </w:r>
            <w:r>
              <w:rPr>
                <w:rFonts w:hint="eastAsia" w:asciiTheme="minorEastAsia" w:hAnsiTheme="minorEastAsia" w:eastAsiaTheme="minorEastAsia" w:cstheme="minorEastAsia"/>
                <w:sz w:val="24"/>
                <w:szCs w:val="24"/>
                <w:lang w:val="en-US" w:eastAsia="zh-CN"/>
              </w:rPr>
              <w:t>管理者</w:t>
            </w:r>
            <w:r>
              <w:rPr>
                <w:rFonts w:hint="eastAsia" w:asciiTheme="minorEastAsia" w:hAnsiTheme="minorEastAsia" w:eastAsiaTheme="minorEastAsia" w:cstheme="minorEastAsia"/>
                <w:color w:val="auto"/>
                <w:sz w:val="24"/>
                <w:szCs w:val="24"/>
              </w:rPr>
              <w:t>）、学生评教、教师评学、教学质量问卷、</w:t>
            </w:r>
            <w:r>
              <w:rPr>
                <w:rFonts w:hint="eastAsia" w:asciiTheme="minorEastAsia" w:hAnsiTheme="minorEastAsia" w:eastAsiaTheme="minorEastAsia" w:cstheme="minorEastAsia"/>
                <w:color w:val="auto"/>
                <w:sz w:val="24"/>
                <w:szCs w:val="24"/>
                <w:lang w:val="en-US" w:eastAsia="zh-CN"/>
              </w:rPr>
              <w:t>教学督导资料库、</w:t>
            </w:r>
            <w:r>
              <w:rPr>
                <w:rFonts w:hint="eastAsia" w:asciiTheme="minorEastAsia" w:hAnsiTheme="minorEastAsia" w:eastAsiaTheme="minorEastAsia" w:cstheme="minorEastAsia"/>
                <w:color w:val="auto"/>
                <w:sz w:val="24"/>
                <w:szCs w:val="24"/>
              </w:rPr>
              <w:t>信息员管理、教师教学质量考核、数据可视化</w:t>
            </w:r>
            <w:r>
              <w:rPr>
                <w:rFonts w:hint="eastAsia" w:asciiTheme="minorEastAsia" w:hAnsiTheme="minorEastAsia" w:eastAsiaTheme="minorEastAsia" w:cstheme="minorEastAsia"/>
                <w:sz w:val="24"/>
                <w:szCs w:val="24"/>
              </w:rPr>
              <w:t>展示、移动终端。</w:t>
            </w:r>
          </w:p>
        </w:tc>
        <w:tc>
          <w:tcPr>
            <w:tcW w:w="70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79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063"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自定义用户报告</w:t>
            </w:r>
          </w:p>
        </w:tc>
        <w:tc>
          <w:tcPr>
            <w:tcW w:w="3812"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指标管理、指标检索、数据源管理、模板管理、报告生成管理。</w:t>
            </w:r>
          </w:p>
        </w:tc>
        <w:tc>
          <w:tcPr>
            <w:tcW w:w="70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799"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063"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第三方调研数据举证报告</w:t>
            </w:r>
          </w:p>
        </w:tc>
        <w:tc>
          <w:tcPr>
            <w:tcW w:w="3812"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在校生学习体验调查报告、教师教学体验调查报告。</w:t>
            </w:r>
          </w:p>
        </w:tc>
        <w:tc>
          <w:tcPr>
            <w:tcW w:w="70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w:t>
            </w:r>
          </w:p>
        </w:tc>
        <w:tc>
          <w:tcPr>
            <w:tcW w:w="799" w:type="dxa"/>
            <w:vAlign w:val="center"/>
          </w:tcPr>
          <w:p>
            <w:pPr>
              <w:spacing w:line="360" w:lineRule="auto"/>
              <w:jc w:val="center"/>
              <w:rPr>
                <w:rFonts w:hint="eastAsia" w:asciiTheme="minorEastAsia" w:hAnsiTheme="minorEastAsia" w:eastAsiaTheme="minorEastAsia" w:cstheme="minorEastAsia"/>
                <w:sz w:val="24"/>
                <w:szCs w:val="24"/>
              </w:rPr>
            </w:pPr>
          </w:p>
        </w:tc>
      </w:tr>
    </w:tbl>
    <w:p>
      <w:pPr>
        <w:pStyle w:val="16"/>
        <w:jc w:val="left"/>
        <w:rPr>
          <w:rFonts w:hint="default" w:asciiTheme="minorEastAsia" w:hAnsiTheme="minorEastAsia" w:eastAsiaTheme="minorEastAsia" w:cstheme="minorEastAsia"/>
          <w:sz w:val="24"/>
          <w:szCs w:val="24"/>
          <w:highlight w:val="red"/>
          <w:lang w:val="en-US" w:eastAsia="zh-CN"/>
        </w:rPr>
      </w:pPr>
      <w:bookmarkStart w:id="135" w:name="_Toc13342"/>
      <w:r>
        <w:rPr>
          <w:rFonts w:hint="eastAsia" w:asciiTheme="minorEastAsia" w:hAnsiTheme="minorEastAsia" w:eastAsiaTheme="minorEastAsia" w:cstheme="minorEastAsia"/>
          <w:sz w:val="24"/>
          <w:szCs w:val="24"/>
          <w:highlight w:val="none"/>
          <w:lang w:val="en-US" w:eastAsia="zh-CN"/>
        </w:rPr>
        <w:t>注：所有建设名称及内容均以校方使用需求为准，投标商根据需求内容响应。</w:t>
      </w:r>
    </w:p>
    <w:p>
      <w:pPr>
        <w:pStyle w:val="1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建设内容</w:t>
      </w:r>
      <w:bookmarkEnd w:id="135"/>
    </w:p>
    <w:p>
      <w:pPr>
        <w:pStyle w:val="3"/>
        <w:spacing w:before="156" w:beforeLines="50" w:after="156" w:afterLines="5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本项目详细建设内容见下表：</w:t>
      </w:r>
    </w:p>
    <w:tbl>
      <w:tblPr>
        <w:tblStyle w:val="19"/>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54"/>
        <w:gridCol w:w="6126"/>
        <w:gridCol w:w="451"/>
        <w:gridCol w:w="517"/>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81" w:type="dxa"/>
            <w:vAlign w:val="center"/>
          </w:tcPr>
          <w:p>
            <w:pPr>
              <w:pStyle w:val="3"/>
              <w:spacing w:after="0"/>
              <w:ind w:left="0" w:leftChars="0"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54" w:type="dxa"/>
            <w:vAlign w:val="center"/>
          </w:tcPr>
          <w:p>
            <w:pPr>
              <w:pStyle w:val="3"/>
              <w:spacing w:after="0"/>
              <w:ind w:left="0" w:leftChars="0" w:firstLine="0" w:firstLineChars="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名称</w:t>
            </w:r>
          </w:p>
        </w:tc>
        <w:tc>
          <w:tcPr>
            <w:tcW w:w="6126" w:type="dxa"/>
            <w:vAlign w:val="center"/>
          </w:tcPr>
          <w:p>
            <w:pPr>
              <w:pStyle w:val="3"/>
              <w:spacing w:after="0"/>
              <w:ind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具体建设内容</w:t>
            </w:r>
          </w:p>
        </w:tc>
        <w:tc>
          <w:tcPr>
            <w:tcW w:w="451" w:type="dxa"/>
            <w:vAlign w:val="center"/>
          </w:tcPr>
          <w:p>
            <w:pPr>
              <w:pStyle w:val="3"/>
              <w:spacing w:after="0"/>
              <w:ind w:left="0" w:leftChars="0" w:firstLine="0" w:firstLineChars="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w:t>
            </w:r>
          </w:p>
        </w:tc>
        <w:tc>
          <w:tcPr>
            <w:tcW w:w="517" w:type="dxa"/>
            <w:vAlign w:val="center"/>
          </w:tcPr>
          <w:p>
            <w:pPr>
              <w:pStyle w:val="3"/>
              <w:spacing w:after="0"/>
              <w:ind w:left="0" w:leftChars="0"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517" w:type="dxa"/>
            <w:vAlign w:val="center"/>
          </w:tcPr>
          <w:p>
            <w:pPr>
              <w:pStyle w:val="3"/>
              <w:spacing w:after="0"/>
              <w:ind w:firstLine="0"/>
              <w:jc w:val="center"/>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1" w:type="dxa"/>
            <w:vAlign w:val="center"/>
          </w:tcPr>
          <w:p>
            <w:pPr>
              <w:pStyle w:val="3"/>
              <w:spacing w:after="0"/>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54" w:type="dxa"/>
            <w:vAlign w:val="center"/>
          </w:tcPr>
          <w:p>
            <w:pPr>
              <w:pStyle w:val="3"/>
              <w:spacing w:after="0"/>
              <w:ind w:left="0" w:leftChars="0" w:firstLine="0" w:firstLineChars="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教学质量监测</w:t>
            </w:r>
          </w:p>
        </w:tc>
        <w:tc>
          <w:tcPr>
            <w:tcW w:w="6126" w:type="dxa"/>
          </w:tcPr>
          <w:p>
            <w:pPr>
              <w:pStyle w:val="3"/>
              <w:spacing w:after="0"/>
              <w:ind w:firstLine="0"/>
              <w:rPr>
                <w:rFonts w:hint="eastAsia" w:asciiTheme="minorEastAsia" w:hAnsiTheme="minorEastAsia" w:eastAsiaTheme="minorEastAsia" w:cstheme="minorEastAsia"/>
                <w:b/>
                <w:bCs/>
                <w:color w:val="C00000"/>
                <w:sz w:val="24"/>
                <w:szCs w:val="24"/>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高等教育质量监测国家数据平台</w:t>
            </w:r>
            <w:r>
              <w:rPr>
                <w:rFonts w:hint="eastAsia" w:asciiTheme="minorEastAsia" w:hAnsiTheme="minorEastAsia" w:eastAsiaTheme="minorEastAsia" w:cstheme="minorEastAsia"/>
                <w:b w:val="0"/>
                <w:bCs w:val="0"/>
                <w:color w:val="auto"/>
                <w:sz w:val="24"/>
                <w:szCs w:val="24"/>
              </w:rPr>
              <w:t>：</w:t>
            </w:r>
          </w:p>
          <w:p>
            <w:pPr>
              <w:pStyle w:val="3"/>
              <w:spacing w:after="0"/>
              <w:ind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（1）按照教育部</w:t>
            </w:r>
            <w:r>
              <w:rPr>
                <w:rFonts w:hint="eastAsia" w:asciiTheme="minorEastAsia" w:hAnsiTheme="minorEastAsia" w:eastAsiaTheme="minorEastAsia" w:cstheme="minorEastAsia"/>
                <w:color w:val="auto"/>
                <w:sz w:val="24"/>
                <w:szCs w:val="24"/>
                <w:lang w:eastAsia="zh-CN"/>
              </w:rPr>
              <w:t>高等教育质量监测国家数据平台（以下简称为国家数据平台）</w:t>
            </w:r>
            <w:r>
              <w:rPr>
                <w:rFonts w:hint="eastAsia" w:asciiTheme="minorEastAsia" w:hAnsiTheme="minorEastAsia" w:eastAsiaTheme="minorEastAsia" w:cstheme="minorEastAsia"/>
                <w:color w:val="auto"/>
                <w:sz w:val="24"/>
                <w:szCs w:val="24"/>
              </w:rPr>
              <w:t>表格及自定义表格进行分类管理，并能随着</w:t>
            </w:r>
            <w:r>
              <w:rPr>
                <w:rFonts w:hint="eastAsia" w:asciiTheme="minorEastAsia" w:hAnsiTheme="minorEastAsia" w:eastAsiaTheme="minorEastAsia" w:cstheme="minorEastAsia"/>
                <w:color w:val="auto"/>
                <w:sz w:val="24"/>
                <w:szCs w:val="24"/>
                <w:lang w:eastAsia="zh-CN"/>
              </w:rPr>
              <w:t>平台数据表格的更新而更新，能够根据学校</w:t>
            </w:r>
            <w:r>
              <w:rPr>
                <w:rFonts w:hint="eastAsia" w:asciiTheme="minorEastAsia" w:hAnsiTheme="minorEastAsia" w:eastAsiaTheme="minorEastAsia" w:cstheme="minorEastAsia"/>
                <w:color w:val="auto"/>
                <w:sz w:val="24"/>
                <w:szCs w:val="24"/>
              </w:rPr>
              <w:t>发展</w:t>
            </w:r>
            <w:r>
              <w:rPr>
                <w:rFonts w:hint="eastAsia" w:asciiTheme="minorEastAsia" w:hAnsiTheme="minorEastAsia" w:eastAsiaTheme="minorEastAsia" w:cstheme="minorEastAsia"/>
                <w:color w:val="auto"/>
                <w:sz w:val="24"/>
                <w:szCs w:val="24"/>
                <w:lang w:eastAsia="zh-CN"/>
              </w:rPr>
              <w:t>和要求</w:t>
            </w:r>
            <w:r>
              <w:rPr>
                <w:rFonts w:hint="eastAsia" w:asciiTheme="minorEastAsia" w:hAnsiTheme="minorEastAsia" w:eastAsiaTheme="minorEastAsia" w:cstheme="minorEastAsia"/>
                <w:color w:val="auto"/>
                <w:sz w:val="24"/>
                <w:szCs w:val="24"/>
              </w:rPr>
              <w:t>而方便地新增、修改、删除</w:t>
            </w:r>
            <w:r>
              <w:rPr>
                <w:rFonts w:hint="eastAsia" w:asciiTheme="minorEastAsia" w:hAnsiTheme="minorEastAsia" w:eastAsiaTheme="minorEastAsia" w:cstheme="minorEastAsia"/>
                <w:color w:val="auto"/>
                <w:sz w:val="24"/>
                <w:szCs w:val="24"/>
                <w:lang w:eastAsia="zh-CN"/>
              </w:rPr>
              <w:t>各类表格</w:t>
            </w:r>
            <w:r>
              <w:rPr>
                <w:rFonts w:hint="eastAsia" w:asciiTheme="minorEastAsia" w:hAnsiTheme="minorEastAsia" w:eastAsiaTheme="minorEastAsia" w:cstheme="minorEastAsia"/>
                <w:color w:val="auto"/>
                <w:sz w:val="24"/>
                <w:szCs w:val="24"/>
              </w:rPr>
              <w:t>。</w:t>
            </w:r>
          </w:p>
          <w:p>
            <w:pPr>
              <w:pStyle w:val="3"/>
              <w:spacing w:after="0"/>
              <w:ind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（2）每个数据分类下可以自由创建各类数据表，表格中字段名称、字段类型、字段显示方式、顺序、是否上报等都可以方便、良好地设置与展示筛选，可按字段设置部门权限，并对字段设置数据字典。</w:t>
            </w:r>
          </w:p>
          <w:p>
            <w:pPr>
              <w:pStyle w:val="3"/>
              <w:spacing w:after="0"/>
              <w:ind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（3）教学基本状态数据库的指标内涵要与</w:t>
            </w:r>
            <w:r>
              <w:rPr>
                <w:rFonts w:hint="eastAsia" w:asciiTheme="minorEastAsia" w:hAnsiTheme="minorEastAsia" w:eastAsiaTheme="minorEastAsia" w:cstheme="minorEastAsia"/>
                <w:color w:val="auto"/>
                <w:sz w:val="24"/>
                <w:szCs w:val="24"/>
                <w:lang w:eastAsia="zh-CN"/>
              </w:rPr>
              <w:t>国家数据平台</w:t>
            </w:r>
            <w:r>
              <w:rPr>
                <w:rFonts w:hint="eastAsia" w:asciiTheme="minorEastAsia" w:hAnsiTheme="minorEastAsia" w:eastAsiaTheme="minorEastAsia" w:cstheme="minorEastAsia"/>
                <w:color w:val="auto"/>
                <w:sz w:val="24"/>
                <w:szCs w:val="24"/>
              </w:rPr>
              <w:t>要求一致，保证数据的标准化，数据校验规则与</w:t>
            </w:r>
            <w:r>
              <w:rPr>
                <w:rFonts w:hint="eastAsia" w:asciiTheme="minorEastAsia" w:hAnsiTheme="minorEastAsia" w:eastAsiaTheme="minorEastAsia" w:cstheme="minorEastAsia"/>
                <w:color w:val="auto"/>
                <w:sz w:val="24"/>
                <w:szCs w:val="24"/>
                <w:lang w:eastAsia="zh-CN"/>
              </w:rPr>
              <w:t>国家数据平台</w:t>
            </w:r>
            <w:r>
              <w:rPr>
                <w:rFonts w:hint="eastAsia" w:asciiTheme="minorEastAsia" w:hAnsiTheme="minorEastAsia" w:eastAsiaTheme="minorEastAsia" w:cstheme="minorEastAsia"/>
                <w:color w:val="auto"/>
                <w:sz w:val="24"/>
                <w:szCs w:val="24"/>
              </w:rPr>
              <w:t>完全一致，并跟随</w:t>
            </w:r>
            <w:r>
              <w:rPr>
                <w:rFonts w:hint="eastAsia" w:asciiTheme="minorEastAsia" w:hAnsiTheme="minorEastAsia" w:eastAsiaTheme="minorEastAsia" w:cstheme="minorEastAsia"/>
                <w:color w:val="auto"/>
                <w:sz w:val="24"/>
                <w:szCs w:val="24"/>
                <w:lang w:eastAsia="zh-CN"/>
              </w:rPr>
              <w:t>国家数据平台</w:t>
            </w:r>
            <w:r>
              <w:rPr>
                <w:rFonts w:hint="eastAsia" w:asciiTheme="minorEastAsia" w:hAnsiTheme="minorEastAsia" w:eastAsiaTheme="minorEastAsia" w:cstheme="minorEastAsia"/>
                <w:color w:val="auto"/>
                <w:sz w:val="24"/>
                <w:szCs w:val="24"/>
              </w:rPr>
              <w:t>更新而更新；其他的校验规则可根据表格数据指标内涵对应灵活添加，支持自定义校验等功能。</w:t>
            </w:r>
          </w:p>
          <w:p>
            <w:pPr>
              <w:pStyle w:val="3"/>
              <w:spacing w:after="0"/>
              <w:ind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（4）用户可自定义建表，具备新增、修改、删除、导入、导出、查询等功能；系统可在线填报，Excel模板导入，支持 word、excel、pdf 等格式的文档上传，数据能同步更新，应具有较强的扩展性。</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（5）数据</w:t>
            </w:r>
            <w:r>
              <w:rPr>
                <w:rFonts w:hint="eastAsia" w:asciiTheme="minorEastAsia" w:hAnsiTheme="minorEastAsia" w:eastAsiaTheme="minorEastAsia" w:cstheme="minorEastAsia"/>
                <w:color w:val="000000" w:themeColor="text1"/>
                <w:sz w:val="24"/>
                <w:szCs w:val="24"/>
                <w14:textFill>
                  <w14:solidFill>
                    <w14:schemeClr w14:val="tx1"/>
                  </w14:solidFill>
                </w14:textFill>
              </w:rPr>
              <w:t>仓</w:t>
            </w:r>
            <w:r>
              <w:rPr>
                <w:rFonts w:hint="eastAsia" w:asciiTheme="minorEastAsia" w:hAnsiTheme="minorEastAsia" w:eastAsiaTheme="minorEastAsia" w:cstheme="minorEastAsia"/>
                <w:sz w:val="24"/>
                <w:szCs w:val="24"/>
              </w:rPr>
              <w:t>库内表格可进行复制创建副本，也可移动表格，将其移动到其他的分类中，还可在线进行字段设计和设置校验规则，选择是否启用。</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（6）提供“高等教育质量监测国家数据平台”所有表格的拆分表，表格中的统计项需拆分符合业务逻辑的拆分明细表，能够根据明细表自动生成统计表数据进行上报，所有整理的数据都可以分权限方便导出。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（7）能够实现将数据按照表</w:t>
            </w:r>
            <w:r>
              <w:rPr>
                <w:rFonts w:hint="eastAsia" w:asciiTheme="minorEastAsia" w:hAnsiTheme="minorEastAsia" w:eastAsiaTheme="minorEastAsia" w:cstheme="minorEastAsia"/>
                <w:sz w:val="24"/>
                <w:szCs w:val="24"/>
                <w:lang w:eastAsia="zh-CN"/>
              </w:rPr>
              <w:t>格</w:t>
            </w:r>
            <w:r>
              <w:rPr>
                <w:rFonts w:hint="eastAsia" w:asciiTheme="minorEastAsia" w:hAnsiTheme="minorEastAsia" w:eastAsiaTheme="minorEastAsia" w:cstheme="minorEastAsia"/>
                <w:sz w:val="24"/>
                <w:szCs w:val="24"/>
              </w:rPr>
              <w:t>类型、统计时间分类导出，可导出excel形式原始数据。实现历史填报数据检索功能；可通过填报专业、年份等维度进行历史数据查询。</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（8）数据仓库也包含各类支撑材料，可根据不同部门分类归档，能够按照关键字搜索，可选择导出。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（9）可对数据表权限进行设置，设置数据操作权限和数据查看权限，权限可细分到表格字段级，同一字段可设置不同部门。</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表权限设置一张表可以分配给不同的部门去填报，一张表不同字段也可以分配给不同的部门去填报，且后一个填报人填报这张表的其他字段数据时，下载模板中应自动附带前面字段填报人填报的数据，即可选择优先级录入，确保数据权威性，也可选择各种字段采用过滤条件过滤。</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(11)要求系统实现线下数据的录入，方便不同时间段数据对比分析。</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2.数据采集：</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（1）新建数据采集任务时可自定任务名称，选择任务类型如</w:t>
            </w:r>
            <w:r>
              <w:rPr>
                <w:rFonts w:hint="eastAsia" w:asciiTheme="minorEastAsia" w:hAnsiTheme="minorEastAsia" w:eastAsiaTheme="minorEastAsia" w:cstheme="minorEastAsia"/>
                <w:color w:val="auto"/>
                <w:sz w:val="24"/>
                <w:szCs w:val="24"/>
                <w:lang w:eastAsia="zh-CN"/>
              </w:rPr>
              <w:t>国家数据平台</w:t>
            </w:r>
            <w:r>
              <w:rPr>
                <w:rFonts w:hint="eastAsia" w:asciiTheme="minorEastAsia" w:hAnsiTheme="minorEastAsia" w:eastAsiaTheme="minorEastAsia" w:cstheme="minorEastAsia"/>
                <w:sz w:val="24"/>
                <w:szCs w:val="24"/>
              </w:rPr>
              <w:t>数据表、自定义表等，选择统计时间后系统能自动识别生成学年和自然年时间。</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（2）数据采集通过手动或定时自动同步数据，如所需基础数据尚不完善，必须提供合理有效的方式采集相关数据，如手动采集等。手动采集必须提供完善的采集填报流程，管理员需具备以下功能：</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自定义校验规则，自定义数据采集与审核流程，具有多级审核设置功能，数据采集完成后，数据先由部门审核，通过后提交至管理员进行校级审核，审核不通过时，系统会要求管理员输入未通过理由，并将数据连同理由返回给填报人员，填报人员可以修正数据并再次提交审核；</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2）数据采集人员登录系统，能够根据权限下载相应字段的模板，页面提示需填报指标内涵，各数据采集人员可进行导入数据；</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3）数据审核：数据审核员进行审核，可以查看并导出入库数据，且支持对入库数据选择多个字段进行统计分析，并导出统计结果，审核通过即入库；</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可设置数据异常提醒功能，实现对异常数据与教育部标准数据间差异原因的说明，并教育部数据标准实现实时更新。如：数据异常功能设置、数据范围设置、数据异常说明等，相关人员可根据自身表格权限，能够查看数据异常情况，以及导出数据异常表格，提升数据准确性。</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5）可查看数据采集进度，通过状态库表、采集人、审核人、单位等高级条件查询筛选，重置。也可退回表格至采集员、审核员；</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6）管理员可进行多角色切换。</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3.教学质量报告：</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（1）实现以教育</w:t>
            </w:r>
            <w:r>
              <w:rPr>
                <w:rFonts w:hint="eastAsia" w:asciiTheme="minorEastAsia" w:hAnsiTheme="minorEastAsia" w:eastAsiaTheme="minorEastAsia" w:cstheme="minorEastAsia"/>
                <w:color w:val="auto"/>
                <w:sz w:val="24"/>
                <w:szCs w:val="24"/>
              </w:rPr>
              <w:t>部</w:t>
            </w:r>
            <w:r>
              <w:rPr>
                <w:rFonts w:hint="eastAsia" w:asciiTheme="minorEastAsia" w:hAnsiTheme="minorEastAsia" w:eastAsiaTheme="minorEastAsia" w:cstheme="minorEastAsia"/>
                <w:color w:val="auto"/>
                <w:sz w:val="24"/>
                <w:szCs w:val="24"/>
                <w:lang w:eastAsia="zh-CN"/>
              </w:rPr>
              <w:t>高等教育质量监测国家数据平台</w:t>
            </w:r>
            <w:r>
              <w:rPr>
                <w:rFonts w:hint="eastAsia" w:asciiTheme="minorEastAsia" w:hAnsiTheme="minorEastAsia" w:eastAsiaTheme="minorEastAsia" w:cstheme="minorEastAsia"/>
                <w:sz w:val="24"/>
                <w:szCs w:val="24"/>
              </w:rPr>
              <w:t>数据为依据和要求，生成所需核心数据报告，实现年度切换展示及导出。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（2）实现生成从2015年之后历年教学质量报告核心数据趋势分析图，并进行分析。</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4.资源检索：</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（1）实现全库检索，可模糊查询，能根据输入的关键字检索所有满足条件的数据，也可高级查询，精确通过</w:t>
            </w:r>
            <w:r>
              <w:rPr>
                <w:rFonts w:hint="eastAsia" w:asciiTheme="minorEastAsia" w:hAnsiTheme="minorEastAsia" w:eastAsiaTheme="minorEastAsia" w:cstheme="minorEastAsia"/>
                <w:sz w:val="24"/>
                <w:szCs w:val="24"/>
                <w:lang w:eastAsia="zh-CN"/>
              </w:rPr>
              <w:t>数据</w:t>
            </w:r>
            <w:r>
              <w:rPr>
                <w:rFonts w:hint="eastAsia" w:asciiTheme="minorEastAsia" w:hAnsiTheme="minorEastAsia" w:eastAsiaTheme="minorEastAsia" w:cstheme="minorEastAsia"/>
                <w:sz w:val="24"/>
                <w:szCs w:val="24"/>
              </w:rPr>
              <w:t>库大类等条件找到所需数据。</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（2）实现全文检索，便捷的按照文件名、后缀、内容查找所需资料。</w:t>
            </w:r>
          </w:p>
          <w:p>
            <w:pPr>
              <w:pStyle w:val="3"/>
              <w:spacing w:after="0"/>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5.监控分析：</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数据为基础，以各类指标分析结果为依据，进行数据可视化展示，实现学校发展现状全方位、多层次、立体化的精准刻画，为管理者快速掌握学校发展现状和管理决策提供支撑，进行实时反馈。为校、院系部门领导提供独立门户，用户角色分类，包括但不限于按主题展示基</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lang w:eastAsia="zh-CN"/>
              </w:rPr>
              <w:t>国家数据平台</w:t>
            </w:r>
            <w:r>
              <w:rPr>
                <w:rFonts w:hint="eastAsia" w:asciiTheme="minorEastAsia" w:hAnsiTheme="minorEastAsia" w:eastAsiaTheme="minorEastAsia" w:cstheme="minorEastAsia"/>
                <w:color w:val="auto"/>
                <w:sz w:val="24"/>
                <w:szCs w:val="24"/>
              </w:rPr>
              <w:t>数据分析得出的图表，且可看到数据采集进度、各类评估结</w:t>
            </w:r>
            <w:r>
              <w:rPr>
                <w:rFonts w:hint="eastAsia" w:asciiTheme="minorEastAsia" w:hAnsiTheme="minorEastAsia" w:eastAsiaTheme="minorEastAsia" w:cstheme="minorEastAsia"/>
                <w:sz w:val="24"/>
                <w:szCs w:val="24"/>
              </w:rPr>
              <w:t>果、质量报告数据等，使校领导、院领导能一目了然、掌控全局。</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于需要査看的信息，可以逐层钻取至明细信息。包括但不限于全校教职工可下钻至专任教师、外聘教师、管理人员等，且从校级下钻至学院层级，再下钻至教师，可查看教师授课、获奖、论文等情况。仪表盘在图形化展示功能基础上，可直接切换各种展示方式（如饼图、柱状图、折线图及数据表格等），同时可快速进行图形数据项的消减和重现，所生成的图表应能单独导出为图片文件。</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（3）主题分析报告：</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师资队伍：教师数量、教师结构、生师比、科研能力、教研能力、层次水平、教学评价等；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办学条件：图书资料、教育经费、教学行政用房、实验室与实习基地等；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人才培养：专业培养方案学分学时结构、教授副教授本科授课情况、课程建设情况等；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学生发展：生源地、生源质量、学生数量、学习成果、毕业情况、就业情况等；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投入产出：科研经费投入与产出等，可增加其他分析主题。</w:t>
            </w:r>
          </w:p>
          <w:p>
            <w:pPr>
              <w:pStyle w:val="3"/>
              <w:numPr>
                <w:ilvl w:val="0"/>
                <w:numId w:val="22"/>
              </w:numPr>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基于审核评估指标的可视化数据大屏展示，能够进行数据对比，可选择纵向对比（学校近五年指标变化）和横向对比（全国和全省常模值对比，提供每年全国常模值和全省常模值，含必选和可选常模值），并具有设置预警阈值。</w:t>
            </w:r>
          </w:p>
          <w:p>
            <w:pPr>
              <w:pStyle w:val="3"/>
              <w:numPr>
                <w:ilvl w:val="0"/>
                <w:numId w:val="22"/>
              </w:numPr>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置本科专业国家标准、新一轮审核评估标准、思政标准和三级认证标准，并基于指标库指标进行实时预警，能够标记重点指标变化情况，方便领导查阅，可根据指标类型分类展示各项数据情况、量化指标状态，如达标项、未达标项、预警项等，帮助学校进行问题整改，实时监测学校的教学基本状态数据。</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（6）要求按照各项办学条件指标进行动态监测和预警，且可新建、修改、删除，灵活配置新的指标，设置合格标准和预警值，能够满足校院专业三级日常监控分析，提供指标库指标供引用。</w:t>
            </w:r>
          </w:p>
        </w:tc>
        <w:tc>
          <w:tcPr>
            <w:tcW w:w="451" w:type="dxa"/>
            <w:vAlign w:val="center"/>
          </w:tcPr>
          <w:p>
            <w:pPr>
              <w:pStyle w:val="3"/>
              <w:spacing w:after="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17" w:type="dxa"/>
            <w:vAlign w:val="center"/>
          </w:tcPr>
          <w:p>
            <w:pPr>
              <w:pStyle w:val="3"/>
              <w:spacing w:after="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7" w:type="dxa"/>
            <w:vAlign w:val="center"/>
          </w:tcPr>
          <w:p>
            <w:pPr>
              <w:pStyle w:val="3"/>
              <w:spacing w:after="0"/>
              <w:ind w:firstLine="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1" w:type="dxa"/>
            <w:vAlign w:val="center"/>
          </w:tcPr>
          <w:p>
            <w:pPr>
              <w:pStyle w:val="3"/>
              <w:spacing w:after="0"/>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54" w:type="dxa"/>
            <w:vAlign w:val="center"/>
          </w:tcPr>
          <w:p>
            <w:pPr>
              <w:pStyle w:val="3"/>
              <w:spacing w:after="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教育教学审核评估</w:t>
            </w:r>
          </w:p>
        </w:tc>
        <w:tc>
          <w:tcPr>
            <w:tcW w:w="6126" w:type="dxa"/>
          </w:tcPr>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1.教学文档管理：</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（1）能够管理审核评估过程中涉及到的所有材料，包括但不限于文件、教学资料、学习档案、合作协议、记录材料、课程资料、试卷资料、实习实践资料等。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现校、院、教师三级文档管理，创建和修改文档标签、文档父子目录。能够设置共享权限，包括但不限于部门、专业之间共享，无限制共享，也能取消共享，并具备高级检索功能。后台日志可记录查询上传时间、上传单位、上传人、下载次数、编辑修改等痕迹。</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校级管理人员可以创建文档归集任务，批量录入审核部门和审核人，设置格式要求、数量要求、标签，面向学院或专业，要求上传某类教学文档到指定目录中，可以查看到各单位上传进度。能够划分各部门的文档存储空间（大小可以自定义），自动统计文档数量，磁盘剩余空间，文件被下载或查阅次数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（4）文档类型包括但不限于word、excel、图片、pdf、wps等多种格式。</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2.自评自建过程管理：</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（1）具备自评自建过程管理功能，实现对审核评估指标分级分权限管理，实现自定义多级审核流程，对材料进行把关审核和反馈等。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▲（2）实现支撑材料不同级别</w:t>
            </w:r>
            <w:r>
              <w:rPr>
                <w:rFonts w:hint="eastAsia" w:asciiTheme="minorEastAsia" w:hAnsiTheme="minorEastAsia" w:eastAsiaTheme="minorEastAsia" w:cstheme="minorEastAsia"/>
                <w:sz w:val="24"/>
                <w:szCs w:val="24"/>
                <w:lang w:val="en-US" w:eastAsia="zh-CN"/>
              </w:rPr>
              <w:t>指标</w:t>
            </w:r>
            <w:r>
              <w:rPr>
                <w:rFonts w:hint="eastAsia" w:asciiTheme="minorEastAsia" w:hAnsiTheme="minorEastAsia" w:eastAsiaTheme="minorEastAsia" w:cstheme="minorEastAsia"/>
                <w:sz w:val="24"/>
                <w:szCs w:val="24"/>
              </w:rPr>
              <w:t>的查询，能查询系统操作日志，可以预览自评报告并对指标对应自评报告页码进行定位。实现管理员实时掌握各部门评估所需材料上传进度、完成情况等。</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教育部《普通高等学校本科教育教学审核评估指标体系》的要求设置审核项目、审核要素、审核要点等。系统定量指标库包括必选指标、可选指标、等量替换指标，方便自定义指标构建，定量指标监测体系，并内置各类对比常模数据，如全国平均值、同类院校平均值等，常模值同步更新。</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3.审核评估自评：</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（1）实现管理员发布审核评估自评任务能够选择开始时间、结束时间和评估年度，设置评估专家欢迎语，设置评估专家组长和成员，以及评估权限等。</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现专家账号的管理，专家登录后可查阅待办事宜，能够进行自评材料审读，了解其他情况，包括但不限于学校基本情况（课表、网站、作息时间等），案头材料清单和其他材料，查看反馈的调阅材料等。评估秘书可查阅专家在线听课、访谈座谈、资料调阅等任务，安排专家工作，并针对待安排的工作可以手动添加，批量下载评价单，可查看已安排工作完成情况和专家分项评价意见。</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模拟教育部官方正式评估系统的功能，实现分专家、专家组长、评估秘书、学校秘书等角色的相关管理。专家可在线发起深度考察要求，可添加线上听课链接，实现自主筛选听课、在线搜索调阅培养方案、大纲、试卷（要求能上传试卷）等材料，并进行评价，下发访谈要求，并查看反馈。自动汇总专家评语形成问题清单，由专家确认和补充，支持一键导出评估意见。</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（4）基于学校近三年数据自动生成第二类审核评估数据分析报告，包括但不限于学校概要数据、学校量化指标常模对比数据</w:t>
            </w:r>
            <w:r>
              <w:rPr>
                <w:rFonts w:hint="eastAsia" w:asciiTheme="minorEastAsia" w:hAnsiTheme="minorEastAsia" w:eastAsiaTheme="minorEastAsia" w:cstheme="minorEastAsia"/>
                <w:color w:val="auto"/>
                <w:sz w:val="24"/>
                <w:szCs w:val="24"/>
                <w:lang w:eastAsia="zh-CN"/>
              </w:rPr>
              <w:t>（问题数据需说明原因及整改建议）</w:t>
            </w:r>
            <w:r>
              <w:rPr>
                <w:rFonts w:hint="eastAsia" w:asciiTheme="minorEastAsia" w:hAnsiTheme="minorEastAsia" w:eastAsiaTheme="minorEastAsia" w:cstheme="minorEastAsia"/>
                <w:sz w:val="24"/>
                <w:szCs w:val="24"/>
              </w:rPr>
              <w:t>、审核评估监测数据等。</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4.审核评估整改：</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构建问题整改库，针对问题，可按照合格评估、上一轮、自评自建、本轮等字段进行问题区分，至少涵盖存在问题、整改时限和措施、以及负责人。能够记录整改过程，对各部门整改情况进行跟踪反馈和对比分析。</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（2）专家在线评估结束后，实现管理员对专家评价内容的查看、汇总、导出等，并把对应的问题加入到整改库。</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（3）能够记录整改过程，可显示各部门整改完成百分比，上传整改报告和整改支撑材料等。</w:t>
            </w:r>
          </w:p>
        </w:tc>
        <w:tc>
          <w:tcPr>
            <w:tcW w:w="451" w:type="dxa"/>
            <w:vAlign w:val="center"/>
          </w:tcPr>
          <w:p>
            <w:pPr>
              <w:adjustRightInd w:val="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17" w:type="dxa"/>
            <w:vAlign w:val="center"/>
          </w:tcPr>
          <w:p>
            <w:pPr>
              <w:pStyle w:val="3"/>
              <w:spacing w:after="0"/>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7" w:type="dxa"/>
            <w:vAlign w:val="center"/>
          </w:tcPr>
          <w:p>
            <w:pPr>
              <w:pStyle w:val="3"/>
              <w:spacing w:after="0"/>
              <w:ind w:firstLine="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1" w:type="dxa"/>
            <w:vAlign w:val="center"/>
          </w:tcPr>
          <w:p>
            <w:pPr>
              <w:pStyle w:val="3"/>
              <w:spacing w:after="0"/>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54" w:type="dxa"/>
            <w:vAlign w:val="center"/>
          </w:tcPr>
          <w:p>
            <w:pPr>
              <w:pStyle w:val="3"/>
              <w:spacing w:after="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校内专项评估</w:t>
            </w:r>
          </w:p>
        </w:tc>
        <w:tc>
          <w:tcPr>
            <w:tcW w:w="6126" w:type="dxa"/>
          </w:tcPr>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1.二级教学单位评估：</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辅助二级教学单位开展年终考核工作，有指标库（指标来源于我校历年指标，系统也能够提供参考内置可选），可对指标进行管理，在发布评估任务的时候可导入指标库指标，且引用时可对指标进行修改，但不影响指标库指标，上次评估结果也不受影响。评估数据、指标库、结果都应进行多维度对比展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（2）评估指标能够通过向导方式、自定义SQL方式设置数据来源，设置对应权重和分数。系统能够自动抽取基础库数据，对客观数据进行评测。包括但不限于以下角色及要求：</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管理员：维护学校、二级教学单位教学年终考核指标体系，设置数据来源等信息，发布考核任务； </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教务处填报用户：教务处可以对考核指标直接打分的用户；</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二级教学单位填报用户：二级教学单位负责填报指标涉及数据的用户；</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教务处审核用户：负责审核二级教学单位填报的数据的用户；</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二级教学单位审核用户：可以查看各基层教学组织（教研室、实验实训中心等）得分情况及本二级教学单位排名情况等信息；</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教务处处长：可以查看各二级教学单位得分情况及排名情况等信息；</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所有用户均能够进行数据校验，保证二级教学单位填写数据的准确性。</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（3）可辅助完成对二级教学单位教学相关工作的年终考核。</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（4）能够生成二级教学单位版的数据分析报告，按照不同统计时间、不同教学单位等分项导出。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（5）各项指标分值计算可灵活计算，用户能查看评分总表，能够看到各指标分项的得分情况，相关数据能够从状态库数据库自动获取和补充。</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2.基层教学组织评估：</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立指标库，实现指标导入，且引用时可对指标进行修改，但不影响指标库指标及既往评估结果。自定义评估指标体系，包括但不限于一级指标、二级指标及观测点等，评估数据、指标库、结果都应进行多维度对比展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（2）指标能够通过向导方式、自定义SQL方式设置数据来源，设置指标对应权重、分数和不参与基层教学工作部分等，计算方式可选择正比或反比赋分，能够自动抽取基础库数据，对客观数据自动评测。</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（3）具备数据分析报表功能，能够定期生成基层教学组织数据整体或个体分析报表，并在线查看和导出。</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3.专业评估：</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（1）实现评估指标体系的自定义，可由管理员灵活的增、删、改，实现多套评估指标体系，可在同批次评估中针对不同专业配置不同体系。</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（2）设置指标体系时可选择多级指标体系，评分方法可选择全部专家主观评、定性专家评、定量系统自动计算等多种方式，评分方式可按ABCD等级评分（等级可设置对应分数），也可直接打分。</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（3）专家主观能通过系统方便地进行网上评审，在线对所需评的专业进行评价、填写意见，能根据观测点自动显示相关支撑材料，选择多种评审方式。客观数据可自动抽取状态库数据，设置自动打分。</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（4）模拟专家查看专家当时打分情况，系统能够根据专家主观评判和客观数据打分情况，根据权重设置自动生成各专业最终得分，且可查看各专家对专业的评语汇总。</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于评估的专业能够自动统计形成数据分析结果，数据分析能够选择在同一指标体系下不同专业评估结果进行横向对比，及同一专业下不同年度/学年评估结果进行纵向对比。并能够基于教学基本状态库数据自动生成不同专业的数据分析报告。</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（6）有整改措施跟踪功能，能够根据评估的任务新增整改问题，选择面向专业，撰写整改计划方案，对于发布的整改任务还可以进行修改，及时查看整改效果。</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（7）具备数据分析报表功能，实现在线查看和导出。</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4.课程评估：</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（1）课程评估具备校、院两级管理功能，实现学校、二级教学单位、课程负责人、任课教师、评估组长、评估专家、评估秘书等多种用户，不同角色登陆后页面将展示不同内容和功能模块。</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课程评估对象为所有面向全日制本科生开设的包括但不限于公共必修课、学科大类基础课、申请评优课程、专业课、实践课和选修课等。课程评估分为校级课程评估和二级教学单位课程评估。根据学校课程实际情况对课程进行分类管理。</w:t>
            </w:r>
          </w:p>
          <w:p>
            <w:pPr>
              <w:pStyle w:val="3"/>
              <w:spacing w:after="0"/>
              <w:ind w:firstLine="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（3）实现教学过程中各个环节的评估，包括但不限于教学大纲、课堂教学、座谈与调查、课程作业、作业策略、试卷、考核与反馈等多个方面，实现材料上传。</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（4）根据课程评估数据需求采集课程评估所需的课程相关数据，数据填报和对接方案，并经学校审核后按需配置。</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组建课程评估专家库，按照学科类别对课程进行分组，按照专家学科背景对专家进行分组等。用户在平台上提出要求、提交材料、组织座谈等，实现多方信息交互，并优化“评估-反馈-改进”的操作流程，保留评估痕迹。</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▲（6）实现校院两级管理，同时按课程评和按教师评（团队或个人）两种评估方式，实现评估结果等级自动生成或手动选定、设置课程档次、抽评比例、评估起止时间、材料上传起止时间等。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（7）课程评估分为初评和复评两种类型，复评可自定义设置次数。对已评且在合格有效期的课程进行自动过滤，不合格的课程再进行复评。</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根据课程申报要求，教师自主申报评估课程，课程申报实现校院两级审核。评估档次包括但不限于国际一流、国内一流、省内一流等，实现校院两级审核。二级教学单位可以从专家库中上报参与评估专家，可以在线查阅评估材料提交情况如大纲、课件等教学文件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（9）实现评估材料上传的自定义要求，根据课程评估指标要求，规范学校课程评价数据内容和格式。如：某种课程下的评估需要提交：教学日历、教案、督导听课等材料。</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▲（10）评估工作安排时可直接通过excel导入需要评估的课程，也可通过手动筛选或自动筛选添加被评课程。针对被评课程可以设置课程组和专家，评估时可指派专家和/或秘书，实现灵活设置课程组分类。</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实现对已分组课程进行专家安排，且实时查看参评专家的工作量，便于合理分配任务。评估专家能够基于评估指标体系查看评估指标支撑材料和课程自评材料，在线打分并填写意见，组长最终汇总专家意见并撰写提交专家评估报告，评估结果具备多级审核流程。</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评估专家组长能够自主筛选添加专家组成员，指派专家参与评估，详细查阅被评课程状态，每门课程详细评价结果，包括但不限于各项评价指标对应权重、得分和被评课程对应的支撑材料、外部链接和课程视频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评估结果自动统计分析，能够实现包括但不限于查看课程名称、评估类型（初评或复评）、评估指标支撑材料、自评材料、等级、整改材料等。针对评估指标能够自动生成统计报表，详细查看每个指标的评价情况、专家定性评价结果等，并支持在线查看及导出。</w:t>
            </w:r>
          </w:p>
        </w:tc>
        <w:tc>
          <w:tcPr>
            <w:tcW w:w="451" w:type="dxa"/>
            <w:vAlign w:val="center"/>
          </w:tcPr>
          <w:p>
            <w:pPr>
              <w:adjustRightInd w:val="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17" w:type="dxa"/>
            <w:vAlign w:val="center"/>
          </w:tcPr>
          <w:p>
            <w:pPr>
              <w:pStyle w:val="3"/>
              <w:spacing w:after="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7" w:type="dxa"/>
            <w:vAlign w:val="center"/>
          </w:tcPr>
          <w:p>
            <w:pPr>
              <w:pStyle w:val="3"/>
              <w:spacing w:after="0"/>
              <w:ind w:firstLine="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1" w:type="dxa"/>
            <w:vAlign w:val="center"/>
          </w:tcPr>
          <w:p>
            <w:pPr>
              <w:pStyle w:val="3"/>
              <w:spacing w:after="0"/>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54" w:type="dxa"/>
            <w:vAlign w:val="center"/>
          </w:tcPr>
          <w:p>
            <w:pPr>
              <w:pStyle w:val="3"/>
              <w:spacing w:after="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教学质量评价</w:t>
            </w:r>
          </w:p>
        </w:tc>
        <w:tc>
          <w:tcPr>
            <w:tcW w:w="6126" w:type="dxa"/>
          </w:tcPr>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1.基本要求：</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（1）不同角色管理，包括但不限于管理员、二级教学单位、教务处等，能够按照自身需求自由添加。同时具有文档上传、新闻发布、消息提醒等，PC端和移动端皆具备此功能。</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（2）实现实时展示听课评价、学生评教、教师评学等。</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系统页面可全屏显示，调整字体大小，更换主题风格，查阅通知和待办事宜，且实现用户根据身份方便切换角色、任务和学期等。需具备报告自定义功能，可以在报告中插入标题、文本、数据源和图表等，并进行编辑。</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（4）数据对接：必须与教务系统和我校智慧校园平台对接，对接包括但不限于教师、学生、开课、排课、选课等相关信息，设置时间段定时同步，自动更新。</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（5）能够自定义角色和设置权限，修改菜单名称，管理员可以直接模拟登录其他用户账号，便于日常管理。</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2.评价标准：</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统一管理各类指标，在开展各类评价或专项检查活动，包括但不限于听评课，学生评教，教师评学、开学初教学检查等，可以根据不同任务要求引用指标体系，也可引用不同指标体系中的单项指标进行组合创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价指标分历史指标和现行指标，可按照课程属性、主体属性等对应设置评价指标，也可复制指标创建副本，对指标副本进行修改形成新指标。课程属性如理论课（分为必修课&lt;考试课、考查课&gt;和选修课）、实验课、实践课等；主体属性如督导、同行、管理者等不同主体。</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（3）指标体系新建时可选择起止学期、课程类型、面向角色、生效时间等。能够自由设置题型、打分方式、权重、状态等。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（4）可对设定的指标进行预览，能够计算总分分值，也可按照关键字检索指标内容。</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（5）实现历史指标管理，各类指标可以设置有效学期及适用类型等，指标的变更不影响历史数据的展示及统计分析。</w:t>
            </w:r>
          </w:p>
          <w:p>
            <w:pPr>
              <w:pStyle w:val="3"/>
              <w:spacing w:after="0"/>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3.课程评价：</w:t>
            </w:r>
          </w:p>
          <w:p>
            <w:pPr>
              <w:pStyle w:val="3"/>
              <w:spacing w:after="0" w:line="300" w:lineRule="exact"/>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发布听课评价任务，可设置包括但不限于时间范围、对应学期和指标、听课人角色（校督导、院部督导、同行、管理者等）、听课人数、听课次数等。可按照开课学院或课程类型等，自定义设置被听课程范围等，评价指标支持在线录入和模板导入等方式。具备管理员对听课情况进行跟踪。</w:t>
            </w:r>
          </w:p>
          <w:p>
            <w:pPr>
              <w:pStyle w:val="3"/>
              <w:spacing w:after="0" w:line="300" w:lineRule="exact"/>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（2）具备教师自主预约被听课功能。被听课教师可自主预约听课人、听课人数、听课时间、听课课程等。具备管理员对听课情况进行跟踪。</w:t>
            </w:r>
          </w:p>
          <w:p>
            <w:pPr>
              <w:pStyle w:val="3"/>
              <w:spacing w:after="0" w:line="300" w:lineRule="exact"/>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校领导、管理者、校督导、院部督导、同行等可在线听课评价、填写评价结果、上传图片等，评价后可暂存，确认之后提交，可核对反馈有误课程信息等。评价结果可直接或经管理员审核后反馈至相关部门和教师本人；对存在教学问题的教师，可以设置被听评教师、所在教研室、所属院部三个层面提交整改措施，可进行跟踪复评。</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实现PC端和移动端筛选课程时，按照校区、开课学院、教学地点、日期、上课时间、教师、教师入职时间、职称等基本条件筛选，也可按历史评教结果、被听课次数等条件筛选。不同用户可按使用习惯收藏常用的搜索方式。开学初教学检查可以在此导出听巡课预安排表，修订后生成正式表，并于检查后反馈至相关部门和教师本人，形成总结分析报告，支持在线查看和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备“持续关注”功能，对于评价结果较差的教师持续评价帮扶，对于较好的教师推荐同行观摩。管理员可批量导入重点关注对象，也可以手动根据历史评价分数选择添加对象。听课人可在听课过程中根据实际情况增加听课次数，实时显示教师被跟踪评价次数。</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（6）管理员可设置听课次数和重点关注对象等，跟踪听课数量、听课完成情况等，能够实时根据条件查阅听课人听课完成情况，如按对象、工作完成状态、二级教学单位、跟踪评价状态等条件筛选查阅和导出。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（7）被评课教师可看到被评分数和意见，也能够在线填写教学整改报告。管理员具备教师向申诉对象（如督导、同行、学生等）进行申诉的审核功能。允许教师针对教学评价中的疑问，向评价人提出教学咨询。</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（8）实现分任务查阅听课评价结果，具备高级检索功能，包括但不限于按课程、授课教师、听课人、分数段等查询，支持在线查看和导出。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实现教师的教学整改报告汇总、分类等查看和导出，听课评价结果实现现状、趋势、预警分析，包括但不限于被听课教师覆盖情况、得分情况分析、听课建议词频分析、关联分析等，能够自动生成听课评价数据分析报告，支持在线查看和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（10）具备敏感词库，支持自定义、批量导入敏感词，用于评价过程中所有材料的筛选、标记处理。</w:t>
            </w:r>
          </w:p>
          <w:p>
            <w:pPr>
              <w:pStyle w:val="3"/>
              <w:spacing w:after="0"/>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4.学生评教：</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（1）实现发布阶段性评教任务，具备直接打分、直接排名、问答方式和分档排名打分等多种功能。将未评教学生名单定时推送至教务系统，通过教务系统限制查成绩，保障学生评教的完成度。</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（2）设置单次和多次打分、最高分和最低分校验等功能，实现指标和/或非指标的主观评价相结合。</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（3）发布评教任务时，实现时间范围、对应学期和指标、评教方式等设置，填写相应的消息通知说明等。设置不参评学生或教师时，可以同步历史不参评名单，也可手动添加或模板导入。</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（4）学生可在线通过PC端或移动端打分或填写意见，能够自动统计评教进度和参评率、未参评学生名单等，支持在线查看和导出。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▲（5）评教结果可进行在线数据处理。自定义条件，包括但不限于去除最低分和最高分、设置参评比例、评教结果升降序排列、直观对比处理前后数据等，导出过滤后的数据。</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实时展示并按照多种条件模式导出评教结果，包括但不限于评教原始评价数据、教师课程加权平均分、教师加权平均分、开放性评价意见等。评教结果可按综合成绩、具体指标得分等条件发布至被评价人、所属基层教学组织、所属二级教学单位。</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评教结果能够进行现状、趋势和预警分析，包括但不限于各二级教学单位参评率、得分分析、高频词汇总分析、关联分析等。能够对全校或全院（部）得分进行排序和统计分析，自动生成评教数据分析报告，按学期、任务等条件查看和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（8）对教师个人每学期的最终综合评教成绩，可按照时间范围（学年、学期）等得出综合得分。</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（9）学生评教结果可按横向（如某学期各院部等）或纵向（如各学年、学期等）生成全校对比分析报表，支持在线查看和导出。</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5.教师评学：</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（1）发布评学任务，设置时间范围、对应学期和指标体系等，能够实时跟踪评学进度。</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（2）教师对授课班级评价可同时实现指标打分+非指标主观评价相结合。能够统计评学分布区间，导出评学结果，并实现逐级反馈。</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（3）各级领导可查询学校整体评学情况、二级教学单位评学情况、分专业评学情况，班级评学情况等。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（4）教师评学结果按横向（如某学期全校各学院各专业之间等）或纵向（如各学年、学期全校各学院各专业之间等）生成对比分析报告，支持在线查看和导出。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（5）实现全年级、全班等成绩分析报告查看和导出。</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6.教学质量问卷：</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（1）实现自定义新建校、院、个人多级问卷调研活动。实现问卷调研范围、方式、时限和数据开放权限等。实现问卷预览、查看、统计和分析，自动生成分析报告，支持在线查看、导出和反馈。</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（2）具有问卷模板库和回收站，可自行创建问卷、引用模板库或使用历史问卷模板等方式形成问卷。题型包括但不限于单选题、多选题、问答题等，且支持对创建好的模板进行编辑或删除等操作。</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（3）教师可同时在PC端和移动端发布问卷，发布后的问卷在历史模板库中保存，在下次发布问卷时可以引用，也可引用模板库模板和其他老师分享的问卷，在此基础上进行编辑调整发布。 </w:t>
            </w:r>
          </w:p>
          <w:p>
            <w:pPr>
              <w:pStyle w:val="3"/>
              <w:spacing w:after="0"/>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7.教学督导资料库:</w:t>
            </w:r>
          </w:p>
          <w:p>
            <w:pPr>
              <w:pStyle w:val="3"/>
              <w:spacing w:after="0" w:line="300" w:lineRule="exact"/>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（1）实现按全校或教学单位、时间范围等导出全部听评课结果报表，并生成分析报告。</w:t>
            </w:r>
          </w:p>
          <w:p>
            <w:pPr>
              <w:pStyle w:val="3"/>
              <w:spacing w:after="0" w:line="300" w:lineRule="exact"/>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现不同用户按照要求申请督导指导教研活动、教学竞赛、教学教改项目、教学导师制考核项目等，管理员对申请审核后分派给督导，并能按照自定义的时间范围、督导主体范围、不同用户等汇总统计审核后的申请，跟踪督导工作进程。</w:t>
            </w:r>
          </w:p>
          <w:p>
            <w:pPr>
              <w:pStyle w:val="3"/>
              <w:spacing w:after="0" w:line="300" w:lineRule="exact"/>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（3）具备调研报告、会议记录、学习报告等文档的上传、生成功能。</w:t>
            </w:r>
          </w:p>
          <w:p>
            <w:pPr>
              <w:pStyle w:val="3"/>
              <w:spacing w:after="0" w:line="300" w:lineRule="exact"/>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（4）能够对督导点多点或批量发送以文档、图片、文字录入等多种形式的通知或消息。</w:t>
            </w:r>
          </w:p>
          <w:p>
            <w:pPr>
              <w:pStyle w:val="3"/>
              <w:spacing w:after="0" w:line="300" w:lineRule="exact"/>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（5）听课人（督导）能够追踪查看被听课人的反馈进度（是否已查阅、是否已反馈等）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（6）能够按照不同维度（时间、教学单位、主体范围如督导全体人员或个体等）在线查看和导出督导工作分析报告，支持批量导出和退回，退回后可重新提交。</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8.信息员管理：</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（1）管理员可以按二级教学单位或班级设置信息员，可手动设置，也可通过Excel模板批量导入。信息员可以文字、图片、文档等方式填写或上传反馈信息。</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（2）实现校院两级信息员管理。信息员反馈内容包括但不限于课堂意见反馈和其他意见反馈等，按学期设置评价轮次的时间范围，实时展示反馈状态，如处理状态、紧急程度等。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（3）实现汇总和统计信息员工作量、反馈处理问题情况等，可按二级教学单位、专业、班级等条件实现查看、筛选、排序、编辑有效信息数量等。</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9.教师教学质量考核：</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（1）新建考核任务时，设置包括但不限于任务时间、院（部）数据提交起止时间、考核数据范围等。实现自定义考核内容。</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（2）新建考核任务时，可同步历史评教结果，自动过滤不参与考核的数据。导出学院（部）教师的考核结果及排名等数据。</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（3）二级教学单位可自主设置质量考核参数，查阅教师综合得分并排序。</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（4）数据审核具备多级审核机制，支持自定义。具备高级筛选功能，可查看指定考核任务下，教师的得分状况。</w:t>
            </w:r>
          </w:p>
          <w:p>
            <w:pPr>
              <w:pStyle w:val="3"/>
              <w:spacing w:after="0"/>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10.数据可视化展示：</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（1）提供基于教学质量评价结果数据的大屏展示。展示维度包括但不限于课程评价、学生评教、教师评学等。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（2）数据指标实现逐层下钻，包括但不限于针对全校听课评价平均分可下钻查阅每个二级教学单位的平均听课次数、平均分、最高分、最低分和被评价教师的详细分数。支持多种常用展示方式。</w:t>
            </w:r>
          </w:p>
        </w:tc>
        <w:tc>
          <w:tcPr>
            <w:tcW w:w="451" w:type="dxa"/>
            <w:vAlign w:val="center"/>
          </w:tcPr>
          <w:p>
            <w:pPr>
              <w:adjustRightInd w:val="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17" w:type="dxa"/>
            <w:vAlign w:val="center"/>
          </w:tcPr>
          <w:p>
            <w:pPr>
              <w:pStyle w:val="3"/>
              <w:spacing w:after="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7" w:type="dxa"/>
            <w:vAlign w:val="center"/>
          </w:tcPr>
          <w:p>
            <w:pPr>
              <w:pStyle w:val="3"/>
              <w:spacing w:after="0"/>
              <w:ind w:firstLine="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1" w:type="dxa"/>
            <w:vAlign w:val="center"/>
          </w:tcPr>
          <w:p>
            <w:pPr>
              <w:pStyle w:val="3"/>
              <w:spacing w:after="0"/>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54" w:type="dxa"/>
            <w:vAlign w:val="center"/>
          </w:tcPr>
          <w:p>
            <w:pPr>
              <w:pStyle w:val="3"/>
              <w:spacing w:after="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自定义用户报告</w:t>
            </w:r>
          </w:p>
        </w:tc>
        <w:tc>
          <w:tcPr>
            <w:tcW w:w="6126" w:type="dxa"/>
          </w:tcPr>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为方便系统功能的分析报告个性化要求，需提供报告自定义生成系统工具，满足现有功能模块下的报告自定义模板需求。</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学校对于各类分析报告，包括但不限于本项目中所提到的所有分析报告类型的个性化需求，支持指标的分类创建，支持在线编辑，设置相关参数和指标说明等，系统应内置如审核评估、专业认证、基本办学条件等定量指标要求，并支持指标的版本更新服务。</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（2）质保期内免费生成用户自定义报告，免费提供可参考的报告模板或免费设计报告模板。报告支持在线修改，系统能够记录修改过程，提供修改记录查看。</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▲（3）新建指标算法时可选择不同计算规则，展示方式包括但不限于文本、图片、图表、列表等，并支持同一指标按照不同年度（学年或自然年）设置不同算法规则。</w:t>
            </w:r>
          </w:p>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▲（4）实现指标分类管理，通过关键词进行全文检索，且支持高级搜索模式，搜索结果自动匹配。</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（5）支持对接不同类型数据源，包括MySQL、Oracle及国产数据库等主流数据库，通过不同数据来源支撑报告生成。支持接入外部数据，满足用户对于不同报告的数据要求。</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（6）实现自定义在线编辑报告模板，设置文本格式如文字，段落，表格，页面等划分形式。设置样式如字体类型、段落间距、行距信息等呈现方法，报告内容支持文本，连接控件对象，图片，表格等。</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（7）实现对于报告模板版本的有效管理，新建模板时可直接复制历史模板进行修改。当新版本不满足要求或是要产生历史文档的时候，可以随时按版本调用，支持对历史版本查看和使用。</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（8）通过选择数据源、统计时间、在线查看并分类导出报告，支持按照不同角色和用户类型设置对应报告查看权限，可以将报告设定在指定位置。</w:t>
            </w:r>
          </w:p>
        </w:tc>
        <w:tc>
          <w:tcPr>
            <w:tcW w:w="451" w:type="dxa"/>
            <w:vAlign w:val="center"/>
          </w:tcPr>
          <w:p>
            <w:pPr>
              <w:adjustRightInd w:val="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517" w:type="dxa"/>
            <w:vAlign w:val="center"/>
          </w:tcPr>
          <w:p>
            <w:pPr>
              <w:pStyle w:val="3"/>
              <w:spacing w:after="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7" w:type="dxa"/>
            <w:vAlign w:val="center"/>
          </w:tcPr>
          <w:p>
            <w:pPr>
              <w:pStyle w:val="3"/>
              <w:spacing w:after="0"/>
              <w:ind w:firstLine="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1" w:type="dxa"/>
            <w:vAlign w:val="center"/>
          </w:tcPr>
          <w:p>
            <w:pPr>
              <w:pStyle w:val="3"/>
              <w:spacing w:after="0"/>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754"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第三方调研报告</w:t>
            </w:r>
          </w:p>
        </w:tc>
        <w:tc>
          <w:tcPr>
            <w:tcW w:w="6126" w:type="dxa"/>
          </w:tcPr>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1.在校生学习体验调查报告：</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（1）内容要求（包括但不限于以下内容）：</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学业投入分析：</w:t>
            </w:r>
            <w:r>
              <w:rPr>
                <w:rFonts w:hint="eastAsia" w:asciiTheme="minorEastAsia" w:hAnsiTheme="minorEastAsia" w:eastAsiaTheme="minorEastAsia" w:cstheme="minorEastAsia"/>
                <w:sz w:val="24"/>
                <w:szCs w:val="24"/>
              </w:rPr>
              <w:t>调研分析维度主要包括学生学习主动性、课外时间分配、学习感受等指标。从我校学生学业投入度入手，了解学生的学习准备状态、分析学习困难类型，从而有针对性地设计教学活动。</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教育体验分析：</w:t>
            </w:r>
            <w:r>
              <w:rPr>
                <w:rFonts w:hint="eastAsia" w:asciiTheme="minorEastAsia" w:hAnsiTheme="minorEastAsia" w:eastAsiaTheme="minorEastAsia" w:cstheme="minorEastAsia"/>
                <w:sz w:val="24"/>
                <w:szCs w:val="24"/>
              </w:rPr>
              <w:t>调研分析维度主要包括思政课程、专业课程“两性一度”、体美劳教育、学生发展活动、实习实践、教材选用等指标，从我校学生教育体验分析入手，了解学生的学习行为与状态、专业认知与认同程度，并针对性地根据学生学习特点与问题进行相应的改进。</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教师评价分析</w:t>
            </w:r>
            <w:r>
              <w:rPr>
                <w:rFonts w:hint="eastAsia" w:asciiTheme="minorEastAsia" w:hAnsiTheme="minorEastAsia" w:eastAsiaTheme="minorEastAsia" w:cstheme="minorEastAsia"/>
                <w:sz w:val="24"/>
                <w:szCs w:val="24"/>
              </w:rPr>
              <w:t>：调研分析维度主要包括师德师风、教学满意度、教师教学行为等指标，从我校学生对教师评价分析入手，了解在校生对实际教育教学的反馈，反映学生对教学效果的意见，方便教师进行改进。</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资源与服务支持分析</w:t>
            </w:r>
            <w:r>
              <w:rPr>
                <w:rFonts w:hint="eastAsia" w:asciiTheme="minorEastAsia" w:hAnsiTheme="minorEastAsia" w:eastAsiaTheme="minorEastAsia" w:cstheme="minorEastAsia"/>
                <w:sz w:val="24"/>
                <w:szCs w:val="24"/>
              </w:rPr>
              <w:t>：调研分析维度主要包括体现“以学生为中心”、学生工作、学业指导、资源条件、生活服务、校园体验等指标，帮助我校了解学生对于校园环境、支持条件等方面的反馈，及时改进，完善软硬件条件，支持学生成长，从而提升教学质量。</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（2）服务要求：</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问卷设计、数据收集、以及报告撰写工作，通过电子问卷方式实施，在调研完成后应能提供此次调研所有原始数据，本次项目要求提供一次调研服务，交付满足我校要求的调查报告。如遇政策变动或要求发生变化时，应及时调整服务内容和方法。</w:t>
            </w:r>
          </w:p>
          <w:p>
            <w:pPr>
              <w:pStyle w:val="3"/>
              <w:spacing w:after="0"/>
              <w:ind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2.教师教学体验调查报告：</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（1）内容要求（包括但不限于以下内容）：</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师德师风：调研分析维度主要包括师德师风互评、教师基本行为互评等指标， 帮助我校了解教师的师德师风、教师基本行为情况，关注师德师风建设成效，为持续提升师资队伍建设效果提供数据依据。</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投入：调研分析维度主要包括时间投入、教学任务分配、课程思政、课程“两性一度”、践行“以学生为中心”理念、师生互动、学生学习主动性等指标，帮助我校了解教师在教学各环节的时间投入，了解教师投入教育教学一线工作的情况，为学校的教师管理综合改革提供有效的数据支持。</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教师发展：调研分析维度主要包括教师培训满意度、教师培训符合度、教师发展培训需求等指标， 帮助我校了解教师各项教学能力的基本情况，分析不同院（部），为学校不断提升教师专业素质能力提供数据支持。</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资源与支持：调研分析维度主要包括学校整体满意度、工作氛围评价、教学评价、生活服务等指标， 帮助我校了解学校教师发展工作的成效和对学校资源服务与工作支持的评价，了解学校是否为教师创造了良好的环境和工作氛围。</w:t>
            </w:r>
          </w:p>
          <w:p>
            <w:pPr>
              <w:pStyle w:val="3"/>
              <w:spacing w:after="0"/>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要求：负责问卷设计、数据收集、以及报告撰写工作，通过电子问卷方式实施，在调研完成后应能提供此次调研所有原始数据，本次项目要求提供一次调研服务，交付满足我校要求的调查报告。如遇政策变动或要求发生变化时，应及时调整服务内容和方法。</w:t>
            </w:r>
          </w:p>
        </w:tc>
        <w:tc>
          <w:tcPr>
            <w:tcW w:w="451" w:type="dxa"/>
            <w:vAlign w:val="center"/>
          </w:tcPr>
          <w:p>
            <w:pPr>
              <w:pStyle w:val="3"/>
              <w:spacing w:after="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w:t>
            </w:r>
          </w:p>
        </w:tc>
        <w:tc>
          <w:tcPr>
            <w:tcW w:w="517" w:type="dxa"/>
            <w:vAlign w:val="center"/>
          </w:tcPr>
          <w:p>
            <w:pPr>
              <w:pStyle w:val="3"/>
              <w:spacing w:after="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7" w:type="dxa"/>
            <w:vAlign w:val="center"/>
          </w:tcPr>
          <w:p>
            <w:pPr>
              <w:pStyle w:val="3"/>
              <w:spacing w:after="0"/>
              <w:ind w:firstLine="0"/>
              <w:jc w:val="center"/>
              <w:rPr>
                <w:rFonts w:hint="eastAsia" w:asciiTheme="minorEastAsia" w:hAnsiTheme="minorEastAsia" w:eastAsiaTheme="minorEastAsia" w:cstheme="minorEastAsia"/>
                <w:sz w:val="24"/>
                <w:szCs w:val="24"/>
              </w:rPr>
            </w:pPr>
          </w:p>
        </w:tc>
      </w:tr>
    </w:tbl>
    <w:p>
      <w:pPr>
        <w:pStyle w:val="16"/>
        <w:jc w:val="left"/>
        <w:outlineLvl w:val="9"/>
        <w:rPr>
          <w:rFonts w:hint="eastAsia" w:asciiTheme="minorEastAsia" w:hAnsiTheme="minorEastAsia" w:eastAsiaTheme="minorEastAsia" w:cstheme="minorEastAsia"/>
          <w:sz w:val="24"/>
          <w:szCs w:val="24"/>
          <w:highlight w:val="red"/>
        </w:rPr>
      </w:pPr>
      <w:bookmarkStart w:id="136" w:name="_Toc25359"/>
      <w:bookmarkStart w:id="137" w:name="_Toc4254"/>
      <w:bookmarkStart w:id="138" w:name="_Toc3650"/>
      <w:bookmarkStart w:id="139" w:name="_Toc137_WPSOffice_Level2"/>
      <w:r>
        <w:rPr>
          <w:rFonts w:hint="eastAsia" w:asciiTheme="minorEastAsia" w:hAnsiTheme="minorEastAsia" w:eastAsiaTheme="minorEastAsia" w:cstheme="minorEastAsia"/>
          <w:sz w:val="24"/>
          <w:szCs w:val="24"/>
          <w:highlight w:val="none"/>
        </w:rPr>
        <w:t>演示部分具体内容：</w:t>
      </w:r>
      <w:bookmarkEnd w:id="136"/>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183"/>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pStyle w:val="3"/>
              <w:spacing w:after="0" w:line="36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83" w:type="dxa"/>
          </w:tcPr>
          <w:p>
            <w:pPr>
              <w:pStyle w:val="3"/>
              <w:spacing w:after="0" w:line="36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w:t>
            </w:r>
          </w:p>
        </w:tc>
        <w:tc>
          <w:tcPr>
            <w:tcW w:w="5395" w:type="dxa"/>
          </w:tcPr>
          <w:p>
            <w:pPr>
              <w:pStyle w:val="3"/>
              <w:spacing w:after="0"/>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教育教学审核评估</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校、院、教师三级文档管理，创建和修改文档标签、文档父子目录。能够设置共享权限，包括但不限于部门、专业之间共享，无限制共享，也能取消共享，并具备高级检索功能。后台日志可记录查询上传时间、上传单位、上传人、下载次数、编辑修改等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教育教学审核评估</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级管理人员可以创建文档归集任务，批量录入审核部门和审核人，设置格式要求、数量要求、标签，面向学院或专业，要求上传某类教学文档到指定目录中，可以查看到各单位上传进度。能够划分各部门的文档存储空间（大小可以自定义），自动统计文档数量，磁盘剩余空间，文件被下载或查阅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教育教学审核评估</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实现支撑材料不同级别</w:t>
            </w:r>
            <w:r>
              <w:rPr>
                <w:rFonts w:hint="eastAsia" w:asciiTheme="minorEastAsia" w:hAnsiTheme="minorEastAsia" w:eastAsiaTheme="minorEastAsia" w:cstheme="minorEastAsia"/>
                <w:sz w:val="24"/>
                <w:szCs w:val="24"/>
                <w:lang w:val="en-US" w:eastAsia="zh-CN"/>
              </w:rPr>
              <w:t>指标</w:t>
            </w:r>
            <w:r>
              <w:rPr>
                <w:rFonts w:hint="eastAsia" w:asciiTheme="minorEastAsia" w:hAnsiTheme="minorEastAsia" w:eastAsiaTheme="minorEastAsia" w:cstheme="minorEastAsia"/>
                <w:sz w:val="24"/>
                <w:szCs w:val="24"/>
              </w:rPr>
              <w:t>的查询，能查询系统操作日志，可以预览自评报告并对指标对应自评报告页码进行定位。实现管理员实时掌握各部门评估所需材料上传进度、完成情况等。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教育教学审核评估</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模拟教育部官方正式评估系统的功能，实现分专家、专家组长、评估秘书、学校秘书等角色的相关管理。专家可在线发起深度考察要求，可添加线上听课链接，实现自主筛选听课、在线搜索调阅培养方案、大纲、试卷（要求能上传试卷）等材料，并进行评价，下发访谈要求，并查看反馈。自动汇总专家评语形成问题清单，由专家确认和补充，支持一键导出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校内专项评估</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实现校院两级管理，同时按课程评和按教师评（团队或个人）两种评估方式，实现评估结果等级自动生成或手动选定、设置课程档次、抽评比例、评估起止时间、材料上传起止时间等。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校内专项评估</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课程申报要求，教师自主申报评估课程，课程申报实现校院两级审核。评估档次包括但不限于国际一流、国内一流、省内一流等，实现校院两级审核。二级教学单位可以从专家库中上报参与评估专家，可以在线查阅评估材料提交情况如大纲、课件等教学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校内专项评估</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评估工作安排时可直接通过excel导入需要评估的课程，也可通过手动筛选或自动筛选添加被评课程。针对被评课程可以设置课程组和专家，评估时可指派专家和/或秘书，实现灵活设置课程组分类。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教学质量评价</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查阅通知和待办事宜，根据</w:t>
            </w:r>
            <w:r>
              <w:rPr>
                <w:rFonts w:hint="eastAsia" w:asciiTheme="minorEastAsia" w:hAnsiTheme="minorEastAsia" w:eastAsiaTheme="minorEastAsia" w:cstheme="minorEastAsia"/>
                <w:sz w:val="24"/>
                <w:szCs w:val="24"/>
                <w:lang w:val="en-US" w:eastAsia="zh-CN"/>
              </w:rPr>
              <w:t>用户</w:t>
            </w:r>
            <w:r>
              <w:rPr>
                <w:rFonts w:hint="eastAsia" w:asciiTheme="minorEastAsia" w:hAnsiTheme="minorEastAsia" w:eastAsiaTheme="minorEastAsia" w:cstheme="minorEastAsia"/>
                <w:sz w:val="24"/>
                <w:szCs w:val="24"/>
              </w:rPr>
              <w:t>身份方便切换角色、任务和学期等。具备</w:t>
            </w:r>
            <w:r>
              <w:rPr>
                <w:rFonts w:hint="eastAsia" w:asciiTheme="minorEastAsia" w:hAnsiTheme="minorEastAsia" w:eastAsiaTheme="minorEastAsia" w:cstheme="minorEastAsia"/>
                <w:sz w:val="24"/>
                <w:szCs w:val="24"/>
                <w:lang w:val="en-US" w:eastAsia="zh-CN"/>
              </w:rPr>
              <w:t>评价</w:t>
            </w:r>
            <w:r>
              <w:rPr>
                <w:rFonts w:hint="eastAsia" w:asciiTheme="minorEastAsia" w:hAnsiTheme="minorEastAsia" w:eastAsiaTheme="minorEastAsia" w:cstheme="minorEastAsia"/>
                <w:sz w:val="24"/>
                <w:szCs w:val="24"/>
              </w:rPr>
              <w:t>报告自定义功能，</w:t>
            </w:r>
            <w:r>
              <w:rPr>
                <w:rFonts w:hint="eastAsia" w:asciiTheme="minorEastAsia" w:hAnsiTheme="minorEastAsia" w:eastAsiaTheme="minorEastAsia" w:cstheme="minorEastAsia"/>
                <w:sz w:val="24"/>
                <w:szCs w:val="24"/>
                <w:lang w:val="en-US" w:eastAsia="zh-CN"/>
              </w:rPr>
              <w:t>方便</w:t>
            </w:r>
            <w:r>
              <w:rPr>
                <w:rFonts w:hint="eastAsia" w:asciiTheme="minorEastAsia" w:hAnsiTheme="minorEastAsia" w:eastAsiaTheme="minorEastAsia" w:cstheme="minorEastAsia"/>
                <w:sz w:val="24"/>
                <w:szCs w:val="24"/>
              </w:rPr>
              <w:t>在报告中插入标题、文本、数据源和图表等，并进行编辑。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教学质量评价</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评教结果可进行在线数据处理。自定义条件，包括但不限于去除最低分和最高分、设置参评比例、评教结果升降序排列、直观对比处理前后数据等，导出过滤后的数据。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183" w:type="dxa"/>
            <w:vAlign w:val="center"/>
          </w:tcPr>
          <w:p>
            <w:pPr>
              <w:pStyle w:val="3"/>
              <w:spacing w:after="0" w:line="360" w:lineRule="auto"/>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自定义用户报告</w:t>
            </w:r>
          </w:p>
        </w:tc>
        <w:tc>
          <w:tcPr>
            <w:tcW w:w="5395" w:type="dxa"/>
          </w:tcPr>
          <w:p>
            <w:pPr>
              <w:pStyle w:val="3"/>
              <w:spacing w:after="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新建指标算法时可选择不同计算规则，展示方式包括但不限于文本、图片、图表、列表等，并支持同一指标按照不同年度（学年或自然年）设置不同算法规则。</w:t>
            </w:r>
          </w:p>
          <w:p>
            <w:pPr>
              <w:pStyle w:val="3"/>
              <w:spacing w:after="0"/>
              <w:ind w:left="0" w:leftChars="0" w:firstLine="0" w:firstLineChars="0"/>
              <w:rPr>
                <w:rFonts w:hint="eastAsia"/>
              </w:rPr>
            </w:pPr>
            <w:r>
              <w:rPr>
                <w:rFonts w:hint="eastAsia" w:asciiTheme="minorEastAsia" w:hAnsiTheme="minorEastAsia" w:eastAsiaTheme="minorEastAsia" w:cstheme="minorEastAsia"/>
                <w:sz w:val="24"/>
                <w:szCs w:val="24"/>
              </w:rPr>
              <w:t>实现指标分类管理，通过关键词进行全文检索，且支持高级搜索模式，搜索结果自动匹配。</w:t>
            </w:r>
          </w:p>
        </w:tc>
      </w:tr>
    </w:tbl>
    <w:p>
      <w:pPr>
        <w:pStyle w:val="16"/>
        <w:jc w:val="left"/>
        <w:rPr>
          <w:rFonts w:hint="eastAsia" w:asciiTheme="minorEastAsia" w:hAnsiTheme="minorEastAsia" w:eastAsiaTheme="minorEastAsia" w:cstheme="minorEastAsia"/>
          <w:color w:val="auto"/>
          <w:sz w:val="24"/>
          <w:szCs w:val="24"/>
        </w:rPr>
      </w:pPr>
      <w:bookmarkStart w:id="140" w:name="_Toc3310"/>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售后服务要求</w:t>
      </w:r>
      <w:r>
        <w:rPr>
          <w:rFonts w:hint="eastAsia" w:asciiTheme="minorEastAsia" w:hAnsiTheme="minorEastAsia" w:eastAsiaTheme="minorEastAsia" w:cstheme="minorEastAsia"/>
          <w:color w:val="auto"/>
          <w:sz w:val="24"/>
          <w:szCs w:val="24"/>
        </w:rPr>
        <w:t>（驻场等实际售后提供服务需明确）</w:t>
      </w:r>
      <w:bookmarkEnd w:id="140"/>
    </w:p>
    <w:bookmarkEnd w:id="137"/>
    <w:bookmarkEnd w:id="138"/>
    <w:bookmarkEnd w:id="139"/>
    <w:p>
      <w:pPr>
        <w:pStyle w:val="3"/>
        <w:spacing w:line="360" w:lineRule="auto"/>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本项目建设完成将作为日常教学管理及质量监控重要依托，系统正常运转就显得尤为重要，稍有差错就会引起各方面的强烈反应，会造成巨大的损失，所以系统的售后维护服务和技术支持工作也应有足够保障。</w:t>
      </w:r>
      <w:r>
        <w:rPr>
          <w:rFonts w:hint="eastAsia" w:asciiTheme="minorEastAsia" w:hAnsiTheme="minorEastAsia" w:eastAsiaTheme="minorEastAsia" w:cstheme="minorEastAsia"/>
          <w:color w:val="auto"/>
          <w:kern w:val="2"/>
          <w:sz w:val="24"/>
          <w:szCs w:val="24"/>
          <w:lang w:eastAsia="zh-CN"/>
        </w:rPr>
        <w:t>供应商</w:t>
      </w:r>
      <w:r>
        <w:rPr>
          <w:rFonts w:hint="eastAsia" w:asciiTheme="minorEastAsia" w:hAnsiTheme="minorEastAsia" w:eastAsiaTheme="minorEastAsia" w:cstheme="minorEastAsia"/>
          <w:color w:val="auto"/>
          <w:kern w:val="2"/>
          <w:sz w:val="24"/>
          <w:szCs w:val="24"/>
        </w:rPr>
        <w:t>作为具有丰富项目经验的应用集成和软件开发企业，应针对客户的不同需求和建设的不同阶段，制定有针对性的运行保障方案，建立完善的本地售后服务体系，对采购方提供充分考虑使用者利益的技术支持及售后服务模式。</w:t>
      </w:r>
    </w:p>
    <w:p>
      <w:pPr>
        <w:pStyle w:val="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售后服务时间：提供自项目验收之日起，提供三年的免费质保期。</w:t>
      </w:r>
    </w:p>
    <w:p>
      <w:pPr>
        <w:pStyle w:val="3"/>
        <w:spacing w:line="360" w:lineRule="auto"/>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rPr>
        <w:t>2、</w:t>
      </w:r>
      <w:r>
        <w:rPr>
          <w:rFonts w:hint="eastAsia" w:asciiTheme="minorEastAsia" w:hAnsiTheme="minorEastAsia" w:eastAsiaTheme="minorEastAsia" w:cstheme="minorEastAsia"/>
          <w:color w:val="auto"/>
          <w:kern w:val="2"/>
          <w:sz w:val="24"/>
          <w:szCs w:val="24"/>
        </w:rPr>
        <w:t>售后内容：（包含但不限于以下内容）</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1缺陷管理：针对本次招标的各类系统中存在的bug、缺陷，不论在保期内、外，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均应持续提供修正与消缺服务。</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2应急故障处理：系统运行环境出现故障或意外情况导致系统不能正常运行时，投标人响应的情况描述，包括针对不同故障级别的响应时间和响应内容。</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3系统升级：提供系统升级服务。</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须免费提供相关系统技术服务，包括技术指导、数据维护、系统更新、资源更新等。</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4需求变更服务：对于学校业务流程的变化、性能要求提升导致的部署结构变化（如搭建双机环境）。对由于本期招标或集成的各类业务系统本身变更（包含但不限于邮件系统升级、认证系统迭代等）导致的集成需求变更，提供配套的支持服务；对由于学校业务规则变更（权威数据源发生变化）导致的数据集成需求变更，提供配套的支持服务。</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需提供客户服务系统，用于接收、确认学校反馈的问题、需求，并及时解决学校反馈的问题、满足学校反馈的需求，采用信息化管理方式为学校建立维护完整、准确、详细的使用档案。</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需要提供每天24小时的技术支持服务，定期回访、定期软件更新及版本升级等，在学校数据采集、审核评估等关键时间节点按学校需求提供驻场服务。</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提供完整的系统配套资料，包括系统安装使用手册、系统功能模块说明书、不同用户使用手册及操作视频、帮助文档等。</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系统管理员（含不同用户）的系统维护培训服务及必要的支撑技术培训服务，培训内容包括：系统安装、测试、操作、维护培训；项目实施培训；用户管理、配置管理、系统维护等管理功能培训；常见问题处理培训等，使系统管理员能够从技术上操作和应用平台，掌握系统配置、管理，以及日常维护操作。</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9遇到问题，</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能快速响应，一般问题须在24小时内解决，特殊或紧急情况中标方的技术服务人员必须在3小时内到达学校，及时解决学校在项目实施及系统使用过程中遇到的各类问题。</w:t>
      </w:r>
    </w:p>
    <w:p>
      <w:pPr>
        <w:pStyle w:val="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服务请求方式</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对校方与投标人联系沟通的方式进行详细描述，以方便学校便利的获取各类即时的和非即时的服务支持。</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提供的服务请求方式至少应包括：服务热线电话和联系人、联系单位信息、信函/传真、电子邮件、服务网站。</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投标人是否设有用户投诉受理电话，对用户的意见做出反应。如果有用户投诉受理电话，请描述以下内容：电话号码（或传真）、投诉中心负责人和受理答复时间。</w:t>
      </w:r>
    </w:p>
    <w:p>
      <w:pPr>
        <w:pStyle w:val="16"/>
        <w:jc w:val="left"/>
        <w:rPr>
          <w:rFonts w:hint="eastAsia" w:asciiTheme="minorEastAsia" w:hAnsiTheme="minorEastAsia" w:eastAsiaTheme="minorEastAsia" w:cstheme="minorEastAsia"/>
          <w:color w:val="auto"/>
          <w:sz w:val="24"/>
          <w:szCs w:val="24"/>
        </w:rPr>
      </w:pPr>
      <w:bookmarkStart w:id="141" w:name="_Toc16432"/>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系统集成</w:t>
      </w:r>
      <w:bookmarkEnd w:id="141"/>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所有功能模块均基于我校智慧校园平台，完成包括用户、认证、门户等在内的各个层面的集成整合，达到数字化校园的使用及管理一致性。具体实现内容如下：</w:t>
      </w:r>
    </w:p>
    <w:p>
      <w:pPr>
        <w:numPr>
          <w:ilvl w:val="0"/>
          <w:numId w:val="23"/>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完成认证集成</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所含所有系统及应用（含数据展示服务），均必须与学校统一身份认证平台进行认证对接。确定一套用户身份信息（将工号作为教师唯一标识），作为认证权限中心和智慧校园的用户权威身份信息。且与统一身份认证平台免费对接，如对接产生的一切费用都必须包含在此次报价内，不得再让学校支付此费用。</w:t>
      </w:r>
    </w:p>
    <w:p>
      <w:pPr>
        <w:numPr>
          <w:ilvl w:val="0"/>
          <w:numId w:val="23"/>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门户及服务集成</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与一网通办平台的集成：本项目所含所有系统及应用（含数据分析），必须与学校已有一网通办大厅进行对接集成，通过一网通办平台的集成工具进行应用系统整合，提供整合页面和集成接口，把一网通办平台平台作为所有本项目系统访问的唯一服务入口。且与一网通办平台平台对接，如对接产生的一切费用都必须包含在此次报价内，不得再让学校支付此费用。</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移动端集成：移动端服务要求符合H5规范，可独立运行，实现移动服务接入学校移动端APP今日校园。</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服务集成：本项目内涉及流程类任务及消息通知类信息需通过调用学校任务中及消息中心接口，实时发送任务及信息，例如预警提醒消息等，实际集成内容依学校实际需求为准。</w:t>
      </w:r>
    </w:p>
    <w:p>
      <w:pPr>
        <w:pStyle w:val="3"/>
        <w:numPr>
          <w:ilvl w:val="0"/>
          <w:numId w:val="23"/>
        </w:numPr>
        <w:adjustRightIn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完成数据集成</w:t>
      </w:r>
    </w:p>
    <w:p>
      <w:pPr>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成与学校数据中心对接，如需与学校现有其他业务系统的数据集成，包括本科教务管理系统、OA办公系统、学工系统、人事系统、图书系统、国有资产管理系统、一卡通、实验室管理系统、教学资源平台、录播教室、大学生创业平台、维保保、宿管系统、门禁通道、上网认证系统、电子班牌等40个业务系统。如对接产生的一切费用都必须包含在此次报价内，不得再让学校支付此费用。</w:t>
      </w:r>
    </w:p>
    <w:p>
      <w:pPr>
        <w:pStyle w:val="16"/>
        <w:jc w:val="left"/>
        <w:rPr>
          <w:rFonts w:hint="eastAsia" w:asciiTheme="minorEastAsia" w:hAnsiTheme="minorEastAsia" w:eastAsiaTheme="minorEastAsia" w:cstheme="minorEastAsia"/>
          <w:color w:val="auto"/>
          <w:sz w:val="24"/>
          <w:szCs w:val="24"/>
        </w:rPr>
      </w:pPr>
      <w:bookmarkStart w:id="142" w:name="_Toc21757"/>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安全要求</w:t>
      </w:r>
      <w:bookmarkEnd w:id="142"/>
    </w:p>
    <w:p>
      <w:pPr>
        <w:pStyle w:val="8"/>
        <w:spacing w:line="360" w:lineRule="auto"/>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以用户为基础，控制对系统的访问，用户密码管理符合业界通用的规范（如最小长度，数字字母混合），提供日志及审计功能，日志包括数据操作日志、系统登陆日志、版本更新日志等，监控敏感数据的访问和修改，可以防止任何通过网络进行的非授权访问，并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应提供信息安全管理体系认证证书和信息技术服务管理体系认证证书；项目实施完成后，正式上线运行前需通过学校安全检测，符合学校安全要求，方可上线。</w:t>
      </w:r>
    </w:p>
    <w:bookmarkEnd w:id="130"/>
    <w:p>
      <w:pPr>
        <w:widowControl/>
        <w:spacing w:line="460" w:lineRule="exact"/>
        <w:ind w:right="57" w:rightChars="27" w:firstLine="643" w:firstLineChars="200"/>
        <w:jc w:val="left"/>
        <w:rPr>
          <w:rStyle w:val="24"/>
          <w:b/>
        </w:rPr>
      </w:pPr>
    </w:p>
    <w:p>
      <w:pPr>
        <w:jc w:val="center"/>
        <w:rPr>
          <w:rFonts w:hint="eastAsia"/>
          <w:b/>
          <w:bCs/>
          <w:sz w:val="28"/>
          <w:szCs w:val="28"/>
        </w:rPr>
      </w:pPr>
    </w:p>
    <w:p>
      <w:pPr>
        <w:rPr>
          <w:rFonts w:hint="eastAsia"/>
          <w:b/>
          <w:bCs/>
          <w:sz w:val="28"/>
          <w:szCs w:val="28"/>
        </w:rPr>
      </w:pPr>
      <w:r>
        <w:rPr>
          <w:rFonts w:hint="eastAsia"/>
          <w:b/>
          <w:bCs/>
          <w:sz w:val="28"/>
          <w:szCs w:val="28"/>
        </w:rPr>
        <w:br w:type="page"/>
      </w:r>
    </w:p>
    <w:p>
      <w:pPr>
        <w:pStyle w:val="4"/>
        <w:bidi w:val="0"/>
        <w:rPr>
          <w:rFonts w:hint="default"/>
          <w:lang w:val="en-US" w:eastAsia="zh-CN"/>
        </w:rPr>
      </w:pPr>
      <w:bookmarkStart w:id="143" w:name="_Toc1865"/>
      <w:r>
        <w:rPr>
          <w:rFonts w:hint="eastAsia"/>
          <w:lang w:val="en-US" w:eastAsia="zh-CN"/>
        </w:rPr>
        <w:t>第六部分 合同条款</w:t>
      </w:r>
      <w:bookmarkEnd w:id="143"/>
    </w:p>
    <w:p>
      <w:pPr>
        <w:jc w:val="center"/>
        <w:rPr>
          <w:sz w:val="28"/>
          <w:szCs w:val="28"/>
        </w:rPr>
      </w:pPr>
      <w:r>
        <w:rPr>
          <w:rFonts w:hint="eastAsia"/>
          <w:b/>
          <w:bCs/>
          <w:sz w:val="28"/>
          <w:szCs w:val="28"/>
        </w:rPr>
        <w:t>（参考合同）</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____________</w:t>
      </w:r>
      <w:r>
        <w:rPr>
          <w:rFonts w:hint="eastAsia" w:ascii="宋体"/>
          <w:color w:val="000000" w:themeColor="text1"/>
          <w:sz w:val="24"/>
          <w:szCs w:val="24"/>
          <w14:textFill>
            <w14:solidFill>
              <w14:schemeClr w14:val="tx1"/>
            </w14:solidFill>
          </w14:textFill>
        </w:rPr>
        <w:t>项目</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b/>
          <w:bCs/>
          <w:color w:val="000000" w:themeColor="text1"/>
          <w:sz w:val="24"/>
          <w:szCs w:val="24"/>
          <w14:textFill>
            <w14:solidFill>
              <w14:schemeClr w14:val="tx1"/>
            </w14:solidFill>
          </w14:textFill>
        </w:rPr>
      </w:pPr>
      <w:bookmarkStart w:id="144" w:name="_Toc9712_WPSOffice_Level2"/>
      <w:r>
        <w:rPr>
          <w:rFonts w:hint="eastAsia" w:ascii="宋体"/>
          <w:b/>
          <w:bCs/>
          <w:color w:val="000000" w:themeColor="text1"/>
          <w:sz w:val="24"/>
          <w:szCs w:val="24"/>
          <w14:textFill>
            <w14:solidFill>
              <w14:schemeClr w14:val="tx1"/>
            </w14:solidFill>
          </w14:textFill>
        </w:rPr>
        <w:t>合　　同</w:t>
      </w:r>
      <w:bookmarkEnd w:id="144"/>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合同编号：</w:t>
      </w:r>
      <w:r>
        <w:rPr>
          <w:rFonts w:ascii="宋体"/>
          <w:color w:val="000000" w:themeColor="text1"/>
          <w:sz w:val="24"/>
          <w:szCs w:val="24"/>
          <w14:textFill>
            <w14:solidFill>
              <w14:schemeClr w14:val="tx1"/>
            </w14:solidFill>
          </w14:textFill>
        </w:rPr>
        <w:t>____________________</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bookmarkStart w:id="145" w:name="_Toc11122_WPSOffice_Level2"/>
      <w:r>
        <w:rPr>
          <w:rFonts w:hint="eastAsia" w:ascii="宋体"/>
          <w:color w:val="000000" w:themeColor="text1"/>
          <w:sz w:val="24"/>
          <w:szCs w:val="24"/>
          <w14:textFill>
            <w14:solidFill>
              <w14:schemeClr w14:val="tx1"/>
            </w14:solidFill>
          </w14:textFill>
        </w:rPr>
        <w:t>甲　　方：</w:t>
      </w:r>
      <w:r>
        <w:rPr>
          <w:rFonts w:ascii="宋体"/>
          <w:color w:val="000000" w:themeColor="text1"/>
          <w:sz w:val="24"/>
          <w:szCs w:val="24"/>
          <w14:textFill>
            <w14:solidFill>
              <w14:schemeClr w14:val="tx1"/>
            </w14:solidFill>
          </w14:textFill>
        </w:rPr>
        <w:t>____________________(</w:t>
      </w:r>
      <w:r>
        <w:rPr>
          <w:rFonts w:hint="eastAsia" w:ascii="宋体"/>
          <w:color w:val="000000" w:themeColor="text1"/>
          <w:sz w:val="24"/>
          <w:szCs w:val="24"/>
          <w14:textFill>
            <w14:solidFill>
              <w14:schemeClr w14:val="tx1"/>
            </w14:solidFill>
          </w14:textFill>
        </w:rPr>
        <w:t>采购人名称</w:t>
      </w:r>
      <w:r>
        <w:rPr>
          <w:rFonts w:ascii="宋体"/>
          <w:color w:val="000000" w:themeColor="text1"/>
          <w:sz w:val="24"/>
          <w:szCs w:val="24"/>
          <w14:textFill>
            <w14:solidFill>
              <w14:schemeClr w14:val="tx1"/>
            </w14:solidFill>
          </w14:textFill>
        </w:rPr>
        <w:t>)</w:t>
      </w:r>
      <w:bookmarkEnd w:id="145"/>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bookmarkStart w:id="146" w:name="_Toc8919_WPSOffice_Level2"/>
      <w:r>
        <w:rPr>
          <w:rFonts w:hint="eastAsia" w:ascii="宋体"/>
          <w:color w:val="000000" w:themeColor="text1"/>
          <w:sz w:val="24"/>
          <w:szCs w:val="24"/>
          <w14:textFill>
            <w14:solidFill>
              <w14:schemeClr w14:val="tx1"/>
            </w14:solidFill>
          </w14:textFill>
        </w:rPr>
        <w:t>乙　　方：</w:t>
      </w:r>
      <w:r>
        <w:rPr>
          <w:rFonts w:ascii="宋体"/>
          <w:color w:val="000000" w:themeColor="text1"/>
          <w:sz w:val="24"/>
          <w:szCs w:val="24"/>
          <w14:textFill>
            <w14:solidFill>
              <w14:schemeClr w14:val="tx1"/>
            </w14:solidFill>
          </w14:textFill>
        </w:rPr>
        <w:t>____________________(</w:t>
      </w:r>
      <w:r>
        <w:rPr>
          <w:rFonts w:hint="eastAsia" w:ascii="宋体"/>
          <w:color w:val="000000" w:themeColor="text1"/>
          <w:sz w:val="24"/>
          <w:szCs w:val="24"/>
          <w14:textFill>
            <w14:solidFill>
              <w14:schemeClr w14:val="tx1"/>
            </w14:solidFill>
          </w14:textFill>
        </w:rPr>
        <w:t>投标人名称</w:t>
      </w:r>
      <w:r>
        <w:rPr>
          <w:rFonts w:ascii="宋体"/>
          <w:color w:val="000000" w:themeColor="text1"/>
          <w:sz w:val="24"/>
          <w:szCs w:val="24"/>
          <w14:textFill>
            <w14:solidFill>
              <w14:schemeClr w14:val="tx1"/>
            </w14:solidFill>
          </w14:textFill>
        </w:rPr>
        <w:t>)</w:t>
      </w:r>
      <w:bookmarkEnd w:id="146"/>
    </w:p>
    <w:p>
      <w:pPr>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pPr>
        <w:pStyle w:val="5"/>
        <w:adjustRightInd w:val="0"/>
        <w:snapToGrid w:val="0"/>
        <w:spacing w:line="240" w:lineRule="auto"/>
        <w:jc w:val="left"/>
        <w:rPr>
          <w:rFonts w:ascii="仿宋_GB2312" w:hAnsi="仿宋_GB2312" w:eastAsia="仿宋_GB2312" w:cs="仿宋_GB2312"/>
          <w:szCs w:val="28"/>
        </w:rPr>
      </w:pPr>
      <w:bookmarkStart w:id="147" w:name="_Toc30941"/>
      <w:bookmarkStart w:id="148" w:name="_Toc7078"/>
      <w:bookmarkStart w:id="149" w:name="_Toc23704_WPSOffice_Level1"/>
      <w:bookmarkStart w:id="150" w:name="_Toc11932"/>
      <w:bookmarkStart w:id="151" w:name="_Toc30465"/>
      <w:bookmarkStart w:id="152" w:name="_Toc26875"/>
      <w:bookmarkStart w:id="153" w:name="_Toc9292"/>
      <w:r>
        <w:rPr>
          <w:rFonts w:hint="eastAsia" w:ascii="宋体" w:hAnsi="宋体" w:cs="宋体"/>
          <w:szCs w:val="28"/>
        </w:rPr>
        <w:t>合同条款</w:t>
      </w:r>
      <w:bookmarkEnd w:id="147"/>
      <w:bookmarkEnd w:id="148"/>
      <w:bookmarkEnd w:id="149"/>
      <w:bookmarkEnd w:id="150"/>
      <w:bookmarkEnd w:id="151"/>
      <w:bookmarkEnd w:id="152"/>
      <w:bookmarkEnd w:id="153"/>
    </w:p>
    <w:p>
      <w:pPr>
        <w:spacing w:beforeLines="100" w:afterLines="100" w:line="480" w:lineRule="exact"/>
        <w:jc w:val="center"/>
        <w:rPr>
          <w:rFonts w:ascii="仿宋_GB2312" w:hAnsi="仿宋_GB2312" w:eastAsia="仿宋_GB2312" w:cs="仿宋_GB2312"/>
          <w:b/>
          <w:sz w:val="44"/>
          <w:szCs w:val="44"/>
        </w:rPr>
      </w:pPr>
      <w:bookmarkStart w:id="154" w:name="_Toc30224_WPSOffice_Level1"/>
      <w:r>
        <w:rPr>
          <w:rFonts w:hint="eastAsia" w:ascii="仿宋_GB2312" w:hAnsi="仿宋_GB2312" w:eastAsia="仿宋_GB2312" w:cs="仿宋_GB2312"/>
          <w:b/>
          <w:sz w:val="44"/>
          <w:szCs w:val="44"/>
        </w:rPr>
        <w:t>政府采购合同条款</w:t>
      </w:r>
      <w:bookmarkEnd w:id="154"/>
    </w:p>
    <w:p>
      <w:pPr>
        <w:rPr>
          <w:rFonts w:asciiTheme="majorEastAsia" w:hAnsiTheme="majorEastAsia" w:eastAsiaTheme="majorEastAsia" w:cstheme="majorEastAsia"/>
          <w:sz w:val="24"/>
          <w:szCs w:val="24"/>
        </w:rPr>
      </w:pPr>
    </w:p>
    <w:p>
      <w:pPr>
        <w:numPr>
          <w:ilvl w:val="0"/>
          <w:numId w:val="24"/>
        </w:numPr>
        <w:adjustRightInd w:val="0"/>
        <w:snapToGrid w:val="0"/>
        <w:spacing w:line="360" w:lineRule="auto"/>
        <w:outlineLvl w:val="1"/>
        <w:rPr>
          <w:rFonts w:asciiTheme="majorEastAsia" w:hAnsiTheme="majorEastAsia" w:eastAsiaTheme="majorEastAsia" w:cstheme="majorEastAsia"/>
          <w:b/>
          <w:sz w:val="24"/>
          <w:szCs w:val="24"/>
        </w:rPr>
      </w:pPr>
      <w:bookmarkStart w:id="155" w:name="_Toc14863"/>
      <w:bookmarkStart w:id="156" w:name="_Toc30165"/>
      <w:bookmarkStart w:id="157" w:name="_Toc10297_WPSOffice_Level2"/>
      <w:r>
        <w:rPr>
          <w:rFonts w:hint="eastAsia" w:asciiTheme="majorEastAsia" w:hAnsiTheme="majorEastAsia" w:eastAsiaTheme="majorEastAsia" w:cstheme="majorEastAsia"/>
          <w:b/>
          <w:sz w:val="24"/>
          <w:szCs w:val="24"/>
        </w:rPr>
        <w:t>术语定义</w:t>
      </w:r>
      <w:bookmarkEnd w:id="155"/>
      <w:bookmarkEnd w:id="156"/>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本政府采购合同下列术语应解释为：</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2 “政府采购合同价”指根据合同约定供方在正确地完全履行政府采购合同义务后需方应支付给供方的价格。</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3 “服务”指政府采购合同服务清单（同投标文件中开标一览表及其附表，下同）所约定的服务内容。</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5 “需方”指项目基本内容及要求中所述取得产品和服务的采购单位。</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6 “供方”指项目基本内容及要求中所述提供产品和服务的中标投标人。</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7 “检验”指需方按照政府采购合同约定的标准对供方所提供服务进行的检测和查验。</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8 “验收书”指采购单位或采购代理机构根据合同履约验收意见书形成反映采购单位和组织验收机构意见的文件。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1.9“天”指日历天数（如无特别说明）。</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10“第三人”是指本政府采购合同双方以外的任何中国境内外的自然人、法人或其它经济组织。</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11“法律、法规”是指由中国各级政府及有关部门制定的法律、行政法规、地方性法规、规章及其它规范性文件的有关规定。</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12“招标文件”指采购人或采购代理机构发布的招标文件。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13“投标文件”指供方按照采购代理机构招标文件的要求编制和递交，并最终被</w:t>
      </w:r>
      <w:r>
        <w:rPr>
          <w:rFonts w:hint="eastAsia" w:asciiTheme="majorEastAsia" w:hAnsiTheme="majorEastAsia" w:eastAsiaTheme="majorEastAsia" w:cstheme="majorEastAsia"/>
          <w:sz w:val="24"/>
          <w:szCs w:val="24"/>
          <w:lang w:eastAsia="zh-CN"/>
        </w:rPr>
        <w:t>磋商小组</w:t>
      </w:r>
      <w:r>
        <w:rPr>
          <w:rFonts w:hint="eastAsia" w:asciiTheme="majorEastAsia" w:hAnsiTheme="majorEastAsia" w:eastAsiaTheme="majorEastAsia" w:cstheme="majorEastAsia"/>
          <w:sz w:val="24"/>
          <w:szCs w:val="24"/>
        </w:rPr>
        <w:t>接受的投标文件。</w:t>
      </w:r>
    </w:p>
    <w:p>
      <w:pPr>
        <w:adjustRightInd w:val="0"/>
        <w:snapToGrid w:val="0"/>
        <w:spacing w:line="360" w:lineRule="auto"/>
        <w:ind w:firstLine="479" w:firstLineChars="199"/>
        <w:outlineLvl w:val="1"/>
        <w:rPr>
          <w:rFonts w:asciiTheme="majorEastAsia" w:hAnsiTheme="majorEastAsia" w:eastAsiaTheme="majorEastAsia" w:cstheme="majorEastAsia"/>
          <w:b/>
          <w:sz w:val="24"/>
          <w:szCs w:val="24"/>
        </w:rPr>
      </w:pPr>
      <w:bookmarkStart w:id="158" w:name="_Toc1156"/>
      <w:bookmarkStart w:id="159" w:name="_Toc28619"/>
      <w:r>
        <w:rPr>
          <w:rFonts w:hint="eastAsia" w:asciiTheme="majorEastAsia" w:hAnsiTheme="majorEastAsia" w:eastAsiaTheme="majorEastAsia" w:cstheme="majorEastAsia"/>
          <w:b/>
          <w:sz w:val="24"/>
          <w:szCs w:val="24"/>
        </w:rPr>
        <w:t>2.技术规范与服务内容</w:t>
      </w:r>
      <w:bookmarkEnd w:id="158"/>
      <w:bookmarkEnd w:id="159"/>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2.1投标服务的技术规范应与招标文件规定的技术规范（如果有的话）相一致。若无相应说明，则以国家有关部门最新颁布的相应标识及规范为准。</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 投标服务的服务内容应与招标文件规定服务内容及投标文件中的项目要求及投标响应表一致。</w:t>
      </w:r>
    </w:p>
    <w:p>
      <w:pPr>
        <w:adjustRightInd w:val="0"/>
        <w:snapToGrid w:val="0"/>
        <w:spacing w:line="360" w:lineRule="auto"/>
        <w:ind w:firstLine="479" w:firstLineChars="199"/>
        <w:outlineLvl w:val="1"/>
        <w:rPr>
          <w:rFonts w:asciiTheme="majorEastAsia" w:hAnsiTheme="majorEastAsia" w:eastAsiaTheme="majorEastAsia" w:cstheme="majorEastAsia"/>
          <w:b/>
          <w:sz w:val="24"/>
          <w:szCs w:val="24"/>
        </w:rPr>
      </w:pPr>
      <w:bookmarkStart w:id="160" w:name="_Toc8247"/>
      <w:bookmarkStart w:id="161" w:name="_Toc19331"/>
      <w:r>
        <w:rPr>
          <w:rFonts w:hint="eastAsia" w:asciiTheme="majorEastAsia" w:hAnsiTheme="majorEastAsia" w:eastAsiaTheme="majorEastAsia" w:cstheme="majorEastAsia"/>
          <w:b/>
          <w:sz w:val="24"/>
          <w:szCs w:val="24"/>
        </w:rPr>
        <w:t>3.知识产权</w:t>
      </w:r>
      <w:bookmarkEnd w:id="160"/>
      <w:bookmarkEnd w:id="161"/>
    </w:p>
    <w:p>
      <w:pPr>
        <w:adjustRightInd w:val="0"/>
        <w:snapToGrid w:val="0"/>
        <w:spacing w:line="360" w:lineRule="auto"/>
        <w:ind w:firstLine="470" w:firstLineChars="196"/>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70" w:firstLineChars="196"/>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3.2供方应保证所供服务符合国家的有关规定。</w:t>
      </w:r>
    </w:p>
    <w:p>
      <w:pPr>
        <w:tabs>
          <w:tab w:val="left" w:pos="360"/>
        </w:tabs>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79" w:firstLineChars="199"/>
        <w:outlineLvl w:val="1"/>
        <w:rPr>
          <w:rFonts w:asciiTheme="majorEastAsia" w:hAnsiTheme="majorEastAsia" w:eastAsiaTheme="majorEastAsia" w:cstheme="majorEastAsia"/>
          <w:b/>
          <w:sz w:val="24"/>
          <w:szCs w:val="24"/>
        </w:rPr>
      </w:pPr>
      <w:bookmarkStart w:id="162" w:name="_Toc19584"/>
      <w:bookmarkStart w:id="163" w:name="_Toc9505"/>
      <w:r>
        <w:rPr>
          <w:rFonts w:hint="eastAsia" w:asciiTheme="majorEastAsia" w:hAnsiTheme="majorEastAsia" w:eastAsiaTheme="majorEastAsia" w:cstheme="majorEastAsia"/>
          <w:b/>
          <w:sz w:val="24"/>
          <w:szCs w:val="24"/>
        </w:rPr>
        <w:t>4.完成方式</w:t>
      </w:r>
      <w:bookmarkEnd w:id="162"/>
      <w:bookmarkEnd w:id="163"/>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供方按照合同约定的时间、地点完成服务。</w:t>
      </w:r>
    </w:p>
    <w:p>
      <w:pPr>
        <w:adjustRightInd w:val="0"/>
        <w:snapToGrid w:val="0"/>
        <w:spacing w:line="360" w:lineRule="auto"/>
        <w:ind w:firstLine="479" w:firstLineChars="199"/>
        <w:outlineLvl w:val="1"/>
        <w:rPr>
          <w:rFonts w:asciiTheme="majorEastAsia" w:hAnsiTheme="majorEastAsia" w:eastAsiaTheme="majorEastAsia" w:cstheme="majorEastAsia"/>
          <w:b/>
          <w:sz w:val="24"/>
          <w:szCs w:val="24"/>
        </w:rPr>
      </w:pPr>
      <w:bookmarkStart w:id="164" w:name="_Toc1451"/>
      <w:bookmarkStart w:id="165" w:name="_Toc26472"/>
      <w:r>
        <w:rPr>
          <w:rFonts w:hint="eastAsia" w:asciiTheme="majorEastAsia" w:hAnsiTheme="majorEastAsia" w:eastAsiaTheme="majorEastAsia" w:cstheme="majorEastAsia"/>
          <w:b/>
          <w:sz w:val="24"/>
          <w:szCs w:val="24"/>
        </w:rPr>
        <w:t>5.付款</w:t>
      </w:r>
      <w:bookmarkEnd w:id="164"/>
      <w:bookmarkEnd w:id="165"/>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5.1政府采购合同以人民币付款。</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5.2在供方按照政府采购合同的规定履行服务后，需方按照合同约定的方式和条件付款。</w:t>
      </w:r>
    </w:p>
    <w:p>
      <w:pPr>
        <w:adjustRightInd w:val="0"/>
        <w:snapToGrid w:val="0"/>
        <w:spacing w:line="360" w:lineRule="auto"/>
        <w:ind w:firstLine="482" w:firstLineChars="200"/>
        <w:outlineLvl w:val="1"/>
        <w:rPr>
          <w:rFonts w:asciiTheme="majorEastAsia" w:hAnsiTheme="majorEastAsia" w:eastAsiaTheme="majorEastAsia" w:cstheme="majorEastAsia"/>
          <w:b/>
          <w:sz w:val="24"/>
          <w:szCs w:val="24"/>
        </w:rPr>
      </w:pPr>
      <w:bookmarkStart w:id="166" w:name="_Toc31750"/>
      <w:bookmarkStart w:id="167" w:name="_Toc25181"/>
      <w:r>
        <w:rPr>
          <w:rFonts w:hint="eastAsia" w:asciiTheme="majorEastAsia" w:hAnsiTheme="majorEastAsia" w:eastAsiaTheme="majorEastAsia" w:cstheme="majorEastAsia"/>
          <w:b/>
          <w:sz w:val="24"/>
          <w:szCs w:val="24"/>
        </w:rPr>
        <w:t>6.服务质量</w:t>
      </w:r>
      <w:bookmarkEnd w:id="166"/>
      <w:bookmarkEnd w:id="167"/>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6.2供方提供的服务质量应满足行业一般标准，符合合同约定。</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adjustRightInd w:val="0"/>
        <w:snapToGrid w:val="0"/>
        <w:spacing w:line="360" w:lineRule="auto"/>
        <w:ind w:firstLine="472" w:firstLineChars="196"/>
        <w:outlineLvl w:val="1"/>
        <w:rPr>
          <w:rFonts w:asciiTheme="majorEastAsia" w:hAnsiTheme="majorEastAsia" w:eastAsiaTheme="majorEastAsia" w:cstheme="majorEastAsia"/>
          <w:b/>
          <w:sz w:val="24"/>
          <w:szCs w:val="24"/>
        </w:rPr>
      </w:pPr>
      <w:bookmarkStart w:id="168" w:name="_Toc24208"/>
      <w:bookmarkStart w:id="169" w:name="_Toc24461"/>
      <w:r>
        <w:rPr>
          <w:rFonts w:hint="eastAsia" w:asciiTheme="majorEastAsia" w:hAnsiTheme="majorEastAsia" w:eastAsiaTheme="majorEastAsia" w:cstheme="majorEastAsia"/>
          <w:b/>
          <w:sz w:val="24"/>
          <w:szCs w:val="24"/>
        </w:rPr>
        <w:t>7.技术服务和保修责任</w:t>
      </w:r>
      <w:bookmarkEnd w:id="168"/>
      <w:bookmarkEnd w:id="169"/>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7.1本条适用于委托开发等最终以产品形式交付需方使用的服务。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7.2供方对交付的产品的保修期，以招标文件中的规定为准，如果投标文件中的承诺优于招标文件规定，则以投标文件为准。</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7.3投标人应按如下内容提供售后服务承诺书：</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7.2.4保修期内，供方提供电话、电子邮件、Web、现场服务等方式的技术支持，对用户的现场服务要求，供方必须按投标文件做出的承诺进行响应。</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7.2.5保修期内，供方应对出现故障无法修复的产品或无法正常运行的系统，提供替代产品以保证系统的正常工作。</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7.2.6保修期内，供方应投标时的承诺提供相关服务。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9"/>
        <w:outlineLvl w:val="1"/>
        <w:rPr>
          <w:rFonts w:asciiTheme="majorEastAsia" w:hAnsiTheme="majorEastAsia" w:eastAsiaTheme="majorEastAsia" w:cstheme="majorEastAsia"/>
          <w:b/>
          <w:sz w:val="24"/>
          <w:szCs w:val="24"/>
        </w:rPr>
      </w:pPr>
      <w:bookmarkStart w:id="170" w:name="_Toc7329"/>
      <w:bookmarkStart w:id="171" w:name="_Toc19314"/>
      <w:r>
        <w:rPr>
          <w:rFonts w:hint="eastAsia" w:asciiTheme="majorEastAsia" w:hAnsiTheme="majorEastAsia" w:eastAsiaTheme="majorEastAsia" w:cstheme="majorEastAsia"/>
          <w:b/>
          <w:sz w:val="24"/>
          <w:szCs w:val="24"/>
        </w:rPr>
        <w:t>8.检验和验收</w:t>
      </w:r>
      <w:bookmarkEnd w:id="170"/>
      <w:bookmarkEnd w:id="171"/>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8.2对于委托开发等最终以产品形式交付需方使用的服务，保修期自验收书签署之日起计算。</w:t>
      </w:r>
    </w:p>
    <w:p>
      <w:pPr>
        <w:tabs>
          <w:tab w:val="left" w:pos="360"/>
        </w:tabs>
        <w:adjustRightInd w:val="0"/>
        <w:snapToGrid w:val="0"/>
        <w:spacing w:line="360" w:lineRule="auto"/>
        <w:ind w:firstLine="525" w:firstLineChars="218"/>
        <w:outlineLvl w:val="1"/>
        <w:rPr>
          <w:rFonts w:asciiTheme="majorEastAsia" w:hAnsiTheme="majorEastAsia" w:eastAsiaTheme="majorEastAsia" w:cstheme="majorEastAsia"/>
          <w:b/>
          <w:sz w:val="24"/>
          <w:szCs w:val="24"/>
        </w:rPr>
      </w:pPr>
      <w:bookmarkStart w:id="172" w:name="_Toc15390"/>
      <w:bookmarkStart w:id="173" w:name="_Toc9809"/>
      <w:r>
        <w:rPr>
          <w:rFonts w:hint="eastAsia" w:asciiTheme="majorEastAsia" w:hAnsiTheme="majorEastAsia" w:eastAsiaTheme="majorEastAsia" w:cstheme="majorEastAsia"/>
          <w:b/>
          <w:sz w:val="24"/>
          <w:szCs w:val="24"/>
        </w:rPr>
        <w:t>9.违约责任</w:t>
      </w:r>
      <w:bookmarkEnd w:id="172"/>
      <w:bookmarkEnd w:id="173"/>
    </w:p>
    <w:p>
      <w:pPr>
        <w:adjustRightInd w:val="0"/>
        <w:snapToGrid w:val="0"/>
        <w:spacing w:line="360" w:lineRule="auto"/>
        <w:ind w:firstLine="523" w:firstLineChars="218"/>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9.1.1在需方同意延长的期限内提供服务并承担由此给需方造成的一切损失；</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9.1.3需方有权部分或全部解除政府采购合同并要求供方赔偿由此造成的损失。此时需方可采取必要的补救措施，相关费用由供方承担。</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9.3延期服务的违约责任</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9.4以上各项交付的违约金并不影响违约方履行政府采购合同的各项义务。</w:t>
      </w:r>
    </w:p>
    <w:p>
      <w:pPr>
        <w:adjustRightInd w:val="0"/>
        <w:snapToGrid w:val="0"/>
        <w:spacing w:line="360" w:lineRule="auto"/>
        <w:ind w:left="420"/>
        <w:outlineLvl w:val="1"/>
        <w:rPr>
          <w:rFonts w:asciiTheme="majorEastAsia" w:hAnsiTheme="majorEastAsia" w:eastAsiaTheme="majorEastAsia" w:cstheme="majorEastAsia"/>
          <w:b/>
          <w:sz w:val="24"/>
          <w:szCs w:val="24"/>
        </w:rPr>
      </w:pPr>
      <w:bookmarkStart w:id="174" w:name="_Toc28780"/>
      <w:bookmarkStart w:id="175" w:name="_Toc8018"/>
      <w:r>
        <w:rPr>
          <w:rFonts w:hint="eastAsia" w:asciiTheme="majorEastAsia" w:hAnsiTheme="majorEastAsia" w:eastAsiaTheme="majorEastAsia" w:cstheme="majorEastAsia"/>
          <w:b/>
          <w:sz w:val="24"/>
          <w:szCs w:val="24"/>
        </w:rPr>
        <w:t>10.不可抗力</w:t>
      </w:r>
      <w:bookmarkEnd w:id="174"/>
      <w:bookmarkEnd w:id="175"/>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2" w:firstLineChars="196"/>
        <w:outlineLvl w:val="1"/>
        <w:rPr>
          <w:rFonts w:asciiTheme="majorEastAsia" w:hAnsiTheme="majorEastAsia" w:eastAsiaTheme="majorEastAsia" w:cstheme="majorEastAsia"/>
          <w:b/>
          <w:sz w:val="24"/>
          <w:szCs w:val="24"/>
        </w:rPr>
      </w:pPr>
      <w:bookmarkStart w:id="176" w:name="_Toc3299"/>
      <w:bookmarkStart w:id="177" w:name="_Toc5730"/>
      <w:r>
        <w:rPr>
          <w:rFonts w:hint="eastAsia" w:asciiTheme="majorEastAsia" w:hAnsiTheme="majorEastAsia" w:eastAsiaTheme="majorEastAsia" w:cstheme="majorEastAsia"/>
          <w:b/>
          <w:sz w:val="24"/>
          <w:szCs w:val="24"/>
        </w:rPr>
        <w:t>11.争端的解决</w:t>
      </w:r>
      <w:bookmarkEnd w:id="176"/>
      <w:bookmarkEnd w:id="177"/>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11.1需方和供方应通过友好协商，解决在执行本政府采购合同过程中所发生的或与本政府采购合同有关的一切争端。</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11.2如果协商不成，双方中的任何一方可向需方所在地的人民法院提起诉讼。</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11.3因政府采购合同部分履行引发诉讼的，在诉讼期间，除正在进行诉讼的部分外，本政府采购合同的其它部分应继续执行。</w:t>
      </w:r>
    </w:p>
    <w:p>
      <w:pPr>
        <w:adjustRightInd w:val="0"/>
        <w:snapToGrid w:val="0"/>
        <w:spacing w:line="360" w:lineRule="auto"/>
        <w:ind w:firstLine="472" w:firstLineChars="196"/>
        <w:outlineLvl w:val="1"/>
        <w:rPr>
          <w:rFonts w:asciiTheme="majorEastAsia" w:hAnsiTheme="majorEastAsia" w:eastAsiaTheme="majorEastAsia" w:cstheme="majorEastAsia"/>
          <w:b/>
          <w:sz w:val="24"/>
          <w:szCs w:val="24"/>
        </w:rPr>
      </w:pPr>
      <w:bookmarkStart w:id="178" w:name="_Toc10829"/>
      <w:bookmarkStart w:id="179" w:name="_Toc6690"/>
      <w:r>
        <w:rPr>
          <w:rFonts w:hint="eastAsia" w:asciiTheme="majorEastAsia" w:hAnsiTheme="majorEastAsia" w:eastAsiaTheme="majorEastAsia" w:cstheme="majorEastAsia"/>
          <w:b/>
          <w:sz w:val="24"/>
          <w:szCs w:val="24"/>
        </w:rPr>
        <w:t>12.违约终止政府采购合同</w:t>
      </w:r>
      <w:bookmarkEnd w:id="178"/>
      <w:bookmarkEnd w:id="179"/>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12.1.1如果供方未能在政府采购合同规定的限期或需方同意延长的限期内提供部分或全部服务；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12.1.2如果供方未能履行政府采购合同规定的其它任何义务。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12.1.3未经需方事先书面同意，供方部分转让和分包或全部转让和分包其应履行的政府采购合同义务。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72" w:firstLineChars="196"/>
        <w:outlineLvl w:val="1"/>
        <w:rPr>
          <w:rFonts w:asciiTheme="majorEastAsia" w:hAnsiTheme="majorEastAsia" w:eastAsiaTheme="majorEastAsia" w:cstheme="majorEastAsia"/>
          <w:b/>
          <w:sz w:val="24"/>
          <w:szCs w:val="24"/>
        </w:rPr>
      </w:pPr>
      <w:bookmarkStart w:id="180" w:name="_Toc4475"/>
      <w:bookmarkStart w:id="181" w:name="_Toc12757"/>
      <w:r>
        <w:rPr>
          <w:rFonts w:hint="eastAsia" w:asciiTheme="majorEastAsia" w:hAnsiTheme="majorEastAsia" w:eastAsiaTheme="majorEastAsia" w:cstheme="majorEastAsia"/>
          <w:b/>
          <w:sz w:val="24"/>
          <w:szCs w:val="24"/>
        </w:rPr>
        <w:t>13.政府采购法对政府采购合同变更终止的规定</w:t>
      </w:r>
      <w:bookmarkEnd w:id="180"/>
      <w:bookmarkEnd w:id="181"/>
    </w:p>
    <w:p>
      <w:pPr>
        <w:adjustRightInd w:val="0"/>
        <w:snapToGrid w:val="0"/>
        <w:spacing w:line="360" w:lineRule="auto"/>
        <w:ind w:firstLine="470"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72" w:firstLineChars="196"/>
        <w:outlineLvl w:val="1"/>
        <w:rPr>
          <w:rFonts w:asciiTheme="majorEastAsia" w:hAnsiTheme="majorEastAsia" w:eastAsiaTheme="majorEastAsia" w:cstheme="majorEastAsia"/>
          <w:b/>
          <w:sz w:val="24"/>
          <w:szCs w:val="24"/>
        </w:rPr>
      </w:pPr>
      <w:bookmarkStart w:id="182" w:name="_Toc4948"/>
      <w:bookmarkStart w:id="183" w:name="_Toc11103"/>
      <w:r>
        <w:rPr>
          <w:rFonts w:hint="eastAsia" w:asciiTheme="majorEastAsia" w:hAnsiTheme="majorEastAsia" w:eastAsiaTheme="majorEastAsia" w:cstheme="majorEastAsia"/>
          <w:b/>
          <w:sz w:val="24"/>
          <w:szCs w:val="24"/>
        </w:rPr>
        <w:t>14.政府采购合同转让和分包</w:t>
      </w:r>
      <w:bookmarkEnd w:id="182"/>
      <w:bookmarkEnd w:id="183"/>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除招标文件规定,并经需方事先书面同意外，供方不得部分转让和分包或全部转让和分包其应履行的政府采购合同义务。</w:t>
      </w:r>
    </w:p>
    <w:p>
      <w:pPr>
        <w:adjustRightInd w:val="0"/>
        <w:snapToGrid w:val="0"/>
        <w:spacing w:line="360" w:lineRule="auto"/>
        <w:ind w:firstLine="472"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15.适用法律：</w:t>
      </w:r>
      <w:r>
        <w:rPr>
          <w:rFonts w:hint="eastAsia" w:asciiTheme="majorEastAsia" w:hAnsiTheme="majorEastAsia" w:eastAsiaTheme="majorEastAsia" w:cstheme="majorEastAsia"/>
          <w:sz w:val="24"/>
          <w:szCs w:val="24"/>
        </w:rPr>
        <w:t>本政府采购合同按照中华人民共和国的现行法律进行解释。</w:t>
      </w:r>
    </w:p>
    <w:p>
      <w:pPr>
        <w:adjustRightInd w:val="0"/>
        <w:snapToGrid w:val="0"/>
        <w:spacing w:line="360" w:lineRule="auto"/>
        <w:ind w:firstLine="472" w:firstLineChars="196"/>
        <w:outlineLvl w:val="1"/>
        <w:rPr>
          <w:rFonts w:asciiTheme="majorEastAsia" w:hAnsiTheme="majorEastAsia" w:eastAsiaTheme="majorEastAsia" w:cstheme="majorEastAsia"/>
          <w:b/>
          <w:sz w:val="24"/>
          <w:szCs w:val="24"/>
        </w:rPr>
      </w:pPr>
      <w:bookmarkStart w:id="184" w:name="_Toc1621"/>
      <w:bookmarkStart w:id="185" w:name="_Toc190"/>
      <w:r>
        <w:rPr>
          <w:rFonts w:hint="eastAsia" w:asciiTheme="majorEastAsia" w:hAnsiTheme="majorEastAsia" w:eastAsiaTheme="majorEastAsia" w:cstheme="majorEastAsia"/>
          <w:b/>
          <w:sz w:val="24"/>
          <w:szCs w:val="24"/>
        </w:rPr>
        <w:t>16.政府采购合同生效</w:t>
      </w:r>
      <w:bookmarkEnd w:id="184"/>
      <w:bookmarkEnd w:id="185"/>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16.1本政府采购合同在工序双方法定代表人或其授权代理人签字和加盖公章后生效。</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16.2本政府采购合同一式五份，需方执二份，供方、采购代理机构、财政部门各执一份。 </w:t>
      </w:r>
    </w:p>
    <w:p>
      <w:pPr>
        <w:adjustRightInd w:val="0"/>
        <w:snapToGrid w:val="0"/>
        <w:spacing w:line="360" w:lineRule="auto"/>
        <w:ind w:firstLine="472" w:firstLineChars="196"/>
        <w:outlineLvl w:val="1"/>
        <w:rPr>
          <w:rFonts w:asciiTheme="majorEastAsia" w:hAnsiTheme="majorEastAsia" w:eastAsiaTheme="majorEastAsia" w:cstheme="majorEastAsia"/>
          <w:b/>
          <w:sz w:val="24"/>
          <w:szCs w:val="24"/>
        </w:rPr>
      </w:pPr>
      <w:bookmarkStart w:id="186" w:name="_Toc16958"/>
      <w:bookmarkStart w:id="187" w:name="_Toc21568"/>
      <w:r>
        <w:rPr>
          <w:rFonts w:hint="eastAsia" w:asciiTheme="majorEastAsia" w:hAnsiTheme="majorEastAsia" w:eastAsiaTheme="majorEastAsia" w:cstheme="majorEastAsia"/>
          <w:b/>
          <w:sz w:val="24"/>
          <w:szCs w:val="24"/>
        </w:rPr>
        <w:t>17.政府采购合同附件</w:t>
      </w:r>
      <w:bookmarkEnd w:id="186"/>
      <w:bookmarkEnd w:id="187"/>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下列文件构成本政府采购合同不可分割的组成部分，与本政府采购合同具有同等法律效力：</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17.1招标文件；</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17.2招标文件的更正公告、变更公告；</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17.3中标投标人提交的投标文件；        </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17.4政府采购合同条款；</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17.5中标通知书；</w:t>
      </w:r>
    </w:p>
    <w:p>
      <w:pPr>
        <w:pStyle w:val="8"/>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17.6政府采购合同的其它附件。</w:t>
      </w:r>
      <w:bookmarkEnd w:id="157"/>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Style w:val="5"/>
        <w:adjustRightInd w:val="0"/>
        <w:snapToGrid w:val="0"/>
        <w:spacing w:line="240" w:lineRule="auto"/>
        <w:jc w:val="left"/>
        <w:rPr>
          <w:rFonts w:asciiTheme="majorEastAsia" w:hAnsiTheme="majorEastAsia" w:eastAsiaTheme="majorEastAsia" w:cstheme="majorEastAsia"/>
          <w:szCs w:val="24"/>
        </w:rPr>
      </w:pPr>
      <w:bookmarkStart w:id="188" w:name="_Toc5141"/>
      <w:bookmarkStart w:id="189" w:name="_Toc21036"/>
      <w:bookmarkStart w:id="190" w:name="_Toc3235"/>
      <w:bookmarkStart w:id="191" w:name="_Toc7342_WPSOffice_Level1"/>
      <w:bookmarkStart w:id="192" w:name="_Toc3044_WPSOffice_Level1"/>
      <w:bookmarkStart w:id="193" w:name="_Toc372_WPSOffice_Level1"/>
      <w:bookmarkStart w:id="194" w:name="_Toc25946"/>
      <w:bookmarkStart w:id="195" w:name="_Toc11217"/>
      <w:bookmarkStart w:id="196" w:name="_Toc31052"/>
      <w:r>
        <w:rPr>
          <w:rFonts w:hint="eastAsia" w:asciiTheme="majorEastAsia" w:hAnsiTheme="majorEastAsia" w:eastAsiaTheme="majorEastAsia" w:cstheme="majorEastAsia"/>
          <w:szCs w:val="24"/>
        </w:rPr>
        <w:t>合同格式</w:t>
      </w:r>
      <w:bookmarkEnd w:id="188"/>
      <w:bookmarkEnd w:id="189"/>
      <w:bookmarkEnd w:id="190"/>
      <w:bookmarkEnd w:id="191"/>
      <w:bookmarkEnd w:id="192"/>
      <w:bookmarkEnd w:id="193"/>
      <w:bookmarkEnd w:id="194"/>
      <w:bookmarkEnd w:id="195"/>
      <w:bookmarkEnd w:id="196"/>
    </w:p>
    <w:p>
      <w:pPr>
        <w:adjustRightInd w:val="0"/>
        <w:snapToGrid w:val="0"/>
        <w:spacing w:line="360" w:lineRule="auto"/>
        <w:jc w:val="center"/>
        <w:rPr>
          <w:rFonts w:hint="eastAsia" w:asciiTheme="majorEastAsia" w:hAnsiTheme="majorEastAsia" w:eastAsiaTheme="majorEastAsia" w:cstheme="majorEastAsia"/>
          <w:b/>
          <w:bCs/>
          <w:sz w:val="24"/>
          <w:szCs w:val="24"/>
          <w:lang w:eastAsia="zh-CN"/>
        </w:rPr>
      </w:pPr>
      <w:bookmarkStart w:id="197" w:name="_Toc7832_WPSOffice_Level1"/>
      <w:bookmarkStart w:id="198" w:name="_Toc11644_WPSOffice_Level1"/>
      <w:r>
        <w:rPr>
          <w:rFonts w:hint="eastAsia" w:asciiTheme="majorEastAsia" w:hAnsiTheme="majorEastAsia" w:eastAsiaTheme="majorEastAsia" w:cstheme="majorEastAsia"/>
          <w:b/>
          <w:bCs/>
          <w:sz w:val="24"/>
          <w:szCs w:val="24"/>
        </w:rPr>
        <w:t>政府采购合同格式</w:t>
      </w:r>
      <w:bookmarkEnd w:id="197"/>
      <w:bookmarkEnd w:id="198"/>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参考合同</w:t>
      </w:r>
      <w:r>
        <w:rPr>
          <w:rFonts w:hint="eastAsia" w:asciiTheme="majorEastAsia" w:hAnsiTheme="majorEastAsia" w:eastAsiaTheme="majorEastAsia" w:cstheme="majorEastAsia"/>
          <w:b/>
          <w:bCs/>
          <w:sz w:val="24"/>
          <w:szCs w:val="24"/>
          <w:lang w:eastAsia="zh-CN"/>
        </w:rPr>
        <w:t>）</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政府采购合同编号：</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签订地点：</w:t>
      </w:r>
    </w:p>
    <w:p>
      <w:pPr>
        <w:adjustRightInd w:val="0"/>
        <w:snapToGrid w:val="0"/>
        <w:spacing w:line="360" w:lineRule="auto"/>
        <w:ind w:firstLine="64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(需方名称</w:t>
      </w:r>
      <w:r>
        <w:rPr>
          <w:rFonts w:hint="eastAsia" w:asciiTheme="majorEastAsia" w:hAnsiTheme="majorEastAsia" w:eastAsiaTheme="majorEastAsia" w:cstheme="majorEastAsia"/>
          <w:sz w:val="24"/>
          <w:szCs w:val="24"/>
        </w:rPr>
        <w:t>) （以下简称需方）和</w:t>
      </w:r>
      <w:r>
        <w:rPr>
          <w:rFonts w:hint="eastAsia" w:asciiTheme="majorEastAsia" w:hAnsiTheme="majorEastAsia" w:eastAsiaTheme="majorEastAsia" w:cstheme="majorEastAsia"/>
          <w:sz w:val="24"/>
          <w:szCs w:val="24"/>
          <w:u w:val="single"/>
        </w:rPr>
        <w:t xml:space="preserve">   (供方名称)    </w:t>
      </w:r>
      <w:r>
        <w:rPr>
          <w:rFonts w:hint="eastAsia" w:asciiTheme="majorEastAsia" w:hAnsiTheme="majorEastAsia" w:eastAsiaTheme="majorEastAsia" w:cstheme="majorEastAsia"/>
          <w:sz w:val="24"/>
          <w:szCs w:val="24"/>
        </w:rPr>
        <w:t xml:space="preserve"> （以下简称供方）根据《中华人民共和国</w:t>
      </w:r>
      <w:r>
        <w:rPr>
          <w:rFonts w:hint="eastAsia" w:asciiTheme="majorEastAsia" w:hAnsiTheme="majorEastAsia" w:eastAsiaTheme="majorEastAsia" w:cstheme="majorEastAsia"/>
          <w:sz w:val="24"/>
          <w:szCs w:val="24"/>
          <w:lang w:eastAsia="zh-CN"/>
        </w:rPr>
        <w:t>民法典</w:t>
      </w:r>
      <w:r>
        <w:rPr>
          <w:rFonts w:hint="eastAsia" w:asciiTheme="majorEastAsia" w:hAnsiTheme="majorEastAsia" w:eastAsiaTheme="majorEastAsia" w:cstheme="majorEastAsia"/>
          <w:sz w:val="24"/>
          <w:szCs w:val="24"/>
        </w:rPr>
        <w:t>》和有关法律法规，遵循平等、自愿、公平和诚实信用原则，同意按照下面的条款和条件订立本政府采购合同，共同信守。</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一、政府采购合同文件</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本政府采购合同所附下列文件是构成本政府采购合同不可分割的部分：</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1.招标文件（招标文件编号</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2.招标文件的更正公告、变更公告；</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3.中标投标人提交的投标文件；</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4.政府采购合同条款；</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5.中标通知书；</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6.政府采购合同的其它附件。</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二、政府采购合同范围和条件</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本政府采购合同的范围和条件与上述政府采购合同文件的规定相一致。</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三、政府采购合同标的</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本政府采购合同的标的为政府采购合同服务清单(同投标文件中投标服务价格明细表)中所列相关服务。</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四、政府采购合同金额</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根据上述政府采购合同文件要求，政府采购合同的总金额为人民币</w:t>
      </w:r>
      <w:r>
        <w:rPr>
          <w:rFonts w:hint="eastAsia" w:asciiTheme="majorEastAsia" w:hAnsiTheme="majorEastAsia" w:eastAsiaTheme="majorEastAsia" w:cstheme="majorEastAsia"/>
          <w:sz w:val="24"/>
          <w:szCs w:val="24"/>
          <w:u w:val="single"/>
        </w:rPr>
        <w:t xml:space="preserve">  （大写）                </w:t>
      </w:r>
      <w:r>
        <w:rPr>
          <w:rFonts w:hint="eastAsia" w:asciiTheme="majorEastAsia" w:hAnsiTheme="majorEastAsia" w:eastAsiaTheme="majorEastAsia" w:cstheme="majorEastAsia"/>
          <w:sz w:val="24"/>
          <w:szCs w:val="24"/>
        </w:rPr>
        <w:t xml:space="preserve"> 元。</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五、付款方式及条件</w:t>
      </w:r>
    </w:p>
    <w:p>
      <w:pPr>
        <w:adjustRightInd w:val="0"/>
        <w:snapToGrid w:val="0"/>
        <w:spacing w:line="360" w:lineRule="auto"/>
        <w:jc w:val="lef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    1.付款时间：</w:t>
      </w:r>
    </w:p>
    <w:p>
      <w:pPr>
        <w:adjustRightInd w:val="0"/>
        <w:snapToGrid w:val="0"/>
        <w:spacing w:line="360" w:lineRule="auto"/>
        <w:ind w:firstLine="480"/>
        <w:jc w:val="left"/>
        <w:rPr>
          <w:rFonts w:hint="default" w:asciiTheme="majorEastAsia" w:hAnsiTheme="majorEastAsia" w:eastAsiaTheme="majorEastAsia" w:cstheme="majorEastAsia"/>
          <w:sz w:val="24"/>
          <w:szCs w:val="24"/>
          <w:u w:val="none"/>
          <w:lang w:val="en-US" w:eastAsia="zh-CN"/>
        </w:rPr>
      </w:pPr>
      <w:r>
        <w:rPr>
          <w:rFonts w:hint="eastAsia" w:asciiTheme="majorEastAsia" w:hAnsiTheme="majorEastAsia" w:eastAsiaTheme="majorEastAsia" w:cstheme="majorEastAsia"/>
          <w:sz w:val="24"/>
          <w:szCs w:val="24"/>
          <w:u w:val="none"/>
        </w:rPr>
        <w:t>2.付款方式：</w:t>
      </w:r>
      <w:r>
        <w:rPr>
          <w:rFonts w:hint="eastAsia" w:asciiTheme="majorEastAsia" w:hAnsiTheme="majorEastAsia" w:eastAsiaTheme="majorEastAsia" w:cstheme="majorEastAsia"/>
          <w:sz w:val="24"/>
          <w:szCs w:val="24"/>
          <w:u w:val="none"/>
          <w:lang w:val="en-US" w:eastAsia="zh-CN"/>
        </w:rPr>
        <w:t>合同签订时</w:t>
      </w:r>
      <w:r>
        <w:rPr>
          <w:rFonts w:hint="eastAsia" w:asciiTheme="majorEastAsia" w:hAnsiTheme="majorEastAsia" w:eastAsiaTheme="majorEastAsia" w:cstheme="majorEastAsia"/>
          <w:sz w:val="24"/>
          <w:szCs w:val="24"/>
          <w:u w:val="none"/>
        </w:rPr>
        <w:t>收取中标价10%的项目完善费用。按项目要求，功能均实现且用户满意，可进行预验收，预验收合格后，支付合同总款项的50%；经试运行后，可进行验收，验收合格后支付合同总款项的50%。项目完善费用待项目实施完成后无息退还。</w:t>
      </w:r>
    </w:p>
    <w:p>
      <w:pPr>
        <w:adjustRightInd w:val="0"/>
        <w:snapToGrid w:val="0"/>
        <w:spacing w:line="360" w:lineRule="auto"/>
        <w:ind w:firstLine="480"/>
        <w:jc w:val="lef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3.付款条件：</w:t>
      </w:r>
      <w:r>
        <w:rPr>
          <w:rFonts w:hint="eastAsia" w:asciiTheme="majorEastAsia" w:hAnsiTheme="majorEastAsia" w:eastAsiaTheme="majorEastAsia" w:cstheme="majorEastAsia"/>
          <w:sz w:val="24"/>
          <w:szCs w:val="24"/>
          <w:lang w:val="en-US" w:eastAsia="zh-CN"/>
        </w:rPr>
        <w:t>银行转账</w:t>
      </w:r>
      <w:r>
        <w:rPr>
          <w:rFonts w:hint="eastAsia" w:asciiTheme="majorEastAsia" w:hAnsiTheme="majorEastAsia" w:eastAsiaTheme="majorEastAsia" w:cstheme="majorEastAsia"/>
          <w:sz w:val="24"/>
          <w:szCs w:val="24"/>
        </w:rPr>
        <w:t>。</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　　六、服务时间和服务地点</w:t>
      </w:r>
    </w:p>
    <w:p>
      <w:pPr>
        <w:adjustRightInd w:val="0"/>
        <w:snapToGrid w:val="0"/>
        <w:spacing w:line="360" w:lineRule="auto"/>
        <w:jc w:val="left"/>
        <w:rPr>
          <w:rFonts w:asciiTheme="minorEastAsia" w:hAnsiTheme="minorEastAsia" w:cstheme="minorEastAsia"/>
          <w:szCs w:val="21"/>
          <w:u w:val="single"/>
        </w:rPr>
      </w:pPr>
      <w:r>
        <w:rPr>
          <w:rFonts w:hint="eastAsia" w:asciiTheme="majorEastAsia" w:hAnsiTheme="majorEastAsia" w:eastAsiaTheme="majorEastAsia" w:cstheme="majorEastAsia"/>
          <w:sz w:val="24"/>
          <w:szCs w:val="24"/>
        </w:rPr>
        <w:t xml:space="preserve">   </w:t>
      </w: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交付</w:t>
      </w:r>
      <w:r>
        <w:rPr>
          <w:rFonts w:hint="eastAsia" w:asciiTheme="minorEastAsia" w:hAnsiTheme="minorEastAsia" w:cstheme="minorEastAsia"/>
          <w:szCs w:val="21"/>
        </w:rPr>
        <w:t>时间：</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2.服务地点：西安医学院指定地点；</w:t>
      </w:r>
    </w:p>
    <w:p>
      <w:pPr>
        <w:adjustRightInd w:val="0"/>
        <w:snapToGrid w:val="0"/>
        <w:spacing w:line="360" w:lineRule="auto"/>
        <w:jc w:val="left"/>
        <w:rPr>
          <w:rFonts w:asciiTheme="majorEastAsia" w:hAnsiTheme="majorEastAsia" w:eastAsiaTheme="majorEastAsia" w:cstheme="majorEastAsia"/>
          <w:sz w:val="24"/>
          <w:szCs w:val="24"/>
          <w:u w:val="single"/>
        </w:rPr>
      </w:pPr>
      <w:r>
        <w:rPr>
          <w:rFonts w:hint="eastAsia" w:asciiTheme="minorEastAsia" w:hAnsiTheme="minorEastAsia" w:cstheme="minorEastAsia"/>
          <w:b/>
          <w:szCs w:val="21"/>
        </w:rPr>
        <w:t>　　</w:t>
      </w:r>
      <w:r>
        <w:rPr>
          <w:rStyle w:val="21"/>
          <w:rFonts w:hint="eastAsia" w:asciiTheme="minorHAnsi" w:hAnsiTheme="minorHAnsi" w:eastAsiaTheme="minorEastAsia" w:cstheme="minorBidi"/>
        </w:rPr>
        <w:t>3.质保期：自验收合格之日起</w:t>
      </w:r>
      <w:r>
        <w:rPr>
          <w:rStyle w:val="21"/>
          <w:rFonts w:hint="eastAsia" w:asciiTheme="minorHAnsi" w:hAnsiTheme="minorHAnsi" w:eastAsiaTheme="minorEastAsia" w:cstheme="minorBidi"/>
          <w:lang w:val="en-US" w:eastAsia="zh-CN"/>
        </w:rPr>
        <w:t xml:space="preserve">  </w:t>
      </w:r>
      <w:r>
        <w:rPr>
          <w:rStyle w:val="21"/>
          <w:rFonts w:hint="eastAsia" w:asciiTheme="minorHAnsi" w:hAnsiTheme="minorHAnsi" w:eastAsiaTheme="minorEastAsia" w:cstheme="minorBidi"/>
        </w:rPr>
        <w:t>年。</w:t>
      </w:r>
    </w:p>
    <w:p>
      <w:pPr>
        <w:adjustRightInd w:val="0"/>
        <w:snapToGrid w:val="0"/>
        <w:spacing w:line="360" w:lineRule="auto"/>
        <w:jc w:val="left"/>
        <w:rPr>
          <w:rFonts w:ascii="宋体" w:hAnsi="宋体" w:eastAsia="宋体" w:cs="宋体"/>
          <w:b/>
          <w:sz w:val="24"/>
          <w:szCs w:val="24"/>
        </w:rPr>
      </w:pPr>
      <w:r>
        <w:rPr>
          <w:rFonts w:hint="eastAsia" w:asciiTheme="majorEastAsia" w:hAnsiTheme="majorEastAsia" w:eastAsiaTheme="majorEastAsia" w:cstheme="majorEastAsia"/>
          <w:b/>
          <w:sz w:val="24"/>
          <w:szCs w:val="24"/>
        </w:rPr>
        <w:t>　　</w:t>
      </w:r>
      <w:r>
        <w:rPr>
          <w:rFonts w:hint="eastAsia" w:ascii="宋体" w:hAnsi="宋体" w:eastAsia="宋体" w:cs="宋体"/>
          <w:b/>
          <w:sz w:val="24"/>
          <w:szCs w:val="24"/>
        </w:rPr>
        <w:t>七、验收要求</w:t>
      </w:r>
    </w:p>
    <w:p>
      <w:pPr>
        <w:adjustRightInd w:val="0"/>
        <w:snapToGrid w:val="0"/>
        <w:spacing w:line="360" w:lineRule="auto"/>
        <w:jc w:val="left"/>
        <w:rPr>
          <w:rFonts w:ascii="宋体" w:hAnsi="宋体" w:eastAsia="宋体" w:cs="宋体"/>
          <w:sz w:val="24"/>
          <w:szCs w:val="24"/>
          <w:u w:val="single"/>
        </w:rPr>
      </w:pPr>
      <w:r>
        <w:rPr>
          <w:rFonts w:hint="eastAsia" w:ascii="宋体" w:hAnsi="宋体" w:eastAsia="宋体" w:cs="宋体"/>
          <w:sz w:val="24"/>
          <w:szCs w:val="24"/>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八、违约责任</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1.供方逾期提供服务的，每逾期一天向需方支付合同金额%的违约金，逾期日的，需方有权单方面解除本协议。</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供方提供的服务不符合约定的，需方有权向供方书面提出整改意见，供方需无条件整改至符合约定，自需方向供方提出书面意见之日起日内，供方仍未整改或整改后服务仍不符合约定的，需方有权单方面解除本协议。</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3.需方逾期付款的，每逾期一天向供方支付逾期金额%的违约金，逾期日的，供方有权单方面解除本协议。</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九、争议解决</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十、合同生效</w:t>
      </w:r>
    </w:p>
    <w:p>
      <w:pPr>
        <w:adjustRightInd w:val="0"/>
        <w:snapToGrid w:val="0"/>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本政府采购合同经双方授权代表签字盖章后生效。</w:t>
      </w:r>
    </w:p>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需方（公章）:                       供方(公章):</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法定代表人或授权代表人(签字):       法定代表人或授权代表人(签字):</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地址：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地址：</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联系人：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联系人：</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电话：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电话：</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传真：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传真：</w:t>
      </w:r>
    </w:p>
    <w:p>
      <w:pPr>
        <w:adjustRightInd w:val="0"/>
        <w:snapToGrid w:val="0"/>
        <w:spacing w:line="360" w:lineRule="auto"/>
        <w:ind w:firstLine="480" w:firstLineChars="2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邮编：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邮编：</w:t>
      </w:r>
    </w:p>
    <w:p>
      <w:pPr>
        <w:spacing w:line="460" w:lineRule="exact"/>
        <w:ind w:firstLine="480" w:firstLineChars="200"/>
        <w:rPr>
          <w:rFonts w:ascii="宋体" w:hAnsi="宋体" w:cs="宋体"/>
          <w:sz w:val="24"/>
          <w:szCs w:val="24"/>
        </w:rPr>
      </w:pPr>
      <w:r>
        <w:rPr>
          <w:rFonts w:hint="eastAsia" w:asciiTheme="majorEastAsia" w:hAnsiTheme="majorEastAsia" w:eastAsiaTheme="majorEastAsia" w:cstheme="majorEastAsia"/>
          <w:sz w:val="24"/>
          <w:szCs w:val="24"/>
        </w:rPr>
        <w:t>日期：</w:t>
      </w:r>
      <w:r>
        <w:rPr>
          <w:rFonts w:hint="eastAsia" w:asciiTheme="majorEastAsia" w:hAnsiTheme="majorEastAsia" w:eastAsiaTheme="majorEastAsia" w:cstheme="majorEastAsia"/>
          <w:sz w:val="24"/>
          <w:szCs w:val="24"/>
          <w:u w:val="single"/>
        </w:rPr>
        <w:t xml:space="preserve">      年      月      日</w:t>
      </w:r>
      <w:r>
        <w:rPr>
          <w:rFonts w:hint="eastAsia" w:asciiTheme="majorEastAsia" w:hAnsiTheme="majorEastAsia" w:eastAsiaTheme="majorEastAsia" w:cstheme="majorEastAsia"/>
          <w:sz w:val="24"/>
          <w:szCs w:val="24"/>
        </w:rPr>
        <w:t xml:space="preserve">      日期：</w:t>
      </w:r>
      <w:r>
        <w:rPr>
          <w:rFonts w:hint="eastAsia" w:asciiTheme="majorEastAsia" w:hAnsiTheme="majorEastAsia" w:eastAsiaTheme="majorEastAsia" w:cstheme="majorEastAsia"/>
          <w:sz w:val="24"/>
          <w:szCs w:val="24"/>
          <w:u w:val="single"/>
        </w:rPr>
        <w:t xml:space="preserve">       年      月     日</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Style w:val="4"/>
        <w:keepNext w:val="0"/>
        <w:pageBreakBefore/>
        <w:rPr>
          <w:rFonts w:ascii="宋体" w:hAnsi="宋体" w:cs="宋体"/>
        </w:rPr>
      </w:pPr>
      <w:bookmarkStart w:id="199" w:name="_Toc2572"/>
      <w:bookmarkStart w:id="200" w:name="_Toc6418"/>
      <w:r>
        <w:rPr>
          <w:rFonts w:hint="eastAsia" w:ascii="宋体" w:hAnsi="宋体" w:cs="宋体"/>
        </w:rPr>
        <w:t>第七部分 磋商响应文件格式</w:t>
      </w:r>
      <w:bookmarkEnd w:id="199"/>
      <w:bookmarkEnd w:id="200"/>
    </w:p>
    <w:p>
      <w:pPr>
        <w:adjustRightInd w:val="0"/>
        <w:snapToGrid w:val="0"/>
        <w:spacing w:line="400" w:lineRule="exact"/>
        <w:jc w:val="left"/>
        <w:rPr>
          <w:rFonts w:ascii="宋体" w:hAnsi="宋体" w:cs="宋体"/>
          <w:b/>
          <w:w w:val="120"/>
          <w:sz w:val="28"/>
          <w:szCs w:val="28"/>
        </w:rPr>
      </w:pPr>
      <w:r>
        <w:rPr>
          <w:rFonts w:hint="eastAsia" w:ascii="宋体" w:hAnsi="宋体" w:cs="宋体"/>
          <w:b/>
          <w:w w:val="120"/>
          <w:sz w:val="28"/>
          <w:szCs w:val="28"/>
        </w:rPr>
        <w:t>项目编号：</w:t>
      </w:r>
      <w:r>
        <w:rPr>
          <w:rFonts w:hint="eastAsia" w:ascii="宋体" w:hAnsi="宋体" w:cs="宋体"/>
          <w:b/>
          <w:w w:val="120"/>
          <w:sz w:val="28"/>
          <w:szCs w:val="28"/>
          <w:lang w:eastAsia="zh-CN"/>
        </w:rPr>
        <w:t>SXWZ2023ZB-YXY-262</w:t>
      </w:r>
      <w:r>
        <w:rPr>
          <w:rFonts w:hint="eastAsia" w:ascii="宋体" w:hAnsi="宋体" w:cs="宋体"/>
          <w:b/>
          <w:w w:val="120"/>
          <w:sz w:val="28"/>
          <w:szCs w:val="28"/>
        </w:rPr>
        <w:t xml:space="preserve">     （正本或副本）</w:t>
      </w:r>
    </w:p>
    <w:p>
      <w:pPr>
        <w:adjustRightInd w:val="0"/>
        <w:snapToGrid w:val="0"/>
        <w:spacing w:line="480" w:lineRule="auto"/>
        <w:rPr>
          <w:rFonts w:ascii="宋体" w:hAnsi="宋体" w:cs="宋体"/>
          <w:b/>
          <w:sz w:val="44"/>
          <w:szCs w:val="44"/>
        </w:rPr>
      </w:pP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lang w:eastAsia="zh-CN"/>
        </w:rPr>
        <w:t>西安医学院教学质量监测与评估系统建设采购项目</w:t>
      </w:r>
      <w:r>
        <w:rPr>
          <w:rFonts w:hint="eastAsia" w:ascii="宋体" w:hAnsi="宋体" w:cs="宋体"/>
          <w:b/>
          <w:sz w:val="52"/>
          <w:szCs w:val="52"/>
        </w:rPr>
        <w:t xml:space="preserve">                                    响</w:t>
      </w:r>
    </w:p>
    <w:p>
      <w:pPr>
        <w:adjustRightInd w:val="0"/>
        <w:snapToGrid w:val="0"/>
        <w:spacing w:line="480" w:lineRule="auto"/>
        <w:jc w:val="center"/>
        <w:rPr>
          <w:rFonts w:hint="eastAsia" w:ascii="宋体" w:hAnsi="宋体" w:cs="宋体"/>
          <w:b/>
          <w:sz w:val="52"/>
          <w:szCs w:val="52"/>
        </w:rPr>
      </w:pPr>
      <w:bookmarkStart w:id="201" w:name="_Toc11498"/>
      <w:r>
        <w:rPr>
          <w:rFonts w:hint="eastAsia" w:ascii="宋体" w:hAnsi="宋体" w:cs="宋体"/>
          <w:b/>
          <w:sz w:val="52"/>
          <w:szCs w:val="52"/>
        </w:rPr>
        <w:t>应</w:t>
      </w:r>
      <w:bookmarkEnd w:id="201"/>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文</w:t>
      </w:r>
    </w:p>
    <w:p>
      <w:pPr>
        <w:adjustRightInd w:val="0"/>
        <w:snapToGrid w:val="0"/>
        <w:spacing w:line="480" w:lineRule="auto"/>
        <w:jc w:val="center"/>
        <w:rPr>
          <w:rFonts w:ascii="宋体" w:hAnsi="宋体" w:cs="宋体"/>
          <w:sz w:val="52"/>
          <w:szCs w:val="52"/>
        </w:rPr>
      </w:pPr>
      <w:r>
        <w:rPr>
          <w:rFonts w:hint="eastAsia" w:ascii="宋体" w:hAnsi="宋体" w:cs="宋体"/>
          <w:b/>
          <w:sz w:val="52"/>
          <w:szCs w:val="52"/>
        </w:rPr>
        <w:t>件</w:t>
      </w:r>
    </w:p>
    <w:p>
      <w:pPr>
        <w:snapToGrid w:val="0"/>
        <w:spacing w:line="480" w:lineRule="auto"/>
        <w:ind w:firstLine="640" w:firstLineChars="200"/>
        <w:jc w:val="left"/>
        <w:rPr>
          <w:rFonts w:ascii="宋体" w:hAnsi="宋体" w:cs="宋体"/>
          <w:sz w:val="32"/>
          <w:szCs w:val="32"/>
          <w:lang w:val="zh-CN"/>
        </w:rPr>
      </w:pPr>
    </w:p>
    <w:p>
      <w:pPr>
        <w:snapToGrid w:val="0"/>
        <w:spacing w:line="480" w:lineRule="auto"/>
        <w:ind w:firstLine="640" w:firstLineChars="200"/>
        <w:jc w:val="left"/>
        <w:rPr>
          <w:rFonts w:ascii="宋体" w:hAnsi="宋体" w:cs="宋体"/>
          <w:sz w:val="32"/>
          <w:szCs w:val="32"/>
          <w:u w:val="single"/>
        </w:rPr>
      </w:pPr>
      <w:r>
        <w:rPr>
          <w:rFonts w:hint="eastAsia" w:ascii="宋体" w:hAnsi="宋体" w:cs="宋体"/>
          <w:sz w:val="32"/>
          <w:szCs w:val="32"/>
          <w:lang w:val="zh-CN"/>
        </w:rPr>
        <w:t>供应商（单位名称及公章）：</w:t>
      </w:r>
    </w:p>
    <w:p>
      <w:pPr>
        <w:snapToGrid w:val="0"/>
        <w:spacing w:line="480" w:lineRule="auto"/>
        <w:ind w:left="638" w:leftChars="304"/>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ageBreakBefore/>
        <w:ind w:firstLine="1004" w:firstLineChars="200"/>
        <w:jc w:val="center"/>
        <w:rPr>
          <w:rFonts w:ascii="宋体" w:cs="宋体"/>
          <w:b/>
          <w:color w:val="000000" w:themeColor="text1"/>
          <w:sz w:val="50"/>
          <w14:textFill>
            <w14:solidFill>
              <w14:schemeClr w14:val="tx1"/>
            </w14:solidFill>
          </w14:textFill>
        </w:rPr>
      </w:pPr>
      <w:bookmarkStart w:id="202" w:name="_Toc17527_WPSOffice_Level1"/>
      <w:r>
        <w:rPr>
          <w:rFonts w:hint="eastAsia" w:ascii="宋体" w:hAnsi="宋体" w:cs="宋体"/>
          <w:b/>
          <w:color w:val="000000" w:themeColor="text1"/>
          <w:sz w:val="50"/>
          <w14:textFill>
            <w14:solidFill>
              <w14:schemeClr w14:val="tx1"/>
            </w14:solidFill>
          </w14:textFill>
        </w:rPr>
        <w:t>目录</w:t>
      </w:r>
      <w:bookmarkEnd w:id="202"/>
    </w:p>
    <w:p>
      <w:pPr>
        <w:ind w:firstLine="1004" w:firstLineChars="200"/>
        <w:jc w:val="left"/>
        <w:rPr>
          <w:rFonts w:ascii="宋体" w:cs="宋体"/>
          <w:b/>
          <w:color w:val="000000" w:themeColor="text1"/>
          <w:sz w:val="50"/>
          <w14:textFill>
            <w14:solidFill>
              <w14:schemeClr w14:val="tx1"/>
            </w14:solidFill>
          </w14:textFill>
        </w:rPr>
      </w:pPr>
    </w:p>
    <w:p>
      <w:pPr>
        <w:pStyle w:val="10"/>
        <w:snapToGrid w:val="0"/>
        <w:spacing w:line="480" w:lineRule="auto"/>
        <w:ind w:firstLine="562" w:firstLineChars="200"/>
        <w:jc w:val="left"/>
        <w:rPr>
          <w:rFonts w:hAnsi="宋体" w:cs="宋体"/>
          <w:b/>
          <w:bCs/>
          <w:color w:val="000000" w:themeColor="text1"/>
          <w:sz w:val="28"/>
          <w:szCs w:val="28"/>
          <w14:textFill>
            <w14:solidFill>
              <w14:schemeClr w14:val="tx1"/>
            </w14:solidFill>
          </w14:textFill>
        </w:rPr>
      </w:pPr>
      <w:bookmarkStart w:id="203" w:name="_Toc3727_WPSOffice_Level1"/>
      <w:r>
        <w:rPr>
          <w:rFonts w:hint="eastAsia" w:hAnsi="宋体" w:cs="宋体"/>
          <w:b/>
          <w:bCs/>
          <w:color w:val="000000" w:themeColor="text1"/>
          <w:sz w:val="28"/>
          <w:szCs w:val="28"/>
          <w14:textFill>
            <w14:solidFill>
              <w14:schemeClr w14:val="tx1"/>
            </w14:solidFill>
          </w14:textFill>
        </w:rPr>
        <w:t>第一章  响应函</w:t>
      </w:r>
      <w:bookmarkEnd w:id="203"/>
    </w:p>
    <w:p>
      <w:pPr>
        <w:snapToGrid w:val="0"/>
        <w:spacing w:line="480" w:lineRule="auto"/>
        <w:ind w:firstLine="562" w:firstLineChars="200"/>
        <w:jc w:val="left"/>
        <w:rPr>
          <w:rFonts w:hAnsi="宋体" w:cs="宋体"/>
          <w:b/>
          <w:color w:val="000000" w:themeColor="text1"/>
          <w:sz w:val="28"/>
          <w:szCs w:val="28"/>
          <w14:textFill>
            <w14:solidFill>
              <w14:schemeClr w14:val="tx1"/>
            </w14:solidFill>
          </w14:textFill>
        </w:rPr>
      </w:pPr>
      <w:bookmarkStart w:id="204" w:name="_Toc23436_WPSOffice_Level1"/>
      <w:r>
        <w:rPr>
          <w:rFonts w:hint="eastAsia" w:ascii="宋体" w:hAnsi="宋体" w:cs="宋体"/>
          <w:b/>
          <w:color w:val="000000" w:themeColor="text1"/>
          <w:sz w:val="28"/>
          <w:szCs w:val="28"/>
          <w14:textFill>
            <w14:solidFill>
              <w14:schemeClr w14:val="tx1"/>
            </w14:solidFill>
          </w14:textFill>
        </w:rPr>
        <w:t>第二</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color w:val="000000" w:themeColor="text1"/>
          <w:sz w:val="28"/>
          <w:szCs w:val="28"/>
          <w14:textFill>
            <w14:solidFill>
              <w14:schemeClr w14:val="tx1"/>
            </w14:solidFill>
          </w14:textFill>
        </w:rPr>
        <w:t>磋商一览表</w:t>
      </w:r>
      <w:bookmarkEnd w:id="204"/>
    </w:p>
    <w:p>
      <w:pPr>
        <w:pStyle w:val="10"/>
        <w:snapToGrid w:val="0"/>
        <w:spacing w:line="480" w:lineRule="auto"/>
        <w:ind w:firstLine="562" w:firstLineChars="200"/>
        <w:jc w:val="left"/>
        <w:rPr>
          <w:rFonts w:hAnsi="宋体" w:cs="宋体"/>
          <w:b/>
          <w:color w:val="000000" w:themeColor="text1"/>
          <w:kern w:val="0"/>
          <w:sz w:val="28"/>
          <w:szCs w:val="28"/>
          <w14:textFill>
            <w14:solidFill>
              <w14:schemeClr w14:val="tx1"/>
            </w14:solidFill>
          </w14:textFill>
        </w:rPr>
      </w:pPr>
      <w:bookmarkStart w:id="205" w:name="_Toc11444_WPSOffice_Level1"/>
      <w:r>
        <w:rPr>
          <w:rFonts w:hint="eastAsia" w:hAnsi="宋体" w:cs="宋体"/>
          <w:b/>
          <w:color w:val="000000" w:themeColor="text1"/>
          <w:sz w:val="28"/>
          <w:szCs w:val="28"/>
          <w14:textFill>
            <w14:solidFill>
              <w14:schemeClr w14:val="tx1"/>
            </w14:solidFill>
          </w14:textFill>
        </w:rPr>
        <w:t>第三</w:t>
      </w:r>
      <w:r>
        <w:rPr>
          <w:rFonts w:hint="eastAsia" w:hAnsi="宋体" w:cs="宋体"/>
          <w:b/>
          <w:bCs/>
          <w:color w:val="000000" w:themeColor="text1"/>
          <w:sz w:val="28"/>
          <w:szCs w:val="28"/>
          <w14:textFill>
            <w14:solidFill>
              <w14:schemeClr w14:val="tx1"/>
            </w14:solidFill>
          </w14:textFill>
        </w:rPr>
        <w:t>章  分项报价表</w:t>
      </w:r>
      <w:bookmarkEnd w:id="205"/>
    </w:p>
    <w:p>
      <w:pPr>
        <w:pStyle w:val="10"/>
        <w:snapToGrid w:val="0"/>
        <w:spacing w:line="480" w:lineRule="auto"/>
        <w:ind w:firstLine="562" w:firstLineChars="200"/>
        <w:jc w:val="left"/>
        <w:rPr>
          <w:rFonts w:hAnsi="宋体" w:cs="宋体"/>
          <w:b/>
          <w:color w:val="000000" w:themeColor="text1"/>
          <w:kern w:val="0"/>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第四</w:t>
      </w:r>
      <w:r>
        <w:rPr>
          <w:rFonts w:hint="eastAsia" w:hAnsi="宋体" w:cs="宋体"/>
          <w:b/>
          <w:bCs/>
          <w:color w:val="000000" w:themeColor="text1"/>
          <w:sz w:val="28"/>
          <w:szCs w:val="28"/>
          <w14:textFill>
            <w14:solidFill>
              <w14:schemeClr w14:val="tx1"/>
            </w14:solidFill>
          </w14:textFill>
        </w:rPr>
        <w:t xml:space="preserve">章  </w:t>
      </w:r>
      <w:r>
        <w:rPr>
          <w:rFonts w:hint="eastAsia" w:hAnsi="宋体" w:cs="宋体"/>
          <w:b/>
          <w:color w:val="000000" w:themeColor="text1"/>
          <w:kern w:val="0"/>
          <w:sz w:val="28"/>
          <w:szCs w:val="28"/>
          <w14:textFill>
            <w14:solidFill>
              <w14:schemeClr w14:val="tx1"/>
            </w14:solidFill>
          </w14:textFill>
        </w:rPr>
        <w:t>磋商保证金</w:t>
      </w:r>
    </w:p>
    <w:p>
      <w:pPr>
        <w:pStyle w:val="10"/>
        <w:snapToGrid w:val="0"/>
        <w:spacing w:line="480" w:lineRule="auto"/>
        <w:ind w:firstLine="562" w:firstLineChars="200"/>
        <w:jc w:val="left"/>
        <w:rPr>
          <w:rFonts w:hAnsi="宋体" w:cs="宋体"/>
          <w:b/>
          <w:color w:val="000000" w:themeColor="text1"/>
          <w:kern w:val="0"/>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第五</w:t>
      </w:r>
      <w:r>
        <w:rPr>
          <w:rFonts w:hint="eastAsia" w:hAnsi="宋体" w:cs="宋体"/>
          <w:b/>
          <w:bCs/>
          <w:color w:val="000000" w:themeColor="text1"/>
          <w:sz w:val="28"/>
          <w:szCs w:val="28"/>
          <w14:textFill>
            <w14:solidFill>
              <w14:schemeClr w14:val="tx1"/>
            </w14:solidFill>
          </w14:textFill>
        </w:rPr>
        <w:t xml:space="preserve">章  </w:t>
      </w:r>
      <w:r>
        <w:rPr>
          <w:rFonts w:hint="eastAsia" w:hAnsi="宋体" w:cs="宋体"/>
          <w:b/>
          <w:color w:val="000000" w:themeColor="text1"/>
          <w:kern w:val="0"/>
          <w:sz w:val="28"/>
          <w:szCs w:val="28"/>
          <w14:textFill>
            <w14:solidFill>
              <w14:schemeClr w14:val="tx1"/>
            </w14:solidFill>
          </w14:textFill>
        </w:rPr>
        <w:t>供应商资质证明资料</w:t>
      </w:r>
    </w:p>
    <w:p>
      <w:pPr>
        <w:pStyle w:val="10"/>
        <w:snapToGrid w:val="0"/>
        <w:spacing w:line="480" w:lineRule="auto"/>
        <w:ind w:firstLine="562" w:firstLineChars="200"/>
        <w:jc w:val="left"/>
        <w:rPr>
          <w:rFonts w:hAnsi="宋体" w:cs="宋体"/>
          <w:b/>
          <w:bCs/>
          <w:color w:val="000000" w:themeColor="text1"/>
          <w:sz w:val="28"/>
          <w:szCs w:val="28"/>
          <w14:textFill>
            <w14:solidFill>
              <w14:schemeClr w14:val="tx1"/>
            </w14:solidFill>
          </w14:textFill>
        </w:rPr>
      </w:pPr>
      <w:bookmarkStart w:id="206" w:name="_Toc5905_WPSOffice_Level1"/>
      <w:r>
        <w:rPr>
          <w:rFonts w:hint="eastAsia" w:hAnsi="宋体" w:cs="宋体"/>
          <w:b/>
          <w:color w:val="000000" w:themeColor="text1"/>
          <w:sz w:val="28"/>
          <w:szCs w:val="28"/>
          <w14:textFill>
            <w14:solidFill>
              <w14:schemeClr w14:val="tx1"/>
            </w14:solidFill>
          </w14:textFill>
        </w:rPr>
        <w:t>第六</w:t>
      </w:r>
      <w:r>
        <w:rPr>
          <w:rFonts w:hint="eastAsia" w:hAnsi="宋体" w:cs="宋体"/>
          <w:b/>
          <w:bCs/>
          <w:color w:val="000000" w:themeColor="text1"/>
          <w:sz w:val="28"/>
          <w:szCs w:val="28"/>
          <w14:textFill>
            <w14:solidFill>
              <w14:schemeClr w14:val="tx1"/>
            </w14:solidFill>
          </w14:textFill>
        </w:rPr>
        <w:t>章  商务和技术响应偏离表</w:t>
      </w:r>
    </w:p>
    <w:p>
      <w:pPr>
        <w:pStyle w:val="10"/>
        <w:snapToGrid w:val="0"/>
        <w:spacing w:line="480" w:lineRule="auto"/>
        <w:ind w:firstLine="562" w:firstLineChars="200"/>
        <w:jc w:val="left"/>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第七</w:t>
      </w:r>
      <w:bookmarkEnd w:id="206"/>
      <w:r>
        <w:rPr>
          <w:rFonts w:hint="eastAsia" w:hAnsi="宋体" w:cs="宋体"/>
          <w:b/>
          <w:bCs/>
          <w:color w:val="000000" w:themeColor="text1"/>
          <w:sz w:val="28"/>
          <w:szCs w:val="28"/>
          <w14:textFill>
            <w14:solidFill>
              <w14:schemeClr w14:val="tx1"/>
            </w14:solidFill>
          </w14:textFill>
        </w:rPr>
        <w:t xml:space="preserve">章  </w:t>
      </w:r>
      <w:r>
        <w:rPr>
          <w:rFonts w:hint="eastAsia" w:hAnsi="宋体" w:cs="宋体"/>
          <w:b/>
          <w:color w:val="000000" w:themeColor="text1"/>
          <w:sz w:val="28"/>
          <w:szCs w:val="28"/>
          <w14:textFill>
            <w14:solidFill>
              <w14:schemeClr w14:val="tx1"/>
            </w14:solidFill>
          </w14:textFill>
        </w:rPr>
        <w:t>技术支持资料</w:t>
      </w:r>
    </w:p>
    <w:p>
      <w:pPr>
        <w:snapToGrid w:val="0"/>
        <w:spacing w:line="480" w:lineRule="auto"/>
        <w:ind w:firstLine="562" w:firstLineChars="200"/>
        <w:jc w:val="left"/>
        <w:rPr>
          <w:rFonts w:ascii="宋体" w:cs="宋体"/>
          <w:b/>
          <w:bCs/>
          <w:color w:val="000000" w:themeColor="text1"/>
          <w:sz w:val="28"/>
          <w:szCs w:val="28"/>
          <w14:textFill>
            <w14:solidFill>
              <w14:schemeClr w14:val="tx1"/>
            </w14:solidFill>
          </w14:textFill>
        </w:rPr>
      </w:pPr>
      <w:bookmarkStart w:id="207" w:name="_Toc1523_WPSOffice_Level1"/>
      <w:r>
        <w:rPr>
          <w:rFonts w:hint="eastAsia" w:ascii="宋体" w:hAnsi="宋体" w:cs="宋体"/>
          <w:b/>
          <w:bCs/>
          <w:color w:val="000000" w:themeColor="text1"/>
          <w:sz w:val="28"/>
          <w:szCs w:val="28"/>
          <w14:textFill>
            <w14:solidFill>
              <w14:schemeClr w14:val="tx1"/>
            </w14:solidFill>
          </w14:textFill>
        </w:rPr>
        <w:t>第八</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bCs/>
          <w:color w:val="000000" w:themeColor="text1"/>
          <w:sz w:val="28"/>
          <w:szCs w:val="28"/>
          <w14:textFill>
            <w14:solidFill>
              <w14:schemeClr w14:val="tx1"/>
            </w14:solidFill>
          </w14:textFill>
        </w:rPr>
        <w:t>供应商业绩一览表</w:t>
      </w:r>
      <w:bookmarkEnd w:id="207"/>
    </w:p>
    <w:p>
      <w:pPr>
        <w:snapToGrid w:val="0"/>
        <w:spacing w:line="480" w:lineRule="auto"/>
        <w:ind w:firstLine="562" w:firstLineChars="200"/>
        <w:jc w:val="left"/>
        <w:rPr>
          <w:rFonts w:ascii="宋体" w:cs="宋体"/>
          <w:b/>
          <w:bCs/>
          <w:color w:val="000000" w:themeColor="text1"/>
          <w:sz w:val="28"/>
          <w:szCs w:val="28"/>
          <w14:textFill>
            <w14:solidFill>
              <w14:schemeClr w14:val="tx1"/>
            </w14:solidFill>
          </w14:textFill>
        </w:rPr>
      </w:pPr>
      <w:bookmarkStart w:id="208" w:name="_Toc13214_WPSOffice_Level1"/>
      <w:r>
        <w:rPr>
          <w:rFonts w:hint="eastAsia" w:ascii="宋体" w:hAnsi="宋体" w:cs="宋体"/>
          <w:b/>
          <w:bCs/>
          <w:color w:val="000000" w:themeColor="text1"/>
          <w:sz w:val="28"/>
          <w:szCs w:val="28"/>
          <w14:textFill>
            <w14:solidFill>
              <w14:schemeClr w14:val="tx1"/>
            </w14:solidFill>
          </w14:textFill>
        </w:rPr>
        <w:t>第九</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bCs/>
          <w:color w:val="000000" w:themeColor="text1"/>
          <w:sz w:val="28"/>
          <w:szCs w:val="28"/>
          <w14:textFill>
            <w14:solidFill>
              <w14:schemeClr w14:val="tx1"/>
            </w14:solidFill>
          </w14:textFill>
        </w:rPr>
        <w:t>供应商认为有必要说明的其他问题</w:t>
      </w:r>
      <w:bookmarkEnd w:id="208"/>
    </w:p>
    <w:p>
      <w:pPr>
        <w:snapToGrid w:val="0"/>
        <w:spacing w:line="480" w:lineRule="auto"/>
        <w:ind w:firstLine="562" w:firstLineChars="200"/>
        <w:jc w:val="left"/>
        <w:rPr>
          <w:rFonts w:ascii="宋体" w:cs="宋体"/>
          <w:b/>
          <w:bCs/>
          <w:color w:val="000000" w:themeColor="text1"/>
          <w:sz w:val="28"/>
          <w:szCs w:val="28"/>
          <w14:textFill>
            <w14:solidFill>
              <w14:schemeClr w14:val="tx1"/>
            </w14:solidFill>
          </w14:textFill>
        </w:rPr>
      </w:pPr>
      <w:bookmarkStart w:id="209" w:name="_Toc1621_WPSOffice_Level1"/>
      <w:r>
        <w:rPr>
          <w:rFonts w:hint="eastAsia" w:ascii="宋体" w:hAnsi="宋体" w:cs="宋体"/>
          <w:b/>
          <w:bCs/>
          <w:color w:val="000000" w:themeColor="text1"/>
          <w:sz w:val="28"/>
          <w:szCs w:val="28"/>
          <w14:textFill>
            <w14:solidFill>
              <w14:schemeClr w14:val="tx1"/>
            </w14:solidFill>
          </w14:textFill>
        </w:rPr>
        <w:t>第十</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bCs/>
          <w:color w:val="000000" w:themeColor="text1"/>
          <w:sz w:val="28"/>
          <w:szCs w:val="28"/>
          <w14:textFill>
            <w14:solidFill>
              <w14:schemeClr w14:val="tx1"/>
            </w14:solidFill>
          </w14:textFill>
        </w:rPr>
        <w:t>供应商承诺书</w:t>
      </w:r>
      <w:bookmarkEnd w:id="209"/>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Style w:val="5"/>
        <w:jc w:val="center"/>
        <w:rPr>
          <w:color w:val="000000" w:themeColor="text1"/>
          <w14:textFill>
            <w14:solidFill>
              <w14:schemeClr w14:val="tx1"/>
            </w14:solidFill>
          </w14:textFill>
        </w:rPr>
      </w:pPr>
      <w:bookmarkStart w:id="210" w:name="_Toc26019"/>
      <w:bookmarkStart w:id="211" w:name="_Toc12579"/>
      <w:bookmarkStart w:id="212" w:name="_Toc14707"/>
      <w:r>
        <w:rPr>
          <w:rFonts w:hint="eastAsia"/>
          <w:color w:val="000000" w:themeColor="text1"/>
          <w14:textFill>
            <w14:solidFill>
              <w14:schemeClr w14:val="tx1"/>
            </w14:solidFill>
          </w14:textFill>
        </w:rPr>
        <w:t>第一章  响应函</w:t>
      </w:r>
      <w:bookmarkEnd w:id="210"/>
      <w:bookmarkEnd w:id="211"/>
      <w:bookmarkEnd w:id="212"/>
    </w:p>
    <w:p>
      <w:pPr>
        <w:adjustRightInd w:val="0"/>
        <w:snapToGrid w:val="0"/>
        <w:spacing w:line="276" w:lineRule="auto"/>
        <w:jc w:val="left"/>
        <w:rPr>
          <w:rFonts w:ascii="宋体" w:cs="宋体"/>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陕西万泽招标有限公司</w:t>
      </w:r>
      <w:r>
        <w:rPr>
          <w:rFonts w:hint="eastAsia" w:ascii="宋体" w:hAnsi="宋体" w:cs="宋体"/>
          <w:bCs/>
          <w:color w:val="000000" w:themeColor="text1"/>
          <w:sz w:val="32"/>
          <w:szCs w:val="32"/>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我单位收到项目名称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编号为</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的竞争性磋商文件，经详细研究，我公司决定参加本次磋商活动。为此，我方郑重承诺以下诸点，并负法律责任。</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、愿意按照竞争性磋商文件中的全部要求，提供合格的产品及完善的技术服务，履行合同的责任和义务。</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、按照竞争性磋商文件的规定，我公司的响应</w:t>
      </w:r>
      <w:r>
        <w:rPr>
          <w:rFonts w:hint="eastAsia" w:ascii="宋体" w:hAnsi="宋体" w:cs="宋体"/>
          <w:color w:val="000000" w:themeColor="text1"/>
          <w:sz w:val="24"/>
          <w:lang w:val="en-US" w:eastAsia="zh-CN"/>
          <w14:textFill>
            <w14:solidFill>
              <w14:schemeClr w14:val="tx1"/>
            </w14:solidFill>
          </w14:textFill>
        </w:rPr>
        <w:t>总报价</w:t>
      </w:r>
      <w:r>
        <w:rPr>
          <w:rFonts w:hint="eastAsia" w:ascii="宋体" w:hAnsi="宋体" w:cs="宋体"/>
          <w:color w:val="000000" w:themeColor="text1"/>
          <w:sz w:val="24"/>
          <w14:textFill>
            <w14:solidFill>
              <w14:schemeClr w14:val="tx1"/>
            </w14:solidFill>
          </w14:textFill>
        </w:rPr>
        <w:t>为：</w:t>
      </w:r>
    </w:p>
    <w:p>
      <w:pPr>
        <w:adjustRightInd w:val="0"/>
        <w:snapToGrid w:val="0"/>
        <w:spacing w:line="360" w:lineRule="auto"/>
        <w:ind w:firstLine="480" w:firstLineChars="200"/>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人民币（大</w:t>
      </w:r>
      <w:r>
        <w:rPr>
          <w:rFonts w:hint="eastAsia" w:ascii="宋体" w:hAnsi="宋体" w:cs="宋体"/>
          <w:color w:val="000000" w:themeColor="text1"/>
          <w:sz w:val="24"/>
          <w:szCs w:val="24"/>
          <w14:textFill>
            <w14:solidFill>
              <w14:schemeClr w14:val="tx1"/>
            </w14:solidFill>
          </w14:textFill>
        </w:rPr>
        <w:t>写）</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；（小写）</w:t>
      </w:r>
      <w:r>
        <w:rPr>
          <w:rFonts w:hint="eastAsia"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、我方提交的磋商响应文件正本壹份、副本叁份，电子文档壹份、</w:t>
      </w:r>
      <w:r>
        <w:rPr>
          <w:rFonts w:hint="eastAsia" w:ascii="宋体" w:hAnsi="宋体" w:cs="宋体"/>
          <w:color w:val="000000" w:themeColor="text1"/>
          <w:sz w:val="24"/>
          <w:szCs w:val="24"/>
          <w14:textFill>
            <w14:solidFill>
              <w14:schemeClr w14:val="tx1"/>
            </w14:solidFill>
          </w14:textFill>
        </w:rPr>
        <w:t>磋商一览表壹份</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、我们已详细阅读了竞争性磋商文件，完全理解并同意放弃提出含糊不清和误解问题的权力。</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、如果我方在磋商后到规定的磋商有效期内撤回磋商响应文件及承诺，我们的保证金将被对方没收。</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、同意向贵方提供贵方可能要求的、与本次磋商有关的任何证据资料。</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、我方承诺磋商有效期为磋商后</w:t>
      </w:r>
      <w:r>
        <w:rPr>
          <w:rFonts w:hint="eastAsia" w:ascii="宋体" w:hAnsi="宋体" w:cs="宋体"/>
          <w:color w:val="000000" w:themeColor="text1"/>
          <w:sz w:val="24"/>
          <w:u w:val="single"/>
          <w14:textFill>
            <w14:solidFill>
              <w14:schemeClr w14:val="tx1"/>
            </w14:solidFill>
          </w14:textFill>
        </w:rPr>
        <w:t>9</w:t>
      </w:r>
      <w:r>
        <w:rPr>
          <w:rFonts w:ascii="宋体" w:hAnsi="宋体" w:cs="宋体"/>
          <w:color w:val="000000" w:themeColor="text1"/>
          <w:sz w:val="24"/>
          <w:u w:val="single"/>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日历日内有效。</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、所有关于本次磋商的函电，请按下列地址联系：</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Style w:val="5"/>
        <w:jc w:val="center"/>
        <w:rPr>
          <w:rFonts w:ascii="宋体" w:cs="宋体"/>
          <w:color w:val="000000" w:themeColor="text1"/>
          <w14:textFill>
            <w14:solidFill>
              <w14:schemeClr w14:val="tx1"/>
            </w14:solidFill>
          </w14:textFill>
        </w:rPr>
      </w:pPr>
      <w:bookmarkStart w:id="213" w:name="_Toc26486"/>
      <w:bookmarkStart w:id="214" w:name="_Toc32410"/>
      <w:bookmarkStart w:id="215" w:name="_Toc23678"/>
      <w:bookmarkStart w:id="216" w:name="_Toc31150"/>
      <w:bookmarkStart w:id="217" w:name="_Toc6333"/>
      <w:bookmarkStart w:id="218" w:name="_Toc26259"/>
      <w:bookmarkStart w:id="219" w:name="_Toc23295"/>
      <w:bookmarkStart w:id="220" w:name="_Toc9142"/>
      <w:bookmarkStart w:id="221" w:name="_Toc25695"/>
      <w:bookmarkStart w:id="222" w:name="_Toc19624"/>
      <w:r>
        <w:rPr>
          <w:rFonts w:hint="eastAsia" w:ascii="宋体" w:hAnsi="宋体" w:cs="宋体"/>
          <w:color w:val="000000" w:themeColor="text1"/>
          <w14:textFill>
            <w14:solidFill>
              <w14:schemeClr w14:val="tx1"/>
            </w14:solidFill>
          </w14:textFill>
        </w:rPr>
        <w:t>第二</w:t>
      </w:r>
      <w:r>
        <w:rPr>
          <w:rFonts w:hint="eastAsia"/>
          <w:color w:val="000000" w:themeColor="text1"/>
          <w14:textFill>
            <w14:solidFill>
              <w14:schemeClr w14:val="tx1"/>
            </w14:solidFill>
          </w14:textFill>
        </w:rPr>
        <w:t xml:space="preserve">章  </w:t>
      </w:r>
      <w:r>
        <w:rPr>
          <w:rFonts w:hint="eastAsia" w:ascii="宋体" w:hAnsi="宋体" w:cs="宋体"/>
          <w:color w:val="000000" w:themeColor="text1"/>
          <w14:textFill>
            <w14:solidFill>
              <w14:schemeClr w14:val="tx1"/>
            </w14:solidFill>
          </w14:textFill>
        </w:rPr>
        <w:t>磋商一览表</w:t>
      </w:r>
      <w:bookmarkEnd w:id="213"/>
      <w:bookmarkEnd w:id="214"/>
      <w:bookmarkEnd w:id="215"/>
      <w:bookmarkEnd w:id="216"/>
      <w:bookmarkEnd w:id="217"/>
      <w:bookmarkEnd w:id="218"/>
      <w:bookmarkEnd w:id="219"/>
      <w:bookmarkEnd w:id="220"/>
      <w:bookmarkEnd w:id="221"/>
      <w:bookmarkEnd w:id="222"/>
    </w:p>
    <w:p>
      <w:pPr>
        <w:widowControl/>
        <w:wordWrap w:val="0"/>
        <w:spacing w:line="360" w:lineRule="auto"/>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西安医学院教学质量监测与评估系统建设采购项目</w:t>
      </w:r>
      <w:r>
        <w:rPr>
          <w:rFonts w:hint="eastAsia" w:ascii="宋体" w:hAnsi="宋体" w:cs="宋体"/>
          <w:color w:val="000000" w:themeColor="text1"/>
          <w:sz w:val="24"/>
          <w:u w:val="single"/>
          <w14:textFill>
            <w14:solidFill>
              <w14:schemeClr w14:val="tx1"/>
            </w14:solidFill>
          </w14:textFill>
        </w:rPr>
        <w:t xml:space="preserve"> </w:t>
      </w:r>
    </w:p>
    <w:p>
      <w:pPr>
        <w:pStyle w:val="8"/>
        <w:ind w:firstLine="0"/>
        <w:rPr>
          <w:rFonts w:hint="eastAsia" w:asci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lang w:eastAsia="zh-CN"/>
          <w14:textFill>
            <w14:solidFill>
              <w14:schemeClr w14:val="tx1"/>
            </w14:solidFill>
          </w14:textFill>
        </w:rPr>
        <w:t>SXWZ2023ZB-YXY-262</w:t>
      </w:r>
    </w:p>
    <w:p>
      <w:pPr>
        <w:kinsoku w:val="0"/>
        <w:spacing w:line="360" w:lineRule="auto"/>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z w:val="24"/>
          <w:szCs w:val="24"/>
          <w14:textFill>
            <w14:solidFill>
              <w14:schemeClr w14:val="tx1"/>
            </w14:solidFill>
          </w14:textFill>
        </w:rPr>
        <w:t>元</w:t>
      </w:r>
    </w:p>
    <w:tbl>
      <w:tblPr>
        <w:tblStyle w:val="18"/>
        <w:tblpPr w:leftFromText="180" w:rightFromText="180" w:vertAnchor="text" w:horzAnchor="page" w:tblpXSpec="center" w:tblpY="360"/>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852"/>
        <w:gridCol w:w="194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348" w:type="dxa"/>
            <w:tcBorders>
              <w:tl2br w:val="single" w:color="auto" w:sz="4" w:space="0"/>
            </w:tcBorders>
          </w:tcPr>
          <w:p>
            <w:pPr>
              <w:kinsoku w:val="0"/>
              <w:spacing w:line="480" w:lineRule="auto"/>
              <w:ind w:firstLine="840"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p>
          <w:p>
            <w:pPr>
              <w:kinsoku w:val="0"/>
              <w:spacing w:line="480" w:lineRule="auto"/>
              <w:jc w:val="left"/>
              <w:rPr>
                <w:rFonts w:ascii="宋体" w:hAnsi="宋体" w:cs="宋体"/>
                <w:szCs w:val="21"/>
              </w:rPr>
            </w:pPr>
            <w:r>
              <w:rPr>
                <w:rFonts w:hint="eastAsia" w:ascii="宋体" w:hAnsi="宋体" w:cs="宋体"/>
                <w:szCs w:val="21"/>
              </w:rPr>
              <w:t>响应</w:t>
            </w:r>
            <w:r>
              <w:rPr>
                <w:rFonts w:ascii="宋体" w:hAnsi="宋体" w:cs="宋体"/>
                <w:szCs w:val="21"/>
              </w:rPr>
              <w:t>内</w:t>
            </w:r>
            <w:r>
              <w:rPr>
                <w:rFonts w:hint="eastAsia" w:ascii="宋体" w:hAnsi="宋体" w:cs="宋体"/>
                <w:szCs w:val="21"/>
              </w:rPr>
              <w:t>容</w:t>
            </w:r>
          </w:p>
        </w:tc>
        <w:tc>
          <w:tcPr>
            <w:tcW w:w="2852" w:type="dxa"/>
            <w:vAlign w:val="center"/>
          </w:tcPr>
          <w:p>
            <w:pPr>
              <w:kinsoku w:val="0"/>
              <w:spacing w:line="480" w:lineRule="auto"/>
              <w:jc w:val="center"/>
              <w:rPr>
                <w:rFonts w:ascii="宋体" w:hAnsi="宋体" w:cs="宋体"/>
                <w:szCs w:val="21"/>
              </w:rPr>
            </w:pPr>
            <w:r>
              <w:rPr>
                <w:rFonts w:hint="eastAsia" w:ascii="宋体" w:hAnsi="宋体" w:cs="宋体"/>
                <w:szCs w:val="21"/>
              </w:rPr>
              <w:t>磋商总报价（元）</w:t>
            </w:r>
          </w:p>
        </w:tc>
        <w:tc>
          <w:tcPr>
            <w:tcW w:w="1945" w:type="dxa"/>
            <w:vAlign w:val="center"/>
          </w:tcPr>
          <w:p>
            <w:pPr>
              <w:kinsoku w:val="0"/>
              <w:spacing w:line="480" w:lineRule="auto"/>
              <w:ind w:firstLine="630" w:firstLineChars="300"/>
              <w:rPr>
                <w:rFonts w:ascii="宋体" w:hAnsi="宋体" w:cs="宋体"/>
                <w:szCs w:val="21"/>
              </w:rPr>
            </w:pPr>
            <w:r>
              <w:rPr>
                <w:rFonts w:hint="eastAsia" w:ascii="宋体" w:hAnsi="宋体" w:cs="宋体"/>
                <w:szCs w:val="21"/>
              </w:rPr>
              <w:t>交付期</w:t>
            </w:r>
          </w:p>
        </w:tc>
        <w:tc>
          <w:tcPr>
            <w:tcW w:w="2377" w:type="dxa"/>
            <w:vAlign w:val="center"/>
          </w:tcPr>
          <w:p>
            <w:pPr>
              <w:kinsoku w:val="0"/>
              <w:spacing w:line="480" w:lineRule="auto"/>
              <w:ind w:firstLine="420" w:firstLineChars="200"/>
              <w:rPr>
                <w:rFonts w:ascii="宋体" w:hAnsi="宋体" w:cs="宋体"/>
                <w:szCs w:val="21"/>
              </w:rPr>
            </w:pPr>
            <w:r>
              <w:rPr>
                <w:rFonts w:hint="eastAsia" w:ascii="宋体" w:hAnsi="宋体" w:cs="宋体"/>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348" w:type="dxa"/>
            <w:vAlign w:val="center"/>
          </w:tcPr>
          <w:p>
            <w:pPr>
              <w:kinsoku w:val="0"/>
              <w:spacing w:line="480" w:lineRule="auto"/>
              <w:jc w:val="left"/>
              <w:rPr>
                <w:rFonts w:ascii="宋体" w:hAnsi="宋体" w:cs="宋体" w:eastAsiaTheme="minorEastAsia"/>
                <w:szCs w:val="21"/>
              </w:rPr>
            </w:pPr>
            <w:r>
              <w:rPr>
                <w:rFonts w:hint="eastAsia" w:ascii="宋体" w:hAnsi="宋体" w:cs="宋体" w:eastAsiaTheme="minorEastAsia"/>
                <w:szCs w:val="21"/>
                <w:lang w:eastAsia="zh-CN"/>
              </w:rPr>
              <w:t>西安医学院教学质量监测与评估系统建设采购项目</w:t>
            </w:r>
          </w:p>
        </w:tc>
        <w:tc>
          <w:tcPr>
            <w:tcW w:w="2852" w:type="dxa"/>
            <w:vAlign w:val="center"/>
          </w:tcPr>
          <w:p>
            <w:pPr>
              <w:kinsoku w:val="0"/>
              <w:spacing w:line="480" w:lineRule="auto"/>
              <w:jc w:val="left"/>
              <w:rPr>
                <w:rFonts w:ascii="宋体" w:hAnsi="宋体" w:cs="宋体"/>
                <w:szCs w:val="21"/>
              </w:rPr>
            </w:pPr>
          </w:p>
        </w:tc>
        <w:tc>
          <w:tcPr>
            <w:tcW w:w="1945" w:type="dxa"/>
            <w:vAlign w:val="center"/>
          </w:tcPr>
          <w:p>
            <w:pPr>
              <w:tabs>
                <w:tab w:val="left" w:pos="420"/>
              </w:tabs>
              <w:spacing w:line="360" w:lineRule="auto"/>
              <w:rPr>
                <w:rFonts w:ascii="宋体" w:hAnsi="宋体" w:cs="宋体"/>
                <w:sz w:val="24"/>
                <w:szCs w:val="24"/>
              </w:rPr>
            </w:pPr>
          </w:p>
          <w:p>
            <w:pPr>
              <w:tabs>
                <w:tab w:val="left" w:pos="420"/>
              </w:tabs>
              <w:spacing w:line="360" w:lineRule="auto"/>
              <w:rPr>
                <w:rFonts w:ascii="宋体" w:hAnsi="宋体" w:cs="宋体"/>
                <w:sz w:val="24"/>
                <w:szCs w:val="24"/>
              </w:rPr>
            </w:pPr>
          </w:p>
          <w:p>
            <w:pPr>
              <w:kinsoku w:val="0"/>
              <w:spacing w:line="480" w:lineRule="auto"/>
              <w:jc w:val="left"/>
              <w:rPr>
                <w:rFonts w:ascii="宋体" w:hAnsi="宋体" w:cs="宋体"/>
                <w:szCs w:val="21"/>
              </w:rPr>
            </w:pPr>
          </w:p>
        </w:tc>
        <w:tc>
          <w:tcPr>
            <w:tcW w:w="2377" w:type="dxa"/>
            <w:vAlign w:val="center"/>
          </w:tcPr>
          <w:p>
            <w:pPr>
              <w:kinsoku w:val="0"/>
              <w:spacing w:line="48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22" w:type="dxa"/>
            <w:gridSpan w:val="4"/>
            <w:vAlign w:val="center"/>
          </w:tcPr>
          <w:p>
            <w:pPr>
              <w:kinsoku w:val="0"/>
              <w:spacing w:line="480" w:lineRule="auto"/>
              <w:ind w:firstLine="420" w:firstLineChars="200"/>
              <w:jc w:val="left"/>
              <w:rPr>
                <w:rFonts w:ascii="宋体" w:hAnsi="宋体" w:cs="宋体"/>
                <w:szCs w:val="21"/>
              </w:rPr>
            </w:pPr>
            <w:r>
              <w:rPr>
                <w:rFonts w:hint="eastAsia" w:ascii="宋体" w:hAnsi="宋体" w:cs="宋体"/>
                <w:szCs w:val="21"/>
              </w:rPr>
              <w:t>磋商</w:t>
            </w:r>
            <w:r>
              <w:rPr>
                <w:rFonts w:ascii="宋体" w:hAnsi="宋体" w:cs="宋体"/>
                <w:szCs w:val="21"/>
              </w:rPr>
              <w:t>总报价</w:t>
            </w:r>
            <w:r>
              <w:rPr>
                <w:rFonts w:hint="eastAsia" w:ascii="宋体" w:hAnsi="宋体" w:cs="宋体"/>
                <w:szCs w:val="21"/>
              </w:rPr>
              <w:t>：人民</w:t>
            </w:r>
            <w:r>
              <w:rPr>
                <w:rFonts w:ascii="宋体" w:hAnsi="宋体" w:cs="宋体"/>
                <w:szCs w:val="21"/>
              </w:rPr>
              <w:t>币</w:t>
            </w:r>
            <w:r>
              <w:rPr>
                <w:rFonts w:hint="eastAsia" w:ascii="宋体" w:hAnsi="宋体" w:cs="宋体"/>
                <w:szCs w:val="21"/>
                <w:u w:val="single"/>
              </w:rPr>
              <w:t>（大</w:t>
            </w:r>
            <w:r>
              <w:rPr>
                <w:rFonts w:ascii="宋体" w:hAnsi="宋体" w:cs="宋体"/>
                <w:szCs w:val="21"/>
                <w:u w:val="single"/>
              </w:rPr>
              <w:t>写</w:t>
            </w:r>
            <w:r>
              <w:rPr>
                <w:rFonts w:hint="eastAsia" w:ascii="宋体" w:hAnsi="宋体" w:cs="宋体"/>
                <w:szCs w:val="21"/>
                <w:u w:val="single"/>
              </w:rPr>
              <w:t>）（小</w:t>
            </w:r>
            <w:r>
              <w:rPr>
                <w:rFonts w:ascii="宋体" w:hAnsi="宋体" w:cs="宋体"/>
                <w:szCs w:val="21"/>
                <w:u w:val="single"/>
              </w:rPr>
              <w:t>写</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522" w:type="dxa"/>
            <w:gridSpan w:val="4"/>
            <w:vAlign w:val="center"/>
          </w:tcPr>
          <w:p>
            <w:pPr>
              <w:kinsoku w:val="0"/>
              <w:spacing w:line="480" w:lineRule="auto"/>
              <w:ind w:firstLine="420" w:firstLineChars="200"/>
              <w:jc w:val="left"/>
            </w:pPr>
            <w:r>
              <w:t>备</w:t>
            </w:r>
            <w:r>
              <w:rPr>
                <w:rFonts w:hint="eastAsia"/>
              </w:rPr>
              <w:t>注：表</w:t>
            </w:r>
            <w:r>
              <w:t>内报价内</w:t>
            </w:r>
            <w:r>
              <w:rPr>
                <w:rFonts w:hint="eastAsia"/>
              </w:rPr>
              <w:t>容以元</w:t>
            </w:r>
            <w:r>
              <w:t>为单</w:t>
            </w:r>
            <w:r>
              <w:rPr>
                <w:rFonts w:hint="eastAsia"/>
              </w:rPr>
              <w:t xml:space="preserve">位，精确到小数点后两位。 </w:t>
            </w:r>
          </w:p>
          <w:p>
            <w:pPr>
              <w:pStyle w:val="3"/>
              <w:ind w:firstLine="1050" w:firstLineChars="500"/>
              <w:rPr>
                <w:rFonts w:asciiTheme="minorHAnsi" w:hAnsiTheme="minorHAnsi"/>
                <w:sz w:val="21"/>
                <w:szCs w:val="22"/>
              </w:rPr>
            </w:pPr>
            <w:r>
              <w:rPr>
                <w:rFonts w:hint="eastAsia" w:asciiTheme="minorHAnsi" w:hAnsiTheme="minorHAnsi"/>
                <w:sz w:val="21"/>
                <w:szCs w:val="22"/>
              </w:rPr>
              <w:t>交付期、质保期详见招标文件第五部分采购要求。</w:t>
            </w:r>
          </w:p>
        </w:tc>
      </w:tr>
    </w:tbl>
    <w:p>
      <w:pPr>
        <w:kinsoku w:val="0"/>
        <w:spacing w:line="360" w:lineRule="auto"/>
        <w:jc w:val="left"/>
        <w:rPr>
          <w:rFonts w:ascii="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此表应再制作一份，单独密封递交。</w:t>
      </w:r>
    </w:p>
    <w:p>
      <w:pPr>
        <w:adjustRightInd w:val="0"/>
        <w:snapToGrid w:val="0"/>
        <w:spacing w:line="480" w:lineRule="auto"/>
        <w:jc w:val="left"/>
        <w:rPr>
          <w:rFonts w:ascii="宋体" w:cs="宋体"/>
          <w:color w:val="000000" w:themeColor="text1"/>
          <w:sz w:val="24"/>
          <w14:textFill>
            <w14:solidFill>
              <w14:schemeClr w14:val="tx1"/>
            </w14:solidFill>
          </w14:textFill>
        </w:rPr>
      </w:pPr>
    </w:p>
    <w:p>
      <w:pPr>
        <w:adjustRightInd w:val="0"/>
        <w:snapToGrid w:val="0"/>
        <w:spacing w:line="480" w:lineRule="auto"/>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Style w:val="5"/>
        <w:jc w:val="center"/>
        <w:rPr>
          <w:color w:val="000000" w:themeColor="text1"/>
          <w14:textFill>
            <w14:solidFill>
              <w14:schemeClr w14:val="tx1"/>
            </w14:solidFill>
          </w14:textFill>
        </w:rPr>
      </w:pPr>
      <w:bookmarkStart w:id="223" w:name="_Toc1789"/>
      <w:bookmarkStart w:id="224" w:name="_Toc29933"/>
      <w:bookmarkStart w:id="225" w:name="_Toc9868"/>
      <w:bookmarkStart w:id="226" w:name="_Toc18392"/>
      <w:bookmarkStart w:id="227" w:name="_Toc27277"/>
      <w:bookmarkStart w:id="228" w:name="_Toc25886"/>
      <w:bookmarkStart w:id="229" w:name="_Toc20625"/>
      <w:bookmarkStart w:id="230" w:name="_Toc10234"/>
      <w:bookmarkStart w:id="231" w:name="_Toc9034"/>
      <w:bookmarkStart w:id="232" w:name="_Toc6753"/>
      <w:bookmarkStart w:id="233" w:name="_Toc9863"/>
      <w:bookmarkStart w:id="234" w:name="_Toc10126"/>
      <w:bookmarkStart w:id="235" w:name="_Toc17641"/>
      <w:r>
        <w:rPr>
          <w:rFonts w:hint="eastAsia" w:hAnsi="宋体" w:cs="宋体"/>
          <w:color w:val="000000" w:themeColor="text1"/>
          <w:sz w:val="32"/>
          <w14:textFill>
            <w14:solidFill>
              <w14:schemeClr w14:val="tx1"/>
            </w14:solidFill>
          </w14:textFill>
        </w:rPr>
        <w:t>第三章</w:t>
      </w:r>
      <w:r>
        <w:rPr>
          <w:rFonts w:hint="eastAsia" w:hAnsi="宋体" w:cs="宋体"/>
          <w:color w:val="000000" w:themeColor="text1"/>
          <w:sz w:val="32"/>
          <w:lang w:val="en-US" w:eastAsia="zh-CN"/>
          <w14:textFill>
            <w14:solidFill>
              <w14:schemeClr w14:val="tx1"/>
            </w14:solidFill>
          </w14:textFill>
        </w:rPr>
        <w:t xml:space="preserve"> </w:t>
      </w:r>
      <w:r>
        <w:rPr>
          <w:rFonts w:hint="eastAsia" w:eastAsia="宋体" w:cs="Times New Roman"/>
          <w:color w:val="000000" w:themeColor="text1"/>
          <w14:textFill>
            <w14:solidFill>
              <w14:schemeClr w14:val="tx1"/>
            </w14:solidFill>
          </w14:textFill>
        </w:rPr>
        <w:t>分项报价表</w:t>
      </w:r>
      <w:bookmarkEnd w:id="223"/>
      <w:bookmarkEnd w:id="224"/>
      <w:bookmarkEnd w:id="225"/>
      <w:bookmarkEnd w:id="226"/>
      <w:bookmarkEnd w:id="227"/>
      <w:bookmarkEnd w:id="228"/>
      <w:bookmarkEnd w:id="229"/>
      <w:bookmarkEnd w:id="230"/>
    </w:p>
    <w:p>
      <w:pPr>
        <w:pStyle w:val="8"/>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西安医学院教学质量监测与评估系统建设采购项目</w:t>
      </w:r>
      <w:r>
        <w:rPr>
          <w:rFonts w:hint="eastAsia" w:ascii="宋体" w:hAnsi="宋体" w:cs="宋体"/>
          <w:color w:val="000000" w:themeColor="text1"/>
          <w:sz w:val="24"/>
          <w:u w:val="single"/>
          <w14:textFill>
            <w14:solidFill>
              <w14:schemeClr w14:val="tx1"/>
            </w14:solidFill>
          </w14:textFill>
        </w:rPr>
        <w:t xml:space="preserve"> </w:t>
      </w:r>
    </w:p>
    <w:p>
      <w:pPr>
        <w:pStyle w:val="8"/>
        <w:spacing w:line="360" w:lineRule="auto"/>
        <w:ind w:firstLine="0"/>
        <w:rPr>
          <w:rFonts w:hint="eastAsia" w:asci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lang w:eastAsia="zh-CN"/>
          <w14:textFill>
            <w14:solidFill>
              <w14:schemeClr w14:val="tx1"/>
            </w14:solidFill>
          </w14:textFill>
        </w:rPr>
        <w:t>SXWZ2023ZB-YXY-262</w:t>
      </w:r>
    </w:p>
    <w:p>
      <w:pPr>
        <w:widowControl/>
        <w:wordWrap w:val="0"/>
        <w:spacing w:line="360" w:lineRule="auto"/>
        <w:jc w:val="left"/>
        <w:rPr>
          <w:rFonts w:asci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共  页，第  页</w:t>
      </w:r>
    </w:p>
    <w:tbl>
      <w:tblPr>
        <w:tblStyle w:val="18"/>
        <w:tblpPr w:leftFromText="180" w:rightFromText="180" w:vertAnchor="text" w:horzAnchor="page" w:tblpX="1534" w:tblpY="373"/>
        <w:tblOverlap w:val="never"/>
        <w:tblW w:w="8940" w:type="dxa"/>
        <w:tblInd w:w="0" w:type="dxa"/>
        <w:tblLayout w:type="fixed"/>
        <w:tblCellMar>
          <w:top w:w="0" w:type="dxa"/>
          <w:left w:w="28" w:type="dxa"/>
          <w:bottom w:w="0" w:type="dxa"/>
          <w:right w:w="28" w:type="dxa"/>
        </w:tblCellMar>
      </w:tblPr>
      <w:tblGrid>
        <w:gridCol w:w="1133"/>
        <w:gridCol w:w="523"/>
        <w:gridCol w:w="778"/>
        <w:gridCol w:w="1531"/>
        <w:gridCol w:w="1549"/>
        <w:gridCol w:w="1115"/>
        <w:gridCol w:w="1173"/>
        <w:gridCol w:w="1138"/>
      </w:tblGrid>
      <w:tr>
        <w:tblPrEx>
          <w:tblCellMar>
            <w:top w:w="0" w:type="dxa"/>
            <w:left w:w="28" w:type="dxa"/>
            <w:bottom w:w="0" w:type="dxa"/>
            <w:right w:w="28" w:type="dxa"/>
          </w:tblCellMar>
        </w:tblPrEx>
        <w:trPr>
          <w:trHeight w:val="832" w:hRule="atLeast"/>
        </w:trPr>
        <w:tc>
          <w:tcPr>
            <w:tcW w:w="1133" w:type="dxa"/>
            <w:vMerge w:val="restart"/>
            <w:tcBorders>
              <w:top w:val="single" w:color="auto" w:sz="6" w:space="0"/>
              <w:left w:val="single" w:color="auto" w:sz="6" w:space="0"/>
              <w:right w:val="single" w:color="auto" w:sz="4" w:space="0"/>
            </w:tcBorders>
            <w:vAlign w:val="center"/>
          </w:tcPr>
          <w:p>
            <w:pPr>
              <w:jc w:val="left"/>
              <w:rPr>
                <w:rFonts w:ascii="宋体"/>
                <w:sz w:val="22"/>
              </w:rPr>
            </w:pPr>
            <w:r>
              <w:rPr>
                <w:rFonts w:hint="eastAsia" w:ascii="宋体" w:hAnsi="宋体"/>
                <w:sz w:val="22"/>
              </w:rPr>
              <w:t>服务费用</w:t>
            </w:r>
          </w:p>
        </w:tc>
        <w:tc>
          <w:tcPr>
            <w:tcW w:w="523" w:type="dxa"/>
            <w:tcBorders>
              <w:top w:val="single" w:color="auto" w:sz="6" w:space="0"/>
              <w:left w:val="single" w:color="auto" w:sz="4" w:space="0"/>
              <w:bottom w:val="single" w:color="auto" w:sz="6" w:space="0"/>
            </w:tcBorders>
            <w:vAlign w:val="center"/>
          </w:tcPr>
          <w:p>
            <w:pPr>
              <w:spacing w:after="120"/>
              <w:jc w:val="center"/>
              <w:rPr>
                <w:rFonts w:ascii="宋体"/>
                <w:sz w:val="22"/>
              </w:rPr>
            </w:pPr>
            <w:r>
              <w:rPr>
                <w:rFonts w:hint="eastAsia" w:ascii="宋体" w:hAnsi="宋体"/>
                <w:sz w:val="22"/>
              </w:rPr>
              <w:t>序号</w:t>
            </w:r>
          </w:p>
        </w:tc>
        <w:tc>
          <w:tcPr>
            <w:tcW w:w="77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名称</w:t>
            </w:r>
          </w:p>
        </w:tc>
        <w:tc>
          <w:tcPr>
            <w:tcW w:w="153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服务</w:t>
            </w:r>
            <w:r>
              <w:rPr>
                <w:rFonts w:ascii="宋体" w:hAnsi="宋体"/>
                <w:sz w:val="22"/>
              </w:rPr>
              <w:t>/</w:t>
            </w:r>
            <w:r>
              <w:rPr>
                <w:rFonts w:hint="eastAsia" w:ascii="宋体" w:hAnsi="宋体"/>
                <w:sz w:val="22"/>
              </w:rPr>
              <w:t>费用类型</w:t>
            </w:r>
          </w:p>
        </w:tc>
        <w:tc>
          <w:tcPr>
            <w:tcW w:w="1549" w:type="dxa"/>
            <w:tcBorders>
              <w:top w:val="single" w:color="auto" w:sz="6" w:space="0"/>
              <w:left w:val="single" w:color="auto" w:sz="6" w:space="0"/>
              <w:bottom w:val="single" w:color="auto" w:sz="6" w:space="0"/>
              <w:right w:val="single" w:color="auto" w:sz="6" w:space="0"/>
            </w:tcBorders>
            <w:vAlign w:val="center"/>
          </w:tcPr>
          <w:p>
            <w:pPr>
              <w:spacing w:before="159" w:beforeLines="50" w:after="120"/>
              <w:ind w:firstLine="440" w:firstLineChars="200"/>
              <w:rPr>
                <w:rFonts w:ascii="宋体"/>
                <w:sz w:val="22"/>
              </w:rPr>
            </w:pPr>
            <w:r>
              <w:rPr>
                <w:rFonts w:hint="eastAsia" w:ascii="宋体" w:hAnsi="宋体"/>
                <w:sz w:val="22"/>
              </w:rPr>
              <w:t>服务商</w:t>
            </w:r>
          </w:p>
        </w:tc>
        <w:tc>
          <w:tcPr>
            <w:tcW w:w="111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数量/单位</w:t>
            </w:r>
          </w:p>
        </w:tc>
        <w:tc>
          <w:tcPr>
            <w:tcW w:w="117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单价</w:t>
            </w:r>
          </w:p>
          <w:p>
            <w:pPr>
              <w:spacing w:after="120"/>
              <w:jc w:val="center"/>
              <w:rPr>
                <w:rFonts w:ascii="宋体"/>
                <w:bCs/>
                <w:sz w:val="22"/>
              </w:rPr>
            </w:pPr>
            <w:r>
              <w:rPr>
                <w:rFonts w:hint="eastAsia" w:ascii="宋体" w:hAnsi="宋体"/>
                <w:sz w:val="22"/>
              </w:rPr>
              <w:t>（元）</w:t>
            </w:r>
          </w:p>
        </w:tc>
        <w:tc>
          <w:tcPr>
            <w:tcW w:w="113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bCs/>
                <w:sz w:val="22"/>
              </w:rPr>
            </w:pPr>
            <w:r>
              <w:rPr>
                <w:rFonts w:hint="eastAsia" w:ascii="宋体" w:hAnsi="宋体"/>
                <w:bCs/>
                <w:sz w:val="22"/>
              </w:rPr>
              <w:t>总价</w:t>
            </w:r>
          </w:p>
          <w:p>
            <w:pPr>
              <w:spacing w:after="120"/>
              <w:jc w:val="center"/>
              <w:rPr>
                <w:rFonts w:ascii="宋体"/>
                <w:bCs/>
                <w:sz w:val="22"/>
              </w:rPr>
            </w:pPr>
            <w:r>
              <w:rPr>
                <w:rFonts w:hint="eastAsia" w:ascii="宋体" w:hAnsi="宋体"/>
                <w:bCs/>
                <w:sz w:val="22"/>
              </w:rPr>
              <w:t>（元）</w:t>
            </w:r>
          </w:p>
        </w:tc>
      </w:tr>
      <w:tr>
        <w:tblPrEx>
          <w:tblCellMar>
            <w:top w:w="0" w:type="dxa"/>
            <w:left w:w="28" w:type="dxa"/>
            <w:bottom w:w="0" w:type="dxa"/>
            <w:right w:w="28" w:type="dxa"/>
          </w:tblCellMar>
        </w:tblPrEx>
        <w:trPr>
          <w:trHeight w:val="696"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6" w:space="0"/>
              <w:left w:val="single" w:color="auto" w:sz="4" w:space="0"/>
              <w:bottom w:val="single" w:color="auto" w:sz="4" w:space="0"/>
            </w:tcBorders>
            <w:vAlign w:val="center"/>
          </w:tcPr>
          <w:p>
            <w:pPr>
              <w:spacing w:before="319" w:beforeLines="100"/>
              <w:jc w:val="center"/>
              <w:rPr>
                <w:rFonts w:ascii="宋体"/>
                <w:sz w:val="22"/>
              </w:rPr>
            </w:pPr>
            <w:r>
              <w:rPr>
                <w:rFonts w:ascii="宋体" w:hAnsi="宋体"/>
                <w:sz w:val="22"/>
              </w:rPr>
              <w:t>1</w:t>
            </w:r>
          </w:p>
        </w:tc>
        <w:tc>
          <w:tcPr>
            <w:tcW w:w="778"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531" w:type="dxa"/>
            <w:tcBorders>
              <w:top w:val="single" w:color="auto" w:sz="6" w:space="0"/>
              <w:left w:val="single" w:color="auto" w:sz="6" w:space="0"/>
              <w:bottom w:val="single" w:color="auto" w:sz="4" w:space="0"/>
              <w:right w:val="single" w:color="auto" w:sz="6" w:space="0"/>
            </w:tcBorders>
            <w:vAlign w:val="center"/>
          </w:tcPr>
          <w:p>
            <w:pPr>
              <w:jc w:val="center"/>
              <w:rPr>
                <w:rFonts w:ascii="宋体"/>
                <w:sz w:val="22"/>
              </w:rPr>
            </w:pPr>
          </w:p>
        </w:tc>
        <w:tc>
          <w:tcPr>
            <w:tcW w:w="1549"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115"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173"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138"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691"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ascii="宋体" w:hAnsi="宋体"/>
                <w:sz w:val="22"/>
              </w:rPr>
              <w:t>2</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sz w:val="22"/>
              </w:rPr>
            </w:pP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696"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ascii="宋体" w:hAnsi="宋体"/>
                <w:sz w:val="22"/>
              </w:rPr>
              <w:t>3</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sz w:val="22"/>
              </w:rPr>
            </w:pP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894" w:hRule="atLeast"/>
        </w:trPr>
        <w:tc>
          <w:tcPr>
            <w:tcW w:w="1133"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ascii="宋体" w:hAnsi="宋体"/>
                <w:sz w:val="22"/>
              </w:rPr>
              <w:t>4</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894" w:hRule="atLeast"/>
        </w:trPr>
        <w:tc>
          <w:tcPr>
            <w:tcW w:w="1133" w:type="dxa"/>
            <w:vMerge w:val="continue"/>
            <w:tcBorders>
              <w:left w:val="single" w:color="auto" w:sz="6" w:space="0"/>
              <w:bottom w:val="single" w:color="auto" w:sz="6" w:space="0"/>
              <w:right w:val="single" w:color="auto" w:sz="4" w:space="0"/>
            </w:tcBorders>
            <w:vAlign w:val="center"/>
          </w:tcPr>
          <w:p>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hint="eastAsia" w:ascii="宋体" w:hAnsi="宋体"/>
                <w:sz w:val="22"/>
              </w:rPr>
              <w:t>……</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r>
              <w:rPr>
                <w:rFonts w:ascii="宋体" w:hAnsi="宋体"/>
                <w:sz w:val="22"/>
              </w:rPr>
              <w:t xml:space="preserve"> </w:t>
            </w: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微软雅黑" w:eastAsia="微软雅黑" w:cs="宋体"/>
                <w:sz w:val="24"/>
                <w:szCs w:val="24"/>
              </w:rPr>
            </w:pPr>
            <w:r>
              <w:rPr>
                <w:rFonts w:hint="eastAsia" w:ascii="宋体" w:hAnsi="宋体"/>
                <w:sz w:val="22"/>
              </w:rPr>
              <w:t>……</w:t>
            </w: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565" w:hRule="atLeast"/>
        </w:trPr>
        <w:tc>
          <w:tcPr>
            <w:tcW w:w="2434"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r>
              <w:rPr>
                <w:rFonts w:hint="eastAsia" w:ascii="宋体" w:hAnsi="宋体"/>
                <w:sz w:val="22"/>
              </w:rPr>
              <w:t>其他费用</w:t>
            </w:r>
          </w:p>
        </w:tc>
        <w:tc>
          <w:tcPr>
            <w:tcW w:w="1531" w:type="dxa"/>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p>
        </w:tc>
        <w:tc>
          <w:tcPr>
            <w:tcW w:w="4975" w:type="dxa"/>
            <w:gridSpan w:val="4"/>
            <w:tcBorders>
              <w:top w:val="single" w:color="auto" w:sz="4" w:space="0"/>
              <w:left w:val="single" w:color="auto" w:sz="6" w:space="0"/>
              <w:bottom w:val="single" w:color="auto" w:sz="6" w:space="0"/>
              <w:right w:val="single" w:color="auto" w:sz="6" w:space="0"/>
            </w:tcBorders>
            <w:vAlign w:val="center"/>
          </w:tcPr>
          <w:p>
            <w:pPr>
              <w:jc w:val="center"/>
            </w:pPr>
          </w:p>
        </w:tc>
      </w:tr>
      <w:tr>
        <w:tblPrEx>
          <w:tblCellMar>
            <w:top w:w="0" w:type="dxa"/>
            <w:left w:w="28" w:type="dxa"/>
            <w:bottom w:w="0" w:type="dxa"/>
            <w:right w:w="28" w:type="dxa"/>
          </w:tblCellMar>
        </w:tblPrEx>
        <w:trPr>
          <w:trHeight w:val="565" w:hRule="atLeast"/>
        </w:trPr>
        <w:tc>
          <w:tcPr>
            <w:tcW w:w="1656" w:type="dxa"/>
            <w:gridSpan w:val="2"/>
            <w:tcBorders>
              <w:top w:val="single" w:color="auto" w:sz="4" w:space="0"/>
              <w:left w:val="single" w:color="auto" w:sz="6" w:space="0"/>
              <w:bottom w:val="single" w:color="auto" w:sz="6" w:space="0"/>
            </w:tcBorders>
            <w:vAlign w:val="center"/>
          </w:tcPr>
          <w:p>
            <w:pPr>
              <w:rPr>
                <w:rFonts w:ascii="宋体"/>
                <w:sz w:val="22"/>
              </w:rPr>
            </w:pPr>
            <w:r>
              <w:rPr>
                <w:rFonts w:hint="eastAsia" w:ascii="宋体" w:hAnsi="宋体"/>
                <w:sz w:val="22"/>
              </w:rPr>
              <w:t>总报价</w:t>
            </w:r>
          </w:p>
        </w:tc>
        <w:tc>
          <w:tcPr>
            <w:tcW w:w="778" w:type="dxa"/>
            <w:tcBorders>
              <w:top w:val="single" w:color="auto" w:sz="4" w:space="0"/>
              <w:left w:val="single" w:color="auto" w:sz="6" w:space="0"/>
              <w:bottom w:val="single" w:color="auto" w:sz="6" w:space="0"/>
              <w:right w:val="single" w:color="auto" w:sz="6" w:space="0"/>
            </w:tcBorders>
            <w:vAlign w:val="center"/>
          </w:tcPr>
          <w:p>
            <w:pPr>
              <w:spacing w:before="159" w:beforeLines="50"/>
              <w:jc w:val="left"/>
              <w:rPr>
                <w:rFonts w:ascii="宋体"/>
                <w:sz w:val="22"/>
              </w:rPr>
            </w:pPr>
            <w:r>
              <w:rPr>
                <w:rFonts w:hint="eastAsia" w:ascii="宋体" w:hAnsi="宋体"/>
                <w:sz w:val="22"/>
              </w:rPr>
              <w:t>大写：</w:t>
            </w:r>
            <w:r>
              <w:rPr>
                <w:rFonts w:ascii="宋体" w:hAnsi="宋体"/>
                <w:sz w:val="22"/>
              </w:rPr>
              <w:t xml:space="preserve">                       </w:t>
            </w:r>
            <w:r>
              <w:rPr>
                <w:rFonts w:hint="eastAsia" w:ascii="宋体" w:hAnsi="宋体"/>
                <w:sz w:val="22"/>
              </w:rPr>
              <w:t>小写：元</w:t>
            </w:r>
          </w:p>
        </w:tc>
        <w:tc>
          <w:tcPr>
            <w:tcW w:w="6506" w:type="dxa"/>
            <w:gridSpan w:val="5"/>
            <w:tcBorders>
              <w:top w:val="single" w:color="auto" w:sz="4" w:space="0"/>
              <w:left w:val="single" w:color="auto" w:sz="6" w:space="0"/>
              <w:bottom w:val="single" w:color="auto" w:sz="6" w:space="0"/>
              <w:right w:val="single" w:color="auto" w:sz="6" w:space="0"/>
            </w:tcBorders>
            <w:vAlign w:val="center"/>
          </w:tcPr>
          <w:p>
            <w:pPr>
              <w:spacing w:before="159" w:beforeLines="50"/>
              <w:jc w:val="left"/>
            </w:pPr>
          </w:p>
        </w:tc>
      </w:tr>
      <w:tr>
        <w:tblPrEx>
          <w:tblCellMar>
            <w:top w:w="0" w:type="dxa"/>
            <w:left w:w="28" w:type="dxa"/>
            <w:bottom w:w="0" w:type="dxa"/>
            <w:right w:w="28" w:type="dxa"/>
          </w:tblCellMar>
        </w:tblPrEx>
        <w:trPr>
          <w:trHeight w:val="647" w:hRule="atLeast"/>
        </w:trPr>
        <w:tc>
          <w:tcPr>
            <w:tcW w:w="1656" w:type="dxa"/>
            <w:gridSpan w:val="2"/>
            <w:tcBorders>
              <w:top w:val="single" w:color="auto" w:sz="4" w:space="0"/>
              <w:left w:val="single" w:color="auto" w:sz="6" w:space="0"/>
              <w:bottom w:val="single" w:color="auto" w:sz="6" w:space="0"/>
            </w:tcBorders>
            <w:vAlign w:val="center"/>
          </w:tcPr>
          <w:p>
            <w:pPr>
              <w:jc w:val="center"/>
              <w:rPr>
                <w:rFonts w:ascii="宋体"/>
                <w:sz w:val="22"/>
              </w:rPr>
            </w:pPr>
            <w:r>
              <w:rPr>
                <w:rFonts w:hint="eastAsia" w:ascii="宋体" w:hAnsi="宋体"/>
                <w:sz w:val="22"/>
              </w:rPr>
              <w:t>备注</w:t>
            </w:r>
          </w:p>
        </w:tc>
        <w:tc>
          <w:tcPr>
            <w:tcW w:w="7284" w:type="dxa"/>
            <w:gridSpan w:val="6"/>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r>
              <w:rPr>
                <w:rFonts w:hint="eastAsia" w:ascii="宋体" w:hAnsi="宋体"/>
                <w:spacing w:val="-6"/>
                <w:sz w:val="22"/>
              </w:rPr>
              <w:t>保留小数点后两位。</w:t>
            </w:r>
          </w:p>
        </w:tc>
      </w:tr>
    </w:tbl>
    <w:p>
      <w:pPr>
        <w:widowControl/>
        <w:wordWrap w:val="0"/>
        <w:spacing w:line="360" w:lineRule="auto"/>
        <w:jc w:val="left"/>
        <w:rPr>
          <w:rFonts w:ascii="宋体" w:cs="宋体"/>
          <w:b/>
          <w:color w:val="000000" w:themeColor="text1"/>
          <w:sz w:val="36"/>
          <w:szCs w:val="36"/>
          <w14:textFill>
            <w14:solidFill>
              <w14:schemeClr w14:val="tx1"/>
            </w14:solidFill>
          </w14:textFill>
        </w:rPr>
      </w:pP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供应商（单位名称及公章）：</w:t>
      </w: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被授权人（签字或盖章）：</w:t>
      </w:r>
    </w:p>
    <w:p>
      <w:pPr>
        <w:adjustRightInd w:val="0"/>
        <w:snapToGrid w:val="0"/>
        <w:spacing w:line="480" w:lineRule="auto"/>
        <w:sectPr>
          <w:pgSz w:w="11906" w:h="16838"/>
          <w:pgMar w:top="1440" w:right="1803" w:bottom="1440" w:left="1803" w:header="851" w:footer="992" w:gutter="0"/>
          <w:pgNumType w:fmt="decimal"/>
          <w:cols w:space="720" w:num="1"/>
          <w:docGrid w:type="lines" w:linePitch="319" w:charSpace="0"/>
        </w:sectPr>
      </w:pPr>
      <w:r>
        <w:rPr>
          <w:rFonts w:hint="eastAsia" w:ascii="宋体" w:hAnsi="宋体"/>
          <w:color w:val="000000" w:themeColor="text1"/>
          <w:sz w:val="24"/>
          <w:szCs w:val="24"/>
          <w14:textFill>
            <w14:solidFill>
              <w14:schemeClr w14:val="tx1"/>
            </w14:solidFill>
          </w14:textFill>
        </w:rPr>
        <w:t>日期：年  月  日</w:t>
      </w:r>
    </w:p>
    <w:bookmarkEnd w:id="231"/>
    <w:bookmarkEnd w:id="232"/>
    <w:bookmarkEnd w:id="233"/>
    <w:bookmarkEnd w:id="234"/>
    <w:bookmarkEnd w:id="235"/>
    <w:p>
      <w:pPr>
        <w:pStyle w:val="5"/>
        <w:jc w:val="center"/>
        <w:rPr>
          <w:color w:val="000000" w:themeColor="text1"/>
          <w14:textFill>
            <w14:solidFill>
              <w14:schemeClr w14:val="tx1"/>
            </w14:solidFill>
          </w14:textFill>
        </w:rPr>
      </w:pPr>
      <w:bookmarkStart w:id="236" w:name="_Toc16634"/>
      <w:bookmarkStart w:id="237" w:name="_Toc9040"/>
      <w:bookmarkStart w:id="238" w:name="_Toc26245"/>
      <w:bookmarkStart w:id="239" w:name="_Toc1869"/>
      <w:r>
        <w:rPr>
          <w:rFonts w:hint="eastAsia"/>
          <w:color w:val="000000" w:themeColor="text1"/>
          <w14:textFill>
            <w14:solidFill>
              <w14:schemeClr w14:val="tx1"/>
            </w14:solidFill>
          </w14:textFill>
        </w:rPr>
        <w:t>第四章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磋商保证金</w:t>
      </w:r>
      <w:bookmarkEnd w:id="236"/>
      <w:bookmarkEnd w:id="237"/>
      <w:bookmarkEnd w:id="238"/>
      <w:bookmarkEnd w:id="239"/>
    </w:p>
    <w:p>
      <w:pPr>
        <w:pStyle w:val="8"/>
        <w:rPr>
          <w:color w:val="000000" w:themeColor="text1"/>
          <w:sz w:val="28"/>
          <w:szCs w:val="24"/>
          <w14:textFill>
            <w14:solidFill>
              <w14:schemeClr w14:val="tx1"/>
            </w14:solidFill>
          </w14:textFill>
        </w:rPr>
      </w:pPr>
      <w:r>
        <w:rPr>
          <w:rFonts w:hint="eastAsia"/>
          <w:color w:val="000000" w:themeColor="text1"/>
          <w:sz w:val="28"/>
          <w:szCs w:val="24"/>
          <w14:textFill>
            <w14:solidFill>
              <w14:schemeClr w14:val="tx1"/>
            </w14:solidFill>
          </w14:textFill>
        </w:rPr>
        <w:t>供应商在此处提供保证金缴纳凭证扫描件加盖公章，或者财政部门指定的担保机构出具的保函；</w:t>
      </w:r>
    </w:p>
    <w:p>
      <w:pPr>
        <w:pStyle w:val="8"/>
        <w:rPr>
          <w:color w:val="000000" w:themeColor="text1"/>
          <w:sz w:val="28"/>
          <w:szCs w:val="24"/>
          <w14:textFill>
            <w14:solidFill>
              <w14:schemeClr w14:val="tx1"/>
            </w14:solidFill>
          </w14:textFill>
        </w:rPr>
      </w:pPr>
    </w:p>
    <w:tbl>
      <w:tblPr>
        <w:tblStyle w:val="1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tcPr>
          <w:p>
            <w:pPr>
              <w:pStyle w:val="8"/>
              <w:rPr>
                <w:color w:val="000000" w:themeColor="text1"/>
                <w:sz w:val="28"/>
                <w:szCs w:val="24"/>
                <w14:textFill>
                  <w14:solidFill>
                    <w14:schemeClr w14:val="tx1"/>
                  </w14:solidFill>
                </w14:textFill>
              </w:rPr>
            </w:pPr>
          </w:p>
        </w:tc>
      </w:tr>
    </w:tbl>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Style w:val="5"/>
        <w:jc w:val="center"/>
        <w:rPr>
          <w:color w:val="000000" w:themeColor="text1"/>
          <w14:textFill>
            <w14:solidFill>
              <w14:schemeClr w14:val="tx1"/>
            </w14:solidFill>
          </w14:textFill>
        </w:rPr>
      </w:pPr>
      <w:bookmarkStart w:id="240" w:name="_Toc11830"/>
      <w:bookmarkStart w:id="241" w:name="_Toc3301"/>
      <w:bookmarkStart w:id="242" w:name="_Toc25889"/>
      <w:bookmarkStart w:id="243" w:name="_Toc20611"/>
      <w:r>
        <w:rPr>
          <w:rFonts w:hint="eastAsia"/>
          <w:color w:val="000000" w:themeColor="text1"/>
          <w14:textFill>
            <w14:solidFill>
              <w14:schemeClr w14:val="tx1"/>
            </w14:solidFill>
          </w14:textFill>
        </w:rPr>
        <w:t>第五章  供应商资质证明资料</w:t>
      </w:r>
      <w:bookmarkEnd w:id="240"/>
      <w:bookmarkEnd w:id="241"/>
      <w:bookmarkEnd w:id="242"/>
      <w:bookmarkEnd w:id="243"/>
    </w:p>
    <w:p>
      <w:pPr>
        <w:pStyle w:val="8"/>
        <w:rPr>
          <w:rFonts w:ascii="宋体" w:hAnsi="宋体" w:cs="宋体"/>
          <w:b/>
          <w:bCs/>
          <w:color w:val="000000" w:themeColor="text1"/>
          <w:sz w:val="28"/>
          <w:szCs w:val="24"/>
          <w14:textFill>
            <w14:solidFill>
              <w14:schemeClr w14:val="tx1"/>
            </w14:solidFill>
          </w14:textFill>
        </w:rPr>
      </w:pPr>
    </w:p>
    <w:p>
      <w:pPr>
        <w:pStyle w:val="8"/>
        <w:rPr>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供应商需在此页附磋商公告或磋商文件中要求的资质证明文件，响应文件附资质复印件或扫描件加盖供应商公章。格式参考见下页。</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pStyle w:val="8"/>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1、供应商符合《政府采购法》第二十二条规定条件的承诺函</w:t>
      </w:r>
    </w:p>
    <w:p>
      <w:pPr>
        <w:pStyle w:val="9"/>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我公司满足政府采购法第二十二条关于供应商的资格要求：</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同时也满足本项目法律法规规章规定关于供应商的其他资格性条件，未参与本采购项目前期咨询论证，不属于禁止参加投标的供应商。</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9"/>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18"/>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bookmarkStart w:id="244" w:name="_Toc18556"/>
            <w:bookmarkStart w:id="245" w:name="_Toc5452"/>
            <w:bookmarkStart w:id="246" w:name="_Toc15823"/>
            <w:bookmarkStart w:id="247" w:name="_Toc29518"/>
            <w:r>
              <w:rPr>
                <w:rFonts w:hint="eastAsia"/>
                <w:color w:val="000000" w:themeColor="text1"/>
                <w14:textFill>
                  <w14:solidFill>
                    <w14:schemeClr w14:val="tx1"/>
                  </w14:solidFill>
                </w14:textFill>
              </w:rPr>
              <w:t>供应商名称</w:t>
            </w:r>
            <w:bookmarkEnd w:id="244"/>
            <w:bookmarkEnd w:id="245"/>
            <w:bookmarkEnd w:id="246"/>
            <w:bookmarkEnd w:id="247"/>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bookmarkStart w:id="248" w:name="_Toc15986"/>
            <w:bookmarkStart w:id="249" w:name="_Toc26127"/>
            <w:bookmarkStart w:id="250" w:name="_Toc32432"/>
            <w:r>
              <w:rPr>
                <w:rFonts w:hint="eastAsia"/>
                <w:color w:val="000000" w:themeColor="text1"/>
                <w14:textFill>
                  <w14:solidFill>
                    <w14:schemeClr w14:val="tx1"/>
                  </w14:solidFill>
                </w14:textFill>
              </w:rPr>
              <w:t>注册地址</w:t>
            </w:r>
            <w:bookmarkEnd w:id="248"/>
            <w:bookmarkEnd w:id="249"/>
            <w:bookmarkEnd w:id="250"/>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251" w:name="_Toc2965"/>
            <w:bookmarkStart w:id="252" w:name="_Toc20217"/>
            <w:bookmarkStart w:id="253" w:name="_Toc13370"/>
            <w:bookmarkStart w:id="254" w:name="_Toc5829"/>
            <w:r>
              <w:rPr>
                <w:rFonts w:hint="eastAsia"/>
                <w:color w:val="000000" w:themeColor="text1"/>
                <w14:textFill>
                  <w14:solidFill>
                    <w14:schemeClr w14:val="tx1"/>
                  </w14:solidFill>
                </w14:textFill>
              </w:rPr>
              <w:t>邮政编码</w:t>
            </w:r>
            <w:bookmarkEnd w:id="251"/>
            <w:bookmarkEnd w:id="252"/>
            <w:bookmarkEnd w:id="253"/>
            <w:bookmarkEnd w:id="254"/>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255" w:name="_Toc24152"/>
            <w:bookmarkStart w:id="256" w:name="_Toc14242"/>
            <w:bookmarkStart w:id="257" w:name="_Toc29861"/>
            <w:bookmarkStart w:id="258" w:name="_Toc5933"/>
            <w:r>
              <w:rPr>
                <w:rFonts w:hint="eastAsia"/>
                <w:color w:val="000000" w:themeColor="text1"/>
                <w14:textFill>
                  <w14:solidFill>
                    <w14:schemeClr w14:val="tx1"/>
                  </w14:solidFill>
                </w14:textFill>
              </w:rPr>
              <w:t>联系方式</w:t>
            </w:r>
            <w:bookmarkEnd w:id="255"/>
            <w:bookmarkEnd w:id="256"/>
            <w:bookmarkEnd w:id="257"/>
            <w:bookmarkEnd w:id="258"/>
          </w:p>
        </w:tc>
        <w:tc>
          <w:tcPr>
            <w:tcW w:w="1016" w:type="dxa"/>
            <w:vAlign w:val="center"/>
          </w:tcPr>
          <w:p>
            <w:pPr>
              <w:rPr>
                <w:color w:val="000000" w:themeColor="text1"/>
                <w14:textFill>
                  <w14:solidFill>
                    <w14:schemeClr w14:val="tx1"/>
                  </w14:solidFill>
                </w14:textFill>
              </w:rPr>
            </w:pPr>
            <w:bookmarkStart w:id="259" w:name="_Toc23469"/>
            <w:bookmarkStart w:id="260" w:name="_Toc22630"/>
            <w:bookmarkStart w:id="261" w:name="_Toc11708"/>
            <w:bookmarkStart w:id="262" w:name="_Toc32228"/>
            <w:r>
              <w:rPr>
                <w:rFonts w:hint="eastAsia"/>
                <w:color w:val="000000" w:themeColor="text1"/>
                <w14:textFill>
                  <w14:solidFill>
                    <w14:schemeClr w14:val="tx1"/>
                  </w14:solidFill>
                </w14:textFill>
              </w:rPr>
              <w:t>联系人</w:t>
            </w:r>
            <w:bookmarkEnd w:id="259"/>
            <w:bookmarkEnd w:id="260"/>
            <w:bookmarkEnd w:id="261"/>
            <w:bookmarkEnd w:id="262"/>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263" w:name="_Toc28825"/>
            <w:bookmarkStart w:id="264" w:name="_Toc22121"/>
            <w:bookmarkStart w:id="265" w:name="_Toc29495"/>
            <w:bookmarkStart w:id="266" w:name="_Toc31524"/>
            <w:r>
              <w:rPr>
                <w:rFonts w:hint="eastAsia"/>
                <w:color w:val="000000" w:themeColor="text1"/>
                <w14:textFill>
                  <w14:solidFill>
                    <w14:schemeClr w14:val="tx1"/>
                  </w14:solidFill>
                </w14:textFill>
              </w:rPr>
              <w:t>电话</w:t>
            </w:r>
            <w:bookmarkEnd w:id="263"/>
            <w:bookmarkEnd w:id="264"/>
            <w:bookmarkEnd w:id="265"/>
            <w:bookmarkEnd w:id="266"/>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267" w:name="_Toc8331"/>
            <w:bookmarkStart w:id="268" w:name="_Toc21326"/>
            <w:bookmarkStart w:id="269" w:name="_Toc27355"/>
            <w:bookmarkStart w:id="270" w:name="_Toc12754"/>
            <w:r>
              <w:rPr>
                <w:rFonts w:hint="eastAsia"/>
                <w:color w:val="000000" w:themeColor="text1"/>
                <w14:textFill>
                  <w14:solidFill>
                    <w14:schemeClr w14:val="tx1"/>
                  </w14:solidFill>
                </w14:textFill>
              </w:rPr>
              <w:t>组织结构</w:t>
            </w:r>
            <w:bookmarkEnd w:id="267"/>
            <w:bookmarkEnd w:id="268"/>
            <w:bookmarkEnd w:id="269"/>
            <w:bookmarkEnd w:id="270"/>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bookmarkStart w:id="271" w:name="_Toc5018"/>
            <w:bookmarkStart w:id="272" w:name="_Toc28736"/>
            <w:bookmarkStart w:id="273" w:name="_Toc22082"/>
            <w:bookmarkStart w:id="274" w:name="_Toc29110"/>
            <w:r>
              <w:rPr>
                <w:rFonts w:hint="eastAsia"/>
                <w:color w:val="000000" w:themeColor="text1"/>
                <w14:textFill>
                  <w14:solidFill>
                    <w14:schemeClr w14:val="tx1"/>
                  </w14:solidFill>
                </w14:textFill>
              </w:rPr>
              <w:t>法定代表人</w:t>
            </w:r>
            <w:bookmarkEnd w:id="271"/>
            <w:bookmarkEnd w:id="272"/>
            <w:bookmarkEnd w:id="273"/>
            <w:bookmarkEnd w:id="274"/>
          </w:p>
        </w:tc>
        <w:tc>
          <w:tcPr>
            <w:tcW w:w="1016" w:type="dxa"/>
            <w:vAlign w:val="center"/>
          </w:tcPr>
          <w:p>
            <w:pPr>
              <w:rPr>
                <w:color w:val="000000" w:themeColor="text1"/>
                <w14:textFill>
                  <w14:solidFill>
                    <w14:schemeClr w14:val="tx1"/>
                  </w14:solidFill>
                </w14:textFill>
              </w:rPr>
            </w:pPr>
            <w:bookmarkStart w:id="275" w:name="_Toc24566"/>
            <w:bookmarkStart w:id="276" w:name="_Toc429"/>
            <w:bookmarkStart w:id="277" w:name="_Toc3509"/>
            <w:bookmarkStart w:id="278" w:name="_Toc8313"/>
            <w:r>
              <w:rPr>
                <w:rFonts w:hint="eastAsia"/>
                <w:color w:val="000000" w:themeColor="text1"/>
                <w14:textFill>
                  <w14:solidFill>
                    <w14:schemeClr w14:val="tx1"/>
                  </w14:solidFill>
                </w14:textFill>
              </w:rPr>
              <w:t>姓名</w:t>
            </w:r>
            <w:bookmarkEnd w:id="275"/>
            <w:bookmarkEnd w:id="276"/>
            <w:bookmarkEnd w:id="277"/>
            <w:bookmarkEnd w:id="278"/>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279" w:name="_Toc5089"/>
            <w:bookmarkStart w:id="280" w:name="_Toc2791"/>
            <w:bookmarkStart w:id="281" w:name="_Toc11392"/>
            <w:bookmarkStart w:id="282" w:name="_Toc552"/>
            <w:r>
              <w:rPr>
                <w:rFonts w:hint="eastAsia"/>
                <w:color w:val="000000" w:themeColor="text1"/>
                <w14:textFill>
                  <w14:solidFill>
                    <w14:schemeClr w14:val="tx1"/>
                  </w14:solidFill>
                </w14:textFill>
              </w:rPr>
              <w:t>技术职称</w:t>
            </w:r>
            <w:bookmarkEnd w:id="279"/>
            <w:bookmarkEnd w:id="280"/>
            <w:bookmarkEnd w:id="281"/>
            <w:bookmarkEnd w:id="282"/>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283" w:name="_Toc15179"/>
            <w:bookmarkStart w:id="284" w:name="_Toc24036"/>
            <w:bookmarkStart w:id="285" w:name="_Toc21732"/>
            <w:bookmarkStart w:id="286" w:name="_Toc18413"/>
            <w:r>
              <w:rPr>
                <w:rFonts w:hint="eastAsia"/>
                <w:color w:val="000000" w:themeColor="text1"/>
                <w14:textFill>
                  <w14:solidFill>
                    <w14:schemeClr w14:val="tx1"/>
                  </w14:solidFill>
                </w14:textFill>
              </w:rPr>
              <w:t>电话</w:t>
            </w:r>
            <w:bookmarkEnd w:id="283"/>
            <w:bookmarkEnd w:id="284"/>
            <w:bookmarkEnd w:id="285"/>
            <w:bookmarkEnd w:id="286"/>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bookmarkStart w:id="287" w:name="_Toc18654"/>
            <w:bookmarkStart w:id="288" w:name="_Toc832"/>
            <w:bookmarkStart w:id="289" w:name="_Toc30758"/>
            <w:bookmarkStart w:id="290" w:name="_Toc6397"/>
            <w:r>
              <w:rPr>
                <w:rFonts w:hint="eastAsia"/>
                <w:color w:val="000000" w:themeColor="text1"/>
                <w14:textFill>
                  <w14:solidFill>
                    <w14:schemeClr w14:val="tx1"/>
                  </w14:solidFill>
                </w14:textFill>
              </w:rPr>
              <w:t>技术负责人</w:t>
            </w:r>
            <w:bookmarkEnd w:id="287"/>
            <w:bookmarkEnd w:id="288"/>
            <w:bookmarkEnd w:id="289"/>
            <w:bookmarkEnd w:id="290"/>
          </w:p>
        </w:tc>
        <w:tc>
          <w:tcPr>
            <w:tcW w:w="1016" w:type="dxa"/>
            <w:vAlign w:val="center"/>
          </w:tcPr>
          <w:p>
            <w:pPr>
              <w:rPr>
                <w:color w:val="000000" w:themeColor="text1"/>
                <w14:textFill>
                  <w14:solidFill>
                    <w14:schemeClr w14:val="tx1"/>
                  </w14:solidFill>
                </w14:textFill>
              </w:rPr>
            </w:pPr>
            <w:bookmarkStart w:id="291" w:name="_Toc5794"/>
            <w:bookmarkStart w:id="292" w:name="_Toc6829"/>
            <w:bookmarkStart w:id="293" w:name="_Toc32237"/>
            <w:bookmarkStart w:id="294" w:name="_Toc17841"/>
            <w:r>
              <w:rPr>
                <w:rFonts w:hint="eastAsia"/>
                <w:color w:val="000000" w:themeColor="text1"/>
                <w14:textFill>
                  <w14:solidFill>
                    <w14:schemeClr w14:val="tx1"/>
                  </w14:solidFill>
                </w14:textFill>
              </w:rPr>
              <w:t>姓名</w:t>
            </w:r>
            <w:bookmarkEnd w:id="291"/>
            <w:bookmarkEnd w:id="292"/>
            <w:bookmarkEnd w:id="293"/>
            <w:bookmarkEnd w:id="294"/>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295" w:name="_Toc25207"/>
            <w:bookmarkStart w:id="296" w:name="_Toc27222"/>
            <w:bookmarkStart w:id="297" w:name="_Toc17957"/>
            <w:bookmarkStart w:id="298" w:name="_Toc25059"/>
            <w:r>
              <w:rPr>
                <w:rFonts w:hint="eastAsia"/>
                <w:color w:val="000000" w:themeColor="text1"/>
                <w14:textFill>
                  <w14:solidFill>
                    <w14:schemeClr w14:val="tx1"/>
                  </w14:solidFill>
                </w14:textFill>
              </w:rPr>
              <w:t>技术职称</w:t>
            </w:r>
            <w:bookmarkEnd w:id="295"/>
            <w:bookmarkEnd w:id="296"/>
            <w:bookmarkEnd w:id="297"/>
            <w:bookmarkEnd w:id="298"/>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299" w:name="_Toc26943"/>
            <w:bookmarkStart w:id="300" w:name="_Toc14501"/>
            <w:bookmarkStart w:id="301" w:name="_Toc321"/>
            <w:bookmarkStart w:id="302" w:name="_Toc12165"/>
            <w:r>
              <w:rPr>
                <w:rFonts w:hint="eastAsia"/>
                <w:color w:val="000000" w:themeColor="text1"/>
                <w14:textFill>
                  <w14:solidFill>
                    <w14:schemeClr w14:val="tx1"/>
                  </w14:solidFill>
                </w14:textFill>
              </w:rPr>
              <w:t>电话</w:t>
            </w:r>
            <w:bookmarkEnd w:id="299"/>
            <w:bookmarkEnd w:id="300"/>
            <w:bookmarkEnd w:id="301"/>
            <w:bookmarkEnd w:id="302"/>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303" w:name="_Toc15849"/>
            <w:bookmarkStart w:id="304" w:name="_Toc13190"/>
            <w:bookmarkStart w:id="305" w:name="_Toc5056"/>
            <w:bookmarkStart w:id="306" w:name="_Toc1183"/>
            <w:r>
              <w:rPr>
                <w:rFonts w:hint="eastAsia"/>
                <w:color w:val="000000" w:themeColor="text1"/>
                <w14:textFill>
                  <w14:solidFill>
                    <w14:schemeClr w14:val="tx1"/>
                  </w14:solidFill>
                </w14:textFill>
              </w:rPr>
              <w:t>成立时间</w:t>
            </w:r>
            <w:bookmarkEnd w:id="303"/>
            <w:bookmarkEnd w:id="304"/>
            <w:bookmarkEnd w:id="305"/>
            <w:bookmarkEnd w:id="306"/>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bookmarkStart w:id="307" w:name="_Toc5918"/>
            <w:bookmarkStart w:id="308" w:name="_Toc9920"/>
            <w:bookmarkStart w:id="309" w:name="_Toc7458"/>
            <w:bookmarkStart w:id="310" w:name="_Toc23476"/>
            <w:r>
              <w:rPr>
                <w:rFonts w:hint="eastAsia"/>
                <w:color w:val="000000" w:themeColor="text1"/>
                <w14:textFill>
                  <w14:solidFill>
                    <w14:schemeClr w14:val="tx1"/>
                  </w14:solidFill>
                </w14:textFill>
              </w:rPr>
              <w:t>员工总人数：</w:t>
            </w:r>
            <w:bookmarkEnd w:id="307"/>
            <w:bookmarkEnd w:id="308"/>
            <w:bookmarkEnd w:id="309"/>
            <w:bookmarkEnd w:id="310"/>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311" w:name="_Toc2495"/>
            <w:bookmarkStart w:id="312" w:name="_Toc19832"/>
            <w:bookmarkStart w:id="313" w:name="_Toc13811"/>
            <w:bookmarkStart w:id="314" w:name="_Toc24347"/>
            <w:r>
              <w:rPr>
                <w:rFonts w:hint="eastAsia"/>
                <w:color w:val="000000" w:themeColor="text1"/>
                <w14:textFill>
                  <w14:solidFill>
                    <w14:schemeClr w14:val="tx1"/>
                  </w14:solidFill>
                </w14:textFill>
              </w:rPr>
              <w:t>营业执照号</w:t>
            </w:r>
            <w:bookmarkEnd w:id="311"/>
            <w:bookmarkEnd w:id="312"/>
            <w:bookmarkEnd w:id="313"/>
            <w:bookmarkEnd w:id="314"/>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bookmarkStart w:id="315" w:name="_Toc16273"/>
            <w:bookmarkStart w:id="316" w:name="_Toc15246"/>
            <w:bookmarkStart w:id="317" w:name="_Toc13361"/>
            <w:bookmarkStart w:id="318" w:name="_Toc19894"/>
            <w:r>
              <w:rPr>
                <w:rFonts w:hint="eastAsia"/>
                <w:color w:val="000000" w:themeColor="text1"/>
                <w14:textFill>
                  <w14:solidFill>
                    <w14:schemeClr w14:val="tx1"/>
                  </w14:solidFill>
                </w14:textFill>
              </w:rPr>
              <w:t>高级职称人员</w:t>
            </w:r>
            <w:bookmarkEnd w:id="315"/>
            <w:bookmarkEnd w:id="316"/>
            <w:bookmarkEnd w:id="317"/>
            <w:bookmarkEnd w:id="318"/>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319" w:name="_Toc20237"/>
            <w:bookmarkStart w:id="320" w:name="_Toc3476"/>
            <w:bookmarkStart w:id="321" w:name="_Toc30242"/>
            <w:bookmarkStart w:id="322" w:name="_Toc12522"/>
            <w:r>
              <w:rPr>
                <w:rFonts w:hint="eastAsia"/>
                <w:color w:val="000000" w:themeColor="text1"/>
                <w14:textFill>
                  <w14:solidFill>
                    <w14:schemeClr w14:val="tx1"/>
                  </w14:solidFill>
                </w14:textFill>
              </w:rPr>
              <w:t>注册资金</w:t>
            </w:r>
            <w:bookmarkEnd w:id="319"/>
            <w:bookmarkEnd w:id="320"/>
            <w:bookmarkEnd w:id="321"/>
            <w:bookmarkEnd w:id="322"/>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323" w:name="_Toc1834"/>
            <w:bookmarkStart w:id="324" w:name="_Toc16642"/>
            <w:bookmarkStart w:id="325" w:name="_Toc30244"/>
            <w:bookmarkStart w:id="326" w:name="_Toc7916"/>
            <w:r>
              <w:rPr>
                <w:rFonts w:hint="eastAsia"/>
                <w:color w:val="000000" w:themeColor="text1"/>
                <w14:textFill>
                  <w14:solidFill>
                    <w14:schemeClr w14:val="tx1"/>
                  </w14:solidFill>
                </w14:textFill>
              </w:rPr>
              <w:t>中级职称人员</w:t>
            </w:r>
            <w:bookmarkEnd w:id="323"/>
            <w:bookmarkEnd w:id="324"/>
            <w:bookmarkEnd w:id="325"/>
            <w:bookmarkEnd w:id="326"/>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327" w:name="_Toc21663"/>
            <w:bookmarkStart w:id="328" w:name="_Toc17149"/>
            <w:bookmarkStart w:id="329" w:name="_Toc24406"/>
            <w:bookmarkStart w:id="330" w:name="_Toc18512"/>
            <w:r>
              <w:rPr>
                <w:rFonts w:hint="eastAsia"/>
                <w:color w:val="000000" w:themeColor="text1"/>
                <w14:textFill>
                  <w14:solidFill>
                    <w14:schemeClr w14:val="tx1"/>
                  </w14:solidFill>
                </w14:textFill>
              </w:rPr>
              <w:t>开户银行</w:t>
            </w:r>
            <w:bookmarkEnd w:id="327"/>
            <w:bookmarkEnd w:id="328"/>
            <w:bookmarkEnd w:id="329"/>
            <w:bookmarkEnd w:id="330"/>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331" w:name="_Toc24761"/>
            <w:bookmarkStart w:id="332" w:name="_Toc15110"/>
            <w:bookmarkStart w:id="333" w:name="_Toc23409"/>
            <w:bookmarkStart w:id="334" w:name="_Toc12330"/>
            <w:r>
              <w:rPr>
                <w:rFonts w:hint="eastAsia"/>
                <w:color w:val="000000" w:themeColor="text1"/>
                <w14:textFill>
                  <w14:solidFill>
                    <w14:schemeClr w14:val="tx1"/>
                  </w14:solidFill>
                </w14:textFill>
              </w:rPr>
              <w:t>初级职称人员</w:t>
            </w:r>
            <w:bookmarkEnd w:id="331"/>
            <w:bookmarkEnd w:id="332"/>
            <w:bookmarkEnd w:id="333"/>
            <w:bookmarkEnd w:id="334"/>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bookmarkStart w:id="335" w:name="_Toc19211"/>
            <w:bookmarkStart w:id="336" w:name="_Toc7855"/>
            <w:bookmarkStart w:id="337" w:name="_Toc11996"/>
            <w:bookmarkStart w:id="338" w:name="_Toc7482"/>
            <w:r>
              <w:rPr>
                <w:rFonts w:hint="eastAsia"/>
                <w:color w:val="000000" w:themeColor="text1"/>
                <w14:textFill>
                  <w14:solidFill>
                    <w14:schemeClr w14:val="tx1"/>
                  </w14:solidFill>
                </w14:textFill>
              </w:rPr>
              <w:t>账号</w:t>
            </w:r>
            <w:bookmarkEnd w:id="335"/>
            <w:bookmarkEnd w:id="336"/>
            <w:bookmarkEnd w:id="337"/>
            <w:bookmarkEnd w:id="338"/>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339" w:name="_Toc16123"/>
            <w:bookmarkStart w:id="340" w:name="_Toc23890"/>
            <w:bookmarkStart w:id="341" w:name="_Toc10662"/>
            <w:bookmarkStart w:id="342" w:name="_Toc7296"/>
            <w:r>
              <w:rPr>
                <w:rFonts w:hint="eastAsia"/>
                <w:color w:val="000000" w:themeColor="text1"/>
                <w14:textFill>
                  <w14:solidFill>
                    <w14:schemeClr w14:val="tx1"/>
                  </w14:solidFill>
                </w14:textFill>
              </w:rPr>
              <w:t>技工</w:t>
            </w:r>
            <w:bookmarkEnd w:id="339"/>
            <w:bookmarkEnd w:id="340"/>
            <w:bookmarkEnd w:id="341"/>
            <w:bookmarkEnd w:id="342"/>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bookmarkStart w:id="343" w:name="_Toc30075"/>
            <w:bookmarkStart w:id="344" w:name="_Toc19840"/>
            <w:bookmarkStart w:id="345" w:name="_Toc2745"/>
            <w:bookmarkStart w:id="346" w:name="_Toc516"/>
            <w:r>
              <w:rPr>
                <w:rFonts w:hint="eastAsia"/>
                <w:color w:val="000000" w:themeColor="text1"/>
                <w14:textFill>
                  <w14:solidFill>
                    <w14:schemeClr w14:val="tx1"/>
                  </w14:solidFill>
                </w14:textFill>
              </w:rPr>
              <w:t>经营范围</w:t>
            </w:r>
            <w:bookmarkEnd w:id="343"/>
            <w:bookmarkEnd w:id="344"/>
            <w:bookmarkEnd w:id="345"/>
            <w:bookmarkEnd w:id="346"/>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bookmarkStart w:id="347" w:name="_Toc19290"/>
            <w:bookmarkStart w:id="348" w:name="_Toc26754"/>
            <w:bookmarkStart w:id="349" w:name="_Toc22690"/>
            <w:bookmarkStart w:id="350" w:name="_Toc12320"/>
            <w:r>
              <w:rPr>
                <w:rFonts w:hint="eastAsia"/>
                <w:color w:val="000000" w:themeColor="text1"/>
                <w14:textFill>
                  <w14:solidFill>
                    <w14:schemeClr w14:val="tx1"/>
                  </w14:solidFill>
                </w14:textFill>
              </w:rPr>
              <w:t>备注</w:t>
            </w:r>
            <w:bookmarkEnd w:id="347"/>
            <w:bookmarkEnd w:id="348"/>
            <w:bookmarkEnd w:id="349"/>
            <w:bookmarkEnd w:id="350"/>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hAnsi="宋体"/>
          <w:color w:val="000000" w:themeColor="text1"/>
          <w:sz w:val="24"/>
          <w:szCs w:val="24"/>
          <w:u w:val="single"/>
          <w14:textFill>
            <w14:solidFill>
              <w14:schemeClr w14:val="tx1"/>
            </w14:solidFill>
          </w14:textFill>
        </w:rPr>
      </w:pP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1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7"/>
        <w:outlineLvl w:val="9"/>
        <w:rPr>
          <w:rFonts w:hint="default"/>
          <w:color w:val="000000" w:themeColor="text1"/>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p>
    <w:p>
      <w:pPr>
        <w:bidi w:val="0"/>
        <w:rPr>
          <w:b/>
          <w:bCs/>
          <w:sz w:val="24"/>
          <w:szCs w:val="24"/>
        </w:rPr>
      </w:pPr>
      <w:bookmarkStart w:id="351" w:name="_Toc3089"/>
      <w:r>
        <w:rPr>
          <w:rFonts w:hint="eastAsia"/>
          <w:b/>
          <w:bCs/>
          <w:sz w:val="24"/>
          <w:szCs w:val="24"/>
        </w:rPr>
        <w:t>3-2法定代表人授权书</w:t>
      </w:r>
      <w:bookmarkEnd w:id="351"/>
    </w:p>
    <w:p>
      <w:pPr>
        <w:pStyle w:val="10"/>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0"/>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本授权书有效期自投标文件递交截止之日</w:t>
      </w:r>
      <w:r>
        <w:rPr>
          <w:rFonts w:hint="eastAsia" w:ascii="宋体" w:hAnsi="宋体" w:cs="宋体"/>
          <w:color w:val="000000" w:themeColor="text1"/>
          <w:sz w:val="24"/>
          <w:u w:val="single"/>
          <w14:textFill>
            <w14:solidFill>
              <w14:schemeClr w14:val="tx1"/>
            </w14:solidFill>
          </w14:textFill>
        </w:rPr>
        <w:t>起 90 日历天</w:t>
      </w:r>
      <w:r>
        <w:rPr>
          <w:rFonts w:hint="eastAsia" w:ascii="宋体" w:hAnsi="宋体" w:cs="宋体"/>
          <w:color w:val="000000" w:themeColor="text1"/>
          <w:sz w:val="24"/>
          <w14:textFill>
            <w14:solidFill>
              <w14:schemeClr w14:val="tx1"/>
            </w14:solidFill>
          </w14:textFill>
        </w:rPr>
        <w:t>，特此声明。</w:t>
      </w:r>
    </w:p>
    <w:p>
      <w:pPr>
        <w:pStyle w:val="10"/>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p>
    <w:p>
      <w:pPr>
        <w:pStyle w:val="10"/>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pPr>
        <w:pStyle w:val="10"/>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0"/>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0"/>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0"/>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0"/>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18"/>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0"/>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0"/>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0"/>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0"/>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1．本授权书有效期自开标会议之日计算不得少于90日历日。</w:t>
      </w:r>
    </w:p>
    <w:p>
      <w:pPr>
        <w:pStyle w:val="8"/>
        <w:spacing w:line="360" w:lineRule="auto"/>
        <w:jc w:val="lef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br w:type="page"/>
      </w:r>
    </w:p>
    <w:p>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竞争性磋商，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0"/>
        <w:spacing w:line="480" w:lineRule="auto"/>
        <w:jc w:val="left"/>
        <w:rPr>
          <w:rFonts w:hAnsi="宋体" w:cs="宋体"/>
          <w:color w:val="000000" w:themeColor="text1"/>
          <w:kern w:val="0"/>
          <w:sz w:val="24"/>
          <w14:textFill>
            <w14:solidFill>
              <w14:schemeClr w14:val="tx1"/>
            </w14:solidFill>
          </w14:textFill>
        </w:rPr>
      </w:pPr>
    </w:p>
    <w:p>
      <w:pPr>
        <w:pStyle w:val="10"/>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供应商（单位名称及公章）：</w:t>
      </w:r>
    </w:p>
    <w:p>
      <w:pPr>
        <w:pStyle w:val="10"/>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600" w:lineRule="auto"/>
        <w:rPr>
          <w:rFonts w:hAnsi="宋体" w:cs="宋体"/>
          <w:color w:val="000000" w:themeColor="text1"/>
          <w:kern w:val="0"/>
          <w:sz w:val="24"/>
          <w:u w:val="single"/>
          <w14:textFill>
            <w14:solidFill>
              <w14:schemeClr w14:val="tx1"/>
            </w14:solidFill>
          </w14:textFill>
        </w:r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p>
    <w:p>
      <w:pPr>
        <w:pStyle w:val="8"/>
        <w:sectPr>
          <w:pgSz w:w="11906" w:h="16838"/>
          <w:pgMar w:top="1440" w:right="1803" w:bottom="1440" w:left="1803" w:header="851" w:footer="992" w:gutter="0"/>
          <w:pgNumType w:fmt="decimal"/>
          <w:cols w:space="720" w:num="1"/>
          <w:docGrid w:type="lines" w:linePitch="319" w:charSpace="0"/>
        </w:sectPr>
      </w:pPr>
    </w:p>
    <w:p>
      <w:pPr>
        <w:spacing w:line="600" w:lineRule="auto"/>
        <w:rPr>
          <w:sz w:val="24"/>
          <w:szCs w:val="28"/>
        </w:rPr>
      </w:pPr>
      <w:r>
        <w:rPr>
          <w:rFonts w:hint="eastAsia"/>
          <w:sz w:val="24"/>
          <w:szCs w:val="28"/>
        </w:rPr>
        <w:t>5、社保资金缴纳证明材料</w:t>
      </w:r>
    </w:p>
    <w:p>
      <w:pPr>
        <w:spacing w:line="600" w:lineRule="auto"/>
        <w:rPr>
          <w:sz w:val="24"/>
          <w:szCs w:val="28"/>
        </w:rPr>
      </w:pPr>
      <w:r>
        <w:rPr>
          <w:rFonts w:hint="eastAsia"/>
          <w:sz w:val="24"/>
          <w:szCs w:val="28"/>
        </w:rPr>
        <w:t xml:space="preserve">6、税收缴纳证明材料： </w:t>
      </w:r>
    </w:p>
    <w:p>
      <w:pPr>
        <w:spacing w:line="600" w:lineRule="auto"/>
        <w:rPr>
          <w:rFonts w:hint="eastAsia"/>
          <w:sz w:val="24"/>
          <w:szCs w:val="28"/>
        </w:rPr>
      </w:pPr>
      <w:r>
        <w:rPr>
          <w:rFonts w:hint="eastAsia"/>
          <w:sz w:val="24"/>
          <w:szCs w:val="28"/>
        </w:rPr>
        <w:t xml:space="preserve">7、财务状况证明材料： </w:t>
      </w:r>
    </w:p>
    <w:p>
      <w:pPr>
        <w:spacing w:line="600" w:lineRule="auto"/>
        <w:rPr>
          <w:rFonts w:hint="eastAsia"/>
          <w:sz w:val="24"/>
          <w:szCs w:val="28"/>
          <w:lang w:val="en-US" w:eastAsia="zh-CN"/>
        </w:rPr>
      </w:pPr>
      <w:r>
        <w:rPr>
          <w:rFonts w:hint="eastAsia"/>
          <w:sz w:val="24"/>
          <w:szCs w:val="28"/>
          <w:lang w:val="en-US" w:eastAsia="zh-CN"/>
        </w:rPr>
        <w:t>8、非联合体承诺书（格式自拟）；</w:t>
      </w:r>
    </w:p>
    <w:p>
      <w:pPr>
        <w:spacing w:line="600" w:lineRule="auto"/>
        <w:rPr>
          <w:rFonts w:hint="eastAsia"/>
          <w:sz w:val="24"/>
          <w:szCs w:val="28"/>
        </w:rPr>
      </w:pPr>
      <w:r>
        <w:rPr>
          <w:rFonts w:hint="eastAsia"/>
          <w:sz w:val="24"/>
          <w:szCs w:val="28"/>
          <w:lang w:val="en-US" w:eastAsia="zh-CN"/>
        </w:rPr>
        <w:t>9</w:t>
      </w:r>
      <w:r>
        <w:rPr>
          <w:rFonts w:hint="eastAsia"/>
          <w:sz w:val="24"/>
          <w:szCs w:val="28"/>
        </w:rPr>
        <w:t>、供应商认为应该提交的其他证明材料；</w:t>
      </w:r>
    </w:p>
    <w:p>
      <w:pPr>
        <w:rPr>
          <w:rFonts w:hint="eastAsia"/>
          <w:sz w:val="24"/>
          <w:szCs w:val="28"/>
        </w:rPr>
      </w:pPr>
      <w:r>
        <w:rPr>
          <w:rFonts w:hint="eastAsia"/>
          <w:sz w:val="24"/>
          <w:szCs w:val="28"/>
        </w:rPr>
        <w:br w:type="page"/>
      </w:r>
    </w:p>
    <w:p>
      <w:pPr>
        <w:pStyle w:val="8"/>
        <w:sectPr>
          <w:pgSz w:w="11906" w:h="16838"/>
          <w:pgMar w:top="1440" w:right="1803" w:bottom="1440" w:left="1803" w:header="851" w:footer="992" w:gutter="0"/>
          <w:pgNumType w:fmt="decimal"/>
          <w:cols w:space="720" w:num="1"/>
          <w:docGrid w:type="lines" w:linePitch="319" w:charSpace="0"/>
        </w:sectPr>
      </w:pPr>
    </w:p>
    <w:p>
      <w:pPr>
        <w:pStyle w:val="5"/>
        <w:jc w:val="center"/>
        <w:rPr>
          <w:color w:val="000000" w:themeColor="text1"/>
          <w14:textFill>
            <w14:solidFill>
              <w14:schemeClr w14:val="tx1"/>
            </w14:solidFill>
          </w14:textFill>
        </w:rPr>
      </w:pPr>
      <w:bookmarkStart w:id="352" w:name="_Toc28294"/>
      <w:bookmarkStart w:id="353" w:name="_Toc5900"/>
      <w:bookmarkStart w:id="354" w:name="_Toc30568"/>
      <w:bookmarkStart w:id="355" w:name="_Toc1157"/>
      <w:r>
        <w:rPr>
          <w:rFonts w:hint="eastAsia"/>
          <w:color w:val="000000" w:themeColor="text1"/>
          <w14:textFill>
            <w14:solidFill>
              <w14:schemeClr w14:val="tx1"/>
            </w14:solidFill>
          </w14:textFill>
        </w:rPr>
        <w:t>第六章  商务和技术响应偏离表</w:t>
      </w:r>
      <w:bookmarkEnd w:id="352"/>
      <w:bookmarkEnd w:id="353"/>
      <w:bookmarkEnd w:id="354"/>
      <w:bookmarkEnd w:id="355"/>
    </w:p>
    <w:p>
      <w:pPr>
        <w:kinsoku w:val="0"/>
        <w:spacing w:line="480" w:lineRule="auto"/>
        <w:ind w:left="1232" w:hanging="1232" w:hangingChars="44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表1、商务响应偏差表</w:t>
      </w:r>
    </w:p>
    <w:tbl>
      <w:tblPr>
        <w:tblStyle w:val="1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0"/>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 xml:space="preserve"> 序号</w:t>
            </w:r>
          </w:p>
        </w:tc>
        <w:tc>
          <w:tcPr>
            <w:tcW w:w="1614" w:type="dxa"/>
            <w:vAlign w:val="center"/>
          </w:tcPr>
          <w:p>
            <w:pPr>
              <w:pStyle w:val="10"/>
              <w:spacing w:line="480" w:lineRule="auto"/>
              <w:jc w:val="left"/>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 xml:space="preserve"> 商务条款</w:t>
            </w:r>
          </w:p>
        </w:tc>
        <w:tc>
          <w:tcPr>
            <w:tcW w:w="1680" w:type="dxa"/>
            <w:vAlign w:val="center"/>
          </w:tcPr>
          <w:p>
            <w:pPr>
              <w:pStyle w:val="10"/>
              <w:spacing w:line="480" w:lineRule="auto"/>
              <w:jc w:val="left"/>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商务要求内容</w:t>
            </w:r>
          </w:p>
        </w:tc>
        <w:tc>
          <w:tcPr>
            <w:tcW w:w="2448" w:type="dxa"/>
            <w:vAlign w:val="center"/>
          </w:tcPr>
          <w:p>
            <w:pPr>
              <w:pStyle w:val="1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响应文件响应商务内容</w:t>
            </w:r>
          </w:p>
        </w:tc>
        <w:tc>
          <w:tcPr>
            <w:tcW w:w="2042" w:type="dxa"/>
            <w:vAlign w:val="center"/>
          </w:tcPr>
          <w:p>
            <w:pPr>
              <w:pStyle w:val="10"/>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vAlign w:val="center"/>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vAlign w:val="center"/>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vAlign w:val="center"/>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80"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42"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pStyle w:val="8"/>
        <w:ind w:firstLine="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填写说明：供应商对本项目付款、交付期、质保期、履约验收等商务方面进行响应说明，并保证响应的真实性。</w:t>
      </w:r>
    </w:p>
    <w:p>
      <w:pPr>
        <w:pStyle w:val="8"/>
        <w:ind w:firstLine="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偏差说明填写：正偏离（标明正偏离内容）、符合。</w:t>
      </w:r>
    </w:p>
    <w:p>
      <w:pPr>
        <w:pStyle w:val="8"/>
        <w:ind w:firstLine="0"/>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商务条款不允许负偏离；</w:t>
      </w:r>
    </w:p>
    <w:p>
      <w:pPr>
        <w:adjustRightInd w:val="0"/>
        <w:snapToGrid w:val="0"/>
        <w:spacing w:line="480" w:lineRule="auto"/>
        <w:jc w:val="left"/>
        <w:rPr>
          <w:rFonts w:ascii="宋体" w:hAnsi="宋体" w:cs="宋体"/>
          <w:color w:val="000000" w:themeColor="text1"/>
          <w:sz w:val="28"/>
          <w:szCs w:val="28"/>
          <w14:textFill>
            <w14:solidFill>
              <w14:schemeClr w14:val="tx1"/>
            </w14:solidFill>
          </w14:textFill>
        </w:rPr>
      </w:pPr>
    </w:p>
    <w:p>
      <w:pPr>
        <w:adjustRightInd w:val="0"/>
        <w:snapToGrid w:val="0"/>
        <w:spacing w:line="480" w:lineRule="auto"/>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供应商（单位名称及公章）：</w:t>
      </w:r>
    </w:p>
    <w:p>
      <w:pPr>
        <w:adjustRightInd w:val="0"/>
        <w:snapToGrid w:val="0"/>
        <w:spacing w:line="48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法定代表人/被授权人（签字或盖章）：</w:t>
      </w:r>
    </w:p>
    <w:p>
      <w:pPr>
        <w:adjustRightInd w:val="0"/>
        <w:snapToGrid w:val="0"/>
        <w:spacing w:line="480" w:lineRule="auto"/>
        <w:rPr>
          <w:rFonts w:ascii="宋体" w:hAnsi="宋体"/>
          <w:color w:val="000000" w:themeColor="text1"/>
          <w:sz w:val="28"/>
          <w:szCs w:val="28"/>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color w:val="000000" w:themeColor="text1"/>
          <w:sz w:val="28"/>
          <w:szCs w:val="28"/>
          <w14:textFill>
            <w14:solidFill>
              <w14:schemeClr w14:val="tx1"/>
            </w14:solidFill>
          </w14:textFill>
        </w:rPr>
        <w:t>日    期：年</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pStyle w:val="3"/>
        <w:ind w:firstLine="28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表2、技术响应偏差表</w:t>
      </w:r>
    </w:p>
    <w:tbl>
      <w:tblPr>
        <w:tblStyle w:val="18"/>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0"/>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序号</w:t>
            </w:r>
          </w:p>
        </w:tc>
        <w:tc>
          <w:tcPr>
            <w:tcW w:w="2864" w:type="dxa"/>
            <w:vAlign w:val="center"/>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磋商文件要求</w:t>
            </w:r>
          </w:p>
          <w:p>
            <w:pPr>
              <w:pStyle w:val="10"/>
              <w:spacing w:line="48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技术要求</w:t>
            </w:r>
          </w:p>
        </w:tc>
        <w:tc>
          <w:tcPr>
            <w:tcW w:w="2443" w:type="dxa"/>
            <w:vAlign w:val="center"/>
          </w:tcPr>
          <w:p>
            <w:pPr>
              <w:pStyle w:val="10"/>
              <w:spacing w:line="48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响应文件</w:t>
            </w:r>
          </w:p>
          <w:p>
            <w:pPr>
              <w:pStyle w:val="10"/>
              <w:spacing w:line="48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技术内容</w:t>
            </w:r>
          </w:p>
        </w:tc>
        <w:tc>
          <w:tcPr>
            <w:tcW w:w="1621" w:type="dxa"/>
            <w:vAlign w:val="center"/>
          </w:tcPr>
          <w:p>
            <w:pPr>
              <w:pStyle w:val="10"/>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偏差说明</w:t>
            </w:r>
          </w:p>
        </w:tc>
        <w:tc>
          <w:tcPr>
            <w:tcW w:w="1614" w:type="dxa"/>
            <w:vAlign w:val="center"/>
          </w:tcPr>
          <w:p>
            <w:pPr>
              <w:pStyle w:val="10"/>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vAlign w:val="center"/>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vAlign w:val="center"/>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vAlign w:val="center"/>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vAlign w:val="center"/>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0"/>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pStyle w:val="10"/>
        <w:ind w:firstLine="562"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填写说明：</w:t>
      </w:r>
      <w:r>
        <w:rPr>
          <w:rFonts w:hint="eastAsia" w:asciiTheme="minorEastAsia" w:hAnsiTheme="minorEastAsia" w:cstheme="minorEastAsia"/>
          <w:color w:val="000000" w:themeColor="text1"/>
          <w:sz w:val="28"/>
          <w:szCs w:val="28"/>
          <w14:textFill>
            <w14:solidFill>
              <w14:schemeClr w14:val="tx1"/>
            </w14:solidFill>
          </w14:textFill>
        </w:rPr>
        <w:t>请按磋商文件</w:t>
      </w:r>
      <w:r>
        <w:rPr>
          <w:rFonts w:hint="eastAsia" w:asciiTheme="minorEastAsia" w:hAnsiTheme="minorEastAsia" w:cstheme="minorEastAsia"/>
          <w:sz w:val="28"/>
          <w:szCs w:val="28"/>
        </w:rPr>
        <w:t>技术要求的内容</w:t>
      </w:r>
      <w:r>
        <w:rPr>
          <w:rFonts w:hint="eastAsia" w:asciiTheme="minorEastAsia" w:hAnsiTheme="minorEastAsia" w:cstheme="minorEastAsia"/>
          <w:color w:val="000000" w:themeColor="text1"/>
          <w:sz w:val="28"/>
          <w:szCs w:val="28"/>
          <w14:textFill>
            <w14:solidFill>
              <w14:schemeClr w14:val="tx1"/>
            </w14:solidFill>
          </w14:textFill>
        </w:rPr>
        <w:t>，逐条对应响应文件的“采购要求”</w:t>
      </w:r>
      <w:r>
        <w:rPr>
          <w:rFonts w:hint="eastAsia" w:asciiTheme="minorEastAsia" w:hAnsiTheme="minorEastAsia" w:cstheme="minorEastAsia"/>
          <w:sz w:val="28"/>
          <w:szCs w:val="28"/>
        </w:rPr>
        <w:t>中的技术要求认真填写本表</w:t>
      </w:r>
      <w:r>
        <w:rPr>
          <w:rFonts w:hint="eastAsia" w:asciiTheme="minorEastAsia" w:hAnsiTheme="minorEastAsia" w:cstheme="minorEastAsia"/>
          <w:color w:val="000000" w:themeColor="text1"/>
          <w:sz w:val="28"/>
          <w:szCs w:val="28"/>
          <w14:textFill>
            <w14:solidFill>
              <w14:schemeClr w14:val="tx1"/>
            </w14:solidFill>
          </w14:textFill>
        </w:rPr>
        <w:t>。偏差说明填写：正偏离（标明正偏离内容及正偏离的证明材料的页码）、符合（标明主要技术参数证明材料页码）或负偏离。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color w:val="000000" w:themeColor="text1"/>
          <w:sz w:val="28"/>
          <w:szCs w:val="28"/>
          <w14:textFill>
            <w14:solidFill>
              <w14:schemeClr w14:val="tx1"/>
            </w14:solidFill>
          </w14:textFill>
        </w:rPr>
      </w:pPr>
    </w:p>
    <w:p>
      <w:pPr>
        <w:adjustRightInd w:val="0"/>
        <w:snapToGrid w:val="0"/>
        <w:spacing w:line="480" w:lineRule="auto"/>
        <w:jc w:val="left"/>
        <w:rPr>
          <w:rFonts w:asciiTheme="minorEastAsia" w:hAnsiTheme="minorEastAsia" w:cstheme="minorEastAsia"/>
          <w:color w:val="000000" w:themeColor="text1"/>
          <w:sz w:val="28"/>
          <w:szCs w:val="28"/>
          <w:u w:val="single"/>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供应商（单位名称及公章）：</w:t>
      </w:r>
    </w:p>
    <w:p>
      <w:pPr>
        <w:adjustRightInd w:val="0"/>
        <w:snapToGrid w:val="0"/>
        <w:spacing w:line="48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法定代表人/被授权人（签字或盖章）：</w:t>
      </w:r>
    </w:p>
    <w:p>
      <w:pPr>
        <w:pStyle w:val="8"/>
        <w:spacing w:line="360" w:lineRule="auto"/>
        <w:ind w:left="0" w:leftChars="0" w:firstLine="0" w:firstLineChars="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日    期：年</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14:textFill>
            <w14:solidFill>
              <w14:schemeClr w14:val="tx1"/>
            </w14:solidFill>
          </w14:textFill>
        </w:rPr>
        <w:t>日</w:t>
      </w:r>
    </w:p>
    <w:p>
      <w:pPr>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br w:type="page"/>
      </w:r>
    </w:p>
    <w:p>
      <w:pPr>
        <w:pStyle w:val="5"/>
        <w:spacing w:beforeLines="100" w:afterLines="150" w:line="500" w:lineRule="exact"/>
        <w:jc w:val="center"/>
        <w:rPr>
          <w:rFonts w:asciiTheme="minorEastAsia" w:hAnsiTheme="minorEastAsia" w:eastAsiaTheme="minorEastAsia" w:cstheme="minorEastAsia"/>
          <w:color w:val="000000" w:themeColor="text1"/>
          <w:sz w:val="36"/>
          <w:szCs w:val="36"/>
          <w14:textFill>
            <w14:solidFill>
              <w14:schemeClr w14:val="tx1"/>
            </w14:solidFill>
          </w14:textFill>
        </w:rPr>
      </w:pPr>
      <w:bookmarkStart w:id="356" w:name="_Toc18357"/>
      <w:bookmarkStart w:id="357" w:name="_Toc8786"/>
      <w:bookmarkStart w:id="358" w:name="_Toc7385"/>
      <w:bookmarkStart w:id="359" w:name="_Toc1626"/>
      <w:bookmarkStart w:id="360" w:name="_Toc31024"/>
      <w:r>
        <w:rPr>
          <w:rFonts w:hint="eastAsia" w:asciiTheme="minorEastAsia" w:hAnsiTheme="minorEastAsia" w:eastAsiaTheme="minorEastAsia" w:cstheme="minorEastAsia"/>
          <w:color w:val="000000" w:themeColor="text1"/>
          <w:sz w:val="36"/>
          <w:szCs w:val="36"/>
          <w14:textFill>
            <w14:solidFill>
              <w14:schemeClr w14:val="tx1"/>
            </w14:solidFill>
          </w14:textFill>
        </w:rPr>
        <w:t>第七章</w:t>
      </w:r>
      <w:bookmarkEnd w:id="356"/>
      <w:r>
        <w:rPr>
          <w:rFonts w:hint="eastAsia" w:asciiTheme="minorEastAsia" w:hAnsiTheme="minorEastAsia" w:eastAsiaTheme="minorEastAsia" w:cstheme="minorEastAsia"/>
          <w:color w:val="000000" w:themeColor="text1"/>
          <w:sz w:val="36"/>
          <w:szCs w:val="36"/>
          <w14:textFill>
            <w14:solidFill>
              <w14:schemeClr w14:val="tx1"/>
            </w14:solidFill>
          </w14:textFill>
        </w:rPr>
        <w:t xml:space="preserve">  技术支持资料</w:t>
      </w:r>
      <w:bookmarkEnd w:id="357"/>
      <w:bookmarkEnd w:id="358"/>
      <w:bookmarkEnd w:id="359"/>
      <w:bookmarkEnd w:id="360"/>
    </w:p>
    <w:p>
      <w:pPr>
        <w:pStyle w:val="8"/>
        <w:spacing w:line="360" w:lineRule="auto"/>
        <w:ind w:left="0" w:leftChars="0" w:firstLine="0" w:firstLineChars="0"/>
        <w:jc w:val="left"/>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供应商可根据评审办法自行编写，不限于以下内容：</w:t>
      </w:r>
    </w:p>
    <w:p>
      <w:pP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br w:type="page"/>
      </w:r>
    </w:p>
    <w:p>
      <w:pPr>
        <w:pStyle w:val="5"/>
        <w:jc w:val="center"/>
        <w:rPr>
          <w:color w:val="000000" w:themeColor="text1"/>
          <w14:textFill>
            <w14:solidFill>
              <w14:schemeClr w14:val="tx1"/>
            </w14:solidFill>
          </w14:textFill>
        </w:rPr>
      </w:pPr>
      <w:bookmarkStart w:id="361" w:name="_Toc30011"/>
      <w:bookmarkStart w:id="362" w:name="_Toc24882"/>
      <w:bookmarkStart w:id="363" w:name="_Toc5307"/>
      <w:bookmarkStart w:id="364" w:name="_Toc11540"/>
      <w:r>
        <w:rPr>
          <w:rFonts w:hint="eastAsia"/>
          <w:color w:val="000000" w:themeColor="text1"/>
          <w14:textFill>
            <w14:solidFill>
              <w14:schemeClr w14:val="tx1"/>
            </w14:solidFill>
          </w14:textFill>
        </w:rPr>
        <w:t>第八章  供应商业绩一览表</w:t>
      </w:r>
      <w:bookmarkEnd w:id="361"/>
      <w:bookmarkEnd w:id="362"/>
      <w:bookmarkEnd w:id="363"/>
      <w:bookmarkEnd w:id="364"/>
    </w:p>
    <w:p>
      <w:pPr>
        <w:rPr>
          <w:rFonts w:asciiTheme="minorEastAsia" w:hAnsiTheme="minorEastAsia" w:cstheme="minorEastAsia"/>
          <w:color w:val="000000" w:themeColor="text1"/>
          <w14:textFill>
            <w14:solidFill>
              <w14:schemeClr w14:val="tx1"/>
            </w14:solidFill>
          </w14:textFill>
        </w:rPr>
      </w:pPr>
    </w:p>
    <w:tbl>
      <w:tblPr>
        <w:tblStyle w:val="18"/>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年份</w:t>
            </w: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用户名称</w:t>
            </w: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项目名称</w:t>
            </w: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完成时间</w:t>
            </w:r>
          </w:p>
        </w:tc>
        <w:tc>
          <w:tcPr>
            <w:tcW w:w="1485" w:type="dxa"/>
            <w:vAlign w:val="center"/>
          </w:tcPr>
          <w:p>
            <w:pPr>
              <w:spacing w:line="400" w:lineRule="exact"/>
              <w:ind w:firstLine="105" w:firstLineChars="5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注：供应商（仅限于供应商自己实施的）以上业绩需提供采购合同复印件加盖公章。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color w:val="000000" w:themeColor="text1"/>
          <w:sz w:val="24"/>
          <w:szCs w:val="24"/>
          <w14:textFill>
            <w14:solidFill>
              <w14:schemeClr w14:val="tx1"/>
            </w14:solidFill>
          </w14:textFill>
        </w:rPr>
      </w:pPr>
    </w:p>
    <w:p>
      <w:pPr>
        <w:spacing w:line="360" w:lineRule="auto"/>
        <w:ind w:left="360"/>
        <w:jc w:val="center"/>
        <w:rPr>
          <w:rFonts w:asciiTheme="minorEastAsia" w:hAnsiTheme="minorEastAsia" w:cstheme="minorEastAsia"/>
          <w:color w:val="000000" w:themeColor="text1"/>
          <w:sz w:val="24"/>
          <w:szCs w:val="24"/>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供应商名称：</w:t>
      </w:r>
      <w:r>
        <w:rPr>
          <w:rFonts w:hint="eastAsia" w:asciiTheme="minorEastAsia" w:hAnsiTheme="minorEastAsia" w:cstheme="minorEastAsia"/>
          <w:bCs/>
          <w:color w:val="000000" w:themeColor="text1"/>
          <w:sz w:val="24"/>
          <w:szCs w:val="24"/>
          <w:u w:val="single"/>
          <w14:textFill>
            <w14:solidFill>
              <w14:schemeClr w14:val="tx1"/>
            </w14:solidFill>
          </w14:textFill>
        </w:rPr>
        <w:t xml:space="preserve">              （全称及公章）</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法定代表人或委托代理人（签字或盖章）：</w:t>
      </w:r>
    </w:p>
    <w:p>
      <w:pPr>
        <w:adjustRightInd w:val="0"/>
        <w:spacing w:line="360" w:lineRule="auto"/>
        <w:ind w:firstLine="420" w:firstLineChars="175"/>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 xml:space="preserve">日    </w:t>
      </w:r>
      <w:r>
        <w:rPr>
          <w:rFonts w:hint="eastAsia" w:asciiTheme="minorEastAsia" w:hAnsiTheme="minorEastAsia" w:cstheme="minorEastAsia"/>
          <w:color w:val="000000" w:themeColor="text1"/>
          <w:sz w:val="24"/>
          <w:szCs w:val="24"/>
          <w14:textFill>
            <w14:solidFill>
              <w14:schemeClr w14:val="tx1"/>
            </w14:solidFill>
          </w14:textFill>
        </w:rPr>
        <w:t xml:space="preserve">期:                       </w:t>
      </w:r>
    </w:p>
    <w:p>
      <w:pP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br w:type="page"/>
      </w:r>
    </w:p>
    <w:p>
      <w:pPr>
        <w:pStyle w:val="5"/>
        <w:jc w:val="center"/>
        <w:rPr>
          <w:color w:val="000000" w:themeColor="text1"/>
          <w14:textFill>
            <w14:solidFill>
              <w14:schemeClr w14:val="tx1"/>
            </w14:solidFill>
          </w14:textFill>
        </w:rPr>
      </w:pPr>
      <w:bookmarkStart w:id="365" w:name="_Toc8618"/>
      <w:bookmarkStart w:id="366" w:name="_Toc29352"/>
      <w:bookmarkStart w:id="367" w:name="_Toc29034"/>
      <w:bookmarkStart w:id="368" w:name="_Toc23432"/>
      <w:bookmarkStart w:id="369" w:name="_Toc18894"/>
      <w:r>
        <w:rPr>
          <w:rFonts w:hint="eastAsia"/>
          <w:color w:val="000000" w:themeColor="text1"/>
          <w14:textFill>
            <w14:solidFill>
              <w14:schemeClr w14:val="tx1"/>
            </w14:solidFill>
          </w14:textFill>
        </w:rPr>
        <w:t>第九章  供应商认为有必要说明的其他问题</w:t>
      </w:r>
      <w:bookmarkEnd w:id="365"/>
      <w:bookmarkEnd w:id="366"/>
      <w:bookmarkEnd w:id="367"/>
      <w:bookmarkEnd w:id="368"/>
      <w:bookmarkEnd w:id="369"/>
    </w:p>
    <w:p>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 供应商认为有必要提供的其他证明文件</w:t>
      </w:r>
    </w:p>
    <w:p>
      <w:pPr>
        <w:pStyle w:val="8"/>
        <w:rPr>
          <w:color w:val="000000" w:themeColor="text1"/>
          <w14:textFill>
            <w14:solidFill>
              <w14:schemeClr w14:val="tx1"/>
            </w14:solidFill>
          </w14:textFill>
        </w:rPr>
      </w:pPr>
    </w:p>
    <w:p>
      <w:pPr>
        <w:rPr>
          <w:b/>
          <w:bCs/>
          <w:color w:val="000000" w:themeColor="text1"/>
          <w:sz w:val="44"/>
          <w:szCs w:val="48"/>
          <w14:textFill>
            <w14:solidFill>
              <w14:schemeClr w14:val="tx1"/>
            </w14:solidFill>
          </w14:textFill>
        </w:rPr>
      </w:pPr>
      <w:r>
        <w:rPr>
          <w:rFonts w:hint="eastAsia"/>
          <w:b/>
          <w:bCs/>
          <w:color w:val="000000" w:themeColor="text1"/>
          <w:sz w:val="44"/>
          <w:szCs w:val="48"/>
          <w14:textFill>
            <w14:solidFill>
              <w14:schemeClr w14:val="tx1"/>
            </w14:solidFill>
          </w14:textFill>
        </w:rPr>
        <w:t>供应商可在此处附附件二至附件五的证明材料，如没有提供，视为无。</w:t>
      </w:r>
    </w:p>
    <w:p>
      <w:pP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br w:type="page"/>
      </w:r>
    </w:p>
    <w:p>
      <w:pPr>
        <w:pStyle w:val="5"/>
        <w:numPr>
          <w:ilvl w:val="0"/>
          <w:numId w:val="25"/>
        </w:numPr>
        <w:jc w:val="center"/>
        <w:rPr>
          <w:rFonts w:ascii="宋体" w:hAnsi="宋体" w:cs="宋体"/>
        </w:rPr>
      </w:pPr>
      <w:bookmarkStart w:id="370" w:name="_Toc9761"/>
      <w:bookmarkStart w:id="371" w:name="_Toc28314"/>
      <w:bookmarkStart w:id="372" w:name="_Toc9175"/>
      <w:r>
        <w:rPr>
          <w:rFonts w:hint="eastAsia"/>
          <w:color w:val="000000" w:themeColor="text1"/>
          <w:sz w:val="30"/>
          <w:szCs w:val="30"/>
          <w14:textFill>
            <w14:solidFill>
              <w14:schemeClr w14:val="tx1"/>
            </w14:solidFill>
          </w14:textFill>
        </w:rPr>
        <w:t>供应商承诺书</w:t>
      </w:r>
      <w:bookmarkEnd w:id="370"/>
      <w:bookmarkEnd w:id="371"/>
      <w:bookmarkEnd w:id="372"/>
    </w:p>
    <w:p>
      <w:pPr>
        <w:pStyle w:val="10"/>
        <w:ind w:firstLine="562" w:firstLineChars="200"/>
        <w:jc w:val="left"/>
        <w:rPr>
          <w:rFonts w:hAnsi="宋体" w:cs="宋体"/>
          <w:b/>
          <w:bCs/>
          <w:sz w:val="28"/>
          <w:szCs w:val="28"/>
        </w:rPr>
      </w:pPr>
      <w:r>
        <w:rPr>
          <w:rFonts w:hint="eastAsia" w:hAnsi="宋体" w:cs="宋体"/>
          <w:b/>
          <w:bCs/>
          <w:sz w:val="28"/>
          <w:szCs w:val="28"/>
        </w:rPr>
        <w:t>陕西省政府采购供货商拒绝政府采购领域商业贿赂承诺书Ⅰ</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为响应党中央、国务院关于治理政府采购领域商业贿赂行为的号召，我公司在此庄严承诺：</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1、在参与政府采购活动中遵纪守法、诚信经营、公平竞标。</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2、不向政府采购人、代理机构和政府采购评审专家进行任何形式的商业贿赂以谋取交易机会。</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3、不向政府代理机构和采购人提供虚假资质文件或采用虚假应标方式参与政府采购市场竞争并谋取成交。</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4、不采取“围标、陪标”等商业欺诈手段获得政府采购订单。</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5、不采取不正当手段诋毁、排挤其它供货商。</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6、不在提供商品和服务时“偷梁换柱、以次充好”损害采购人的合法权益。</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7、不与采购人、代理机构政府采购评审专家或其它供货商恶意串通，进行质疑和投诉，维护政府采购市场秩序。</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8、尊重和接受政府采购监督管理部门的监督和政府代理机构招标采购要求，承担因违约行为给采购人造成的损失。</w:t>
      </w:r>
    </w:p>
    <w:p>
      <w:pPr>
        <w:spacing w:line="480" w:lineRule="auto"/>
        <w:ind w:firstLine="480" w:firstLineChars="200"/>
        <w:jc w:val="left"/>
        <w:rPr>
          <w:rFonts w:ascii="宋体" w:hAnsi="宋体" w:cs="宋体"/>
          <w:sz w:val="24"/>
          <w:szCs w:val="28"/>
        </w:rPr>
      </w:pPr>
      <w:r>
        <w:rPr>
          <w:rFonts w:hint="eastAsia" w:ascii="宋体" w:hAnsi="宋体" w:cs="宋体"/>
          <w:sz w:val="24"/>
          <w:szCs w:val="28"/>
        </w:rPr>
        <w:t>9、不发生其它有悖于政府采购公开、公平、公正和诚信原则的行为。</w:t>
      </w:r>
    </w:p>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供应商（单位名称及公章）：</w:t>
      </w:r>
    </w:p>
    <w:p>
      <w:pPr>
        <w:snapToGrid w:val="0"/>
        <w:spacing w:line="360" w:lineRule="auto"/>
        <w:ind w:firstLine="480" w:firstLineChars="200"/>
        <w:jc w:val="left"/>
        <w:rPr>
          <w:rFonts w:ascii="宋体" w:hAnsi="宋体" w:cs="宋体"/>
          <w:sz w:val="24"/>
        </w:rPr>
      </w:pPr>
      <w:r>
        <w:rPr>
          <w:rFonts w:hint="eastAsia" w:ascii="宋体" w:hAnsi="宋体" w:cs="宋体"/>
          <w:sz w:val="24"/>
        </w:rPr>
        <w:t>法定代表人/被授权人（签字或盖章）：</w:t>
      </w:r>
    </w:p>
    <w:p>
      <w:pPr>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邮编：</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地址：</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电话：</w:t>
      </w:r>
    </w:p>
    <w:p>
      <w:pPr>
        <w:spacing w:line="360" w:lineRule="auto"/>
        <w:ind w:firstLine="480" w:firstLineChars="200"/>
        <w:jc w:val="left"/>
        <w:rPr>
          <w:rFonts w:ascii="宋体" w:hAnsi="宋体" w:cs="宋体"/>
          <w:sz w:val="24"/>
          <w:szCs w:val="28"/>
          <w:u w:val="single"/>
        </w:rPr>
      </w:pPr>
      <w:r>
        <w:rPr>
          <w:rFonts w:hint="eastAsia" w:ascii="宋体" w:hAnsi="宋体" w:cs="宋体"/>
          <w:sz w:val="24"/>
          <w:szCs w:val="28"/>
        </w:rPr>
        <w:t xml:space="preserve">时间： </w:t>
      </w:r>
      <w:r>
        <w:rPr>
          <w:rFonts w:hint="eastAsia" w:ascii="宋体" w:hAnsi="宋体" w:cs="宋体"/>
          <w:sz w:val="24"/>
          <w:szCs w:val="28"/>
          <w:u w:val="single"/>
        </w:rPr>
        <w:t xml:space="preserve">    年   月    日</w:t>
      </w:r>
    </w:p>
    <w:p>
      <w:pP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br w:type="page"/>
      </w:r>
    </w:p>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承诺书Ⅱ</w:t>
      </w:r>
    </w:p>
    <w:tbl>
      <w:tblPr>
        <w:tblStyle w:val="18"/>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西安医学院教学质量监测与评估系统建设采购项目</w:t>
            </w:r>
            <w:r>
              <w:rPr>
                <w:rFonts w:hint="eastAsia" w:ascii="宋体" w:hAnsi="宋体" w:cs="宋体"/>
                <w:szCs w:val="21"/>
                <w:u w:val="single"/>
              </w:rPr>
              <w:t xml:space="preserve"> </w:t>
            </w:r>
            <w:r>
              <w:rPr>
                <w:rFonts w:hint="eastAsia" w:ascii="宋体" w:hAnsi="宋体" w:cs="宋体"/>
                <w:szCs w:val="21"/>
              </w:rPr>
              <w:t xml:space="preserve">的供应商，本公司承诺：在参加本项目磋商之前不存在被依法禁止经营行为、财产被接管或冻结的情况，如有隐瞒实情，愿承担一切责任及后果。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 xml:space="preserve">（签字或盖章） </w:t>
            </w:r>
          </w:p>
        </w:tc>
        <w:tc>
          <w:tcPr>
            <w:tcW w:w="2376"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tLeast"/>
        <w:ind w:firstLine="843" w:firstLineChars="200"/>
        <w:jc w:val="left"/>
        <w:rPr>
          <w:rFonts w:ascii="宋体" w:hAnsi="宋体" w:cs="宋体"/>
          <w:b/>
          <w:sz w:val="42"/>
          <w:szCs w:val="42"/>
        </w:rPr>
      </w:pPr>
    </w:p>
    <w:p>
      <w:pPr>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承诺书Ⅲ</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西安医学院教学质量监测与评估系统建设采购项目</w:t>
            </w:r>
            <w:r>
              <w:rPr>
                <w:rFonts w:hint="eastAsia" w:ascii="宋体" w:hAnsi="宋体" w:cs="宋体"/>
                <w:szCs w:val="21"/>
                <w:u w:val="single"/>
              </w:rPr>
              <w:t xml:space="preserve"> </w:t>
            </w:r>
            <w:r>
              <w:rPr>
                <w:rFonts w:hint="eastAsia" w:ascii="宋体" w:hAnsi="宋体" w:cs="宋体"/>
                <w:szCs w:val="21"/>
              </w:rPr>
              <w:t>的供应商，本公司郑重申告并承诺：近三年受到有关行政主管部门的行政处理、不良行为记录为</w:t>
            </w:r>
            <w:r>
              <w:rPr>
                <w:rFonts w:hint="eastAsia" w:ascii="宋体" w:hAnsi="宋体" w:cs="宋体"/>
                <w:szCs w:val="21"/>
                <w:u w:val="single"/>
                <w:lang w:val="en-US" w:eastAsia="zh-CN"/>
              </w:rPr>
              <w:t xml:space="preserve">   </w:t>
            </w:r>
            <w:r>
              <w:rPr>
                <w:rFonts w:hint="eastAsia" w:ascii="宋体" w:hAnsi="宋体" w:cs="宋体"/>
                <w:szCs w:val="21"/>
              </w:rPr>
              <w:t>次</w:t>
            </w:r>
            <w:r>
              <w:rPr>
                <w:rFonts w:hint="eastAsia" w:ascii="宋体" w:hAnsi="宋体" w:cs="宋体"/>
                <w:b/>
                <w:bCs/>
                <w:szCs w:val="21"/>
              </w:rPr>
              <w:t>（没有填零）</w:t>
            </w:r>
            <w:r>
              <w:rPr>
                <w:rFonts w:hint="eastAsia" w:ascii="宋体" w:hAnsi="宋体" w:cs="宋体"/>
                <w:szCs w:val="21"/>
              </w:rPr>
              <w:t>，如有隐瞒实情，愿承担一切责任及后果。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87"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87"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br w:type="page"/>
      </w:r>
    </w:p>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承诺书Ⅳ</w:t>
      </w:r>
    </w:p>
    <w:tbl>
      <w:tblPr>
        <w:tblStyle w:val="1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12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西安医学院教学质量监测与评估系统建设采购项目</w:t>
            </w:r>
            <w:r>
              <w:rPr>
                <w:rFonts w:hint="eastAsia" w:ascii="宋体" w:hAnsi="宋体" w:cs="宋体"/>
                <w:szCs w:val="21"/>
                <w:u w:val="single"/>
              </w:rPr>
              <w:t xml:space="preserve"> </w:t>
            </w:r>
            <w:r>
              <w:rPr>
                <w:rFonts w:hint="eastAsia" w:ascii="宋体" w:hAnsi="宋体" w:cs="宋体"/>
                <w:szCs w:val="21"/>
              </w:rPr>
              <w:t>的供应商，本公司郑重申告：近三年因产品供货问题（水货、替代品、次品、翻新品等）的不法行为记录为</w:t>
            </w:r>
            <w:r>
              <w:rPr>
                <w:rFonts w:hint="eastAsia" w:ascii="宋体" w:hAnsi="宋体" w:cs="宋体"/>
                <w:szCs w:val="21"/>
                <w:u w:val="single"/>
                <w:lang w:val="en-US" w:eastAsia="zh-CN"/>
              </w:rPr>
              <w:t xml:space="preserve">  </w:t>
            </w:r>
            <w:r>
              <w:rPr>
                <w:rFonts w:hint="eastAsia" w:ascii="宋体" w:hAnsi="宋体" w:cs="宋体"/>
                <w:szCs w:val="21"/>
              </w:rPr>
              <w:t>次</w:t>
            </w:r>
            <w:r>
              <w:rPr>
                <w:rFonts w:hint="eastAsia" w:ascii="宋体" w:hAnsi="宋体" w:cs="宋体"/>
                <w:b/>
                <w:bCs/>
                <w:szCs w:val="21"/>
              </w:rPr>
              <w:t>（没有填零）</w:t>
            </w:r>
            <w:r>
              <w:rPr>
                <w:rFonts w:hint="eastAsia" w:ascii="宋体" w:hAnsi="宋体" w:cs="宋体"/>
                <w:szCs w:val="21"/>
              </w:rPr>
              <w:t>，如有隐瞒实情，愿承担一切责任及后果。</w:t>
            </w:r>
          </w:p>
          <w:p>
            <w:pPr>
              <w:spacing w:line="360" w:lineRule="atLeast"/>
              <w:ind w:firstLine="420" w:firstLineChars="200"/>
              <w:jc w:val="left"/>
              <w:rPr>
                <w:rFonts w:ascii="宋体" w:hAnsi="宋体" w:cs="宋体"/>
                <w:szCs w:val="21"/>
              </w:rPr>
            </w:pPr>
            <w:r>
              <w:rPr>
                <w:rFonts w:hint="eastAsia" w:ascii="宋体" w:hAnsi="宋体" w:cs="宋体"/>
                <w:szCs w:val="21"/>
              </w:rPr>
              <w:t>本公司承诺：本次响应产品为正品行货。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1"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71"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uto"/>
        <w:ind w:firstLine="480" w:firstLineChars="200"/>
        <w:jc w:val="left"/>
        <w:rPr>
          <w:rFonts w:ascii="宋体" w:hAnsi="宋体" w:cs="宋体"/>
          <w:sz w:val="24"/>
          <w:szCs w:val="28"/>
        </w:rPr>
      </w:pPr>
    </w:p>
    <w:p>
      <w:pPr>
        <w:spacing w:line="360" w:lineRule="atLeast"/>
        <w:ind w:firstLine="482" w:firstLineChars="200"/>
        <w:jc w:val="center"/>
        <w:rPr>
          <w:rFonts w:ascii="宋体" w:hAnsi="宋体" w:cs="宋体"/>
          <w:b/>
          <w:sz w:val="32"/>
          <w:szCs w:val="32"/>
        </w:rPr>
      </w:pPr>
      <w:r>
        <w:rPr>
          <w:rFonts w:hint="eastAsia" w:ascii="宋体" w:hAnsi="宋体" w:cs="宋体"/>
          <w:b/>
          <w:sz w:val="24"/>
          <w:szCs w:val="24"/>
        </w:rPr>
        <w:t>承诺书</w:t>
      </w:r>
      <w:r>
        <w:rPr>
          <w:rFonts w:hint="eastAsia" w:ascii="宋体" w:hAnsi="宋体" w:cs="宋体"/>
          <w:b/>
          <w:sz w:val="24"/>
          <w:szCs w:val="24"/>
        </w:rPr>
        <w:fldChar w:fldCharType="begin"/>
      </w:r>
      <w:r>
        <w:rPr>
          <w:rFonts w:hint="eastAsia" w:ascii="宋体" w:hAnsi="宋体" w:cs="宋体"/>
          <w:b/>
          <w:sz w:val="24"/>
          <w:szCs w:val="24"/>
        </w:rPr>
        <w:instrText xml:space="preserve"> = 5 \* ROMAN </w:instrText>
      </w:r>
      <w:r>
        <w:rPr>
          <w:rFonts w:hint="eastAsia" w:ascii="宋体" w:hAnsi="宋体" w:cs="宋体"/>
          <w:b/>
          <w:sz w:val="24"/>
          <w:szCs w:val="24"/>
        </w:rPr>
        <w:fldChar w:fldCharType="separate"/>
      </w:r>
      <w:r>
        <w:rPr>
          <w:rFonts w:hint="eastAsia" w:ascii="宋体" w:hAnsi="宋体" w:cs="宋体"/>
          <w:b/>
          <w:sz w:val="24"/>
          <w:szCs w:val="24"/>
          <w:lang w:val="zh-CN"/>
        </w:rPr>
        <w:t>V</w:t>
      </w:r>
      <w:r>
        <w:rPr>
          <w:rFonts w:hint="eastAsia" w:ascii="宋体" w:hAnsi="宋体" w:cs="宋体"/>
          <w:b/>
          <w:sz w:val="24"/>
          <w:szCs w:val="24"/>
        </w:rPr>
        <w:fldChar w:fldCharType="end"/>
      </w:r>
    </w:p>
    <w:tbl>
      <w:tblPr>
        <w:tblStyle w:val="1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西安医学院教学质量监测与评估系统建设采购项目</w:t>
            </w:r>
            <w:r>
              <w:rPr>
                <w:rFonts w:hint="eastAsia" w:ascii="宋体" w:hAnsi="宋体" w:cs="宋体"/>
                <w:szCs w:val="21"/>
                <w:u w:val="single"/>
              </w:rPr>
              <w:t xml:space="preserve"> </w:t>
            </w:r>
            <w:r>
              <w:rPr>
                <w:rFonts w:hint="eastAsia" w:ascii="宋体" w:hAnsi="宋体" w:cs="宋体"/>
                <w:szCs w:val="21"/>
              </w:rPr>
              <w:t>的供应商，本公司承诺：参加本次磋商提交的所有资质证明文件及业绩证明文件是真实的、有效的，如有隐瞒实情，愿承担一切责任及后果。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41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418"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br w:type="page"/>
      </w:r>
    </w:p>
    <w:p>
      <w:pPr>
        <w:pStyle w:val="5"/>
        <w:adjustRightInd w:val="0"/>
        <w:spacing w:line="416" w:lineRule="atLeast"/>
        <w:jc w:val="center"/>
        <w:textAlignment w:val="baseline"/>
        <w:rPr>
          <w:rFonts w:ascii="宋体" w:hAnsi="宋体" w:cs="宋体"/>
        </w:rPr>
      </w:pPr>
      <w:bookmarkStart w:id="373" w:name="_Toc7253"/>
      <w:bookmarkStart w:id="374" w:name="_Toc6335"/>
      <w:r>
        <w:rPr>
          <w:rFonts w:hint="eastAsia" w:ascii="宋体" w:hAnsi="宋体" w:cs="宋体"/>
        </w:rPr>
        <w:t>附件一：封袋正面标识式样</w:t>
      </w:r>
      <w:bookmarkEnd w:id="373"/>
      <w:bookmarkEnd w:id="374"/>
    </w:p>
    <w:p>
      <w:pPr>
        <w:spacing w:line="460" w:lineRule="exact"/>
        <w:ind w:firstLine="482" w:firstLineChars="200"/>
        <w:jc w:val="center"/>
        <w:rPr>
          <w:rFonts w:ascii="宋体" w:hAnsi="宋体" w:cs="宋体"/>
          <w:b/>
          <w:sz w:val="24"/>
        </w:rPr>
      </w:pPr>
      <w:r>
        <w:rPr>
          <w:rFonts w:hint="eastAsia" w:ascii="宋体" w:hAnsi="宋体" w:cs="宋体"/>
          <w:b/>
          <w:sz w:val="24"/>
        </w:rPr>
        <w:t>磋商响应文件正本封袋正面标识式样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113030</wp:posOffset>
                </wp:positionV>
                <wp:extent cx="5781040" cy="2795270"/>
                <wp:effectExtent l="4445" t="4445" r="5715" b="19685"/>
                <wp:wrapNone/>
                <wp:docPr id="13" name="文本框 13"/>
                <wp:cNvGraphicFramePr/>
                <a:graphic xmlns:a="http://schemas.openxmlformats.org/drawingml/2006/main">
                  <a:graphicData uri="http://schemas.microsoft.com/office/word/2010/wordprocessingShape">
                    <wps:wsp>
                      <wps:cNvSpPr txBox="1"/>
                      <wps:spPr>
                        <a:xfrm>
                          <a:off x="0" y="0"/>
                          <a:ext cx="5781040" cy="2795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SXWZ2023ZB-YXY-262</w:t>
                            </w:r>
                          </w:p>
                          <w:p>
                            <w:pPr>
                              <w:jc w:val="center"/>
                              <w:rPr>
                                <w:rFonts w:hint="eastAsia"/>
                                <w:sz w:val="28"/>
                                <w:szCs w:val="28"/>
                              </w:rPr>
                            </w:pPr>
                            <w:r>
                              <w:rPr>
                                <w:rFonts w:hint="eastAsia"/>
                                <w:sz w:val="28"/>
                                <w:szCs w:val="28"/>
                              </w:rPr>
                              <w:t>项目名称：</w:t>
                            </w:r>
                            <w:r>
                              <w:rPr>
                                <w:rFonts w:hint="eastAsia"/>
                                <w:sz w:val="28"/>
                                <w:szCs w:val="28"/>
                                <w:lang w:eastAsia="zh-CN"/>
                              </w:rPr>
                              <w:t>西安医学院教学质量监测与评估系统建设采购项目</w:t>
                            </w:r>
                            <w:r>
                              <w:rPr>
                                <w:rFonts w:hint="eastAsia"/>
                                <w:sz w:val="28"/>
                                <w:szCs w:val="28"/>
                              </w:rPr>
                              <w:t xml:space="preserve"> </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_x0000_s1026" o:spid="_x0000_s1026" o:spt="202" type="#_x0000_t202" style="position:absolute;left:0pt;margin-left:-27.55pt;margin-top:8.9pt;height:220.1pt;width:455.2pt;z-index:251661312;mso-width-relative:page;mso-height-relative:page;" fillcolor="#FFFFFF" filled="t" stroked="t" coordsize="21600,21600" o:gfxdata="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g/wPzZAAAACgEAAA8AAAAA&#10;AAAAAQAgAAAAIgAAAGRycy9kb3ducmV2LnhtbFBLAQIUABQAAAAIAIdO4kCb3AX1EwIAAEcEAAAO&#10;AAAAAAAAAAEAIAAAACgBAABkcnMvZTJvRG9jLnhtbFBLBQYAAAAABgAGAFkBAACtBQ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SXWZ2023ZB-YXY-262</w:t>
                      </w:r>
                    </w:p>
                    <w:p>
                      <w:pPr>
                        <w:jc w:val="center"/>
                        <w:rPr>
                          <w:rFonts w:hint="eastAsia"/>
                          <w:sz w:val="28"/>
                          <w:szCs w:val="28"/>
                        </w:rPr>
                      </w:pPr>
                      <w:r>
                        <w:rPr>
                          <w:rFonts w:hint="eastAsia"/>
                          <w:sz w:val="28"/>
                          <w:szCs w:val="28"/>
                        </w:rPr>
                        <w:t>项目名称：</w:t>
                      </w:r>
                      <w:r>
                        <w:rPr>
                          <w:rFonts w:hint="eastAsia"/>
                          <w:sz w:val="28"/>
                          <w:szCs w:val="28"/>
                          <w:lang w:eastAsia="zh-CN"/>
                        </w:rPr>
                        <w:t>西安医学院教学质量监测与评估系统建设采购项目</w:t>
                      </w:r>
                      <w:r>
                        <w:rPr>
                          <w:rFonts w:hint="eastAsia"/>
                          <w:sz w:val="28"/>
                          <w:szCs w:val="28"/>
                        </w:rPr>
                        <w:t xml:space="preserve"> </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r>
        <w:rPr>
          <w:rFonts w:hint="eastAsia" w:ascii="宋体" w:hAnsi="宋体" w:cs="宋体"/>
          <w:b/>
          <w:sz w:val="24"/>
        </w:rPr>
        <w:t>磋商响应文件正本封袋</w:t>
      </w:r>
      <w:r>
        <w:rPr>
          <w:rFonts w:hint="eastAsia" w:ascii="宋体" w:hAnsi="宋体" w:cs="宋体"/>
          <w:b/>
          <w:sz w:val="24"/>
          <w:lang w:eastAsia="zh-CN"/>
        </w:rPr>
        <w:t>副本</w:t>
      </w:r>
      <w:r>
        <w:rPr>
          <w:rFonts w:hint="eastAsia" w:ascii="宋体" w:hAnsi="宋体" w:cs="宋体"/>
          <w:b/>
          <w:sz w:val="24"/>
        </w:rPr>
        <w:t>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-349885</wp:posOffset>
                </wp:positionH>
                <wp:positionV relativeFrom="paragraph">
                  <wp:posOffset>113030</wp:posOffset>
                </wp:positionV>
                <wp:extent cx="5781040" cy="2795270"/>
                <wp:effectExtent l="4445" t="4445" r="5715" b="19685"/>
                <wp:wrapNone/>
                <wp:docPr id="11" name="文本框 11"/>
                <wp:cNvGraphicFramePr/>
                <a:graphic xmlns:a="http://schemas.openxmlformats.org/drawingml/2006/main">
                  <a:graphicData uri="http://schemas.microsoft.com/office/word/2010/wordprocessingShape">
                    <wps:wsp>
                      <wps:cNvSpPr txBox="1"/>
                      <wps:spPr>
                        <a:xfrm>
                          <a:off x="0" y="0"/>
                          <a:ext cx="5781040" cy="2795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SXWZ2023ZB-YXY-262</w:t>
                            </w:r>
                          </w:p>
                          <w:p>
                            <w:pPr>
                              <w:jc w:val="center"/>
                              <w:rPr>
                                <w:rFonts w:hint="eastAsia"/>
                                <w:sz w:val="28"/>
                                <w:szCs w:val="28"/>
                              </w:rPr>
                            </w:pPr>
                            <w:r>
                              <w:rPr>
                                <w:rFonts w:hint="eastAsia"/>
                                <w:sz w:val="28"/>
                                <w:szCs w:val="28"/>
                              </w:rPr>
                              <w:t>项目名称：</w:t>
                            </w:r>
                            <w:r>
                              <w:rPr>
                                <w:rFonts w:hint="eastAsia"/>
                                <w:sz w:val="28"/>
                                <w:szCs w:val="28"/>
                                <w:lang w:eastAsia="zh-CN"/>
                              </w:rPr>
                              <w:t>西安医学院教学质量监测与评估系统建设采购项目</w:t>
                            </w:r>
                            <w:r>
                              <w:rPr>
                                <w:rFonts w:hint="eastAsia"/>
                                <w:sz w:val="28"/>
                                <w:szCs w:val="28"/>
                              </w:rPr>
                              <w:t xml:space="preserve"> </w:t>
                            </w:r>
                          </w:p>
                          <w:p>
                            <w:pPr>
                              <w:jc w:val="center"/>
                              <w:rPr>
                                <w:b/>
                                <w:sz w:val="44"/>
                                <w:szCs w:val="44"/>
                              </w:rPr>
                            </w:pPr>
                            <w:r>
                              <w:rPr>
                                <w:rFonts w:hint="eastAsia"/>
                                <w:b/>
                                <w:sz w:val="44"/>
                                <w:szCs w:val="44"/>
                              </w:rPr>
                              <w:t>磋商响应文件（</w:t>
                            </w:r>
                            <w:r>
                              <w:rPr>
                                <w:rFonts w:hint="eastAsia"/>
                                <w:b/>
                                <w:sz w:val="44"/>
                                <w:szCs w:val="44"/>
                                <w:lang w:eastAsia="zh-CN"/>
                              </w:rPr>
                              <w:t>副</w:t>
                            </w:r>
                            <w:r>
                              <w:rPr>
                                <w:rFonts w:hint="eastAsia"/>
                                <w:b/>
                                <w:sz w:val="44"/>
                                <w:szCs w:val="44"/>
                              </w:rPr>
                              <w:t>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_x0000_s1026" o:spid="_x0000_s1026" o:spt="202" type="#_x0000_t202" style="position:absolute;left:0pt;margin-left:-27.55pt;margin-top:8.9pt;height:220.1pt;width:455.2pt;z-index:251662336;mso-width-relative:page;mso-height-relative:page;" fillcolor="#FFFFFF" filled="t" stroked="t" coordsize="21600,21600" o:gfxdata="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g/wPzZAAAACgEAAA8AAAAA&#10;AAAAAQAgAAAAIgAAAGRycy9kb3ducmV2LnhtbFBLAQIUABQAAAAIAIdO4kD1xxqvEwIAAEcEAAAO&#10;AAAAAAAAAAEAIAAAACgBAABkcnMvZTJvRG9jLnhtbFBLBQYAAAAABgAGAFkBAACtBQ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SXWZ2023ZB-YXY-262</w:t>
                      </w:r>
                    </w:p>
                    <w:p>
                      <w:pPr>
                        <w:jc w:val="center"/>
                        <w:rPr>
                          <w:rFonts w:hint="eastAsia"/>
                          <w:sz w:val="28"/>
                          <w:szCs w:val="28"/>
                        </w:rPr>
                      </w:pPr>
                      <w:r>
                        <w:rPr>
                          <w:rFonts w:hint="eastAsia"/>
                          <w:sz w:val="28"/>
                          <w:szCs w:val="28"/>
                        </w:rPr>
                        <w:t>项目名称：</w:t>
                      </w:r>
                      <w:r>
                        <w:rPr>
                          <w:rFonts w:hint="eastAsia"/>
                          <w:sz w:val="28"/>
                          <w:szCs w:val="28"/>
                          <w:lang w:eastAsia="zh-CN"/>
                        </w:rPr>
                        <w:t>西安医学院教学质量监测与评估系统建设采购项目</w:t>
                      </w:r>
                      <w:r>
                        <w:rPr>
                          <w:rFonts w:hint="eastAsia"/>
                          <w:sz w:val="28"/>
                          <w:szCs w:val="28"/>
                        </w:rPr>
                        <w:t xml:space="preserve"> </w:t>
                      </w:r>
                    </w:p>
                    <w:p>
                      <w:pPr>
                        <w:jc w:val="center"/>
                        <w:rPr>
                          <w:b/>
                          <w:sz w:val="44"/>
                          <w:szCs w:val="44"/>
                        </w:rPr>
                      </w:pPr>
                      <w:r>
                        <w:rPr>
                          <w:rFonts w:hint="eastAsia"/>
                          <w:b/>
                          <w:sz w:val="44"/>
                          <w:szCs w:val="44"/>
                        </w:rPr>
                        <w:t>磋商响应文件（</w:t>
                      </w:r>
                      <w:r>
                        <w:rPr>
                          <w:rFonts w:hint="eastAsia"/>
                          <w:b/>
                          <w:sz w:val="44"/>
                          <w:szCs w:val="44"/>
                          <w:lang w:eastAsia="zh-CN"/>
                        </w:rPr>
                        <w:t>副</w:t>
                      </w:r>
                      <w:r>
                        <w:rPr>
                          <w:rFonts w:hint="eastAsia"/>
                          <w:b/>
                          <w:sz w:val="44"/>
                          <w:szCs w:val="44"/>
                        </w:rPr>
                        <w:t>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460" w:lineRule="exact"/>
        <w:ind w:firstLine="482" w:firstLineChars="200"/>
        <w:jc w:val="center"/>
        <w:rPr>
          <w:rFonts w:ascii="宋体" w:hAnsi="宋体" w:cs="宋体"/>
          <w:b/>
          <w:sz w:val="24"/>
        </w:rPr>
      </w:pPr>
      <w:r>
        <w:rPr>
          <w:rFonts w:hint="eastAsia" w:ascii="宋体" w:hAnsi="宋体" w:cs="宋体"/>
          <w:b/>
          <w:sz w:val="24"/>
        </w:rPr>
        <w:t>磋商一览表封袋正面标识式样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-325755</wp:posOffset>
                </wp:positionH>
                <wp:positionV relativeFrom="paragraph">
                  <wp:posOffset>191135</wp:posOffset>
                </wp:positionV>
                <wp:extent cx="5706745" cy="2788285"/>
                <wp:effectExtent l="4445" t="4445" r="22860" b="7620"/>
                <wp:wrapNone/>
                <wp:docPr id="12" name="文本框 12"/>
                <wp:cNvGraphicFramePr/>
                <a:graphic xmlns:a="http://schemas.openxmlformats.org/drawingml/2006/main">
                  <a:graphicData uri="http://schemas.microsoft.com/office/word/2010/wordprocessingShape">
                    <wps:wsp>
                      <wps:cNvSpPr txBox="1"/>
                      <wps:spPr>
                        <a:xfrm>
                          <a:off x="0" y="0"/>
                          <a:ext cx="5706745" cy="2788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SXWZ2023ZB-YXY-262</w:t>
                            </w:r>
                          </w:p>
                          <w:p>
                            <w:pPr>
                              <w:jc w:val="center"/>
                              <w:rPr>
                                <w:sz w:val="28"/>
                                <w:szCs w:val="28"/>
                              </w:rPr>
                            </w:pPr>
                            <w:r>
                              <w:rPr>
                                <w:rFonts w:hint="eastAsia"/>
                                <w:sz w:val="28"/>
                                <w:szCs w:val="28"/>
                              </w:rPr>
                              <w:t>项目名称：</w:t>
                            </w:r>
                            <w:r>
                              <w:rPr>
                                <w:rFonts w:hint="eastAsia"/>
                                <w:sz w:val="28"/>
                                <w:szCs w:val="28"/>
                                <w:lang w:eastAsia="zh-CN"/>
                              </w:rPr>
                              <w:t>西安医学院教学质量监测与评估系统建设采购项目</w:t>
                            </w:r>
                            <w:r>
                              <w:rPr>
                                <w:rFonts w:hint="eastAsia"/>
                                <w:sz w:val="28"/>
                                <w:szCs w:val="28"/>
                              </w:rPr>
                              <w:t xml:space="preserve"> </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_x0000_s1026" o:spid="_x0000_s1026" o:spt="202" type="#_x0000_t202" style="position:absolute;left:0pt;margin-left:-25.65pt;margin-top:15.05pt;height:219.55pt;width:449.35pt;z-index:251663360;mso-width-relative:page;mso-height-relative:page;" fillcolor="#FFFFFF" filled="t" stroked="t" coordsize="21600,21600" o:gfxdata="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Ex9B9oAAAAKAQAADwAAAAAA&#10;AAABACAAAAAiAAAAZHJzL2Rvd25yZXYueG1sUEsBAhQAFAAAAAgAh07iQNEi2KgRAgAARwQAAA4A&#10;AAAAAAAAAQAgAAAAKQEAAGRycy9lMm9Eb2MueG1sUEsFBgAAAAAGAAYAWQEAAKwFA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SXWZ2023ZB-YXY-262</w:t>
                      </w:r>
                    </w:p>
                    <w:p>
                      <w:pPr>
                        <w:jc w:val="center"/>
                        <w:rPr>
                          <w:sz w:val="28"/>
                          <w:szCs w:val="28"/>
                        </w:rPr>
                      </w:pPr>
                      <w:r>
                        <w:rPr>
                          <w:rFonts w:hint="eastAsia"/>
                          <w:sz w:val="28"/>
                          <w:szCs w:val="28"/>
                        </w:rPr>
                        <w:t>项目名称：</w:t>
                      </w:r>
                      <w:r>
                        <w:rPr>
                          <w:rFonts w:hint="eastAsia"/>
                          <w:sz w:val="28"/>
                          <w:szCs w:val="28"/>
                          <w:lang w:eastAsia="zh-CN"/>
                        </w:rPr>
                        <w:t>西安医学院教学质量监测与评估系统建设采购项目</w:t>
                      </w:r>
                      <w:r>
                        <w:rPr>
                          <w:rFonts w:hint="eastAsia"/>
                          <w:sz w:val="28"/>
                          <w:szCs w:val="28"/>
                        </w:rPr>
                        <w:t xml:space="preserve"> </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r>
        <w:rPr>
          <w:rFonts w:hint="eastAsia" w:ascii="宋体" w:hAnsi="宋体" w:cs="宋体"/>
          <w:b/>
          <w:sz w:val="24"/>
        </w:rPr>
        <w:t>电子文档封袋正面标识式样</w:t>
      </w:r>
    </w:p>
    <w:p>
      <w:pPr>
        <w:tabs>
          <w:tab w:val="left" w:pos="8280"/>
        </w:tabs>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142240</wp:posOffset>
                </wp:positionV>
                <wp:extent cx="5750560" cy="2899410"/>
                <wp:effectExtent l="4445" t="4445" r="17145" b="10795"/>
                <wp:wrapNone/>
                <wp:docPr id="10" name="文本框 10"/>
                <wp:cNvGraphicFramePr/>
                <a:graphic xmlns:a="http://schemas.openxmlformats.org/drawingml/2006/main">
                  <a:graphicData uri="http://schemas.microsoft.com/office/word/2010/wordprocessingShape">
                    <wps:wsp>
                      <wps:cNvSpPr txBox="1"/>
                      <wps:spPr>
                        <a:xfrm>
                          <a:off x="0" y="0"/>
                          <a:ext cx="5750560" cy="2899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SXWZ2023ZB-YXY-262</w:t>
                            </w:r>
                          </w:p>
                          <w:p>
                            <w:pPr>
                              <w:jc w:val="center"/>
                              <w:rPr>
                                <w:sz w:val="28"/>
                                <w:szCs w:val="28"/>
                              </w:rPr>
                            </w:pPr>
                            <w:r>
                              <w:rPr>
                                <w:rFonts w:hint="eastAsia"/>
                                <w:sz w:val="28"/>
                                <w:szCs w:val="28"/>
                              </w:rPr>
                              <w:t>项目名称：</w:t>
                            </w:r>
                            <w:r>
                              <w:rPr>
                                <w:rFonts w:hint="eastAsia"/>
                                <w:sz w:val="28"/>
                                <w:szCs w:val="28"/>
                                <w:lang w:eastAsia="zh-CN"/>
                              </w:rPr>
                              <w:t>西安医学院教学质量监测与评估系统建设采购项目</w:t>
                            </w: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wps:txbx>
                      <wps:bodyPr upright="1"/>
                    </wps:wsp>
                  </a:graphicData>
                </a:graphic>
              </wp:anchor>
            </w:drawing>
          </mc:Choice>
          <mc:Fallback>
            <w:pict>
              <v:shape id="_x0000_s1026" o:spid="_x0000_s1026" o:spt="202" type="#_x0000_t202" style="position:absolute;left:0pt;margin-left:-26.1pt;margin-top:11.2pt;height:228.3pt;width:452.8pt;z-index:251664384;mso-width-relative:page;mso-height-relative:page;" fillcolor="#FFFFFF" filled="t" stroked="t" coordsize="21600,21600" o:gfxdata="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e5vE2wAAAAoBAAAPAAAA&#10;AAAAAAEAIAAAACIAAABkcnMvZG93bnJldi54bWxQSwECFAAUAAAACACHTuJAAbAsThICAABHBAAA&#10;DgAAAAAAAAABACAAAAAqAQAAZHJzL2Uyb0RvYy54bWxQSwUGAAAAAAYABgBZAQAArgU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SXWZ2023ZB-YXY-262</w:t>
                      </w:r>
                    </w:p>
                    <w:p>
                      <w:pPr>
                        <w:jc w:val="center"/>
                        <w:rPr>
                          <w:sz w:val="28"/>
                          <w:szCs w:val="28"/>
                        </w:rPr>
                      </w:pPr>
                      <w:r>
                        <w:rPr>
                          <w:rFonts w:hint="eastAsia"/>
                          <w:sz w:val="28"/>
                          <w:szCs w:val="28"/>
                        </w:rPr>
                        <w:t>项目名称：</w:t>
                      </w:r>
                      <w:r>
                        <w:rPr>
                          <w:rFonts w:hint="eastAsia"/>
                          <w:sz w:val="28"/>
                          <w:szCs w:val="28"/>
                          <w:lang w:eastAsia="zh-CN"/>
                        </w:rPr>
                        <w:t>西安医学院教学质量监测与评估系统建设采购项目</w:t>
                      </w: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v:textbox>
              </v:shape>
            </w:pict>
          </mc:Fallback>
        </mc:AlternateContent>
      </w:r>
    </w:p>
    <w:p>
      <w:pPr>
        <w:ind w:firstLine="420" w:firstLineChars="200"/>
        <w:jc w:val="center"/>
        <w:rPr>
          <w:rFonts w:ascii="宋体" w:hAnsi="宋体" w:cs="宋体"/>
        </w:rPr>
      </w:pPr>
    </w:p>
    <w:p>
      <w:pP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br w:type="page"/>
      </w:r>
    </w:p>
    <w:p>
      <w:pPr>
        <w:pStyle w:val="5"/>
        <w:adjustRightInd w:val="0"/>
        <w:spacing w:line="416" w:lineRule="atLeast"/>
        <w:textAlignment w:val="baseline"/>
        <w:rPr>
          <w:rFonts w:ascii="宋体" w:hAnsi="宋体" w:cs="宋体"/>
        </w:rPr>
      </w:pPr>
      <w:bookmarkStart w:id="375" w:name="_Toc1641"/>
      <w:bookmarkStart w:id="376" w:name="_Toc2022"/>
      <w:bookmarkStart w:id="377" w:name="_Toc11632"/>
      <w:bookmarkStart w:id="378" w:name="_Toc18633"/>
      <w:bookmarkStart w:id="379" w:name="_Toc3008"/>
      <w:bookmarkStart w:id="380" w:name="_Toc30485"/>
      <w:bookmarkStart w:id="381" w:name="_Toc4193"/>
      <w:bookmarkStart w:id="382" w:name="_Toc2630"/>
      <w:bookmarkStart w:id="383" w:name="_Toc8177"/>
      <w:bookmarkStart w:id="384" w:name="_Toc20374"/>
      <w:r>
        <w:rPr>
          <w:rFonts w:hint="eastAsia" w:ascii="宋体" w:hAnsi="宋体" w:cs="宋体"/>
        </w:rPr>
        <w:t>附件二、中小企业申明</w:t>
      </w:r>
      <w:bookmarkEnd w:id="375"/>
      <w:bookmarkEnd w:id="376"/>
      <w:bookmarkEnd w:id="377"/>
      <w:bookmarkEnd w:id="378"/>
      <w:bookmarkEnd w:id="379"/>
      <w:bookmarkEnd w:id="380"/>
      <w:bookmarkEnd w:id="381"/>
      <w:bookmarkEnd w:id="382"/>
      <w:bookmarkEnd w:id="383"/>
      <w:bookmarkEnd w:id="384"/>
    </w:p>
    <w:p>
      <w:pPr>
        <w:spacing w:line="588" w:lineRule="exact"/>
        <w:ind w:firstLine="504" w:firstLineChars="200"/>
        <w:rPr>
          <w:rFonts w:ascii="宋体" w:hAnsi="宋体"/>
          <w:color w:val="000000"/>
          <w:spacing w:val="6"/>
          <w:sz w:val="24"/>
        </w:rPr>
      </w:pPr>
      <w:r>
        <w:rPr>
          <w:rFonts w:hint="eastAsia" w:ascii="宋体" w:hAnsi="宋体"/>
          <w:color w:val="000000"/>
          <w:spacing w:val="6"/>
          <w:sz w:val="24"/>
        </w:rPr>
        <w:t>根据《政府采购促进中小企业发展管理办法》（</w:t>
      </w:r>
      <w:r>
        <w:rPr>
          <w:rFonts w:hint="eastAsia" w:ascii="宋体" w:hAnsi="宋体"/>
          <w:spacing w:val="6"/>
          <w:sz w:val="24"/>
        </w:rPr>
        <w:t>财库[2020]46号</w:t>
      </w:r>
      <w:r>
        <w:rPr>
          <w:rFonts w:hint="eastAsia" w:ascii="宋体" w:hAnsi="宋体"/>
          <w:color w:val="000000"/>
          <w:spacing w:val="6"/>
          <w:sz w:val="24"/>
        </w:rPr>
        <w:t>）的规定，由供应商自行声明并对真实性负责。如有虚假，将依法承担相应责任。</w:t>
      </w:r>
    </w:p>
    <w:p>
      <w:pPr>
        <w:spacing w:line="312" w:lineRule="auto"/>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15"/>
        <w:shd w:val="clear" w:color="auto" w:fill="FCFCFC"/>
        <w:spacing w:before="0" w:beforeAutospacing="0" w:after="0" w:afterAutospacing="0" w:line="510" w:lineRule="atLeast"/>
        <w:ind w:firstLine="480"/>
        <w:rPr>
          <w:color w:val="333333"/>
          <w:spacing w:val="8"/>
        </w:rPr>
      </w:pPr>
      <w:r>
        <w:rPr>
          <w:rFonts w:hint="eastAsia"/>
          <w:color w:val="333333"/>
          <w:spacing w:val="8"/>
        </w:rPr>
        <w:t>本公司郑重声明，根据《政府采购促进中小企业发展管理办法》（财库﹝2020﹞46 号）的规定，本公司参加</w:t>
      </w:r>
      <w:r>
        <w:rPr>
          <w:rFonts w:hint="eastAsia"/>
          <w:color w:val="333333"/>
          <w:spacing w:val="8"/>
          <w:u w:val="single"/>
        </w:rPr>
        <w:t>（单位名称）</w:t>
      </w:r>
      <w:r>
        <w:rPr>
          <w:rFonts w:hint="eastAsia"/>
          <w:color w:val="333333"/>
          <w:spacing w:val="8"/>
        </w:rPr>
        <w:t>的</w:t>
      </w:r>
      <w:r>
        <w:rPr>
          <w:rFonts w:hint="eastAsia"/>
          <w:color w:val="333333"/>
          <w:spacing w:val="8"/>
          <w:u w:val="single"/>
        </w:rPr>
        <w:t>（项目名称）</w:t>
      </w:r>
      <w:r>
        <w:rPr>
          <w:rFonts w:hint="eastAsia"/>
          <w:color w:val="333333"/>
          <w:spacing w:val="8"/>
        </w:rPr>
        <w:t>采购活动，服务全部由符合政策要求的中小企业承接。相关企业的具体情况如下：</w:t>
      </w:r>
    </w:p>
    <w:p>
      <w:pPr>
        <w:pStyle w:val="15"/>
        <w:shd w:val="clear" w:color="auto" w:fill="FCFCFC"/>
        <w:spacing w:before="0" w:beforeAutospacing="0" w:after="0" w:afterAutospacing="0" w:line="510" w:lineRule="atLeast"/>
        <w:ind w:firstLine="480"/>
        <w:rPr>
          <w:color w:val="333333"/>
          <w:spacing w:val="8"/>
        </w:rPr>
      </w:pPr>
      <w:r>
        <w:rPr>
          <w:rFonts w:hint="eastAsia"/>
          <w:color w:val="333333"/>
          <w:spacing w:val="8"/>
        </w:rPr>
        <w:t>1.</w:t>
      </w:r>
      <w:r>
        <w:rPr>
          <w:rFonts w:hint="eastAsia"/>
          <w:color w:val="333333"/>
          <w:spacing w:val="8"/>
          <w:u w:val="single"/>
        </w:rPr>
        <w:t>（标的名称）</w:t>
      </w:r>
      <w:r>
        <w:rPr>
          <w:rFonts w:hint="eastAsia"/>
          <w:color w:val="333333"/>
          <w:spacing w:val="8"/>
        </w:rPr>
        <w:t> ，属于</w:t>
      </w:r>
      <w:r>
        <w:rPr>
          <w:rFonts w:hint="eastAsia"/>
          <w:color w:val="333333"/>
          <w:spacing w:val="8"/>
          <w:u w:val="single"/>
        </w:rPr>
        <w:t>（采购内容所属行业）</w:t>
      </w:r>
      <w:r>
        <w:rPr>
          <w:rFonts w:hint="eastAsia"/>
          <w:color w:val="333333"/>
          <w:spacing w:val="8"/>
        </w:rPr>
        <w:t>；承接企业为</w:t>
      </w:r>
      <w:r>
        <w:rPr>
          <w:rFonts w:hint="eastAsia"/>
          <w:color w:val="333333"/>
          <w:spacing w:val="8"/>
          <w:u w:val="single"/>
        </w:rPr>
        <w:t>（企业名称）</w:t>
      </w:r>
      <w:r>
        <w:rPr>
          <w:rFonts w:hint="eastAsia"/>
          <w:color w:val="333333"/>
          <w:spacing w:val="8"/>
        </w:rPr>
        <w:t>，从业人员人，营业收入为万元，资产总额为万元，属于</w:t>
      </w:r>
      <w:r>
        <w:rPr>
          <w:rFonts w:hint="eastAsia"/>
          <w:color w:val="333333"/>
          <w:spacing w:val="8"/>
          <w:u w:val="single"/>
        </w:rPr>
        <w:t>（中型企业、小型企业、微型企业）</w:t>
      </w:r>
      <w:r>
        <w:rPr>
          <w:rFonts w:hint="eastAsia"/>
          <w:color w:val="333333"/>
          <w:spacing w:val="8"/>
        </w:rPr>
        <w:t>；</w:t>
      </w:r>
    </w:p>
    <w:p>
      <w:pPr>
        <w:pStyle w:val="15"/>
        <w:shd w:val="clear" w:color="auto" w:fill="FCFCFC"/>
        <w:spacing w:before="0" w:beforeAutospacing="0" w:after="0" w:afterAutospacing="0" w:line="510" w:lineRule="atLeast"/>
        <w:ind w:firstLine="480"/>
        <w:rPr>
          <w:color w:val="333333"/>
          <w:spacing w:val="8"/>
        </w:rPr>
      </w:pPr>
      <w:r>
        <w:rPr>
          <w:rFonts w:hint="eastAsia"/>
          <w:color w:val="333333"/>
          <w:spacing w:val="8"/>
        </w:rPr>
        <w:t>2.</w:t>
      </w:r>
      <w:r>
        <w:rPr>
          <w:rFonts w:hint="eastAsia"/>
          <w:color w:val="333333"/>
          <w:spacing w:val="8"/>
          <w:u w:val="single"/>
        </w:rPr>
        <w:t>（标的名称）</w:t>
      </w:r>
      <w:r>
        <w:rPr>
          <w:rFonts w:hint="eastAsia"/>
          <w:color w:val="333333"/>
          <w:spacing w:val="8"/>
        </w:rPr>
        <w:t> ，属于</w:t>
      </w:r>
      <w:r>
        <w:rPr>
          <w:rFonts w:hint="eastAsia"/>
          <w:color w:val="333333"/>
          <w:spacing w:val="8"/>
          <w:u w:val="single"/>
        </w:rPr>
        <w:t>（采购内容所属行业）</w:t>
      </w:r>
      <w:r>
        <w:rPr>
          <w:rFonts w:hint="eastAsia"/>
          <w:color w:val="333333"/>
          <w:spacing w:val="8"/>
        </w:rPr>
        <w:t>；承建（承接）企业为</w:t>
      </w:r>
      <w:r>
        <w:rPr>
          <w:rFonts w:hint="eastAsia"/>
          <w:color w:val="333333"/>
          <w:spacing w:val="8"/>
          <w:u w:val="single"/>
        </w:rPr>
        <w:t>（企业名称）</w:t>
      </w:r>
      <w:r>
        <w:rPr>
          <w:rFonts w:hint="eastAsia"/>
          <w:color w:val="333333"/>
          <w:spacing w:val="8"/>
        </w:rPr>
        <w:t>，从业人员人，营业收入为万元，资产总额为万元，属于</w:t>
      </w:r>
      <w:r>
        <w:rPr>
          <w:rFonts w:hint="eastAsia"/>
          <w:color w:val="333333"/>
          <w:spacing w:val="8"/>
          <w:u w:val="single"/>
        </w:rPr>
        <w:t>（中型企业、小型企业、微型企业）</w:t>
      </w:r>
      <w:r>
        <w:rPr>
          <w:rFonts w:hint="eastAsia"/>
          <w:color w:val="333333"/>
          <w:spacing w:val="8"/>
        </w:rPr>
        <w:t>；</w:t>
      </w:r>
    </w:p>
    <w:p>
      <w:pPr>
        <w:pStyle w:val="15"/>
        <w:shd w:val="clear" w:color="auto" w:fill="FCFCFC"/>
        <w:spacing w:before="0" w:beforeAutospacing="0" w:after="0" w:afterAutospacing="0" w:line="510" w:lineRule="atLeast"/>
        <w:ind w:firstLine="480"/>
        <w:rPr>
          <w:color w:val="333333"/>
          <w:spacing w:val="8"/>
        </w:rPr>
      </w:pPr>
      <w:r>
        <w:rPr>
          <w:rFonts w:hint="eastAsia"/>
          <w:color w:val="333333"/>
          <w:spacing w:val="8"/>
        </w:rPr>
        <w:t>……</w:t>
      </w:r>
    </w:p>
    <w:p>
      <w:pPr>
        <w:pStyle w:val="15"/>
        <w:shd w:val="clear" w:color="auto" w:fill="FCFCFC"/>
        <w:spacing w:before="0" w:beforeAutospacing="0" w:after="0" w:afterAutospacing="0" w:line="510" w:lineRule="atLeast"/>
        <w:ind w:firstLine="480"/>
        <w:rPr>
          <w:color w:val="333333"/>
          <w:spacing w:val="8"/>
        </w:rPr>
      </w:pPr>
      <w:r>
        <w:rPr>
          <w:rFonts w:hint="eastAsia"/>
          <w:color w:val="333333"/>
          <w:spacing w:val="8"/>
        </w:rPr>
        <w:t>以上企业，不属于大企业的分支机构，不存在控股股东为大企业的情形，也不存在与大企业的负责人为同一人的情形。</w:t>
      </w:r>
    </w:p>
    <w:p>
      <w:pPr>
        <w:pStyle w:val="15"/>
        <w:shd w:val="clear" w:color="auto" w:fill="FCFCFC"/>
        <w:spacing w:before="0" w:beforeAutospacing="0" w:after="0" w:afterAutospacing="0" w:line="510" w:lineRule="atLeast"/>
        <w:ind w:firstLine="480"/>
        <w:rPr>
          <w:color w:val="333333"/>
          <w:spacing w:val="8"/>
        </w:rPr>
      </w:pPr>
      <w:r>
        <w:rPr>
          <w:rFonts w:hint="eastAsia"/>
          <w:color w:val="333333"/>
          <w:spacing w:val="8"/>
        </w:rPr>
        <w:t>本企业对上述声明内容的真实性负责。如有虚假，将依法承担相应责任。</w:t>
      </w:r>
    </w:p>
    <w:p>
      <w:pPr>
        <w:spacing w:line="360" w:lineRule="auto"/>
        <w:jc w:val="left"/>
        <w:rPr>
          <w:rFonts w:hint="eastAsia" w:ascii="宋体" w:hAnsi="宋体"/>
          <w:b/>
          <w:bCs/>
          <w:color w:val="000000"/>
          <w:spacing w:val="6"/>
          <w:sz w:val="24"/>
        </w:rPr>
      </w:pPr>
    </w:p>
    <w:p>
      <w:pPr>
        <w:spacing w:line="360" w:lineRule="auto"/>
        <w:jc w:val="left"/>
        <w:rPr>
          <w:rFonts w:hint="default" w:ascii="宋体" w:hAnsi="宋体" w:eastAsia="宋体"/>
          <w:b/>
          <w:bCs/>
          <w:color w:val="000000"/>
          <w:spacing w:val="6"/>
          <w:sz w:val="24"/>
          <w:lang w:val="en-US" w:eastAsia="zh-CN"/>
        </w:rPr>
      </w:pPr>
      <w:r>
        <w:rPr>
          <w:rFonts w:hint="eastAsia" w:ascii="宋体" w:hAnsi="宋体"/>
          <w:b/>
          <w:bCs/>
          <w:color w:val="000000"/>
          <w:spacing w:val="6"/>
          <w:sz w:val="24"/>
        </w:rPr>
        <w:t>备注：本项目</w:t>
      </w:r>
      <w:r>
        <w:rPr>
          <w:rFonts w:hint="eastAsia" w:ascii="宋体" w:hAnsi="宋体"/>
          <w:b/>
          <w:bCs/>
          <w:color w:val="000000"/>
          <w:spacing w:val="6"/>
          <w:sz w:val="24"/>
          <w:lang w:val="en-US" w:eastAsia="zh-CN"/>
        </w:rPr>
        <w:t>所属行业为：信息技术服务业。</w:t>
      </w:r>
    </w:p>
    <w:p>
      <w:pPr>
        <w:pStyle w:val="2"/>
        <w:spacing w:line="312" w:lineRule="auto"/>
        <w:ind w:right="372" w:firstLine="504" w:firstLineChars="200"/>
        <w:rPr>
          <w:rFonts w:hint="default" w:ascii="宋体" w:hAnsi="宋体" w:eastAsia="宋体"/>
          <w:color w:val="000000"/>
          <w:spacing w:val="6"/>
          <w:sz w:val="24"/>
          <w:lang w:val="en-US" w:eastAsia="zh-CN"/>
        </w:rPr>
      </w:pPr>
    </w:p>
    <w:p>
      <w:pPr>
        <w:spacing w:line="312" w:lineRule="auto"/>
        <w:jc w:val="left"/>
        <w:rPr>
          <w:rFonts w:ascii="宋体" w:hAnsi="宋体"/>
          <w:color w:val="000000"/>
          <w:spacing w:val="6"/>
          <w:sz w:val="24"/>
        </w:rPr>
      </w:pPr>
      <w:r>
        <w:rPr>
          <w:rFonts w:hint="eastAsia" w:ascii="宋体" w:hAnsi="宋体"/>
          <w:color w:val="000000"/>
          <w:spacing w:val="6"/>
          <w:sz w:val="24"/>
        </w:rPr>
        <w:t>企业名称（盖章）：</w:t>
      </w:r>
    </w:p>
    <w:p>
      <w:pPr>
        <w:pStyle w:val="8"/>
        <w:spacing w:line="360" w:lineRule="auto"/>
        <w:ind w:left="0" w:leftChars="0" w:firstLine="0" w:firstLineChars="0"/>
        <w:jc w:val="left"/>
        <w:rPr>
          <w:rFonts w:hint="eastAsia" w:ascii="宋体" w:hAnsi="宋体"/>
          <w:color w:val="000000"/>
          <w:spacing w:val="6"/>
          <w:sz w:val="24"/>
          <w:lang w:eastAsia="zh-CN"/>
        </w:rPr>
      </w:pPr>
      <w:r>
        <w:rPr>
          <w:rFonts w:hint="eastAsia" w:ascii="宋体" w:hAnsi="宋体"/>
          <w:color w:val="000000"/>
          <w:spacing w:val="6"/>
          <w:sz w:val="24"/>
        </w:rPr>
        <w:t>日期</w:t>
      </w:r>
      <w:r>
        <w:rPr>
          <w:rFonts w:hint="eastAsia" w:ascii="宋体" w:hAnsi="宋体"/>
          <w:color w:val="000000"/>
          <w:spacing w:val="6"/>
          <w:sz w:val="24"/>
          <w:lang w:eastAsia="zh-CN"/>
        </w:rPr>
        <w:t>：</w:t>
      </w:r>
    </w:p>
    <w:p>
      <w:pPr>
        <w:rPr>
          <w:rFonts w:hint="eastAsia" w:ascii="宋体" w:hAnsi="宋体"/>
          <w:color w:val="000000"/>
          <w:spacing w:val="6"/>
          <w:sz w:val="24"/>
          <w:lang w:eastAsia="zh-CN"/>
        </w:rPr>
      </w:pPr>
      <w:r>
        <w:rPr>
          <w:rFonts w:hint="eastAsia" w:ascii="宋体" w:hAnsi="宋体"/>
          <w:color w:val="000000"/>
          <w:spacing w:val="6"/>
          <w:sz w:val="24"/>
          <w:lang w:eastAsia="zh-CN"/>
        </w:rPr>
        <w:br w:type="page"/>
      </w:r>
    </w:p>
    <w:p>
      <w:pPr>
        <w:pStyle w:val="5"/>
      </w:pPr>
      <w:bookmarkStart w:id="385" w:name="_Toc6787"/>
      <w:bookmarkStart w:id="386" w:name="_Toc3195"/>
      <w:r>
        <w:rPr>
          <w:rFonts w:hint="eastAsia"/>
        </w:rPr>
        <w:t>附件三、残疾人福利性单位声明</w:t>
      </w:r>
      <w:bookmarkEnd w:id="385"/>
      <w:bookmarkEnd w:id="386"/>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Theme="minorEastAsia" w:hAnsiTheme="minorEastAsia" w:cstheme="minorEastAsia"/>
          <w:b/>
          <w:spacing w:val="6"/>
          <w:sz w:val="24"/>
          <w:szCs w:val="24"/>
        </w:rPr>
      </w:pPr>
      <w:bookmarkStart w:id="387" w:name="OLE_LINK14"/>
      <w:r>
        <w:rPr>
          <w:rFonts w:hint="eastAsia" w:asciiTheme="minorEastAsia" w:hAnsiTheme="minorEastAsia" w:cstheme="minorEastAsia"/>
          <w:b/>
          <w:spacing w:val="6"/>
          <w:sz w:val="24"/>
          <w:szCs w:val="24"/>
        </w:rPr>
        <w:t>残疾人福利性单位声明函</w:t>
      </w:r>
      <w:bookmarkEnd w:id="387"/>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 141</w:t>
      </w:r>
      <w:r>
        <w:rPr>
          <w:rFonts w:hint="eastAsia" w:asciiTheme="minorEastAsia" w:hAnsi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18"/>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58"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58"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39"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金额（元）</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58"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58"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Theme="minorEastAsia" w:hAnsiTheme="minorEastAsia" w:cstheme="minorEastAsia"/>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单位名称（盖章）：</w:t>
      </w:r>
    </w:p>
    <w:p>
      <w:pPr>
        <w:pStyle w:val="8"/>
        <w:spacing w:line="360" w:lineRule="auto"/>
        <w:ind w:left="0" w:leftChars="0" w:firstLine="504" w:firstLineChars="200"/>
        <w:jc w:val="left"/>
        <w:rPr>
          <w:rFonts w:hint="eastAsia" w:asciiTheme="minorEastAsia" w:hAnsiTheme="minorEastAsia" w:cstheme="minorEastAsia"/>
          <w:spacing w:val="6"/>
          <w:sz w:val="24"/>
          <w:szCs w:val="24"/>
          <w:lang w:eastAsia="zh-CN"/>
        </w:rPr>
      </w:pPr>
      <w:r>
        <w:rPr>
          <w:rFonts w:hint="eastAsia" w:asciiTheme="minorEastAsia" w:hAnsiTheme="minorEastAsia" w:cstheme="minorEastAsia"/>
          <w:spacing w:val="6"/>
          <w:sz w:val="24"/>
          <w:szCs w:val="24"/>
        </w:rPr>
        <w:t>日  期</w:t>
      </w:r>
      <w:r>
        <w:rPr>
          <w:rFonts w:hint="eastAsia" w:asciiTheme="minorEastAsia" w:hAnsiTheme="minorEastAsia" w:cstheme="minorEastAsia"/>
          <w:spacing w:val="6"/>
          <w:sz w:val="24"/>
          <w:szCs w:val="24"/>
          <w:lang w:eastAsia="zh-CN"/>
        </w:rPr>
        <w:t>：</w:t>
      </w:r>
    </w:p>
    <w:p>
      <w:pPr>
        <w:rPr>
          <w:rFonts w:hint="eastAsia" w:asciiTheme="minorEastAsia" w:hAnsiTheme="minorEastAsia" w:cstheme="minorEastAsia"/>
          <w:spacing w:val="6"/>
          <w:sz w:val="24"/>
          <w:szCs w:val="24"/>
          <w:lang w:eastAsia="zh-CN"/>
        </w:rPr>
      </w:pPr>
      <w:r>
        <w:rPr>
          <w:rFonts w:hint="eastAsia" w:asciiTheme="minorEastAsia" w:hAnsiTheme="minorEastAsia" w:cstheme="minorEastAsia"/>
          <w:spacing w:val="6"/>
          <w:sz w:val="24"/>
          <w:szCs w:val="24"/>
          <w:lang w:eastAsia="zh-CN"/>
        </w:rPr>
        <w:br w:type="page"/>
      </w:r>
    </w:p>
    <w:p>
      <w:pPr>
        <w:pStyle w:val="5"/>
        <w:rPr>
          <w:rFonts w:ascii="宋体" w:hAnsi="宋体" w:cs="宋体"/>
        </w:rPr>
      </w:pPr>
      <w:bookmarkStart w:id="388" w:name="_Toc9578"/>
      <w:r>
        <w:rPr>
          <w:rFonts w:hint="eastAsia"/>
        </w:rPr>
        <w:t>附件四、监狱企业证明文件</w:t>
      </w:r>
      <w:bookmarkEnd w:id="388"/>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5"/>
        <w:adjustRightInd w:val="0"/>
        <w:spacing w:line="416" w:lineRule="atLeast"/>
        <w:textAlignment w:val="baseline"/>
        <w:rPr>
          <w:rFonts w:ascii="宋体" w:hAnsi="宋体" w:cs="宋体"/>
        </w:rPr>
      </w:pPr>
      <w:bookmarkStart w:id="389" w:name="_Toc32422"/>
      <w:bookmarkStart w:id="390" w:name="_Toc563"/>
      <w:bookmarkStart w:id="391" w:name="_Toc13421"/>
      <w:bookmarkStart w:id="392" w:name="_Toc13122"/>
      <w:bookmarkStart w:id="393" w:name="_Toc2126"/>
      <w:bookmarkStart w:id="394" w:name="_Toc11969"/>
      <w:bookmarkStart w:id="395" w:name="_Toc13303"/>
      <w:r>
        <w:rPr>
          <w:rFonts w:hint="eastAsia" w:ascii="宋体" w:hAnsi="宋体" w:cs="宋体"/>
        </w:rPr>
        <w:t>附件五、“节能产品”，“环境标志产品”证明材料</w:t>
      </w:r>
      <w:bookmarkEnd w:id="389"/>
      <w:bookmarkEnd w:id="390"/>
      <w:bookmarkEnd w:id="391"/>
      <w:bookmarkEnd w:id="392"/>
      <w:bookmarkEnd w:id="393"/>
      <w:bookmarkEnd w:id="394"/>
      <w:bookmarkEnd w:id="395"/>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6"/>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6"/>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pStyle w:val="8"/>
        <w:spacing w:line="360" w:lineRule="auto"/>
        <w:ind w:left="0" w:leftChars="0" w:firstLine="480" w:firstLineChars="200"/>
        <w:jc w:val="left"/>
        <w:rPr>
          <w:rFonts w:hint="eastAsia" w:ascii="宋体" w:hAnsi="宋体" w:cs="宋体"/>
          <w:sz w:val="24"/>
          <w:szCs w:val="24"/>
        </w:rPr>
      </w:pPr>
      <w:r>
        <w:rPr>
          <w:rFonts w:hint="eastAsia" w:ascii="宋体" w:hAnsi="宋体" w:cs="宋体"/>
          <w:sz w:val="24"/>
          <w:szCs w:val="24"/>
        </w:rPr>
        <w:t>2、未按照上述要求提供的，评审时不予以考虑。</w:t>
      </w:r>
    </w:p>
    <w:p>
      <w:pPr>
        <w:rPr>
          <w:rFonts w:hint="eastAsia" w:ascii="宋体" w:hAnsi="宋体" w:cs="宋体"/>
          <w:sz w:val="24"/>
          <w:szCs w:val="24"/>
        </w:rPr>
      </w:pPr>
      <w:r>
        <w:rPr>
          <w:rFonts w:hint="eastAsia" w:ascii="宋体" w:hAnsi="宋体" w:cs="宋体"/>
          <w:sz w:val="24"/>
          <w:szCs w:val="24"/>
        </w:rPr>
        <w:br w:type="page"/>
      </w:r>
    </w:p>
    <w:p>
      <w:pPr>
        <w:pStyle w:val="5"/>
      </w:pPr>
      <w:bookmarkStart w:id="396" w:name="_Toc23799"/>
      <w:bookmarkStart w:id="397" w:name="_Toc26351"/>
      <w:bookmarkStart w:id="398" w:name="_Toc19504"/>
      <w:bookmarkStart w:id="399" w:name="_Toc20587"/>
      <w:bookmarkStart w:id="400" w:name="_Toc4414"/>
      <w:r>
        <w:rPr>
          <w:rFonts w:hint="eastAsia"/>
        </w:rPr>
        <w:t>附件六、质疑函范本</w:t>
      </w:r>
      <w:bookmarkEnd w:id="396"/>
      <w:bookmarkEnd w:id="397"/>
      <w:bookmarkEnd w:id="398"/>
      <w:bookmarkEnd w:id="399"/>
      <w:bookmarkEnd w:id="400"/>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pStyle w:val="8"/>
        <w:spacing w:line="360" w:lineRule="auto"/>
        <w:ind w:left="0" w:leftChars="0" w:firstLine="480" w:firstLineChars="200"/>
        <w:jc w:val="left"/>
        <w:rPr>
          <w:rFonts w:hint="eastAsia" w:ascii="宋体" w:hAnsi="宋体" w:cs="宋体"/>
          <w:sz w:val="24"/>
          <w:szCs w:val="24"/>
          <w:lang w:eastAsia="zh-CN"/>
        </w:rPr>
      </w:pPr>
      <w:r>
        <w:rPr>
          <w:rFonts w:hint="eastAsia" w:ascii="宋体" w:hAnsi="宋体" w:cs="宋体"/>
          <w:sz w:val="24"/>
          <w:szCs w:val="24"/>
        </w:rPr>
        <w:t>日期</w:t>
      </w:r>
      <w:r>
        <w:rPr>
          <w:rFonts w:hint="eastAsia" w:ascii="宋体" w:hAnsi="宋体" w:cs="宋体"/>
          <w:sz w:val="24"/>
          <w:szCs w:val="24"/>
          <w:lang w:eastAsia="zh-CN"/>
        </w:rPr>
        <w:t>：</w:t>
      </w:r>
    </w:p>
    <w:p>
      <w:pPr>
        <w:rPr>
          <w:rFonts w:hint="eastAsia" w:ascii="宋体" w:hAnsi="宋体" w:cs="宋体"/>
          <w:sz w:val="24"/>
          <w:szCs w:val="24"/>
          <w:lang w:eastAsia="zh-CN"/>
        </w:rPr>
      </w:pPr>
      <w:r>
        <w:rPr>
          <w:rFonts w:hint="eastAsia" w:ascii="宋体" w:hAnsi="宋体" w:cs="宋体"/>
          <w:sz w:val="24"/>
          <w:szCs w:val="24"/>
          <w:lang w:eastAsia="zh-CN"/>
        </w:rPr>
        <w:br w:type="page"/>
      </w: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pStyle w:val="8"/>
        <w:spacing w:line="360" w:lineRule="auto"/>
        <w:ind w:left="0" w:leftChars="0" w:firstLine="480" w:firstLineChars="200"/>
        <w:jc w:val="left"/>
        <w:rPr>
          <w:rFonts w:hint="eastAsia" w:ascii="宋体" w:hAnsi="宋体" w:cs="宋体"/>
          <w:sz w:val="24"/>
          <w:szCs w:val="24"/>
          <w:lang w:eastAsia="zh-CN"/>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r>
        <w:rPr>
          <w:rFonts w:hint="eastAsia" w:ascii="宋体" w:hAnsi="宋体" w:cs="宋体"/>
          <w:sz w:val="24"/>
          <w:szCs w:val="24"/>
          <w:lang w:eastAsia="zh-CN"/>
        </w:rPr>
        <w:t>。</w:t>
      </w:r>
    </w:p>
    <w:p>
      <w:pPr>
        <w:rPr>
          <w:rFonts w:hint="eastAsia" w:ascii="宋体" w:hAnsi="宋体" w:cs="宋体"/>
          <w:sz w:val="24"/>
          <w:szCs w:val="24"/>
          <w:lang w:eastAsia="zh-CN"/>
        </w:rPr>
      </w:pPr>
      <w:r>
        <w:rPr>
          <w:rFonts w:hint="eastAsia" w:ascii="宋体" w:hAnsi="宋体" w:cs="宋体"/>
          <w:sz w:val="24"/>
          <w:szCs w:val="24"/>
          <w:lang w:eastAsia="zh-CN"/>
        </w:rPr>
        <w:br w:type="page"/>
      </w:r>
    </w:p>
    <w:p>
      <w:pPr>
        <w:pStyle w:val="5"/>
        <w:bidi w:val="0"/>
      </w:pPr>
      <w:bookmarkStart w:id="401" w:name="_Toc18369"/>
      <w:bookmarkStart w:id="402" w:name="_Toc2686"/>
      <w:bookmarkStart w:id="403" w:name="_Toc22732"/>
      <w:bookmarkStart w:id="404" w:name="_Toc19897"/>
      <w:r>
        <w:rPr>
          <w:rFonts w:hint="eastAsia"/>
        </w:rPr>
        <w:t>附件七、保证金退还账户信息确认表</w:t>
      </w:r>
      <w:bookmarkEnd w:id="401"/>
      <w:bookmarkEnd w:id="402"/>
      <w:bookmarkEnd w:id="403"/>
      <w:bookmarkEnd w:id="404"/>
      <w:bookmarkStart w:id="405" w:name="_Toc378248335"/>
    </w:p>
    <w:p>
      <w:pPr>
        <w:rPr>
          <w:rFonts w:ascii="宋体" w:hAnsi="宋体" w:cs="宋体"/>
        </w:rPr>
      </w:pPr>
    </w:p>
    <w:p>
      <w:pPr>
        <w:rPr>
          <w:rFonts w:ascii="宋体" w:hAnsi="宋体" w:cs="宋体"/>
          <w:sz w:val="28"/>
          <w:szCs w:val="28"/>
        </w:rPr>
      </w:pPr>
      <w:r>
        <w:rPr>
          <w:rFonts w:hint="eastAsia" w:ascii="宋体" w:hAnsi="宋体" w:cs="宋体"/>
          <w:sz w:val="28"/>
          <w:szCs w:val="28"/>
        </w:rPr>
        <w:t>项目名称：</w:t>
      </w:r>
      <w:r>
        <w:rPr>
          <w:rFonts w:hint="eastAsia" w:ascii="宋体" w:hAnsi="宋体" w:cs="宋体"/>
          <w:kern w:val="0"/>
          <w:sz w:val="24"/>
          <w:szCs w:val="24"/>
        </w:rPr>
        <w:t>_____________________________</w:t>
      </w:r>
    </w:p>
    <w:p>
      <w:pPr>
        <w:tabs>
          <w:tab w:val="center" w:pos="4150"/>
        </w:tabs>
        <w:rPr>
          <w:rFonts w:ascii="宋体" w:hAnsi="宋体" w:cs="宋体"/>
          <w:sz w:val="28"/>
          <w:szCs w:val="28"/>
        </w:rPr>
      </w:pPr>
      <w:r>
        <w:rPr>
          <w:rFonts w:hint="eastAsia" w:ascii="宋体" w:hAnsi="宋体" w:cs="宋体"/>
          <w:sz w:val="28"/>
          <w:szCs w:val="28"/>
        </w:rPr>
        <w:t>项目编号：</w:t>
      </w:r>
      <w:bookmarkEnd w:id="405"/>
      <w:r>
        <w:rPr>
          <w:rFonts w:hint="eastAsia" w:ascii="宋体" w:hAnsi="宋体" w:cs="宋体"/>
          <w:kern w:val="0"/>
          <w:sz w:val="24"/>
          <w:szCs w:val="24"/>
        </w:rPr>
        <w:t>_____________________________</w:t>
      </w:r>
      <w:r>
        <w:rPr>
          <w:rFonts w:hint="eastAsia" w:ascii="宋体" w:hAnsi="宋体" w:cs="宋体"/>
          <w:sz w:val="28"/>
          <w:szCs w:val="28"/>
        </w:rPr>
        <w:tab/>
      </w:r>
    </w:p>
    <w:p>
      <w:pPr>
        <w:rPr>
          <w:rFonts w:ascii="宋体" w:hAnsi="宋体" w:cs="宋体"/>
        </w:rPr>
      </w:pPr>
    </w:p>
    <w:tbl>
      <w:tblPr>
        <w:tblStyle w:val="18"/>
        <w:tblW w:w="864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cs="宋体"/>
                <w:sz w:val="24"/>
                <w:szCs w:val="24"/>
              </w:rPr>
            </w:pPr>
            <w:r>
              <w:rPr>
                <w:rFonts w:hint="eastAsia" w:ascii="宋体" w:hAnsi="宋体" w:cs="宋体"/>
                <w:sz w:val="24"/>
                <w:szCs w:val="24"/>
              </w:rPr>
              <w:t>应退磋商保证金</w:t>
            </w:r>
          </w:p>
        </w:tc>
        <w:tc>
          <w:tcPr>
            <w:tcW w:w="6372" w:type="dxa"/>
            <w:gridSpan w:val="2"/>
          </w:tcPr>
          <w:p>
            <w:pPr>
              <w:rPr>
                <w:rFonts w:ascii="宋体" w:hAnsi="宋体" w:cs="宋体"/>
                <w:sz w:val="24"/>
                <w:szCs w:val="24"/>
              </w:rPr>
            </w:pPr>
            <w:r>
              <w:rPr>
                <w:rFonts w:hint="eastAsia" w:ascii="宋体" w:hAnsi="宋体" w:cs="宋体"/>
                <w:sz w:val="24"/>
                <w:szCs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cs="宋体"/>
                <w:sz w:val="24"/>
                <w:szCs w:val="24"/>
              </w:rPr>
            </w:pPr>
          </w:p>
        </w:tc>
        <w:tc>
          <w:tcPr>
            <w:tcW w:w="6372" w:type="dxa"/>
            <w:gridSpan w:val="2"/>
          </w:tcPr>
          <w:p>
            <w:pPr>
              <w:rPr>
                <w:rFonts w:ascii="宋体" w:hAnsi="宋体" w:cs="宋体"/>
                <w:sz w:val="24"/>
                <w:szCs w:val="24"/>
              </w:rPr>
            </w:pPr>
            <w:r>
              <w:rPr>
                <w:rFonts w:hint="eastAsia" w:ascii="宋体" w:hAnsi="宋体" w:cs="宋体"/>
                <w:sz w:val="24"/>
                <w:szCs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cs="宋体"/>
                <w:sz w:val="24"/>
                <w:szCs w:val="24"/>
              </w:rPr>
            </w:pPr>
            <w:r>
              <w:rPr>
                <w:rFonts w:hint="eastAsia" w:ascii="宋体" w:hAnsi="宋体" w:cs="宋体"/>
                <w:sz w:val="24"/>
                <w:szCs w:val="24"/>
              </w:rPr>
              <w:t>收款单位（盖章）</w:t>
            </w:r>
          </w:p>
        </w:tc>
        <w:tc>
          <w:tcPr>
            <w:tcW w:w="2370" w:type="dxa"/>
            <w:vAlign w:val="center"/>
          </w:tcPr>
          <w:p>
            <w:pPr>
              <w:jc w:val="center"/>
              <w:rPr>
                <w:rFonts w:ascii="宋体" w:hAnsi="宋体" w:cs="宋体"/>
                <w:sz w:val="24"/>
                <w:szCs w:val="24"/>
              </w:rPr>
            </w:pPr>
            <w:r>
              <w:rPr>
                <w:rFonts w:hint="eastAsia" w:ascii="宋体" w:hAnsi="宋体" w:cs="宋体"/>
                <w:sz w:val="24"/>
                <w:szCs w:val="24"/>
              </w:rPr>
              <w:t>单  位 名 称</w:t>
            </w:r>
          </w:p>
        </w:tc>
        <w:tc>
          <w:tcPr>
            <w:tcW w:w="4002"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cs="宋体"/>
                <w:sz w:val="24"/>
                <w:szCs w:val="24"/>
              </w:rPr>
            </w:pPr>
          </w:p>
        </w:tc>
        <w:tc>
          <w:tcPr>
            <w:tcW w:w="2370" w:type="dxa"/>
            <w:vAlign w:val="center"/>
          </w:tcPr>
          <w:p>
            <w:pPr>
              <w:jc w:val="center"/>
              <w:rPr>
                <w:rFonts w:ascii="宋体" w:hAnsi="宋体" w:cs="宋体"/>
                <w:sz w:val="24"/>
                <w:szCs w:val="24"/>
              </w:rPr>
            </w:pPr>
            <w:r>
              <w:rPr>
                <w:rFonts w:hint="eastAsia" w:ascii="宋体" w:hAnsi="宋体" w:cs="宋体"/>
                <w:sz w:val="24"/>
                <w:szCs w:val="24"/>
              </w:rPr>
              <w:t>开   户   行</w:t>
            </w:r>
          </w:p>
        </w:tc>
        <w:tc>
          <w:tcPr>
            <w:tcW w:w="4002"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cs="宋体"/>
                <w:sz w:val="24"/>
                <w:szCs w:val="24"/>
              </w:rPr>
            </w:pPr>
          </w:p>
        </w:tc>
        <w:tc>
          <w:tcPr>
            <w:tcW w:w="2370" w:type="dxa"/>
            <w:vAlign w:val="center"/>
          </w:tcPr>
          <w:p>
            <w:pPr>
              <w:jc w:val="center"/>
              <w:rPr>
                <w:rFonts w:ascii="宋体" w:hAnsi="宋体" w:cs="宋体"/>
                <w:sz w:val="24"/>
                <w:szCs w:val="24"/>
              </w:rPr>
            </w:pPr>
            <w:r>
              <w:rPr>
                <w:rFonts w:hint="eastAsia" w:ascii="宋体" w:hAnsi="宋体" w:cs="宋体"/>
                <w:sz w:val="24"/>
                <w:szCs w:val="24"/>
              </w:rPr>
              <w:t>账        号</w:t>
            </w:r>
          </w:p>
        </w:tc>
        <w:tc>
          <w:tcPr>
            <w:tcW w:w="4002"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cs="宋体"/>
                <w:sz w:val="24"/>
                <w:szCs w:val="24"/>
              </w:rPr>
            </w:pPr>
          </w:p>
        </w:tc>
        <w:tc>
          <w:tcPr>
            <w:tcW w:w="2370" w:type="dxa"/>
            <w:vAlign w:val="center"/>
          </w:tcPr>
          <w:p>
            <w:pPr>
              <w:jc w:val="center"/>
              <w:rPr>
                <w:rFonts w:ascii="宋体" w:hAnsi="宋体" w:cs="宋体"/>
                <w:sz w:val="24"/>
                <w:szCs w:val="24"/>
              </w:rPr>
            </w:pPr>
            <w:r>
              <w:rPr>
                <w:rFonts w:hint="eastAsia" w:ascii="宋体" w:hAnsi="宋体" w:cs="宋体"/>
                <w:sz w:val="24"/>
                <w:szCs w:val="24"/>
              </w:rPr>
              <w:t>联系人及电话</w:t>
            </w:r>
          </w:p>
        </w:tc>
        <w:tc>
          <w:tcPr>
            <w:tcW w:w="4002" w:type="dxa"/>
          </w:tcPr>
          <w:p>
            <w:pPr>
              <w:rPr>
                <w:rFonts w:ascii="宋体" w:hAnsi="宋体" w:cs="宋体"/>
                <w:sz w:val="24"/>
                <w:szCs w:val="24"/>
              </w:rPr>
            </w:pPr>
          </w:p>
        </w:tc>
      </w:tr>
    </w:tbl>
    <w:p>
      <w:pPr>
        <w:keepNext/>
        <w:keepLines/>
        <w:adjustRightInd w:val="0"/>
        <w:spacing w:line="416" w:lineRule="atLeast"/>
        <w:textAlignment w:val="baseline"/>
        <w:rPr>
          <w:rFonts w:ascii="宋体" w:hAnsi="宋体" w:cs="宋体"/>
          <w:b/>
          <w:bCs/>
          <w:sz w:val="24"/>
          <w:szCs w:val="24"/>
        </w:rPr>
      </w:pPr>
      <w:r>
        <w:rPr>
          <w:rFonts w:hint="eastAsia" w:ascii="宋体" w:hAnsi="宋体" w:cs="宋体"/>
          <w:b/>
          <w:bCs/>
          <w:sz w:val="24"/>
          <w:szCs w:val="24"/>
        </w:rPr>
        <w:t>注：单位公章需清晰完整。（仅作为退还保证金时使用，需单独提供，无需做在响应文件中）</w:t>
      </w:r>
    </w:p>
    <w:p>
      <w:pPr>
        <w:adjustRightInd w:val="0"/>
        <w:snapToGrid w:val="0"/>
        <w:spacing w:line="360" w:lineRule="auto"/>
        <w:rPr>
          <w:rFonts w:ascii="宋体" w:hAnsi="宋体" w:cs="宋体"/>
          <w:b/>
          <w:bCs/>
          <w:sz w:val="24"/>
          <w:szCs w:val="24"/>
        </w:rPr>
      </w:pPr>
    </w:p>
    <w:p>
      <w:pPr>
        <w:pStyle w:val="8"/>
        <w:spacing w:line="360" w:lineRule="auto"/>
        <w:ind w:left="0" w:leftChars="0" w:firstLine="482" w:firstLineChars="200"/>
        <w:jc w:val="left"/>
        <w:rPr>
          <w:rFonts w:hint="eastAsia" w:ascii="宋体" w:hAnsi="宋体" w:cs="宋体"/>
          <w:b/>
          <w:bCs/>
          <w:sz w:val="24"/>
          <w:szCs w:val="24"/>
          <w:lang w:eastAsia="zh-CN"/>
        </w:rPr>
      </w:pPr>
      <w:r>
        <w:rPr>
          <w:rFonts w:hint="eastAsia" w:ascii="宋体" w:hAnsi="宋体" w:cs="宋体"/>
          <w:b/>
          <w:bCs/>
          <w:sz w:val="24"/>
          <w:szCs w:val="24"/>
        </w:rPr>
        <w:t>供应商可在磋商当天将保证金退还账户信息确认表与磋商保证金汇款凭证复印件加盖公章一并交给工作人员，当天未提交保证金退还账户信息确认表与磋商保证金汇款凭证复印件加盖公章的供应商，在磋商后自行找财务办理保证金退还手续</w:t>
      </w:r>
      <w:r>
        <w:rPr>
          <w:rFonts w:hint="eastAsia" w:ascii="宋体" w:hAnsi="宋体" w:cs="宋体"/>
          <w:b/>
          <w:bCs/>
          <w:sz w:val="24"/>
          <w:szCs w:val="24"/>
          <w:lang w:eastAsia="zh-CN"/>
        </w:rPr>
        <w:t>。</w:t>
      </w:r>
    </w:p>
    <w:p>
      <w:pPr>
        <w:rPr>
          <w:rFonts w:hint="eastAsia" w:ascii="宋体" w:hAnsi="宋体" w:cs="宋体"/>
          <w:b/>
          <w:bCs/>
          <w:sz w:val="24"/>
          <w:szCs w:val="24"/>
          <w:lang w:eastAsia="zh-CN"/>
        </w:rPr>
      </w:pPr>
      <w:r>
        <w:rPr>
          <w:rFonts w:hint="eastAsia" w:ascii="宋体" w:hAnsi="宋体" w:cs="宋体"/>
          <w:b/>
          <w:bCs/>
          <w:sz w:val="24"/>
          <w:szCs w:val="24"/>
          <w:lang w:eastAsia="zh-CN"/>
        </w:rPr>
        <w:br w:type="page"/>
      </w:r>
    </w:p>
    <w:p>
      <w:pPr>
        <w:jc w:val="left"/>
        <w:rPr>
          <w:rFonts w:ascii="宋体" w:hAnsi="宋体" w:cs="宋体"/>
          <w:sz w:val="72"/>
          <w:szCs w:val="72"/>
        </w:rPr>
      </w:pPr>
      <w:r>
        <w:rPr>
          <w:rFonts w:hint="eastAsia" w:ascii="宋体" w:hAnsi="宋体" w:cs="宋体"/>
          <w:b/>
          <w:spacing w:val="48"/>
          <w:sz w:val="72"/>
          <w:szCs w:val="72"/>
        </w:rPr>
        <w:t>公平</w:t>
      </w:r>
    </w:p>
    <w:p>
      <w:pPr>
        <w:tabs>
          <w:tab w:val="left" w:pos="3810"/>
        </w:tabs>
        <w:jc w:val="left"/>
        <w:rPr>
          <w:rFonts w:ascii="宋体" w:hAnsi="宋体" w:cs="宋体"/>
          <w:sz w:val="72"/>
          <w:szCs w:val="72"/>
        </w:rPr>
      </w:pPr>
    </w:p>
    <w:p>
      <w:pPr>
        <w:jc w:val="left"/>
        <w:rPr>
          <w:rFonts w:ascii="宋体" w:hAnsi="宋体" w:cs="宋体"/>
          <w:sz w:val="72"/>
          <w:szCs w:val="72"/>
        </w:rPr>
      </w:pPr>
    </w:p>
    <w:p>
      <w:pPr>
        <w:jc w:val="left"/>
        <w:rPr>
          <w:rFonts w:ascii="宋体" w:hAnsi="宋体" w:cs="宋体"/>
          <w:sz w:val="72"/>
          <w:szCs w:val="72"/>
        </w:rPr>
      </w:pPr>
    </w:p>
    <w:p>
      <w:pPr>
        <w:jc w:val="center"/>
        <w:rPr>
          <w:rFonts w:ascii="宋体" w:hAnsi="宋体" w:cs="宋体"/>
          <w:b/>
          <w:spacing w:val="48"/>
          <w:sz w:val="72"/>
          <w:szCs w:val="72"/>
        </w:rPr>
      </w:pPr>
    </w:p>
    <w:p>
      <w:pPr>
        <w:jc w:val="center"/>
        <w:rPr>
          <w:rFonts w:ascii="宋体" w:hAnsi="宋体" w:cs="宋体"/>
          <w:b/>
          <w:spacing w:val="48"/>
          <w:sz w:val="72"/>
          <w:szCs w:val="72"/>
        </w:rPr>
      </w:pPr>
      <w:r>
        <w:rPr>
          <w:rFonts w:hint="eastAsia" w:ascii="宋体" w:hAnsi="宋体" w:cs="宋体"/>
          <w:b/>
          <w:spacing w:val="48"/>
          <w:sz w:val="72"/>
          <w:szCs w:val="72"/>
        </w:rPr>
        <w:t>公正</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pPr>
    </w:p>
    <w:p>
      <w:pPr>
        <w:jc w:val="right"/>
        <w:rPr>
          <w:rFonts w:ascii="宋体" w:hAnsi="宋体" w:cs="宋体"/>
          <w:b/>
          <w:spacing w:val="48"/>
          <w:sz w:val="72"/>
          <w:szCs w:val="72"/>
        </w:rPr>
      </w:pPr>
    </w:p>
    <w:p>
      <w:pPr>
        <w:jc w:val="right"/>
        <w:rPr>
          <w:rFonts w:ascii="宋体" w:hAnsi="宋体" w:cs="宋体"/>
          <w:b/>
          <w:spacing w:val="48"/>
          <w:sz w:val="72"/>
          <w:szCs w:val="72"/>
        </w:rPr>
      </w:pPr>
      <w:r>
        <w:rPr>
          <w:rFonts w:hint="eastAsia" w:ascii="宋体" w:hAnsi="宋体" w:cs="宋体"/>
          <w:b/>
          <w:spacing w:val="48"/>
          <w:sz w:val="72"/>
          <w:szCs w:val="72"/>
        </w:rPr>
        <w:t>公开</w:t>
      </w:r>
    </w:p>
    <w:p>
      <w:pPr>
        <w:rPr>
          <w:rFonts w:hint="eastAsia" w:ascii="宋体" w:hAnsi="宋体" w:cs="宋体"/>
          <w:b/>
          <w:sz w:val="30"/>
          <w:szCs w:val="30"/>
        </w:rPr>
      </w:pPr>
      <w:bookmarkStart w:id="406" w:name="_Toc5337"/>
      <w:r>
        <w:rPr>
          <w:rFonts w:hint="eastAsia" w:ascii="宋体" w:hAnsi="宋体" w:cs="宋体"/>
          <w:b/>
          <w:sz w:val="30"/>
          <w:szCs w:val="30"/>
        </w:rPr>
        <w:t>企业名称：陕西万泽招标有限公司</w:t>
      </w:r>
      <w:bookmarkEnd w:id="406"/>
    </w:p>
    <w:p>
      <w:pPr>
        <w:rPr>
          <w:rFonts w:hint="eastAsia" w:ascii="宋体" w:hAnsi="宋体" w:cs="宋体"/>
          <w:b/>
          <w:sz w:val="30"/>
          <w:szCs w:val="30"/>
        </w:rPr>
      </w:pPr>
      <w:r>
        <w:rPr>
          <w:rFonts w:hint="eastAsia" w:ascii="宋体" w:hAnsi="宋体" w:cs="宋体"/>
          <w:b/>
          <w:sz w:val="30"/>
          <w:szCs w:val="30"/>
        </w:rPr>
        <w:t>地址：西安市西关正街英达大厦1507室</w:t>
      </w:r>
    </w:p>
    <w:p>
      <w:pPr>
        <w:rPr>
          <w:rFonts w:hint="eastAsia" w:ascii="宋体" w:hAnsi="宋体" w:cs="宋体"/>
          <w:b/>
          <w:sz w:val="30"/>
          <w:szCs w:val="30"/>
        </w:rPr>
      </w:pPr>
      <w:bookmarkStart w:id="407" w:name="_Toc23606"/>
      <w:r>
        <w:rPr>
          <w:rFonts w:hint="eastAsia" w:ascii="宋体" w:hAnsi="宋体" w:cs="宋体"/>
          <w:b/>
          <w:sz w:val="30"/>
          <w:szCs w:val="30"/>
        </w:rPr>
        <w:t>邮政编码：710082</w:t>
      </w:r>
      <w:bookmarkEnd w:id="407"/>
    </w:p>
    <w:p>
      <w:pPr>
        <w:rPr>
          <w:rFonts w:hint="eastAsia" w:ascii="宋体" w:hAnsi="宋体" w:cs="宋体"/>
          <w:b/>
          <w:sz w:val="30"/>
          <w:szCs w:val="30"/>
        </w:rPr>
      </w:pPr>
      <w:r>
        <w:rPr>
          <w:rFonts w:hint="eastAsia" w:ascii="宋体" w:hAnsi="宋体" w:cs="宋体"/>
          <w:b/>
          <w:sz w:val="30"/>
          <w:szCs w:val="30"/>
        </w:rPr>
        <w:t>电话：029-88319689</w:t>
      </w:r>
    </w:p>
    <w:p>
      <w:pPr>
        <w:rPr>
          <w:rFonts w:hint="eastAsia" w:ascii="宋体" w:hAnsi="宋体" w:cs="宋体"/>
          <w:b/>
          <w:sz w:val="30"/>
          <w:szCs w:val="30"/>
          <w:lang w:val="en-US" w:eastAsia="zh-CN"/>
        </w:rPr>
      </w:pPr>
      <w:r>
        <w:rPr>
          <w:rFonts w:hint="eastAsia" w:ascii="宋体" w:hAnsi="宋体" w:cs="宋体"/>
          <w:b/>
          <w:sz w:val="30"/>
          <w:szCs w:val="30"/>
        </w:rPr>
        <w:t>传真：029-8831968</w:t>
      </w:r>
      <w:r>
        <w:rPr>
          <w:rFonts w:hint="eastAsia" w:ascii="宋体" w:hAnsi="宋体" w:cs="宋体"/>
          <w:b/>
          <w:sz w:val="30"/>
          <w:szCs w:val="30"/>
          <w:lang w:val="en-US" w:eastAsia="zh-CN"/>
        </w:rPr>
        <w:t>9</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r>
      <w:rPr>
        <w:rFonts w:hint="eastAsia"/>
        <w:lang w:eastAsia="zh-CN"/>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eastAsia="zh-CN"/>
      </w:rPr>
    </w:pPr>
    <w:r>
      <w:rPr>
        <w:rFonts w:hint="eastAsia"/>
        <w:lang w:eastAsia="zh-CN"/>
      </w:rPr>
      <w:t>西安医学院教学质量监测与评估系统建设采购项目</w:t>
    </w:r>
    <w:r>
      <w:rPr>
        <w:rFonts w:hint="eastAsia"/>
      </w:rPr>
      <w:t xml:space="preserve">                           </w:t>
    </w:r>
    <w:r>
      <w:rPr>
        <w:rFonts w:hint="eastAsia"/>
        <w:lang w:val="en-US" w:eastAsia="zh-CN"/>
      </w:rPr>
      <w:t xml:space="preserve"> </w:t>
    </w:r>
    <w:r>
      <w:rPr>
        <w:rFonts w:hint="eastAsia"/>
      </w:rPr>
      <w:t xml:space="preserve"> </w:t>
    </w:r>
    <w:r>
      <w:rPr>
        <w:rFonts w:hint="eastAsia"/>
        <w:lang w:eastAsia="zh-CN"/>
      </w:rPr>
      <w:t>SXWZ2023ZB-YXY-262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B32D4"/>
    <w:multiLevelType w:val="singleLevel"/>
    <w:tmpl w:val="87CB32D4"/>
    <w:lvl w:ilvl="0" w:tentative="0">
      <w:start w:val="1"/>
      <w:numFmt w:val="decimal"/>
      <w:suff w:val="nothing"/>
      <w:lvlText w:val="%1、"/>
      <w:lvlJc w:val="left"/>
    </w:lvl>
  </w:abstractNum>
  <w:abstractNum w:abstractNumId="1">
    <w:nsid w:val="8F9385DF"/>
    <w:multiLevelType w:val="singleLevel"/>
    <w:tmpl w:val="8F9385DF"/>
    <w:lvl w:ilvl="0" w:tentative="0">
      <w:start w:val="1"/>
      <w:numFmt w:val="decimal"/>
      <w:suff w:val="nothing"/>
      <w:lvlText w:val="%1、"/>
      <w:lvlJc w:val="left"/>
      <w:pPr>
        <w:ind w:left="0" w:firstLine="420"/>
      </w:pPr>
      <w:rPr>
        <w:rFonts w:hint="default"/>
      </w:rPr>
    </w:lvl>
  </w:abstractNum>
  <w:abstractNum w:abstractNumId="2">
    <w:nsid w:val="CC4E9414"/>
    <w:multiLevelType w:val="singleLevel"/>
    <w:tmpl w:val="CC4E9414"/>
    <w:lvl w:ilvl="0" w:tentative="0">
      <w:start w:val="10"/>
      <w:numFmt w:val="chineseCounting"/>
      <w:suff w:val="space"/>
      <w:lvlText w:val="第%1章"/>
      <w:lvlJc w:val="left"/>
      <w:rPr>
        <w:rFonts w:hint="eastAsia"/>
      </w:rPr>
    </w:lvl>
  </w:abstractNum>
  <w:abstractNum w:abstractNumId="3">
    <w:nsid w:val="0C59255D"/>
    <w:multiLevelType w:val="singleLevel"/>
    <w:tmpl w:val="0C59255D"/>
    <w:lvl w:ilvl="0" w:tentative="0">
      <w:start w:val="4"/>
      <w:numFmt w:val="chineseCounting"/>
      <w:suff w:val="space"/>
      <w:lvlText w:val="第%1部分"/>
      <w:lvlJc w:val="left"/>
      <w:rPr>
        <w:rFonts w:hint="eastAsia"/>
      </w:rPr>
    </w:lvl>
  </w:abstractNum>
  <w:abstractNum w:abstractNumId="4">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5">
    <w:nsid w:val="54CD0282"/>
    <w:multiLevelType w:val="multilevel"/>
    <w:tmpl w:val="54CD0282"/>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5530B97F"/>
    <w:multiLevelType w:val="singleLevel"/>
    <w:tmpl w:val="5530B97F"/>
    <w:lvl w:ilvl="0" w:tentative="0">
      <w:start w:val="1"/>
      <w:numFmt w:val="chineseCounting"/>
      <w:suff w:val="nothing"/>
      <w:lvlText w:val="%1、"/>
      <w:lvlJc w:val="left"/>
      <w:rPr>
        <w:rFonts w:cs="Times New Roman"/>
      </w:rPr>
    </w:lvl>
  </w:abstractNum>
  <w:abstractNum w:abstractNumId="7">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8">
    <w:nsid w:val="57E1C0EB"/>
    <w:multiLevelType w:val="singleLevel"/>
    <w:tmpl w:val="57E1C0EB"/>
    <w:lvl w:ilvl="0" w:tentative="0">
      <w:start w:val="4"/>
      <w:numFmt w:val="decimal"/>
      <w:suff w:val="nothing"/>
      <w:lvlText w:val="（%1）"/>
      <w:lvlJc w:val="left"/>
    </w:lvl>
  </w:abstractNum>
  <w:abstractNum w:abstractNumId="9">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10">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11">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12">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3">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4">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5">
    <w:nsid w:val="58BFC3B3"/>
    <w:multiLevelType w:val="singleLevel"/>
    <w:tmpl w:val="58BFC3B3"/>
    <w:lvl w:ilvl="0" w:tentative="0">
      <w:start w:val="1"/>
      <w:numFmt w:val="decimal"/>
      <w:suff w:val="nothing"/>
      <w:lvlText w:val="（%1）"/>
      <w:lvlJc w:val="left"/>
      <w:pPr>
        <w:ind w:firstLine="420"/>
      </w:pPr>
      <w:rPr>
        <w:rFonts w:hint="default" w:cs="Times New Roman"/>
      </w:rPr>
    </w:lvl>
  </w:abstractNum>
  <w:abstractNum w:abstractNumId="16">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17">
    <w:nsid w:val="58E5EC48"/>
    <w:multiLevelType w:val="singleLevel"/>
    <w:tmpl w:val="58E5EC48"/>
    <w:lvl w:ilvl="0" w:tentative="0">
      <w:start w:val="1"/>
      <w:numFmt w:val="decimal"/>
      <w:suff w:val="nothing"/>
      <w:lvlText w:val="（%1）"/>
      <w:lvlJc w:val="left"/>
    </w:lvl>
  </w:abstractNum>
  <w:abstractNum w:abstractNumId="18">
    <w:nsid w:val="59E578C5"/>
    <w:multiLevelType w:val="singleLevel"/>
    <w:tmpl w:val="59E578C5"/>
    <w:lvl w:ilvl="0" w:tentative="0">
      <w:start w:val="5"/>
      <w:numFmt w:val="chineseCounting"/>
      <w:suff w:val="nothing"/>
      <w:lvlText w:val="第%1部"/>
      <w:lvlJc w:val="left"/>
    </w:lvl>
  </w:abstractNum>
  <w:abstractNum w:abstractNumId="19">
    <w:nsid w:val="59F034A0"/>
    <w:multiLevelType w:val="singleLevel"/>
    <w:tmpl w:val="59F034A0"/>
    <w:lvl w:ilvl="0" w:tentative="0">
      <w:start w:val="1"/>
      <w:numFmt w:val="bullet"/>
      <w:lvlText w:val=""/>
      <w:lvlJc w:val="left"/>
      <w:pPr>
        <w:ind w:left="420" w:hanging="420"/>
      </w:pPr>
      <w:rPr>
        <w:rFonts w:hint="default" w:ascii="Wingdings" w:hAnsi="Wingdings"/>
      </w:rPr>
    </w:lvl>
  </w:abstractNum>
  <w:abstractNum w:abstractNumId="20">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21">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22">
    <w:nsid w:val="59F098B5"/>
    <w:multiLevelType w:val="singleLevel"/>
    <w:tmpl w:val="59F098B5"/>
    <w:lvl w:ilvl="0" w:tentative="0">
      <w:start w:val="1"/>
      <w:numFmt w:val="decimal"/>
      <w:suff w:val="nothing"/>
      <w:lvlText w:val="（%1）"/>
      <w:lvlJc w:val="left"/>
      <w:pPr>
        <w:ind w:left="0" w:firstLine="420"/>
      </w:pPr>
      <w:rPr>
        <w:rFonts w:hint="default"/>
      </w:rPr>
    </w:lvl>
  </w:abstractNum>
  <w:abstractNum w:abstractNumId="23">
    <w:nsid w:val="59F098CD"/>
    <w:multiLevelType w:val="singleLevel"/>
    <w:tmpl w:val="59F098CD"/>
    <w:lvl w:ilvl="0" w:tentative="0">
      <w:start w:val="1"/>
      <w:numFmt w:val="decimal"/>
      <w:suff w:val="nothing"/>
      <w:lvlText w:val="（%1）"/>
      <w:lvlJc w:val="left"/>
      <w:pPr>
        <w:ind w:left="0" w:firstLine="420"/>
      </w:pPr>
      <w:rPr>
        <w:rFonts w:hint="default"/>
      </w:rPr>
    </w:lvl>
  </w:abstractNum>
  <w:abstractNum w:abstractNumId="24">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25">
    <w:nsid w:val="59F09AA5"/>
    <w:multiLevelType w:val="singleLevel"/>
    <w:tmpl w:val="59F09AA5"/>
    <w:lvl w:ilvl="0" w:tentative="0">
      <w:start w:val="1"/>
      <w:numFmt w:val="decimal"/>
      <w:suff w:val="nothing"/>
      <w:lvlText w:val="（%1）"/>
      <w:lvlJc w:val="left"/>
      <w:pPr>
        <w:ind w:left="0" w:firstLine="420"/>
      </w:pPr>
      <w:rPr>
        <w:rFonts w:hint="default"/>
      </w:rPr>
    </w:lvl>
  </w:abstractNum>
  <w:num w:numId="1">
    <w:abstractNumId w:val="6"/>
  </w:num>
  <w:num w:numId="2">
    <w:abstractNumId w:val="1"/>
  </w:num>
  <w:num w:numId="3">
    <w:abstractNumId w:val="9"/>
  </w:num>
  <w:num w:numId="4">
    <w:abstractNumId w:val="10"/>
  </w:num>
  <w:num w:numId="5">
    <w:abstractNumId w:val="7"/>
  </w:num>
  <w:num w:numId="6">
    <w:abstractNumId w:val="14"/>
  </w:num>
  <w:num w:numId="7">
    <w:abstractNumId w:val="16"/>
  </w:num>
  <w:num w:numId="8">
    <w:abstractNumId w:val="11"/>
  </w:num>
  <w:num w:numId="9">
    <w:abstractNumId w:val="15"/>
  </w:num>
  <w:num w:numId="10">
    <w:abstractNumId w:val="22"/>
  </w:num>
  <w:num w:numId="11">
    <w:abstractNumId w:val="23"/>
  </w:num>
  <w:num w:numId="12">
    <w:abstractNumId w:val="19"/>
  </w:num>
  <w:num w:numId="13">
    <w:abstractNumId w:val="24"/>
  </w:num>
  <w:num w:numId="14">
    <w:abstractNumId w:val="12"/>
  </w:num>
  <w:num w:numId="15">
    <w:abstractNumId w:val="13"/>
  </w:num>
  <w:num w:numId="16">
    <w:abstractNumId w:val="20"/>
  </w:num>
  <w:num w:numId="17">
    <w:abstractNumId w:val="21"/>
  </w:num>
  <w:num w:numId="18">
    <w:abstractNumId w:val="25"/>
  </w:num>
  <w:num w:numId="19">
    <w:abstractNumId w:val="3"/>
  </w:num>
  <w:num w:numId="20">
    <w:abstractNumId w:val="5"/>
  </w:num>
  <w:num w:numId="21">
    <w:abstractNumId w:val="18"/>
  </w:num>
  <w:num w:numId="22">
    <w:abstractNumId w:val="8"/>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DM4Y2ZjYzg2MWM5ZWM0ZjQ4YjhmNjIyODc3Y2QifQ=="/>
  </w:docVars>
  <w:rsids>
    <w:rsidRoot w:val="538654D5"/>
    <w:rsid w:val="01BF4709"/>
    <w:rsid w:val="0FA82B09"/>
    <w:rsid w:val="0FE91A0F"/>
    <w:rsid w:val="147021F2"/>
    <w:rsid w:val="18431710"/>
    <w:rsid w:val="1C2362A8"/>
    <w:rsid w:val="1CD0502F"/>
    <w:rsid w:val="1F1218BB"/>
    <w:rsid w:val="24246677"/>
    <w:rsid w:val="263A09B5"/>
    <w:rsid w:val="272D4ADB"/>
    <w:rsid w:val="27427158"/>
    <w:rsid w:val="27E73A33"/>
    <w:rsid w:val="287B4C37"/>
    <w:rsid w:val="297A6E6C"/>
    <w:rsid w:val="2B7D59D5"/>
    <w:rsid w:val="2BB85B4A"/>
    <w:rsid w:val="36A144CF"/>
    <w:rsid w:val="36C4095C"/>
    <w:rsid w:val="376130ED"/>
    <w:rsid w:val="38865473"/>
    <w:rsid w:val="3AE20B0D"/>
    <w:rsid w:val="3CD218F9"/>
    <w:rsid w:val="3E0A245D"/>
    <w:rsid w:val="412A6B59"/>
    <w:rsid w:val="41A87A0C"/>
    <w:rsid w:val="41FA2884"/>
    <w:rsid w:val="457315E0"/>
    <w:rsid w:val="49B4390E"/>
    <w:rsid w:val="4A9B1227"/>
    <w:rsid w:val="51F17874"/>
    <w:rsid w:val="52350508"/>
    <w:rsid w:val="538654D5"/>
    <w:rsid w:val="545C3B2A"/>
    <w:rsid w:val="56CB5603"/>
    <w:rsid w:val="58050311"/>
    <w:rsid w:val="58F33F32"/>
    <w:rsid w:val="59F34F31"/>
    <w:rsid w:val="604D2EC1"/>
    <w:rsid w:val="66E23383"/>
    <w:rsid w:val="68EF0E30"/>
    <w:rsid w:val="6CE0736B"/>
    <w:rsid w:val="76236E91"/>
    <w:rsid w:val="7A47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4"/>
    <w:qFormat/>
    <w:uiPriority w:val="99"/>
    <w:pPr>
      <w:keepNext/>
      <w:keepLines/>
      <w:spacing w:line="576" w:lineRule="auto"/>
      <w:jc w:val="center"/>
      <w:outlineLvl w:val="0"/>
    </w:pPr>
    <w:rPr>
      <w:rFonts w:ascii="Times New Roman" w:hAnsi="Times New Roman"/>
      <w:b/>
      <w:kern w:val="44"/>
      <w:sz w:val="32"/>
    </w:rPr>
  </w:style>
  <w:style w:type="paragraph" w:styleId="5">
    <w:name w:val="heading 2"/>
    <w:basedOn w:val="1"/>
    <w:next w:val="1"/>
    <w:link w:val="22"/>
    <w:unhideWhenUsed/>
    <w:qFormat/>
    <w:uiPriority w:val="0"/>
    <w:pPr>
      <w:keepNext/>
      <w:keepLines/>
      <w:widowControl/>
      <w:adjustRightInd w:val="0"/>
      <w:snapToGrid w:val="0"/>
      <w:spacing w:before="20" w:after="20" w:line="415" w:lineRule="auto"/>
      <w:jc w:val="left"/>
      <w:outlineLvl w:val="1"/>
    </w:pPr>
    <w:rPr>
      <w:rFonts w:ascii="Cambria" w:hAnsi="Cambria" w:eastAsia="宋体"/>
      <w:b/>
      <w:bCs/>
      <w:kern w:val="0"/>
      <w:sz w:val="28"/>
      <w:szCs w:val="32"/>
    </w:rPr>
  </w:style>
  <w:style w:type="paragraph" w:styleId="6">
    <w:name w:val="heading 3"/>
    <w:basedOn w:val="1"/>
    <w:next w:val="1"/>
    <w:qFormat/>
    <w:uiPriority w:val="99"/>
    <w:pPr>
      <w:keepNext/>
      <w:keepLines/>
      <w:spacing w:line="413" w:lineRule="auto"/>
      <w:outlineLvl w:val="2"/>
    </w:pPr>
    <w:rPr>
      <w:b/>
      <w:sz w:val="28"/>
    </w:rPr>
  </w:style>
  <w:style w:type="paragraph" w:styleId="7">
    <w:name w:val="heading 4"/>
    <w:basedOn w:val="1"/>
    <w:next w:val="1"/>
    <w:unhideWhenUsed/>
    <w:qFormat/>
    <w:uiPriority w:val="0"/>
    <w:pPr>
      <w:keepNext/>
      <w:keepLines/>
      <w:jc w:val="left"/>
      <w:outlineLvl w:val="3"/>
    </w:pPr>
    <w:rPr>
      <w:rFonts w:hint="eastAsia" w:ascii="Arial" w:hAnsi="Arial"/>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Body Text First Indent"/>
    <w:basedOn w:val="2"/>
    <w:next w:val="1"/>
    <w:unhideWhenUsed/>
    <w:qFormat/>
    <w:uiPriority w:val="99"/>
    <w:pPr>
      <w:ind w:firstLine="420" w:firstLineChars="100"/>
    </w:pPr>
    <w:rPr>
      <w:rFonts w:ascii="Times New Roman" w:hAnsi="Times New Roman"/>
      <w:sz w:val="18"/>
      <w:szCs w:val="18"/>
    </w:rPr>
  </w:style>
  <w:style w:type="paragraph" w:styleId="8">
    <w:name w:val="Normal Indent"/>
    <w:basedOn w:val="1"/>
    <w:qFormat/>
    <w:uiPriority w:val="99"/>
    <w:pPr>
      <w:ind w:firstLine="420"/>
    </w:pPr>
    <w:rPr>
      <w:szCs w:val="20"/>
    </w:rPr>
  </w:style>
  <w:style w:type="paragraph" w:styleId="9">
    <w:name w:val="Body Text Indent"/>
    <w:basedOn w:val="1"/>
    <w:next w:val="1"/>
    <w:unhideWhenUsed/>
    <w:qFormat/>
    <w:uiPriority w:val="99"/>
    <w:pPr>
      <w:ind w:left="420" w:leftChars="200"/>
    </w:pPr>
  </w:style>
  <w:style w:type="paragraph" w:styleId="10">
    <w:name w:val="Plain Text"/>
    <w:basedOn w:val="1"/>
    <w:qFormat/>
    <w:uiPriority w:val="99"/>
    <w:pPr>
      <w:spacing w:line="324" w:lineRule="auto"/>
    </w:pPr>
    <w:rPr>
      <w:rFonts w:ascii="宋体" w:hAnsi="Courier New" w:cs="Courier New"/>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17">
    <w:name w:val="Body Text First Indent 2"/>
    <w:basedOn w:val="9"/>
    <w:next w:val="8"/>
    <w:qFormat/>
    <w:uiPriority w:val="0"/>
    <w:pPr>
      <w:ind w:firstLine="420"/>
    </w:p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qFormat/>
    <w:uiPriority w:val="0"/>
    <w:rPr>
      <w:sz w:val="21"/>
      <w:szCs w:val="21"/>
    </w:rPr>
  </w:style>
  <w:style w:type="character" w:customStyle="1" w:styleId="22">
    <w:name w:val="标题 2 Char"/>
    <w:link w:val="5"/>
    <w:qFormat/>
    <w:uiPriority w:val="9"/>
    <w:rPr>
      <w:rFonts w:ascii="Cambria" w:hAnsi="Cambria" w:eastAsia="宋体"/>
      <w:b/>
      <w:bCs/>
      <w:sz w:val="28"/>
      <w:szCs w:val="32"/>
    </w:rPr>
  </w:style>
  <w:style w:type="paragraph" w:styleId="23">
    <w:name w:val="List Paragraph"/>
    <w:basedOn w:val="1"/>
    <w:unhideWhenUsed/>
    <w:qFormat/>
    <w:uiPriority w:val="99"/>
    <w:pPr>
      <w:ind w:firstLine="420" w:firstLineChars="200"/>
    </w:pPr>
  </w:style>
  <w:style w:type="character" w:customStyle="1" w:styleId="24">
    <w:name w:val="标题 1 Char1"/>
    <w:basedOn w:val="20"/>
    <w:link w:val="4"/>
    <w:qFormat/>
    <w:locked/>
    <w:uiPriority w:val="99"/>
    <w:rPr>
      <w:rFonts w:ascii="Times New Roman" w:hAnsi="Times New Roman"/>
      <w:b/>
      <w:kern w:val="44"/>
      <w:sz w:val="32"/>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paragraph" w:customStyle="1" w:styleId="27">
    <w:name w:val="标准文本"/>
    <w:basedOn w:val="1"/>
    <w:qFormat/>
    <w:uiPriority w:val="0"/>
    <w:pPr>
      <w:spacing w:line="360" w:lineRule="auto"/>
      <w:ind w:firstLine="480" w:firstLineChars="200"/>
    </w:pPr>
    <w:rPr>
      <w:rFonts w:ascii="Times New Roman" w:hAnsi="Times New Roman" w:cs="宋体"/>
      <w:sz w:val="24"/>
      <w:szCs w:val="20"/>
    </w:rPr>
  </w:style>
  <w:style w:type="table" w:customStyle="1" w:styleId="28">
    <w:name w:val="网格型1"/>
    <w:basedOn w:val="1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43643</Words>
  <Characters>45054</Characters>
  <Lines>0</Lines>
  <Paragraphs>0</Paragraphs>
  <TotalTime>56</TotalTime>
  <ScaleCrop>false</ScaleCrop>
  <LinksUpToDate>false</LinksUpToDate>
  <CharactersWithSpaces>46964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2023-06-19T04:05:00Z</dcterms:created>
  <dc:creator>十五</dc:creator>
  <cp:lastModifiedBy>C</cp:lastModifiedBy>
  <cp:lastPrinted>2023-10-18T02:59:00Z</cp:lastPrinted>
  <dcterms:modified xsi:type="dcterms:W3CDTF">2023-11-03T01:24:50Z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C92B57C27F8A4D0AB1EF711AC3135F56_11</vt:lpwstr>
  </property>
</Properties>
</file>