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center"/>
        <w:rPr>
          <w:rFonts w:hint="eastAsia" w:ascii="宋体" w:hAnsi="宋体" w:eastAsia="宋体" w:cs="宋体"/>
          <w:b/>
          <w:bCs/>
          <w:i w:val="0"/>
          <w:iCs w:val="0"/>
          <w:caps w:val="0"/>
          <w:color w:val="333333"/>
          <w:spacing w:val="0"/>
          <w:sz w:val="39"/>
          <w:szCs w:val="39"/>
          <w:highlight w:val="none"/>
        </w:rPr>
      </w:pPr>
      <w:r>
        <w:rPr>
          <w:rFonts w:hint="eastAsia" w:ascii="宋体" w:hAnsi="宋体" w:eastAsia="宋体" w:cs="宋体"/>
          <w:b/>
          <w:bCs/>
          <w:i w:val="0"/>
          <w:iCs w:val="0"/>
          <w:caps w:val="0"/>
          <w:color w:val="333333"/>
          <w:spacing w:val="0"/>
          <w:sz w:val="39"/>
          <w:szCs w:val="39"/>
          <w:highlight w:val="none"/>
          <w:shd w:val="clear" w:fill="FFFFFF"/>
        </w:rPr>
        <w:t>第七章 拟签订合同文本</w:t>
      </w:r>
    </w:p>
    <w:p>
      <w:pPr>
        <w:pStyle w:val="4"/>
        <w:tabs>
          <w:tab w:val="center" w:pos="4140"/>
          <w:tab w:val="right" w:pos="8300"/>
          <w:tab w:val="clear" w:pos="4153"/>
          <w:tab w:val="clear" w:pos="8306"/>
        </w:tabs>
        <w:snapToGrid w:val="0"/>
        <w:spacing w:line="360" w:lineRule="auto"/>
        <w:ind w:firstLine="482" w:firstLineChars="200"/>
        <w:jc w:val="center"/>
        <w:rPr>
          <w:rFonts w:hint="eastAsia" w:ascii="宋体" w:hAnsi="宋体" w:eastAsia="宋体" w:cs="宋体"/>
          <w:b/>
          <w:bCs/>
          <w:sz w:val="24"/>
        </w:rPr>
      </w:pPr>
    </w:p>
    <w:p>
      <w:pPr>
        <w:pStyle w:val="4"/>
        <w:tabs>
          <w:tab w:val="center" w:pos="4140"/>
          <w:tab w:val="right" w:pos="8300"/>
          <w:tab w:val="clear" w:pos="4153"/>
          <w:tab w:val="clear" w:pos="8306"/>
        </w:tabs>
        <w:snapToGrid w:val="0"/>
        <w:spacing w:line="360" w:lineRule="auto"/>
        <w:ind w:firstLine="643" w:firstLineChars="200"/>
        <w:jc w:val="center"/>
        <w:rPr>
          <w:rFonts w:ascii="宋体" w:hAnsi="宋体" w:eastAsia="宋体" w:cs="宋体"/>
          <w:b/>
          <w:bCs/>
          <w:sz w:val="32"/>
          <w:szCs w:val="32"/>
        </w:rPr>
      </w:pPr>
      <w:r>
        <w:rPr>
          <w:rFonts w:hint="eastAsia" w:ascii="宋体" w:hAnsi="宋体" w:eastAsia="宋体" w:cs="宋体"/>
          <w:b/>
          <w:bCs/>
          <w:sz w:val="32"/>
          <w:szCs w:val="32"/>
        </w:rPr>
        <w:t>仪器设备购置合同</w:t>
      </w:r>
    </w:p>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1. 合同内容</w:t>
      </w:r>
    </w:p>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在甲方组织的关于</w:t>
      </w:r>
      <w:r>
        <w:rPr>
          <w:rFonts w:hint="eastAsia" w:ascii="宋体" w:hAnsi="宋体" w:eastAsia="宋体" w:cs="宋体"/>
          <w:sz w:val="24"/>
          <w:u w:val="single"/>
        </w:rPr>
        <w:t xml:space="preserve">             </w:t>
      </w:r>
      <w:r>
        <w:rPr>
          <w:rFonts w:hint="eastAsia" w:ascii="宋体" w:hAnsi="宋体" w:eastAsia="宋体" w:cs="宋体"/>
          <w:sz w:val="24"/>
        </w:rPr>
        <w:t>采购招投标活动中，经评标确定乙方为供货单位。乙方按本合同中确定的设备名称、型号与规格、产地、数量及配套内容进行供货，详细配置见《仪器设备购置清单》；乙方按时将货物运送到甲方指定的地点，负责到货设备的安装与调试，达到正常使用；乙方负责为甲方培训操作、维护人员，质保期内负责指导仪器设备的操作使用和保养维修，</w:t>
      </w:r>
      <w:bookmarkStart w:id="13" w:name="_GoBack"/>
      <w:bookmarkEnd w:id="13"/>
      <w:r>
        <w:rPr>
          <w:rFonts w:hint="eastAsia" w:ascii="宋体" w:hAnsi="宋体" w:eastAsia="宋体" w:cs="宋体"/>
          <w:sz w:val="24"/>
        </w:rPr>
        <w:t>做好售后服务工作。甲方在乙方完成合同明确规定的责任和义务后，按合同要求付给乙方相应的设备货款。</w:t>
      </w:r>
    </w:p>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1.1 仪器设备购置清单（币种：人民币）</w:t>
      </w:r>
    </w:p>
    <w:tbl>
      <w:tblPr>
        <w:tblStyle w:val="7"/>
        <w:tblW w:w="89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58"/>
        <w:gridCol w:w="1805"/>
        <w:gridCol w:w="1318"/>
        <w:gridCol w:w="1548"/>
        <w:gridCol w:w="985"/>
        <w:gridCol w:w="984"/>
        <w:gridCol w:w="978"/>
        <w:gridCol w:w="5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892" w:hRule="atLeast"/>
          <w:jc w:val="center"/>
        </w:trPr>
        <w:tc>
          <w:tcPr>
            <w:tcW w:w="758" w:type="dxa"/>
            <w:tcMar>
              <w:top w:w="20" w:type="dxa"/>
              <w:left w:w="20" w:type="dxa"/>
              <w:bottom w:w="0" w:type="dxa"/>
              <w:right w:w="20" w:type="dxa"/>
            </w:tcMar>
            <w:vAlign w:val="center"/>
          </w:tcPr>
          <w:p>
            <w:pPr>
              <w:adjustRightInd w:val="0"/>
              <w:snapToGrid w:val="0"/>
              <w:spacing w:line="360" w:lineRule="auto"/>
              <w:jc w:val="center"/>
              <w:rPr>
                <w:rFonts w:ascii="宋体" w:hAnsi="宋体" w:eastAsia="宋体" w:cs="宋体"/>
                <w:sz w:val="24"/>
              </w:rPr>
            </w:pPr>
            <w:r>
              <w:rPr>
                <w:rFonts w:hint="eastAsia" w:ascii="宋体" w:hAnsi="宋体" w:eastAsia="宋体" w:cs="宋体"/>
                <w:sz w:val="24"/>
              </w:rPr>
              <w:t>序号</w:t>
            </w:r>
          </w:p>
        </w:tc>
        <w:tc>
          <w:tcPr>
            <w:tcW w:w="1805" w:type="dxa"/>
            <w:tcMar>
              <w:top w:w="20" w:type="dxa"/>
              <w:left w:w="20" w:type="dxa"/>
              <w:bottom w:w="0" w:type="dxa"/>
              <w:right w:w="20" w:type="dxa"/>
            </w:tcMar>
            <w:vAlign w:val="center"/>
          </w:tcPr>
          <w:p>
            <w:pPr>
              <w:adjustRightInd w:val="0"/>
              <w:snapToGrid w:val="0"/>
              <w:spacing w:line="360" w:lineRule="auto"/>
              <w:jc w:val="center"/>
              <w:rPr>
                <w:rFonts w:ascii="宋体" w:hAnsi="宋体" w:eastAsia="宋体" w:cs="宋体"/>
                <w:sz w:val="24"/>
              </w:rPr>
            </w:pPr>
            <w:r>
              <w:rPr>
                <w:rFonts w:hint="eastAsia" w:ascii="宋体" w:hAnsi="宋体" w:eastAsia="宋体" w:cs="宋体"/>
                <w:sz w:val="24"/>
              </w:rPr>
              <w:t>设备名称</w:t>
            </w:r>
          </w:p>
        </w:tc>
        <w:tc>
          <w:tcPr>
            <w:tcW w:w="1318" w:type="dxa"/>
            <w:tcMar>
              <w:top w:w="20" w:type="dxa"/>
              <w:left w:w="20" w:type="dxa"/>
              <w:bottom w:w="0" w:type="dxa"/>
              <w:right w:w="20" w:type="dxa"/>
            </w:tcMar>
            <w:vAlign w:val="center"/>
          </w:tcPr>
          <w:p>
            <w:pPr>
              <w:adjustRightInd w:val="0"/>
              <w:snapToGrid w:val="0"/>
              <w:spacing w:line="360" w:lineRule="auto"/>
              <w:jc w:val="center"/>
              <w:rPr>
                <w:rFonts w:ascii="宋体" w:hAnsi="宋体" w:eastAsia="宋体" w:cs="宋体"/>
                <w:sz w:val="24"/>
              </w:rPr>
            </w:pPr>
            <w:r>
              <w:rPr>
                <w:rFonts w:hint="eastAsia" w:ascii="宋体" w:hAnsi="宋体" w:eastAsia="宋体" w:cs="宋体"/>
                <w:sz w:val="24"/>
              </w:rPr>
              <w:t>品牌、规格、型号</w:t>
            </w:r>
          </w:p>
        </w:tc>
        <w:tc>
          <w:tcPr>
            <w:tcW w:w="1548" w:type="dxa"/>
            <w:tcMar>
              <w:top w:w="20" w:type="dxa"/>
              <w:left w:w="20" w:type="dxa"/>
              <w:bottom w:w="0" w:type="dxa"/>
              <w:right w:w="20" w:type="dxa"/>
            </w:tcMar>
            <w:vAlign w:val="center"/>
          </w:tcPr>
          <w:p>
            <w:pPr>
              <w:adjustRightInd w:val="0"/>
              <w:snapToGrid w:val="0"/>
              <w:spacing w:line="360" w:lineRule="auto"/>
              <w:jc w:val="center"/>
              <w:rPr>
                <w:rFonts w:ascii="宋体" w:hAnsi="宋体" w:eastAsia="宋体" w:cs="宋体"/>
                <w:sz w:val="24"/>
              </w:rPr>
            </w:pPr>
            <w:r>
              <w:rPr>
                <w:rFonts w:hint="eastAsia" w:ascii="宋体" w:hAnsi="宋体" w:eastAsia="宋体" w:cs="宋体"/>
                <w:sz w:val="24"/>
              </w:rPr>
              <w:t>数量（台、套）</w:t>
            </w:r>
          </w:p>
        </w:tc>
        <w:tc>
          <w:tcPr>
            <w:tcW w:w="985" w:type="dxa"/>
            <w:tcMar>
              <w:top w:w="20" w:type="dxa"/>
              <w:left w:w="20" w:type="dxa"/>
              <w:bottom w:w="0" w:type="dxa"/>
              <w:right w:w="20" w:type="dxa"/>
            </w:tcMar>
            <w:vAlign w:val="center"/>
          </w:tcPr>
          <w:p>
            <w:pPr>
              <w:adjustRightInd w:val="0"/>
              <w:snapToGrid w:val="0"/>
              <w:spacing w:line="360" w:lineRule="auto"/>
              <w:jc w:val="center"/>
              <w:rPr>
                <w:rFonts w:ascii="宋体" w:hAnsi="宋体" w:eastAsia="宋体" w:cs="宋体"/>
                <w:sz w:val="24"/>
              </w:rPr>
            </w:pPr>
            <w:r>
              <w:rPr>
                <w:rFonts w:hint="eastAsia" w:ascii="宋体" w:hAnsi="宋体" w:eastAsia="宋体" w:cs="宋体"/>
                <w:sz w:val="24"/>
              </w:rPr>
              <w:t>单价</w:t>
            </w:r>
          </w:p>
          <w:p>
            <w:pPr>
              <w:adjustRightInd w:val="0"/>
              <w:snapToGrid w:val="0"/>
              <w:spacing w:line="360" w:lineRule="auto"/>
              <w:jc w:val="center"/>
              <w:rPr>
                <w:rFonts w:ascii="宋体" w:hAnsi="宋体" w:eastAsia="宋体" w:cs="宋体"/>
                <w:sz w:val="24"/>
              </w:rPr>
            </w:pPr>
            <w:r>
              <w:rPr>
                <w:rFonts w:hint="eastAsia" w:ascii="宋体" w:hAnsi="宋体" w:eastAsia="宋体" w:cs="宋体"/>
                <w:sz w:val="24"/>
              </w:rPr>
              <w:t>(万元)</w:t>
            </w:r>
          </w:p>
        </w:tc>
        <w:tc>
          <w:tcPr>
            <w:tcW w:w="984" w:type="dxa"/>
            <w:tcMar>
              <w:top w:w="20" w:type="dxa"/>
              <w:left w:w="20" w:type="dxa"/>
              <w:bottom w:w="0" w:type="dxa"/>
              <w:right w:w="20" w:type="dxa"/>
            </w:tcMar>
            <w:vAlign w:val="center"/>
          </w:tcPr>
          <w:p>
            <w:pPr>
              <w:adjustRightInd w:val="0"/>
              <w:snapToGrid w:val="0"/>
              <w:spacing w:line="360" w:lineRule="auto"/>
              <w:jc w:val="center"/>
              <w:rPr>
                <w:rFonts w:ascii="宋体" w:hAnsi="宋体" w:eastAsia="宋体" w:cs="宋体"/>
                <w:sz w:val="24"/>
              </w:rPr>
            </w:pPr>
            <w:r>
              <w:rPr>
                <w:rFonts w:hint="eastAsia" w:ascii="宋体" w:hAnsi="宋体" w:eastAsia="宋体" w:cs="宋体"/>
                <w:sz w:val="24"/>
              </w:rPr>
              <w:t>合计</w:t>
            </w:r>
          </w:p>
          <w:p>
            <w:pPr>
              <w:adjustRightInd w:val="0"/>
              <w:snapToGrid w:val="0"/>
              <w:spacing w:line="360" w:lineRule="auto"/>
              <w:jc w:val="center"/>
              <w:rPr>
                <w:rFonts w:ascii="宋体" w:hAnsi="宋体" w:eastAsia="宋体" w:cs="宋体"/>
                <w:sz w:val="24"/>
              </w:rPr>
            </w:pPr>
            <w:r>
              <w:rPr>
                <w:rFonts w:hint="eastAsia" w:ascii="宋体" w:hAnsi="宋体" w:eastAsia="宋体" w:cs="宋体"/>
                <w:sz w:val="24"/>
              </w:rPr>
              <w:t>（万元）</w:t>
            </w:r>
          </w:p>
        </w:tc>
        <w:tc>
          <w:tcPr>
            <w:tcW w:w="978" w:type="dxa"/>
            <w:vAlign w:val="center"/>
          </w:tcPr>
          <w:p>
            <w:pPr>
              <w:adjustRightInd w:val="0"/>
              <w:snapToGrid w:val="0"/>
              <w:spacing w:line="360" w:lineRule="auto"/>
              <w:jc w:val="center"/>
              <w:rPr>
                <w:rFonts w:ascii="宋体" w:hAnsi="宋体" w:eastAsia="宋体" w:cs="宋体"/>
                <w:sz w:val="24"/>
              </w:rPr>
            </w:pPr>
            <w:r>
              <w:rPr>
                <w:rFonts w:hint="eastAsia" w:ascii="宋体" w:hAnsi="宋体" w:eastAsia="宋体" w:cs="宋体"/>
                <w:sz w:val="24"/>
              </w:rPr>
              <w:t>生产商</w:t>
            </w:r>
          </w:p>
        </w:tc>
        <w:tc>
          <w:tcPr>
            <w:tcW w:w="580" w:type="dxa"/>
            <w:tcMar>
              <w:top w:w="20" w:type="dxa"/>
              <w:left w:w="20" w:type="dxa"/>
              <w:bottom w:w="0" w:type="dxa"/>
              <w:right w:w="20" w:type="dxa"/>
            </w:tcMar>
            <w:vAlign w:val="center"/>
          </w:tcPr>
          <w:p>
            <w:pPr>
              <w:adjustRightInd w:val="0"/>
              <w:snapToGrid w:val="0"/>
              <w:spacing w:line="360" w:lineRule="auto"/>
              <w:jc w:val="center"/>
              <w:rPr>
                <w:rFonts w:ascii="宋体" w:hAnsi="宋体" w:eastAsia="宋体" w:cs="宋体"/>
                <w:sz w:val="24"/>
              </w:rPr>
            </w:pPr>
            <w:r>
              <w:rPr>
                <w:rFonts w:hint="eastAsia" w:ascii="宋体" w:hAnsi="宋体" w:eastAsia="宋体" w:cs="宋体"/>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79" w:hRule="atLeast"/>
          <w:jc w:val="center"/>
        </w:trPr>
        <w:tc>
          <w:tcPr>
            <w:tcW w:w="758" w:type="dxa"/>
            <w:tcMar>
              <w:top w:w="20" w:type="dxa"/>
              <w:left w:w="20" w:type="dxa"/>
              <w:bottom w:w="0" w:type="dxa"/>
              <w:right w:w="20" w:type="dxa"/>
            </w:tcMar>
            <w:vAlign w:val="center"/>
          </w:tcPr>
          <w:p>
            <w:pPr>
              <w:adjustRightInd w:val="0"/>
              <w:snapToGrid w:val="0"/>
              <w:spacing w:line="360" w:lineRule="auto"/>
              <w:jc w:val="center"/>
              <w:rPr>
                <w:rFonts w:ascii="宋体" w:hAnsi="宋体" w:eastAsia="宋体" w:cs="宋体"/>
                <w:sz w:val="24"/>
              </w:rPr>
            </w:pPr>
            <w:r>
              <w:rPr>
                <w:rFonts w:hint="eastAsia" w:ascii="宋体" w:hAnsi="宋体" w:eastAsia="宋体" w:cs="宋体"/>
                <w:sz w:val="24"/>
              </w:rPr>
              <w:t>1</w:t>
            </w:r>
          </w:p>
        </w:tc>
        <w:tc>
          <w:tcPr>
            <w:tcW w:w="1805" w:type="dxa"/>
            <w:tcMar>
              <w:top w:w="20" w:type="dxa"/>
              <w:left w:w="20" w:type="dxa"/>
              <w:bottom w:w="0" w:type="dxa"/>
              <w:right w:w="20" w:type="dxa"/>
            </w:tcMar>
            <w:vAlign w:val="center"/>
          </w:tcPr>
          <w:p>
            <w:pPr>
              <w:adjustRightInd w:val="0"/>
              <w:snapToGrid w:val="0"/>
              <w:spacing w:line="360" w:lineRule="auto"/>
              <w:jc w:val="center"/>
              <w:rPr>
                <w:rFonts w:ascii="宋体" w:hAnsi="宋体" w:eastAsia="宋体" w:cs="宋体"/>
                <w:sz w:val="24"/>
              </w:rPr>
            </w:pPr>
          </w:p>
        </w:tc>
        <w:tc>
          <w:tcPr>
            <w:tcW w:w="1318" w:type="dxa"/>
            <w:tcMar>
              <w:top w:w="20" w:type="dxa"/>
              <w:left w:w="20" w:type="dxa"/>
              <w:bottom w:w="0" w:type="dxa"/>
              <w:right w:w="20" w:type="dxa"/>
            </w:tcMar>
            <w:vAlign w:val="center"/>
          </w:tcPr>
          <w:p>
            <w:pPr>
              <w:adjustRightInd w:val="0"/>
              <w:snapToGrid w:val="0"/>
              <w:spacing w:line="360" w:lineRule="auto"/>
              <w:jc w:val="center"/>
              <w:rPr>
                <w:rFonts w:ascii="宋体" w:hAnsi="宋体" w:eastAsia="宋体" w:cs="宋体"/>
                <w:sz w:val="24"/>
              </w:rPr>
            </w:pPr>
          </w:p>
        </w:tc>
        <w:tc>
          <w:tcPr>
            <w:tcW w:w="1548" w:type="dxa"/>
            <w:tcMar>
              <w:top w:w="20" w:type="dxa"/>
              <w:left w:w="20" w:type="dxa"/>
              <w:bottom w:w="0" w:type="dxa"/>
              <w:right w:w="20" w:type="dxa"/>
            </w:tcMar>
            <w:vAlign w:val="center"/>
          </w:tcPr>
          <w:p>
            <w:pPr>
              <w:adjustRightInd w:val="0"/>
              <w:snapToGrid w:val="0"/>
              <w:spacing w:line="360" w:lineRule="auto"/>
              <w:jc w:val="center"/>
              <w:rPr>
                <w:rFonts w:ascii="宋体" w:hAnsi="宋体" w:eastAsia="宋体" w:cs="宋体"/>
                <w:sz w:val="24"/>
              </w:rPr>
            </w:pPr>
          </w:p>
        </w:tc>
        <w:tc>
          <w:tcPr>
            <w:tcW w:w="985" w:type="dxa"/>
            <w:tcMar>
              <w:top w:w="20" w:type="dxa"/>
              <w:left w:w="20" w:type="dxa"/>
              <w:bottom w:w="0" w:type="dxa"/>
              <w:right w:w="20" w:type="dxa"/>
            </w:tcMar>
            <w:vAlign w:val="center"/>
          </w:tcPr>
          <w:p>
            <w:pPr>
              <w:adjustRightInd w:val="0"/>
              <w:snapToGrid w:val="0"/>
              <w:spacing w:line="360" w:lineRule="auto"/>
              <w:jc w:val="center"/>
              <w:rPr>
                <w:rFonts w:ascii="宋体" w:hAnsi="宋体" w:eastAsia="宋体" w:cs="宋体"/>
                <w:sz w:val="24"/>
              </w:rPr>
            </w:pPr>
          </w:p>
        </w:tc>
        <w:tc>
          <w:tcPr>
            <w:tcW w:w="984" w:type="dxa"/>
            <w:tcMar>
              <w:top w:w="20" w:type="dxa"/>
              <w:left w:w="20" w:type="dxa"/>
              <w:bottom w:w="0" w:type="dxa"/>
              <w:right w:w="20" w:type="dxa"/>
            </w:tcMar>
            <w:vAlign w:val="center"/>
          </w:tcPr>
          <w:p>
            <w:pPr>
              <w:adjustRightInd w:val="0"/>
              <w:snapToGrid w:val="0"/>
              <w:spacing w:line="360" w:lineRule="auto"/>
              <w:jc w:val="center"/>
              <w:rPr>
                <w:rFonts w:ascii="宋体" w:hAnsi="宋体" w:eastAsia="宋体" w:cs="宋体"/>
                <w:sz w:val="24"/>
              </w:rPr>
            </w:pPr>
          </w:p>
        </w:tc>
        <w:tc>
          <w:tcPr>
            <w:tcW w:w="978" w:type="dxa"/>
            <w:vAlign w:val="center"/>
          </w:tcPr>
          <w:p>
            <w:pPr>
              <w:adjustRightInd w:val="0"/>
              <w:snapToGrid w:val="0"/>
              <w:spacing w:line="360" w:lineRule="auto"/>
              <w:jc w:val="center"/>
              <w:rPr>
                <w:rFonts w:ascii="宋体" w:hAnsi="宋体" w:eastAsia="宋体" w:cs="宋体"/>
                <w:sz w:val="24"/>
              </w:rPr>
            </w:pPr>
          </w:p>
        </w:tc>
        <w:tc>
          <w:tcPr>
            <w:tcW w:w="580" w:type="dxa"/>
            <w:tcMar>
              <w:top w:w="20" w:type="dxa"/>
              <w:left w:w="20" w:type="dxa"/>
              <w:bottom w:w="0" w:type="dxa"/>
              <w:right w:w="20" w:type="dxa"/>
            </w:tcMar>
            <w:vAlign w:val="center"/>
          </w:tcPr>
          <w:p>
            <w:pPr>
              <w:adjustRightInd w:val="0"/>
              <w:snapToGrid w:val="0"/>
              <w:spacing w:line="360" w:lineRule="auto"/>
              <w:jc w:val="center"/>
              <w:rPr>
                <w:rFonts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7" w:hRule="atLeast"/>
          <w:jc w:val="center"/>
        </w:trPr>
        <w:tc>
          <w:tcPr>
            <w:tcW w:w="758" w:type="dxa"/>
            <w:tcMar>
              <w:top w:w="20" w:type="dxa"/>
              <w:left w:w="20" w:type="dxa"/>
              <w:bottom w:w="0" w:type="dxa"/>
              <w:right w:w="20" w:type="dxa"/>
            </w:tcMar>
            <w:vAlign w:val="center"/>
          </w:tcPr>
          <w:p>
            <w:pPr>
              <w:adjustRightInd w:val="0"/>
              <w:snapToGrid w:val="0"/>
              <w:spacing w:line="360" w:lineRule="auto"/>
              <w:jc w:val="center"/>
              <w:rPr>
                <w:rFonts w:ascii="宋体" w:hAnsi="宋体" w:eastAsia="宋体" w:cs="宋体"/>
                <w:sz w:val="24"/>
              </w:rPr>
            </w:pPr>
            <w:r>
              <w:rPr>
                <w:rFonts w:hint="eastAsia" w:ascii="宋体" w:hAnsi="宋体" w:eastAsia="宋体" w:cs="宋体"/>
                <w:sz w:val="24"/>
              </w:rPr>
              <w:t>2</w:t>
            </w:r>
          </w:p>
        </w:tc>
        <w:tc>
          <w:tcPr>
            <w:tcW w:w="1805" w:type="dxa"/>
            <w:tcMar>
              <w:top w:w="20" w:type="dxa"/>
              <w:left w:w="20" w:type="dxa"/>
              <w:bottom w:w="0" w:type="dxa"/>
              <w:right w:w="20" w:type="dxa"/>
            </w:tcMar>
            <w:vAlign w:val="center"/>
          </w:tcPr>
          <w:p>
            <w:pPr>
              <w:adjustRightInd w:val="0"/>
              <w:snapToGrid w:val="0"/>
              <w:spacing w:line="360" w:lineRule="auto"/>
              <w:jc w:val="center"/>
              <w:rPr>
                <w:rFonts w:ascii="宋体" w:hAnsi="宋体" w:eastAsia="宋体" w:cs="宋体"/>
                <w:sz w:val="24"/>
              </w:rPr>
            </w:pPr>
          </w:p>
        </w:tc>
        <w:tc>
          <w:tcPr>
            <w:tcW w:w="1318" w:type="dxa"/>
            <w:tcMar>
              <w:top w:w="20" w:type="dxa"/>
              <w:left w:w="20" w:type="dxa"/>
              <w:bottom w:w="0" w:type="dxa"/>
              <w:right w:w="20" w:type="dxa"/>
            </w:tcMar>
            <w:vAlign w:val="center"/>
          </w:tcPr>
          <w:p>
            <w:pPr>
              <w:adjustRightInd w:val="0"/>
              <w:snapToGrid w:val="0"/>
              <w:spacing w:line="360" w:lineRule="auto"/>
              <w:jc w:val="center"/>
              <w:rPr>
                <w:rFonts w:ascii="宋体" w:hAnsi="宋体" w:eastAsia="宋体" w:cs="宋体"/>
                <w:sz w:val="24"/>
              </w:rPr>
            </w:pPr>
          </w:p>
        </w:tc>
        <w:tc>
          <w:tcPr>
            <w:tcW w:w="1548" w:type="dxa"/>
            <w:tcMar>
              <w:top w:w="20" w:type="dxa"/>
              <w:left w:w="20" w:type="dxa"/>
              <w:bottom w:w="0" w:type="dxa"/>
              <w:right w:w="20" w:type="dxa"/>
            </w:tcMar>
            <w:vAlign w:val="center"/>
          </w:tcPr>
          <w:p>
            <w:pPr>
              <w:adjustRightInd w:val="0"/>
              <w:snapToGrid w:val="0"/>
              <w:spacing w:line="360" w:lineRule="auto"/>
              <w:jc w:val="center"/>
              <w:rPr>
                <w:rFonts w:ascii="宋体" w:hAnsi="宋体" w:eastAsia="宋体" w:cs="宋体"/>
                <w:sz w:val="24"/>
              </w:rPr>
            </w:pPr>
          </w:p>
        </w:tc>
        <w:tc>
          <w:tcPr>
            <w:tcW w:w="985" w:type="dxa"/>
            <w:tcMar>
              <w:top w:w="20" w:type="dxa"/>
              <w:left w:w="20" w:type="dxa"/>
              <w:bottom w:w="0" w:type="dxa"/>
              <w:right w:w="20" w:type="dxa"/>
            </w:tcMar>
            <w:vAlign w:val="center"/>
          </w:tcPr>
          <w:p>
            <w:pPr>
              <w:adjustRightInd w:val="0"/>
              <w:snapToGrid w:val="0"/>
              <w:spacing w:line="360" w:lineRule="auto"/>
              <w:jc w:val="center"/>
              <w:rPr>
                <w:rFonts w:ascii="宋体" w:hAnsi="宋体" w:eastAsia="宋体" w:cs="宋体"/>
                <w:sz w:val="24"/>
              </w:rPr>
            </w:pPr>
          </w:p>
        </w:tc>
        <w:tc>
          <w:tcPr>
            <w:tcW w:w="984" w:type="dxa"/>
            <w:tcMar>
              <w:top w:w="20" w:type="dxa"/>
              <w:left w:w="20" w:type="dxa"/>
              <w:bottom w:w="0" w:type="dxa"/>
              <w:right w:w="20" w:type="dxa"/>
            </w:tcMar>
            <w:vAlign w:val="center"/>
          </w:tcPr>
          <w:p>
            <w:pPr>
              <w:adjustRightInd w:val="0"/>
              <w:snapToGrid w:val="0"/>
              <w:spacing w:line="360" w:lineRule="auto"/>
              <w:jc w:val="center"/>
              <w:rPr>
                <w:rFonts w:ascii="宋体" w:hAnsi="宋体" w:eastAsia="宋体" w:cs="宋体"/>
                <w:sz w:val="24"/>
              </w:rPr>
            </w:pPr>
          </w:p>
        </w:tc>
        <w:tc>
          <w:tcPr>
            <w:tcW w:w="978" w:type="dxa"/>
            <w:vAlign w:val="center"/>
          </w:tcPr>
          <w:p>
            <w:pPr>
              <w:adjustRightInd w:val="0"/>
              <w:snapToGrid w:val="0"/>
              <w:spacing w:line="360" w:lineRule="auto"/>
              <w:jc w:val="center"/>
              <w:rPr>
                <w:rFonts w:ascii="宋体" w:hAnsi="宋体" w:eastAsia="宋体" w:cs="宋体"/>
                <w:sz w:val="24"/>
              </w:rPr>
            </w:pPr>
          </w:p>
        </w:tc>
        <w:tc>
          <w:tcPr>
            <w:tcW w:w="580" w:type="dxa"/>
            <w:tcMar>
              <w:top w:w="20" w:type="dxa"/>
              <w:left w:w="20" w:type="dxa"/>
              <w:bottom w:w="0" w:type="dxa"/>
              <w:right w:w="20" w:type="dxa"/>
            </w:tcMar>
            <w:vAlign w:val="center"/>
          </w:tcPr>
          <w:p>
            <w:pPr>
              <w:adjustRightInd w:val="0"/>
              <w:snapToGrid w:val="0"/>
              <w:spacing w:line="360" w:lineRule="auto"/>
              <w:jc w:val="center"/>
              <w:rPr>
                <w:rFonts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51" w:hRule="atLeast"/>
          <w:jc w:val="center"/>
        </w:trPr>
        <w:tc>
          <w:tcPr>
            <w:tcW w:w="758" w:type="dxa"/>
            <w:tcMar>
              <w:top w:w="20" w:type="dxa"/>
              <w:left w:w="20" w:type="dxa"/>
              <w:bottom w:w="0" w:type="dxa"/>
              <w:right w:w="20" w:type="dxa"/>
            </w:tcMar>
            <w:vAlign w:val="center"/>
          </w:tcPr>
          <w:p>
            <w:pPr>
              <w:adjustRightInd w:val="0"/>
              <w:snapToGrid w:val="0"/>
              <w:spacing w:line="360" w:lineRule="auto"/>
              <w:jc w:val="center"/>
              <w:rPr>
                <w:rFonts w:ascii="宋体" w:hAnsi="宋体" w:eastAsia="宋体" w:cs="宋体"/>
                <w:sz w:val="24"/>
              </w:rPr>
            </w:pPr>
            <w:r>
              <w:rPr>
                <w:rFonts w:hint="eastAsia" w:ascii="宋体" w:hAnsi="宋体" w:eastAsia="宋体" w:cs="宋体"/>
                <w:sz w:val="24"/>
              </w:rPr>
              <w:t>3</w:t>
            </w:r>
          </w:p>
        </w:tc>
        <w:tc>
          <w:tcPr>
            <w:tcW w:w="1805" w:type="dxa"/>
            <w:tcMar>
              <w:top w:w="20" w:type="dxa"/>
              <w:left w:w="20" w:type="dxa"/>
              <w:bottom w:w="0" w:type="dxa"/>
              <w:right w:w="20" w:type="dxa"/>
            </w:tcMar>
            <w:vAlign w:val="center"/>
          </w:tcPr>
          <w:p>
            <w:pPr>
              <w:adjustRightInd w:val="0"/>
              <w:snapToGrid w:val="0"/>
              <w:spacing w:line="360" w:lineRule="auto"/>
              <w:jc w:val="center"/>
              <w:rPr>
                <w:rFonts w:ascii="宋体" w:hAnsi="宋体" w:eastAsia="宋体" w:cs="宋体"/>
                <w:sz w:val="24"/>
              </w:rPr>
            </w:pPr>
          </w:p>
        </w:tc>
        <w:tc>
          <w:tcPr>
            <w:tcW w:w="1318" w:type="dxa"/>
            <w:tcMar>
              <w:top w:w="20" w:type="dxa"/>
              <w:left w:w="20" w:type="dxa"/>
              <w:bottom w:w="0" w:type="dxa"/>
              <w:right w:w="20" w:type="dxa"/>
            </w:tcMar>
            <w:vAlign w:val="center"/>
          </w:tcPr>
          <w:p>
            <w:pPr>
              <w:adjustRightInd w:val="0"/>
              <w:snapToGrid w:val="0"/>
              <w:spacing w:line="360" w:lineRule="auto"/>
              <w:jc w:val="center"/>
              <w:rPr>
                <w:rFonts w:ascii="宋体" w:hAnsi="宋体" w:eastAsia="宋体" w:cs="宋体"/>
                <w:sz w:val="24"/>
              </w:rPr>
            </w:pPr>
          </w:p>
        </w:tc>
        <w:tc>
          <w:tcPr>
            <w:tcW w:w="1548" w:type="dxa"/>
            <w:tcMar>
              <w:top w:w="20" w:type="dxa"/>
              <w:left w:w="20" w:type="dxa"/>
              <w:bottom w:w="0" w:type="dxa"/>
              <w:right w:w="20" w:type="dxa"/>
            </w:tcMar>
            <w:vAlign w:val="center"/>
          </w:tcPr>
          <w:p>
            <w:pPr>
              <w:adjustRightInd w:val="0"/>
              <w:snapToGrid w:val="0"/>
              <w:spacing w:line="360" w:lineRule="auto"/>
              <w:jc w:val="center"/>
              <w:rPr>
                <w:rFonts w:ascii="宋体" w:hAnsi="宋体" w:eastAsia="宋体" w:cs="宋体"/>
                <w:sz w:val="24"/>
              </w:rPr>
            </w:pPr>
          </w:p>
        </w:tc>
        <w:tc>
          <w:tcPr>
            <w:tcW w:w="985" w:type="dxa"/>
            <w:tcMar>
              <w:top w:w="20" w:type="dxa"/>
              <w:left w:w="20" w:type="dxa"/>
              <w:bottom w:w="0" w:type="dxa"/>
              <w:right w:w="20" w:type="dxa"/>
            </w:tcMar>
            <w:vAlign w:val="center"/>
          </w:tcPr>
          <w:p>
            <w:pPr>
              <w:adjustRightInd w:val="0"/>
              <w:snapToGrid w:val="0"/>
              <w:spacing w:line="360" w:lineRule="auto"/>
              <w:jc w:val="center"/>
              <w:rPr>
                <w:rFonts w:ascii="宋体" w:hAnsi="宋体" w:eastAsia="宋体" w:cs="宋体"/>
                <w:sz w:val="24"/>
              </w:rPr>
            </w:pPr>
          </w:p>
        </w:tc>
        <w:tc>
          <w:tcPr>
            <w:tcW w:w="984" w:type="dxa"/>
            <w:tcMar>
              <w:top w:w="20" w:type="dxa"/>
              <w:left w:w="20" w:type="dxa"/>
              <w:bottom w:w="0" w:type="dxa"/>
              <w:right w:w="20" w:type="dxa"/>
            </w:tcMar>
            <w:vAlign w:val="center"/>
          </w:tcPr>
          <w:p>
            <w:pPr>
              <w:adjustRightInd w:val="0"/>
              <w:snapToGrid w:val="0"/>
              <w:spacing w:line="360" w:lineRule="auto"/>
              <w:jc w:val="center"/>
              <w:rPr>
                <w:rFonts w:ascii="宋体" w:hAnsi="宋体" w:eastAsia="宋体" w:cs="宋体"/>
                <w:sz w:val="24"/>
              </w:rPr>
            </w:pPr>
          </w:p>
        </w:tc>
        <w:tc>
          <w:tcPr>
            <w:tcW w:w="978" w:type="dxa"/>
            <w:vAlign w:val="center"/>
          </w:tcPr>
          <w:p>
            <w:pPr>
              <w:adjustRightInd w:val="0"/>
              <w:snapToGrid w:val="0"/>
              <w:spacing w:line="360" w:lineRule="auto"/>
              <w:jc w:val="center"/>
              <w:rPr>
                <w:rFonts w:ascii="宋体" w:hAnsi="宋体" w:eastAsia="宋体" w:cs="宋体"/>
                <w:sz w:val="24"/>
              </w:rPr>
            </w:pPr>
          </w:p>
        </w:tc>
        <w:tc>
          <w:tcPr>
            <w:tcW w:w="580" w:type="dxa"/>
            <w:tcMar>
              <w:top w:w="20" w:type="dxa"/>
              <w:left w:w="20" w:type="dxa"/>
              <w:bottom w:w="0" w:type="dxa"/>
              <w:right w:w="20" w:type="dxa"/>
            </w:tcMar>
            <w:vAlign w:val="center"/>
          </w:tcPr>
          <w:p>
            <w:pPr>
              <w:adjustRightInd w:val="0"/>
              <w:snapToGrid w:val="0"/>
              <w:spacing w:line="360" w:lineRule="auto"/>
              <w:jc w:val="center"/>
              <w:rPr>
                <w:rFonts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3881" w:type="dxa"/>
            <w:gridSpan w:val="3"/>
            <w:vMerge w:val="restart"/>
            <w:tcMar>
              <w:top w:w="20" w:type="dxa"/>
              <w:left w:w="20" w:type="dxa"/>
              <w:bottom w:w="0" w:type="dxa"/>
              <w:right w:w="20" w:type="dxa"/>
            </w:tcMar>
            <w:vAlign w:val="center"/>
          </w:tcPr>
          <w:p>
            <w:pPr>
              <w:adjustRightInd w:val="0"/>
              <w:snapToGrid w:val="0"/>
              <w:spacing w:line="360" w:lineRule="auto"/>
              <w:jc w:val="center"/>
              <w:rPr>
                <w:rFonts w:ascii="宋体" w:hAnsi="宋体" w:eastAsia="宋体" w:cs="宋体"/>
                <w:sz w:val="24"/>
              </w:rPr>
            </w:pPr>
            <w:r>
              <w:rPr>
                <w:rFonts w:hint="eastAsia" w:ascii="宋体" w:hAnsi="宋体" w:eastAsia="宋体" w:cs="宋体"/>
                <w:sz w:val="24"/>
              </w:rPr>
              <w:t>合计(元)</w:t>
            </w:r>
          </w:p>
        </w:tc>
        <w:tc>
          <w:tcPr>
            <w:tcW w:w="5075" w:type="dxa"/>
            <w:gridSpan w:val="5"/>
            <w:tcMar>
              <w:top w:w="20" w:type="dxa"/>
              <w:left w:w="20" w:type="dxa"/>
              <w:bottom w:w="0" w:type="dxa"/>
              <w:right w:w="20" w:type="dxa"/>
            </w:tcMar>
            <w:vAlign w:val="center"/>
          </w:tcPr>
          <w:p>
            <w:pPr>
              <w:adjustRightInd w:val="0"/>
              <w:snapToGrid w:val="0"/>
              <w:spacing w:line="360" w:lineRule="auto"/>
              <w:jc w:val="center"/>
              <w:rPr>
                <w:rFonts w:ascii="宋体" w:hAnsi="宋体" w:eastAsia="宋体" w:cs="宋体"/>
                <w:sz w:val="24"/>
              </w:rPr>
            </w:pPr>
            <w:r>
              <w:rPr>
                <w:rFonts w:hint="eastAsia" w:ascii="宋体" w:hAnsi="宋体" w:eastAsia="宋体" w:cs="宋体"/>
                <w:sz w:val="24"/>
              </w:rPr>
              <w:t>大写：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3881" w:type="dxa"/>
            <w:gridSpan w:val="3"/>
            <w:vMerge w:val="continue"/>
            <w:tcMar>
              <w:top w:w="20" w:type="dxa"/>
              <w:left w:w="20" w:type="dxa"/>
              <w:bottom w:w="0" w:type="dxa"/>
              <w:right w:w="20" w:type="dxa"/>
            </w:tcMar>
            <w:vAlign w:val="center"/>
          </w:tcPr>
          <w:p>
            <w:pPr>
              <w:adjustRightInd w:val="0"/>
              <w:snapToGrid w:val="0"/>
              <w:spacing w:line="360" w:lineRule="auto"/>
              <w:jc w:val="center"/>
              <w:rPr>
                <w:rFonts w:ascii="宋体" w:hAnsi="宋体" w:eastAsia="宋体" w:cs="宋体"/>
                <w:sz w:val="24"/>
              </w:rPr>
            </w:pPr>
          </w:p>
        </w:tc>
        <w:tc>
          <w:tcPr>
            <w:tcW w:w="5075" w:type="dxa"/>
            <w:gridSpan w:val="5"/>
            <w:tcMar>
              <w:top w:w="20" w:type="dxa"/>
              <w:left w:w="20" w:type="dxa"/>
              <w:bottom w:w="0" w:type="dxa"/>
              <w:right w:w="20" w:type="dxa"/>
            </w:tcMar>
            <w:vAlign w:val="center"/>
          </w:tcPr>
          <w:p>
            <w:pPr>
              <w:adjustRightInd w:val="0"/>
              <w:snapToGrid w:val="0"/>
              <w:spacing w:line="360" w:lineRule="auto"/>
              <w:jc w:val="center"/>
              <w:rPr>
                <w:rFonts w:ascii="宋体" w:hAnsi="宋体" w:eastAsia="宋体" w:cs="宋体"/>
                <w:sz w:val="24"/>
              </w:rPr>
            </w:pPr>
            <w:r>
              <w:rPr>
                <w:rFonts w:hint="eastAsia" w:ascii="宋体" w:hAnsi="宋体" w:eastAsia="宋体" w:cs="宋体"/>
                <w:sz w:val="24"/>
              </w:rPr>
              <w:t>小写：   元</w:t>
            </w:r>
          </w:p>
        </w:tc>
      </w:tr>
    </w:tbl>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1.2 合同总额是指设备到达西安建筑科技大学指定地点、完成验收后的价格，其中已包含货物费（含备品备件费）、包装费、运杂费（含搬运、装卸、保险费等）、工程费、材料费、全部税费、安装调试费等相关费用。</w:t>
      </w:r>
    </w:p>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1.3 合同总额为固定总价合同，不受市场价格的变化和影响，在合同不发生变更时作为付款结算的依据。</w:t>
      </w:r>
    </w:p>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1.4 设备的技术参数要求</w:t>
      </w:r>
    </w:p>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1.4.1本合同条款下提交货物的技术规格要求应等于或优于招投标文件技术规格要求（设备的技术参数和指标详见附件）。若技术规格要求中无相应规定，则应符合相应的国家有关部门最新颁布的相应正式标准。</w:t>
      </w:r>
    </w:p>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1.4.2乙方应向甲方提供有关标准的中文文本。</w:t>
      </w:r>
    </w:p>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1.4.3除非技术规范中另有规定，计量单位均采用中华人民共和国法定计量单位。</w:t>
      </w:r>
    </w:p>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 xml:space="preserve">2. 包装运输要求 </w:t>
      </w:r>
    </w:p>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仪器设备的运输方式由乙方自行选择，在生产、运输、装卸过程中的任何安全问题与甲方无关，乙方应做好仪器设备的安全防护工作，保证甲方收到的是无任何损伤的货物。仪器设备包装必须符合国家标准或行业标准，满足航空、铁路或公路运输以及货物装卸要求，乙方若因自身原因出现任何安全事故，责任均由乙方承担。同时，对于在此过程中由于乙方未尽义务，造成与甲方有关人或物的损伤，乙方应全部承担责任。</w:t>
      </w:r>
    </w:p>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3.交货时间及交货地点</w:t>
      </w:r>
    </w:p>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3.1本项目为交钥匙工程，乙方要提供整套合格产品，切实做好安全防护相关工作。产品交货、安装地点均为甲方指定地点。</w:t>
      </w:r>
    </w:p>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3.2 合同签订后     个工作日内，乙方负责将产品运输到指定地点，并按照验收标准和验收程序完成设备的安装、调试和验收工作。乙方保证运输过程产品包装完好、安装调试及验收时设备外观无划痕，设备质量完好。</w:t>
      </w:r>
    </w:p>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4.产品质量保证</w:t>
      </w:r>
    </w:p>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4.1乙方提供的设备及配套产品，必须是合同规定厂家制造的、合格、全新、未曾使用的产品，产品内部无损坏，外表无磨损，内部包装无破损。整套产品必须通过由国家技术监督部门授权的计量检定单位的检定，并附有检定使用合格证书。</w:t>
      </w:r>
    </w:p>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4.2 乙方提供的设备及配套产品必须等同于或优于合同技术指标要求，并能按国家标准供应、检测、调试，确保产品技术指标满足使用要求。</w:t>
      </w:r>
    </w:p>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4.3乙方须保证所提供的货物经正确安装、正常运转和保养，在其使用寿命期内须具有符合质量要求和产品说明书的性能。在产品质量保证期之内，乙方须对由于设计、工艺或材料的缺陷而发生的任何不足或故障负责，并免费予以改进或更换。</w:t>
      </w:r>
    </w:p>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4.4根据甲方按检验标准自己检验结果或委托有资质的相关质检机构的检验结果，发现货物的数量、质量、规格与合同不符；或者在质量保证期内，证实货物存在缺陷，包括潜在的缺陷或使用不符合要求的材料等，甲方应书面通知乙方。接到上述通知后，乙方应及时免费更换或修理破损货物。乙方在甲方发出质量异议通知后，未作答复，甲方在通知书中所提出的要求应视为已被乙方接受。</w:t>
      </w:r>
    </w:p>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4.5乙方在收到通知后虽答复，但没有弥补缺陷，甲方可采取必要的补救措施，但由此引发的风险和费用将由乙方承担。甲方可从合同款或乙方提交的履约保证金中扣款，不足部分，甲方有权要求乙方赔偿。甲方根据合同规定对乙方行使的其他权力不受影响。</w:t>
      </w:r>
    </w:p>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4.6产品质量保证期为甲方最终设备验收合格后     年。质量保证期内乙方免费维修，包括设备的零配件及国内不能解决的故障需要返回生产厂维修时所发生的一切费用。须更换的零配件乙方保证原厂原装，如遇系统更新升级，乙方免费负责更新原装正版系统。质保期满后，乙方负责设备的终身维修。甲方如需更换设备的零配件，乙方保证更换的零配件为原厂原装，并只收取零配件的成本费，同时由乙方负责更换调试合格。</w:t>
      </w:r>
    </w:p>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5.技术服务承诺</w:t>
      </w:r>
    </w:p>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5.1乙方应严格按照供货时间，及时给甲方供货。</w:t>
      </w:r>
    </w:p>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5.2乙方负责提供仪器设备相应的技术资料，包括产品合格证、产品保修单、安装使用及维护说明书以及运输装箱清单等,并对所有技术材料的真实性、准确性、先进性、完整性负责。</w:t>
      </w:r>
    </w:p>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5.3人员培训：乙方终身免费为甲方培训设备使用人员，培训内容包括：设备操作、维护、简单维修等。</w:t>
      </w:r>
    </w:p>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5.4售后服务：质保期内乙方对甲方提出的服务响应不得超出   小时。</w:t>
      </w:r>
    </w:p>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5.5具体服务详见乙方投标文件中乙方的承诺书。</w:t>
      </w:r>
    </w:p>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6.验收方法及标准</w:t>
      </w:r>
    </w:p>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6.1开箱验收</w:t>
      </w:r>
    </w:p>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6.1.1产品运抵现场后，双方应及时开箱验收，并制作验收记录，以确认与本合同约定的数量、型号等是否一致。</w:t>
      </w:r>
    </w:p>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6.1.2 乙方应在交货前对产品的质量、规格、数量等进行详细而全面的检验，并出具证明产品符合合同规定的文件。该文件将作为申请付款单据的一部分，但有关质量、规格、数量的检验不应视为最终检验。</w:t>
      </w:r>
    </w:p>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6.1.3乙方所供设备必须按我国现使用的标准制造，所购标准件和原材料均是国家名牌企业（或用户指定厂家）的合格产品，不会受到其它方提出的专利权、商标权或工业设计权等起诉。其余技术条件完全按照甲方要求。</w:t>
      </w:r>
    </w:p>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6.1.4 开箱验收中如发现产品的数量、规格与合同约定不符，甲方有权拒收产品，乙方应及时按甲方要求免费对拒收产品采取更换或其他必要的补救措施，直至开箱验收合格，方视为乙方完成交货。</w:t>
      </w:r>
    </w:p>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6.2  检验验收</w:t>
      </w:r>
    </w:p>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6.2.1 交货完成后，乙方应及时组装、调试、试运行，按照合同条款规定的试运行完成后，双方及时组织对产品检验验收。合同双方均须派人参加合同要求双方参加的试验、检验。</w:t>
      </w:r>
    </w:p>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6.2.2 在具体实施合同规定的检验验收之前，乙方需提前提交相应的测试计划（包括测试程序、测试内容和检验标准、试验时间安排等）供甲方确认。</w:t>
      </w:r>
    </w:p>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6.2.3  除需甲方确认的试验验收外，乙方还应对所有检验验收测试的结果、步骤、原始数据等作妥善记录。如甲方要求，乙方应提供这些记录给甲方。</w:t>
      </w:r>
    </w:p>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6.2.4  检验测试出现全部或部分未达到本合同所约定的技术指标，甲方有权选择下列任一处理方式：</w:t>
      </w:r>
    </w:p>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a.重新测试直至合格为止；</w:t>
      </w:r>
    </w:p>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b.要求乙方对货物进行免费更换，然后重新测试直至合格为止；</w:t>
      </w:r>
    </w:p>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无论选择何种方式，甲方因此而发生的因乙方原因引起的所有费用均由乙方负担。</w:t>
      </w:r>
    </w:p>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6.3  使用过程检验</w:t>
      </w:r>
    </w:p>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6.3.1在合同规定的质量保证期内，发现设备的质量或规格与合同规定不符，或证明设备有缺陷，包括潜在的缺陷或使用不合适的原材料等，由甲方组织质检（相关检测费用由乙方承担），据质检报告及质量保证条款向乙方提出索赔，此索赔并不免除乙方应承担的合同义务。</w:t>
      </w:r>
    </w:p>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6.3.2如果合同双方对乙方提供的上述试验结果报告的解释有分歧，双方须于出现分歧后10天内给对方声明，以陈述己方的观点。声明须附有关证据。分歧应通过协商解决。</w:t>
      </w:r>
    </w:p>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6.4  所有验收合格，但不能免除乙方应该承担的质保责任。</w:t>
      </w:r>
    </w:p>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7.合同款项支付方式</w:t>
      </w:r>
    </w:p>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7.1履约保证金</w:t>
      </w:r>
    </w:p>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7.1.1乙方应在收到中标（成交）通知书后3个工作日内，向甲方提交合同总价5%的履约保证金；</w:t>
      </w:r>
    </w:p>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7.1.2履约保证金应使用人民币，按   汇款或现金    方式提交；</w:t>
      </w:r>
    </w:p>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7.1.3设备到货并由甲方验收合格后，乙方申请，甲方应把履约保证金（无息）退还乙方。</w:t>
      </w:r>
    </w:p>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7.2合同款支付（请在确定支付方式前面的“</w:t>
      </w:r>
      <w:r>
        <w:rPr>
          <w:rFonts w:hint="eastAsia" w:ascii="宋体" w:hAnsi="宋体" w:eastAsia="宋体" w:cs="宋体"/>
          <w:sz w:val="24"/>
        </w:rPr>
        <w:sym w:font="Wingdings 2" w:char="00A3"/>
      </w:r>
      <w:r>
        <w:rPr>
          <w:rFonts w:hint="eastAsia" w:ascii="宋体" w:hAnsi="宋体" w:eastAsia="宋体" w:cs="宋体"/>
          <w:sz w:val="24"/>
        </w:rPr>
        <w:t xml:space="preserve"> ”打“√” ）</w:t>
      </w:r>
    </w:p>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7.2.1</w:t>
      </w:r>
      <w:r>
        <w:rPr>
          <w:rFonts w:hint="eastAsia" w:ascii="宋体" w:hAnsi="宋体" w:eastAsia="宋体" w:cs="宋体"/>
          <w:sz w:val="24"/>
        </w:rPr>
        <w:sym w:font="Wingdings 2" w:char="00A3"/>
      </w:r>
      <w:r>
        <w:rPr>
          <w:rFonts w:hint="eastAsia" w:ascii="宋体" w:hAnsi="宋体" w:eastAsia="宋体" w:cs="宋体"/>
          <w:sz w:val="24"/>
        </w:rPr>
        <w:t>国产设备：</w:t>
      </w:r>
    </w:p>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合同签订后，供应商先行垫资，待所有设备到达指定地点、安装调试完成并由学校验收合格后，凭供应商开具的全额增值税专用发票，30日内一次性付清合同款项。</w:t>
      </w:r>
    </w:p>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如供应商向学校提供银行、保险公司等金融机构出具的预付款保函或其他担保措施，学校可向供应商支付合同总价的40%作为预付款；待所有设备到达指定地点、安装调试完成并验收合格后，凭供应商开具的全额增值税专用发票，30日内付清剩余合同款项。</w:t>
      </w:r>
    </w:p>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7.2.2</w:t>
      </w:r>
      <w:r>
        <w:rPr>
          <w:rFonts w:hint="eastAsia" w:ascii="宋体" w:hAnsi="宋体" w:eastAsia="宋体" w:cs="宋体"/>
          <w:sz w:val="24"/>
        </w:rPr>
        <w:sym w:font="Wingdings 2" w:char="00A3"/>
      </w:r>
      <w:r>
        <w:rPr>
          <w:rFonts w:hint="eastAsia" w:ascii="宋体" w:hAnsi="宋体" w:eastAsia="宋体" w:cs="宋体"/>
          <w:sz w:val="24"/>
        </w:rPr>
        <w:t xml:space="preserve"> 进口设备：</w:t>
      </w:r>
    </w:p>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合同生效后，由学校通过双方认可的进口业务代理公司向成交供应商指定国外设备供应商开出100%信用证，其中90%货款凭外贸合同约定单据及学校出具的开箱点货报告原件解付，其余10%货款在设备验收合格后凭学校签署验收报告解付。</w:t>
      </w:r>
    </w:p>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注：国内现货进口设备，按国产付款。</w:t>
      </w:r>
    </w:p>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 xml:space="preserve">7.2.3甲方向乙方付款时，乙方须向甲方出具合同总价款的增值税专用发票。 </w:t>
      </w:r>
    </w:p>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8.安全生产和文明施工</w:t>
      </w:r>
    </w:p>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8.1 现场安全文明施工由乙方编制专项详细方案并严格执行。</w:t>
      </w:r>
    </w:p>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8.2 乙方必须认真执行省市有关施工安全生产条例和规定以及甲方管理要求，并做好安全管理工作，避免并杜绝安全事故的发生。如发生安全事故，一切责任与后果均由乙方承担，同时，给甲方造成损失，甲方将视情况对乙方处以相应的经济赔偿。</w:t>
      </w:r>
    </w:p>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8.3 在设备安装施工全过程中，乙方应服从甲方的各项管理，并对乙方施工人员进行安全管理。</w:t>
      </w:r>
    </w:p>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8.4 确保现场建筑物及相关设施设备完好无损，如施工过程中出现损坏，乙方负责修复赔偿。</w:t>
      </w:r>
    </w:p>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8.5 乙方应对安装施工人员相关岗位上岗资格进行审查，并对相关后果负责。</w:t>
      </w:r>
    </w:p>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9.索赔</w:t>
      </w:r>
    </w:p>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9.1产品的质量、规格、型号、数量、性能、产地及零配件等与合同约定不符，或在质量保证期内证实货物存有缺陷，包括潜在的缺陷或使用不符合要求的材料等，甲方有权根据有资质的权威质检机构的检验结果向乙方提出索赔（但责任应由保险公司或运输部门承担的除外）。</w:t>
      </w:r>
    </w:p>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bookmarkStart w:id="0" w:name="_Ref467378076"/>
      <w:r>
        <w:rPr>
          <w:rFonts w:hint="eastAsia" w:ascii="宋体" w:hAnsi="宋体" w:eastAsia="宋体" w:cs="宋体"/>
          <w:sz w:val="24"/>
        </w:rPr>
        <w:t>9.2在验收合格前，乙方对甲方提出的索赔负有责任，乙方应按照甲方同意的下列一种或多种方式解决索赔事宜：</w:t>
      </w:r>
      <w:bookmarkEnd w:id="0"/>
    </w:p>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9.2.1在法定的退货期内，乙方应按合同规定将货款全额退还给甲方，并承担由此发生的一切损失和费用，包括利息、银行手续费、运费、保险费、检验费、仓储费、装卸费以及为保护退回货物所需的其它必要费用。如已超过退货期，但乙方同意退货，可比照上述办法办理，或由双方协商处理。</w:t>
      </w:r>
    </w:p>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9.2.2根据货物低劣程度、损坏程度以及甲方所遭受损失的数额，经甲乙双方商定降低货物的价格，或由有资质的中介机构评估，以降低后的价格或评估价格为准。</w:t>
      </w:r>
    </w:p>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9.2.3用符合规格、质量和性能要求的原厂原装新零件、部件或货物来更换有缺陷的部分或修补缺陷部分，乙方应承担一切费用和风险，并负担甲方所发生的一切直接费用。同时，乙方应相应延长、修补或更换件的质保期。</w:t>
      </w:r>
    </w:p>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bookmarkStart w:id="1" w:name="_Ref127159050"/>
      <w:r>
        <w:rPr>
          <w:rFonts w:hint="eastAsia" w:ascii="宋体" w:hAnsi="宋体" w:eastAsia="宋体" w:cs="宋体"/>
          <w:sz w:val="24"/>
        </w:rPr>
        <w:t>9.3乙方收到甲方发出的索赔通知之日起5个工作日内未作答复的，甲方可从合同款或履约保证金中扣回索赔金额，如金额不足以补偿索赔金额，乙方应补足差额部分。</w:t>
      </w:r>
      <w:bookmarkEnd w:id="1"/>
    </w:p>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10.违约责任</w:t>
      </w:r>
    </w:p>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10.1 合同生效后，甲乙双方应按合同规定认真履约。合同履约责任只涉及合同甲乙双方，不考虑第三方因素。</w:t>
      </w:r>
    </w:p>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10.2 除不可抗力原因外，如遇下列情况之一者，乙方所缴纳的合同履约金、产品质量保证金甲方有权不予退还，作为对甲方的赔偿，且甲方有权解除本合同：（1）合同签订后不能按合同时限要求供货或安装调试；（2）所供设备不合格、与合同不符；（3）不能按合同履约；（4）因产品质量原因，不能通过验收。</w:t>
      </w:r>
    </w:p>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10.3如乙方产品质量不符合国家标准、行业内控标准或本合同技术附件要求的，甲方有权退货，乙方应退还全部货款，并承担甲方合同总价款10％的违约金及其他损失。</w:t>
      </w:r>
    </w:p>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10.4 在合同规定的供货期内乙方未全部交货，除应如数补齐外，还应承担合同总款的10％违约金。</w:t>
      </w:r>
    </w:p>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10.5 乙方对货物不按招标文件要求，擅自更换，除恢复原招标产品外，应承担更换部分价款10%的违约金；乙方如对产品材质、随机配品以次充好，除全部按要求恢复外，应承担此部分价款10%的违约金。</w:t>
      </w:r>
    </w:p>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10.6 除不可抗力因素外，乙方对所供产品出现的问题推诿、拖延，24小时未作出服务响应且乙方没有按照合同规定的时间交货和提供服务，甲方可要求乙方支付违约金。违约金每日按合同总价款的5‰计收。否则，甲方有权拒绝乙方以后参加学校竞标。</w:t>
      </w:r>
    </w:p>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10.7 合同履约过程中，甲方应积极配合乙方进行设备验收以及验收前的外围配套等工作。否则，因此导致设备不能按期验收时，不能追究乙方责任；正常情况下应在设备验收合格后30天内按规定向乙方付款，最长时间不能超过30天。否则，每超过一周应向乙方支付合同应付款5‰的滞纳金。</w:t>
      </w:r>
    </w:p>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11.合同争议的解决</w:t>
      </w:r>
    </w:p>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11.1甲乙双方由于本合同的履行而发生任何争议时，双方可先通过协商解决。</w:t>
      </w:r>
    </w:p>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11.2任何一方不愿通过协商或通过协商仍不能解决争议，则双方中任何一方均应向甲方所在地人民法院起诉。</w:t>
      </w:r>
    </w:p>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12.违约解除合同</w:t>
      </w:r>
    </w:p>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12.1出现下列情形之一的，视为乙方违约。甲方可向乙方发出书面通知，部分或全部终止合同，同时保留向乙方索赔的权利。</w:t>
      </w:r>
    </w:p>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 xml:space="preserve">12.1.1乙方未能在合同规定的限期或甲方同意延长的限期内，提供全部或部分货物的； </w:t>
      </w:r>
    </w:p>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12.1.2乙方未能履行合同规定的其它主要义务的；</w:t>
      </w:r>
    </w:p>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12.1.3乙方在本合同履行过程中有欺诈行为的。</w:t>
      </w:r>
    </w:p>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12.2甲方全部或部分解除合同之后，应当遵循诚实信用原则购买与未交付的货物类似的货物或服务，乙方应承担甲方购买类似货物或服务而产生的额外支出。部分解除合同的，乙方应继续履行合同中未解除的部分。</w:t>
      </w:r>
    </w:p>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13.其它事项</w:t>
      </w:r>
    </w:p>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13.1 合同经双方签字盖章后生效。本合同一式五份，甲方执四份，乙方执一份，执行完毕后自行失效。</w:t>
      </w:r>
    </w:p>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13.2 合同的附件、投标文件均作为本合同不可分割的内容，且具有同等法律效力。合同的附件由甲方使用单位负责审核并签章。</w:t>
      </w:r>
    </w:p>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13.3 在本合同执行过程中，甲、乙双方协商签订的补充合同与原合同具有同等法律效力。</w:t>
      </w:r>
    </w:p>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13.4 未尽事宜，双方协商解决。</w:t>
      </w:r>
    </w:p>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合同签订地点：西安建筑科技大学</w:t>
      </w:r>
    </w:p>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合同签订时间：      年    月    日</w:t>
      </w:r>
    </w:p>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57"/>
        <w:gridCol w:w="4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甲  方（盖章）：西安建筑科技大学</w:t>
            </w:r>
          </w:p>
        </w:tc>
        <w:tc>
          <w:tcPr>
            <w:tcW w:w="4503" w:type="dxa"/>
            <w:vAlign w:val="center"/>
          </w:tcPr>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乙  方（盖章）：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地  址：西安市雁塔路13号</w:t>
            </w:r>
          </w:p>
        </w:tc>
        <w:tc>
          <w:tcPr>
            <w:tcW w:w="4503" w:type="dxa"/>
            <w:vAlign w:val="center"/>
          </w:tcPr>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地  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法定代表人（签字）：</w:t>
            </w:r>
          </w:p>
        </w:tc>
        <w:tc>
          <w:tcPr>
            <w:tcW w:w="4503" w:type="dxa"/>
            <w:vAlign w:val="center"/>
          </w:tcPr>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法定代表人（签字）：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委托代理人（签字）：</w:t>
            </w:r>
          </w:p>
        </w:tc>
        <w:tc>
          <w:tcPr>
            <w:tcW w:w="4503" w:type="dxa"/>
            <w:vAlign w:val="center"/>
          </w:tcPr>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委托代理人（签字）：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开户名：西安建筑科技大学</w:t>
            </w:r>
          </w:p>
        </w:tc>
        <w:tc>
          <w:tcPr>
            <w:tcW w:w="4503" w:type="dxa"/>
            <w:vAlign w:val="center"/>
          </w:tcPr>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开户名：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开户行：工行雁塔路支行</w:t>
            </w:r>
          </w:p>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税  号: 1261000043523106XB</w:t>
            </w:r>
          </w:p>
        </w:tc>
        <w:tc>
          <w:tcPr>
            <w:tcW w:w="4503" w:type="dxa"/>
            <w:vAlign w:val="center"/>
          </w:tcPr>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开户行：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帐  号：3700023009026400639</w:t>
            </w:r>
          </w:p>
        </w:tc>
        <w:tc>
          <w:tcPr>
            <w:tcW w:w="4503" w:type="dxa"/>
            <w:vAlign w:val="center"/>
          </w:tcPr>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帐  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联系人： 梁武</w:t>
            </w:r>
          </w:p>
        </w:tc>
        <w:tc>
          <w:tcPr>
            <w:tcW w:w="4503" w:type="dxa"/>
            <w:vAlign w:val="center"/>
          </w:tcPr>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联系人：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联系电话：029-82202312</w:t>
            </w:r>
          </w:p>
        </w:tc>
        <w:tc>
          <w:tcPr>
            <w:tcW w:w="4503" w:type="dxa"/>
            <w:vAlign w:val="center"/>
          </w:tcPr>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联系电话：</w:t>
            </w:r>
          </w:p>
        </w:tc>
      </w:tr>
    </w:tbl>
    <w:p>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br w:type="page"/>
      </w:r>
    </w:p>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附件：技术协议</w:t>
      </w:r>
    </w:p>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bookmarkStart w:id="2" w:name="_Toc390373038"/>
      <w:bookmarkStart w:id="3" w:name="_Toc390360542"/>
      <w:r>
        <w:rPr>
          <w:rFonts w:hint="eastAsia" w:ascii="宋体" w:hAnsi="宋体" w:eastAsia="宋体" w:cs="宋体"/>
          <w:sz w:val="24"/>
        </w:rPr>
        <w:t>1.中标产品技术参数明细</w:t>
      </w:r>
    </w:p>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我公司承诺：合同中数列产品均满足标书及使用要求，无任何负偏离。并与所供产品完全一致。</w:t>
      </w:r>
    </w:p>
    <w:bookmarkEnd w:id="2"/>
    <w:bookmarkEnd w:id="3"/>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1.1设备特性</w:t>
      </w:r>
    </w:p>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1.2设备用途</w:t>
      </w:r>
    </w:p>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1.3设备主要参数指标</w:t>
      </w:r>
    </w:p>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1.4质量要求与安全要求</w:t>
      </w:r>
    </w:p>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1.5设备运行一般流程图</w:t>
      </w:r>
    </w:p>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2.售后服务内容</w:t>
      </w:r>
      <w:bookmarkStart w:id="4" w:name="_Toc390360557"/>
      <w:bookmarkStart w:id="5" w:name="_Toc373263358"/>
      <w:bookmarkStart w:id="6" w:name="_Toc390373053"/>
    </w:p>
    <w:bookmarkEnd w:id="4"/>
    <w:bookmarkEnd w:id="5"/>
    <w:bookmarkEnd w:id="6"/>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bookmarkStart w:id="7" w:name="_Toc390360558"/>
      <w:bookmarkStart w:id="8" w:name="_Toc390373054"/>
      <w:bookmarkStart w:id="9" w:name="_Toc373263359"/>
      <w:r>
        <w:rPr>
          <w:rFonts w:hint="eastAsia" w:ascii="宋体" w:hAnsi="宋体" w:eastAsia="宋体" w:cs="宋体"/>
          <w:sz w:val="24"/>
        </w:rPr>
        <w:t>2.1技术服务、售后服务体系、故障响应时间、应急维修措施</w:t>
      </w:r>
      <w:bookmarkEnd w:id="7"/>
      <w:bookmarkEnd w:id="8"/>
      <w:bookmarkEnd w:id="9"/>
    </w:p>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2.1.1技术服务措施</w:t>
      </w:r>
    </w:p>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2.1.2售后服务体系</w:t>
      </w:r>
    </w:p>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质保期内服务</w:t>
      </w:r>
    </w:p>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质保期外服务</w:t>
      </w:r>
    </w:p>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2.1.3故障响应时间</w:t>
      </w:r>
    </w:p>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2.1.4应急维修措施</w:t>
      </w:r>
      <w:bookmarkStart w:id="10" w:name="_Toc390360559"/>
      <w:bookmarkStart w:id="11" w:name="_Toc373263360"/>
      <w:bookmarkStart w:id="12" w:name="_Toc390373055"/>
    </w:p>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2.1.5易损件、备件的供应</w:t>
      </w:r>
    </w:p>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2.1.6质保期以外技术支持或技术服务</w:t>
      </w:r>
    </w:p>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2.1.7制定切实可行的操作规程和使用指南</w:t>
      </w:r>
    </w:p>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3.培训服务内容</w:t>
      </w:r>
    </w:p>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3.1培训方案</w:t>
      </w:r>
    </w:p>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培训目标和要求</w:t>
      </w:r>
    </w:p>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3.2培训对象</w:t>
      </w:r>
    </w:p>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3.3培训方式</w:t>
      </w:r>
    </w:p>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3.3.1系统使用培训：</w:t>
      </w:r>
    </w:p>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3.3.2培训课程及培训人数：</w:t>
      </w:r>
    </w:p>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3.3.3培训教师安排</w:t>
      </w:r>
    </w:p>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3.3.4培训时间安排</w:t>
      </w:r>
    </w:p>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3.3.5培训及安全保证</w:t>
      </w:r>
    </w:p>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① 为使操作人员尽快消化设备的技术特点、掌握操作方法，乙方应制订完善的培训计划，安排经验丰富技术人员，在设备安装的后期进行操作人员的培训。培训形式主要为现场培训。通过培训，使受训人员能对设备全面了解，掌握日常控制过程，有能力处理一般故障和进行日常维护，提高设备的使用质量，并消除设备因使用或操作不当而引起的故障，减少突发故障的发生，从而保证设备长期稳定的运行。</w:t>
      </w:r>
    </w:p>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② 设备本体对可能造成伤害的部位均应采用防护板或防护网隔离并有醒目警示。</w:t>
      </w:r>
    </w:p>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③ 所用电气元件均按照国标选配，确保稳定安全，符合三防要求。</w:t>
      </w:r>
    </w:p>
    <w:bookmarkEnd w:id="10"/>
    <w:bookmarkEnd w:id="11"/>
    <w:bookmarkEnd w:id="12"/>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p>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p>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r>
        <w:rPr>
          <w:rFonts w:hint="eastAsia" w:ascii="宋体" w:hAnsi="宋体" w:eastAsia="宋体" w:cs="宋体"/>
          <w:sz w:val="24"/>
        </w:rPr>
        <w:t xml:space="preserve">甲方使用单位：西安建筑科技大学XX学院             乙方： </w:t>
      </w:r>
    </w:p>
    <w:p>
      <w:pPr>
        <w:pStyle w:val="4"/>
        <w:tabs>
          <w:tab w:val="center" w:pos="4140"/>
          <w:tab w:val="right" w:pos="8300"/>
          <w:tab w:val="clear" w:pos="4153"/>
          <w:tab w:val="clear" w:pos="8306"/>
        </w:tabs>
        <w:snapToGrid w:val="0"/>
        <w:spacing w:line="360" w:lineRule="auto"/>
        <w:ind w:firstLine="480" w:firstLineChars="200"/>
        <w:rPr>
          <w:rFonts w:ascii="宋体" w:hAnsi="宋体" w:eastAsia="宋体" w:cs="宋体"/>
          <w:sz w:val="24"/>
        </w:rPr>
      </w:pPr>
    </w:p>
    <w:p>
      <w:pPr>
        <w:adjustRightInd w:val="0"/>
        <w:snapToGrid w:val="0"/>
        <w:spacing w:line="360" w:lineRule="auto"/>
        <w:ind w:firstLine="480" w:firstLineChars="200"/>
      </w:pPr>
      <w:r>
        <w:rPr>
          <w:rFonts w:hint="eastAsia" w:ascii="宋体" w:hAnsi="宋体" w:eastAsia="宋体" w:cs="宋体"/>
          <w:sz w:val="24"/>
        </w:rPr>
        <w:t>负责人：                                          负责人：</w:t>
      </w:r>
    </w:p>
    <w:p>
      <w:pPr>
        <w:pStyle w:val="6"/>
        <w:widowControl/>
        <w:spacing w:beforeAutospacing="0" w:afterAutospacing="0" w:line="480" w:lineRule="atLeast"/>
        <w:ind w:firstLine="420"/>
        <w:rPr>
          <w:rFonts w:ascii="宋体" w:hAnsi="宋体" w:eastAsia="宋体" w:cs="宋体"/>
        </w:rPr>
      </w:pPr>
    </w:p>
    <w:p/>
    <w:p/>
    <w:sectPr>
      <w:pgSz w:w="11906" w:h="16838"/>
      <w:pgMar w:top="1134" w:right="1800" w:bottom="1134"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Wingdings 2">
    <w:panose1 w:val="05020102010507070707"/>
    <w:charset w:val="02"/>
    <w:family w:val="roman"/>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NkYTQxN2FhMzNjOTUyZjc2ODI5ZDk4ZWQwMzRlODgifQ=="/>
  </w:docVars>
  <w:rsids>
    <w:rsidRoot w:val="4DE31941"/>
    <w:rsid w:val="0A0855DF"/>
    <w:rsid w:val="105D1934"/>
    <w:rsid w:val="19E51499"/>
    <w:rsid w:val="1C7D3C0B"/>
    <w:rsid w:val="1DC6338F"/>
    <w:rsid w:val="276D53BE"/>
    <w:rsid w:val="2D5E5392"/>
    <w:rsid w:val="36B44275"/>
    <w:rsid w:val="49425710"/>
    <w:rsid w:val="4DE31941"/>
    <w:rsid w:val="52500E9E"/>
    <w:rsid w:val="55A76221"/>
    <w:rsid w:val="5E341674"/>
    <w:rsid w:val="739E1612"/>
    <w:rsid w:val="7CF642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1"/>
    <w:rPr>
      <w:rFonts w:ascii="宋体" w:hAnsi="宋体" w:eastAsia="宋体" w:cs="宋体"/>
      <w:sz w:val="24"/>
      <w:lang w:val="zh-CN" w:bidi="zh-CN"/>
    </w:rPr>
  </w:style>
  <w:style w:type="paragraph" w:styleId="4">
    <w:name w:val="footer"/>
    <w:basedOn w:val="1"/>
    <w:next w:val="3"/>
    <w:qFormat/>
    <w:uiPriority w:val="99"/>
    <w:pPr>
      <w:tabs>
        <w:tab w:val="center" w:pos="4153"/>
        <w:tab w:val="right" w:pos="8306"/>
      </w:tabs>
      <w:adjustRightInd w:val="0"/>
      <w:spacing w:line="240" w:lineRule="atLeast"/>
      <w:jc w:val="left"/>
      <w:textAlignment w:val="baseline"/>
    </w:pPr>
    <w:rPr>
      <w:kern w:val="0"/>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2023-08-11T08:47:00Z</dcterms:created>
  <dc:creator>姚瑶</dc:creator>
  <cp:lastModifiedBy>qzuser</cp:lastModifiedBy>
  <dcterms:modified xsi:type="dcterms:W3CDTF">2023-10-26T02:09:55Z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D063EA1ABA314519B6EAF036B69B9E0F_11</vt:lpwstr>
  </property>
</Properties>
</file>