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
          <w:kern w:val="1"/>
          <w:sz w:val="24"/>
          <w:szCs w:val="24"/>
        </w:rPr>
      </w:pPr>
      <w:bookmarkStart w:id="0" w:name="_Toc7795"/>
      <w:bookmarkStart w:id="1" w:name="_Toc19440"/>
      <w:bookmarkStart w:id="2" w:name="_Toc21415"/>
      <w:bookmarkStart w:id="3" w:name="_Toc17494"/>
      <w:bookmarkStart w:id="4" w:name="_Toc9313"/>
      <w:bookmarkStart w:id="5" w:name="_Toc22076"/>
      <w:bookmarkStart w:id="6" w:name="_Toc27886"/>
      <w:bookmarkStart w:id="7" w:name="_Toc25776"/>
      <w:bookmarkStart w:id="8" w:name="_Toc21200"/>
      <w:bookmarkStart w:id="9" w:name="_Toc9245"/>
      <w:bookmarkStart w:id="10" w:name="_Toc6704"/>
      <w:bookmarkStart w:id="11" w:name="_Toc7604"/>
      <w:bookmarkStart w:id="12" w:name="_Toc5759"/>
      <w:bookmarkStart w:id="13" w:name="_Toc20620"/>
      <w:bookmarkStart w:id="14" w:name="_Toc10566"/>
      <w:bookmarkStart w:id="15" w:name="_Toc295"/>
      <w:bookmarkStart w:id="16" w:name="_Toc249"/>
      <w:bookmarkStart w:id="17" w:name="_Toc29152"/>
      <w:bookmarkStart w:id="18" w:name="_Toc9655"/>
      <w:bookmarkStart w:id="19" w:name="_Toc14555"/>
      <w:bookmarkStart w:id="20" w:name="_Toc6501"/>
      <w:bookmarkStart w:id="21" w:name="_Toc21467"/>
      <w:bookmarkStart w:id="22" w:name="_Toc7020"/>
      <w:bookmarkStart w:id="23" w:name="_Toc959"/>
      <w:bookmarkStart w:id="24" w:name="_Toc5390"/>
      <w:bookmarkStart w:id="25" w:name="_Toc27860"/>
      <w:r>
        <w:rPr>
          <w:rFonts w:hint="eastAsia" w:ascii="仿宋" w:hAnsi="仿宋" w:eastAsia="仿宋" w:cs="仿宋"/>
          <w:kern w:val="1"/>
          <w:sz w:val="24"/>
          <w:szCs w:val="24"/>
        </w:rPr>
        <w:t>1</w:t>
      </w:r>
      <w:bookmarkEnd w:id="0"/>
      <w:bookmarkEnd w:id="1"/>
      <w:bookmarkEnd w:id="2"/>
      <w:bookmarkEnd w:id="3"/>
      <w:bookmarkEnd w:id="4"/>
      <w:bookmarkEnd w:id="5"/>
      <w:r>
        <w:rPr>
          <w:rFonts w:hint="eastAsia" w:ascii="仿宋" w:hAnsi="仿宋" w:eastAsia="仿宋" w:cs="仿宋"/>
          <w:kern w:val="1"/>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6"/>
      <w:bookmarkEnd w:id="7"/>
      <w:bookmarkEnd w:id="8"/>
      <w:bookmarkEnd w:id="9"/>
      <w:bookmarkEnd w:id="10"/>
      <w:bookmarkEnd w:id="11"/>
      <w:bookmarkEnd w:id="12"/>
    </w:p>
    <w:p>
      <w:pPr>
        <w:adjustRightInd w:val="0"/>
        <w:textAlignment w:val="baseline"/>
        <w:outlineLvl w:val="2"/>
        <w:rPr>
          <w:rFonts w:hint="eastAsia" w:ascii="仿宋" w:hAnsi="仿宋" w:eastAsia="仿宋" w:cs="仿宋"/>
          <w:kern w:val="1"/>
          <w:sz w:val="24"/>
          <w:szCs w:val="24"/>
        </w:rPr>
      </w:pPr>
      <w:r>
        <w:rPr>
          <w:rFonts w:hint="eastAsia" w:ascii="仿宋" w:hAnsi="仿宋" w:eastAsia="仿宋" w:cs="仿宋"/>
        </w:rPr>
        <w:br w:type="page"/>
      </w:r>
      <w:r>
        <w:rPr>
          <w:rFonts w:hint="eastAsia" w:ascii="仿宋" w:hAnsi="仿宋" w:eastAsia="仿宋" w:cs="仿宋"/>
          <w:b/>
          <w:bCs/>
          <w:kern w:val="1"/>
          <w:sz w:val="24"/>
          <w:szCs w:val="24"/>
        </w:rPr>
        <w:t>2具有良好的商业信誉和健全的财务会计制度（提供 2022 年度财务审计报告或开标前三个月内的银行资信证明或财政部门认可的政府采购专业担保机构出具的投标担保函）；</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eastAsia="仿宋" w:cs="仿宋"/>
          <w:sz w:val="24"/>
          <w:szCs w:val="24"/>
        </w:rPr>
      </w:pPr>
      <w:r>
        <w:rPr>
          <w:rFonts w:hint="eastAsia" w:ascii="仿宋" w:hAnsi="仿宋" w:eastAsia="仿宋" w:cs="仿宋"/>
          <w:kern w:val="1"/>
          <w:sz w:val="24"/>
          <w:szCs w:val="24"/>
        </w:rPr>
        <w:br w:type="page"/>
      </w:r>
      <w:bookmarkStart w:id="26" w:name="_Toc31455"/>
      <w:bookmarkStart w:id="27" w:name="_Toc4788"/>
      <w:bookmarkStart w:id="28" w:name="_Toc27097"/>
      <w:bookmarkStart w:id="29" w:name="_Toc7791"/>
      <w:bookmarkStart w:id="30" w:name="_Toc30477"/>
      <w:bookmarkStart w:id="31" w:name="_Toc13233"/>
      <w:bookmarkStart w:id="32" w:name="_Toc2910"/>
      <w:bookmarkStart w:id="33" w:name="_Toc15615"/>
      <w:bookmarkStart w:id="34" w:name="_Toc10778"/>
      <w:bookmarkStart w:id="35" w:name="_Toc5468"/>
      <w:bookmarkStart w:id="36" w:name="_Toc13195"/>
      <w:bookmarkStart w:id="37" w:name="_Toc13516"/>
      <w:r>
        <w:rPr>
          <w:rFonts w:hint="eastAsia" w:ascii="仿宋" w:hAnsi="仿宋" w:eastAsia="仿宋" w:cs="仿宋"/>
          <w:b/>
          <w:bCs/>
          <w:kern w:val="1"/>
          <w:sz w:val="24"/>
          <w:szCs w:val="24"/>
        </w:rPr>
        <w:t>3</w:t>
      </w:r>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eastAsia="仿宋" w:cs="仿宋"/>
          <w:b/>
          <w:bCs/>
          <w:kern w:val="1"/>
          <w:sz w:val="24"/>
          <w:szCs w:val="24"/>
        </w:rPr>
        <w:t>具有履行合同所必需的设备和专业技术能力的书面声明</w:t>
      </w:r>
    </w:p>
    <w:p>
      <w:pPr>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西安科技大学：</w:t>
      </w:r>
    </w:p>
    <w:p>
      <w:pPr>
        <w:spacing w:before="240" w:beforeLines="100" w:after="120" w:afterLines="50"/>
        <w:ind w:firstLine="744" w:firstLineChars="3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pPr>
              <w:jc w:val="center"/>
              <w:rPr>
                <w:rFonts w:hint="eastAsia" w:ascii="仿宋" w:hAnsi="仿宋" w:eastAsia="仿宋" w:cs="仿宋"/>
                <w:sz w:val="24"/>
                <w:szCs w:val="24"/>
              </w:rPr>
            </w:pPr>
          </w:p>
        </w:tc>
        <w:tc>
          <w:tcPr>
            <w:tcW w:w="2007" w:type="dxa"/>
            <w:noWrap w:val="0"/>
            <w:vAlign w:val="center"/>
          </w:tcPr>
          <w:p>
            <w:pPr>
              <w:jc w:val="center"/>
              <w:rPr>
                <w:rFonts w:hint="eastAsia" w:ascii="仿宋" w:hAnsi="仿宋" w:eastAsia="仿宋" w:cs="仿宋"/>
                <w:sz w:val="24"/>
                <w:szCs w:val="24"/>
              </w:rPr>
            </w:pPr>
          </w:p>
        </w:tc>
        <w:tc>
          <w:tcPr>
            <w:tcW w:w="753" w:type="dxa"/>
            <w:noWrap w:val="0"/>
            <w:vAlign w:val="center"/>
          </w:tcPr>
          <w:p>
            <w:pPr>
              <w:jc w:val="center"/>
              <w:rPr>
                <w:rFonts w:hint="eastAsia" w:ascii="仿宋" w:hAnsi="仿宋" w:eastAsia="仿宋" w:cs="仿宋"/>
                <w:sz w:val="24"/>
                <w:szCs w:val="24"/>
              </w:rPr>
            </w:pPr>
          </w:p>
        </w:tc>
        <w:tc>
          <w:tcPr>
            <w:tcW w:w="2269" w:type="dxa"/>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pPr>
              <w:jc w:val="center"/>
              <w:rPr>
                <w:rFonts w:hint="eastAsia" w:ascii="仿宋" w:hAnsi="仿宋" w:eastAsia="仿宋" w:cs="仿宋"/>
                <w:sz w:val="24"/>
                <w:szCs w:val="24"/>
              </w:rPr>
            </w:pPr>
          </w:p>
        </w:tc>
        <w:tc>
          <w:tcPr>
            <w:tcW w:w="2007" w:type="dxa"/>
            <w:noWrap w:val="0"/>
            <w:vAlign w:val="center"/>
          </w:tcPr>
          <w:p>
            <w:pPr>
              <w:jc w:val="center"/>
              <w:rPr>
                <w:rFonts w:hint="eastAsia" w:ascii="仿宋" w:hAnsi="仿宋" w:eastAsia="仿宋" w:cs="仿宋"/>
                <w:sz w:val="24"/>
                <w:szCs w:val="24"/>
              </w:rPr>
            </w:pPr>
          </w:p>
        </w:tc>
        <w:tc>
          <w:tcPr>
            <w:tcW w:w="753" w:type="dxa"/>
            <w:noWrap w:val="0"/>
            <w:vAlign w:val="center"/>
          </w:tcPr>
          <w:p>
            <w:pPr>
              <w:jc w:val="center"/>
              <w:rPr>
                <w:rFonts w:hint="eastAsia" w:ascii="仿宋" w:hAnsi="仿宋" w:eastAsia="仿宋" w:cs="仿宋"/>
                <w:sz w:val="24"/>
                <w:szCs w:val="24"/>
              </w:rPr>
            </w:pPr>
          </w:p>
        </w:tc>
        <w:tc>
          <w:tcPr>
            <w:tcW w:w="2269" w:type="dxa"/>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pPr>
              <w:jc w:val="center"/>
              <w:rPr>
                <w:rFonts w:hint="eastAsia" w:ascii="仿宋" w:hAnsi="仿宋" w:eastAsia="仿宋" w:cs="仿宋"/>
                <w:sz w:val="24"/>
                <w:szCs w:val="24"/>
              </w:rPr>
            </w:pPr>
          </w:p>
        </w:tc>
        <w:tc>
          <w:tcPr>
            <w:tcW w:w="2007" w:type="dxa"/>
            <w:noWrap w:val="0"/>
            <w:vAlign w:val="center"/>
          </w:tcPr>
          <w:p>
            <w:pPr>
              <w:jc w:val="center"/>
              <w:rPr>
                <w:rFonts w:hint="eastAsia" w:ascii="仿宋" w:hAnsi="仿宋" w:eastAsia="仿宋" w:cs="仿宋"/>
                <w:sz w:val="24"/>
                <w:szCs w:val="24"/>
              </w:rPr>
            </w:pPr>
          </w:p>
        </w:tc>
        <w:tc>
          <w:tcPr>
            <w:tcW w:w="753" w:type="dxa"/>
            <w:noWrap w:val="0"/>
            <w:vAlign w:val="center"/>
          </w:tcPr>
          <w:p>
            <w:pPr>
              <w:jc w:val="center"/>
              <w:rPr>
                <w:rFonts w:hint="eastAsia" w:ascii="仿宋" w:hAnsi="仿宋" w:eastAsia="仿宋" w:cs="仿宋"/>
                <w:sz w:val="24"/>
                <w:szCs w:val="24"/>
              </w:rPr>
            </w:pPr>
          </w:p>
        </w:tc>
        <w:tc>
          <w:tcPr>
            <w:tcW w:w="2269" w:type="dxa"/>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pPr>
              <w:jc w:val="center"/>
              <w:rPr>
                <w:rFonts w:hint="eastAsia" w:ascii="仿宋" w:hAnsi="仿宋" w:eastAsia="仿宋" w:cs="仿宋"/>
                <w:sz w:val="24"/>
                <w:szCs w:val="24"/>
              </w:rPr>
            </w:pPr>
          </w:p>
        </w:tc>
        <w:tc>
          <w:tcPr>
            <w:tcW w:w="2007" w:type="dxa"/>
            <w:noWrap w:val="0"/>
            <w:vAlign w:val="center"/>
          </w:tcPr>
          <w:p>
            <w:pPr>
              <w:jc w:val="center"/>
              <w:rPr>
                <w:rFonts w:hint="eastAsia" w:ascii="仿宋" w:hAnsi="仿宋" w:eastAsia="仿宋" w:cs="仿宋"/>
                <w:sz w:val="24"/>
                <w:szCs w:val="24"/>
              </w:rPr>
            </w:pPr>
          </w:p>
        </w:tc>
        <w:tc>
          <w:tcPr>
            <w:tcW w:w="753" w:type="dxa"/>
            <w:noWrap w:val="0"/>
            <w:vAlign w:val="center"/>
          </w:tcPr>
          <w:p>
            <w:pPr>
              <w:jc w:val="center"/>
              <w:rPr>
                <w:rFonts w:hint="eastAsia" w:ascii="仿宋" w:hAnsi="仿宋" w:eastAsia="仿宋" w:cs="仿宋"/>
                <w:sz w:val="24"/>
                <w:szCs w:val="24"/>
              </w:rPr>
            </w:pPr>
          </w:p>
        </w:tc>
        <w:tc>
          <w:tcPr>
            <w:tcW w:w="2269" w:type="dxa"/>
            <w:noWrap w:val="0"/>
            <w:vAlign w:val="center"/>
          </w:tcPr>
          <w:p>
            <w:pPr>
              <w:jc w:val="center"/>
              <w:rPr>
                <w:rFonts w:hint="eastAsia" w:ascii="仿宋" w:hAnsi="仿宋" w:eastAsia="仿宋" w:cs="仿宋"/>
                <w:sz w:val="24"/>
                <w:szCs w:val="24"/>
              </w:rPr>
            </w:pPr>
          </w:p>
        </w:tc>
      </w:tr>
    </w:tbl>
    <w:p>
      <w:pPr>
        <w:spacing w:before="240" w:beforeLines="100" w:after="120" w:afterLines="50"/>
        <w:ind w:firstLine="170"/>
        <w:rPr>
          <w:rFonts w:hint="eastAsia" w:ascii="仿宋" w:hAnsi="仿宋" w:eastAsia="仿宋" w:cs="仿宋"/>
          <w:spacing w:val="4"/>
          <w:sz w:val="24"/>
          <w:szCs w:val="24"/>
        </w:rPr>
      </w:pPr>
    </w:p>
    <w:p>
      <w:pPr>
        <w:pStyle w:val="2"/>
        <w:rPr>
          <w:rFonts w:hint="eastAsia" w:ascii="仿宋" w:hAnsi="仿宋" w:eastAsia="仿宋" w:cs="仿宋"/>
          <w:spacing w:val="4"/>
          <w:sz w:val="24"/>
          <w:szCs w:val="24"/>
        </w:rPr>
      </w:pPr>
    </w:p>
    <w:p>
      <w:pPr>
        <w:rPr>
          <w:rFonts w:hint="eastAsia" w:ascii="仿宋" w:hAnsi="仿宋" w:eastAsia="仿宋" w:cs="仿宋"/>
          <w:sz w:val="24"/>
          <w:szCs w:val="24"/>
        </w:rPr>
      </w:pPr>
    </w:p>
    <w:tbl>
      <w:tblPr>
        <w:tblStyle w:val="6"/>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rPr>
      </w:pPr>
    </w:p>
    <w:p>
      <w:pPr>
        <w:pStyle w:val="3"/>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bookmarkStart w:id="38" w:name="_Toc22377"/>
      <w:bookmarkStart w:id="39" w:name="_Toc23489"/>
      <w:bookmarkStart w:id="40" w:name="_Toc6368"/>
      <w:bookmarkStart w:id="41" w:name="_Toc22082"/>
      <w:bookmarkStart w:id="42" w:name="_Toc31770"/>
      <w:bookmarkStart w:id="43" w:name="_Toc13120"/>
      <w:bookmarkStart w:id="44" w:name="_Toc6434"/>
      <w:bookmarkStart w:id="45" w:name="_Toc16649"/>
      <w:bookmarkStart w:id="46" w:name="_Toc9580"/>
      <w:bookmarkStart w:id="47" w:name="_Toc15608"/>
      <w:bookmarkStart w:id="48" w:name="_Toc17566"/>
      <w:bookmarkStart w:id="49" w:name="_Toc2824"/>
      <w:bookmarkStart w:id="50" w:name="_Toc9854"/>
      <w:r>
        <w:rPr>
          <w:rFonts w:hint="eastAsia" w:ascii="仿宋" w:hAnsi="仿宋" w:eastAsia="仿宋" w:cs="仿宋"/>
          <w:kern w:val="1"/>
          <w:sz w:val="24"/>
          <w:szCs w:val="24"/>
        </w:rPr>
        <w:t>4</w:t>
      </w:r>
      <w:bookmarkEnd w:id="38"/>
      <w:bookmarkEnd w:id="39"/>
      <w:bookmarkEnd w:id="40"/>
      <w:bookmarkEnd w:id="41"/>
      <w:bookmarkEnd w:id="42"/>
      <w:bookmarkEnd w:id="43"/>
      <w:bookmarkEnd w:id="44"/>
      <w:bookmarkEnd w:id="45"/>
      <w:bookmarkEnd w:id="46"/>
      <w:bookmarkEnd w:id="47"/>
      <w:bookmarkEnd w:id="48"/>
      <w:bookmarkEnd w:id="49"/>
      <w:r>
        <w:rPr>
          <w:rFonts w:hint="eastAsia" w:ascii="仿宋" w:hAnsi="仿宋" w:eastAsia="仿宋" w:cs="仿宋"/>
          <w:sz w:val="24"/>
          <w:szCs w:val="24"/>
        </w:rPr>
        <w:t>具有依法缴纳税收和社会保障资金的良好记录（提供开标前 12 个月内任一月份的社保和缴纳税收的证明)</w:t>
      </w:r>
      <w:bookmarkEnd w:id="50"/>
    </w:p>
    <w:p>
      <w:pPr>
        <w:ind w:firstLine="420" w:firstLineChars="200"/>
        <w:jc w:val="center"/>
        <w:rPr>
          <w:rFonts w:hint="eastAsia" w:ascii="仿宋" w:hAnsi="仿宋" w:eastAsia="仿宋" w:cs="仿宋"/>
        </w:rPr>
      </w:pPr>
      <w:r>
        <w:rPr>
          <w:rFonts w:hint="eastAsia" w:ascii="仿宋" w:hAnsi="仿宋" w:eastAsia="仿宋" w:cs="仿宋"/>
        </w:rPr>
        <w:t>提供社会保障资金缴纳记录证明文件</w:t>
      </w:r>
    </w:p>
    <w:p>
      <w:pPr>
        <w:rPr>
          <w:rFonts w:hint="eastAsia" w:ascii="仿宋" w:hAnsi="仿宋" w:eastAsia="仿宋" w:cs="仿宋"/>
        </w:rPr>
      </w:pPr>
    </w:p>
    <w:p>
      <w:pPr>
        <w:rPr>
          <w:rFonts w:hint="eastAsia" w:ascii="仿宋" w:hAnsi="仿宋" w:eastAsia="仿宋" w:cs="仿宋"/>
        </w:rPr>
      </w:pPr>
      <w:r>
        <w:rPr>
          <w:rFonts w:hint="eastAsia" w:ascii="仿宋" w:hAnsi="仿宋" w:eastAsia="仿宋" w:cs="仿宋"/>
        </w:rPr>
        <w:t>说明：</w:t>
      </w:r>
    </w:p>
    <w:p>
      <w:pPr>
        <w:ind w:firstLine="420" w:firstLineChars="200"/>
        <w:rPr>
          <w:rFonts w:hint="eastAsia" w:ascii="仿宋" w:hAnsi="仿宋" w:eastAsia="仿宋" w:cs="仿宋"/>
        </w:rPr>
      </w:pPr>
      <w:r>
        <w:rPr>
          <w:rFonts w:hint="eastAsia" w:ascii="仿宋" w:hAnsi="仿宋" w:eastAsia="仿宋" w:cs="仿宋"/>
        </w:rPr>
        <w:t>1、供应商须依法缴纳社会保障资金，须提供磋商截止时间前12个月内任意1个月的社会保障资金缴纳记录复印件并加盖供应商单位公章，新开户的供应商提供社保开户证明，自行编写无效。</w:t>
      </w:r>
    </w:p>
    <w:p>
      <w:pPr>
        <w:ind w:firstLine="420" w:firstLineChars="200"/>
        <w:rPr>
          <w:rFonts w:hint="eastAsia" w:ascii="仿宋" w:hAnsi="仿宋" w:eastAsia="仿宋" w:cs="仿宋"/>
        </w:rPr>
      </w:pPr>
      <w:r>
        <w:rPr>
          <w:rFonts w:hint="eastAsia" w:ascii="仿宋" w:hAnsi="仿宋" w:eastAsia="仿宋" w:cs="仿宋"/>
        </w:rPr>
        <w:t>2、国家、地方工商管理部门或者其他相关管理部门对社会保障资金缴纳（如免缴）有特别政策的，须提供相关政策文件复印件以及供应商满足相关政策文件的证明文件</w:t>
      </w:r>
      <w:bookmarkStart w:id="51" w:name="_Toc109543226"/>
      <w:bookmarkStart w:id="52" w:name="_Toc109542406"/>
      <w:r>
        <w:rPr>
          <w:rFonts w:hint="eastAsia" w:ascii="仿宋" w:hAnsi="仿宋" w:eastAsia="仿宋" w:cs="仿宋"/>
        </w:rPr>
        <w:t>。</w:t>
      </w:r>
      <w:bookmarkEnd w:id="51"/>
      <w:bookmarkEnd w:id="52"/>
    </w:p>
    <w:p>
      <w:pPr>
        <w:rPr>
          <w:rFonts w:hint="eastAsia" w:ascii="仿宋" w:hAnsi="仿宋" w:eastAsia="仿宋" w:cs="仿宋"/>
        </w:rPr>
      </w:pPr>
    </w:p>
    <w:p>
      <w:pPr>
        <w:ind w:firstLine="420" w:firstLineChars="200"/>
        <w:jc w:val="cente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依法缴纳税收记录证明文件</w:t>
      </w:r>
    </w:p>
    <w:p>
      <w:pPr>
        <w:ind w:firstLine="420" w:firstLineChars="200"/>
        <w:jc w:val="center"/>
        <w:rPr>
          <w:rFonts w:hint="eastAsia" w:ascii="仿宋" w:hAnsi="仿宋" w:eastAsia="仿宋" w:cs="仿宋"/>
        </w:rPr>
      </w:pPr>
    </w:p>
    <w:p>
      <w:pPr>
        <w:rPr>
          <w:rFonts w:hint="eastAsia" w:ascii="仿宋" w:hAnsi="仿宋" w:eastAsia="仿宋" w:cs="仿宋"/>
        </w:rPr>
      </w:pPr>
      <w:r>
        <w:rPr>
          <w:rFonts w:hint="eastAsia" w:ascii="仿宋" w:hAnsi="仿宋" w:eastAsia="仿宋" w:cs="仿宋"/>
        </w:rPr>
        <w:t>说明：</w:t>
      </w:r>
    </w:p>
    <w:p>
      <w:pPr>
        <w:ind w:firstLine="420" w:firstLineChars="200"/>
        <w:rPr>
          <w:rFonts w:hint="eastAsia" w:ascii="仿宋" w:hAnsi="仿宋" w:eastAsia="仿宋" w:cs="仿宋"/>
        </w:rPr>
      </w:pPr>
      <w:r>
        <w:rPr>
          <w:rFonts w:hint="eastAsia" w:ascii="仿宋" w:hAnsi="仿宋" w:eastAsia="仿宋" w:cs="仿宋"/>
        </w:rPr>
        <w:t>1、供应商须提供磋商截止时间前12个月内任意1个月的依法缴纳税收记录（税种须包含增值税或企业所得税，依法免税或无须缴纳税款的供应商，应提供相关证明文件)。</w:t>
      </w:r>
    </w:p>
    <w:p>
      <w:pPr>
        <w:ind w:firstLine="420" w:firstLineChars="200"/>
        <w:rPr>
          <w:rFonts w:hint="eastAsia" w:ascii="仿宋" w:hAnsi="仿宋" w:eastAsia="仿宋" w:cs="仿宋"/>
        </w:rPr>
      </w:pPr>
      <w:r>
        <w:rPr>
          <w:rFonts w:hint="eastAsia" w:ascii="仿宋" w:hAnsi="仿宋" w:eastAsia="仿宋" w:cs="仿宋"/>
        </w:rPr>
        <w:t>2、国家、地方工商管理部门或者其他相关管理部门对企业纳税有特别规定的，须提供相关政策性文件复印件和供应商满足政策文件规定的证明文件。</w:t>
      </w: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outlineLvl w:val="2"/>
        <w:rPr>
          <w:rFonts w:hint="eastAsia" w:ascii="仿宋" w:hAnsi="仿宋" w:eastAsia="仿宋" w:cs="仿宋"/>
          <w:sz w:val="24"/>
          <w:szCs w:val="24"/>
        </w:rPr>
      </w:pPr>
      <w:r>
        <w:rPr>
          <w:rFonts w:hint="eastAsia" w:ascii="仿宋" w:hAnsi="仿宋" w:eastAsia="仿宋" w:cs="仿宋"/>
        </w:rPr>
        <w:br w:type="page"/>
      </w:r>
      <w:bookmarkStart w:id="53" w:name="_Toc26845"/>
      <w:bookmarkStart w:id="54" w:name="_Toc4842"/>
      <w:bookmarkStart w:id="55" w:name="_Toc29806"/>
      <w:bookmarkStart w:id="56" w:name="_Toc28669"/>
      <w:bookmarkStart w:id="57" w:name="_Toc30844"/>
      <w:bookmarkStart w:id="58" w:name="_Toc2140"/>
      <w:bookmarkStart w:id="59" w:name="_Toc20233"/>
      <w:bookmarkStart w:id="60" w:name="_Toc19143"/>
      <w:bookmarkStart w:id="61" w:name="_Toc28034"/>
      <w:bookmarkStart w:id="62" w:name="_Toc15791"/>
      <w:bookmarkStart w:id="63" w:name="_Toc7403"/>
      <w:bookmarkStart w:id="64" w:name="_Toc13583"/>
      <w:bookmarkStart w:id="65" w:name="_Toc14483"/>
      <w:r>
        <w:rPr>
          <w:rFonts w:hint="eastAsia" w:ascii="仿宋" w:hAnsi="仿宋" w:eastAsia="仿宋" w:cs="仿宋"/>
          <w:b/>
          <w:bCs/>
          <w:kern w:val="1"/>
          <w:sz w:val="24"/>
          <w:szCs w:val="24"/>
        </w:rPr>
        <w:t>5</w:t>
      </w:r>
      <w:bookmarkEnd w:id="53"/>
      <w:bookmarkEnd w:id="54"/>
      <w:bookmarkEnd w:id="55"/>
      <w:bookmarkEnd w:id="56"/>
      <w:bookmarkEnd w:id="57"/>
      <w:bookmarkEnd w:id="58"/>
      <w:bookmarkEnd w:id="59"/>
      <w:bookmarkEnd w:id="60"/>
      <w:bookmarkEnd w:id="61"/>
      <w:bookmarkEnd w:id="62"/>
      <w:bookmarkEnd w:id="63"/>
      <w:bookmarkEnd w:id="64"/>
      <w:r>
        <w:rPr>
          <w:rFonts w:hint="eastAsia" w:ascii="仿宋" w:hAnsi="仿宋" w:eastAsia="仿宋" w:cs="仿宋"/>
          <w:b/>
          <w:bCs/>
          <w:sz w:val="24"/>
          <w:szCs w:val="24"/>
        </w:rPr>
        <w:t>参加政府采购活动前三年内，在经营活动中没有重大违法记录</w:t>
      </w:r>
      <w:bookmarkEnd w:id="65"/>
    </w:p>
    <w:p>
      <w:pPr>
        <w:pStyle w:val="5"/>
        <w:wordWrap w:val="0"/>
        <w:spacing w:before="0" w:beforeAutospacing="0" w:after="0" w:afterAutospacing="0"/>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rPr>
        <w:t>西安科技大学：</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如有不实，我方将无条件地退出本项目的采购活动，并遵照《政府采购法》有关“提供虚假材料的规定”接受处罚。 </w:t>
      </w:r>
    </w:p>
    <w:p>
      <w:pPr>
        <w:pStyle w:val="5"/>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特此声明。 </w:t>
      </w:r>
    </w:p>
    <w:p>
      <w:pPr>
        <w:pStyle w:val="5"/>
        <w:wordWrap w:val="0"/>
        <w:spacing w:before="0" w:beforeAutospacing="0" w:after="0" w:afterAutospacing="0"/>
        <w:jc w:val="both"/>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w:t>
      </w:r>
    </w:p>
    <w:p>
      <w:pPr>
        <w:pStyle w:val="5"/>
        <w:wordWrap w:val="0"/>
        <w:spacing w:before="0" w:beforeAutospacing="0" w:after="0" w:afterAutospacing="0"/>
        <w:jc w:val="both"/>
        <w:rPr>
          <w:rFonts w:hint="eastAsia" w:ascii="仿宋" w:hAnsi="仿宋" w:eastAsia="仿宋" w:cs="仿宋"/>
          <w:sz w:val="24"/>
          <w:szCs w:val="24"/>
          <w:shd w:val="clear" w:color="auto" w:fill="FFFFFF"/>
        </w:rPr>
      </w:pPr>
    </w:p>
    <w:p>
      <w:pPr>
        <w:pStyle w:val="5"/>
        <w:wordWrap w:val="0"/>
        <w:spacing w:before="0" w:beforeAutospacing="0" w:after="0" w:afterAutospacing="0"/>
        <w:jc w:val="both"/>
        <w:rPr>
          <w:rFonts w:hint="eastAsia" w:ascii="仿宋" w:hAnsi="仿宋" w:eastAsia="仿宋" w:cs="仿宋"/>
          <w:sz w:val="24"/>
          <w:szCs w:val="24"/>
          <w:shd w:val="clear" w:color="auto" w:fill="FFFFFF"/>
        </w:rPr>
      </w:pPr>
    </w:p>
    <w:tbl>
      <w:tblPr>
        <w:tblStyle w:val="6"/>
        <w:tblW w:w="0" w:type="auto"/>
        <w:tblInd w:w="1242" w:type="dxa"/>
        <w:tblLayout w:type="fixed"/>
        <w:tblCellMar>
          <w:top w:w="0" w:type="dxa"/>
          <w:left w:w="108" w:type="dxa"/>
          <w:bottom w:w="0" w:type="dxa"/>
          <w:right w:w="108" w:type="dxa"/>
        </w:tblCellMar>
      </w:tblPr>
      <w:tblGrid>
        <w:gridCol w:w="2694"/>
        <w:gridCol w:w="287"/>
        <w:gridCol w:w="4532"/>
      </w:tblGrid>
      <w:tr>
        <w:tblPrEx>
          <w:tblCellMar>
            <w:top w:w="0" w:type="dxa"/>
            <w:left w:w="108" w:type="dxa"/>
            <w:bottom w:w="0" w:type="dxa"/>
            <w:right w:w="108" w:type="dxa"/>
          </w:tblCellMar>
        </w:tblPrEx>
        <w:trPr>
          <w:trHeight w:val="813"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425"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530" w:hRule="atLeast"/>
        </w:trPr>
        <w:tc>
          <w:tcPr>
            <w:tcW w:w="2694" w:type="dxa"/>
            <w:noWrap w:val="0"/>
            <w:vAlign w:val="bottom"/>
          </w:tcPr>
          <w:p>
            <w:pPr>
              <w:pStyle w:val="2"/>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pPr>
              <w:pStyle w:val="2"/>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pPr>
              <w:pStyle w:val="2"/>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rPr>
      </w:pPr>
    </w:p>
    <w:p>
      <w:pPr>
        <w:spacing w:line="360" w:lineRule="auto"/>
        <w:rPr>
          <w:rFonts w:hint="eastAsia" w:ascii="仿宋" w:hAnsi="仿宋" w:eastAsia="仿宋" w:cs="仿宋"/>
          <w:sz w:val="24"/>
        </w:rPr>
      </w:pPr>
      <w:bookmarkStart w:id="66" w:name="_GoBack"/>
      <w:bookmarkEnd w:id="6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527D713A"/>
    <w:rsid w:val="794E0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kern w:val="0"/>
      <w:sz w:val="30"/>
      <w:szCs w:val="20"/>
    </w:rPr>
  </w:style>
  <w:style w:type="paragraph" w:styleId="4">
    <w:name w:val="Plain Text"/>
    <w:basedOn w:val="1"/>
    <w:qFormat/>
    <w:uiPriority w:val="0"/>
    <w:rPr>
      <w:rFonts w:ascii="宋体" w:hAnsi="Courier New"/>
      <w:kern w:val="0"/>
      <w:sz w:val="20"/>
      <w:szCs w:val="20"/>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1261</Words>
  <Characters>1293</Characters>
  <Lines>0</Lines>
  <Paragraphs>0</Paragraphs>
  <TotalTime>3</TotalTime>
  <ScaleCrop>false</ScaleCrop>
  <LinksUpToDate>false</LinksUpToDate>
  <CharactersWithSpaces>1421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2023-09-13T07:09:27Z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C314A136393441938A0170620CAB30B7_12</vt:lpwstr>
  </property>
</Properties>
</file>