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实质性商务部分偏离表</w:t>
      </w:r>
    </w:p>
    <w:p>
      <w:pPr>
        <w:pStyle w:val="3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</w:p>
    <w:p>
      <w:pPr>
        <w:pStyle w:val="3"/>
        <w:spacing w:line="336" w:lineRule="auto"/>
        <w:ind w:firstLine="280" w:firstLineChars="100"/>
        <w:jc w:val="left"/>
        <w:rPr>
          <w:rFonts w:ascii="仿宋" w:hAnsi="仿宋"/>
          <w:color w:val="FF0000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 xml:space="preserve">项目编号： </w:t>
      </w:r>
      <w:r>
        <w:rPr>
          <w:rFonts w:ascii="仿宋" w:hAnsi="仿宋"/>
          <w:sz w:val="28"/>
          <w:szCs w:val="28"/>
        </w:rPr>
        <w:t xml:space="preserve">                             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包号：</w:t>
      </w:r>
      <w:bookmarkStart w:id="0" w:name="_GoBack"/>
      <w:bookmarkEnd w:id="0"/>
      <w:r>
        <w:rPr>
          <w:rFonts w:ascii="仿宋" w:hAnsi="仿宋"/>
          <w:sz w:val="28"/>
          <w:szCs w:val="28"/>
        </w:rPr>
        <w:t xml:space="preserve">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招标文件的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投标文件的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/>
          <w:sz w:val="28"/>
          <w:szCs w:val="28"/>
        </w:rPr>
        <w:t>1、填写招标文件</w:t>
      </w:r>
      <w:r>
        <w:rPr>
          <w:rFonts w:hint="eastAsia" w:ascii="仿宋" w:hAnsi="仿宋"/>
          <w:sz w:val="28"/>
          <w:szCs w:val="28"/>
          <w:lang w:val="en-US" w:eastAsia="zh-CN"/>
        </w:rPr>
        <w:t>中交货时间、交货地点、质保期、采购资金的支付方式及约定</w:t>
      </w:r>
      <w:r>
        <w:rPr>
          <w:rFonts w:hint="eastAsia" w:ascii="仿宋" w:hAnsi="仿宋"/>
          <w:sz w:val="28"/>
          <w:szCs w:val="28"/>
        </w:rPr>
        <w:t>的内容</w:t>
      </w:r>
      <w:r>
        <w:rPr>
          <w:rFonts w:hint="eastAsia" w:ascii="仿宋" w:hAnsi="仿宋"/>
          <w:sz w:val="28"/>
          <w:szCs w:val="28"/>
          <w:lang w:eastAsia="zh-CN"/>
        </w:rPr>
        <w:t>（</w:t>
      </w:r>
      <w:r>
        <w:rPr>
          <w:rFonts w:hint="eastAsia" w:ascii="仿宋" w:hAnsi="仿宋"/>
          <w:sz w:val="28"/>
          <w:szCs w:val="28"/>
        </w:rPr>
        <w:t>未填写</w:t>
      </w:r>
      <w:r>
        <w:rPr>
          <w:rFonts w:hint="eastAsia" w:ascii="仿宋" w:hAnsi="仿宋"/>
          <w:sz w:val="28"/>
          <w:szCs w:val="28"/>
          <w:lang w:val="en-US" w:eastAsia="zh-CN"/>
        </w:rPr>
        <w:t>的</w:t>
      </w:r>
      <w:r>
        <w:rPr>
          <w:rFonts w:hint="eastAsia" w:ascii="仿宋" w:hAnsi="仿宋"/>
          <w:sz w:val="28"/>
          <w:szCs w:val="28"/>
        </w:rPr>
        <w:t>，视为“完全响应”</w:t>
      </w:r>
      <w:r>
        <w:rPr>
          <w:rFonts w:hint="eastAsia" w:ascii="仿宋" w:hAnsi="仿宋"/>
          <w:sz w:val="28"/>
          <w:szCs w:val="28"/>
          <w:lang w:eastAsia="zh-CN"/>
        </w:rPr>
        <w:t>）。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2、在偏离项，必须注明“正偏离”“负偏离”或“完全响应”，并予以说明。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3、投标文件实际存在偏离，但投标人未在偏离表中注明的，视为负偏离，应当按照招标文件的规定执行。中标人在签订合同时，不得以任何理由进行抗辩。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br w:type="textWrapping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iYTg5NDBiZjhlN2VjMmMxODQyM2Y0NTY5NDI4ZDUifQ=="/>
  </w:docVars>
  <w:rsids>
    <w:rsidRoot w:val="00000000"/>
    <w:rsid w:val="044A0D11"/>
    <w:rsid w:val="31877FB2"/>
    <w:rsid w:val="36C4492A"/>
    <w:rsid w:val="401B6382"/>
    <w:rsid w:val="4D4D7B1B"/>
    <w:rsid w:val="65DE7F91"/>
    <w:rsid w:val="6A76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233</Words>
  <Characters>263</Characters>
  <Lines>0</Lines>
  <Paragraphs>0</Paragraphs>
  <TotalTime>0</TotalTime>
  <ScaleCrop>false</ScaleCrop>
  <LinksUpToDate>false</LinksUpToDate>
  <CharactersWithSpaces>308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2023-08-25T00:58:00Z</dcterms:created>
  <dc:creator>Administrator</dc:creator>
  <cp:lastModifiedBy>acer</cp:lastModifiedBy>
  <dcterms:modified xsi:type="dcterms:W3CDTF">2023-10-08T08:13:56Z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631F86663BC14B6381B40C0D04950339_12</vt:lpwstr>
  </property>
</Properties>
</file>