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电信带宽</w:t>
      </w:r>
      <w:r>
        <w:rPr>
          <w:rFonts w:hint="eastAsia"/>
          <w:b/>
          <w:sz w:val="24"/>
          <w:szCs w:val="24"/>
          <w:lang w:val="en-US" w:eastAsia="zh-CN"/>
        </w:rPr>
        <w:t>采购</w:t>
      </w:r>
      <w:r>
        <w:rPr>
          <w:rFonts w:hint="eastAsia"/>
          <w:b/>
          <w:sz w:val="24"/>
          <w:szCs w:val="24"/>
        </w:rPr>
        <w:t>项目技术要求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一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</w:rPr>
        <w:t>总体技术要求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1、接入互联网光纤要求最多通过两个网络节点连接到</w:t>
      </w:r>
      <w:r>
        <w:rPr>
          <w:bCs/>
          <w:sz w:val="24"/>
          <w:szCs w:val="24"/>
        </w:rPr>
        <w:t>CHINANET</w:t>
      </w:r>
      <w:r>
        <w:rPr>
          <w:rFonts w:hint="eastAsia"/>
          <w:bCs/>
          <w:sz w:val="24"/>
          <w:szCs w:val="24"/>
        </w:rPr>
        <w:t>骨干节点，实现高速</w:t>
      </w:r>
      <w:r>
        <w:rPr>
          <w:bCs/>
          <w:sz w:val="24"/>
          <w:szCs w:val="24"/>
        </w:rPr>
        <w:t>INTERNET</w:t>
      </w:r>
      <w:r>
        <w:rPr>
          <w:rFonts w:hint="eastAsia"/>
          <w:bCs/>
          <w:sz w:val="24"/>
          <w:szCs w:val="24"/>
        </w:rPr>
        <w:t>接入。必须保证带宽不稀释、出口无瓶颈，在带宽</w:t>
      </w:r>
      <w:r>
        <w:rPr>
          <w:bCs/>
          <w:sz w:val="24"/>
          <w:szCs w:val="24"/>
        </w:rPr>
        <w:t>QoS</w:t>
      </w:r>
      <w:r>
        <w:rPr>
          <w:rFonts w:hint="eastAsia"/>
          <w:bCs/>
          <w:sz w:val="24"/>
          <w:szCs w:val="24"/>
        </w:rPr>
        <w:t>和时延等方面有良好的保证；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2、提供出口链路需支持</w:t>
      </w:r>
      <w:r>
        <w:rPr>
          <w:bCs/>
          <w:sz w:val="24"/>
          <w:szCs w:val="24"/>
        </w:rPr>
        <w:t>光/电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100M</w:t>
      </w:r>
      <w:r>
        <w:rPr>
          <w:rFonts w:hint="eastAsia"/>
          <w:bCs/>
          <w:sz w:val="24"/>
          <w:szCs w:val="24"/>
        </w:rPr>
        <w:t>/</w:t>
      </w:r>
      <w:r>
        <w:rPr>
          <w:bCs/>
          <w:sz w:val="24"/>
          <w:szCs w:val="24"/>
        </w:rPr>
        <w:t>1000M</w:t>
      </w:r>
      <w:r>
        <w:rPr>
          <w:rFonts w:hint="eastAsia"/>
          <w:bCs/>
          <w:sz w:val="24"/>
          <w:szCs w:val="24"/>
        </w:rPr>
        <w:t>光口GE</w:t>
      </w:r>
      <w:r>
        <w:rPr>
          <w:bCs/>
          <w:sz w:val="24"/>
          <w:szCs w:val="24"/>
        </w:rPr>
        <w:t>等灵活接口类型，带宽可平滑升速</w:t>
      </w:r>
      <w:r>
        <w:rPr>
          <w:rFonts w:hint="eastAsia"/>
          <w:bCs/>
          <w:sz w:val="24"/>
          <w:szCs w:val="24"/>
        </w:rPr>
        <w:t>，最高可支持扩展至万兆口；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3、所提供的出口物理光路总衰减不超过16db；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4、所提供的光缆为单模光缆1310nm，损耗不超过0.4db/KM；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5、互联网出口第三方软件实测速率≥接口理论速率*95%；</w:t>
      </w:r>
      <w:r>
        <w:rPr>
          <w:bCs/>
          <w:sz w:val="24"/>
          <w:szCs w:val="24"/>
        </w:rPr>
        <w:t>上行速率≥下行速率×99%</w:t>
      </w:r>
      <w:r>
        <w:rPr>
          <w:rFonts w:hint="eastAsia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6、网络带宽独立性必须采用独享带宽接入（承诺1500</w:t>
      </w:r>
      <w:r>
        <w:rPr>
          <w:bCs/>
          <w:sz w:val="24"/>
          <w:szCs w:val="24"/>
        </w:rPr>
        <w:t>M</w:t>
      </w:r>
      <w:r>
        <w:rPr>
          <w:rFonts w:hint="eastAsia"/>
          <w:bCs/>
          <w:sz w:val="24"/>
          <w:szCs w:val="24"/>
        </w:rPr>
        <w:t>可达），企业独享</w:t>
      </w:r>
      <w:r>
        <w:rPr>
          <w:bCs/>
          <w:sz w:val="24"/>
          <w:szCs w:val="24"/>
        </w:rPr>
        <w:t>VIP</w:t>
      </w:r>
      <w:r>
        <w:rPr>
          <w:rFonts w:hint="eastAsia"/>
          <w:bCs/>
          <w:sz w:val="24"/>
          <w:szCs w:val="24"/>
        </w:rPr>
        <w:t>网络通道，网速不受宽带使用高峰期的影响，网速稳定优质。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7、售后响应时间不得超过0.5个小时，需要现场服务时，2小时内到达现场；4小时内解决故障。</w:t>
      </w:r>
    </w:p>
    <w:p>
      <w:pPr>
        <w:spacing w:line="360" w:lineRule="auto"/>
        <w:rPr>
          <w:b/>
          <w:bCs/>
        </w:rPr>
      </w:pPr>
      <w:r>
        <w:rPr>
          <w:rFonts w:hint="eastAsia"/>
          <w:b/>
          <w:bCs/>
          <w:sz w:val="24"/>
          <w:lang w:eastAsia="zh-CN"/>
        </w:rPr>
        <w:t>（</w:t>
      </w:r>
      <w:r>
        <w:rPr>
          <w:rFonts w:hint="eastAsia"/>
          <w:b/>
          <w:bCs/>
          <w:sz w:val="24"/>
          <w:lang w:val="en-US" w:eastAsia="zh-CN"/>
        </w:rPr>
        <w:t>二</w:t>
      </w:r>
      <w:r>
        <w:rPr>
          <w:rFonts w:hint="eastAsia"/>
          <w:b/>
          <w:bCs/>
          <w:sz w:val="24"/>
          <w:lang w:eastAsia="zh-CN"/>
        </w:rPr>
        <w:t>）</w:t>
      </w:r>
      <w:r>
        <w:rPr>
          <w:rFonts w:hint="eastAsia"/>
          <w:b/>
          <w:bCs/>
          <w:sz w:val="24"/>
        </w:rPr>
        <w:t>技术</w:t>
      </w:r>
      <w:r>
        <w:rPr>
          <w:b/>
          <w:bCs/>
          <w:sz w:val="24"/>
        </w:rPr>
        <w:t>要求</w:t>
      </w:r>
      <w:r>
        <w:rPr>
          <w:rFonts w:hint="eastAsia"/>
          <w:b/>
          <w:bCs/>
          <w:sz w:val="24"/>
        </w:rPr>
        <w:t>：</w:t>
      </w:r>
    </w:p>
    <w:tbl>
      <w:tblPr>
        <w:tblStyle w:val="2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895"/>
        <w:gridCol w:w="4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both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线路</w:t>
            </w: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接入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光纤专线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带宽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1500Mbps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eastAsia="宋体"/>
                <w:bCs/>
                <w:szCs w:val="18"/>
              </w:rPr>
              <w:t>IP</w:t>
            </w:r>
            <w:r>
              <w:rPr>
                <w:rFonts w:hint="eastAsia" w:eastAsia="宋体"/>
                <w:bCs/>
                <w:szCs w:val="18"/>
              </w:rPr>
              <w:t>地址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延用原有地址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接口实测速率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≥接口理论速率×</w:t>
            </w:r>
            <w:r>
              <w:rPr>
                <w:rFonts w:eastAsia="宋体"/>
                <w:bCs/>
                <w:szCs w:val="18"/>
              </w:rPr>
              <w:t>9</w:t>
            </w:r>
            <w:r>
              <w:rPr>
                <w:rFonts w:hint="eastAsia" w:eastAsia="宋体"/>
                <w:bCs/>
                <w:szCs w:val="18"/>
              </w:rPr>
              <w:t>5</w:t>
            </w:r>
            <w:r>
              <w:rPr>
                <w:rFonts w:eastAsia="宋体"/>
                <w:bCs/>
                <w:szCs w:val="1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上下行速率差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上行速率≥下行速率×</w:t>
            </w:r>
            <w:r>
              <w:rPr>
                <w:rFonts w:eastAsia="宋体"/>
                <w:bCs/>
                <w:szCs w:val="18"/>
              </w:rPr>
              <w:t>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年中断次数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≤</w:t>
            </w:r>
            <w:r>
              <w:rPr>
                <w:rFonts w:eastAsia="宋体"/>
                <w:bCs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每次中断时间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≤</w:t>
            </w:r>
            <w:r>
              <w:rPr>
                <w:rFonts w:eastAsia="宋体"/>
                <w:bCs/>
                <w:szCs w:val="18"/>
              </w:rPr>
              <w:t>120min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both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设备</w:t>
            </w: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光口路由器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为满足用户稳定性，不建议使用光纤收发器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both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服务</w:t>
            </w: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故障处理时间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响应时间≤0.5</w:t>
            </w:r>
            <w:r>
              <w:rPr>
                <w:rFonts w:eastAsia="宋体"/>
                <w:bCs/>
                <w:szCs w:val="18"/>
              </w:rPr>
              <w:t>h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排除时间≤</w:t>
            </w:r>
            <w:r>
              <w:rPr>
                <w:rFonts w:eastAsia="宋体"/>
                <w:bCs/>
                <w:szCs w:val="18"/>
              </w:rPr>
              <w:t>4h</w:t>
            </w:r>
            <w:r>
              <w:rPr>
                <w:rFonts w:hint="eastAsia" w:eastAsia="宋体"/>
                <w:bCs/>
                <w:szCs w:val="18"/>
              </w:rPr>
              <w:t>（不可</w:t>
            </w:r>
            <w:r>
              <w:rPr>
                <w:rFonts w:eastAsia="宋体"/>
                <w:bCs/>
                <w:szCs w:val="18"/>
              </w:rPr>
              <w:t>抗力除外）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新增线路开通时间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5个日历日内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jc w:val="both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培训</w:t>
            </w:r>
          </w:p>
        </w:tc>
        <w:tc>
          <w:tcPr>
            <w:tcW w:w="289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jc w:val="center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培训</w:t>
            </w:r>
          </w:p>
        </w:tc>
        <w:tc>
          <w:tcPr>
            <w:tcW w:w="46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spacing w:before="0" w:after="0" w:line="240" w:lineRule="auto"/>
              <w:ind w:firstLine="640"/>
              <w:textAlignment w:val="auto"/>
              <w:rPr>
                <w:rFonts w:eastAsia="宋体"/>
                <w:bCs/>
                <w:szCs w:val="18"/>
              </w:rPr>
            </w:pPr>
            <w:r>
              <w:rPr>
                <w:rFonts w:hint="eastAsia" w:eastAsia="宋体"/>
                <w:bCs/>
                <w:szCs w:val="18"/>
              </w:rPr>
              <w:t>不少于</w:t>
            </w:r>
            <w:r>
              <w:rPr>
                <w:rFonts w:eastAsia="宋体"/>
                <w:bCs/>
                <w:szCs w:val="18"/>
              </w:rPr>
              <w:t>1</w:t>
            </w:r>
            <w:r>
              <w:rPr>
                <w:rFonts w:hint="eastAsia" w:eastAsia="宋体"/>
                <w:bCs/>
                <w:szCs w:val="18"/>
              </w:rPr>
              <w:t>日</w:t>
            </w:r>
            <w:r>
              <w:rPr>
                <w:rFonts w:eastAsia="宋体"/>
                <w:bCs/>
                <w:szCs w:val="18"/>
              </w:rPr>
              <w:t>1</w:t>
            </w:r>
            <w:r>
              <w:rPr>
                <w:rFonts w:hint="eastAsia" w:eastAsia="宋体"/>
                <w:bCs/>
                <w:szCs w:val="18"/>
              </w:rPr>
              <w:t>人</w:t>
            </w:r>
          </w:p>
        </w:tc>
      </w:tr>
    </w:tbl>
    <w:p>
      <w:pPr>
        <w:rPr>
          <w:rFonts w:hint="eastAsia"/>
          <w:b/>
          <w:bCs/>
          <w:sz w:val="24"/>
          <w:lang w:eastAsia="zh-CN"/>
        </w:rPr>
      </w:pPr>
      <w:r>
        <w:rPr>
          <w:rFonts w:hint="eastAsia"/>
          <w:b/>
          <w:bCs/>
          <w:sz w:val="24"/>
          <w:lang w:eastAsia="zh-CN"/>
        </w:rPr>
        <w:br w:type="page"/>
      </w:r>
    </w:p>
    <w:p>
      <w:pPr>
        <w:spacing w:line="360" w:lineRule="auto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eastAsia="zh-CN"/>
        </w:rPr>
        <w:t>（</w:t>
      </w:r>
      <w:r>
        <w:rPr>
          <w:rFonts w:hint="eastAsia"/>
          <w:b/>
          <w:bCs/>
          <w:sz w:val="24"/>
          <w:lang w:val="en-US" w:eastAsia="zh-CN"/>
        </w:rPr>
        <w:t>三</w:t>
      </w:r>
      <w:r>
        <w:rPr>
          <w:rFonts w:hint="eastAsia"/>
          <w:b/>
          <w:bCs/>
          <w:sz w:val="24"/>
          <w:lang w:eastAsia="zh-CN"/>
        </w:rPr>
        <w:t>）</w:t>
      </w:r>
      <w:r>
        <w:rPr>
          <w:rFonts w:hint="eastAsia"/>
          <w:b/>
          <w:bCs/>
          <w:sz w:val="24"/>
        </w:rPr>
        <w:t>维保服务</w:t>
      </w:r>
      <w:r>
        <w:rPr>
          <w:rFonts w:hint="eastAsia"/>
          <w:b/>
          <w:bCs/>
          <w:sz w:val="24"/>
          <w:lang w:val="en-US" w:eastAsia="zh-CN"/>
        </w:rPr>
        <w:t>要求</w:t>
      </w:r>
    </w:p>
    <w:p>
      <w:pPr>
        <w:widowControl/>
        <w:adjustRightInd w:val="0"/>
        <w:snapToGrid w:val="0"/>
        <w:spacing w:beforeLines="50" w:line="360" w:lineRule="auto"/>
        <w:rPr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18"/>
        </w:rPr>
        <w:tab/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提供</w:t>
      </w:r>
      <w:r>
        <w:rPr>
          <w:rFonts w:ascii="Times New Roman" w:hAnsi="Times New Roman" w:eastAsia="宋体" w:cs="Times New Roman"/>
          <w:bCs/>
          <w:sz w:val="24"/>
          <w:szCs w:val="24"/>
        </w:rPr>
        <w:t>VIP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级别保障服务，提供</w:t>
      </w:r>
      <w:r>
        <w:rPr>
          <w:rFonts w:ascii="Times New Roman" w:hAnsi="Times New Roman" w:eastAsia="宋体" w:cs="Times New Roman"/>
          <w:bCs/>
          <w:sz w:val="24"/>
          <w:szCs w:val="24"/>
        </w:rPr>
        <w:t>7*24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小时的故障报修体系，承诺在报障后</w:t>
      </w:r>
      <w:r>
        <w:rPr>
          <w:rFonts w:ascii="Times New Roman" w:hAnsi="Times New Roman" w:eastAsia="宋体" w:cs="Times New Roman"/>
          <w:bCs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小时内排除网络故障，维护工程师每个月会上门走访巡检，进一步了解当前网络使用状况；一季度提供一次网络运行报告，对该季度</w:t>
      </w:r>
      <w:r>
        <w:rPr>
          <w:rFonts w:hint="eastAsia" w:cs="Times New Roman"/>
          <w:bCs/>
          <w:sz w:val="24"/>
          <w:szCs w:val="24"/>
          <w:lang w:val="en-US" w:eastAsia="zh-CN"/>
        </w:rPr>
        <w:t>采购人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的网络运行情况做全方位的分析。具体要求如下表：</w:t>
      </w:r>
    </w:p>
    <w:tbl>
      <w:tblPr>
        <w:tblStyle w:val="2"/>
        <w:tblpPr w:leftFromText="180" w:rightFromText="180" w:vertAnchor="text" w:horzAnchor="margin" w:tblpX="231" w:tblpY="30"/>
        <w:tblW w:w="8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7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960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序号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1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为</w:t>
            </w:r>
            <w:r>
              <w:rPr>
                <w:rFonts w:hint="eastAsia" w:cs="Times New Roman"/>
                <w:bCs/>
                <w:sz w:val="24"/>
                <w:szCs w:val="24"/>
                <w:lang w:val="en-US" w:eastAsia="zh-CN"/>
              </w:rPr>
              <w:t>采购人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提供总部所在地维护工程师专项服务。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2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7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：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00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至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24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：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00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件发生的障碍，进行故障处理的恢复时间为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4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小时。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3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提供网络巡检服务，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1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次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/1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4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在业务开通、障碍处理过程中及时做好与客户的沟通和反馈。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5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提供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7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×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 xml:space="preserve">24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的热线服务，提供故障一点受理与升级处理机制。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6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对中断超过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1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小时的服务方原因故障，提供故障处理报告。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7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提供网络运行分析报告，分析网络运行情况，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1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次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季度。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8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提供联席会议服务，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1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次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18"/>
              </w:rPr>
              <w:t>/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年（客户选择时间）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960" w:type="dxa"/>
            <w:vAlign w:val="center"/>
          </w:tcPr>
          <w:p>
            <w:pPr>
              <w:keepNext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/>
                <w:bCs/>
                <w:szCs w:val="18"/>
              </w:rPr>
              <w:t>9</w:t>
            </w:r>
          </w:p>
        </w:tc>
        <w:tc>
          <w:tcPr>
            <w:tcW w:w="7215" w:type="dxa"/>
            <w:vAlign w:val="center"/>
          </w:tcPr>
          <w:p>
            <w:pPr>
              <w:keepNext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/>
                <w:bCs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根据</w:t>
            </w:r>
            <w:r>
              <w:rPr>
                <w:rFonts w:hint="eastAsia" w:cs="Times New Roman"/>
                <w:bCs/>
                <w:sz w:val="24"/>
                <w:szCs w:val="18"/>
                <w:lang w:val="en-US" w:eastAsia="zh-CN"/>
              </w:rPr>
              <w:t>采购人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18"/>
              </w:rPr>
              <w:t>需求提供技术业务培训及研讨交流。</w:t>
            </w:r>
          </w:p>
        </w:tc>
      </w:tr>
    </w:tbl>
    <w:p>
      <w:pPr>
        <w:rPr>
          <w:bCs/>
          <w:sz w:val="24"/>
        </w:rPr>
      </w:pPr>
      <w:r>
        <w:rPr>
          <w:rFonts w:hint="eastAsia"/>
          <w:bCs/>
          <w:sz w:val="24"/>
        </w:rPr>
        <w:tab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14A4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6"/>
    <w:basedOn w:val="1"/>
    <w:qFormat/>
    <w:uiPriority w:val="99"/>
    <w:pPr>
      <w:topLinePunct/>
      <w:spacing w:before="160" w:after="60"/>
      <w:jc w:val="center"/>
    </w:pPr>
    <w:rPr>
      <w:rFonts w:ascii="Times New Roman" w:hAnsi="Times New Roman" w:eastAsia="黑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2023-10-09T03:09:48Z</dcterms:created>
  <dc:creator>chuanzhao</dc:creator>
  <cp:lastModifiedBy>川招</cp:lastModifiedBy>
  <dcterms:modified xsi:type="dcterms:W3CDTF">2023-10-09T03:09:57Z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460E768B87DB4618B76225A76DDB0322_12</vt:lpwstr>
  </property>
</Properties>
</file>