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 w:leftChars="200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合同条款部分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甲方：西安科技大学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根据《中华人民共和国民法典》等法律法规，甲方通过竞争性谈判，选定乙方为成交单位。甲、乙双方在平等基础上协商一致，达成如下合同条款：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2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32"/>
        <w:gridCol w:w="1006"/>
        <w:gridCol w:w="1303"/>
        <w:gridCol w:w="962"/>
        <w:gridCol w:w="1917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>
      <w:pPr>
        <w:kinsoku w:val="0"/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乙方负责按合同供货清单确定的物品规格、包装及配套内容进行供货，确保产品无质量问题，做好售后服务工作。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合同总价：人民币大写：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元；¥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元。</w:t>
      </w:r>
    </w:p>
    <w:p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合同总价包括所发生的运输费、杂费（含保险）、商检费、搬运费、人工费、发放及调换货费用等，包括从产品供应地到交货地点所包含的一切费用。</w:t>
      </w:r>
    </w:p>
    <w:p>
      <w:pPr>
        <w:numPr>
          <w:ilvl w:val="0"/>
          <w:numId w:val="1"/>
        </w:num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进口产品付款方式：签订合同前向学校缴纳5%的履约保证金，由采购人委托外贸进出口公司开出100%不可撤销信用证，外贸进出口公司凭装运单据支付90%货款，产品安装调试完毕后，凭学校验收报告支付10%余款。缴纳的5%履约保证金无质量问题一次性无息退还。</w:t>
      </w:r>
    </w:p>
    <w:p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国产产品付款方式：</w:t>
      </w:r>
    </w:p>
    <w:p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（1）非中小企业中标付款方式：签订合同前向学校缴纳5%的履约保证金，国内产品安装调试经学校验收合格后一次性支付全款，同时缴纳的5%履约保证金无质量问题一次性无息退还。 </w:t>
      </w:r>
    </w:p>
    <w:p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（2）中小企业中标付款方式： 签订合同前向学校缴纳5%的履约保证金，合同签订后采购人支付40%合同金额的预付款。国内产品安装调试经学校验收合格后一次性支付60%合同金额的余款，同时缴纳的5%履约保证金无质量问题一次性无息退还。</w:t>
      </w:r>
    </w:p>
    <w:p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履约保证金：供应商成交后凭成交通知书向采购人缴纳成交金额的5%作为履约保证金，验收合格支付货款后，5%履约保证金无质量问题一次性无息退还。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1.交货期：_____________________；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2.交货具体地点：</w:t>
      </w:r>
      <w:r>
        <w:rPr>
          <w:rFonts w:hint="eastAsia" w:ascii="宋体" w:hAnsi="宋体" w:cs="宋体"/>
          <w:sz w:val="24"/>
          <w:szCs w:val="24"/>
        </w:rPr>
        <w:t>西安科技大学指定地点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五、运输方式：</w:t>
      </w: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>
      <w:pPr>
        <w:wordWrap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Cs/>
          <w:sz w:val="24"/>
        </w:rPr>
        <w:t>项目质保期：</w:t>
      </w:r>
      <w:r>
        <w:rPr>
          <w:rFonts w:hint="eastAsia" w:ascii="宋体" w:hAnsi="宋体" w:cs="宋体"/>
          <w:sz w:val="24"/>
          <w:szCs w:val="24"/>
        </w:rPr>
        <w:t>验收合格后质保_____年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2、质保期内，若发生产品质量问题，乙方应免费解决。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3、超过质保期的维修服务，按照厂家承诺进行。</w:t>
      </w:r>
    </w:p>
    <w:p>
      <w:pPr>
        <w:adjustRightInd w:val="0"/>
        <w:snapToGrid w:val="0"/>
        <w:spacing w:line="400" w:lineRule="exact"/>
        <w:ind w:firstLine="359" w:firstLineChars="14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szCs w:val="24"/>
        </w:rPr>
        <w:t>技术支持、培训和售后服务和验收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厂家现场服务人员的任务主要包括货物的开箱检验、设备质量问题的处理、指导安装和调试、参加试运和性能验收试验。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按照生产厂提供的技术指标及标书要求验收设备。同时提供设备出厂检验报告和质量合格证书。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1、按《中华人民共和国民法典》中的相关条款执行。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2、若乙方出现不能供货等违约情况、未按合同要求提供产品或设备质量不能满足招标的技术要求，甲方有权终止合同，并保留追究乙方违约责任的权利。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4、因供货期迟延的，乙方按照每天1‰向甲方承担违约责任。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5、因产品质量问题违约的，除了按照迟延时间计算违约金外，另可以采取退货、换货等方式，由乙方承担一切费用。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1、甲、乙双方作为合同执行的主体，有义务及时完全履行合同。本项目招标代理机构监督履行。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3、谈判文件和乙方的响应文件以及合同附件均为合同不可分割的部分。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4、合同一式陆份，甲方持肆份、乙方执壹份，招标代理机构壹份。双方签字盖章后生效，合同执行完毕自动失效。（合同的服务承诺长期有效）。</w:t>
      </w:r>
    </w:p>
    <w:p>
      <w:pPr>
        <w:tabs>
          <w:tab w:val="left" w:pos="5355"/>
        </w:tabs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5、甲方收货、验货人员：____________  电话：_______________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甲  方：   　                        乙  方：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　址:                              地　址：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　　　　　　　　　　　　　 　代理人：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鉴定方：陕西卓佲项目管理有限公司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联系电话： </w:t>
      </w:r>
    </w:p>
    <w:p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时间：</w:t>
      </w:r>
    </w:p>
    <w:p>
      <w:pPr>
        <w:pStyle w:val="4"/>
        <w:rPr>
          <w:sz w:val="24"/>
          <w:szCs w:val="24"/>
        </w:rPr>
      </w:pPr>
    </w:p>
    <w:p>
      <w:pPr>
        <w:pStyle w:val="4"/>
        <w:rPr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iYjFlY2ZhNzFmNGMyMjI0ZWJjODE1ZjMzYzA5NDQifQ=="/>
  </w:docVars>
  <w:rsids>
    <w:rsidRoot w:val="00000000"/>
    <w:rsid w:val="253C7C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essageHeader"/>
    <w:basedOn w:val="1"/>
    <w:next w:val="5"/>
    <w:qFormat/>
    <w:uiPriority w:val="0"/>
    <w:pPr>
      <w:pBdr>
        <w:top w:val="none" w:color="000000" w:sz="0" w:space="1"/>
        <w:left w:val="none" w:color="000000" w:sz="0" w:space="1"/>
        <w:bottom w:val="none" w:color="000000" w:sz="0" w:space="1"/>
        <w:right w:val="none" w:color="000000" w:sz="0" w:space="1"/>
      </w:pBdr>
      <w:snapToGrid w:val="0"/>
      <w:spacing w:line="360" w:lineRule="auto"/>
      <w:textAlignment w:val="baseline"/>
    </w:pPr>
    <w:rPr>
      <w:rFonts w:ascii="Arial" w:hAnsi="Arial"/>
      <w:sz w:val="28"/>
    </w:rPr>
  </w:style>
  <w:style w:type="paragraph" w:customStyle="1" w:styleId="5">
    <w:name w:val="BodyText"/>
    <w:basedOn w:val="1"/>
    <w:next w:val="1"/>
    <w:qFormat/>
    <w:uiPriority w:val="0"/>
    <w:pPr>
      <w:jc w:val="center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®</cp:lastModifiedBy>
  <dcterms:modified xsi:type="dcterms:W3CDTF">2023-09-07T03:50:06Z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40D44B8481F748AA836106FECBC21AE8_12</vt:lpwstr>
  </property>
</Properties>
</file>