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ascii="宋体" w:hAnsi="宋体" w:cs="宋体"/>
          <w:color w:val="auto"/>
          <w:szCs w:val="21"/>
        </w:rPr>
      </w:pPr>
      <w:r>
        <w:rPr>
          <w:rFonts w:hint="eastAsia" w:ascii="宋体" w:hAnsi="宋体" w:cs="宋体"/>
          <w:color w:val="auto"/>
          <w:szCs w:val="21"/>
        </w:rPr>
        <w:t>甲方： 陕西中药研究所（陕西医药信息中心）</w:t>
      </w:r>
    </w:p>
    <w:p>
      <w:pPr>
        <w:spacing w:line="360" w:lineRule="auto"/>
        <w:jc w:val="both"/>
        <w:rPr>
          <w:rFonts w:hint="eastAsia" w:ascii="宋体" w:hAnsi="宋体" w:cs="宋体"/>
          <w:color w:val="auto"/>
          <w:szCs w:val="21"/>
        </w:rPr>
      </w:pPr>
      <w:r>
        <w:rPr>
          <w:rFonts w:hint="eastAsia" w:ascii="宋体" w:hAnsi="宋体" w:cs="宋体"/>
          <w:color w:val="auto"/>
          <w:szCs w:val="21"/>
        </w:rPr>
        <w:t>乙方：</w:t>
      </w:r>
    </w:p>
    <w:p>
      <w:pPr>
        <w:keepNext w:val="0"/>
        <w:keepLines w:val="0"/>
        <w:pageBreakBefore w:val="0"/>
        <w:widowControl w:val="0"/>
        <w:kinsoku/>
        <w:wordWrap/>
        <w:overflowPunct/>
        <w:topLinePunct w:val="0"/>
        <w:autoSpaceDE/>
        <w:autoSpaceDN/>
        <w:bidi w:val="0"/>
        <w:adjustRightInd/>
        <w:snapToGrid/>
        <w:spacing w:line="360" w:lineRule="auto"/>
        <w:ind w:right="210" w:rightChars="100" w:firstLine="420" w:firstLineChars="200"/>
        <w:jc w:val="both"/>
        <w:textAlignment w:val="auto"/>
        <w:rPr>
          <w:rFonts w:hint="eastAsia" w:ascii="宋体" w:hAnsi="宋体" w:cs="宋体"/>
          <w:color w:val="auto"/>
          <w:szCs w:val="21"/>
        </w:rPr>
      </w:pPr>
      <w:r>
        <w:rPr>
          <w:rFonts w:hint="eastAsia" w:ascii="宋体" w:hAnsi="宋体" w:cs="宋体"/>
          <w:color w:val="auto"/>
          <w:szCs w:val="21"/>
        </w:rPr>
        <w:t>按照政府采购程序组织公开招标，确定乙方为中标供应商。依据《中华人民共和国政府采购法》《中华人民共和国民法典》以及招标文件、中标供应商的投标文件正本和澄清表（函）、中标通知书，经甲、乙双方协商，达成如下条款：</w:t>
      </w:r>
      <w:bookmarkStart w:id="0" w:name="_GoBack"/>
      <w:bookmarkEnd w:id="0"/>
    </w:p>
    <w:p>
      <w:pPr>
        <w:tabs>
          <w:tab w:val="left" w:pos="480"/>
        </w:tabs>
        <w:spacing w:line="360" w:lineRule="auto"/>
        <w:ind w:firstLine="422" w:firstLineChars="200"/>
        <w:jc w:val="both"/>
        <w:rPr>
          <w:rFonts w:ascii="宋体" w:hAnsi="宋体" w:cs="宋体"/>
          <w:b/>
          <w:color w:val="auto"/>
          <w:szCs w:val="21"/>
        </w:rPr>
      </w:pPr>
      <w:r>
        <w:rPr>
          <w:rFonts w:hint="eastAsia" w:ascii="宋体" w:hAnsi="宋体" w:cs="宋体"/>
          <w:b/>
          <w:color w:val="auto"/>
          <w:szCs w:val="21"/>
        </w:rPr>
        <w:t>一、合同标的物内容及数量</w:t>
      </w:r>
      <w:r>
        <w:rPr>
          <w:rFonts w:hint="eastAsia" w:ascii="宋体" w:hAnsi="宋体" w:cs="宋体"/>
          <w:color w:val="auto"/>
          <w:szCs w:val="21"/>
        </w:rPr>
        <w:t>（以投标文件正本和澄清表〈函〉为准）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634"/>
        <w:gridCol w:w="1073"/>
        <w:gridCol w:w="1233"/>
        <w:gridCol w:w="1316"/>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r>
              <w:rPr>
                <w:rFonts w:hint="eastAsia" w:ascii="宋体" w:hAnsi="宋体" w:cs="宋体"/>
                <w:color w:val="auto"/>
                <w:szCs w:val="21"/>
              </w:rPr>
              <w:t>序号</w:t>
            </w:r>
          </w:p>
        </w:tc>
        <w:tc>
          <w:tcPr>
            <w:tcW w:w="1634"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r>
              <w:rPr>
                <w:rFonts w:hint="eastAsia" w:ascii="宋体" w:hAnsi="宋体" w:cs="宋体"/>
                <w:color w:val="auto"/>
                <w:szCs w:val="21"/>
              </w:rPr>
              <w:t>货物名称</w:t>
            </w:r>
          </w:p>
        </w:tc>
        <w:tc>
          <w:tcPr>
            <w:tcW w:w="1073"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r>
              <w:rPr>
                <w:rFonts w:hint="eastAsia" w:ascii="宋体" w:hAnsi="宋体" w:cs="宋体"/>
                <w:color w:val="auto"/>
                <w:szCs w:val="21"/>
              </w:rPr>
              <w:t>数量</w:t>
            </w:r>
          </w:p>
        </w:tc>
        <w:tc>
          <w:tcPr>
            <w:tcW w:w="1233"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r>
              <w:rPr>
                <w:rFonts w:hint="eastAsia" w:ascii="宋体" w:hAnsi="宋体" w:cs="宋体"/>
                <w:color w:val="auto"/>
                <w:szCs w:val="21"/>
              </w:rPr>
              <w:t>产地</w:t>
            </w:r>
          </w:p>
        </w:tc>
        <w:tc>
          <w:tcPr>
            <w:tcW w:w="1316" w:type="dxa"/>
            <w:tcBorders>
              <w:top w:val="single" w:color="auto" w:sz="4" w:space="0"/>
              <w:left w:val="single" w:color="auto" w:sz="4" w:space="0"/>
              <w:bottom w:val="single" w:color="auto" w:sz="4" w:space="0"/>
              <w:right w:val="single" w:color="auto" w:sz="4" w:space="0"/>
            </w:tcBorders>
            <w:vAlign w:val="center"/>
          </w:tcPr>
          <w:p>
            <w:pPr>
              <w:tabs>
                <w:tab w:val="left" w:pos="480"/>
              </w:tabs>
              <w:jc w:val="center"/>
              <w:rPr>
                <w:rFonts w:ascii="宋体" w:hAnsi="宋体" w:cs="宋体"/>
                <w:color w:val="auto"/>
                <w:szCs w:val="21"/>
              </w:rPr>
            </w:pPr>
            <w:r>
              <w:rPr>
                <w:rFonts w:hint="eastAsia" w:ascii="宋体" w:hAnsi="宋体" w:cs="宋体"/>
                <w:color w:val="auto"/>
                <w:szCs w:val="21"/>
              </w:rPr>
              <w:t>品牌</w:t>
            </w:r>
          </w:p>
        </w:tc>
        <w:tc>
          <w:tcPr>
            <w:tcW w:w="2211"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r>
              <w:rPr>
                <w:rFonts w:hint="eastAsia" w:ascii="宋体" w:hAnsi="宋体" w:cs="宋体"/>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r>
              <w:rPr>
                <w:rFonts w:hint="eastAsia" w:ascii="宋体" w:hAnsi="宋体" w:cs="宋体"/>
                <w:color w:val="auto"/>
                <w:szCs w:val="21"/>
              </w:rPr>
              <w:t>1</w:t>
            </w:r>
          </w:p>
        </w:tc>
        <w:tc>
          <w:tcPr>
            <w:tcW w:w="1634"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p>
        </w:tc>
        <w:tc>
          <w:tcPr>
            <w:tcW w:w="1073"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p>
        </w:tc>
        <w:tc>
          <w:tcPr>
            <w:tcW w:w="1233"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p>
        </w:tc>
        <w:tc>
          <w:tcPr>
            <w:tcW w:w="1316"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p>
        </w:tc>
        <w:tc>
          <w:tcPr>
            <w:tcW w:w="2211"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r>
              <w:rPr>
                <w:rFonts w:hint="eastAsia" w:ascii="宋体" w:hAnsi="宋体" w:cs="宋体"/>
                <w:color w:val="auto"/>
                <w:szCs w:val="21"/>
              </w:rPr>
              <w:t>2</w:t>
            </w:r>
          </w:p>
        </w:tc>
        <w:tc>
          <w:tcPr>
            <w:tcW w:w="1634"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p>
        </w:tc>
        <w:tc>
          <w:tcPr>
            <w:tcW w:w="1073"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p>
        </w:tc>
        <w:tc>
          <w:tcPr>
            <w:tcW w:w="1233"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p>
        </w:tc>
        <w:tc>
          <w:tcPr>
            <w:tcW w:w="1316"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p>
        </w:tc>
        <w:tc>
          <w:tcPr>
            <w:tcW w:w="2211"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r>
              <w:rPr>
                <w:rFonts w:hint="eastAsia" w:ascii="宋体" w:hAnsi="宋体" w:cs="宋体"/>
                <w:color w:val="auto"/>
                <w:szCs w:val="21"/>
              </w:rPr>
              <w:t>3</w:t>
            </w:r>
          </w:p>
        </w:tc>
        <w:tc>
          <w:tcPr>
            <w:tcW w:w="1634"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p>
        </w:tc>
        <w:tc>
          <w:tcPr>
            <w:tcW w:w="1073"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p>
        </w:tc>
        <w:tc>
          <w:tcPr>
            <w:tcW w:w="1233"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p>
        </w:tc>
        <w:tc>
          <w:tcPr>
            <w:tcW w:w="1316"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p>
        </w:tc>
        <w:tc>
          <w:tcPr>
            <w:tcW w:w="2211"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r>
              <w:rPr>
                <w:rFonts w:hint="eastAsia" w:ascii="宋体" w:hAnsi="宋体" w:cs="宋体"/>
                <w:color w:val="auto"/>
                <w:szCs w:val="21"/>
              </w:rPr>
              <w:t>……</w:t>
            </w:r>
          </w:p>
        </w:tc>
        <w:tc>
          <w:tcPr>
            <w:tcW w:w="1634"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p>
        </w:tc>
        <w:tc>
          <w:tcPr>
            <w:tcW w:w="1073"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p>
        </w:tc>
        <w:tc>
          <w:tcPr>
            <w:tcW w:w="1233"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p>
        </w:tc>
        <w:tc>
          <w:tcPr>
            <w:tcW w:w="1316"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p>
        </w:tc>
        <w:tc>
          <w:tcPr>
            <w:tcW w:w="2211"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r>
              <w:rPr>
                <w:rFonts w:hint="eastAsia" w:ascii="宋体" w:hAnsi="宋体" w:cs="宋体"/>
                <w:color w:val="auto"/>
                <w:szCs w:val="21"/>
              </w:rPr>
              <w:t>说明</w:t>
            </w:r>
          </w:p>
        </w:tc>
        <w:tc>
          <w:tcPr>
            <w:tcW w:w="7467" w:type="dxa"/>
            <w:gridSpan w:val="5"/>
            <w:tcBorders>
              <w:top w:val="single" w:color="auto" w:sz="4" w:space="0"/>
              <w:left w:val="single" w:color="auto" w:sz="4" w:space="0"/>
              <w:bottom w:val="single" w:color="auto" w:sz="4" w:space="0"/>
              <w:right w:val="single" w:color="auto" w:sz="4" w:space="0"/>
            </w:tcBorders>
            <w:vAlign w:val="center"/>
          </w:tcPr>
          <w:p>
            <w:pPr>
              <w:tabs>
                <w:tab w:val="left" w:pos="480"/>
              </w:tabs>
              <w:spacing w:line="360" w:lineRule="auto"/>
              <w:jc w:val="center"/>
              <w:rPr>
                <w:rFonts w:ascii="宋体" w:hAnsi="宋体" w:cs="宋体"/>
                <w:color w:val="auto"/>
                <w:szCs w:val="21"/>
              </w:rPr>
            </w:pPr>
          </w:p>
        </w:tc>
      </w:tr>
    </w:tbl>
    <w:p>
      <w:pPr>
        <w:tabs>
          <w:tab w:val="left" w:pos="480"/>
        </w:tabs>
        <w:spacing w:line="360" w:lineRule="auto"/>
        <w:ind w:firstLine="413" w:firstLineChars="196"/>
        <w:rPr>
          <w:rFonts w:ascii="宋体" w:hAnsi="宋体" w:cs="宋体"/>
          <w:b/>
          <w:color w:val="auto"/>
          <w:szCs w:val="21"/>
        </w:rPr>
      </w:pPr>
      <w:r>
        <w:rPr>
          <w:rFonts w:hint="eastAsia" w:ascii="宋体" w:hAnsi="宋体" w:cs="宋体"/>
          <w:b/>
          <w:color w:val="auto"/>
          <w:szCs w:val="21"/>
        </w:rPr>
        <w:t>二、合同价款</w:t>
      </w:r>
    </w:p>
    <w:p>
      <w:pPr>
        <w:tabs>
          <w:tab w:val="left" w:pos="480"/>
        </w:tabs>
        <w:spacing w:line="360" w:lineRule="auto"/>
        <w:ind w:firstLine="420" w:firstLineChars="200"/>
        <w:rPr>
          <w:rFonts w:ascii="宋体" w:hAnsi="宋体" w:cs="宋体"/>
          <w:color w:val="auto"/>
          <w:szCs w:val="21"/>
        </w:rPr>
      </w:pPr>
      <w:r>
        <w:rPr>
          <w:rFonts w:hint="eastAsia" w:ascii="宋体" w:hAnsi="宋体" w:cs="宋体"/>
          <w:color w:val="auto"/>
          <w:szCs w:val="21"/>
        </w:rPr>
        <w:t>（一）合同总价款为人民币（大写）</w:t>
      </w:r>
      <w:r>
        <w:rPr>
          <w:rFonts w:hint="eastAsia" w:ascii="宋体" w:hAnsi="宋体" w:cs="宋体"/>
          <w:color w:val="auto"/>
          <w:szCs w:val="21"/>
          <w:u w:val="single"/>
        </w:rPr>
        <w:t xml:space="preserve">               </w:t>
      </w:r>
      <w:r>
        <w:rPr>
          <w:rFonts w:hint="eastAsia" w:ascii="宋体" w:hAnsi="宋体" w:cs="宋体"/>
          <w:color w:val="auto"/>
          <w:szCs w:val="21"/>
        </w:rPr>
        <w:t>元整（¥</w:t>
      </w:r>
      <w:r>
        <w:rPr>
          <w:rFonts w:hint="eastAsia" w:ascii="宋体" w:hAnsi="宋体" w:cs="宋体"/>
          <w:color w:val="auto"/>
          <w:szCs w:val="21"/>
          <w:u w:val="single"/>
        </w:rPr>
        <w:t xml:space="preserve">           </w:t>
      </w:r>
      <w:r>
        <w:rPr>
          <w:rFonts w:hint="eastAsia" w:ascii="宋体" w:hAnsi="宋体" w:cs="宋体"/>
          <w:color w:val="auto"/>
          <w:szCs w:val="21"/>
        </w:rPr>
        <w:t>元）。</w:t>
      </w:r>
    </w:p>
    <w:p>
      <w:pPr>
        <w:tabs>
          <w:tab w:val="left" w:pos="480"/>
        </w:tabs>
        <w:spacing w:line="360" w:lineRule="auto"/>
        <w:ind w:firstLine="420" w:firstLineChars="200"/>
        <w:rPr>
          <w:rFonts w:ascii="宋体" w:hAnsi="宋体" w:cs="宋体"/>
          <w:color w:val="auto"/>
          <w:szCs w:val="21"/>
        </w:rPr>
      </w:pPr>
      <w:r>
        <w:rPr>
          <w:rFonts w:hint="eastAsia" w:ascii="宋体" w:hAnsi="宋体" w:cs="宋体"/>
          <w:color w:val="auto"/>
          <w:szCs w:val="21"/>
        </w:rPr>
        <w:t>（二）合同总价包括：完成本次采购货物（设备本体及附件、备品备件及专用工具）的供货、运输、安装（包含所需的配件及辅材等）、调试、验收、售后服务及税金等一切费用。</w:t>
      </w:r>
    </w:p>
    <w:p>
      <w:pPr>
        <w:tabs>
          <w:tab w:val="left" w:pos="480"/>
        </w:tabs>
        <w:spacing w:line="360" w:lineRule="auto"/>
        <w:ind w:firstLine="420" w:firstLineChars="200"/>
        <w:rPr>
          <w:rFonts w:ascii="宋体" w:hAnsi="宋体" w:cs="宋体"/>
          <w:color w:val="auto"/>
          <w:szCs w:val="21"/>
        </w:rPr>
      </w:pPr>
      <w:r>
        <w:rPr>
          <w:rFonts w:hint="eastAsia" w:ascii="宋体" w:hAnsi="宋体" w:cs="宋体"/>
          <w:color w:val="auto"/>
          <w:szCs w:val="21"/>
        </w:rPr>
        <w:t>（三）合同总价一次性包死，不受市场价格变化因素的影响。</w:t>
      </w:r>
    </w:p>
    <w:p>
      <w:pPr>
        <w:tabs>
          <w:tab w:val="left" w:pos="480"/>
        </w:tabs>
        <w:spacing w:line="360" w:lineRule="auto"/>
        <w:ind w:firstLine="413" w:firstLineChars="196"/>
        <w:rPr>
          <w:rFonts w:ascii="宋体" w:hAnsi="宋体" w:cs="宋体"/>
          <w:b/>
          <w:color w:val="auto"/>
          <w:szCs w:val="21"/>
        </w:rPr>
      </w:pPr>
      <w:r>
        <w:rPr>
          <w:rFonts w:hint="eastAsia" w:ascii="宋体" w:hAnsi="宋体" w:cs="宋体"/>
          <w:b/>
          <w:color w:val="auto"/>
          <w:szCs w:val="21"/>
        </w:rPr>
        <w:t>三、款项结算</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（一）合同签订后，达到付款条件起10日内，支付合同总金额的40.00%，即人民币（大写）元整（¥</w:t>
      </w:r>
      <w:r>
        <w:rPr>
          <w:rFonts w:hint="eastAsia" w:ascii="宋体" w:hAnsi="宋体" w:cs="宋体"/>
          <w:bCs/>
          <w:color w:val="auto"/>
          <w:szCs w:val="21"/>
          <w:u w:val="single"/>
        </w:rPr>
        <w:t xml:space="preserve">      </w:t>
      </w:r>
      <w:r>
        <w:rPr>
          <w:rFonts w:hint="eastAsia" w:ascii="宋体" w:hAnsi="宋体" w:cs="宋体"/>
          <w:bCs/>
          <w:color w:val="auto"/>
          <w:szCs w:val="21"/>
        </w:rPr>
        <w:t>元）。</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（二）所有货物到达甲方指定地点，安装、调试、验收合格后，达到付款条件起10日内，支付合同总金额的60.00%，即人民币（大写）</w:t>
      </w:r>
      <w:r>
        <w:rPr>
          <w:rFonts w:hint="eastAsia" w:ascii="宋体" w:hAnsi="宋体" w:cs="宋体"/>
          <w:bCs/>
          <w:color w:val="auto"/>
          <w:szCs w:val="21"/>
          <w:u w:val="single"/>
        </w:rPr>
        <w:t xml:space="preserve">          </w:t>
      </w:r>
      <w:r>
        <w:rPr>
          <w:rFonts w:hint="eastAsia" w:ascii="宋体" w:hAnsi="宋体" w:cs="宋体"/>
          <w:bCs/>
          <w:color w:val="auto"/>
          <w:szCs w:val="21"/>
        </w:rPr>
        <w:t>元整（¥</w:t>
      </w:r>
      <w:r>
        <w:rPr>
          <w:rFonts w:hint="eastAsia" w:ascii="宋体" w:hAnsi="宋体" w:cs="宋体"/>
          <w:bCs/>
          <w:color w:val="auto"/>
          <w:szCs w:val="21"/>
          <w:u w:val="single"/>
        </w:rPr>
        <w:t xml:space="preserve">      </w:t>
      </w:r>
      <w:r>
        <w:rPr>
          <w:rFonts w:hint="eastAsia" w:ascii="宋体" w:hAnsi="宋体" w:cs="宋体"/>
          <w:bCs/>
          <w:color w:val="auto"/>
          <w:szCs w:val="21"/>
        </w:rPr>
        <w:t>元）。</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三）支付方式：银行转账。乙方要如实开具发票，不得变更开票内容，乙方开具发票出现税务争议时，乙方需承担税款、滞纳金、罚款等赔偿责任以及其他相关责任。甲方付款前，乙方应按前述要求开据相应金额发票，否则甲方有权延期付款。</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（四）结算方式：验收合格后填写政府采购项目验收单（一式捌份）, 持中标通知书、供货合同、发票（按合同总价直开甲方）、政府采购项目验收单，到甲方办理资金结算。</w:t>
      </w:r>
    </w:p>
    <w:p>
      <w:pPr>
        <w:tabs>
          <w:tab w:val="left" w:pos="480"/>
        </w:tabs>
        <w:spacing w:line="360" w:lineRule="auto"/>
        <w:ind w:firstLine="413" w:firstLineChars="196"/>
        <w:rPr>
          <w:rFonts w:ascii="宋体" w:hAnsi="宋体" w:cs="宋体"/>
          <w:b/>
          <w:color w:val="auto"/>
          <w:szCs w:val="21"/>
        </w:rPr>
      </w:pPr>
      <w:r>
        <w:rPr>
          <w:rFonts w:hint="eastAsia" w:ascii="宋体" w:hAnsi="宋体" w:cs="宋体"/>
          <w:b/>
          <w:color w:val="auto"/>
          <w:szCs w:val="21"/>
        </w:rPr>
        <w:t>四、保密条款及知识产权</w:t>
      </w:r>
    </w:p>
    <w:p>
      <w:pPr>
        <w:pStyle w:val="9"/>
        <w:spacing w:beforeLines="0" w:afterLines="0"/>
        <w:ind w:firstLine="420"/>
        <w:rPr>
          <w:rFonts w:ascii="宋体" w:hAnsi="宋体"/>
          <w:color w:val="auto"/>
          <w:sz w:val="21"/>
          <w:szCs w:val="21"/>
        </w:rPr>
      </w:pPr>
      <w:r>
        <w:rPr>
          <w:rFonts w:hint="eastAsia" w:ascii="宋体" w:hAnsi="宋体"/>
          <w:color w:val="auto"/>
          <w:sz w:val="21"/>
          <w:szCs w:val="21"/>
        </w:rPr>
        <w:t>（一）乙方保证对从甲方取得的非公开及涉密信息（技术信息、政策信息及其他涉密信息）予以保密。未经甲方书面同意，不得向任何第三方泄露该涉密信息的全部或部分内容。</w:t>
      </w:r>
    </w:p>
    <w:p>
      <w:pPr>
        <w:tabs>
          <w:tab w:val="left" w:pos="480"/>
        </w:tabs>
        <w:spacing w:line="360" w:lineRule="auto"/>
        <w:ind w:firstLine="420" w:firstLineChars="200"/>
        <w:rPr>
          <w:rFonts w:ascii="宋体" w:hAnsi="宋体" w:cs="宋体"/>
          <w:color w:val="auto"/>
          <w:szCs w:val="21"/>
        </w:rPr>
      </w:pPr>
      <w:r>
        <w:rPr>
          <w:rFonts w:hint="eastAsia" w:ascii="宋体" w:hAnsi="宋体" w:cs="宋体"/>
          <w:color w:val="auto"/>
          <w:szCs w:val="21"/>
        </w:rPr>
        <w:t>（二）乙方保证，甲方在使用乙方所提供的服务时免受第三方提出的侵犯其专利权或其它知识产权的起诉；如因侵权引起的任何法律责任以及给甲方带来的所有损失（包括但不限于甲方向第三人支付的赔偿、甲方律师费、差旅费、鉴定公证费、甲方人员误工费等）由乙方承担。</w:t>
      </w:r>
    </w:p>
    <w:p>
      <w:pPr>
        <w:pStyle w:val="2"/>
        <w:rPr>
          <w:color w:val="auto"/>
        </w:rPr>
      </w:pPr>
      <w:r>
        <w:rPr>
          <w:rFonts w:hint="eastAsia" w:ascii="宋体" w:hAnsi="宋体" w:cs="宋体"/>
          <w:color w:val="auto"/>
          <w:sz w:val="21"/>
          <w:szCs w:val="21"/>
        </w:rPr>
        <w:t>（三）设备购入后，所产生的科研成果归甲方单独所有。</w:t>
      </w:r>
    </w:p>
    <w:p>
      <w:pPr>
        <w:tabs>
          <w:tab w:val="left" w:pos="480"/>
        </w:tabs>
        <w:spacing w:line="360" w:lineRule="auto"/>
        <w:ind w:firstLine="413" w:firstLineChars="196"/>
        <w:rPr>
          <w:rFonts w:ascii="宋体" w:hAnsi="宋体" w:cs="宋体"/>
          <w:b/>
          <w:color w:val="auto"/>
          <w:szCs w:val="21"/>
        </w:rPr>
      </w:pPr>
      <w:r>
        <w:rPr>
          <w:rFonts w:hint="eastAsia" w:ascii="宋体" w:hAnsi="宋体" w:cs="宋体"/>
          <w:b/>
          <w:color w:val="auto"/>
          <w:szCs w:val="21"/>
        </w:rPr>
        <w:t>五、双方的权利和义务</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（一）甲方的权利和义务</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 xml:space="preserve">    甲方权利：组织使用单位严格按照招标文件及投标文件要求和标准验收货物。</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 xml:space="preserve">    甲方义务：积极配合乙方验收、安装、调试工作。</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（二）乙方的权利和义务</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 xml:space="preserve">    乙方权利：按照合同约定要求甲方及时付款。</w:t>
      </w:r>
    </w:p>
    <w:p>
      <w:pPr>
        <w:tabs>
          <w:tab w:val="left" w:pos="480"/>
        </w:tabs>
        <w:spacing w:line="360" w:lineRule="auto"/>
        <w:ind w:firstLine="420" w:firstLineChars="200"/>
        <w:rPr>
          <w:color w:val="auto"/>
        </w:rPr>
      </w:pPr>
      <w:r>
        <w:rPr>
          <w:rFonts w:hint="eastAsia" w:ascii="宋体" w:hAnsi="宋体" w:cs="宋体"/>
          <w:bCs/>
          <w:color w:val="auto"/>
          <w:szCs w:val="21"/>
        </w:rPr>
        <w:t xml:space="preserve">    乙方义务：按照合同约定时间，按甲方指定地点提供货物，配合验收工作。                  </w:t>
      </w:r>
    </w:p>
    <w:p>
      <w:pPr>
        <w:tabs>
          <w:tab w:val="left" w:pos="480"/>
        </w:tabs>
        <w:spacing w:line="360" w:lineRule="auto"/>
        <w:ind w:firstLine="413" w:firstLineChars="196"/>
        <w:rPr>
          <w:rFonts w:ascii="宋体" w:hAnsi="宋体" w:cs="宋体"/>
          <w:b/>
          <w:color w:val="auto"/>
          <w:szCs w:val="21"/>
        </w:rPr>
      </w:pPr>
      <w:r>
        <w:rPr>
          <w:rFonts w:hint="eastAsia" w:ascii="宋体" w:hAnsi="宋体" w:cs="宋体"/>
          <w:b/>
          <w:color w:val="auto"/>
          <w:szCs w:val="21"/>
        </w:rPr>
        <w:t>六、交货条件：</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（一）交货地点：</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（二）交货期（含安装期）：</w:t>
      </w:r>
    </w:p>
    <w:p>
      <w:pPr>
        <w:tabs>
          <w:tab w:val="left" w:pos="480"/>
        </w:tabs>
        <w:spacing w:line="360" w:lineRule="auto"/>
        <w:ind w:firstLine="413" w:firstLineChars="196"/>
        <w:rPr>
          <w:rFonts w:ascii="宋体" w:hAnsi="宋体" w:cs="宋体"/>
          <w:b/>
          <w:color w:val="auto"/>
          <w:szCs w:val="21"/>
        </w:rPr>
      </w:pPr>
      <w:r>
        <w:rPr>
          <w:rFonts w:hint="eastAsia" w:ascii="宋体" w:hAnsi="宋体" w:cs="宋体"/>
          <w:b/>
          <w:color w:val="auto"/>
          <w:szCs w:val="21"/>
        </w:rPr>
        <w:t>七、运输</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（一）运输由乙方负责，运杂费已包含在合同总价内，包括从货物供应地点所含的运输费、装卸费、仓储费、保险费等。</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（二）运输方式由乙方自行选择，但必须保证按期交货。</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三）涉及的商品包装和快递包装，均应符合《商品包装政府采购需求标准（试行）》《快递包装政府采购需求标准（试行）》的要求，包装应适应于远距离运输、防潮、防震、防锈和防野蛮装卸，以确保货物安全无损运抵指定地点。在运输过程中货物、设备的全部风险由乙方承担。</w:t>
      </w:r>
    </w:p>
    <w:p>
      <w:pPr>
        <w:tabs>
          <w:tab w:val="left" w:pos="480"/>
        </w:tabs>
        <w:spacing w:line="360" w:lineRule="auto"/>
        <w:ind w:firstLine="413" w:firstLineChars="196"/>
        <w:rPr>
          <w:rFonts w:ascii="宋体" w:hAnsi="宋体" w:cs="宋体"/>
          <w:b/>
          <w:color w:val="auto"/>
          <w:szCs w:val="21"/>
        </w:rPr>
      </w:pPr>
      <w:r>
        <w:rPr>
          <w:rFonts w:hint="eastAsia" w:ascii="宋体" w:hAnsi="宋体" w:cs="宋体"/>
          <w:b/>
          <w:color w:val="auto"/>
          <w:szCs w:val="21"/>
        </w:rPr>
        <w:t>八、质量保证</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乙方所供货物必须执行下列条款：</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（一）设备到位后，工程师应立即进行安装、调试，同时对操作人员进行严格的规范化培训，使甲方人员能够熟练操作设备。</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（二）保证技术指标先进、质量性能可靠、进货渠道正常，配置合理，全面满足招标要求。</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（三）符合国家有关规范要求，确保达到最佳运行状态。</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（四）具有良好的外观，适合安装场所的使用。</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（五）自安装、调试正常运行并验收合格之日起：</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1、</w:t>
      </w:r>
      <w:r>
        <w:rPr>
          <w:rFonts w:hint="eastAsia" w:ascii="宋体" w:hAnsi="宋体"/>
          <w:color w:val="auto"/>
          <w:szCs w:val="21"/>
        </w:rPr>
        <w:t>免费质保期为设备（产品）自安装调试验收合格之日起</w:t>
      </w:r>
      <w:r>
        <w:rPr>
          <w:rFonts w:hint="eastAsia" w:ascii="宋体" w:hAnsi="宋体" w:cs="宋体"/>
          <w:bCs/>
          <w:color w:val="auto"/>
          <w:szCs w:val="21"/>
          <w:u w:val="single"/>
        </w:rPr>
        <w:t xml:space="preserve">   </w:t>
      </w:r>
      <w:r>
        <w:rPr>
          <w:rFonts w:hint="eastAsia" w:ascii="宋体" w:hAnsi="宋体" w:cs="宋体"/>
          <w:bCs/>
          <w:color w:val="auto"/>
          <w:szCs w:val="21"/>
        </w:rPr>
        <w:t>年</w:t>
      </w:r>
      <w:r>
        <w:rPr>
          <w:rFonts w:hint="eastAsia" w:ascii="宋体" w:hAnsi="宋体" w:cs="Arial"/>
          <w:bCs/>
          <w:color w:val="auto"/>
          <w:szCs w:val="21"/>
        </w:rPr>
        <w:t>。</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2、免费保修期内，同一主要部件出现质量问题经过一次维修后仍无法正常使用，可以更换同型号、同规格的产品，对问题较大短期内暂不能解决的，为不影响甲方正常使用，乙方在2日内免费提供替代产品，确保正常运行；</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3、30天内，如出现质量问题，可以选择换货或退货；</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4、30至60天内，如出现质量问题，可选择换货。</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（五）设备因产品质量或设计缺陷等问题，而发生的差错或纠纷乙方及生产厂商承担全部责任。如因此给甲方造成损失的，甲方有权向乙方追偿。</w:t>
      </w:r>
    </w:p>
    <w:p>
      <w:pPr>
        <w:tabs>
          <w:tab w:val="left" w:pos="480"/>
        </w:tabs>
        <w:spacing w:line="360" w:lineRule="auto"/>
        <w:ind w:firstLine="413" w:firstLineChars="196"/>
        <w:rPr>
          <w:rFonts w:ascii="宋体" w:hAnsi="宋体" w:cs="宋体"/>
          <w:b/>
          <w:color w:val="auto"/>
          <w:szCs w:val="21"/>
        </w:rPr>
      </w:pPr>
      <w:r>
        <w:rPr>
          <w:rFonts w:hint="eastAsia" w:ascii="宋体" w:hAnsi="宋体" w:cs="宋体"/>
          <w:b/>
          <w:color w:val="auto"/>
          <w:szCs w:val="21"/>
        </w:rPr>
        <w:t>九、售后服务</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乙方所供货物提供以下售后服务：</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（一）质保期内：</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1、供货商应告知采购人产品的使用、维护、保养等有关注意事项，并根据招投标文件要求对采购人的人员进行培训。</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2、发生质量问题，接到甲方通知后，应派出专业的维修人员到现场进行检测维修，发生的全部费用由乙方承担，若需送回生产厂，乙方承担往返费用；在产品正常使用寿命内发生的任何产品质量问题，接到报修通知，维修响应时间为</w:t>
      </w:r>
      <w:r>
        <w:rPr>
          <w:rFonts w:hint="eastAsia" w:ascii="宋体" w:hAnsi="宋体" w:cs="宋体"/>
          <w:bCs/>
          <w:color w:val="auto"/>
          <w:szCs w:val="21"/>
          <w:u w:val="single"/>
        </w:rPr>
        <w:t xml:space="preserve">   </w:t>
      </w:r>
      <w:r>
        <w:rPr>
          <w:rFonts w:hint="eastAsia" w:ascii="宋体" w:hAnsi="宋体" w:cs="宋体"/>
          <w:bCs/>
          <w:color w:val="auto"/>
          <w:szCs w:val="21"/>
        </w:rPr>
        <w:t>小时内，</w:t>
      </w:r>
      <w:r>
        <w:rPr>
          <w:rFonts w:hint="eastAsia" w:ascii="宋体" w:hAnsi="宋体" w:cs="宋体"/>
          <w:bCs/>
          <w:color w:val="auto"/>
          <w:szCs w:val="21"/>
          <w:u w:val="single"/>
        </w:rPr>
        <w:t xml:space="preserve">   </w:t>
      </w:r>
      <w:r>
        <w:rPr>
          <w:rFonts w:hint="eastAsia" w:ascii="宋体" w:hAnsi="宋体" w:cs="宋体"/>
          <w:bCs/>
          <w:color w:val="auto"/>
          <w:szCs w:val="21"/>
        </w:rPr>
        <w:t>小时内到达现场，排除故障的期限不得超过</w:t>
      </w:r>
      <w:r>
        <w:rPr>
          <w:rFonts w:hint="eastAsia" w:ascii="宋体" w:hAnsi="宋体" w:cs="宋体"/>
          <w:bCs/>
          <w:color w:val="auto"/>
          <w:szCs w:val="21"/>
          <w:u w:val="single"/>
        </w:rPr>
        <w:t xml:space="preserve">   </w:t>
      </w:r>
      <w:r>
        <w:rPr>
          <w:rFonts w:hint="eastAsia" w:ascii="宋体" w:hAnsi="宋体" w:cs="宋体"/>
          <w:bCs/>
          <w:color w:val="auto"/>
          <w:szCs w:val="21"/>
        </w:rPr>
        <w:t>小时，甲方有权自行委托第三方进行维修，维修费用由乙方承担，相关费用甲方有权在质量保修金中扣除，不足部分乙方予以赔偿。在保修期外，只收取维修配件费和差旅费用，如产生人工费、维修费等其他费用由乙方承担，并且保修期内提供至少</w:t>
      </w:r>
      <w:r>
        <w:rPr>
          <w:rFonts w:hint="eastAsia" w:ascii="宋体" w:hAnsi="宋体" w:cs="宋体"/>
          <w:bCs/>
          <w:color w:val="auto"/>
          <w:szCs w:val="21"/>
          <w:u w:val="single"/>
        </w:rPr>
        <w:t xml:space="preserve">  </w:t>
      </w:r>
      <w:r>
        <w:rPr>
          <w:rFonts w:hint="eastAsia" w:ascii="宋体" w:hAnsi="宋体" w:cs="宋体"/>
          <w:bCs/>
          <w:color w:val="auto"/>
          <w:szCs w:val="21"/>
        </w:rPr>
        <w:t>次工程师保养和检修，</w:t>
      </w:r>
      <w:r>
        <w:rPr>
          <w:rFonts w:hint="eastAsia" w:ascii="宋体" w:hAnsi="宋体" w:cs="Arial"/>
          <w:bCs/>
          <w:color w:val="auto"/>
          <w:szCs w:val="21"/>
        </w:rPr>
        <w:t>终身维修</w:t>
      </w:r>
      <w:r>
        <w:rPr>
          <w:rFonts w:hint="eastAsia" w:ascii="宋体" w:hAnsi="宋体" w:cs="宋体"/>
          <w:bCs/>
          <w:color w:val="auto"/>
          <w:szCs w:val="21"/>
        </w:rPr>
        <w:t>。</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3、定期派技术人员到现场走访，给予检查维护；</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4、如非乙方原因造成的质量问题，乙方有义务根据甲方的要求进行维修或配合维修，如需更换产品或配件，只收取维修配件费和差旅费用，如产生人工费、维修费等其他费用由乙方承担。</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（二）质保期结束前，进行系统测试，全面保养维护，确保正常运行。</w:t>
      </w:r>
    </w:p>
    <w:p>
      <w:pPr>
        <w:tabs>
          <w:tab w:val="left" w:pos="480"/>
        </w:tabs>
        <w:spacing w:line="360" w:lineRule="auto"/>
        <w:ind w:firstLine="413" w:firstLineChars="196"/>
        <w:rPr>
          <w:rFonts w:ascii="宋体" w:hAnsi="宋体" w:cs="宋体"/>
          <w:b/>
          <w:color w:val="auto"/>
          <w:szCs w:val="21"/>
        </w:rPr>
      </w:pPr>
      <w:r>
        <w:rPr>
          <w:rFonts w:hint="eastAsia" w:ascii="宋体" w:hAnsi="宋体" w:cs="宋体"/>
          <w:b/>
          <w:color w:val="auto"/>
          <w:szCs w:val="21"/>
        </w:rPr>
        <w:t>十、技术与服务</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（一）技术资料：</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1、货物合格证；</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2、货物使用说明书（中文）；</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3、项目峻工资料、检验测试报告；</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4、其它资料。</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（二）服务承诺：</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1、设备（产品）安装、调试和验收：提供设备（产品）现场安装、调试，设备（产品）安装调试在约定时间内完成。安装前，提供安装条件、用水、用电条件说明；</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2、培训要求：安装验收后，乙方负责协调厂家在用户所在地对用户进行设备（产品）操作和日常维护的现场培训。包括设备（产品）原理、使用方法和维护方法等；</w:t>
      </w:r>
    </w:p>
    <w:p>
      <w:pPr>
        <w:pStyle w:val="8"/>
        <w:ind w:firstLine="420" w:firstLineChars="200"/>
        <w:rPr>
          <w:color w:val="auto"/>
        </w:rPr>
      </w:pPr>
      <w:r>
        <w:rPr>
          <w:rFonts w:hint="eastAsia" w:ascii="宋体" w:hAnsi="宋体" w:cs="宋体"/>
          <w:bCs/>
          <w:color w:val="auto"/>
          <w:szCs w:val="21"/>
        </w:rPr>
        <w:t>3、以投标文件、澄清表（函）、合同和随货物的相关文件为准。</w:t>
      </w:r>
    </w:p>
    <w:p>
      <w:pPr>
        <w:tabs>
          <w:tab w:val="left" w:pos="480"/>
        </w:tabs>
        <w:spacing w:line="360" w:lineRule="auto"/>
        <w:ind w:firstLine="413" w:firstLineChars="196"/>
        <w:rPr>
          <w:rFonts w:ascii="宋体" w:hAnsi="宋体" w:cs="宋体"/>
          <w:b/>
          <w:color w:val="auto"/>
          <w:szCs w:val="21"/>
        </w:rPr>
      </w:pPr>
      <w:r>
        <w:rPr>
          <w:rFonts w:hint="eastAsia" w:ascii="宋体" w:hAnsi="宋体" w:cs="宋体"/>
          <w:b/>
          <w:color w:val="auto"/>
          <w:szCs w:val="21"/>
        </w:rPr>
        <w:t>十一、验收</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一）乙方应在将产品移交甲方之前或同时，将与该产品有关的全部法律证件提交甲方审核确认。如乙方所供货物为原装进口产品的,应提供相关的进口证明文件。经甲方审核认为上述文件不全或存在瑕疵的，甲方有权拒绝支付货款。甲方对上述文件的审核并不解除乙方对产品所负的权利担保责任。</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（二）货物到达甲方指定地点后，甲方根据合同要求，进行外观验收，确认产地、规格、型号和数量。</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（三）货物安装、调试并正常运行后，由乙方进行自检，合格后，准备验收文件，并书面通知甲方。</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（四）甲方确认乙方的自检内容后，组织乙方（必要时请有关专家）进行系统验收，验收合格后，填写政府采购项目验收单（一式六份）作为对货物的最终认可。</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（五）乙方向甲方提交货物实施过程中的所有资料。以便甲方日后管理和维护。</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（六）验收依据：</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1、招标文件、投标文件、澄清表（函）；</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2、本合同及附件文本；</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3、国家相应的标准、规范。</w:t>
      </w:r>
    </w:p>
    <w:p>
      <w:pPr>
        <w:tabs>
          <w:tab w:val="left" w:pos="480"/>
        </w:tabs>
        <w:spacing w:line="360" w:lineRule="auto"/>
        <w:ind w:firstLine="413" w:firstLineChars="196"/>
        <w:rPr>
          <w:rFonts w:ascii="宋体" w:hAnsi="宋体" w:cs="宋体"/>
          <w:b/>
          <w:color w:val="auto"/>
          <w:szCs w:val="21"/>
        </w:rPr>
      </w:pPr>
      <w:r>
        <w:rPr>
          <w:rFonts w:hint="eastAsia" w:ascii="宋体" w:hAnsi="宋体" w:cs="宋体"/>
          <w:b/>
          <w:color w:val="auto"/>
          <w:szCs w:val="21"/>
        </w:rPr>
        <w:t>十二、违约责任</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（一）依照《政府采购法》《民法典》中的相关条款执行。</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二）未按合同要求提供货物或质量不能满足招标技术要求，乙方必须无条件更换，乙方拒绝更换或更换后仍不能满足招标技术要求或者甲方需求的，甲方有权终止合同，并对乙方的违约行为报监管机构进行相应的处罚，同时乙方应赔偿甲方全部损失。</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（三）交货期（含安装期）每超过一天，扣除乙方合同总价款的</w:t>
      </w:r>
      <w:r>
        <w:rPr>
          <w:rFonts w:hint="eastAsia" w:ascii="宋体" w:hAnsi="宋体" w:cs="宋体"/>
          <w:bCs/>
          <w:color w:val="auto"/>
          <w:szCs w:val="21"/>
          <w:u w:val="single"/>
        </w:rPr>
        <w:t xml:space="preserve"> 1 </w:t>
      </w:r>
      <w:r>
        <w:rPr>
          <w:rFonts w:hint="eastAsia" w:ascii="宋体" w:hAnsi="宋体" w:cs="宋体"/>
          <w:bCs/>
          <w:color w:val="auto"/>
          <w:szCs w:val="21"/>
        </w:rPr>
        <w:t>‰。</w:t>
      </w:r>
    </w:p>
    <w:p>
      <w:pPr>
        <w:tabs>
          <w:tab w:val="left" w:pos="480"/>
        </w:tabs>
        <w:spacing w:line="360" w:lineRule="auto"/>
        <w:ind w:firstLine="413" w:firstLineChars="196"/>
        <w:rPr>
          <w:rFonts w:ascii="宋体" w:hAnsi="宋体" w:cs="宋体"/>
          <w:b/>
          <w:color w:val="auto"/>
          <w:szCs w:val="21"/>
        </w:rPr>
      </w:pPr>
      <w:r>
        <w:rPr>
          <w:rFonts w:hint="eastAsia" w:ascii="宋体" w:hAnsi="宋体" w:cs="宋体"/>
          <w:b/>
          <w:color w:val="auto"/>
          <w:szCs w:val="21"/>
        </w:rPr>
        <w:t>十三、合同争议解决的方式</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本合同在履行过程中发生的争议，由甲、乙双方当事人协商解决，协商不成的按下列第（ 二 ）种方式解决：</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（一）提交</w:t>
      </w:r>
      <w:r>
        <w:rPr>
          <w:rFonts w:hint="eastAsia" w:ascii="宋体" w:hAnsi="宋体" w:cs="宋体"/>
          <w:bCs/>
          <w:color w:val="auto"/>
          <w:szCs w:val="21"/>
          <w:u w:val="single"/>
        </w:rPr>
        <w:t xml:space="preserve">  西安   </w:t>
      </w:r>
      <w:r>
        <w:rPr>
          <w:rFonts w:hint="eastAsia" w:ascii="宋体" w:hAnsi="宋体" w:cs="宋体"/>
          <w:bCs/>
          <w:color w:val="auto"/>
          <w:szCs w:val="21"/>
        </w:rPr>
        <w:t>仲裁委员会仲裁；</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（二）依法向</w:t>
      </w:r>
      <w:r>
        <w:rPr>
          <w:rFonts w:hint="eastAsia" w:ascii="宋体" w:hAnsi="宋体" w:cs="宋体"/>
          <w:bCs/>
          <w:color w:val="auto"/>
          <w:szCs w:val="21"/>
          <w:u w:val="single"/>
        </w:rPr>
        <w:t xml:space="preserve">  甲方  </w:t>
      </w:r>
      <w:r>
        <w:rPr>
          <w:rFonts w:hint="eastAsia" w:ascii="宋体" w:hAnsi="宋体" w:cs="宋体"/>
          <w:bCs/>
          <w:color w:val="auto"/>
          <w:szCs w:val="21"/>
        </w:rPr>
        <w:t>所在地人民法院起诉。</w:t>
      </w:r>
    </w:p>
    <w:p>
      <w:pPr>
        <w:tabs>
          <w:tab w:val="left" w:pos="480"/>
        </w:tabs>
        <w:spacing w:line="360" w:lineRule="auto"/>
        <w:ind w:firstLine="413" w:firstLineChars="196"/>
        <w:rPr>
          <w:rFonts w:ascii="宋体" w:hAnsi="宋体" w:cs="宋体"/>
          <w:b/>
          <w:color w:val="auto"/>
          <w:szCs w:val="21"/>
        </w:rPr>
      </w:pPr>
      <w:r>
        <w:rPr>
          <w:rFonts w:hint="eastAsia" w:ascii="宋体" w:hAnsi="宋体" w:cs="宋体"/>
          <w:b/>
          <w:color w:val="auto"/>
          <w:szCs w:val="21"/>
        </w:rPr>
        <w:t>十四、合同生效</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本合同一式</w:t>
      </w:r>
      <w:r>
        <w:rPr>
          <w:rFonts w:hint="eastAsia" w:ascii="宋体" w:hAnsi="宋体" w:cs="宋体"/>
          <w:bCs/>
          <w:color w:val="auto"/>
          <w:szCs w:val="21"/>
          <w:u w:val="single"/>
        </w:rPr>
        <w:t xml:space="preserve">   </w:t>
      </w:r>
      <w:r>
        <w:rPr>
          <w:rFonts w:hint="eastAsia" w:ascii="宋体" w:hAnsi="宋体" w:cs="宋体"/>
          <w:bCs/>
          <w:color w:val="auto"/>
          <w:szCs w:val="21"/>
        </w:rPr>
        <w:t>份，甲方执</w:t>
      </w:r>
      <w:r>
        <w:rPr>
          <w:rFonts w:hint="eastAsia" w:ascii="宋体" w:hAnsi="宋体" w:cs="宋体"/>
          <w:bCs/>
          <w:color w:val="auto"/>
          <w:szCs w:val="21"/>
          <w:u w:val="single"/>
        </w:rPr>
        <w:t xml:space="preserve">   </w:t>
      </w:r>
      <w:r>
        <w:rPr>
          <w:rFonts w:hint="eastAsia" w:ascii="宋体" w:hAnsi="宋体" w:cs="宋体"/>
          <w:bCs/>
          <w:color w:val="auto"/>
          <w:szCs w:val="21"/>
        </w:rPr>
        <w:t>份，乙方执</w:t>
      </w:r>
      <w:r>
        <w:rPr>
          <w:rFonts w:hint="eastAsia" w:ascii="宋体" w:hAnsi="宋体" w:cs="宋体"/>
          <w:bCs/>
          <w:color w:val="auto"/>
          <w:szCs w:val="21"/>
          <w:u w:val="single"/>
        </w:rPr>
        <w:t xml:space="preserve">   </w:t>
      </w:r>
      <w:r>
        <w:rPr>
          <w:rFonts w:hint="eastAsia" w:ascii="宋体" w:hAnsi="宋体" w:cs="宋体"/>
          <w:bCs/>
          <w:color w:val="auto"/>
          <w:szCs w:val="21"/>
        </w:rPr>
        <w:t>份、采购代理机构执</w:t>
      </w:r>
      <w:r>
        <w:rPr>
          <w:rFonts w:hint="eastAsia" w:ascii="宋体" w:hAnsi="宋体" w:cs="宋体"/>
          <w:bCs/>
          <w:color w:val="auto"/>
          <w:szCs w:val="21"/>
          <w:u w:val="single"/>
        </w:rPr>
        <w:t>壹</w:t>
      </w:r>
      <w:r>
        <w:rPr>
          <w:rFonts w:hint="eastAsia" w:ascii="宋体" w:hAnsi="宋体" w:cs="宋体"/>
          <w:bCs/>
          <w:color w:val="auto"/>
          <w:szCs w:val="21"/>
        </w:rPr>
        <w:t>份，本合同甲、乙方签字盖章后生效，合同执行完毕后，自动失效（合同的服务承诺则长期有效）。</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（一）相关管理部门在合同的履行期间以及履行期后，可以随时检查项目的执行情况，对采购内容、标准进行调查核实，并对发现的问题进行处理。</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（二）招标文件、投标文件、澄清表（函）、中标通知书、合同附件均成为合同不可分割的部分。</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（三）合同未尽事宜，由甲、乙双方协商并确认后，作为合同补充，与原合同具有同等法律效力。</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（四）合同一经签订，不得擅自变更、中止或终止合同。对确需变更、调整或中止、终止合同的，应按规定履行相应的手续。</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（五）本合同按照中华人民共和国的现行法律进行解释。</w:t>
      </w:r>
    </w:p>
    <w:p>
      <w:pPr>
        <w:tabs>
          <w:tab w:val="left" w:pos="480"/>
        </w:tabs>
        <w:spacing w:line="360" w:lineRule="auto"/>
        <w:rPr>
          <w:rFonts w:ascii="宋体" w:hAnsi="宋体" w:cs="宋体"/>
          <w:bCs/>
          <w:color w:val="auto"/>
          <w:szCs w:val="21"/>
        </w:rPr>
      </w:pPr>
      <w:r>
        <w:rPr>
          <w:rFonts w:hint="eastAsia" w:ascii="宋体" w:hAnsi="宋体" w:cs="宋体"/>
          <w:bCs/>
          <w:color w:val="auto"/>
          <w:szCs w:val="21"/>
        </w:rPr>
        <w:t>（以下无正文）</w:t>
      </w:r>
    </w:p>
    <w:p>
      <w:pPr>
        <w:tabs>
          <w:tab w:val="left" w:pos="480"/>
        </w:tabs>
        <w:spacing w:line="360" w:lineRule="auto"/>
        <w:rPr>
          <w:rFonts w:ascii="宋体" w:hAnsi="宋体" w:cs="宋体"/>
          <w:bCs/>
          <w:color w:val="auto"/>
          <w:szCs w:val="21"/>
        </w:rPr>
      </w:pPr>
      <w:r>
        <w:rPr>
          <w:rFonts w:hint="eastAsia" w:ascii="宋体" w:hAnsi="宋体" w:cs="宋体"/>
          <w:bCs/>
          <w:color w:val="auto"/>
          <w:szCs w:val="21"/>
        </w:rPr>
        <w:t>甲  方（盖章）                             乙  方（盖章）</w:t>
      </w:r>
    </w:p>
    <w:p>
      <w:pPr>
        <w:tabs>
          <w:tab w:val="left" w:pos="480"/>
        </w:tabs>
        <w:spacing w:line="360" w:lineRule="auto"/>
        <w:rPr>
          <w:rFonts w:ascii="宋体" w:hAnsi="宋体" w:cs="宋体"/>
          <w:bCs/>
          <w:color w:val="auto"/>
          <w:szCs w:val="21"/>
        </w:rPr>
      </w:pPr>
      <w:r>
        <w:rPr>
          <w:rFonts w:hint="eastAsia" w:ascii="宋体" w:hAnsi="宋体" w:cs="宋体"/>
          <w:bCs/>
          <w:color w:val="auto"/>
          <w:szCs w:val="21"/>
        </w:rPr>
        <w:t>单位名称：                                 单位名称：</w:t>
      </w:r>
    </w:p>
    <w:p>
      <w:pPr>
        <w:tabs>
          <w:tab w:val="left" w:pos="480"/>
        </w:tabs>
        <w:spacing w:line="360" w:lineRule="auto"/>
        <w:rPr>
          <w:rFonts w:ascii="宋体" w:hAnsi="宋体" w:cs="宋体"/>
          <w:bCs/>
          <w:color w:val="auto"/>
          <w:szCs w:val="21"/>
        </w:rPr>
      </w:pPr>
      <w:r>
        <w:rPr>
          <w:rFonts w:hint="eastAsia" w:ascii="宋体" w:hAnsi="宋体" w:cs="宋体"/>
          <w:bCs/>
          <w:color w:val="auto"/>
          <w:szCs w:val="21"/>
        </w:rPr>
        <w:t>地  址：                                   地  址：</w:t>
      </w:r>
    </w:p>
    <w:p>
      <w:pPr>
        <w:tabs>
          <w:tab w:val="left" w:pos="480"/>
        </w:tabs>
        <w:spacing w:line="360" w:lineRule="auto"/>
        <w:rPr>
          <w:rFonts w:ascii="宋体" w:hAnsi="宋体" w:cs="宋体"/>
          <w:bCs/>
          <w:color w:val="auto"/>
          <w:szCs w:val="21"/>
        </w:rPr>
      </w:pPr>
      <w:r>
        <w:rPr>
          <w:rFonts w:hint="eastAsia" w:ascii="宋体" w:hAnsi="宋体" w:cs="宋体"/>
          <w:bCs/>
          <w:color w:val="auto"/>
          <w:szCs w:val="21"/>
        </w:rPr>
        <w:t>法定代表人或授权委托人（签字或盖章）：     法定代表人或授权委托人（签字或盖章）：</w:t>
      </w:r>
    </w:p>
    <w:p>
      <w:pPr>
        <w:tabs>
          <w:tab w:val="left" w:pos="480"/>
        </w:tabs>
        <w:spacing w:line="360" w:lineRule="auto"/>
        <w:rPr>
          <w:rFonts w:hint="eastAsia" w:ascii="宋体" w:hAnsi="宋体" w:cs="宋体"/>
          <w:bCs/>
          <w:color w:val="auto"/>
          <w:szCs w:val="21"/>
        </w:rPr>
      </w:pPr>
    </w:p>
    <w:p>
      <w:pPr>
        <w:tabs>
          <w:tab w:val="left" w:pos="480"/>
        </w:tabs>
        <w:spacing w:line="360" w:lineRule="auto"/>
        <w:ind w:firstLine="420" w:firstLineChars="200"/>
        <w:rPr>
          <w:rFonts w:hint="eastAsia" w:ascii="宋体" w:hAnsi="宋体" w:cs="宋体"/>
          <w:bCs/>
          <w:color w:val="auto"/>
          <w:szCs w:val="21"/>
        </w:rPr>
      </w:pP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 xml:space="preserve">                                       开户银行：</w:t>
      </w:r>
    </w:p>
    <w:p>
      <w:pPr>
        <w:tabs>
          <w:tab w:val="left" w:pos="480"/>
        </w:tabs>
        <w:spacing w:line="360" w:lineRule="auto"/>
        <w:ind w:firstLine="420" w:firstLineChars="200"/>
        <w:rPr>
          <w:rFonts w:ascii="宋体" w:hAnsi="宋体" w:cs="宋体"/>
          <w:bCs/>
          <w:color w:val="auto"/>
          <w:szCs w:val="21"/>
        </w:rPr>
      </w:pPr>
      <w:r>
        <w:rPr>
          <w:rFonts w:hint="eastAsia" w:ascii="宋体" w:hAnsi="宋体" w:cs="宋体"/>
          <w:bCs/>
          <w:color w:val="auto"/>
          <w:szCs w:val="21"/>
        </w:rPr>
        <w:t xml:space="preserve">                                       账  号：       </w:t>
      </w:r>
    </w:p>
    <w:p>
      <w:pPr>
        <w:tabs>
          <w:tab w:val="left" w:pos="480"/>
        </w:tabs>
        <w:spacing w:line="360" w:lineRule="auto"/>
        <w:rPr>
          <w:rFonts w:ascii="宋体" w:hAnsi="宋体" w:cs="宋体"/>
          <w:bCs/>
          <w:color w:val="auto"/>
          <w:szCs w:val="21"/>
        </w:rPr>
      </w:pPr>
      <w:r>
        <w:rPr>
          <w:rFonts w:hint="eastAsia" w:ascii="宋体" w:hAnsi="宋体" w:cs="宋体"/>
          <w:bCs/>
          <w:color w:val="auto"/>
          <w:szCs w:val="21"/>
        </w:rPr>
        <w:t>联系电话：                                 联系电话：</w:t>
      </w:r>
    </w:p>
    <w:p>
      <w:pPr>
        <w:rPr>
          <w:color w:val="auto"/>
        </w:rPr>
      </w:pPr>
      <w:r>
        <w:rPr>
          <w:rFonts w:hint="eastAsia" w:ascii="宋体" w:hAnsi="宋体" w:cs="宋体"/>
          <w:bCs/>
          <w:color w:val="auto"/>
          <w:szCs w:val="21"/>
        </w:rPr>
        <w:t>签订日期：     年    月      日            签订日期：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iN2I4NGE2ZDUyODhhZDUxMDJjZDIyNDAxMTA1NjUifQ=="/>
  </w:docVars>
  <w:rsids>
    <w:rsidRoot w:val="20C1569E"/>
    <w:rsid w:val="00054688"/>
    <w:rsid w:val="00DA422A"/>
    <w:rsid w:val="1CC3102C"/>
    <w:rsid w:val="20C1569E"/>
    <w:rsid w:val="29A96B14"/>
    <w:rsid w:val="3E352AAE"/>
    <w:rsid w:val="54136230"/>
    <w:rsid w:val="70B64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rPr>
      <w:sz w:val="24"/>
    </w:rPr>
  </w:style>
  <w:style w:type="paragraph" w:styleId="3">
    <w:name w:val="annotation text"/>
    <w:basedOn w:val="1"/>
    <w:uiPriority w:val="0"/>
    <w:pPr>
      <w:jc w:val="left"/>
    </w:pPr>
  </w:style>
  <w:style w:type="paragraph" w:styleId="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5">
    <w:name w:val="Normal (Web)"/>
    <w:basedOn w:val="1"/>
    <w:uiPriority w:val="0"/>
    <w:pPr>
      <w:spacing w:before="100" w:beforeAutospacing="1" w:after="100" w:afterAutospacing="1"/>
      <w:jc w:val="left"/>
    </w:pPr>
    <w:rPr>
      <w:kern w:val="0"/>
      <w:sz w:val="24"/>
    </w:rPr>
  </w:style>
  <w:style w:type="paragraph" w:customStyle="1" w:styleId="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
    <w:name w:val="正文内容"/>
    <w:basedOn w:val="1"/>
    <w:qFormat/>
    <w:uiPriority w:val="0"/>
    <w:pPr>
      <w:spacing w:beforeLines="50" w:afterLines="50" w:line="360" w:lineRule="auto"/>
      <w:ind w:firstLine="480" w:firstLineChars="200"/>
    </w:pPr>
    <w:rPr>
      <w:rFonts w:cs="宋体"/>
      <w:sz w:val="24"/>
    </w:rPr>
  </w:style>
  <w:style w:type="paragraph" w:customStyle="1" w:styleId="10">
    <w:name w:val="Revision"/>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3443</Words>
  <Characters>3458</Characters>
  <Lines>28</Lines>
  <Paragraphs>8</Paragraphs>
  <TotalTime>10</TotalTime>
  <ScaleCrop>false</ScaleCrop>
  <LinksUpToDate>false</LinksUpToDate>
  <CharactersWithSpaces>3847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2023-10-24T04:21:00Z</dcterms:created>
  <dc:creator>東</dc:creator>
  <cp:lastModifiedBy>東</cp:lastModifiedBy>
  <dcterms:modified xsi:type="dcterms:W3CDTF">2023-11-15T02:51:22Z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E56D021A71F24239804D1AB0C75AA5BC_11</vt:lpwstr>
  </property>
</Properties>
</file>