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spacing w:line="360" w:lineRule="auto"/>
        <w:rPr>
          <w:rFonts w:hint="eastAsia" w:ascii="仿宋" w:hAnsi="仿宋" w:eastAsia="仿宋" w:cs="仿宋"/>
          <w:b/>
          <w:bCs/>
          <w:sz w:val="24"/>
          <w:szCs w:val="24"/>
        </w:rPr>
      </w:pPr>
      <w:bookmarkStart w:id="0" w:name="_Toc55921033"/>
      <w:bookmarkStart w:id="1" w:name="_Toc27707"/>
      <w:r>
        <w:rPr>
          <w:rFonts w:hint="eastAsia" w:ascii="仿宋" w:hAnsi="仿宋" w:eastAsia="仿宋" w:cs="仿宋"/>
          <w:b/>
          <w:bCs/>
          <w:sz w:val="24"/>
          <w:szCs w:val="24"/>
          <w:lang w:eastAsia="zh-CN"/>
        </w:rPr>
        <w:t>一、</w:t>
      </w:r>
      <w:r>
        <w:rPr>
          <w:rFonts w:hint="eastAsia" w:ascii="仿宋" w:hAnsi="仿宋" w:eastAsia="仿宋" w:cs="仿宋"/>
          <w:b/>
          <w:bCs/>
          <w:sz w:val="24"/>
          <w:szCs w:val="24"/>
        </w:rPr>
        <w:t>项目概述</w:t>
      </w:r>
      <w:bookmarkEnd w:id="0"/>
      <w:bookmarkEnd w:id="1"/>
    </w:p>
    <w:p>
      <w:pPr>
        <w:bidi w:val="0"/>
        <w:spacing w:line="360" w:lineRule="auto"/>
        <w:rPr>
          <w:rFonts w:hint="eastAsia" w:ascii="仿宋" w:hAnsi="仿宋" w:eastAsia="仿宋" w:cs="仿宋"/>
          <w:b/>
          <w:bCs/>
          <w:sz w:val="24"/>
          <w:szCs w:val="24"/>
        </w:rPr>
      </w:pPr>
      <w:bookmarkStart w:id="2" w:name="_Toc20559"/>
      <w:bookmarkStart w:id="3" w:name="_Toc118211514"/>
      <w:bookmarkStart w:id="4" w:name="_Toc55921034"/>
      <w:r>
        <w:rPr>
          <w:rFonts w:hint="eastAsia" w:ascii="仿宋" w:hAnsi="仿宋" w:eastAsia="仿宋" w:cs="仿宋"/>
          <w:b/>
          <w:bCs/>
          <w:sz w:val="24"/>
          <w:szCs w:val="24"/>
          <w:lang w:eastAsia="zh-CN"/>
        </w:rPr>
        <w:t>（一）</w:t>
      </w:r>
      <w:r>
        <w:rPr>
          <w:rFonts w:hint="eastAsia" w:ascii="仿宋" w:hAnsi="仿宋" w:eastAsia="仿宋" w:cs="仿宋"/>
          <w:b/>
          <w:bCs/>
          <w:sz w:val="24"/>
          <w:szCs w:val="24"/>
        </w:rPr>
        <w:t>项目概况</w:t>
      </w:r>
      <w:bookmarkEnd w:id="2"/>
    </w:p>
    <w:tbl>
      <w:tblPr>
        <w:tblStyle w:val="18"/>
        <w:tblW w:w="8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984"/>
        <w:gridCol w:w="713"/>
        <w:gridCol w:w="1703"/>
        <w:gridCol w:w="197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09"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1984"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标项内容</w:t>
            </w:r>
          </w:p>
        </w:tc>
        <w:tc>
          <w:tcPr>
            <w:tcW w:w="713"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数量</w:t>
            </w:r>
          </w:p>
        </w:tc>
        <w:tc>
          <w:tcPr>
            <w:tcW w:w="1703"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主要技术需求</w:t>
            </w:r>
          </w:p>
        </w:tc>
        <w:tc>
          <w:tcPr>
            <w:tcW w:w="1976"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工期</w:t>
            </w:r>
          </w:p>
        </w:tc>
        <w:tc>
          <w:tcPr>
            <w:tcW w:w="1276"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运营维护质保时间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709"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1984" w:type="dxa"/>
            <w:noWrap w:val="0"/>
            <w:vAlign w:val="center"/>
          </w:tcPr>
          <w:p>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科研管理系统</w:t>
            </w:r>
          </w:p>
        </w:tc>
        <w:tc>
          <w:tcPr>
            <w:tcW w:w="713"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1套</w:t>
            </w:r>
          </w:p>
        </w:tc>
        <w:tc>
          <w:tcPr>
            <w:tcW w:w="1703"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详见“项目建设内容”</w:t>
            </w:r>
          </w:p>
        </w:tc>
        <w:tc>
          <w:tcPr>
            <w:tcW w:w="1976"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合同签订后90天</w:t>
            </w:r>
          </w:p>
        </w:tc>
        <w:tc>
          <w:tcPr>
            <w:tcW w:w="1276"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709"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1984" w:type="dxa"/>
            <w:noWrap w:val="0"/>
            <w:vAlign w:val="center"/>
          </w:tcPr>
          <w:p>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专病科研数据库</w:t>
            </w:r>
          </w:p>
        </w:tc>
        <w:tc>
          <w:tcPr>
            <w:tcW w:w="713"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1套</w:t>
            </w:r>
          </w:p>
        </w:tc>
        <w:tc>
          <w:tcPr>
            <w:tcW w:w="1703"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详见“项目建设内容”</w:t>
            </w:r>
          </w:p>
        </w:tc>
        <w:tc>
          <w:tcPr>
            <w:tcW w:w="1976"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cs="仿宋"/>
                <w:bCs/>
                <w:sz w:val="24"/>
                <w:szCs w:val="24"/>
                <w:highlight w:val="none"/>
              </w:rPr>
            </w:pPr>
            <w:r>
              <w:rPr>
                <w:rFonts w:hint="eastAsia" w:ascii="仿宋" w:hAnsi="仿宋" w:eastAsia="仿宋" w:cs="仿宋"/>
                <w:b w:val="0"/>
                <w:bCs/>
                <w:sz w:val="24"/>
                <w:szCs w:val="24"/>
                <w:highlight w:val="none"/>
              </w:rPr>
              <w:t>合同签订后90天</w:t>
            </w:r>
          </w:p>
        </w:tc>
        <w:tc>
          <w:tcPr>
            <w:tcW w:w="1276"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709"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1984" w:type="dxa"/>
            <w:noWrap w:val="0"/>
            <w:vAlign w:val="center"/>
          </w:tcPr>
          <w:p>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服务器</w:t>
            </w:r>
          </w:p>
        </w:tc>
        <w:tc>
          <w:tcPr>
            <w:tcW w:w="713"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3套</w:t>
            </w:r>
          </w:p>
        </w:tc>
        <w:tc>
          <w:tcPr>
            <w:tcW w:w="1703"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配置</w:t>
            </w:r>
          </w:p>
        </w:tc>
        <w:tc>
          <w:tcPr>
            <w:tcW w:w="1976"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合同签订后90天</w:t>
            </w:r>
          </w:p>
        </w:tc>
        <w:tc>
          <w:tcPr>
            <w:tcW w:w="1276"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3年</w:t>
            </w:r>
          </w:p>
        </w:tc>
      </w:tr>
    </w:tbl>
    <w:p>
      <w:pPr>
        <w:keepNext w:val="0"/>
        <w:keepLines w:val="0"/>
        <w:pageBreakBefore w:val="0"/>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仿宋" w:hAnsi="仿宋" w:eastAsia="仿宋" w:cs="仿宋"/>
          <w:b/>
          <w:bCs/>
          <w:sz w:val="24"/>
          <w:szCs w:val="24"/>
          <w:highlight w:val="none"/>
          <w:shd w:val="clear" w:color="auto" w:fill="FFFFFF"/>
        </w:rPr>
      </w:pPr>
      <w:bookmarkStart w:id="5" w:name="_Toc20330"/>
      <w:r>
        <w:rPr>
          <w:rFonts w:hint="eastAsia" w:ascii="仿宋" w:hAnsi="仿宋" w:eastAsia="仿宋" w:cs="仿宋"/>
          <w:b/>
          <w:bCs/>
          <w:sz w:val="24"/>
          <w:szCs w:val="24"/>
          <w:highlight w:val="none"/>
          <w:shd w:val="clear" w:color="auto" w:fill="FFFFFF"/>
          <w:lang w:eastAsia="zh-CN"/>
        </w:rPr>
        <w:t>（二）</w:t>
      </w:r>
      <w:r>
        <w:rPr>
          <w:rFonts w:hint="eastAsia" w:ascii="仿宋" w:hAnsi="仿宋" w:eastAsia="仿宋" w:cs="仿宋"/>
          <w:b/>
          <w:bCs/>
          <w:sz w:val="24"/>
          <w:szCs w:val="24"/>
          <w:highlight w:val="none"/>
          <w:shd w:val="clear" w:color="auto" w:fill="FFFFFF"/>
        </w:rPr>
        <w:t>建设目标</w:t>
      </w:r>
      <w:bookmarkEnd w:id="3"/>
      <w:r>
        <w:rPr>
          <w:rFonts w:hint="eastAsia" w:ascii="仿宋" w:hAnsi="仿宋" w:eastAsia="仿宋" w:cs="仿宋"/>
          <w:b/>
          <w:bCs/>
          <w:sz w:val="24"/>
          <w:szCs w:val="24"/>
          <w:highlight w:val="none"/>
          <w:shd w:val="clear" w:color="auto" w:fill="FFFFFF"/>
        </w:rPr>
        <w:t>及原则</w:t>
      </w:r>
      <w:bookmarkEnd w:id="5"/>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sz w:val="24"/>
          <w:szCs w:val="24"/>
          <w:highlight w:val="none"/>
          <w:shd w:val="clear" w:color="auto" w:fill="FFFFFF"/>
        </w:rPr>
      </w:pPr>
      <w:bookmarkStart w:id="6" w:name="_Hlk32999059"/>
      <w:r>
        <w:rPr>
          <w:rFonts w:hint="eastAsia" w:ascii="仿宋" w:hAnsi="仿宋" w:eastAsia="仿宋" w:cs="仿宋"/>
          <w:sz w:val="24"/>
          <w:szCs w:val="24"/>
          <w:highlight w:val="none"/>
          <w:shd w:val="clear" w:color="auto" w:fill="FFFFFF"/>
        </w:rPr>
        <w:t>根据2023年下发的“国家中医药管理局科技司关于印发《中医科技与创新能力提升项目》的通知”要求，中医药循证能力提升项目（省级中医药循证能力建设中心项目）支撑条件建设，结合医院的现状情况，本项目建设需完成以下目标：</w:t>
      </w:r>
    </w:p>
    <w:p>
      <w:pPr>
        <w:keepNext w:val="0"/>
        <w:keepLines w:val="0"/>
        <w:pageBreakBefore w:val="0"/>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仿宋" w:hAnsi="仿宋" w:eastAsia="仿宋" w:cs="仿宋"/>
          <w:b/>
          <w:bCs/>
          <w:sz w:val="24"/>
          <w:szCs w:val="24"/>
          <w:highlight w:val="none"/>
          <w:shd w:val="clear" w:color="auto" w:fill="FFFFFF"/>
        </w:rPr>
      </w:pPr>
      <w:bookmarkStart w:id="7" w:name="_Toc30984"/>
      <w:r>
        <w:rPr>
          <w:rFonts w:hint="eastAsia" w:ascii="仿宋" w:hAnsi="仿宋" w:eastAsia="仿宋" w:cs="仿宋"/>
          <w:b/>
          <w:bCs/>
          <w:sz w:val="24"/>
          <w:szCs w:val="24"/>
          <w:highlight w:val="none"/>
          <w:shd w:val="clear" w:color="auto" w:fill="FFFFFF"/>
          <w:lang w:val="en-US" w:eastAsia="zh-CN"/>
        </w:rPr>
        <w:t>1、</w:t>
      </w:r>
      <w:r>
        <w:rPr>
          <w:rFonts w:hint="eastAsia" w:ascii="仿宋" w:hAnsi="仿宋" w:eastAsia="仿宋" w:cs="仿宋"/>
          <w:b/>
          <w:bCs/>
          <w:sz w:val="24"/>
          <w:szCs w:val="24"/>
          <w:highlight w:val="none"/>
          <w:shd w:val="clear" w:color="auto" w:fill="FFFFFF"/>
        </w:rPr>
        <w:t>科研管理系统的建设目标及建设原则</w:t>
      </w:r>
      <w:bookmarkEnd w:id="7"/>
    </w:p>
    <w:p>
      <w:pPr>
        <w:pStyle w:val="24"/>
        <w:keepNext w:val="0"/>
        <w:keepLines w:val="0"/>
        <w:pageBreakBefore w:val="0"/>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仿宋" w:hAnsi="仿宋" w:eastAsia="仿宋" w:cs="仿宋"/>
          <w:sz w:val="24"/>
          <w:szCs w:val="24"/>
          <w:highlight w:val="none"/>
          <w:shd w:val="clear" w:color="auto" w:fill="FFFFFF"/>
        </w:rPr>
      </w:pPr>
      <w:r>
        <w:rPr>
          <w:rFonts w:hint="eastAsia" w:ascii="仿宋" w:hAnsi="仿宋" w:eastAsia="仿宋" w:cs="仿宋"/>
          <w:b/>
          <w:bCs/>
          <w:sz w:val="24"/>
          <w:szCs w:val="24"/>
          <w:highlight w:val="none"/>
          <w:shd w:val="clear" w:color="auto" w:fill="FFFFFF"/>
        </w:rPr>
        <w:t>整体目标</w:t>
      </w:r>
      <w:r>
        <w:rPr>
          <w:rFonts w:hint="eastAsia" w:ascii="仿宋" w:hAnsi="仿宋" w:eastAsia="仿宋" w:cs="仿宋"/>
          <w:sz w:val="24"/>
          <w:szCs w:val="24"/>
          <w:highlight w:val="none"/>
          <w:shd w:val="clear" w:color="auto" w:fill="FFFFFF"/>
        </w:rPr>
        <w:t>：根据医院信息系统的建设现状，以患者为中心，将散落在各系统中的患者数据采集后，汇聚到统一的平台中，以临床科研需求为导向，完成清洗、结构化、模型转换等数据处理，串联患者的完整诊疗信息，形成有价值、可被利用的数据资源。全院级科研平台的建设旨在全面盘点医院数据，提高数据获取效率，为临床研究提供数据支持。</w:t>
      </w:r>
    </w:p>
    <w:p>
      <w:pPr>
        <w:pStyle w:val="24"/>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both"/>
        <w:textAlignment w:val="auto"/>
        <w:rPr>
          <w:rFonts w:hint="eastAsia" w:ascii="仿宋" w:hAnsi="仿宋" w:eastAsia="仿宋" w:cs="仿宋"/>
          <w:b/>
          <w:bCs/>
          <w:sz w:val="24"/>
          <w:szCs w:val="24"/>
          <w:highlight w:val="none"/>
          <w:shd w:val="clear" w:color="auto" w:fill="FFFFFF"/>
        </w:rPr>
      </w:pPr>
      <w:r>
        <w:rPr>
          <w:rFonts w:hint="eastAsia" w:ascii="仿宋" w:hAnsi="仿宋" w:eastAsia="仿宋" w:cs="仿宋"/>
          <w:b/>
          <w:bCs/>
          <w:sz w:val="24"/>
          <w:szCs w:val="24"/>
          <w:highlight w:val="none"/>
          <w:shd w:val="clear" w:color="auto" w:fill="FFFFFF"/>
          <w:lang w:val="en-US" w:eastAsia="zh-CN"/>
        </w:rPr>
        <w:t>1.1</w:t>
      </w:r>
      <w:r>
        <w:rPr>
          <w:rFonts w:hint="eastAsia" w:ascii="仿宋" w:hAnsi="仿宋" w:eastAsia="仿宋" w:cs="仿宋"/>
          <w:b/>
          <w:bCs/>
          <w:sz w:val="24"/>
          <w:szCs w:val="24"/>
          <w:highlight w:val="none"/>
          <w:shd w:val="clear" w:color="auto" w:fill="FFFFFF"/>
        </w:rPr>
        <w:t>具体目标：</w:t>
      </w:r>
    </w:p>
    <w:p>
      <w:pPr>
        <w:pStyle w:val="25"/>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auto"/>
        <w:ind w:leftChars="0"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科研工作日常管理：不增加医生工作量、不改变医院医生工作现状，同时极大程度提高科研工作效率。</w:t>
      </w:r>
    </w:p>
    <w:p>
      <w:pPr>
        <w:pStyle w:val="25"/>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auto"/>
        <w:ind w:leftChars="0"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科研全预算管理：建立以预算为核心，实现从经费预算申请、用款申请、课题预算余额全过程动态管理，并支持与第三方财务系统数据对接。</w:t>
      </w:r>
    </w:p>
    <w:p>
      <w:pPr>
        <w:pStyle w:val="25"/>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auto"/>
        <w:ind w:leftChars="0" w:firstLine="480" w:firstLineChars="200"/>
        <w:jc w:val="both"/>
        <w:textAlignment w:val="auto"/>
        <w:rPr>
          <w:rFonts w:hint="eastAsia" w:ascii="仿宋" w:hAnsi="仿宋" w:eastAsia="仿宋" w:cs="仿宋"/>
          <w:bCs/>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科研成果管理：实现对科研成果、知识产权等技术成果全面管理，确保科研成果管理有规可循、有章可依。</w:t>
      </w:r>
      <w:r>
        <w:rPr>
          <w:rFonts w:hint="eastAsia" w:ascii="仿宋" w:hAnsi="仿宋" w:eastAsia="仿宋" w:cs="仿宋"/>
          <w:bCs/>
          <w:sz w:val="24"/>
          <w:szCs w:val="24"/>
          <w:highlight w:val="none"/>
        </w:rPr>
        <w:t>完成历史项目数据导入、hrp和与平台相关系统接口整合的基础上，实现申报管理、经费管理、成果管理、绩效管理、统计报表，过程管理，学科管理、消息互动等业务功能实现。</w:t>
      </w:r>
    </w:p>
    <w:p>
      <w:pPr>
        <w:pStyle w:val="25"/>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2" w:firstLineChars="200"/>
        <w:jc w:val="both"/>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1.2</w:t>
      </w:r>
      <w:r>
        <w:rPr>
          <w:rFonts w:hint="eastAsia" w:ascii="仿宋" w:hAnsi="仿宋" w:eastAsia="仿宋" w:cs="仿宋"/>
          <w:b/>
          <w:bCs/>
          <w:sz w:val="24"/>
          <w:szCs w:val="24"/>
          <w:highlight w:val="none"/>
        </w:rPr>
        <w:t>.建设原则：</w:t>
      </w:r>
    </w:p>
    <w:p>
      <w:pPr>
        <w:pStyle w:val="24"/>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技术结构：系统采用多层分布式架构，具有与外部系统联接的接口，允许部分应用功能与Internet 联接，并具有专门的技术措施确保数据的安全性。 系统在设计建设过程中，应遵循已颁布的国际标准、国家标准或行业标准及本地省市相应的标准和规范。系统整体架构设计要科学、数据结构设计要合理、核心算法设计要先进、部署设计要灵活，确保系统的整体性能优越，完全满足全院发展的要求。</w:t>
      </w:r>
    </w:p>
    <w:p>
      <w:pPr>
        <w:pStyle w:val="24"/>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操作系统和数据库要求：系统高度可移植，支持多种主流关系型数据库系统。</w:t>
      </w:r>
    </w:p>
    <w:p>
      <w:pPr>
        <w:pStyle w:val="24"/>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实用性：项目采用的技术路线和主要技术，是目前主流技术，符合现行药物临床试验管理体系结构、管理模式和运行程序，能够满足药物临床试验基地目前和未来信息化长期发展的要求。</w:t>
      </w:r>
    </w:p>
    <w:p>
      <w:pPr>
        <w:pStyle w:val="24"/>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安全性：系统实现7×24小时连续安全运行，性能稳定，易于维护。有完善的权限管理机制，能够根据业务需要，灵活设定每项功能的操作权限，将权限分配给不同的角色和用户。</w:t>
      </w:r>
    </w:p>
    <w:p>
      <w:pPr>
        <w:pStyle w:val="24"/>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高效性：系统响应速度快，工作站高峰期</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1000用户并发</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操作系统时无明显等待时间，并发用户同时运行时不能出现堵塞现象。</w:t>
      </w:r>
    </w:p>
    <w:p>
      <w:pPr>
        <w:pStyle w:val="24"/>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扩展性：采用开放式的系统软件平台、模块化的应用软件结构，确保系统具有在系统产品的系列、容量与处理能力等方面的扩充与换代的可能，并可与其他业务系统进行无缝互连。</w:t>
      </w:r>
    </w:p>
    <w:p>
      <w:pPr>
        <w:pStyle w:val="24"/>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整体性：数据一次性录入，各模块之间数据共享，实现数据的采集、存储、整理、分析、提取到应用的整体化，数据之间相互关联，相互制约。</w:t>
      </w:r>
    </w:p>
    <w:p>
      <w:pPr>
        <w:pStyle w:val="24"/>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开放性：具有良好的可扩充性。提供简便、规范、畅通的基础数据维护服务，具有高扩展性的服务架构和访问接口。</w:t>
      </w:r>
    </w:p>
    <w:p>
      <w:pPr>
        <w:pStyle w:val="24"/>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9)</w:t>
      </w:r>
      <w:r>
        <w:rPr>
          <w:rFonts w:hint="eastAsia" w:ascii="仿宋" w:hAnsi="仿宋" w:eastAsia="仿宋" w:cs="仿宋"/>
          <w:sz w:val="24"/>
          <w:szCs w:val="24"/>
          <w:highlight w:val="none"/>
        </w:rPr>
        <w:t>易操作性：系统设计符合业界通用规范和习惯用法，满足非专业用户的日常使用。</w:t>
      </w:r>
    </w:p>
    <w:p>
      <w:pPr>
        <w:pStyle w:val="24"/>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both"/>
        <w:textAlignment w:val="auto"/>
        <w:rPr>
          <w:rFonts w:hint="eastAsia" w:ascii="仿宋" w:hAnsi="仿宋" w:eastAsia="仿宋" w:cs="仿宋"/>
          <w:b/>
          <w:bCs/>
          <w:sz w:val="24"/>
          <w:szCs w:val="24"/>
          <w:highlight w:val="none"/>
        </w:rPr>
      </w:pPr>
      <w:bookmarkStart w:id="8" w:name="_Toc19598"/>
      <w:r>
        <w:rPr>
          <w:rFonts w:hint="eastAsia" w:ascii="仿宋" w:hAnsi="仿宋" w:eastAsia="仿宋" w:cs="仿宋"/>
          <w:b/>
          <w:bCs/>
          <w:sz w:val="24"/>
          <w:szCs w:val="24"/>
          <w:highlight w:val="none"/>
          <w:lang w:val="en-US" w:eastAsia="zh-CN"/>
        </w:rPr>
        <w:t>2、</w:t>
      </w:r>
      <w:r>
        <w:rPr>
          <w:rFonts w:hint="eastAsia" w:ascii="仿宋" w:hAnsi="仿宋" w:eastAsia="仿宋" w:cs="仿宋"/>
          <w:b/>
          <w:bCs/>
          <w:sz w:val="24"/>
          <w:szCs w:val="24"/>
          <w:highlight w:val="none"/>
        </w:rPr>
        <w:t>专病科研数据库的建设目标及建设原则</w:t>
      </w:r>
      <w:bookmarkEnd w:id="8"/>
    </w:p>
    <w:p>
      <w:pPr>
        <w:pStyle w:val="24"/>
        <w:keepNext w:val="0"/>
        <w:keepLines w:val="0"/>
        <w:pageBreakBefore w:val="0"/>
        <w:numPr>
          <w:ilvl w:val="0"/>
          <w:numId w:val="0"/>
        </w:numPr>
        <w:kinsoku/>
        <w:wordWrap/>
        <w:overflowPunct/>
        <w:topLinePunct w:val="0"/>
        <w:bidi w:val="0"/>
        <w:snapToGrid/>
        <w:spacing w:line="360" w:lineRule="auto"/>
        <w:ind w:leftChars="0" w:firstLine="482" w:firstLineChars="200"/>
        <w:jc w:val="both"/>
        <w:textAlignment w:val="auto"/>
        <w:rPr>
          <w:rFonts w:hint="eastAsia" w:ascii="仿宋" w:hAnsi="仿宋" w:eastAsia="仿宋" w:cs="仿宋"/>
          <w:b/>
          <w:bCs/>
          <w:sz w:val="24"/>
          <w:szCs w:val="24"/>
          <w:highlight w:val="none"/>
          <w:shd w:val="clear" w:color="auto" w:fill="FFFFFF"/>
        </w:rPr>
      </w:pPr>
      <w:r>
        <w:rPr>
          <w:rFonts w:hint="eastAsia" w:ascii="仿宋" w:hAnsi="仿宋" w:eastAsia="仿宋" w:cs="仿宋"/>
          <w:b/>
          <w:bCs/>
          <w:sz w:val="24"/>
          <w:szCs w:val="24"/>
          <w:highlight w:val="none"/>
          <w:shd w:val="clear" w:color="auto" w:fill="FFFFFF"/>
          <w:lang w:val="en-US" w:eastAsia="zh-CN"/>
        </w:rPr>
        <w:t>1.1</w:t>
      </w:r>
      <w:r>
        <w:rPr>
          <w:rFonts w:hint="eastAsia" w:ascii="仿宋" w:hAnsi="仿宋" w:eastAsia="仿宋" w:cs="仿宋"/>
          <w:b/>
          <w:bCs/>
          <w:sz w:val="24"/>
          <w:szCs w:val="24"/>
          <w:highlight w:val="none"/>
          <w:shd w:val="clear" w:color="auto" w:fill="FFFFFF"/>
        </w:rPr>
        <w:t>建设目标</w:t>
      </w:r>
    </w:p>
    <w:p>
      <w:pPr>
        <w:keepNext w:val="0"/>
        <w:keepLines w:val="0"/>
        <w:pageBreakBefore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kinsoku/>
        <w:wordWrap/>
        <w:overflowPunct/>
        <w:topLinePunct w:val="0"/>
        <w:autoSpaceDE w:val="0"/>
        <w:autoSpaceDN w:val="0"/>
        <w:bidi w:val="0"/>
        <w:adjustRightInd w:val="0"/>
        <w:snapToGrid/>
        <w:spacing w:line="360" w:lineRule="auto"/>
        <w:ind w:left="0" w:leftChars="0" w:firstLine="480" w:firstLineChars="200"/>
        <w:jc w:val="both"/>
        <w:textAlignment w:val="auto"/>
        <w:rPr>
          <w:rFonts w:hint="eastAsia" w:ascii="仿宋" w:hAnsi="仿宋" w:eastAsia="仿宋" w:cs="仿宋"/>
          <w:kern w:val="0"/>
          <w:sz w:val="24"/>
          <w:szCs w:val="24"/>
          <w:highlight w:val="none"/>
        </w:rPr>
      </w:pPr>
      <w:r>
        <w:rPr>
          <w:rFonts w:hint="eastAsia" w:ascii="仿宋" w:hAnsi="仿宋" w:eastAsia="仿宋" w:cs="仿宋"/>
          <w:color w:val="000000"/>
          <w:sz w:val="24"/>
          <w:szCs w:val="24"/>
          <w:highlight w:val="none"/>
        </w:rPr>
        <w:t>结合临床科室科研需求，在数据数据采集与处理的过程中，根据要求整合科研课题研究所需的临床病例数据，建立优势病种专病数据库。通过接入特定疾病患者诊疗、治疗数据，支持标准数据接口，自动抓取和接入真实临床数据，接入数据包含门诊，急诊，住院，化验，手术及影像学数据等并根据该疾病发生发展规律、诊疗规律，进行疾病数据模型构建以及针对性的数据清洗、标准化、归一化、后结构化处理，形成统一规范的肛肠科、妇科专病科研数据库（2个专科5个病种）。</w:t>
      </w:r>
    </w:p>
    <w:p>
      <w:pPr>
        <w:pStyle w:val="24"/>
        <w:keepNext w:val="0"/>
        <w:keepLines w:val="0"/>
        <w:pageBreakBefore w:val="0"/>
        <w:numPr>
          <w:ilvl w:val="0"/>
          <w:numId w:val="0"/>
        </w:numPr>
        <w:kinsoku/>
        <w:wordWrap/>
        <w:overflowPunct/>
        <w:topLinePunct w:val="0"/>
        <w:bidi w:val="0"/>
        <w:snapToGrid/>
        <w:spacing w:line="360" w:lineRule="auto"/>
        <w:ind w:leftChars="0" w:firstLine="482" w:firstLineChars="200"/>
        <w:jc w:val="both"/>
        <w:textAlignment w:val="auto"/>
        <w:rPr>
          <w:rFonts w:hint="eastAsia" w:ascii="仿宋" w:hAnsi="仿宋" w:eastAsia="仿宋" w:cs="仿宋"/>
          <w:b/>
          <w:bCs/>
          <w:sz w:val="24"/>
          <w:szCs w:val="24"/>
          <w:highlight w:val="none"/>
          <w:shd w:val="clear" w:color="auto" w:fill="FFFFFF"/>
        </w:rPr>
      </w:pPr>
      <w:r>
        <w:rPr>
          <w:rFonts w:hint="eastAsia" w:ascii="仿宋" w:hAnsi="仿宋" w:eastAsia="仿宋" w:cs="仿宋"/>
          <w:b/>
          <w:bCs/>
          <w:sz w:val="24"/>
          <w:szCs w:val="24"/>
          <w:highlight w:val="none"/>
          <w:shd w:val="clear" w:color="auto" w:fill="FFFFFF"/>
          <w:lang w:val="en-US" w:eastAsia="zh-CN"/>
        </w:rPr>
        <w:t>1.2</w:t>
      </w:r>
      <w:r>
        <w:rPr>
          <w:rFonts w:hint="eastAsia" w:ascii="仿宋" w:hAnsi="仿宋" w:eastAsia="仿宋" w:cs="仿宋"/>
          <w:b/>
          <w:bCs/>
          <w:sz w:val="24"/>
          <w:szCs w:val="24"/>
          <w:highlight w:val="none"/>
          <w:shd w:val="clear" w:color="auto" w:fill="FFFFFF"/>
        </w:rPr>
        <w:t>建设原则</w:t>
      </w:r>
    </w:p>
    <w:bookmarkEnd w:id="6"/>
    <w:p>
      <w:pPr>
        <w:pStyle w:val="24"/>
        <w:keepNext w:val="0"/>
        <w:keepLines w:val="0"/>
        <w:pageBreakBefore w:val="0"/>
        <w:numPr>
          <w:ilvl w:val="0"/>
          <w:numId w:val="0"/>
        </w:numPr>
        <w:kinsoku/>
        <w:wordWrap/>
        <w:overflowPunct/>
        <w:topLinePunct w:val="0"/>
        <w:bidi w:val="0"/>
        <w:snapToGrid/>
        <w:spacing w:line="360" w:lineRule="auto"/>
        <w:ind w:leftChars="0"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技术结构：系统采用多层分布式架构，具有外部系统联接口，允许部分应用功能与Internet 联接，并具有专门的技术措施确保数据的安全性。 系统在设计建设过程中，应遵循已颁布的国际标准、国家标准或行业标准及本地省市相应的标准和规范。系统整体架构设计要科学、数据结构设计要合理、核心算法设计要先进、部署设计要灵活，确保系统的整体性能优越，完全满足全院发展的要求。</w:t>
      </w:r>
    </w:p>
    <w:p>
      <w:pPr>
        <w:pStyle w:val="24"/>
        <w:keepNext w:val="0"/>
        <w:keepLines w:val="0"/>
        <w:pageBreakBefore w:val="0"/>
        <w:numPr>
          <w:ilvl w:val="0"/>
          <w:numId w:val="0"/>
        </w:numPr>
        <w:kinsoku/>
        <w:wordWrap/>
        <w:overflowPunct/>
        <w:topLinePunct w:val="0"/>
        <w:bidi w:val="0"/>
        <w:snapToGrid/>
        <w:spacing w:line="360" w:lineRule="auto"/>
        <w:ind w:leftChars="0"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操作系统和数据库要求：系统高度可移植，支持多种主流关系型数据库系统。</w:t>
      </w:r>
    </w:p>
    <w:p>
      <w:pPr>
        <w:pStyle w:val="24"/>
        <w:keepNext w:val="0"/>
        <w:keepLines w:val="0"/>
        <w:pageBreakBefore w:val="0"/>
        <w:numPr>
          <w:ilvl w:val="0"/>
          <w:numId w:val="0"/>
        </w:numPr>
        <w:kinsoku/>
        <w:wordWrap/>
        <w:overflowPunct/>
        <w:topLinePunct w:val="0"/>
        <w:bidi w:val="0"/>
        <w:snapToGrid/>
        <w:spacing w:line="360" w:lineRule="auto"/>
        <w:ind w:leftChars="0"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实用性：项目采用的技术路线和主要技术，是目前主流技术，符合现行药物临床试验管理体系结构、管理模式和运行程序，能够满足药物临床试验基地目前和未来信息化长期发展的要求。</w:t>
      </w:r>
    </w:p>
    <w:p>
      <w:pPr>
        <w:pStyle w:val="24"/>
        <w:keepNext w:val="0"/>
        <w:keepLines w:val="0"/>
        <w:pageBreakBefore w:val="0"/>
        <w:numPr>
          <w:ilvl w:val="0"/>
          <w:numId w:val="0"/>
        </w:numPr>
        <w:kinsoku/>
        <w:wordWrap/>
        <w:overflowPunct/>
        <w:topLinePunct w:val="0"/>
        <w:bidi w:val="0"/>
        <w:snapToGrid/>
        <w:spacing w:line="360" w:lineRule="auto"/>
        <w:ind w:leftChars="0"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安全性：系统实现7×24小时连续安全运行，性能稳定，易于维护。有完善的权限管理机制，能够根据业务需要，灵活设定每项功能的操作权限，将权限分配给不同的角色和用户。</w:t>
      </w:r>
    </w:p>
    <w:p>
      <w:pPr>
        <w:pStyle w:val="24"/>
        <w:keepNext w:val="0"/>
        <w:keepLines w:val="0"/>
        <w:pageBreakBefore w:val="0"/>
        <w:numPr>
          <w:ilvl w:val="0"/>
          <w:numId w:val="0"/>
        </w:numPr>
        <w:kinsoku/>
        <w:wordWrap/>
        <w:overflowPunct/>
        <w:topLinePunct w:val="0"/>
        <w:bidi w:val="0"/>
        <w:snapToGrid/>
        <w:spacing w:line="360" w:lineRule="auto"/>
        <w:ind w:leftChars="0"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高效性：系统响应速度快，工作站高峰期操作系统时无明显等待时间，并发用户同时运行时不能出现堵塞现象。</w:t>
      </w:r>
    </w:p>
    <w:p>
      <w:pPr>
        <w:pStyle w:val="24"/>
        <w:keepNext w:val="0"/>
        <w:keepLines w:val="0"/>
        <w:pageBreakBefore w:val="0"/>
        <w:numPr>
          <w:ilvl w:val="0"/>
          <w:numId w:val="0"/>
        </w:numPr>
        <w:kinsoku/>
        <w:wordWrap/>
        <w:overflowPunct/>
        <w:topLinePunct w:val="0"/>
        <w:bidi w:val="0"/>
        <w:snapToGrid/>
        <w:spacing w:line="360" w:lineRule="auto"/>
        <w:ind w:leftChars="0"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扩展性：采用开放式的系统软件平台、模块化的应用软件结构，确保系统具有在系统产品的系列、容量与处理能力等方面的扩充与换代的可能，并可与其他业务系统进行无缝互连。</w:t>
      </w:r>
    </w:p>
    <w:p>
      <w:pPr>
        <w:pStyle w:val="24"/>
        <w:keepNext w:val="0"/>
        <w:keepLines w:val="0"/>
        <w:pageBreakBefore w:val="0"/>
        <w:numPr>
          <w:ilvl w:val="0"/>
          <w:numId w:val="0"/>
        </w:numPr>
        <w:kinsoku/>
        <w:wordWrap/>
        <w:overflowPunct/>
        <w:topLinePunct w:val="0"/>
        <w:bidi w:val="0"/>
        <w:snapToGrid/>
        <w:spacing w:line="360" w:lineRule="auto"/>
        <w:ind w:leftChars="0"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整体性：数据一次性录入，各模块之间数据共享，实现数据的采集、存储、整理、分析、提取到应用的整体化，数据之间相互关联，相互制约。</w:t>
      </w:r>
    </w:p>
    <w:p>
      <w:pPr>
        <w:pStyle w:val="24"/>
        <w:keepNext w:val="0"/>
        <w:keepLines w:val="0"/>
        <w:pageBreakBefore w:val="0"/>
        <w:numPr>
          <w:ilvl w:val="0"/>
          <w:numId w:val="0"/>
        </w:numPr>
        <w:kinsoku/>
        <w:wordWrap/>
        <w:overflowPunct/>
        <w:topLinePunct w:val="0"/>
        <w:bidi w:val="0"/>
        <w:snapToGrid/>
        <w:spacing w:line="360" w:lineRule="auto"/>
        <w:ind w:leftChars="0"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开放性：具有良好的可扩充性。提供简便、规范、畅通的基础数据维护服务，具有高扩展性的服务架构和访问接口。</w:t>
      </w:r>
    </w:p>
    <w:p>
      <w:pPr>
        <w:pStyle w:val="24"/>
        <w:keepNext w:val="0"/>
        <w:keepLines w:val="0"/>
        <w:pageBreakBefore w:val="0"/>
        <w:numPr>
          <w:ilvl w:val="0"/>
          <w:numId w:val="0"/>
        </w:numPr>
        <w:kinsoku/>
        <w:wordWrap/>
        <w:overflowPunct/>
        <w:topLinePunct w:val="0"/>
        <w:bidi w:val="0"/>
        <w:snapToGrid/>
        <w:spacing w:line="360" w:lineRule="auto"/>
        <w:ind w:leftChars="0"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9）</w:t>
      </w:r>
      <w:r>
        <w:rPr>
          <w:rFonts w:hint="eastAsia" w:ascii="仿宋" w:hAnsi="仿宋" w:eastAsia="仿宋" w:cs="仿宋"/>
          <w:sz w:val="24"/>
          <w:szCs w:val="24"/>
          <w:highlight w:val="none"/>
        </w:rPr>
        <w:t>易操作性：系统设计符合业界通用规范和习惯用法，满足非专业用户的日常使用。</w:t>
      </w:r>
    </w:p>
    <w:bookmarkEnd w:id="4"/>
    <w:p>
      <w:pPr>
        <w:keepNext w:val="0"/>
        <w:keepLines w:val="0"/>
        <w:pageBreakBefore w:val="0"/>
        <w:kinsoku/>
        <w:wordWrap/>
        <w:overflowPunct/>
        <w:topLinePunct w:val="0"/>
        <w:bidi w:val="0"/>
        <w:snapToGrid/>
        <w:spacing w:line="360" w:lineRule="auto"/>
        <w:ind w:leftChars="0" w:firstLine="482" w:firstLineChars="200"/>
        <w:textAlignment w:val="auto"/>
        <w:rPr>
          <w:rFonts w:hint="eastAsia" w:ascii="仿宋" w:hAnsi="仿宋" w:eastAsia="仿宋" w:cs="仿宋"/>
          <w:b/>
          <w:bCs/>
          <w:sz w:val="24"/>
          <w:szCs w:val="24"/>
        </w:rPr>
      </w:pPr>
      <w:bookmarkStart w:id="9" w:name="_Toc20809"/>
      <w:r>
        <w:rPr>
          <w:rFonts w:hint="eastAsia" w:ascii="仿宋" w:hAnsi="仿宋" w:eastAsia="仿宋" w:cs="仿宋"/>
          <w:b/>
          <w:bCs/>
          <w:sz w:val="24"/>
          <w:szCs w:val="24"/>
          <w:lang w:eastAsia="zh-CN"/>
        </w:rPr>
        <w:t>二、</w:t>
      </w:r>
      <w:r>
        <w:rPr>
          <w:rFonts w:hint="eastAsia" w:ascii="仿宋" w:hAnsi="仿宋" w:eastAsia="仿宋" w:cs="仿宋"/>
          <w:b/>
          <w:bCs/>
          <w:sz w:val="24"/>
          <w:szCs w:val="24"/>
        </w:rPr>
        <w:t>招标项目的技术要求</w:t>
      </w:r>
      <w:bookmarkEnd w:id="9"/>
    </w:p>
    <w:p>
      <w:pPr>
        <w:keepNext w:val="0"/>
        <w:keepLines w:val="0"/>
        <w:pageBreakBefore w:val="0"/>
        <w:kinsoku/>
        <w:wordWrap/>
        <w:overflowPunct/>
        <w:topLinePunct w:val="0"/>
        <w:bidi w:val="0"/>
        <w:snapToGrid/>
        <w:spacing w:line="360" w:lineRule="auto"/>
        <w:ind w:leftChars="0" w:firstLine="482" w:firstLineChars="200"/>
        <w:textAlignment w:val="auto"/>
        <w:rPr>
          <w:rFonts w:hint="eastAsia" w:ascii="仿宋" w:hAnsi="仿宋" w:eastAsia="仿宋" w:cs="仿宋"/>
          <w:b/>
          <w:bCs/>
          <w:sz w:val="24"/>
          <w:szCs w:val="24"/>
        </w:rPr>
      </w:pPr>
      <w:bookmarkStart w:id="10" w:name="_Toc22746229"/>
      <w:bookmarkStart w:id="11" w:name="_Toc13284"/>
      <w:r>
        <w:rPr>
          <w:rFonts w:hint="eastAsia" w:ascii="仿宋" w:hAnsi="仿宋" w:eastAsia="仿宋" w:cs="仿宋"/>
          <w:b/>
          <w:bCs/>
          <w:sz w:val="24"/>
          <w:szCs w:val="24"/>
          <w:lang w:eastAsia="zh-CN"/>
        </w:rPr>
        <w:t>（一）</w:t>
      </w:r>
      <w:r>
        <w:rPr>
          <w:rFonts w:hint="eastAsia" w:ascii="仿宋" w:hAnsi="仿宋" w:eastAsia="仿宋" w:cs="仿宋"/>
          <w:b/>
          <w:bCs/>
          <w:sz w:val="24"/>
          <w:szCs w:val="24"/>
        </w:rPr>
        <w:t>总体技术要求</w:t>
      </w:r>
      <w:bookmarkEnd w:id="10"/>
      <w:bookmarkEnd w:id="11"/>
    </w:p>
    <w:p>
      <w:pPr>
        <w:keepNext w:val="0"/>
        <w:keepLines w:val="0"/>
        <w:pageBreakBefore w:val="0"/>
        <w:widowControl/>
        <w:kinsoku/>
        <w:wordWrap/>
        <w:overflowPunct/>
        <w:topLinePunct w:val="0"/>
        <w:autoSpaceDE/>
        <w:autoSpaceDN/>
        <w:bidi w:val="0"/>
        <w:adjustRightInd/>
        <w:snapToGrid/>
        <w:spacing w:line="360" w:lineRule="auto"/>
        <w:ind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总体技术需求如下：</w:t>
      </w:r>
    </w:p>
    <w:p>
      <w:pPr>
        <w:keepNext w:val="0"/>
        <w:keepLines w:val="0"/>
        <w:pageBreakBefore w:val="0"/>
        <w:widowControl/>
        <w:kinsoku/>
        <w:wordWrap/>
        <w:overflowPunct/>
        <w:topLinePunct w:val="0"/>
        <w:autoSpaceDE/>
        <w:autoSpaceDN/>
        <w:bidi w:val="0"/>
        <w:adjustRightInd/>
        <w:snapToGrid/>
        <w:spacing w:line="360" w:lineRule="auto"/>
        <w:ind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1、采用多层架构的B/S结构，应用展示端建议采用HTML5技术，必须支持跨平台（Windows、IOS、Android，国产化系统等平台）的应用展示；</w:t>
      </w:r>
    </w:p>
    <w:p>
      <w:pPr>
        <w:keepNext w:val="0"/>
        <w:keepLines w:val="0"/>
        <w:pageBreakBefore w:val="0"/>
        <w:widowControl/>
        <w:kinsoku/>
        <w:wordWrap/>
        <w:overflowPunct/>
        <w:topLinePunct w:val="0"/>
        <w:autoSpaceDE/>
        <w:autoSpaceDN/>
        <w:bidi w:val="0"/>
        <w:adjustRightInd/>
        <w:snapToGrid/>
        <w:spacing w:line="360" w:lineRule="auto"/>
        <w:ind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 适应平台将来的可扩展性，平台必须具备开放式性：展示页面可视化配置，灵活增加；具有可自定义配置的数据集；</w:t>
      </w:r>
    </w:p>
    <w:p>
      <w:pPr>
        <w:keepNext w:val="0"/>
        <w:keepLines w:val="0"/>
        <w:pageBreakBefore w:val="0"/>
        <w:widowControl/>
        <w:kinsoku/>
        <w:wordWrap/>
        <w:overflowPunct/>
        <w:topLinePunct w:val="0"/>
        <w:autoSpaceDE/>
        <w:autoSpaceDN/>
        <w:bidi w:val="0"/>
        <w:adjustRightInd/>
        <w:snapToGrid/>
        <w:spacing w:line="360" w:lineRule="auto"/>
        <w:ind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3、根据医院需求</w:t>
      </w:r>
      <w:r>
        <w:rPr>
          <w:rFonts w:hint="eastAsia" w:ascii="仿宋" w:hAnsi="仿宋" w:eastAsia="仿宋" w:cs="仿宋"/>
          <w:sz w:val="24"/>
          <w:szCs w:val="24"/>
          <w:highlight w:val="none"/>
          <w:lang w:val="en-US" w:eastAsia="zh-CN"/>
        </w:rPr>
        <w:t>有</w:t>
      </w:r>
      <w:r>
        <w:rPr>
          <w:rFonts w:hint="eastAsia" w:ascii="仿宋" w:hAnsi="仿宋" w:eastAsia="仿宋" w:cs="仿宋"/>
          <w:sz w:val="24"/>
          <w:szCs w:val="24"/>
          <w:highlight w:val="none"/>
        </w:rPr>
        <w:t>灵活配置相关管理指标的</w:t>
      </w:r>
      <w:r>
        <w:rPr>
          <w:rFonts w:hint="eastAsia" w:ascii="仿宋" w:hAnsi="仿宋" w:eastAsia="仿宋" w:cs="仿宋"/>
          <w:sz w:val="24"/>
          <w:szCs w:val="24"/>
          <w:highlight w:val="none"/>
          <w:lang w:val="en-US" w:eastAsia="zh-CN"/>
        </w:rPr>
        <w:t>功能</w:t>
      </w:r>
      <w:r>
        <w:rPr>
          <w:rFonts w:hint="eastAsia" w:ascii="仿宋" w:hAnsi="仿宋" w:eastAsia="仿宋" w:cs="仿宋"/>
          <w:sz w:val="24"/>
          <w:szCs w:val="24"/>
          <w:highlight w:val="none"/>
        </w:rPr>
        <w:t>；</w:t>
      </w:r>
    </w:p>
    <w:p>
      <w:pPr>
        <w:keepNext w:val="0"/>
        <w:keepLines w:val="0"/>
        <w:pageBreakBefore w:val="0"/>
        <w:widowControl/>
        <w:kinsoku/>
        <w:wordWrap/>
        <w:overflowPunct/>
        <w:topLinePunct w:val="0"/>
        <w:autoSpaceDE/>
        <w:autoSpaceDN/>
        <w:bidi w:val="0"/>
        <w:adjustRightInd/>
        <w:snapToGrid/>
        <w:spacing w:line="360" w:lineRule="auto"/>
        <w:ind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4、系统支持ORACLE、国产数据库等主流大型数据库；支持主流厂商的硬件及操作系统平台；支持Unix、Linux 、Windows、国产操作系统等操作系统，支持关系模型，支持分布式处理；支持主流的网络协议（TCP/IP、IPX/SPX、NETBIOS及混合协议等）；</w:t>
      </w:r>
    </w:p>
    <w:p>
      <w:pPr>
        <w:keepNext w:val="0"/>
        <w:keepLines w:val="0"/>
        <w:pageBreakBefore w:val="0"/>
        <w:widowControl/>
        <w:kinsoku/>
        <w:wordWrap/>
        <w:overflowPunct/>
        <w:topLinePunct w:val="0"/>
        <w:autoSpaceDE/>
        <w:autoSpaceDN/>
        <w:bidi w:val="0"/>
        <w:adjustRightInd/>
        <w:snapToGrid/>
        <w:spacing w:line="360" w:lineRule="auto"/>
        <w:ind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5、提供配套的数据抓取工具、数据订阅工具、消息引擎、规则库、报表工具、数据共享引擎等一系列应用工具，确保各种临床管理应用效果的配置扩展实现。</w:t>
      </w:r>
    </w:p>
    <w:p>
      <w:pPr>
        <w:keepNext w:val="0"/>
        <w:keepLines w:val="0"/>
        <w:pageBreakBefore w:val="0"/>
        <w:widowControl/>
        <w:kinsoku/>
        <w:wordWrap/>
        <w:overflowPunct/>
        <w:topLinePunct w:val="0"/>
        <w:autoSpaceDE/>
        <w:autoSpaceDN/>
        <w:bidi w:val="0"/>
        <w:adjustRightInd/>
        <w:snapToGrid/>
        <w:spacing w:line="360" w:lineRule="auto"/>
        <w:ind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确保业务系统的稳定，要求有独立数据中心的数据模型，要求不能直接引用当前业务系统模型或消息模型。要通过数据抓取技术对原始业务数据进行抽取、转换、清洗并转存到CDR数据模型中，形成集中存储的数据集。</w:t>
      </w:r>
    </w:p>
    <w:p>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highlight w:val="none"/>
        </w:rPr>
      </w:pPr>
      <w:bookmarkStart w:id="12" w:name="_Toc11677"/>
      <w:r>
        <w:rPr>
          <w:rFonts w:hint="eastAsia" w:ascii="仿宋" w:hAnsi="仿宋" w:eastAsia="仿宋" w:cs="仿宋"/>
          <w:b/>
          <w:bCs/>
          <w:sz w:val="24"/>
          <w:szCs w:val="24"/>
          <w:highlight w:val="none"/>
          <w:lang w:val="en-US" w:eastAsia="zh-CN"/>
        </w:rPr>
        <w:t>（二）</w:t>
      </w:r>
      <w:r>
        <w:rPr>
          <w:rFonts w:hint="eastAsia" w:ascii="仿宋" w:hAnsi="仿宋" w:eastAsia="仿宋" w:cs="仿宋"/>
          <w:b/>
          <w:bCs/>
          <w:sz w:val="24"/>
          <w:szCs w:val="24"/>
          <w:highlight w:val="none"/>
        </w:rPr>
        <w:t>项目建设内容</w:t>
      </w:r>
      <w:bookmarkEnd w:id="12"/>
    </w:p>
    <w:p>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2.1科研管理系统</w:t>
      </w:r>
    </w:p>
    <w:tbl>
      <w:tblPr>
        <w:tblStyle w:val="18"/>
        <w:tblW w:w="8531" w:type="dxa"/>
        <w:jc w:val="center"/>
        <w:tblLayout w:type="fixed"/>
        <w:tblCellMar>
          <w:top w:w="0" w:type="dxa"/>
          <w:left w:w="108" w:type="dxa"/>
          <w:bottom w:w="0" w:type="dxa"/>
          <w:right w:w="108" w:type="dxa"/>
        </w:tblCellMar>
      </w:tblPr>
      <w:tblGrid>
        <w:gridCol w:w="815"/>
        <w:gridCol w:w="1440"/>
        <w:gridCol w:w="6276"/>
      </w:tblGrid>
      <w:tr>
        <w:tblPrEx>
          <w:tblCellMar>
            <w:top w:w="0" w:type="dxa"/>
            <w:left w:w="108" w:type="dxa"/>
            <w:bottom w:w="0" w:type="dxa"/>
            <w:right w:w="108" w:type="dxa"/>
          </w:tblCellMar>
        </w:tblPrEx>
        <w:trPr>
          <w:trHeight w:val="561" w:hRule="atLeast"/>
          <w:jc w:val="center"/>
        </w:trPr>
        <w:tc>
          <w:tcPr>
            <w:tcW w:w="815" w:type="dxa"/>
            <w:tcBorders>
              <w:top w:val="single" w:color="auto" w:sz="4" w:space="0"/>
              <w:left w:val="single" w:color="auto" w:sz="4" w:space="0"/>
              <w:bottom w:val="single" w:color="auto" w:sz="4" w:space="0"/>
              <w:right w:val="single" w:color="auto" w:sz="4" w:space="0"/>
            </w:tcBorders>
            <w:shd w:val="clear" w:color="auto" w:fill="D7D7D7"/>
            <w:noWrap w:val="0"/>
            <w:vAlign w:val="center"/>
          </w:tcPr>
          <w:p>
            <w:pPr>
              <w:keepNext w:val="0"/>
              <w:keepLines w:val="0"/>
              <w:pageBreakBefore w:val="0"/>
              <w:widowControl/>
              <w:kinsoku/>
              <w:wordWrap/>
              <w:overflowPunct/>
              <w:topLinePunct w:val="0"/>
              <w:autoSpaceDE/>
              <w:autoSpaceDN/>
              <w:bidi w:val="0"/>
              <w:snapToGrid/>
              <w:spacing w:line="240" w:lineRule="auto"/>
              <w:jc w:val="center"/>
              <w:textAlignment w:val="auto"/>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序号</w:t>
            </w:r>
          </w:p>
        </w:tc>
        <w:tc>
          <w:tcPr>
            <w:tcW w:w="1440" w:type="dxa"/>
            <w:tcBorders>
              <w:top w:val="single" w:color="auto" w:sz="4" w:space="0"/>
              <w:left w:val="single" w:color="auto" w:sz="4" w:space="0"/>
              <w:bottom w:val="single" w:color="auto" w:sz="4" w:space="0"/>
              <w:right w:val="single" w:color="auto" w:sz="4" w:space="0"/>
            </w:tcBorders>
            <w:shd w:val="clear" w:color="auto" w:fill="D7D7D7"/>
            <w:noWrap w:val="0"/>
            <w:vAlign w:val="center"/>
          </w:tcPr>
          <w:p>
            <w:pPr>
              <w:keepNext w:val="0"/>
              <w:keepLines w:val="0"/>
              <w:pageBreakBefore w:val="0"/>
              <w:widowControl/>
              <w:kinsoku/>
              <w:wordWrap/>
              <w:overflowPunct/>
              <w:topLinePunct w:val="0"/>
              <w:autoSpaceDE/>
              <w:autoSpaceDN/>
              <w:bidi w:val="0"/>
              <w:snapToGrid/>
              <w:spacing w:line="240" w:lineRule="auto"/>
              <w:jc w:val="center"/>
              <w:textAlignment w:val="auto"/>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功能与模块</w:t>
            </w:r>
          </w:p>
        </w:tc>
        <w:tc>
          <w:tcPr>
            <w:tcW w:w="6276" w:type="dxa"/>
            <w:tcBorders>
              <w:top w:val="single" w:color="auto" w:sz="4" w:space="0"/>
              <w:left w:val="single" w:color="auto" w:sz="4" w:space="0"/>
              <w:bottom w:val="single" w:color="auto" w:sz="4" w:space="0"/>
              <w:right w:val="single" w:color="auto" w:sz="4" w:space="0"/>
            </w:tcBorders>
            <w:shd w:val="clear" w:color="auto" w:fill="D7D7D7"/>
            <w:noWrap w:val="0"/>
            <w:vAlign w:val="center"/>
          </w:tcPr>
          <w:p>
            <w:pPr>
              <w:keepNext w:val="0"/>
              <w:keepLines w:val="0"/>
              <w:pageBreakBefore w:val="0"/>
              <w:widowControl/>
              <w:kinsoku/>
              <w:wordWrap/>
              <w:overflowPunct/>
              <w:topLinePunct w:val="0"/>
              <w:autoSpaceDE/>
              <w:autoSpaceDN/>
              <w:bidi w:val="0"/>
              <w:snapToGrid/>
              <w:spacing w:line="240" w:lineRule="auto"/>
              <w:jc w:val="center"/>
              <w:textAlignment w:val="auto"/>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技术与功能要求</w:t>
            </w:r>
          </w:p>
        </w:tc>
      </w:tr>
      <w:tr>
        <w:tblPrEx>
          <w:tblCellMar>
            <w:top w:w="0" w:type="dxa"/>
            <w:left w:w="108" w:type="dxa"/>
            <w:bottom w:w="0" w:type="dxa"/>
            <w:right w:w="108" w:type="dxa"/>
          </w:tblCellMar>
        </w:tblPrEx>
        <w:trPr>
          <w:trHeight w:val="525" w:hRule="atLeast"/>
          <w:jc w:val="center"/>
        </w:trPr>
        <w:tc>
          <w:tcPr>
            <w:tcW w:w="8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w:t>
            </w:r>
          </w:p>
        </w:tc>
        <w:tc>
          <w:tcPr>
            <w:tcW w:w="1440" w:type="dxa"/>
            <w:tcBorders>
              <w:top w:val="nil"/>
              <w:left w:val="single" w:color="auto" w:sz="4" w:space="0"/>
              <w:bottom w:val="single" w:color="auto" w:sz="4" w:space="0"/>
              <w:right w:val="single" w:color="auto" w:sz="4" w:space="0"/>
            </w:tcBorders>
            <w:noWrap w:val="0"/>
            <w:vAlign w:val="center"/>
          </w:tcPr>
          <w:p>
            <w:pPr>
              <w:pStyle w:val="26"/>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仿宋" w:hAnsi="仿宋" w:eastAsia="仿宋" w:cs="仿宋"/>
                <w:color w:val="000000"/>
                <w:kern w:val="0"/>
                <w:sz w:val="24"/>
                <w:szCs w:val="24"/>
                <w:highlight w:val="none"/>
              </w:rPr>
            </w:pPr>
            <w:r>
              <w:rPr>
                <w:rFonts w:hint="eastAsia" w:ascii="仿宋" w:hAnsi="仿宋" w:eastAsia="仿宋" w:cs="仿宋"/>
                <w:sz w:val="24"/>
                <w:szCs w:val="24"/>
                <w:highlight w:val="none"/>
              </w:rPr>
              <w:t>系统管理</w:t>
            </w:r>
          </w:p>
        </w:tc>
        <w:tc>
          <w:tcPr>
            <w:tcW w:w="6276" w:type="dxa"/>
            <w:tcBorders>
              <w:top w:val="nil"/>
              <w:left w:val="single" w:color="auto" w:sz="4" w:space="0"/>
              <w:bottom w:val="single" w:color="auto" w:sz="4" w:space="0"/>
              <w:right w:val="single" w:color="auto" w:sz="4" w:space="0"/>
            </w:tcBorders>
            <w:noWrap w:val="0"/>
            <w:vAlign w:val="center"/>
          </w:tcPr>
          <w:p>
            <w:pPr>
              <w:pStyle w:val="26"/>
              <w:keepNext w:val="0"/>
              <w:keepLines w:val="0"/>
              <w:pageBreakBefore w:val="0"/>
              <w:widowControl/>
              <w:kinsoku/>
              <w:wordWrap/>
              <w:overflowPunct/>
              <w:topLinePunct w:val="0"/>
              <w:autoSpaceDE/>
              <w:autoSpaceDN/>
              <w:bidi w:val="0"/>
              <w:adjustRightInd w:val="0"/>
              <w:snapToGrid/>
              <w:spacing w:line="240" w:lineRule="auto"/>
              <w:textAlignment w:val="auto"/>
              <w:rPr>
                <w:rFonts w:hint="eastAsia" w:ascii="仿宋" w:hAnsi="仿宋" w:eastAsia="仿宋" w:cs="仿宋"/>
                <w:color w:val="000000"/>
                <w:kern w:val="0"/>
                <w:sz w:val="24"/>
                <w:szCs w:val="24"/>
                <w:highlight w:val="none"/>
              </w:rPr>
            </w:pPr>
            <w:r>
              <w:rPr>
                <w:rFonts w:hint="eastAsia" w:ascii="仿宋" w:hAnsi="仿宋" w:eastAsia="仿宋" w:cs="仿宋"/>
                <w:sz w:val="24"/>
                <w:szCs w:val="24"/>
                <w:highlight w:val="none"/>
              </w:rPr>
              <w:t>包括组织机构、登陆账户、数据参数、角色权限管理、系统日志、数据库管理（备份、还原）等内容；系统支持人员、科室相关信息批量化导入，并支持后期信息维护；支持门户网页建设，支持和医院官网链接。</w:t>
            </w:r>
          </w:p>
        </w:tc>
      </w:tr>
      <w:tr>
        <w:tblPrEx>
          <w:tblCellMar>
            <w:top w:w="0" w:type="dxa"/>
            <w:left w:w="108" w:type="dxa"/>
            <w:bottom w:w="0" w:type="dxa"/>
            <w:right w:w="108" w:type="dxa"/>
          </w:tblCellMar>
        </w:tblPrEx>
        <w:trPr>
          <w:trHeight w:val="525" w:hRule="atLeast"/>
          <w:jc w:val="center"/>
        </w:trPr>
        <w:tc>
          <w:tcPr>
            <w:tcW w:w="815" w:type="dxa"/>
            <w:tcBorders>
              <w:top w:val="single" w:color="auto" w:sz="4" w:space="0"/>
              <w:left w:val="single" w:color="auto" w:sz="4" w:space="0"/>
              <w:bottom w:val="single" w:color="auto" w:sz="4" w:space="0"/>
              <w:right w:val="single" w:color="auto" w:sz="4" w:space="0"/>
            </w:tcBorders>
            <w:noWrap w:val="0"/>
            <w:vAlign w:val="center"/>
          </w:tcPr>
          <w:p>
            <w:pPr>
              <w:pStyle w:val="26"/>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1440" w:type="dxa"/>
            <w:tcBorders>
              <w:top w:val="nil"/>
              <w:left w:val="single" w:color="auto" w:sz="4" w:space="0"/>
              <w:bottom w:val="single" w:color="auto" w:sz="4" w:space="0"/>
              <w:right w:val="single" w:color="auto" w:sz="4" w:space="0"/>
            </w:tcBorders>
            <w:noWrap w:val="0"/>
            <w:vAlign w:val="center"/>
          </w:tcPr>
          <w:p>
            <w:pPr>
              <w:pStyle w:val="26"/>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科研门户</w:t>
            </w:r>
          </w:p>
        </w:tc>
        <w:tc>
          <w:tcPr>
            <w:tcW w:w="627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spacing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设置通知公告、待办事项、下载中心及发送邮件、短信的通知方式。通知公告可由科研管理人员直接编辑修改并进行日常发布项目申报指南等。待办事项对科研人员课题申报、结题答辩、经费使用等流程进度与时限进行智能化提醒。</w:t>
            </w:r>
          </w:p>
        </w:tc>
      </w:tr>
      <w:tr>
        <w:tblPrEx>
          <w:tblCellMar>
            <w:top w:w="0" w:type="dxa"/>
            <w:left w:w="108" w:type="dxa"/>
            <w:bottom w:w="0" w:type="dxa"/>
            <w:right w:w="108" w:type="dxa"/>
          </w:tblCellMar>
        </w:tblPrEx>
        <w:trPr>
          <w:trHeight w:val="525" w:hRule="atLeast"/>
          <w:jc w:val="center"/>
        </w:trPr>
        <w:tc>
          <w:tcPr>
            <w:tcW w:w="815" w:type="dxa"/>
            <w:tcBorders>
              <w:top w:val="single" w:color="auto" w:sz="4" w:space="0"/>
              <w:left w:val="single" w:color="auto" w:sz="4" w:space="0"/>
              <w:bottom w:val="single" w:color="auto" w:sz="4" w:space="0"/>
              <w:right w:val="single" w:color="auto" w:sz="4" w:space="0"/>
            </w:tcBorders>
            <w:noWrap w:val="0"/>
            <w:vAlign w:val="center"/>
          </w:tcPr>
          <w:p>
            <w:pPr>
              <w:pStyle w:val="26"/>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1440" w:type="dxa"/>
            <w:tcBorders>
              <w:top w:val="nil"/>
              <w:left w:val="single" w:color="auto" w:sz="4" w:space="0"/>
              <w:bottom w:val="single" w:color="auto" w:sz="4" w:space="0"/>
              <w:right w:val="single" w:color="auto" w:sz="4" w:space="0"/>
            </w:tcBorders>
            <w:noWrap w:val="0"/>
            <w:vAlign w:val="center"/>
          </w:tcPr>
          <w:p>
            <w:pPr>
              <w:pStyle w:val="26"/>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科研队伍</w:t>
            </w:r>
          </w:p>
        </w:tc>
        <w:tc>
          <w:tcPr>
            <w:tcW w:w="627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spacing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对组织机构、科研人员、专家库管理，科研秘书对本单位科研人员有增加、修改、删除、查看和审核的管理权限，还可以通过导出按钮进行人员信息的导出。 </w:t>
            </w:r>
          </w:p>
        </w:tc>
      </w:tr>
      <w:tr>
        <w:tblPrEx>
          <w:tblCellMar>
            <w:top w:w="0" w:type="dxa"/>
            <w:left w:w="108" w:type="dxa"/>
            <w:bottom w:w="0" w:type="dxa"/>
            <w:right w:w="108" w:type="dxa"/>
          </w:tblCellMar>
        </w:tblPrEx>
        <w:trPr>
          <w:trHeight w:val="525" w:hRule="atLeast"/>
          <w:jc w:val="center"/>
        </w:trPr>
        <w:tc>
          <w:tcPr>
            <w:tcW w:w="815" w:type="dxa"/>
            <w:tcBorders>
              <w:top w:val="single" w:color="auto" w:sz="4" w:space="0"/>
              <w:left w:val="single" w:color="auto" w:sz="4" w:space="0"/>
              <w:bottom w:val="single" w:color="auto" w:sz="4" w:space="0"/>
              <w:right w:val="single" w:color="auto" w:sz="4" w:space="0"/>
            </w:tcBorders>
            <w:noWrap w:val="0"/>
            <w:vAlign w:val="center"/>
          </w:tcPr>
          <w:p>
            <w:pPr>
              <w:pStyle w:val="26"/>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1440" w:type="dxa"/>
            <w:tcBorders>
              <w:top w:val="nil"/>
              <w:left w:val="single" w:color="auto" w:sz="4" w:space="0"/>
              <w:bottom w:val="single" w:color="auto" w:sz="4" w:space="0"/>
              <w:right w:val="single" w:color="auto" w:sz="4" w:space="0"/>
            </w:tcBorders>
            <w:noWrap w:val="0"/>
            <w:vAlign w:val="center"/>
          </w:tcPr>
          <w:p>
            <w:pPr>
              <w:pStyle w:val="26"/>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科研平台</w:t>
            </w:r>
          </w:p>
        </w:tc>
        <w:tc>
          <w:tcPr>
            <w:tcW w:w="627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spacing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对院内各研究基地、实验室、研究中心</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工作室、科室</w:t>
            </w:r>
            <w:r>
              <w:rPr>
                <w:rFonts w:hint="eastAsia" w:ascii="仿宋" w:hAnsi="仿宋" w:eastAsia="仿宋" w:cs="仿宋"/>
                <w:sz w:val="24"/>
                <w:szCs w:val="24"/>
                <w:highlight w:val="none"/>
              </w:rPr>
              <w:t>等科研平台的管理。科研秘书可以对科研平台的信息进行维护。</w:t>
            </w:r>
          </w:p>
        </w:tc>
      </w:tr>
      <w:tr>
        <w:tblPrEx>
          <w:tblCellMar>
            <w:top w:w="0" w:type="dxa"/>
            <w:left w:w="108" w:type="dxa"/>
            <w:bottom w:w="0" w:type="dxa"/>
            <w:right w:w="108" w:type="dxa"/>
          </w:tblCellMar>
        </w:tblPrEx>
        <w:trPr>
          <w:trHeight w:val="525" w:hRule="atLeast"/>
          <w:jc w:val="center"/>
        </w:trPr>
        <w:tc>
          <w:tcPr>
            <w:tcW w:w="815" w:type="dxa"/>
            <w:tcBorders>
              <w:top w:val="single" w:color="auto" w:sz="4" w:space="0"/>
              <w:left w:val="single" w:color="auto" w:sz="4" w:space="0"/>
              <w:bottom w:val="single" w:color="auto" w:sz="4" w:space="0"/>
              <w:right w:val="single" w:color="auto" w:sz="4" w:space="0"/>
            </w:tcBorders>
            <w:noWrap w:val="0"/>
            <w:vAlign w:val="center"/>
          </w:tcPr>
          <w:p>
            <w:pPr>
              <w:pStyle w:val="26"/>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w:t>
            </w:r>
          </w:p>
        </w:tc>
        <w:tc>
          <w:tcPr>
            <w:tcW w:w="1440" w:type="dxa"/>
            <w:tcBorders>
              <w:top w:val="nil"/>
              <w:left w:val="single" w:color="auto" w:sz="4" w:space="0"/>
              <w:bottom w:val="single" w:color="auto" w:sz="4" w:space="0"/>
              <w:right w:val="single" w:color="auto" w:sz="4" w:space="0"/>
            </w:tcBorders>
            <w:noWrap w:val="0"/>
            <w:vAlign w:val="center"/>
          </w:tcPr>
          <w:p>
            <w:pPr>
              <w:pStyle w:val="26"/>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科研项目管理</w:t>
            </w:r>
          </w:p>
        </w:tc>
        <w:tc>
          <w:tcPr>
            <w:tcW w:w="627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spacing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实行对纵向及横向的分类管理。包括项目申报、项目审核、项目过程管理，实现科研项目院内申报、审核、筛选、立项、中期管理至结题的全生命周期网络化管理。由项目负责人/管理者选择对应项目进行任务分配及进度安排，按项目进度要求上报中期、终期进度报告、延期/变更申请，并进行逐级审核。可查看及时任务进度及完成情况，且可反馈审核意见及督办信息。</w:t>
            </w:r>
          </w:p>
        </w:tc>
      </w:tr>
      <w:tr>
        <w:tblPrEx>
          <w:tblCellMar>
            <w:top w:w="0" w:type="dxa"/>
            <w:left w:w="108" w:type="dxa"/>
            <w:bottom w:w="0" w:type="dxa"/>
            <w:right w:w="108" w:type="dxa"/>
          </w:tblCellMar>
        </w:tblPrEx>
        <w:trPr>
          <w:trHeight w:val="525" w:hRule="atLeast"/>
          <w:jc w:val="center"/>
        </w:trPr>
        <w:tc>
          <w:tcPr>
            <w:tcW w:w="815" w:type="dxa"/>
            <w:tcBorders>
              <w:top w:val="single" w:color="auto" w:sz="4" w:space="0"/>
              <w:left w:val="single" w:color="auto" w:sz="4" w:space="0"/>
              <w:bottom w:val="single" w:color="auto" w:sz="4" w:space="0"/>
              <w:right w:val="single" w:color="auto" w:sz="4" w:space="0"/>
            </w:tcBorders>
            <w:noWrap w:val="0"/>
            <w:vAlign w:val="center"/>
          </w:tcPr>
          <w:p>
            <w:pPr>
              <w:pStyle w:val="26"/>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w:t>
            </w:r>
          </w:p>
        </w:tc>
        <w:tc>
          <w:tcPr>
            <w:tcW w:w="1440" w:type="dxa"/>
            <w:tcBorders>
              <w:top w:val="nil"/>
              <w:left w:val="single" w:color="auto" w:sz="4" w:space="0"/>
              <w:bottom w:val="single" w:color="auto" w:sz="4" w:space="0"/>
              <w:right w:val="single" w:color="auto" w:sz="4" w:space="0"/>
            </w:tcBorders>
            <w:noWrap w:val="0"/>
            <w:vAlign w:val="center"/>
          </w:tcPr>
          <w:p>
            <w:pPr>
              <w:pStyle w:val="26"/>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科研经费管理</w:t>
            </w:r>
          </w:p>
        </w:tc>
        <w:tc>
          <w:tcPr>
            <w:tcW w:w="627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spacing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支持经费支出申请、审批，可查询项目经费支出明细、结余及审批状态，支持附件上传及纠错、预警提醒。设置财政经费和配套经费，并划定可支出范围。提供经费到账、下拨、配套等到账情况的维护功能，可以逐条对到账经费的具体信息进行维护，经费的支出情况和项目报销情况相关联的。对于结题的课题，财政拨款余额转入结余经费，保留结转记录，配套经费结题两年后收回。系统自动根据需要生成经费查询报表，支持多条件查询。实现科研、财务与项目负责人共享信息资源。立项之初由科研系统向财务系统推送项目负责人填报任务书时录入的项目预算，入账后由财务向科研推送经费执行进度，课题负责人提交的报销申请金额若超出财务系统内报销科目结余经费则无法报销，需在科研系统上进行预算变更申请及审批，信息变更后3方均可在各自客户端查阅。3方同时对课题经费行使监管权，允许科研管理人员及项目负责人查阅科研经费支出和结余情况。</w:t>
            </w:r>
          </w:p>
        </w:tc>
      </w:tr>
      <w:tr>
        <w:tblPrEx>
          <w:tblCellMar>
            <w:top w:w="0" w:type="dxa"/>
            <w:left w:w="108" w:type="dxa"/>
            <w:bottom w:w="0" w:type="dxa"/>
            <w:right w:w="108" w:type="dxa"/>
          </w:tblCellMar>
        </w:tblPrEx>
        <w:trPr>
          <w:trHeight w:val="525" w:hRule="atLeast"/>
          <w:jc w:val="center"/>
        </w:trPr>
        <w:tc>
          <w:tcPr>
            <w:tcW w:w="81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7</w:t>
            </w:r>
          </w:p>
        </w:tc>
        <w:tc>
          <w:tcPr>
            <w:tcW w:w="1440" w:type="dxa"/>
            <w:tcBorders>
              <w:top w:val="nil"/>
              <w:left w:val="single" w:color="auto" w:sz="4" w:space="0"/>
              <w:bottom w:val="single" w:color="auto" w:sz="4" w:space="0"/>
              <w:right w:val="single" w:color="auto" w:sz="4" w:space="0"/>
            </w:tcBorders>
            <w:noWrap w:val="0"/>
            <w:vAlign w:val="center"/>
          </w:tcPr>
          <w:p>
            <w:pPr>
              <w:pStyle w:val="26"/>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科研成果管理</w:t>
            </w:r>
          </w:p>
        </w:tc>
        <w:tc>
          <w:tcPr>
            <w:tcW w:w="6276" w:type="dxa"/>
            <w:tcBorders>
              <w:top w:val="nil"/>
              <w:left w:val="single" w:color="auto" w:sz="4" w:space="0"/>
              <w:bottom w:val="single" w:color="auto" w:sz="4" w:space="0"/>
              <w:right w:val="single" w:color="auto" w:sz="4" w:space="0"/>
            </w:tcBorders>
            <w:noWrap w:val="0"/>
            <w:vAlign w:val="center"/>
          </w:tcPr>
          <w:p>
            <w:pPr>
              <w:pStyle w:val="26"/>
              <w:keepNext w:val="0"/>
              <w:keepLines w:val="0"/>
              <w:pageBreakBefore w:val="0"/>
              <w:widowControl/>
              <w:kinsoku/>
              <w:wordWrap/>
              <w:overflowPunct/>
              <w:topLinePunct w:val="0"/>
              <w:autoSpaceDE/>
              <w:autoSpaceDN/>
              <w:bidi w:val="0"/>
              <w:adjustRightInd w:val="0"/>
              <w:snapToGrid/>
              <w:spacing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学术论文、专著、专利、科研奖励：实现各类科研成果认领、登记、入库，可对所有登记的成果信息进行审核管理，支持附件上传；实现学术组织任职登记、审核；支持学术活动申请、审核、登记管理；对待社会已公开发表信息尽量采用数据库直连方式自动化导入，避免手工2次录入。</w:t>
            </w:r>
          </w:p>
        </w:tc>
      </w:tr>
      <w:tr>
        <w:tblPrEx>
          <w:tblCellMar>
            <w:top w:w="0" w:type="dxa"/>
            <w:left w:w="108" w:type="dxa"/>
            <w:bottom w:w="0" w:type="dxa"/>
            <w:right w:w="108" w:type="dxa"/>
          </w:tblCellMar>
        </w:tblPrEx>
        <w:trPr>
          <w:trHeight w:val="525" w:hRule="atLeast"/>
          <w:jc w:val="center"/>
        </w:trPr>
        <w:tc>
          <w:tcPr>
            <w:tcW w:w="81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8</w:t>
            </w:r>
          </w:p>
        </w:tc>
        <w:tc>
          <w:tcPr>
            <w:tcW w:w="1440" w:type="dxa"/>
            <w:tcBorders>
              <w:top w:val="nil"/>
              <w:left w:val="single" w:color="auto" w:sz="4" w:space="0"/>
              <w:bottom w:val="single" w:color="auto" w:sz="4" w:space="0"/>
              <w:right w:val="single" w:color="auto" w:sz="4" w:space="0"/>
            </w:tcBorders>
            <w:noWrap w:val="0"/>
            <w:vAlign w:val="center"/>
          </w:tcPr>
          <w:p>
            <w:pPr>
              <w:pStyle w:val="26"/>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学科管理</w:t>
            </w:r>
          </w:p>
        </w:tc>
        <w:tc>
          <w:tcPr>
            <w:tcW w:w="6276" w:type="dxa"/>
            <w:tcBorders>
              <w:top w:val="nil"/>
              <w:left w:val="single" w:color="auto" w:sz="4" w:space="0"/>
              <w:bottom w:val="single" w:color="auto" w:sz="4" w:space="0"/>
              <w:right w:val="single" w:color="auto" w:sz="4" w:space="0"/>
            </w:tcBorders>
            <w:noWrap w:val="0"/>
            <w:vAlign w:val="center"/>
          </w:tcPr>
          <w:p>
            <w:pPr>
              <w:pStyle w:val="26"/>
              <w:keepNext w:val="0"/>
              <w:keepLines w:val="0"/>
              <w:pageBreakBefore w:val="0"/>
              <w:widowControl/>
              <w:kinsoku/>
              <w:wordWrap/>
              <w:overflowPunct/>
              <w:topLinePunct w:val="0"/>
              <w:autoSpaceDE/>
              <w:autoSpaceDN/>
              <w:bidi w:val="0"/>
              <w:adjustRightInd w:val="0"/>
              <w:snapToGrid/>
              <w:spacing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学科基本信息、学科带头人、学科方向、学科队伍、学科规划材料（上传附件）、到账经费、学科资金执行计划（上传附件）、学科建设总结材料（上传附件）等。</w:t>
            </w:r>
          </w:p>
        </w:tc>
      </w:tr>
      <w:tr>
        <w:tblPrEx>
          <w:tblCellMar>
            <w:top w:w="0" w:type="dxa"/>
            <w:left w:w="108" w:type="dxa"/>
            <w:bottom w:w="0" w:type="dxa"/>
            <w:right w:w="108" w:type="dxa"/>
          </w:tblCellMar>
        </w:tblPrEx>
        <w:trPr>
          <w:trHeight w:val="525" w:hRule="atLeast"/>
          <w:jc w:val="center"/>
        </w:trPr>
        <w:tc>
          <w:tcPr>
            <w:tcW w:w="81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9</w:t>
            </w:r>
          </w:p>
        </w:tc>
        <w:tc>
          <w:tcPr>
            <w:tcW w:w="1440" w:type="dxa"/>
            <w:tcBorders>
              <w:top w:val="nil"/>
              <w:left w:val="single" w:color="auto" w:sz="4" w:space="0"/>
              <w:bottom w:val="single" w:color="auto" w:sz="4" w:space="0"/>
              <w:right w:val="single" w:color="auto" w:sz="4" w:space="0"/>
            </w:tcBorders>
            <w:noWrap w:val="0"/>
            <w:vAlign w:val="center"/>
          </w:tcPr>
          <w:p>
            <w:pPr>
              <w:pStyle w:val="26"/>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科研诚信</w:t>
            </w:r>
          </w:p>
        </w:tc>
        <w:tc>
          <w:tcPr>
            <w:tcW w:w="6276" w:type="dxa"/>
            <w:tcBorders>
              <w:top w:val="nil"/>
              <w:left w:val="single" w:color="auto" w:sz="4" w:space="0"/>
              <w:bottom w:val="single" w:color="auto" w:sz="4" w:space="0"/>
              <w:right w:val="single" w:color="auto" w:sz="4" w:space="0"/>
            </w:tcBorders>
            <w:noWrap w:val="0"/>
            <w:vAlign w:val="center"/>
          </w:tcPr>
          <w:p>
            <w:pPr>
              <w:pStyle w:val="26"/>
              <w:keepNext w:val="0"/>
              <w:keepLines w:val="0"/>
              <w:pageBreakBefore w:val="0"/>
              <w:widowControl/>
              <w:kinsoku/>
              <w:wordWrap/>
              <w:overflowPunct/>
              <w:topLinePunct w:val="0"/>
              <w:autoSpaceDE/>
              <w:autoSpaceDN/>
              <w:bidi w:val="0"/>
              <w:adjustRightInd w:val="0"/>
              <w:snapToGrid/>
              <w:spacing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建立科研诚信数据库，要求每位项目负责人在立项后、项目实施前签订科研诚信承诺书，对科研人员诚信档案进行信息化管理。</w:t>
            </w:r>
          </w:p>
        </w:tc>
      </w:tr>
      <w:tr>
        <w:tblPrEx>
          <w:tblCellMar>
            <w:top w:w="0" w:type="dxa"/>
            <w:left w:w="108" w:type="dxa"/>
            <w:bottom w:w="0" w:type="dxa"/>
            <w:right w:w="108" w:type="dxa"/>
          </w:tblCellMar>
        </w:tblPrEx>
        <w:trPr>
          <w:trHeight w:val="525" w:hRule="atLeast"/>
          <w:jc w:val="center"/>
        </w:trPr>
        <w:tc>
          <w:tcPr>
            <w:tcW w:w="81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10</w:t>
            </w:r>
          </w:p>
        </w:tc>
        <w:tc>
          <w:tcPr>
            <w:tcW w:w="1440" w:type="dxa"/>
            <w:tcBorders>
              <w:top w:val="nil"/>
              <w:left w:val="single" w:color="auto" w:sz="4" w:space="0"/>
              <w:bottom w:val="single" w:color="auto" w:sz="4" w:space="0"/>
              <w:right w:val="single" w:color="auto" w:sz="4" w:space="0"/>
            </w:tcBorders>
            <w:noWrap w:val="0"/>
            <w:vAlign w:val="center"/>
          </w:tcPr>
          <w:p>
            <w:pPr>
              <w:pStyle w:val="26"/>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科研绩效</w:t>
            </w:r>
          </w:p>
        </w:tc>
        <w:tc>
          <w:tcPr>
            <w:tcW w:w="6276" w:type="dxa"/>
            <w:tcBorders>
              <w:top w:val="nil"/>
              <w:left w:val="single" w:color="auto" w:sz="4" w:space="0"/>
              <w:bottom w:val="single" w:color="auto" w:sz="4" w:space="0"/>
              <w:right w:val="single" w:color="auto" w:sz="4" w:space="0"/>
            </w:tcBorders>
            <w:noWrap w:val="0"/>
            <w:vAlign w:val="center"/>
          </w:tcPr>
          <w:p>
            <w:pPr>
              <w:pStyle w:val="26"/>
              <w:keepNext w:val="0"/>
              <w:keepLines w:val="0"/>
              <w:pageBreakBefore w:val="0"/>
              <w:widowControl/>
              <w:kinsoku/>
              <w:wordWrap/>
              <w:overflowPunct/>
              <w:topLinePunct w:val="0"/>
              <w:autoSpaceDE/>
              <w:autoSpaceDN/>
              <w:bidi w:val="0"/>
              <w:adjustRightInd w:val="0"/>
              <w:snapToGrid/>
              <w:spacing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实现医院科研目标责任制绩效考核和科研绩效工资核算功能，根据医院文件中设定的分值及个人考核分数、科室考核系数，对考核范围内的人员及科室进行分值计算。</w:t>
            </w:r>
          </w:p>
        </w:tc>
      </w:tr>
      <w:tr>
        <w:tblPrEx>
          <w:tblCellMar>
            <w:top w:w="0" w:type="dxa"/>
            <w:left w:w="108" w:type="dxa"/>
            <w:bottom w:w="0" w:type="dxa"/>
            <w:right w:w="108" w:type="dxa"/>
          </w:tblCellMar>
        </w:tblPrEx>
        <w:trPr>
          <w:trHeight w:val="525" w:hRule="atLeast"/>
          <w:jc w:val="center"/>
        </w:trPr>
        <w:tc>
          <w:tcPr>
            <w:tcW w:w="81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11</w:t>
            </w:r>
          </w:p>
        </w:tc>
        <w:tc>
          <w:tcPr>
            <w:tcW w:w="1440" w:type="dxa"/>
            <w:tcBorders>
              <w:top w:val="nil"/>
              <w:left w:val="single" w:color="auto" w:sz="4" w:space="0"/>
              <w:bottom w:val="single" w:color="auto" w:sz="4" w:space="0"/>
              <w:right w:val="single" w:color="auto" w:sz="4" w:space="0"/>
            </w:tcBorders>
            <w:noWrap w:val="0"/>
            <w:vAlign w:val="center"/>
          </w:tcPr>
          <w:p>
            <w:pPr>
              <w:pStyle w:val="26"/>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学术影响力</w:t>
            </w:r>
          </w:p>
        </w:tc>
        <w:tc>
          <w:tcPr>
            <w:tcW w:w="6276" w:type="dxa"/>
            <w:tcBorders>
              <w:top w:val="nil"/>
              <w:left w:val="single" w:color="auto" w:sz="4" w:space="0"/>
              <w:bottom w:val="single" w:color="auto" w:sz="4" w:space="0"/>
              <w:right w:val="single" w:color="auto" w:sz="4" w:space="0"/>
            </w:tcBorders>
            <w:noWrap w:val="0"/>
            <w:vAlign w:val="center"/>
          </w:tcPr>
          <w:p>
            <w:pPr>
              <w:pStyle w:val="26"/>
              <w:keepNext w:val="0"/>
              <w:keepLines w:val="0"/>
              <w:pageBreakBefore w:val="0"/>
              <w:widowControl/>
              <w:kinsoku/>
              <w:wordWrap/>
              <w:overflowPunct/>
              <w:topLinePunct w:val="0"/>
              <w:autoSpaceDE/>
              <w:autoSpaceDN/>
              <w:bidi w:val="0"/>
              <w:adjustRightInd w:val="0"/>
              <w:snapToGrid/>
              <w:spacing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支持人员添加自己的学会任职信息，上传任职证书，提交审核。</w:t>
            </w:r>
          </w:p>
        </w:tc>
      </w:tr>
      <w:tr>
        <w:tblPrEx>
          <w:tblCellMar>
            <w:top w:w="0" w:type="dxa"/>
            <w:left w:w="108" w:type="dxa"/>
            <w:bottom w:w="0" w:type="dxa"/>
            <w:right w:w="108" w:type="dxa"/>
          </w:tblCellMar>
        </w:tblPrEx>
        <w:trPr>
          <w:trHeight w:val="20" w:hRule="atLeast"/>
          <w:jc w:val="center"/>
        </w:trPr>
        <w:tc>
          <w:tcPr>
            <w:tcW w:w="81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12</w:t>
            </w:r>
          </w:p>
        </w:tc>
        <w:tc>
          <w:tcPr>
            <w:tcW w:w="1440" w:type="dxa"/>
            <w:tcBorders>
              <w:top w:val="nil"/>
              <w:left w:val="single" w:color="auto" w:sz="4" w:space="0"/>
              <w:bottom w:val="single" w:color="auto" w:sz="4" w:space="0"/>
              <w:right w:val="single" w:color="auto" w:sz="4" w:space="0"/>
            </w:tcBorders>
            <w:noWrap w:val="0"/>
            <w:vAlign w:val="center"/>
          </w:tcPr>
          <w:p>
            <w:pPr>
              <w:pStyle w:val="26"/>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学术交流</w:t>
            </w:r>
          </w:p>
        </w:tc>
        <w:tc>
          <w:tcPr>
            <w:tcW w:w="6276" w:type="dxa"/>
            <w:tcBorders>
              <w:top w:val="nil"/>
              <w:left w:val="single" w:color="auto" w:sz="4" w:space="0"/>
              <w:bottom w:val="single" w:color="auto" w:sz="4" w:space="0"/>
              <w:right w:val="single" w:color="auto" w:sz="4" w:space="0"/>
            </w:tcBorders>
            <w:noWrap w:val="0"/>
            <w:vAlign w:val="center"/>
          </w:tcPr>
          <w:p>
            <w:pPr>
              <w:pStyle w:val="26"/>
              <w:keepNext w:val="0"/>
              <w:keepLines w:val="0"/>
              <w:pageBreakBefore w:val="0"/>
              <w:widowControl/>
              <w:kinsoku/>
              <w:wordWrap/>
              <w:overflowPunct/>
              <w:topLinePunct w:val="0"/>
              <w:autoSpaceDE/>
              <w:autoSpaceDN/>
              <w:bidi w:val="0"/>
              <w:adjustRightInd w:val="0"/>
              <w:snapToGrid/>
              <w:spacing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对各科室、部门举办的科研学术会议、论坛、活动及医院人员外出参加会议等进行全面管理。</w:t>
            </w:r>
          </w:p>
        </w:tc>
      </w:tr>
      <w:tr>
        <w:tblPrEx>
          <w:tblCellMar>
            <w:top w:w="0" w:type="dxa"/>
            <w:left w:w="108" w:type="dxa"/>
            <w:bottom w:w="0" w:type="dxa"/>
            <w:right w:w="108" w:type="dxa"/>
          </w:tblCellMar>
        </w:tblPrEx>
        <w:trPr>
          <w:trHeight w:val="20" w:hRule="atLeast"/>
          <w:jc w:val="center"/>
        </w:trPr>
        <w:tc>
          <w:tcPr>
            <w:tcW w:w="815" w:type="dxa"/>
            <w:tcBorders>
              <w:top w:val="nil"/>
              <w:left w:val="single" w:color="auto" w:sz="4" w:space="0"/>
              <w:bottom w:val="single" w:color="auto" w:sz="4" w:space="0"/>
              <w:right w:val="single" w:color="auto" w:sz="4" w:space="0"/>
            </w:tcBorders>
            <w:noWrap w:val="0"/>
            <w:vAlign w:val="center"/>
          </w:tcPr>
          <w:p>
            <w:pPr>
              <w:pStyle w:val="26"/>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13</w:t>
            </w:r>
          </w:p>
        </w:tc>
        <w:tc>
          <w:tcPr>
            <w:tcW w:w="1440" w:type="dxa"/>
            <w:tcBorders>
              <w:top w:val="nil"/>
              <w:left w:val="single" w:color="auto" w:sz="4" w:space="0"/>
              <w:bottom w:val="single" w:color="auto" w:sz="4" w:space="0"/>
              <w:right w:val="single" w:color="auto" w:sz="4" w:space="0"/>
            </w:tcBorders>
            <w:noWrap w:val="0"/>
            <w:vAlign w:val="center"/>
          </w:tcPr>
          <w:p>
            <w:pPr>
              <w:pStyle w:val="26"/>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统计分析</w:t>
            </w:r>
          </w:p>
        </w:tc>
        <w:tc>
          <w:tcPr>
            <w:tcW w:w="6276" w:type="dxa"/>
            <w:tcBorders>
              <w:top w:val="nil"/>
              <w:left w:val="single" w:color="auto" w:sz="4" w:space="0"/>
              <w:bottom w:val="single" w:color="auto" w:sz="4" w:space="0"/>
              <w:right w:val="single" w:color="auto" w:sz="4" w:space="0"/>
            </w:tcBorders>
            <w:noWrap w:val="0"/>
            <w:vAlign w:val="center"/>
          </w:tcPr>
          <w:p>
            <w:pPr>
              <w:pStyle w:val="26"/>
              <w:keepNext w:val="0"/>
              <w:keepLines w:val="0"/>
              <w:pageBreakBefore w:val="0"/>
              <w:widowControl/>
              <w:kinsoku/>
              <w:wordWrap/>
              <w:overflowPunct/>
              <w:topLinePunct w:val="0"/>
              <w:autoSpaceDE/>
              <w:autoSpaceDN/>
              <w:bidi w:val="0"/>
              <w:adjustRightInd w:val="0"/>
              <w:snapToGrid/>
              <w:spacing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能够进行科研管理所需的各种查询、对比和分析，管理人员可设置年度纵向比、类别横向比、学科间同级指标类比等多维参数比，系统生成图表分析及统计数据图，且信息能够与院内其他部门共享，支持职称晋升、导师遴选、科研经费执行管理等工作。通过直观、准确的分析结果实时生成并展现院内各部门和人员科研情况，智能化分析与管理医院科研产出，对不同科室和人群科研能力进行分类对比。能实现科研大屏的的整体信息图表展示。</w:t>
            </w:r>
          </w:p>
        </w:tc>
      </w:tr>
      <w:tr>
        <w:tblPrEx>
          <w:tblCellMar>
            <w:top w:w="0" w:type="dxa"/>
            <w:left w:w="108" w:type="dxa"/>
            <w:bottom w:w="0" w:type="dxa"/>
            <w:right w:w="108" w:type="dxa"/>
          </w:tblCellMar>
        </w:tblPrEx>
        <w:trPr>
          <w:trHeight w:val="20" w:hRule="atLeast"/>
          <w:jc w:val="center"/>
        </w:trPr>
        <w:tc>
          <w:tcPr>
            <w:tcW w:w="815" w:type="dxa"/>
            <w:tcBorders>
              <w:top w:val="nil"/>
              <w:left w:val="single" w:color="auto" w:sz="4" w:space="0"/>
              <w:bottom w:val="single" w:color="auto" w:sz="4" w:space="0"/>
              <w:right w:val="single" w:color="auto" w:sz="4" w:space="0"/>
            </w:tcBorders>
            <w:noWrap w:val="0"/>
            <w:vAlign w:val="center"/>
          </w:tcPr>
          <w:p>
            <w:pPr>
              <w:pStyle w:val="26"/>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14</w:t>
            </w:r>
          </w:p>
        </w:tc>
        <w:tc>
          <w:tcPr>
            <w:tcW w:w="1440" w:type="dxa"/>
            <w:tcBorders>
              <w:top w:val="nil"/>
              <w:left w:val="single" w:color="auto" w:sz="4" w:space="0"/>
              <w:bottom w:val="single" w:color="auto" w:sz="4" w:space="0"/>
              <w:right w:val="single" w:color="auto" w:sz="4" w:space="0"/>
            </w:tcBorders>
            <w:noWrap w:val="0"/>
            <w:vAlign w:val="center"/>
          </w:tcPr>
          <w:p>
            <w:pPr>
              <w:pStyle w:val="26"/>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移动科研</w:t>
            </w:r>
          </w:p>
        </w:tc>
        <w:tc>
          <w:tcPr>
            <w:tcW w:w="6276" w:type="dxa"/>
            <w:tcBorders>
              <w:top w:val="nil"/>
              <w:left w:val="single" w:color="auto" w:sz="4" w:space="0"/>
              <w:bottom w:val="single" w:color="auto" w:sz="4" w:space="0"/>
              <w:right w:val="single" w:color="auto" w:sz="4" w:space="0"/>
            </w:tcBorders>
            <w:noWrap w:val="0"/>
            <w:vAlign w:val="center"/>
          </w:tcPr>
          <w:p>
            <w:pPr>
              <w:pStyle w:val="26"/>
              <w:keepNext w:val="0"/>
              <w:keepLines w:val="0"/>
              <w:pageBreakBefore w:val="0"/>
              <w:widowControl/>
              <w:kinsoku/>
              <w:wordWrap/>
              <w:overflowPunct/>
              <w:topLinePunct w:val="0"/>
              <w:autoSpaceDE/>
              <w:autoSpaceDN/>
              <w:bidi w:val="0"/>
              <w:adjustRightInd w:val="0"/>
              <w:snapToGrid/>
              <w:spacing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科研人员绑定科研微信服务号账号后，可以在微信端接收系统的审批通知推送。</w:t>
            </w:r>
          </w:p>
        </w:tc>
      </w:tr>
    </w:tbl>
    <w:p>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2.2</w:t>
      </w:r>
      <w:r>
        <w:rPr>
          <w:rFonts w:hint="eastAsia" w:ascii="仿宋" w:hAnsi="仿宋" w:eastAsia="仿宋" w:cs="仿宋"/>
          <w:b/>
          <w:bCs/>
          <w:sz w:val="24"/>
          <w:szCs w:val="24"/>
          <w:highlight w:val="none"/>
        </w:rPr>
        <w:t>专病科研数据库</w:t>
      </w:r>
    </w:p>
    <w:tbl>
      <w:tblPr>
        <w:tblStyle w:val="18"/>
        <w:tblW w:w="8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452"/>
        <w:gridCol w:w="6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6" w:type="dxa"/>
            <w:shd w:val="clear" w:color="auto" w:fill="D9D9D9"/>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序号</w:t>
            </w:r>
          </w:p>
        </w:tc>
        <w:tc>
          <w:tcPr>
            <w:tcW w:w="1452" w:type="dxa"/>
            <w:shd w:val="clear" w:color="auto" w:fill="D9D9D9"/>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功能与模块</w:t>
            </w:r>
          </w:p>
        </w:tc>
        <w:tc>
          <w:tcPr>
            <w:tcW w:w="6270" w:type="dxa"/>
            <w:shd w:val="clear" w:color="auto" w:fill="D9D9D9"/>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技术与功能要求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1452"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数据接入</w:t>
            </w:r>
          </w:p>
        </w:tc>
        <w:tc>
          <w:tcPr>
            <w:tcW w:w="6270" w:type="dxa"/>
            <w:noWrap w:val="0"/>
            <w:vAlign w:val="center"/>
          </w:tcPr>
          <w:p>
            <w:pPr>
              <w:keepNext w:val="0"/>
              <w:keepLines w:val="0"/>
              <w:pageBreakBefore w:val="0"/>
              <w:numPr>
                <w:ilvl w:val="0"/>
                <w:numId w:val="2"/>
              </w:numPr>
              <w:kinsoku/>
              <w:wordWrap/>
              <w:overflowPunct/>
              <w:topLinePunct w:val="0"/>
              <w:autoSpaceDE/>
              <w:autoSpaceDN/>
              <w:bidi w:val="0"/>
              <w:snapToGrid/>
              <w:spacing w:line="24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具备与医院信息系统数据的实时同步，需提供技术方案</w:t>
            </w:r>
          </w:p>
          <w:p>
            <w:pPr>
              <w:keepNext w:val="0"/>
              <w:keepLines w:val="0"/>
              <w:pageBreakBefore w:val="0"/>
              <w:numPr>
                <w:ilvl w:val="0"/>
                <w:numId w:val="2"/>
              </w:numPr>
              <w:kinsoku/>
              <w:wordWrap/>
              <w:overflowPunct/>
              <w:topLinePunct w:val="0"/>
              <w:autoSpaceDE/>
              <w:autoSpaceDN/>
              <w:bidi w:val="0"/>
              <w:snapToGrid/>
              <w:spacing w:line="24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支持基于数据库的底层数据变更跟踪技术获取数据；</w:t>
            </w:r>
          </w:p>
          <w:p>
            <w:pPr>
              <w:keepNext w:val="0"/>
              <w:keepLines w:val="0"/>
              <w:pageBreakBefore w:val="0"/>
              <w:numPr>
                <w:ilvl w:val="0"/>
                <w:numId w:val="2"/>
              </w:numPr>
              <w:kinsoku/>
              <w:wordWrap/>
              <w:overflowPunct/>
              <w:topLinePunct w:val="0"/>
              <w:autoSpaceDE/>
              <w:autoSpaceDN/>
              <w:bidi w:val="0"/>
              <w:snapToGrid/>
              <w:spacing w:line="24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支持具备数据转换功能，在数据提取的过程中将不同数据源、不同数据类型的数据进行转换；</w:t>
            </w:r>
          </w:p>
          <w:p>
            <w:pPr>
              <w:keepNext w:val="0"/>
              <w:keepLines w:val="0"/>
              <w:pageBreakBefore w:val="0"/>
              <w:numPr>
                <w:ilvl w:val="0"/>
                <w:numId w:val="2"/>
              </w:numPr>
              <w:kinsoku/>
              <w:wordWrap/>
              <w:overflowPunct/>
              <w:topLinePunct w:val="0"/>
              <w:autoSpaceDE/>
              <w:autoSpaceDN/>
              <w:bidi w:val="0"/>
              <w:snapToGrid/>
              <w:spacing w:line="24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支持基于事件消息驱动的即时数据接入，采集同步，确保数据接入一致、准确、完整、实时、可追溯；</w:t>
            </w:r>
          </w:p>
          <w:p>
            <w:pPr>
              <w:keepNext w:val="0"/>
              <w:keepLines w:val="0"/>
              <w:pageBreakBefore w:val="0"/>
              <w:numPr>
                <w:ilvl w:val="0"/>
                <w:numId w:val="2"/>
              </w:numPr>
              <w:kinsoku/>
              <w:wordWrap/>
              <w:overflowPunct/>
              <w:topLinePunct w:val="0"/>
              <w:autoSpaceDE/>
              <w:autoSpaceDN/>
              <w:bidi w:val="0"/>
              <w:snapToGrid/>
              <w:spacing w:line="24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支持对数据采集过程实施监控预警，如采集任务异常中断，支持一定时效内的自动重启恢复，如多次重启失败，则支持记录同步状态，提交给数据监控预警并生成后端日志文件保存；</w:t>
            </w:r>
          </w:p>
          <w:p>
            <w:pPr>
              <w:pStyle w:val="15"/>
              <w:keepNext w:val="0"/>
              <w:keepLines w:val="0"/>
              <w:pageBreakBefore w:val="0"/>
              <w:numPr>
                <w:ilvl w:val="0"/>
                <w:numId w:val="2"/>
              </w:numPr>
              <w:kinsoku/>
              <w:wordWrap/>
              <w:overflowPunct/>
              <w:topLinePunct w:val="0"/>
              <w:autoSpaceDE/>
              <w:autoSpaceDN/>
              <w:bidi w:val="0"/>
              <w:snapToGrid/>
              <w:spacing w:line="240" w:lineRule="auto"/>
              <w:ind w:firstLine="0" w:firstLineChars="0"/>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支持具备数据装载功能，</w:t>
            </w:r>
            <w:r>
              <w:rPr>
                <w:rFonts w:hint="eastAsia" w:ascii="仿宋" w:hAnsi="仿宋" w:eastAsia="仿宋" w:cs="仿宋"/>
                <w:color w:val="000000"/>
                <w:kern w:val="0"/>
                <w:sz w:val="24"/>
                <w:szCs w:val="24"/>
                <w:highlight w:val="none"/>
                <w:lang w:val="en-US" w:eastAsia="zh-CN"/>
              </w:rPr>
              <w:t>系统</w:t>
            </w:r>
            <w:r>
              <w:rPr>
                <w:rFonts w:hint="eastAsia" w:ascii="仿宋" w:hAnsi="仿宋" w:eastAsia="仿宋" w:cs="仿宋"/>
                <w:color w:val="000000"/>
                <w:kern w:val="0"/>
                <w:sz w:val="24"/>
                <w:szCs w:val="24"/>
                <w:highlight w:val="none"/>
              </w:rPr>
              <w:t>默认以1000条缓存数据为限，每达到限制数量后执行一次数据装载，并可根据单条数据量大小来修改单次装载量，支持动态配置；</w:t>
            </w:r>
          </w:p>
          <w:p>
            <w:pPr>
              <w:keepNext w:val="0"/>
              <w:keepLines w:val="0"/>
              <w:pageBreakBefore w:val="0"/>
              <w:kinsoku/>
              <w:wordWrap/>
              <w:overflowPunct/>
              <w:topLinePunct w:val="0"/>
              <w:autoSpaceDE/>
              <w:autoSpaceDN/>
              <w:bidi w:val="0"/>
              <w:snapToGrid/>
              <w:spacing w:line="24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7. </w:t>
            </w:r>
            <w:r>
              <w:rPr>
                <w:rFonts w:hint="eastAsia" w:ascii="仿宋" w:hAnsi="仿宋" w:eastAsia="仿宋" w:cs="仿宋"/>
                <w:sz w:val="24"/>
                <w:szCs w:val="24"/>
                <w:highlight w:val="none"/>
                <w:lang w:val="en-US" w:eastAsia="zh-CN"/>
              </w:rPr>
              <w:t>系统</w:t>
            </w:r>
            <w:r>
              <w:rPr>
                <w:rFonts w:hint="eastAsia" w:ascii="仿宋" w:hAnsi="仿宋" w:eastAsia="仿宋" w:cs="仿宋"/>
                <w:sz w:val="24"/>
                <w:szCs w:val="24"/>
                <w:highlight w:val="none"/>
              </w:rPr>
              <w:t>支持对外提供统一的数据访问接口和模型，用于第三方系统调阅</w:t>
            </w:r>
            <w:r>
              <w:rPr>
                <w:rFonts w:hint="eastAsia" w:ascii="仿宋" w:hAnsi="仿宋" w:eastAsia="仿宋" w:cs="仿宋"/>
                <w:sz w:val="24"/>
                <w:szCs w:val="24"/>
                <w:highlight w:val="none"/>
                <w:lang w:val="en-US" w:eastAsia="zh-CN"/>
              </w:rPr>
              <w:t>系统</w:t>
            </w:r>
            <w:r>
              <w:rPr>
                <w:rFonts w:hint="eastAsia" w:ascii="仿宋" w:hAnsi="仿宋" w:eastAsia="仿宋" w:cs="仿宋"/>
                <w:sz w:val="24"/>
                <w:szCs w:val="24"/>
                <w:highlight w:val="none"/>
              </w:rPr>
              <w:t>中的数据。</w:t>
            </w:r>
          </w:p>
          <w:p>
            <w:pPr>
              <w:keepNext w:val="0"/>
              <w:keepLines w:val="0"/>
              <w:pageBreakBefore w:val="0"/>
              <w:kinsoku/>
              <w:wordWrap/>
              <w:overflowPunct/>
              <w:topLinePunct w:val="0"/>
              <w:autoSpaceDE/>
              <w:autoSpaceDN/>
              <w:bidi w:val="0"/>
              <w:snapToGrid/>
              <w:spacing w:line="240" w:lineRule="auto"/>
              <w:ind w:firstLine="0" w:firstLineChars="0"/>
              <w:textAlignment w:val="auto"/>
              <w:rPr>
                <w:rFonts w:hint="eastAsia" w:ascii="仿宋" w:hAnsi="仿宋" w:eastAsia="仿宋" w:cs="仿宋"/>
                <w:color w:val="000000"/>
                <w:kern w:val="0"/>
                <w:sz w:val="24"/>
                <w:szCs w:val="24"/>
                <w:highlight w:val="none"/>
              </w:rPr>
            </w:pPr>
            <w:r>
              <w:rPr>
                <w:rFonts w:hint="eastAsia" w:ascii="仿宋" w:hAnsi="仿宋" w:eastAsia="仿宋" w:cs="仿宋"/>
                <w:sz w:val="24"/>
                <w:szCs w:val="24"/>
                <w:highlight w:val="none"/>
              </w:rPr>
              <w:t>8</w:t>
            </w:r>
            <w:r>
              <w:rPr>
                <w:rFonts w:hint="eastAsia" w:ascii="仿宋" w:hAnsi="仿宋" w:eastAsia="仿宋" w:cs="仿宋"/>
                <w:color w:val="000000"/>
                <w:kern w:val="0"/>
                <w:sz w:val="24"/>
                <w:szCs w:val="24"/>
                <w:highlight w:val="none"/>
              </w:rPr>
              <w:t>. 所有用户的密码在数据库中，加密后再保存。</w:t>
            </w:r>
          </w:p>
          <w:p>
            <w:pPr>
              <w:pStyle w:val="15"/>
              <w:keepNext w:val="0"/>
              <w:keepLines w:val="0"/>
              <w:pageBreakBefore w:val="0"/>
              <w:kinsoku/>
              <w:wordWrap/>
              <w:overflowPunct/>
              <w:topLinePunct w:val="0"/>
              <w:autoSpaceDE/>
              <w:autoSpaceDN/>
              <w:bidi w:val="0"/>
              <w:snapToGrid/>
              <w:spacing w:line="24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rPr>
              <w:t>9. 支持医院管理人员方便的管理各种角色、用户的功能权限、数据访问和使用权限的定义。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1452"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患者主索引</w:t>
            </w:r>
          </w:p>
        </w:tc>
        <w:tc>
          <w:tcPr>
            <w:tcW w:w="6270"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rPr>
              <w:t>支持同步获取医院现有集成平台患者主索引体系，结合科研需求所采集到的患者疾病数据，实现利用病人</w:t>
            </w:r>
            <w:r>
              <w:rPr>
                <w:rFonts w:hint="eastAsia" w:ascii="仿宋" w:hAnsi="仿宋" w:eastAsia="仿宋" w:cs="仿宋"/>
                <w:kern w:val="0"/>
                <w:sz w:val="24"/>
                <w:szCs w:val="24"/>
                <w:highlight w:val="none"/>
              </w:rPr>
              <w:t>基本病历信息</w:t>
            </w:r>
            <w:r>
              <w:rPr>
                <w:rFonts w:hint="eastAsia" w:ascii="仿宋" w:hAnsi="仿宋" w:eastAsia="仿宋" w:cs="仿宋"/>
                <w:color w:val="000000"/>
                <w:kern w:val="0"/>
                <w:sz w:val="24"/>
                <w:szCs w:val="24"/>
                <w:highlight w:val="none"/>
              </w:rPr>
              <w:t>（姓名、性别、出生年月、身份证号、电话号码、住址、出生地等），进行相似度计算，将</w:t>
            </w:r>
            <w:r>
              <w:rPr>
                <w:rFonts w:hint="eastAsia" w:ascii="仿宋" w:hAnsi="仿宋" w:eastAsia="仿宋" w:cs="仿宋"/>
                <w:kern w:val="0"/>
                <w:sz w:val="24"/>
                <w:szCs w:val="24"/>
                <w:highlight w:val="none"/>
              </w:rPr>
              <w:t>确定为同一病人</w:t>
            </w:r>
            <w:r>
              <w:rPr>
                <w:rFonts w:hint="eastAsia" w:ascii="仿宋" w:hAnsi="仿宋" w:eastAsia="仿宋" w:cs="仿宋"/>
                <w:color w:val="000000"/>
                <w:kern w:val="0"/>
                <w:sz w:val="24"/>
                <w:szCs w:val="24"/>
                <w:highlight w:val="none"/>
              </w:rPr>
              <w:t>的病人信息进行合并，构建唯一的专病患者科研主索引体系，赋能病例检索及科研数据分析应用；</w:t>
            </w:r>
            <w:r>
              <w:rPr>
                <w:rFonts w:hint="eastAsia" w:ascii="仿宋" w:hAnsi="仿宋" w:eastAsia="仿宋" w:cs="仿宋"/>
                <w:sz w:val="24"/>
                <w:szCs w:val="24"/>
                <w:highlight w:val="none"/>
              </w:rPr>
              <w:t>将患者医院内所有的医疗信息进行关联，整合患者历次就诊数据，建立患者维度的数据集；对于通过搜索查找到的目标病人或者通过 ID 指定的病例，系统支持通过临床信息门户查看病人相关的所有临床信息，提供患者的360 完整视图。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1452"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数据脱敏</w:t>
            </w:r>
          </w:p>
        </w:tc>
        <w:tc>
          <w:tcPr>
            <w:tcW w:w="6270"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1.支持对患者数据中的姓名、出生日期、地址、身份证、军官证、电话号码等患者隐私信息、可唯一识别出患者的信息做脱敏；提供可逆、不可逆算法，例如：MD5、DES、国密算法等；</w:t>
            </w:r>
          </w:p>
          <w:p>
            <w:pPr>
              <w:keepNext w:val="0"/>
              <w:keepLines w:val="0"/>
              <w:pageBreakBefore w:val="0"/>
              <w:kinsoku/>
              <w:wordWrap/>
              <w:overflowPunct/>
              <w:topLinePunct w:val="0"/>
              <w:autoSpaceDE/>
              <w:autoSpaceDN/>
              <w:bidi w:val="0"/>
              <w:snapToGrid/>
              <w:spacing w:line="24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2.针对敏感数据，数据库的每一字段都有脱敏规则，脱敏规则的设置和更改，只有被授权的员工，才有权限进行操作。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1452"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数据质控模块</w:t>
            </w:r>
          </w:p>
        </w:tc>
        <w:tc>
          <w:tcPr>
            <w:tcW w:w="6270"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1.支持准确性分析，对具有规范性的字段进行准确性校验，例如身份证号码，通过正则校验，或者本来应该填写数值类型的，查看是否存在其他类型；</w:t>
            </w:r>
          </w:p>
          <w:p>
            <w:pPr>
              <w:pStyle w:val="15"/>
              <w:keepNext w:val="0"/>
              <w:keepLines w:val="0"/>
              <w:pageBreakBefore w:val="0"/>
              <w:kinsoku/>
              <w:wordWrap/>
              <w:overflowPunct/>
              <w:topLinePunct w:val="0"/>
              <w:autoSpaceDE/>
              <w:autoSpaceDN/>
              <w:bidi w:val="0"/>
              <w:snapToGrid/>
              <w:spacing w:line="240" w:lineRule="auto"/>
              <w:ind w:firstLine="0" w:firstLineChars="0"/>
              <w:textAlignment w:val="auto"/>
              <w:rPr>
                <w:rFonts w:hint="eastAsia" w:ascii="仿宋" w:hAnsi="仿宋" w:eastAsia="仿宋" w:cs="仿宋"/>
                <w:color w:val="000000"/>
                <w:kern w:val="0"/>
                <w:sz w:val="24"/>
                <w:szCs w:val="24"/>
                <w:highlight w:val="none"/>
              </w:rPr>
            </w:pPr>
            <w:r>
              <w:rPr>
                <w:rFonts w:hint="eastAsia" w:ascii="仿宋" w:hAnsi="仿宋" w:eastAsia="仿宋" w:cs="仿宋"/>
                <w:sz w:val="24"/>
                <w:szCs w:val="24"/>
                <w:highlight w:val="none"/>
              </w:rPr>
              <w:t>2.</w:t>
            </w:r>
            <w:r>
              <w:rPr>
                <w:rFonts w:hint="eastAsia" w:ascii="仿宋" w:hAnsi="仿宋" w:eastAsia="仿宋" w:cs="仿宋"/>
                <w:color w:val="000000"/>
                <w:kern w:val="0"/>
                <w:sz w:val="24"/>
                <w:szCs w:val="24"/>
                <w:highlight w:val="none"/>
              </w:rPr>
              <w:t>支持完整性分析，包括数据是否完整，内容是否齐全等数据完整性校验；</w:t>
            </w:r>
          </w:p>
          <w:p>
            <w:pPr>
              <w:keepNext w:val="0"/>
              <w:keepLines w:val="0"/>
              <w:pageBreakBefore w:val="0"/>
              <w:kinsoku/>
              <w:wordWrap/>
              <w:overflowPunct/>
              <w:topLinePunct w:val="0"/>
              <w:autoSpaceDE/>
              <w:autoSpaceDN/>
              <w:bidi w:val="0"/>
              <w:snapToGrid/>
              <w:spacing w:line="240" w:lineRule="auto"/>
              <w:ind w:firstLine="0" w:firstLineChars="0"/>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3.支持一致性分析，包括判断数据字典值域是否一致等数据一致性校验；</w:t>
            </w:r>
          </w:p>
          <w:p>
            <w:pPr>
              <w:pStyle w:val="15"/>
              <w:keepNext w:val="0"/>
              <w:keepLines w:val="0"/>
              <w:pageBreakBefore w:val="0"/>
              <w:kinsoku/>
              <w:wordWrap/>
              <w:overflowPunct/>
              <w:topLinePunct w:val="0"/>
              <w:autoSpaceDE/>
              <w:autoSpaceDN/>
              <w:bidi w:val="0"/>
              <w:snapToGrid/>
              <w:spacing w:line="240" w:lineRule="auto"/>
              <w:ind w:firstLine="0" w:firstLineChars="0"/>
              <w:textAlignment w:val="auto"/>
              <w:rPr>
                <w:rFonts w:hint="eastAsia" w:ascii="仿宋" w:hAnsi="仿宋" w:eastAsia="仿宋" w:cs="仿宋"/>
                <w:color w:val="000000"/>
                <w:kern w:val="0"/>
                <w:sz w:val="24"/>
                <w:szCs w:val="24"/>
                <w:highlight w:val="none"/>
              </w:rPr>
            </w:pPr>
            <w:r>
              <w:rPr>
                <w:rFonts w:hint="eastAsia" w:ascii="仿宋" w:hAnsi="仿宋" w:eastAsia="仿宋" w:cs="仿宋"/>
                <w:sz w:val="24"/>
                <w:szCs w:val="24"/>
                <w:highlight w:val="none"/>
              </w:rPr>
              <w:t>4.</w:t>
            </w:r>
            <w:r>
              <w:rPr>
                <w:rFonts w:hint="eastAsia" w:ascii="仿宋" w:hAnsi="仿宋" w:eastAsia="仿宋" w:cs="仿宋"/>
                <w:color w:val="000000"/>
                <w:kern w:val="0"/>
                <w:sz w:val="24"/>
                <w:szCs w:val="24"/>
                <w:highlight w:val="none"/>
              </w:rPr>
              <w:t>支持及时性分析，能够判断数据的时间逻辑性是否合乎常理的数据及时性校验；</w:t>
            </w:r>
          </w:p>
          <w:p>
            <w:pPr>
              <w:keepNext w:val="0"/>
              <w:keepLines w:val="0"/>
              <w:pageBreakBefore w:val="0"/>
              <w:kinsoku/>
              <w:wordWrap/>
              <w:overflowPunct/>
              <w:topLinePunct w:val="0"/>
              <w:autoSpaceDE/>
              <w:autoSpaceDN/>
              <w:bidi w:val="0"/>
              <w:snapToGrid/>
              <w:spacing w:line="240" w:lineRule="auto"/>
              <w:ind w:firstLine="0" w:firstLineChars="0"/>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5.支持关联性分析，实现对数据结构中的各表关联字段进行校验，比如索引表和明细表之间是否正确关联等；</w:t>
            </w:r>
          </w:p>
          <w:p>
            <w:pPr>
              <w:pStyle w:val="15"/>
              <w:keepNext w:val="0"/>
              <w:keepLines w:val="0"/>
              <w:pageBreakBefore w:val="0"/>
              <w:kinsoku/>
              <w:wordWrap/>
              <w:overflowPunct/>
              <w:topLinePunct w:val="0"/>
              <w:autoSpaceDE/>
              <w:autoSpaceDN/>
              <w:bidi w:val="0"/>
              <w:snapToGrid/>
              <w:spacing w:line="24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rPr>
              <w:t>6.支持在完成数据准确性、完整性、一致性、及时性和关联性五大维度的数据分析后，输出整体数据质量PDF分析报告供科室审阅。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7" w:hRule="atLeast"/>
          <w:jc w:val="center"/>
        </w:trPr>
        <w:tc>
          <w:tcPr>
            <w:tcW w:w="816"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w:t>
            </w:r>
          </w:p>
        </w:tc>
        <w:tc>
          <w:tcPr>
            <w:tcW w:w="1452"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专病数据集定义</w:t>
            </w:r>
          </w:p>
        </w:tc>
        <w:tc>
          <w:tcPr>
            <w:tcW w:w="6270"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通过评估院内科研能力和可用的数据资源，包括科研团队的人员、技术设备、数据存储和管理系统等。了解当前可用的临床数据，如电子病历、影像、实验室数据等的可获取性和质量情况；结合专科科室的特点、优势和研究目标，明确具体的研究方向；借鉴国内外现有的临床专病数据集，了解其设计、内容和应用，特别关注与专科科室的研究方向相关的数据集。分析这些数据集的数据元素、变量、数据源和采集方法，从中找到对研究方向有借鉴意义的部分；根据专科科室的实际研究需求以及现有数据集的借鉴，确定临床科研专病数据集的数据元素和变量，来最终确定专病数据集定义。确保数据集的科学性和实用性。每个科研项目可以有自己的数据集，支持新增或剔除入组的病例。科研项目中的数据可以和</w:t>
            </w:r>
            <w:r>
              <w:rPr>
                <w:rFonts w:hint="eastAsia" w:ascii="仿宋" w:hAnsi="仿宋" w:eastAsia="仿宋" w:cs="仿宋"/>
                <w:sz w:val="24"/>
                <w:szCs w:val="24"/>
                <w:highlight w:val="none"/>
                <w:lang w:val="en-US" w:eastAsia="zh-CN"/>
              </w:rPr>
              <w:t>系统</w:t>
            </w:r>
            <w:r>
              <w:rPr>
                <w:rFonts w:hint="eastAsia" w:ascii="仿宋" w:hAnsi="仿宋" w:eastAsia="仿宋" w:cs="仿宋"/>
                <w:sz w:val="24"/>
                <w:szCs w:val="24"/>
                <w:highlight w:val="none"/>
              </w:rPr>
              <w:t>的数据同步更新。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w:t>
            </w:r>
          </w:p>
        </w:tc>
        <w:tc>
          <w:tcPr>
            <w:tcW w:w="1452"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病例文书后结构化提取模块</w:t>
            </w:r>
          </w:p>
        </w:tc>
        <w:tc>
          <w:tcPr>
            <w:tcW w:w="6270"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支持非结构化数据的处理，包括但不限于使用基于机器学习的自然语言处理技术对非结构化的电子病历进行处理。提供操作界面，支持通过划词、NLP规则引擎配置等方式，提取出医嘱、入院记录、出院小结等大文本字段中的生命体征、症状、</w:t>
            </w:r>
            <w:r>
              <w:rPr>
                <w:rFonts w:hint="eastAsia" w:ascii="仿宋" w:hAnsi="仿宋" w:eastAsia="仿宋" w:cs="仿宋"/>
                <w:color w:val="000000"/>
                <w:kern w:val="0"/>
                <w:sz w:val="24"/>
                <w:szCs w:val="24"/>
                <w:highlight w:val="none"/>
              </w:rPr>
              <w:t>中医四诊、辩证论治、中医药方等病历文书内容及B超、肠镜、CT、MR及</w:t>
            </w:r>
            <w:r>
              <w:rPr>
                <w:rFonts w:hint="eastAsia" w:ascii="仿宋" w:hAnsi="仿宋" w:eastAsia="仿宋" w:cs="仿宋"/>
                <w:sz w:val="24"/>
                <w:szCs w:val="24"/>
                <w:highlight w:val="none"/>
              </w:rPr>
              <w:t>诊断等核心要素；可处理的自然语言病历文本范围包括但不限于主诉、现病史、体格检查、专科检查、诊断依据、鉴别诊断、诊疗计划、病程记录等；支持结构化数据的处理，包括但不限于对结构化数据的采集、存储、标准化等，例如诊断标准化到ICD10编码、手术标准化到ICD9编码等；</w:t>
            </w:r>
            <w:r>
              <w:rPr>
                <w:rFonts w:hint="eastAsia" w:ascii="仿宋" w:hAnsi="仿宋" w:eastAsia="仿宋" w:cs="仿宋"/>
                <w:color w:val="000000"/>
                <w:kern w:val="0"/>
                <w:sz w:val="24"/>
                <w:szCs w:val="24"/>
                <w:highlight w:val="none"/>
              </w:rPr>
              <w:t>支持导入标准医学术语词库，进行病历文本命名实体识别及自动分词；支持基于BERT语言模型及医学术语词库批量医学术语词句的提取和处理，实现专病专病自然语言处理模型的构建和训练；支持基于专病专病自然语言处理模型对肛漏、肛痈、痔病等专病疾病进行跨病种的语言模型迁移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w:t>
            </w:r>
          </w:p>
        </w:tc>
        <w:tc>
          <w:tcPr>
            <w:tcW w:w="1452"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逻辑指标计算</w:t>
            </w:r>
          </w:p>
        </w:tc>
        <w:tc>
          <w:tcPr>
            <w:tcW w:w="6270"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支持系统内部热插拔方式调用逻辑运算规则引擎，进行L3阶段的关键指标逻辑运算。可以包含：首诊日期、住院天数、首诊年龄、检验指标最大值、最小值、平均值等指标的逻辑运算等。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8</w:t>
            </w:r>
          </w:p>
        </w:tc>
        <w:tc>
          <w:tcPr>
            <w:tcW w:w="1452"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专病数据标准化</w:t>
            </w:r>
          </w:p>
        </w:tc>
        <w:tc>
          <w:tcPr>
            <w:tcW w:w="6270"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1.支持依托专病数据集进行专病数据的标准化。通过标准化方法将其转换为统一的格式和单位；</w:t>
            </w:r>
          </w:p>
          <w:p>
            <w:pPr>
              <w:keepNext w:val="0"/>
              <w:keepLines w:val="0"/>
              <w:pageBreakBefore w:val="0"/>
              <w:kinsoku/>
              <w:wordWrap/>
              <w:overflowPunct/>
              <w:topLinePunct w:val="0"/>
              <w:autoSpaceDE/>
              <w:autoSpaceDN/>
              <w:bidi w:val="0"/>
              <w:snapToGrid/>
              <w:spacing w:line="24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2.支持对病历文书中书写不规范的医学术语、临床医生实际常用检索术语及国内外各项标准医学字典体系进行标准化处理；</w:t>
            </w:r>
          </w:p>
          <w:p>
            <w:pPr>
              <w:pStyle w:val="15"/>
              <w:keepNext w:val="0"/>
              <w:keepLines w:val="0"/>
              <w:pageBreakBefore w:val="0"/>
              <w:kinsoku/>
              <w:wordWrap/>
              <w:overflowPunct/>
              <w:topLinePunct w:val="0"/>
              <w:autoSpaceDE/>
              <w:autoSpaceDN/>
              <w:bidi w:val="0"/>
              <w:snapToGrid/>
              <w:spacing w:line="24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3.支持提供数据归一工具，实现源数据生产系统标准字典和NET专病标准数据模型之间的标准化规则的维护和管理，确保数据来源的准确性；</w:t>
            </w:r>
          </w:p>
          <w:p>
            <w:pPr>
              <w:keepNext w:val="0"/>
              <w:keepLines w:val="0"/>
              <w:pageBreakBefore w:val="0"/>
              <w:kinsoku/>
              <w:wordWrap/>
              <w:overflowPunct/>
              <w:topLinePunct w:val="0"/>
              <w:autoSpaceDE/>
              <w:autoSpaceDN/>
              <w:bidi w:val="0"/>
              <w:snapToGrid/>
              <w:spacing w:line="24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4.支持对专病数据库所涉及到的疾病诊断、手术名称、检验名称等进行标准化处理，并支持将标准化后的结果进行可视化视图展示；</w:t>
            </w:r>
          </w:p>
          <w:p>
            <w:pPr>
              <w:pStyle w:val="15"/>
              <w:keepNext w:val="0"/>
              <w:keepLines w:val="0"/>
              <w:pageBreakBefore w:val="0"/>
              <w:kinsoku/>
              <w:wordWrap/>
              <w:overflowPunct/>
              <w:topLinePunct w:val="0"/>
              <w:autoSpaceDE/>
              <w:autoSpaceDN/>
              <w:bidi w:val="0"/>
              <w:snapToGrid/>
              <w:spacing w:line="24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w:t>
            </w:r>
            <w:r>
              <w:rPr>
                <w:rFonts w:hint="eastAsia" w:ascii="仿宋" w:hAnsi="仿宋" w:eastAsia="仿宋" w:cs="仿宋"/>
                <w:color w:val="000000"/>
                <w:kern w:val="0"/>
                <w:sz w:val="24"/>
                <w:szCs w:val="24"/>
                <w:highlight w:val="none"/>
              </w:rPr>
              <w:t>支持将病历文书中书写不规范的医学术语提交到BERT模型进行批量识别，并将审核通过的结果导入标准化术语库中，赋能精确检索查询使用。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9</w:t>
            </w:r>
          </w:p>
        </w:tc>
        <w:tc>
          <w:tcPr>
            <w:tcW w:w="1452"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系统监控模块</w:t>
            </w:r>
          </w:p>
        </w:tc>
        <w:tc>
          <w:tcPr>
            <w:tcW w:w="6270"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系统监控功能包括在线用户、定时任务、Sentinel控制台、Nacos控制台、Admin控制台等功能。</w:t>
            </w:r>
          </w:p>
          <w:p>
            <w:pPr>
              <w:keepNext w:val="0"/>
              <w:keepLines w:val="0"/>
              <w:pageBreakBefore w:val="0"/>
              <w:kinsoku/>
              <w:wordWrap/>
              <w:overflowPunct/>
              <w:topLinePunct w:val="0"/>
              <w:autoSpaceDE/>
              <w:autoSpaceDN/>
              <w:bidi w:val="0"/>
              <w:snapToGrid/>
              <w:spacing w:line="24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在线用户：可监控当前</w:t>
            </w:r>
            <w:r>
              <w:rPr>
                <w:rFonts w:hint="eastAsia" w:ascii="仿宋" w:hAnsi="仿宋" w:eastAsia="仿宋" w:cs="仿宋"/>
                <w:sz w:val="24"/>
                <w:szCs w:val="24"/>
                <w:highlight w:val="none"/>
                <w:lang w:val="en-US" w:eastAsia="zh-CN"/>
              </w:rPr>
              <w:t>系统</w:t>
            </w:r>
            <w:r>
              <w:rPr>
                <w:rFonts w:hint="eastAsia" w:ascii="仿宋" w:hAnsi="仿宋" w:eastAsia="仿宋" w:cs="仿宋"/>
                <w:sz w:val="24"/>
                <w:szCs w:val="24"/>
                <w:highlight w:val="none"/>
              </w:rPr>
              <w:t>在线的用户，并可控制用户强制下线。如果在线用户数比较多的情况下，还可以进行用户搜索；</w:t>
            </w:r>
          </w:p>
          <w:p>
            <w:pPr>
              <w:keepNext w:val="0"/>
              <w:keepLines w:val="0"/>
              <w:pageBreakBefore w:val="0"/>
              <w:kinsoku/>
              <w:wordWrap/>
              <w:overflowPunct/>
              <w:topLinePunct w:val="0"/>
              <w:autoSpaceDE/>
              <w:autoSpaceDN/>
              <w:bidi w:val="0"/>
              <w:snapToGrid/>
              <w:spacing w:line="24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定时任务：可查看当前系统下的定时任务执行情况以及定时任务执行状态，也可以新增、修改、删除、导出定时任务以及查看定时任务执行的日志。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10</w:t>
            </w:r>
          </w:p>
        </w:tc>
        <w:tc>
          <w:tcPr>
            <w:tcW w:w="1452"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系统工具模块</w:t>
            </w:r>
          </w:p>
        </w:tc>
        <w:tc>
          <w:tcPr>
            <w:tcW w:w="6270"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系统工具模块包含表单构建、导出模块、代码生成、系统接口、数据模型等功能。</w:t>
            </w:r>
          </w:p>
          <w:p>
            <w:pPr>
              <w:keepNext w:val="0"/>
              <w:keepLines w:val="0"/>
              <w:pageBreakBefore w:val="0"/>
              <w:kinsoku/>
              <w:wordWrap/>
              <w:overflowPunct/>
              <w:topLinePunct w:val="0"/>
              <w:autoSpaceDE/>
              <w:autoSpaceDN/>
              <w:bidi w:val="0"/>
              <w:snapToGrid/>
              <w:spacing w:line="24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表单构建：通过界面化的操作方式进行拖拽即可完成表单的制作，对于用户来说是比较友好。支持单行文本、多行文本、密码、计数器、下拉选择、级联选择、单选框组、多选框组等大量常用控件，并可对控件设置属性；</w:t>
            </w:r>
          </w:p>
          <w:p>
            <w:pPr>
              <w:keepNext w:val="0"/>
              <w:keepLines w:val="0"/>
              <w:pageBreakBefore w:val="0"/>
              <w:kinsoku/>
              <w:wordWrap/>
              <w:overflowPunct/>
              <w:topLinePunct w:val="0"/>
              <w:autoSpaceDE/>
              <w:autoSpaceDN/>
              <w:bidi w:val="0"/>
              <w:snapToGrid/>
              <w:spacing w:line="24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导出模板：导出模板功能可将表的结构进行导出，并可对导出模板模块进行新增、修改、删除、导出操作；代码生成：选择具体的数据集，可自动生成表创建脚本，也可以通过导入脚本实现数据集的创建，并可修改、删除等操作；</w:t>
            </w:r>
          </w:p>
          <w:p>
            <w:pPr>
              <w:keepNext w:val="0"/>
              <w:keepLines w:val="0"/>
              <w:pageBreakBefore w:val="0"/>
              <w:kinsoku/>
              <w:wordWrap/>
              <w:overflowPunct/>
              <w:topLinePunct w:val="0"/>
              <w:autoSpaceDE/>
              <w:autoSpaceDN/>
              <w:bidi w:val="0"/>
              <w:snapToGrid/>
              <w:spacing w:line="24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3.系统接口：支持数据共享接口的创建、修改、删除操作，可设置系统接口的权限以及安全密钥；</w:t>
            </w:r>
            <w:r>
              <w:rPr>
                <w:rFonts w:hint="eastAsia" w:ascii="仿宋" w:hAnsi="仿宋" w:eastAsia="仿宋" w:cs="仿宋"/>
                <w:color w:val="000000"/>
                <w:kern w:val="0"/>
                <w:sz w:val="24"/>
                <w:szCs w:val="24"/>
                <w:highlight w:val="none"/>
              </w:rPr>
              <w:t>支持对院内业务系统（HIS、EMR、LIS、PACS、病案、病理、护理等）进行接口对接，实现专病专病患者的电子化数据获取；</w:t>
            </w:r>
          </w:p>
          <w:p>
            <w:pPr>
              <w:keepNext w:val="0"/>
              <w:keepLines w:val="0"/>
              <w:pageBreakBefore w:val="0"/>
              <w:kinsoku/>
              <w:wordWrap/>
              <w:overflowPunct/>
              <w:topLinePunct w:val="0"/>
              <w:autoSpaceDE/>
              <w:autoSpaceDN/>
              <w:bidi w:val="0"/>
              <w:snapToGrid/>
              <w:spacing w:line="24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数据模型：可新增、修改、删除、导入、导出数据模型，可设置数据模型是否为查询标识，可查看模型中的具体字段，并可设置该字段是否可用于查询、脱敏、基线、ID检索、计算标识、是否编辑、列标识、指定别名、检索时用的值域字典、统计时字段是定量还是定类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w:t>
            </w:r>
          </w:p>
        </w:tc>
        <w:tc>
          <w:tcPr>
            <w:tcW w:w="1452"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系统管理模块</w:t>
            </w:r>
          </w:p>
        </w:tc>
        <w:tc>
          <w:tcPr>
            <w:tcW w:w="6270"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包含科室管理、用户管理、角色管理、权限管理、审批流程管理、密码安全管理、申请中心、通知公告等功能。</w:t>
            </w:r>
          </w:p>
          <w:p>
            <w:pPr>
              <w:pStyle w:val="15"/>
              <w:keepNext w:val="0"/>
              <w:keepLines w:val="0"/>
              <w:pageBreakBefore w:val="0"/>
              <w:kinsoku/>
              <w:wordWrap/>
              <w:overflowPunct/>
              <w:topLinePunct w:val="0"/>
              <w:autoSpaceDE/>
              <w:autoSpaceDN/>
              <w:bidi w:val="0"/>
              <w:snapToGrid/>
              <w:spacing w:line="240" w:lineRule="auto"/>
              <w:ind w:firstLine="0" w:firstLineChars="0"/>
              <w:textAlignment w:val="auto"/>
              <w:rPr>
                <w:rFonts w:hint="eastAsia" w:ascii="仿宋" w:hAnsi="仿宋" w:eastAsia="仿宋" w:cs="仿宋"/>
                <w:color w:val="000000"/>
                <w:kern w:val="0"/>
                <w:sz w:val="24"/>
                <w:szCs w:val="24"/>
                <w:highlight w:val="none"/>
              </w:rPr>
            </w:pPr>
            <w:r>
              <w:rPr>
                <w:rFonts w:hint="eastAsia" w:ascii="仿宋" w:hAnsi="仿宋" w:eastAsia="仿宋" w:cs="仿宋"/>
                <w:sz w:val="24"/>
                <w:szCs w:val="24"/>
                <w:highlight w:val="none"/>
              </w:rPr>
              <w:t>科室管理：</w:t>
            </w:r>
            <w:r>
              <w:rPr>
                <w:rFonts w:hint="eastAsia" w:ascii="仿宋" w:hAnsi="仿宋" w:eastAsia="仿宋" w:cs="仿宋"/>
                <w:color w:val="000000"/>
                <w:kern w:val="0"/>
                <w:sz w:val="24"/>
                <w:szCs w:val="24"/>
                <w:highlight w:val="none"/>
              </w:rPr>
              <w:t>支持查看科室，并支持对科室设置负责人；</w:t>
            </w:r>
          </w:p>
          <w:p>
            <w:pPr>
              <w:pStyle w:val="15"/>
              <w:keepNext w:val="0"/>
              <w:keepLines w:val="0"/>
              <w:pageBreakBefore w:val="0"/>
              <w:kinsoku/>
              <w:wordWrap/>
              <w:overflowPunct/>
              <w:topLinePunct w:val="0"/>
              <w:autoSpaceDE/>
              <w:autoSpaceDN/>
              <w:bidi w:val="0"/>
              <w:snapToGrid/>
              <w:spacing w:line="240" w:lineRule="auto"/>
              <w:ind w:firstLine="0" w:firstLineChars="0"/>
              <w:textAlignment w:val="auto"/>
              <w:rPr>
                <w:rFonts w:hint="eastAsia" w:ascii="仿宋" w:hAnsi="仿宋" w:eastAsia="仿宋" w:cs="仿宋"/>
                <w:color w:val="000000"/>
                <w:kern w:val="0"/>
                <w:sz w:val="24"/>
                <w:szCs w:val="24"/>
                <w:highlight w:val="none"/>
              </w:rPr>
            </w:pPr>
            <w:r>
              <w:rPr>
                <w:rFonts w:hint="eastAsia" w:ascii="仿宋" w:hAnsi="仿宋" w:eastAsia="仿宋" w:cs="仿宋"/>
                <w:sz w:val="24"/>
                <w:szCs w:val="24"/>
                <w:highlight w:val="none"/>
              </w:rPr>
              <w:t>用户管理：可对用户进行新增、修改、删除、导入、导出等操作，也可以通过检索模块对用户进行检索，管理员还可以停止用户的使用，</w:t>
            </w:r>
            <w:r>
              <w:rPr>
                <w:rFonts w:hint="eastAsia" w:ascii="仿宋" w:hAnsi="仿宋" w:eastAsia="仿宋" w:cs="仿宋"/>
                <w:color w:val="000000"/>
                <w:kern w:val="0"/>
                <w:sz w:val="24"/>
                <w:szCs w:val="24"/>
                <w:highlight w:val="none"/>
              </w:rPr>
              <w:t>支持对用户基本信息维护，并支持设置用户所属科室、分配不同数据库角色操作；</w:t>
            </w:r>
          </w:p>
          <w:p>
            <w:pPr>
              <w:keepNext w:val="0"/>
              <w:keepLines w:val="0"/>
              <w:pageBreakBefore w:val="0"/>
              <w:kinsoku/>
              <w:wordWrap/>
              <w:overflowPunct/>
              <w:topLinePunct w:val="0"/>
              <w:autoSpaceDE/>
              <w:autoSpaceDN/>
              <w:bidi w:val="0"/>
              <w:snapToGrid/>
              <w:spacing w:line="24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角色管理：</w:t>
            </w:r>
            <w:r>
              <w:rPr>
                <w:rFonts w:hint="eastAsia" w:ascii="仿宋" w:hAnsi="仿宋" w:eastAsia="仿宋" w:cs="仿宋"/>
                <w:color w:val="000000"/>
                <w:kern w:val="0"/>
                <w:sz w:val="24"/>
                <w:szCs w:val="24"/>
                <w:highlight w:val="none"/>
              </w:rPr>
              <w:t>支持对不同数据库创建不同角色，并支持对角色更改是否有效状态</w:t>
            </w:r>
            <w:r>
              <w:rPr>
                <w:rFonts w:hint="eastAsia" w:ascii="仿宋" w:hAnsi="仿宋" w:eastAsia="仿宋" w:cs="仿宋"/>
                <w:sz w:val="24"/>
                <w:szCs w:val="24"/>
                <w:highlight w:val="none"/>
              </w:rPr>
              <w:t>，管理员还可以停止角色的使用；</w:t>
            </w:r>
          </w:p>
          <w:p>
            <w:pPr>
              <w:keepNext w:val="0"/>
              <w:keepLines w:val="0"/>
              <w:pageBreakBefore w:val="0"/>
              <w:kinsoku/>
              <w:wordWrap/>
              <w:overflowPunct/>
              <w:topLinePunct w:val="0"/>
              <w:autoSpaceDE/>
              <w:autoSpaceDN/>
              <w:bidi w:val="0"/>
              <w:snapToGrid/>
              <w:spacing w:line="240" w:lineRule="auto"/>
              <w:ind w:firstLine="0" w:firstLineChars="0"/>
              <w:textAlignment w:val="auto"/>
              <w:rPr>
                <w:rFonts w:hint="eastAsia" w:ascii="仿宋" w:hAnsi="仿宋" w:eastAsia="仿宋" w:cs="仿宋"/>
                <w:color w:val="000000"/>
                <w:kern w:val="0"/>
                <w:sz w:val="24"/>
                <w:szCs w:val="24"/>
                <w:highlight w:val="none"/>
              </w:rPr>
            </w:pPr>
            <w:r>
              <w:rPr>
                <w:rFonts w:hint="eastAsia" w:ascii="仿宋" w:hAnsi="仿宋" w:eastAsia="仿宋" w:cs="仿宋"/>
                <w:sz w:val="24"/>
                <w:szCs w:val="24"/>
                <w:highlight w:val="none"/>
              </w:rPr>
              <w:t>权限管理：</w:t>
            </w:r>
            <w:r>
              <w:rPr>
                <w:rFonts w:hint="eastAsia" w:ascii="仿宋" w:hAnsi="仿宋" w:eastAsia="仿宋" w:cs="仿宋"/>
                <w:color w:val="000000"/>
                <w:kern w:val="0"/>
                <w:sz w:val="24"/>
                <w:szCs w:val="24"/>
                <w:highlight w:val="none"/>
              </w:rPr>
              <w:t>1、支持自定义角色，并支持对角色的功能权限进行配置，包含可访问页面、可使用按钮以及可使用的接口；2、支持对用户的数据权限进行配置，包含科室来源、业务域是否可见、数据元是否可见，是否脱敏等进行设置。</w:t>
            </w:r>
          </w:p>
          <w:p>
            <w:pPr>
              <w:keepNext w:val="0"/>
              <w:keepLines w:val="0"/>
              <w:pageBreakBefore w:val="0"/>
              <w:kinsoku/>
              <w:wordWrap/>
              <w:overflowPunct/>
              <w:topLinePunct w:val="0"/>
              <w:autoSpaceDE/>
              <w:autoSpaceDN/>
              <w:bidi w:val="0"/>
              <w:snapToGrid/>
              <w:spacing w:line="240" w:lineRule="auto"/>
              <w:ind w:firstLine="0" w:firstLineChars="0"/>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审批流程配置：1、支持对各个审批流程的审批者和审批方式进行设置管理，并支持设定多个审批节点；2、支持会签、或签、自定义三种审方式，其中会签方式支持在同一审批节点所有审批者均审批通过方可进入下个节点，或签方式支持在同一审批节点任意审批者审批通过即可进入下个节点，自定义则是自由选择审批者，该审批者通过即可进入下个节点；3、支持按角色添加审批者或按指定用户添加审批者，并支持批量添加审批者；4、支持对跨科室数据审批默认分配至对应科室负责人进行审批，并且支持多个科室时分别给各个科室负责人生成审批记录。</w:t>
            </w:r>
          </w:p>
          <w:p>
            <w:pPr>
              <w:keepNext w:val="0"/>
              <w:keepLines w:val="0"/>
              <w:pageBreakBefore w:val="0"/>
              <w:kinsoku/>
              <w:wordWrap/>
              <w:overflowPunct/>
              <w:topLinePunct w:val="0"/>
              <w:autoSpaceDE/>
              <w:autoSpaceDN/>
              <w:bidi w:val="0"/>
              <w:snapToGrid/>
              <w:spacing w:line="240" w:lineRule="auto"/>
              <w:ind w:firstLine="0" w:firstLineChars="0"/>
              <w:textAlignment w:val="auto"/>
              <w:rPr>
                <w:rFonts w:hint="eastAsia" w:ascii="仿宋" w:hAnsi="仿宋" w:eastAsia="仿宋" w:cs="仿宋"/>
                <w:color w:val="000000"/>
                <w:kern w:val="0"/>
                <w:sz w:val="24"/>
                <w:szCs w:val="24"/>
                <w:highlight w:val="none"/>
              </w:rPr>
            </w:pPr>
            <w:r>
              <w:rPr>
                <w:rFonts w:hint="eastAsia" w:ascii="仿宋" w:hAnsi="仿宋" w:eastAsia="仿宋" w:cs="仿宋"/>
                <w:sz w:val="24"/>
                <w:szCs w:val="24"/>
                <w:highlight w:val="none"/>
              </w:rPr>
              <w:t>密码安全管理：</w:t>
            </w:r>
            <w:r>
              <w:rPr>
                <w:rFonts w:hint="eastAsia" w:ascii="仿宋" w:hAnsi="仿宋" w:eastAsia="仿宋" w:cs="仿宋"/>
                <w:color w:val="000000"/>
                <w:kern w:val="0"/>
                <w:sz w:val="24"/>
                <w:szCs w:val="24"/>
                <w:highlight w:val="none"/>
              </w:rPr>
              <w:t>1、支持对用户密码格式要求设置，包含是否要有大写英文字母，是否要有小写英文字母，是否要有数字，是否要有特殊字符以及最短长度设置；2、支持对用于密码时效性设置，包含限制密码在设置时间范围内失效要求重置密码，以及限制新密码与旧密码是否可重复；3、支持设置用户输入密码时重试约束，包含限定时间范围内连续输错多少次则锁定多少分钟；4、支持设置新用户的初始密码。5.支持忘记密码，通过手机短信验证码找回密码；</w:t>
            </w:r>
          </w:p>
          <w:p>
            <w:pPr>
              <w:keepNext w:val="0"/>
              <w:keepLines w:val="0"/>
              <w:pageBreakBefore w:val="0"/>
              <w:kinsoku/>
              <w:wordWrap/>
              <w:overflowPunct/>
              <w:topLinePunct w:val="0"/>
              <w:autoSpaceDE/>
              <w:autoSpaceDN/>
              <w:bidi w:val="0"/>
              <w:snapToGrid/>
              <w:spacing w:line="240" w:lineRule="auto"/>
              <w:ind w:firstLine="0" w:firstLineChars="0"/>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申请中心：1、支持对科研数据下载、角色越权、跨权限数据查看、数据脱敏查看、公共模版创建、文件上传等场景进行越权申请；2、支持撤销申请记录；3、支持当审批流程为自定义时，可选择任意指定审批者进行审批；4、支持当审批流程为会签时，对多个审批者发送审批消息；5、支持审批通过后，即可获得相应的功能权限或数据权限。</w:t>
            </w:r>
          </w:p>
          <w:p>
            <w:pPr>
              <w:keepNext w:val="0"/>
              <w:keepLines w:val="0"/>
              <w:pageBreakBefore w:val="0"/>
              <w:kinsoku/>
              <w:wordWrap/>
              <w:overflowPunct/>
              <w:topLinePunct w:val="0"/>
              <w:autoSpaceDE/>
              <w:autoSpaceDN/>
              <w:bidi w:val="0"/>
              <w:snapToGrid/>
              <w:spacing w:line="24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审批中心：</w:t>
            </w:r>
            <w:r>
              <w:rPr>
                <w:rFonts w:hint="eastAsia" w:ascii="仿宋" w:hAnsi="仿宋" w:eastAsia="仿宋" w:cs="仿宋"/>
                <w:color w:val="000000"/>
                <w:kern w:val="0"/>
                <w:sz w:val="24"/>
                <w:szCs w:val="24"/>
                <w:highlight w:val="none"/>
              </w:rPr>
              <w:t>1、支持对数据下载申请、角色申请、数据查看申请、数据脱敏查看申请、公共模版申请、文件上传申请等申请进行审批；2、支持查看审批详情，可查看当前审批流程所处环节以及整个审批节点和对应的审批者；3、支持拒绝审批并可填写拒绝理由；4、支持同个审批环节有多位审批者时可选择任意审批者发送审批消息；5、支持最后审批者可选择越权的时效性，并在过期后自动回收越权的相关功能权限或数据权限。</w:t>
            </w:r>
            <w:r>
              <w:rPr>
                <w:rFonts w:hint="eastAsia" w:ascii="仿宋" w:hAnsi="仿宋" w:eastAsia="仿宋" w:cs="仿宋"/>
                <w:sz w:val="24"/>
                <w:szCs w:val="24"/>
                <w:highlight w:val="none"/>
              </w:rPr>
              <w:t xml:space="preserve">     </w:t>
            </w:r>
          </w:p>
          <w:p>
            <w:pPr>
              <w:keepNext w:val="0"/>
              <w:keepLines w:val="0"/>
              <w:pageBreakBefore w:val="0"/>
              <w:kinsoku/>
              <w:wordWrap/>
              <w:overflowPunct/>
              <w:topLinePunct w:val="0"/>
              <w:autoSpaceDE/>
              <w:autoSpaceDN/>
              <w:bidi w:val="0"/>
              <w:snapToGrid/>
              <w:spacing w:line="24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通知公告：可维护</w:t>
            </w:r>
            <w:r>
              <w:rPr>
                <w:rFonts w:hint="eastAsia" w:ascii="仿宋" w:hAnsi="仿宋" w:eastAsia="仿宋" w:cs="仿宋"/>
                <w:sz w:val="24"/>
                <w:szCs w:val="24"/>
                <w:highlight w:val="none"/>
                <w:lang w:val="en-US" w:eastAsia="zh-CN"/>
              </w:rPr>
              <w:t>系统</w:t>
            </w:r>
            <w:r>
              <w:rPr>
                <w:rFonts w:hint="eastAsia" w:ascii="仿宋" w:hAnsi="仿宋" w:eastAsia="仿宋" w:cs="仿宋"/>
                <w:sz w:val="24"/>
                <w:szCs w:val="24"/>
                <w:highlight w:val="none"/>
              </w:rPr>
              <w:t>的通知公告模块，管理员根据需要可发布相应的通知公告内容，通知公告内容的编辑支持富文本框的编辑模式；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12</w:t>
            </w:r>
          </w:p>
        </w:tc>
        <w:tc>
          <w:tcPr>
            <w:tcW w:w="1452"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患者时间轴模块</w:t>
            </w:r>
          </w:p>
        </w:tc>
        <w:tc>
          <w:tcPr>
            <w:tcW w:w="6270"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1.支持将患者的所有门诊、住院就诊记录、手术记录、检验记录、用药记录、检查记录、生命体征记录等数据内容按统一时间线进行可视化展示；</w:t>
            </w:r>
          </w:p>
          <w:p>
            <w:pPr>
              <w:keepNext w:val="0"/>
              <w:keepLines w:val="0"/>
              <w:pageBreakBefore w:val="0"/>
              <w:kinsoku/>
              <w:wordWrap/>
              <w:overflowPunct/>
              <w:topLinePunct w:val="0"/>
              <w:autoSpaceDE/>
              <w:autoSpaceDN/>
              <w:bidi w:val="0"/>
              <w:snapToGrid/>
              <w:spacing w:line="24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2.支持用户可按时间进行筛选，支持用户鼠标移动到对应的时间线标识上自动显示该项标识的代表含义内容；</w:t>
            </w:r>
          </w:p>
          <w:p>
            <w:pPr>
              <w:keepNext w:val="0"/>
              <w:keepLines w:val="0"/>
              <w:pageBreakBefore w:val="0"/>
              <w:kinsoku/>
              <w:wordWrap/>
              <w:overflowPunct/>
              <w:topLinePunct w:val="0"/>
              <w:autoSpaceDE/>
              <w:autoSpaceDN/>
              <w:bidi w:val="0"/>
              <w:snapToGrid/>
              <w:spacing w:line="24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3.检验时间轴标识会将检验项目名称、检验时间、具体数值等信息进行展示，如该时间节点上的检验数据异常（高于或低于正常值），则对应标识的颜色会将被标记为红色进行凸显展示；</w:t>
            </w:r>
          </w:p>
          <w:p>
            <w:pPr>
              <w:keepNext w:val="0"/>
              <w:keepLines w:val="0"/>
              <w:pageBreakBefore w:val="0"/>
              <w:kinsoku/>
              <w:wordWrap/>
              <w:overflowPunct/>
              <w:topLinePunct w:val="0"/>
              <w:autoSpaceDE/>
              <w:autoSpaceDN/>
              <w:bidi w:val="0"/>
              <w:snapToGrid/>
              <w:spacing w:line="24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4.用药数据时间轴标识会将医嘱类别、药品名称、规格、每次用量、频次、用法、开始用药时间和结束用药时间等信息进行展示，并支持同时展示检验细项原始数据与标准化数据的曲线图对比;</w:t>
            </w:r>
          </w:p>
          <w:p>
            <w:pPr>
              <w:pStyle w:val="15"/>
              <w:keepNext w:val="0"/>
              <w:keepLines w:val="0"/>
              <w:pageBreakBefore w:val="0"/>
              <w:kinsoku/>
              <w:wordWrap/>
              <w:overflowPunct/>
              <w:topLinePunct w:val="0"/>
              <w:autoSpaceDE/>
              <w:autoSpaceDN/>
              <w:bidi w:val="0"/>
              <w:snapToGrid/>
              <w:spacing w:line="24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w:t>
            </w:r>
            <w:r>
              <w:rPr>
                <w:rFonts w:hint="eastAsia" w:ascii="仿宋" w:hAnsi="仿宋" w:eastAsia="仿宋" w:cs="仿宋"/>
                <w:color w:val="000000"/>
                <w:kern w:val="0"/>
                <w:sz w:val="24"/>
                <w:szCs w:val="24"/>
                <w:highlight w:val="none"/>
              </w:rPr>
              <w:t>生命体征时间轴标识会将该患者的所有体征数据进行趋势图展示，用户鼠标移动上去可查看该标识下所记录的具体体征项目名称和数值，此外用户还可通过勾选的方式添加或取消相应生命体征的趋势图展示；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13</w:t>
            </w:r>
          </w:p>
        </w:tc>
        <w:tc>
          <w:tcPr>
            <w:tcW w:w="1452"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指标收藏模块</w:t>
            </w:r>
          </w:p>
        </w:tc>
        <w:tc>
          <w:tcPr>
            <w:tcW w:w="6270"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left"/>
              <w:textAlignment w:val="auto"/>
              <w:rPr>
                <w:rFonts w:hint="eastAsia" w:ascii="仿宋" w:hAnsi="仿宋" w:eastAsia="仿宋" w:cs="仿宋"/>
                <w:color w:val="000000"/>
                <w:kern w:val="0"/>
                <w:sz w:val="24"/>
                <w:szCs w:val="24"/>
                <w:highlight w:val="none"/>
              </w:rPr>
            </w:pPr>
            <w:r>
              <w:rPr>
                <w:rFonts w:hint="eastAsia" w:ascii="仿宋" w:hAnsi="仿宋" w:eastAsia="仿宋" w:cs="仿宋"/>
                <w:sz w:val="24"/>
                <w:szCs w:val="24"/>
                <w:highlight w:val="none"/>
              </w:rPr>
              <w:t>1.支持检验指标收藏功能，研究者在研究过程中，可以将自己关注的检验指标设置为重点观察来进行收藏，系统可以根据时间维度来展示这些被收藏的重点观察指标随时间维度发生的连续性趋势变化。为研究者提供指标观察便利。</w:t>
            </w:r>
          </w:p>
          <w:p>
            <w:pPr>
              <w:keepNext w:val="0"/>
              <w:keepLines w:val="0"/>
              <w:pageBreakBefore w:val="0"/>
              <w:kinsoku/>
              <w:wordWrap/>
              <w:overflowPunct/>
              <w:topLinePunct w:val="0"/>
              <w:autoSpaceDE/>
              <w:autoSpaceDN/>
              <w:bidi w:val="0"/>
              <w:snapToGrid/>
              <w:spacing w:line="240" w:lineRule="auto"/>
              <w:ind w:firstLine="0" w:firstLineChars="0"/>
              <w:jc w:val="left"/>
              <w:textAlignment w:val="auto"/>
              <w:rPr>
                <w:rFonts w:hint="eastAsia" w:ascii="仿宋" w:hAnsi="仿宋" w:eastAsia="仿宋" w:cs="仿宋"/>
                <w:color w:val="000000"/>
                <w:kern w:val="0"/>
                <w:sz w:val="24"/>
                <w:szCs w:val="24"/>
                <w:highlight w:val="none"/>
              </w:rPr>
            </w:pPr>
            <w:r>
              <w:rPr>
                <w:rFonts w:hint="eastAsia" w:ascii="仿宋" w:hAnsi="仿宋" w:eastAsia="仿宋" w:cs="仿宋"/>
                <w:sz w:val="24"/>
                <w:szCs w:val="24"/>
                <w:highlight w:val="none"/>
              </w:rPr>
              <w:t>2.</w:t>
            </w:r>
            <w:r>
              <w:rPr>
                <w:rFonts w:hint="eastAsia" w:ascii="仿宋" w:hAnsi="仿宋" w:eastAsia="仿宋" w:cs="仿宋"/>
                <w:color w:val="000000"/>
                <w:kern w:val="0"/>
                <w:sz w:val="24"/>
                <w:szCs w:val="24"/>
                <w:highlight w:val="none"/>
              </w:rPr>
              <w:t>支持将感兴趣或最近在做课题的任意条件树检索条件进行收藏，并进行列表展示和管理；</w:t>
            </w:r>
          </w:p>
          <w:p>
            <w:pPr>
              <w:keepNext w:val="0"/>
              <w:keepLines w:val="0"/>
              <w:pageBreakBefore w:val="0"/>
              <w:kinsoku/>
              <w:wordWrap/>
              <w:overflowPunct/>
              <w:topLinePunct w:val="0"/>
              <w:autoSpaceDE/>
              <w:autoSpaceDN/>
              <w:bidi w:val="0"/>
              <w:snapToGrid/>
              <w:spacing w:line="24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rPr>
              <w:t>3.支持展示收藏的条件树检索名称、收藏的时间、条件树类型、具体的检索条件等内容；</w:t>
            </w:r>
          </w:p>
          <w:p>
            <w:pPr>
              <w:pStyle w:val="15"/>
              <w:keepNext w:val="0"/>
              <w:keepLines w:val="0"/>
              <w:pageBreakBefore w:val="0"/>
              <w:kinsoku/>
              <w:wordWrap/>
              <w:overflowPunct/>
              <w:topLinePunct w:val="0"/>
              <w:autoSpaceDE/>
              <w:autoSpaceDN/>
              <w:bidi w:val="0"/>
              <w:snapToGrid/>
              <w:spacing w:line="24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rPr>
              <w:t>4.支持对已收藏的检索条件内容进行取消收藏、名称修改等维护操作，也可直接调用收藏好的检索条件进行人群队列检索；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14</w:t>
            </w:r>
          </w:p>
        </w:tc>
        <w:tc>
          <w:tcPr>
            <w:tcW w:w="1452"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诊断信息模块</w:t>
            </w:r>
          </w:p>
        </w:tc>
        <w:tc>
          <w:tcPr>
            <w:tcW w:w="6270"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以患者就诊次查询患者所有的诊断记录</w:t>
            </w:r>
          </w:p>
          <w:p>
            <w:pPr>
              <w:keepNext w:val="0"/>
              <w:keepLines w:val="0"/>
              <w:pageBreakBefore w:val="0"/>
              <w:kinsoku/>
              <w:wordWrap/>
              <w:overflowPunct/>
              <w:topLinePunct w:val="0"/>
              <w:autoSpaceDE/>
              <w:autoSpaceDN/>
              <w:bidi w:val="0"/>
              <w:snapToGrid/>
              <w:spacing w:line="24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左侧按就诊时间、就诊类型显示患者就诊次列表</w:t>
            </w:r>
          </w:p>
          <w:p>
            <w:pPr>
              <w:keepNext w:val="0"/>
              <w:keepLines w:val="0"/>
              <w:pageBreakBefore w:val="0"/>
              <w:kinsoku/>
              <w:wordWrap/>
              <w:overflowPunct/>
              <w:topLinePunct w:val="0"/>
              <w:autoSpaceDE/>
              <w:autoSpaceDN/>
              <w:bidi w:val="0"/>
              <w:snapToGrid/>
              <w:spacing w:line="24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右侧为患者某个就诊次的诊断信息列表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15</w:t>
            </w:r>
          </w:p>
        </w:tc>
        <w:tc>
          <w:tcPr>
            <w:tcW w:w="1452"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检验信息模块</w:t>
            </w:r>
          </w:p>
        </w:tc>
        <w:tc>
          <w:tcPr>
            <w:tcW w:w="6270"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以患者就诊次查询患者所有的检验信息记录</w:t>
            </w:r>
          </w:p>
          <w:p>
            <w:pPr>
              <w:keepNext w:val="0"/>
              <w:keepLines w:val="0"/>
              <w:pageBreakBefore w:val="0"/>
              <w:kinsoku/>
              <w:wordWrap/>
              <w:overflowPunct/>
              <w:topLinePunct w:val="0"/>
              <w:autoSpaceDE/>
              <w:autoSpaceDN/>
              <w:bidi w:val="0"/>
              <w:snapToGrid/>
              <w:spacing w:line="24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左侧按就诊时间、就诊类型、检验项目大类显示患者就诊次列表，支持按检验项目名进行模糊查询</w:t>
            </w:r>
          </w:p>
          <w:p>
            <w:pPr>
              <w:keepNext w:val="0"/>
              <w:keepLines w:val="0"/>
              <w:pageBreakBefore w:val="0"/>
              <w:kinsoku/>
              <w:wordWrap/>
              <w:overflowPunct/>
              <w:topLinePunct w:val="0"/>
              <w:autoSpaceDE/>
              <w:autoSpaceDN/>
              <w:bidi w:val="0"/>
              <w:snapToGrid/>
              <w:spacing w:line="24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右侧为患者某个就诊次某个检验大类下所有检验信息列表。检验结果依据参考范围值判断检验指标是否存在异常，如果存在异常则将异常值标红处理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16</w:t>
            </w:r>
          </w:p>
        </w:tc>
        <w:tc>
          <w:tcPr>
            <w:tcW w:w="1452"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检查信息模块</w:t>
            </w:r>
          </w:p>
        </w:tc>
        <w:tc>
          <w:tcPr>
            <w:tcW w:w="6270"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以患者就诊次查询患者所有的检查记录</w:t>
            </w:r>
          </w:p>
          <w:p>
            <w:pPr>
              <w:keepNext w:val="0"/>
              <w:keepLines w:val="0"/>
              <w:pageBreakBefore w:val="0"/>
              <w:kinsoku/>
              <w:wordWrap/>
              <w:overflowPunct/>
              <w:topLinePunct w:val="0"/>
              <w:autoSpaceDE/>
              <w:autoSpaceDN/>
              <w:bidi w:val="0"/>
              <w:snapToGrid/>
              <w:spacing w:line="24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左侧按就诊时间、就诊类型、检查项目大类显示患者就诊次列表，支持按检查项目名进行模糊查询。右侧为患者某个就诊次某个检查项检查所见、检查结论等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17</w:t>
            </w:r>
          </w:p>
        </w:tc>
        <w:tc>
          <w:tcPr>
            <w:tcW w:w="1452"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医嘱处方</w:t>
            </w:r>
          </w:p>
        </w:tc>
        <w:tc>
          <w:tcPr>
            <w:tcW w:w="6270"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以患者就诊次查询患者所有医嘱处方记录</w:t>
            </w:r>
          </w:p>
          <w:p>
            <w:pPr>
              <w:keepNext w:val="0"/>
              <w:keepLines w:val="0"/>
              <w:pageBreakBefore w:val="0"/>
              <w:kinsoku/>
              <w:wordWrap/>
              <w:overflowPunct/>
              <w:topLinePunct w:val="0"/>
              <w:autoSpaceDE/>
              <w:autoSpaceDN/>
              <w:bidi w:val="0"/>
              <w:snapToGrid/>
              <w:spacing w:line="24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按患者就诊次显示患者医嘱列表。支持按医嘱类型、医嘱状态查询医嘱信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18</w:t>
            </w:r>
          </w:p>
        </w:tc>
        <w:tc>
          <w:tcPr>
            <w:tcW w:w="1452"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病历文书</w:t>
            </w:r>
          </w:p>
        </w:tc>
        <w:tc>
          <w:tcPr>
            <w:tcW w:w="6270"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以患者就诊次查询患者所有病历文书</w:t>
            </w:r>
          </w:p>
          <w:p>
            <w:pPr>
              <w:keepNext w:val="0"/>
              <w:keepLines w:val="0"/>
              <w:pageBreakBefore w:val="0"/>
              <w:kinsoku/>
              <w:wordWrap/>
              <w:overflowPunct/>
              <w:topLinePunct w:val="0"/>
              <w:autoSpaceDE/>
              <w:autoSpaceDN/>
              <w:bidi w:val="0"/>
              <w:snapToGrid/>
              <w:spacing w:line="24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按患者就诊次显示患者从入院到出院的所有病历文书类型。选择不同的文书类型，右侧显示该文书全文。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19</w:t>
            </w:r>
          </w:p>
        </w:tc>
        <w:tc>
          <w:tcPr>
            <w:tcW w:w="1452"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手术信息</w:t>
            </w:r>
          </w:p>
        </w:tc>
        <w:tc>
          <w:tcPr>
            <w:tcW w:w="6270"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以患者就诊次查询患者所有手术信息记录</w:t>
            </w:r>
          </w:p>
          <w:p>
            <w:pPr>
              <w:keepNext w:val="0"/>
              <w:keepLines w:val="0"/>
              <w:pageBreakBefore w:val="0"/>
              <w:kinsoku/>
              <w:wordWrap/>
              <w:overflowPunct/>
              <w:topLinePunct w:val="0"/>
              <w:autoSpaceDE/>
              <w:autoSpaceDN/>
              <w:bidi w:val="0"/>
              <w:snapToGrid/>
              <w:spacing w:line="24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按患者就诊次显示患者手术信息列表。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20</w:t>
            </w:r>
          </w:p>
        </w:tc>
        <w:tc>
          <w:tcPr>
            <w:tcW w:w="1452"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病例检索模块-关键词检索</w:t>
            </w:r>
          </w:p>
        </w:tc>
        <w:tc>
          <w:tcPr>
            <w:tcW w:w="6270" w:type="dxa"/>
            <w:noWrap w:val="0"/>
            <w:vAlign w:val="center"/>
          </w:tcPr>
          <w:p>
            <w:pPr>
              <w:keepNext w:val="0"/>
              <w:keepLines w:val="0"/>
              <w:pageBreakBefore w:val="0"/>
              <w:numPr>
                <w:ilvl w:val="0"/>
                <w:numId w:val="3"/>
              </w:numPr>
              <w:kinsoku/>
              <w:wordWrap/>
              <w:overflowPunct/>
              <w:topLinePunct w:val="0"/>
              <w:autoSpaceDE/>
              <w:autoSpaceDN/>
              <w:bidi w:val="0"/>
              <w:snapToGrid/>
              <w:spacing w:line="240" w:lineRule="auto"/>
              <w:ind w:firstLine="0" w:firstLineChars="0"/>
              <w:textAlignment w:val="auto"/>
              <w:rPr>
                <w:rFonts w:hint="eastAsia" w:ascii="仿宋" w:hAnsi="仿宋" w:eastAsia="仿宋" w:cs="仿宋"/>
                <w:color w:val="000000"/>
                <w:kern w:val="0"/>
                <w:sz w:val="24"/>
                <w:szCs w:val="24"/>
                <w:highlight w:val="none"/>
              </w:rPr>
            </w:pPr>
            <w:r>
              <w:rPr>
                <w:rFonts w:hint="eastAsia" w:ascii="仿宋" w:hAnsi="仿宋" w:eastAsia="仿宋" w:cs="仿宋"/>
                <w:sz w:val="24"/>
                <w:szCs w:val="24"/>
                <w:highlight w:val="none"/>
              </w:rPr>
              <w:t>支持对全院非结构化数据进行关键词检索，</w:t>
            </w:r>
            <w:r>
              <w:rPr>
                <w:rFonts w:hint="eastAsia" w:ascii="仿宋" w:hAnsi="仿宋" w:eastAsia="仿宋" w:cs="仿宋"/>
                <w:color w:val="000000"/>
                <w:kern w:val="0"/>
                <w:sz w:val="24"/>
                <w:szCs w:val="24"/>
                <w:highlight w:val="none"/>
              </w:rPr>
              <w:t>支持通过输入任意文字内容进行模糊搜索，定位并展示与检索内容具有相关性的数据源所在业务域，方便用户快捷找到所需要的数据源；</w:t>
            </w:r>
          </w:p>
          <w:p>
            <w:pPr>
              <w:keepNext w:val="0"/>
              <w:keepLines w:val="0"/>
              <w:pageBreakBefore w:val="0"/>
              <w:kinsoku/>
              <w:wordWrap/>
              <w:overflowPunct/>
              <w:topLinePunct w:val="0"/>
              <w:autoSpaceDE/>
              <w:autoSpaceDN/>
              <w:bidi w:val="0"/>
              <w:snapToGrid/>
              <w:spacing w:line="24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2.检索结果中包含：患者基本信息，以及诊断信息、入院记录、就诊信息、出院记录、手术报告、病理信息、检查信息、检验信息、医嘱信息等符合关键词的部分文本数据，关键词以红色字体高亮显示。</w:t>
            </w:r>
          </w:p>
          <w:p>
            <w:pPr>
              <w:keepNext w:val="0"/>
              <w:keepLines w:val="0"/>
              <w:pageBreakBefore w:val="0"/>
              <w:kinsoku/>
              <w:wordWrap/>
              <w:overflowPunct/>
              <w:topLinePunct w:val="0"/>
              <w:autoSpaceDE/>
              <w:autoSpaceDN/>
              <w:bidi w:val="0"/>
              <w:snapToGrid/>
              <w:spacing w:line="24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3.支持按就诊日期、患者年龄、患者性别、就诊类型等字段与关键词组合检索数据，同时</w:t>
            </w:r>
            <w:r>
              <w:rPr>
                <w:rFonts w:hint="eastAsia" w:ascii="仿宋" w:hAnsi="仿宋" w:eastAsia="仿宋" w:cs="仿宋"/>
                <w:color w:val="000000"/>
                <w:kern w:val="0"/>
                <w:sz w:val="24"/>
                <w:szCs w:val="24"/>
                <w:highlight w:val="none"/>
              </w:rPr>
              <w:t>当患者的任意一条就诊记录符合对应检索条件的要求，则将该患者的所有就诊记录的数据进行查询和展示；</w:t>
            </w:r>
          </w:p>
          <w:p>
            <w:pPr>
              <w:keepNext w:val="0"/>
              <w:keepLines w:val="0"/>
              <w:pageBreakBefore w:val="0"/>
              <w:kinsoku/>
              <w:wordWrap/>
              <w:overflowPunct/>
              <w:topLinePunct w:val="0"/>
              <w:autoSpaceDE/>
              <w:autoSpaceDN/>
              <w:bidi w:val="0"/>
              <w:snapToGrid/>
              <w:spacing w:line="24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4.检索结果列表支持关联查看患者360视图。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21</w:t>
            </w:r>
          </w:p>
        </w:tc>
        <w:tc>
          <w:tcPr>
            <w:tcW w:w="1452"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病例检索模块-高级检索</w:t>
            </w:r>
          </w:p>
        </w:tc>
        <w:tc>
          <w:tcPr>
            <w:tcW w:w="6270"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1.支持对全院结构化数据进行精确检索任务，用户可选择系统开发的结构化字段进行组合条件设置，可对选择的字段设置查询条件进行检索。</w:t>
            </w:r>
          </w:p>
          <w:p>
            <w:pPr>
              <w:keepNext w:val="0"/>
              <w:keepLines w:val="0"/>
              <w:pageBreakBefore w:val="0"/>
              <w:kinsoku/>
              <w:wordWrap/>
              <w:overflowPunct/>
              <w:topLinePunct w:val="0"/>
              <w:autoSpaceDE/>
              <w:autoSpaceDN/>
              <w:bidi w:val="0"/>
              <w:snapToGrid/>
              <w:spacing w:line="24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2.检索的模型需要包括患者信息、就诊、诊断、检验信息、患者体征、医嘱、手术记录、检查信息、病例文书等。</w:t>
            </w:r>
          </w:p>
          <w:p>
            <w:pPr>
              <w:keepNext w:val="0"/>
              <w:keepLines w:val="0"/>
              <w:pageBreakBefore w:val="0"/>
              <w:kinsoku/>
              <w:wordWrap/>
              <w:overflowPunct/>
              <w:topLinePunct w:val="0"/>
              <w:autoSpaceDE/>
              <w:autoSpaceDN/>
              <w:bidi w:val="0"/>
              <w:snapToGrid/>
              <w:spacing w:line="24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3.支持组合条件+同就诊/同患者多维度进行检索。同就诊，指患者一次就诊过程中的数据记录满足检索条件；同患者，指患者不同就诊期间内的持续数据记录满足检索条件。</w:t>
            </w:r>
          </w:p>
          <w:p>
            <w:pPr>
              <w:keepNext w:val="0"/>
              <w:keepLines w:val="0"/>
              <w:pageBreakBefore w:val="0"/>
              <w:kinsoku/>
              <w:wordWrap/>
              <w:overflowPunct/>
              <w:topLinePunct w:val="0"/>
              <w:autoSpaceDE/>
              <w:autoSpaceDN/>
              <w:bidi w:val="0"/>
              <w:snapToGrid/>
              <w:spacing w:line="24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4.结果列表点击详情可查看360视图。</w:t>
            </w:r>
          </w:p>
          <w:p>
            <w:pPr>
              <w:keepNext w:val="0"/>
              <w:keepLines w:val="0"/>
              <w:pageBreakBefore w:val="0"/>
              <w:kinsoku/>
              <w:wordWrap/>
              <w:overflowPunct/>
              <w:topLinePunct w:val="0"/>
              <w:autoSpaceDE/>
              <w:autoSpaceDN/>
              <w:bidi w:val="0"/>
              <w:snapToGrid/>
              <w:spacing w:line="24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5.支持将检索出的病例数据集保存到初筛队列，保存到初筛队列的数据集支持数据导出使用、在线统计分析、研究变量观察等用途</w:t>
            </w:r>
          </w:p>
          <w:p>
            <w:pPr>
              <w:pStyle w:val="15"/>
              <w:keepNext w:val="0"/>
              <w:keepLines w:val="0"/>
              <w:pageBreakBefore w:val="0"/>
              <w:kinsoku/>
              <w:wordWrap/>
              <w:overflowPunct/>
              <w:topLinePunct w:val="0"/>
              <w:autoSpaceDE/>
              <w:autoSpaceDN/>
              <w:bidi w:val="0"/>
              <w:snapToGrid/>
              <w:spacing w:line="24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rPr>
              <w:t>6.支持一键清空添加的检索条件，恢复检索功能初始视图。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22</w:t>
            </w:r>
          </w:p>
        </w:tc>
        <w:tc>
          <w:tcPr>
            <w:tcW w:w="1452"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病例检索模块-精确检索</w:t>
            </w:r>
          </w:p>
        </w:tc>
        <w:tc>
          <w:tcPr>
            <w:tcW w:w="6270"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1.支持将患者编号导入到检索模块进行批量精确检索，支持一次按多个编号进行检索。</w:t>
            </w:r>
          </w:p>
          <w:p>
            <w:pPr>
              <w:keepNext w:val="0"/>
              <w:keepLines w:val="0"/>
              <w:pageBreakBefore w:val="0"/>
              <w:kinsoku/>
              <w:wordWrap/>
              <w:overflowPunct/>
              <w:topLinePunct w:val="0"/>
              <w:autoSpaceDE/>
              <w:autoSpaceDN/>
              <w:bidi w:val="0"/>
              <w:snapToGrid/>
              <w:spacing w:line="24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2.支持选择患者主索引、身份证号、手机号、门诊号、住院号作为编号检索条件批量检索。</w:t>
            </w:r>
          </w:p>
          <w:p>
            <w:pPr>
              <w:keepNext w:val="0"/>
              <w:keepLines w:val="0"/>
              <w:pageBreakBefore w:val="0"/>
              <w:kinsoku/>
              <w:wordWrap/>
              <w:overflowPunct/>
              <w:topLinePunct w:val="0"/>
              <w:autoSpaceDE/>
              <w:autoSpaceDN/>
              <w:bidi w:val="0"/>
              <w:snapToGrid/>
              <w:spacing w:line="24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3.结果列表点击详情可查看360视图。</w:t>
            </w:r>
          </w:p>
          <w:p>
            <w:pPr>
              <w:keepNext w:val="0"/>
              <w:keepLines w:val="0"/>
              <w:pageBreakBefore w:val="0"/>
              <w:kinsoku/>
              <w:wordWrap/>
              <w:overflowPunct/>
              <w:topLinePunct w:val="0"/>
              <w:autoSpaceDE/>
              <w:autoSpaceDN/>
              <w:bidi w:val="0"/>
              <w:snapToGrid/>
              <w:spacing w:line="24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支持将检索出的病例数据集保存到初筛队列，保存到初筛队列的数据集支持数据导出使用、在线统计分析、研究变量观察等用途。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23</w:t>
            </w:r>
          </w:p>
        </w:tc>
        <w:tc>
          <w:tcPr>
            <w:tcW w:w="1452"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病例检索模块-基于事件条件检索</w:t>
            </w:r>
          </w:p>
        </w:tc>
        <w:tc>
          <w:tcPr>
            <w:tcW w:w="6270" w:type="dxa"/>
            <w:noWrap w:val="0"/>
            <w:vAlign w:val="center"/>
          </w:tcPr>
          <w:p>
            <w:pPr>
              <w:keepNext w:val="0"/>
              <w:keepLines w:val="0"/>
              <w:pageBreakBefore w:val="0"/>
              <w:numPr>
                <w:ilvl w:val="0"/>
                <w:numId w:val="4"/>
              </w:numPr>
              <w:kinsoku/>
              <w:wordWrap/>
              <w:overflowPunct/>
              <w:topLinePunct w:val="0"/>
              <w:autoSpaceDE/>
              <w:autoSpaceDN/>
              <w:bidi w:val="0"/>
              <w:snapToGrid/>
              <w:spacing w:line="240" w:lineRule="auto"/>
              <w:ind w:firstLine="0" w:firstLineChars="0"/>
              <w:textAlignment w:val="auto"/>
              <w:rPr>
                <w:rFonts w:hint="eastAsia" w:ascii="仿宋" w:hAnsi="仿宋" w:eastAsia="仿宋" w:cs="仿宋"/>
                <w:color w:val="000000"/>
                <w:kern w:val="0"/>
                <w:sz w:val="24"/>
                <w:szCs w:val="24"/>
                <w:highlight w:val="none"/>
              </w:rPr>
            </w:pPr>
            <w:r>
              <w:rPr>
                <w:rFonts w:hint="eastAsia" w:ascii="仿宋" w:hAnsi="仿宋" w:eastAsia="仿宋" w:cs="仿宋"/>
                <w:sz w:val="24"/>
                <w:szCs w:val="24"/>
                <w:highlight w:val="none"/>
              </w:rPr>
              <w:t>事件作为检索条件，</w:t>
            </w:r>
            <w:r>
              <w:rPr>
                <w:rFonts w:hint="eastAsia" w:ascii="仿宋" w:hAnsi="仿宋" w:eastAsia="仿宋" w:cs="仿宋"/>
                <w:color w:val="000000"/>
                <w:kern w:val="0"/>
                <w:sz w:val="24"/>
                <w:szCs w:val="24"/>
                <w:highlight w:val="none"/>
              </w:rPr>
              <w:t>基于手术、用药、检验等多种医疗事件场景进行检索；</w:t>
            </w:r>
            <w:r>
              <w:rPr>
                <w:rFonts w:hint="eastAsia" w:ascii="仿宋" w:hAnsi="仿宋" w:eastAsia="仿宋" w:cs="仿宋"/>
                <w:sz w:val="24"/>
                <w:szCs w:val="24"/>
                <w:highlight w:val="none"/>
              </w:rPr>
              <w:t>如：出院、入院、首次诊断、做过…检查、做过…检验、行…手术、使用过…药物等。</w:t>
            </w:r>
            <w:r>
              <w:rPr>
                <w:rFonts w:hint="eastAsia" w:ascii="仿宋" w:hAnsi="仿宋" w:eastAsia="仿宋" w:cs="仿宋"/>
                <w:color w:val="000000"/>
                <w:kern w:val="0"/>
                <w:sz w:val="24"/>
                <w:szCs w:val="24"/>
                <w:highlight w:val="none"/>
              </w:rPr>
              <w:t>支持用户自定义事件时间节点；</w:t>
            </w:r>
          </w:p>
          <w:p>
            <w:pPr>
              <w:pStyle w:val="15"/>
              <w:keepNext w:val="0"/>
              <w:keepLines w:val="0"/>
              <w:pageBreakBefore w:val="0"/>
              <w:kinsoku/>
              <w:wordWrap/>
              <w:overflowPunct/>
              <w:topLinePunct w:val="0"/>
              <w:autoSpaceDE/>
              <w:autoSpaceDN/>
              <w:bidi w:val="0"/>
              <w:snapToGrid/>
              <w:spacing w:line="24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rPr>
              <w:t>2、支持设置事件发生时间范围，并支持选择按年、月、日不同时间粒度检索；</w:t>
            </w:r>
          </w:p>
          <w:p>
            <w:pPr>
              <w:keepNext w:val="0"/>
              <w:keepLines w:val="0"/>
              <w:pageBreakBefore w:val="0"/>
              <w:kinsoku/>
              <w:wordWrap/>
              <w:overflowPunct/>
              <w:topLinePunct w:val="0"/>
              <w:autoSpaceDE/>
              <w:autoSpaceDN/>
              <w:bidi w:val="0"/>
              <w:snapToGrid/>
              <w:spacing w:line="24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3、支持“事件-时间”式筛选（例如“在使用R-CHOP方案后30天内血小板下降至低于100*10^9/L的患者”）;</w:t>
            </w:r>
          </w:p>
          <w:p>
            <w:pPr>
              <w:keepNext w:val="0"/>
              <w:keepLines w:val="0"/>
              <w:pageBreakBefore w:val="0"/>
              <w:kinsoku/>
              <w:wordWrap/>
              <w:overflowPunct/>
              <w:topLinePunct w:val="0"/>
              <w:autoSpaceDE/>
              <w:autoSpaceDN/>
              <w:bidi w:val="0"/>
              <w:snapToGrid/>
              <w:spacing w:line="24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支持事件时间、日期的设定，可通过日期时间框的选择，点选或文本框输入，可直接输入设定。时间类型的字段设置时，可在弹出框内可以选择与定义好的时间类型指标进行比较，例如有“早于”“晚于”两种比较方式。</w:t>
            </w:r>
          </w:p>
          <w:p>
            <w:pPr>
              <w:keepNext w:val="0"/>
              <w:keepLines w:val="0"/>
              <w:pageBreakBefore w:val="0"/>
              <w:kinsoku/>
              <w:wordWrap/>
              <w:overflowPunct/>
              <w:topLinePunct w:val="0"/>
              <w:autoSpaceDE/>
              <w:autoSpaceDN/>
              <w:bidi w:val="0"/>
              <w:snapToGrid/>
              <w:spacing w:line="24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5、可基于条件树搜索的基础上，继续进行事件检索。</w:t>
            </w:r>
          </w:p>
          <w:p>
            <w:pPr>
              <w:keepNext w:val="0"/>
              <w:keepLines w:val="0"/>
              <w:pageBreakBefore w:val="0"/>
              <w:kinsoku/>
              <w:wordWrap/>
              <w:overflowPunct/>
              <w:topLinePunct w:val="0"/>
              <w:autoSpaceDE/>
              <w:autoSpaceDN/>
              <w:bidi w:val="0"/>
              <w:snapToGrid/>
              <w:spacing w:line="24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6、可设置定义完整事件，增加筛选条件，进行逻辑设置，可以增加多个事件，同时可以选择事件定义满足任意一项或全部。</w:t>
            </w:r>
          </w:p>
          <w:p>
            <w:pPr>
              <w:keepNext w:val="0"/>
              <w:keepLines w:val="0"/>
              <w:pageBreakBefore w:val="0"/>
              <w:kinsoku/>
              <w:wordWrap/>
              <w:overflowPunct/>
              <w:topLinePunct w:val="0"/>
              <w:autoSpaceDE/>
              <w:autoSpaceDN/>
              <w:bidi w:val="0"/>
              <w:snapToGrid/>
              <w:spacing w:line="240" w:lineRule="auto"/>
              <w:ind w:firstLine="0" w:firstLineChars="0"/>
              <w:textAlignment w:val="auto"/>
              <w:rPr>
                <w:rFonts w:hint="eastAsia" w:ascii="仿宋" w:hAnsi="仿宋" w:eastAsia="仿宋" w:cs="仿宋"/>
                <w:color w:val="000000"/>
                <w:kern w:val="0"/>
                <w:sz w:val="24"/>
                <w:szCs w:val="24"/>
                <w:highlight w:val="none"/>
              </w:rPr>
            </w:pPr>
            <w:r>
              <w:rPr>
                <w:rFonts w:hint="eastAsia" w:ascii="仿宋" w:hAnsi="仿宋" w:eastAsia="仿宋" w:cs="仿宋"/>
                <w:sz w:val="24"/>
                <w:szCs w:val="24"/>
                <w:highlight w:val="none"/>
              </w:rPr>
              <w:t>7、</w:t>
            </w:r>
            <w:r>
              <w:rPr>
                <w:rFonts w:hint="eastAsia" w:ascii="仿宋" w:hAnsi="仿宋" w:eastAsia="仿宋" w:cs="仿宋"/>
                <w:color w:val="000000"/>
                <w:kern w:val="0"/>
                <w:sz w:val="24"/>
                <w:szCs w:val="24"/>
                <w:highlight w:val="none"/>
              </w:rPr>
              <w:t>支持调用已经收藏的事件检索条件。</w:t>
            </w:r>
          </w:p>
          <w:p>
            <w:pPr>
              <w:pStyle w:val="15"/>
              <w:keepNext w:val="0"/>
              <w:keepLines w:val="0"/>
              <w:pageBreakBefore w:val="0"/>
              <w:kinsoku/>
              <w:wordWrap/>
              <w:overflowPunct/>
              <w:topLinePunct w:val="0"/>
              <w:autoSpaceDE/>
              <w:autoSpaceDN/>
              <w:bidi w:val="0"/>
              <w:snapToGrid/>
              <w:spacing w:line="24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8、在专病库中，患者数据支持模糊搜索和高级搜索两种检索方式。在高级搜索中，支持临床事件和观测指标的搜索语义表。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24</w:t>
            </w:r>
          </w:p>
        </w:tc>
        <w:tc>
          <w:tcPr>
            <w:tcW w:w="1452" w:type="dxa"/>
            <w:vMerge w:val="restart"/>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初筛队列模块</w:t>
            </w:r>
          </w:p>
        </w:tc>
        <w:tc>
          <w:tcPr>
            <w:tcW w:w="6270"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队列切换：</w:t>
            </w:r>
          </w:p>
          <w:p>
            <w:pPr>
              <w:keepNext w:val="0"/>
              <w:keepLines w:val="0"/>
              <w:pageBreakBefore w:val="0"/>
              <w:kinsoku/>
              <w:wordWrap/>
              <w:overflowPunct/>
              <w:topLinePunct w:val="0"/>
              <w:autoSpaceDE/>
              <w:autoSpaceDN/>
              <w:bidi w:val="0"/>
              <w:snapToGrid/>
              <w:spacing w:line="24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1.支持登录账号权限内可见的课题队列的快速切换。</w:t>
            </w:r>
          </w:p>
          <w:p>
            <w:pPr>
              <w:keepNext w:val="0"/>
              <w:keepLines w:val="0"/>
              <w:pageBreakBefore w:val="0"/>
              <w:kinsoku/>
              <w:wordWrap/>
              <w:overflowPunct/>
              <w:topLinePunct w:val="0"/>
              <w:autoSpaceDE/>
              <w:autoSpaceDN/>
              <w:bidi w:val="0"/>
              <w:snapToGrid/>
              <w:spacing w:line="24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2.支持课题列表、课题下队列列表的树结构展示。</w:t>
            </w:r>
          </w:p>
          <w:p>
            <w:pPr>
              <w:keepNext w:val="0"/>
              <w:keepLines w:val="0"/>
              <w:pageBreakBefore w:val="0"/>
              <w:kinsoku/>
              <w:wordWrap/>
              <w:overflowPunct/>
              <w:topLinePunct w:val="0"/>
              <w:autoSpaceDE/>
              <w:autoSpaceDN/>
              <w:bidi w:val="0"/>
              <w:snapToGrid/>
              <w:spacing w:line="24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3.支持队列下研究变量、病例总数显示。</w:t>
            </w:r>
          </w:p>
          <w:p>
            <w:pPr>
              <w:keepNext w:val="0"/>
              <w:keepLines w:val="0"/>
              <w:pageBreakBefore w:val="0"/>
              <w:kinsoku/>
              <w:wordWrap/>
              <w:overflowPunct/>
              <w:topLinePunct w:val="0"/>
              <w:autoSpaceDE/>
              <w:autoSpaceDN/>
              <w:bidi w:val="0"/>
              <w:snapToGrid/>
              <w:spacing w:line="24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4.支持快捷创建新队列。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25</w:t>
            </w:r>
          </w:p>
        </w:tc>
        <w:tc>
          <w:tcPr>
            <w:tcW w:w="1452" w:type="dxa"/>
            <w:vMerge w:val="continue"/>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eastAsia" w:ascii="仿宋" w:hAnsi="仿宋" w:eastAsia="仿宋" w:cs="仿宋"/>
                <w:sz w:val="24"/>
                <w:szCs w:val="24"/>
                <w:highlight w:val="none"/>
              </w:rPr>
            </w:pPr>
          </w:p>
        </w:tc>
        <w:tc>
          <w:tcPr>
            <w:tcW w:w="6270"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研究变量设置：</w:t>
            </w:r>
          </w:p>
          <w:p>
            <w:pPr>
              <w:keepNext w:val="0"/>
              <w:keepLines w:val="0"/>
              <w:pageBreakBefore w:val="0"/>
              <w:kinsoku/>
              <w:wordWrap/>
              <w:overflowPunct/>
              <w:topLinePunct w:val="0"/>
              <w:autoSpaceDE/>
              <w:autoSpaceDN/>
              <w:bidi w:val="0"/>
              <w:snapToGrid/>
              <w:spacing w:line="24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1.支持研究者自定义基线，通过基线可以进一步提取基线范围内的变量数据，并对基线内的研究变量进行观察。</w:t>
            </w:r>
          </w:p>
          <w:p>
            <w:pPr>
              <w:keepNext w:val="0"/>
              <w:keepLines w:val="0"/>
              <w:pageBreakBefore w:val="0"/>
              <w:kinsoku/>
              <w:wordWrap/>
              <w:overflowPunct/>
              <w:topLinePunct w:val="0"/>
              <w:autoSpaceDE/>
              <w:autoSpaceDN/>
              <w:bidi w:val="0"/>
              <w:snapToGrid/>
              <w:spacing w:line="24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2.基线可以从就诊、诊断、检查、检验、医嘱、手术信息、专科专病结构化模型中选择。</w:t>
            </w:r>
          </w:p>
          <w:p>
            <w:pPr>
              <w:keepNext w:val="0"/>
              <w:keepLines w:val="0"/>
              <w:pageBreakBefore w:val="0"/>
              <w:kinsoku/>
              <w:wordWrap/>
              <w:overflowPunct/>
              <w:topLinePunct w:val="0"/>
              <w:autoSpaceDE/>
              <w:autoSpaceDN/>
              <w:bidi w:val="0"/>
              <w:snapToGrid/>
              <w:spacing w:line="24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支持研究变量、变量组自定义，研究者可以将自己感兴趣或者需要观察的研究变量从患者信息、就诊、诊断、检查、检验、医嘱、手术信息、专科专病结构化模型中选择，并通过设置最近一次、全部、首次、末次、最后一次、最大值、最小值、平均值等进行数值提取并展示。添加到变量组的字段指标会按照变量组别显示在列表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26</w:t>
            </w:r>
          </w:p>
        </w:tc>
        <w:tc>
          <w:tcPr>
            <w:tcW w:w="1452" w:type="dxa"/>
            <w:vMerge w:val="continue"/>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eastAsia" w:ascii="仿宋" w:hAnsi="仿宋" w:eastAsia="仿宋" w:cs="仿宋"/>
                <w:sz w:val="24"/>
                <w:szCs w:val="24"/>
                <w:highlight w:val="none"/>
              </w:rPr>
            </w:pPr>
          </w:p>
        </w:tc>
        <w:tc>
          <w:tcPr>
            <w:tcW w:w="6270"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队列列表：</w:t>
            </w:r>
          </w:p>
          <w:p>
            <w:pPr>
              <w:keepNext w:val="0"/>
              <w:keepLines w:val="0"/>
              <w:pageBreakBefore w:val="0"/>
              <w:kinsoku/>
              <w:wordWrap/>
              <w:overflowPunct/>
              <w:topLinePunct w:val="0"/>
              <w:autoSpaceDE/>
              <w:autoSpaceDN/>
              <w:bidi w:val="0"/>
              <w:snapToGrid/>
              <w:spacing w:line="24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1.结果列表点击详情可关联到患者360视图。</w:t>
            </w:r>
          </w:p>
          <w:p>
            <w:pPr>
              <w:keepNext w:val="0"/>
              <w:keepLines w:val="0"/>
              <w:pageBreakBefore w:val="0"/>
              <w:kinsoku/>
              <w:wordWrap/>
              <w:overflowPunct/>
              <w:topLinePunct w:val="0"/>
              <w:autoSpaceDE/>
              <w:autoSpaceDN/>
              <w:bidi w:val="0"/>
              <w:snapToGrid/>
              <w:spacing w:line="24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2.支持将初筛队列中的部分或全部数据加入到研究队列中进行进一步的数据补充或病例补充。</w:t>
            </w:r>
          </w:p>
          <w:p>
            <w:pPr>
              <w:keepNext w:val="0"/>
              <w:keepLines w:val="0"/>
              <w:pageBreakBefore w:val="0"/>
              <w:kinsoku/>
              <w:wordWrap/>
              <w:overflowPunct/>
              <w:topLinePunct w:val="0"/>
              <w:autoSpaceDE/>
              <w:autoSpaceDN/>
              <w:bidi w:val="0"/>
              <w:snapToGrid/>
              <w:spacing w:line="24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3.支持初筛队列数据导出功能。提供3种模板数据导出：按模型结构导出、按队列变量组导出、按基线时间导出。</w:t>
            </w:r>
          </w:p>
          <w:p>
            <w:pPr>
              <w:keepNext w:val="0"/>
              <w:keepLines w:val="0"/>
              <w:pageBreakBefore w:val="0"/>
              <w:kinsoku/>
              <w:wordWrap/>
              <w:overflowPunct/>
              <w:topLinePunct w:val="0"/>
              <w:autoSpaceDE/>
              <w:autoSpaceDN/>
              <w:bidi w:val="0"/>
              <w:snapToGrid/>
              <w:spacing w:line="24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4.支持初筛队列数据关联统计分析模块，包括：描述性统计、单因素分析、相关性分析、多因素分析、生存分析等统计分析模块。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27</w:t>
            </w:r>
          </w:p>
        </w:tc>
        <w:tc>
          <w:tcPr>
            <w:tcW w:w="1452" w:type="dxa"/>
            <w:vMerge w:val="continue"/>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eastAsia" w:ascii="仿宋" w:hAnsi="仿宋" w:eastAsia="仿宋" w:cs="仿宋"/>
                <w:sz w:val="24"/>
                <w:szCs w:val="24"/>
                <w:highlight w:val="none"/>
              </w:rPr>
            </w:pPr>
          </w:p>
        </w:tc>
        <w:tc>
          <w:tcPr>
            <w:tcW w:w="6270"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韦恩图工具：支持对多个队列数据集进行交集、并集处理，并将数据存储到新的队列集合种使用。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28</w:t>
            </w:r>
          </w:p>
        </w:tc>
        <w:tc>
          <w:tcPr>
            <w:tcW w:w="1452" w:type="dxa"/>
            <w:vMerge w:val="restart"/>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研究队列模块</w:t>
            </w:r>
          </w:p>
        </w:tc>
        <w:tc>
          <w:tcPr>
            <w:tcW w:w="6270"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队列切换：</w:t>
            </w:r>
          </w:p>
          <w:p>
            <w:pPr>
              <w:keepNext w:val="0"/>
              <w:keepLines w:val="0"/>
              <w:pageBreakBefore w:val="0"/>
              <w:kinsoku/>
              <w:wordWrap/>
              <w:overflowPunct/>
              <w:topLinePunct w:val="0"/>
              <w:autoSpaceDE/>
              <w:autoSpaceDN/>
              <w:bidi w:val="0"/>
              <w:snapToGrid/>
              <w:spacing w:line="24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支持登录账号权限内可见的课题队列的快速切换。</w:t>
            </w:r>
          </w:p>
          <w:p>
            <w:pPr>
              <w:keepNext w:val="0"/>
              <w:keepLines w:val="0"/>
              <w:pageBreakBefore w:val="0"/>
              <w:kinsoku/>
              <w:wordWrap/>
              <w:overflowPunct/>
              <w:topLinePunct w:val="0"/>
              <w:autoSpaceDE/>
              <w:autoSpaceDN/>
              <w:bidi w:val="0"/>
              <w:snapToGrid/>
              <w:spacing w:line="24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支持课题列表、课题下队列列表的树结构展示。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29</w:t>
            </w:r>
          </w:p>
        </w:tc>
        <w:tc>
          <w:tcPr>
            <w:tcW w:w="1452" w:type="dxa"/>
            <w:vMerge w:val="continue"/>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eastAsia" w:ascii="仿宋" w:hAnsi="仿宋" w:eastAsia="仿宋" w:cs="仿宋"/>
                <w:sz w:val="24"/>
                <w:szCs w:val="24"/>
                <w:highlight w:val="none"/>
              </w:rPr>
            </w:pPr>
          </w:p>
        </w:tc>
        <w:tc>
          <w:tcPr>
            <w:tcW w:w="6270"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队列查询：</w:t>
            </w:r>
          </w:p>
          <w:p>
            <w:pPr>
              <w:keepNext w:val="0"/>
              <w:keepLines w:val="0"/>
              <w:pageBreakBefore w:val="0"/>
              <w:kinsoku/>
              <w:wordWrap/>
              <w:overflowPunct/>
              <w:topLinePunct w:val="0"/>
              <w:autoSpaceDE/>
              <w:autoSpaceDN/>
              <w:bidi w:val="0"/>
              <w:snapToGrid/>
              <w:spacing w:line="24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支持根据CRF表单结构中的字段进行组合检索。</w:t>
            </w:r>
          </w:p>
          <w:p>
            <w:pPr>
              <w:keepNext w:val="0"/>
              <w:keepLines w:val="0"/>
              <w:pageBreakBefore w:val="0"/>
              <w:kinsoku/>
              <w:wordWrap/>
              <w:overflowPunct/>
              <w:topLinePunct w:val="0"/>
              <w:autoSpaceDE/>
              <w:autoSpaceDN/>
              <w:bidi w:val="0"/>
              <w:snapToGrid/>
              <w:spacing w:line="24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结果列表按CRF表单结构显示主要列。</w:t>
            </w:r>
          </w:p>
          <w:p>
            <w:pPr>
              <w:keepNext w:val="0"/>
              <w:keepLines w:val="0"/>
              <w:pageBreakBefore w:val="0"/>
              <w:kinsoku/>
              <w:wordWrap/>
              <w:overflowPunct/>
              <w:topLinePunct w:val="0"/>
              <w:autoSpaceDE/>
              <w:autoSpaceDN/>
              <w:bidi w:val="0"/>
              <w:snapToGrid/>
              <w:spacing w:line="24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结果列表点击详情可关联到患者360视图。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30</w:t>
            </w:r>
          </w:p>
        </w:tc>
        <w:tc>
          <w:tcPr>
            <w:tcW w:w="1452" w:type="dxa"/>
            <w:vMerge w:val="continue"/>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eastAsia" w:ascii="仿宋" w:hAnsi="仿宋" w:eastAsia="仿宋" w:cs="仿宋"/>
                <w:sz w:val="24"/>
                <w:szCs w:val="24"/>
                <w:highlight w:val="none"/>
              </w:rPr>
            </w:pPr>
          </w:p>
        </w:tc>
        <w:tc>
          <w:tcPr>
            <w:tcW w:w="6270"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队列数据导出：</w:t>
            </w:r>
          </w:p>
          <w:p>
            <w:pPr>
              <w:keepNext w:val="0"/>
              <w:keepLines w:val="0"/>
              <w:pageBreakBefore w:val="0"/>
              <w:kinsoku/>
              <w:wordWrap/>
              <w:overflowPunct/>
              <w:topLinePunct w:val="0"/>
              <w:autoSpaceDE/>
              <w:autoSpaceDN/>
              <w:bidi w:val="0"/>
              <w:snapToGrid/>
              <w:spacing w:line="24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支持队列数据按选择导出或全部导出。</w:t>
            </w:r>
          </w:p>
          <w:p>
            <w:pPr>
              <w:keepNext w:val="0"/>
              <w:keepLines w:val="0"/>
              <w:pageBreakBefore w:val="0"/>
              <w:kinsoku/>
              <w:wordWrap/>
              <w:overflowPunct/>
              <w:topLinePunct w:val="0"/>
              <w:autoSpaceDE/>
              <w:autoSpaceDN/>
              <w:bidi w:val="0"/>
              <w:snapToGrid/>
              <w:spacing w:line="24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导出模板支持按CRF表单结构进行导出，导出列按CRF表单结构排序。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31</w:t>
            </w:r>
          </w:p>
        </w:tc>
        <w:tc>
          <w:tcPr>
            <w:tcW w:w="1452" w:type="dxa"/>
            <w:vMerge w:val="continue"/>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eastAsia" w:ascii="仿宋" w:hAnsi="仿宋" w:eastAsia="仿宋" w:cs="仿宋"/>
                <w:sz w:val="24"/>
                <w:szCs w:val="24"/>
                <w:highlight w:val="none"/>
              </w:rPr>
            </w:pPr>
          </w:p>
        </w:tc>
        <w:tc>
          <w:tcPr>
            <w:tcW w:w="6270"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病例注册；支持按CRF表单模板注册库外病例患者，适用于专病数据集样本量不足的情况。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32</w:t>
            </w:r>
          </w:p>
        </w:tc>
        <w:tc>
          <w:tcPr>
            <w:tcW w:w="1452" w:type="dxa"/>
            <w:vMerge w:val="continue"/>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eastAsia" w:ascii="仿宋" w:hAnsi="仿宋" w:eastAsia="仿宋" w:cs="仿宋"/>
                <w:sz w:val="24"/>
                <w:szCs w:val="24"/>
                <w:highlight w:val="none"/>
              </w:rPr>
            </w:pPr>
          </w:p>
        </w:tc>
        <w:tc>
          <w:tcPr>
            <w:tcW w:w="6270"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CRF表单填写：</w:t>
            </w:r>
          </w:p>
          <w:p>
            <w:pPr>
              <w:keepNext w:val="0"/>
              <w:keepLines w:val="0"/>
              <w:pageBreakBefore w:val="0"/>
              <w:kinsoku/>
              <w:wordWrap/>
              <w:overflowPunct/>
              <w:topLinePunct w:val="0"/>
              <w:autoSpaceDE/>
              <w:autoSpaceDN/>
              <w:bidi w:val="0"/>
              <w:snapToGrid/>
              <w:spacing w:line="24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1.支持按CRF表单模板补充研究变量，适用于专病数据集研究变量需要人工介入判断或研究变量数据缺失情况。</w:t>
            </w:r>
          </w:p>
          <w:p>
            <w:pPr>
              <w:keepNext w:val="0"/>
              <w:keepLines w:val="0"/>
              <w:pageBreakBefore w:val="0"/>
              <w:kinsoku/>
              <w:wordWrap/>
              <w:overflowPunct/>
              <w:topLinePunct w:val="0"/>
              <w:autoSpaceDE/>
              <w:autoSpaceDN/>
              <w:bidi w:val="0"/>
              <w:snapToGrid/>
              <w:spacing w:line="24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2.支持CRF表单中在专病库中已存在变量值自动填充。</w:t>
            </w:r>
          </w:p>
          <w:p>
            <w:pPr>
              <w:keepNext w:val="0"/>
              <w:keepLines w:val="0"/>
              <w:pageBreakBefore w:val="0"/>
              <w:kinsoku/>
              <w:wordWrap/>
              <w:overflowPunct/>
              <w:topLinePunct w:val="0"/>
              <w:autoSpaceDE/>
              <w:autoSpaceDN/>
              <w:bidi w:val="0"/>
              <w:snapToGrid/>
              <w:spacing w:line="24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支持CRF表单模块右侧数据关联，关联数据双击后自动填充。包括：人口学信息、就诊、诊断、检查、检验、医嘱、手术、随访等专病库已结构化数据模型的右侧关联提醒。为CRF表单填写过程中提供参考，提升数据录入过程的准确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33</w:t>
            </w:r>
          </w:p>
        </w:tc>
        <w:tc>
          <w:tcPr>
            <w:tcW w:w="1452"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CRF表单管理模块</w:t>
            </w:r>
          </w:p>
        </w:tc>
        <w:tc>
          <w:tcPr>
            <w:tcW w:w="6270"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rPr>
              <w:t>1.内置CRF表单编辑器，</w:t>
            </w:r>
            <w:r>
              <w:rPr>
                <w:rFonts w:hint="eastAsia" w:ascii="仿宋" w:hAnsi="仿宋" w:eastAsia="仿宋" w:cs="仿宋"/>
                <w:sz w:val="24"/>
                <w:szCs w:val="24"/>
                <w:highlight w:val="none"/>
              </w:rPr>
              <w:t>支持用户自定义CRF表单模板，支持对用户自己创建的CRF模板的再次编辑和删除；</w:t>
            </w:r>
          </w:p>
          <w:p>
            <w:pPr>
              <w:keepNext w:val="0"/>
              <w:keepLines w:val="0"/>
              <w:pageBreakBefore w:val="0"/>
              <w:kinsoku/>
              <w:wordWrap/>
              <w:overflowPunct/>
              <w:topLinePunct w:val="0"/>
              <w:autoSpaceDE/>
              <w:autoSpaceDN/>
              <w:bidi w:val="0"/>
              <w:snapToGrid/>
              <w:spacing w:line="24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2.支持多种题型和值域设置；支持从字段集区域内拖拽字段到建题区的拖拽建题方式建题；</w:t>
            </w:r>
          </w:p>
          <w:p>
            <w:pPr>
              <w:keepNext w:val="0"/>
              <w:keepLines w:val="0"/>
              <w:pageBreakBefore w:val="0"/>
              <w:kinsoku/>
              <w:wordWrap/>
              <w:overflowPunct/>
              <w:topLinePunct w:val="0"/>
              <w:autoSpaceDE/>
              <w:autoSpaceDN/>
              <w:bidi w:val="0"/>
              <w:snapToGrid/>
              <w:spacing w:line="24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3.支持点选建题方式建题；支持建立题组模板，可将题组模板自由组合成CRF，</w:t>
            </w:r>
            <w:r>
              <w:rPr>
                <w:rFonts w:hint="eastAsia" w:ascii="仿宋" w:hAnsi="仿宋" w:eastAsia="仿宋" w:cs="仿宋"/>
                <w:color w:val="000000"/>
                <w:kern w:val="0"/>
                <w:sz w:val="24"/>
                <w:szCs w:val="24"/>
                <w:highlight w:val="none"/>
              </w:rPr>
              <w:t>供科研项目和科研队列研究过程中引用</w:t>
            </w:r>
            <w:r>
              <w:rPr>
                <w:rFonts w:hint="eastAsia" w:ascii="仿宋" w:hAnsi="仿宋" w:eastAsia="仿宋" w:cs="仿宋"/>
                <w:sz w:val="24"/>
                <w:szCs w:val="24"/>
                <w:highlight w:val="none"/>
              </w:rPr>
              <w:t>；</w:t>
            </w:r>
          </w:p>
          <w:p>
            <w:pPr>
              <w:pStyle w:val="15"/>
              <w:keepNext w:val="0"/>
              <w:keepLines w:val="0"/>
              <w:pageBreakBefore w:val="0"/>
              <w:kinsoku/>
              <w:wordWrap/>
              <w:overflowPunct/>
              <w:topLinePunct w:val="0"/>
              <w:autoSpaceDE/>
              <w:autoSpaceDN/>
              <w:bidi w:val="0"/>
              <w:snapToGrid/>
              <w:spacing w:line="24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w:t>
            </w:r>
            <w:r>
              <w:rPr>
                <w:rFonts w:hint="eastAsia" w:ascii="仿宋" w:hAnsi="仿宋" w:eastAsia="仿宋" w:cs="仿宋"/>
                <w:color w:val="000000"/>
                <w:kern w:val="0"/>
                <w:sz w:val="24"/>
                <w:szCs w:val="24"/>
                <w:highlight w:val="none"/>
              </w:rPr>
              <w:t>在CRF创建/编辑的过程中，支持数据元引用功能，即支持引用当前专病数据库设置数据元体系或自定义数据元作为CRF表单的数据项；</w:t>
            </w:r>
          </w:p>
          <w:p>
            <w:pPr>
              <w:keepNext w:val="0"/>
              <w:keepLines w:val="0"/>
              <w:pageBreakBefore w:val="0"/>
              <w:kinsoku/>
              <w:wordWrap/>
              <w:overflowPunct/>
              <w:topLinePunct w:val="0"/>
              <w:autoSpaceDE/>
              <w:autoSpaceDN/>
              <w:bidi w:val="0"/>
              <w:snapToGrid/>
              <w:spacing w:line="24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支持CRF内多题目间显示与隐藏的逻辑关系以及自动计算量表等。支持的控件有：单选题、多选题、日期题、附件题、多行文本题、矩阵题、组自增题、纳排题、随机分组题和填空题，其中附件题支持上传多种格式的附件；</w:t>
            </w:r>
          </w:p>
          <w:p>
            <w:pPr>
              <w:keepNext w:val="0"/>
              <w:keepLines w:val="0"/>
              <w:pageBreakBefore w:val="0"/>
              <w:kinsoku/>
              <w:wordWrap/>
              <w:overflowPunct/>
              <w:topLinePunct w:val="0"/>
              <w:autoSpaceDE/>
              <w:autoSpaceDN/>
              <w:bidi w:val="0"/>
              <w:snapToGrid/>
              <w:spacing w:line="24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6.支持表单控件与数据模型、元数据、自定义值域字典进行关联；支持右侧关联配置。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34</w:t>
            </w:r>
          </w:p>
        </w:tc>
        <w:tc>
          <w:tcPr>
            <w:tcW w:w="1452"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统计分析模块</w:t>
            </w:r>
          </w:p>
        </w:tc>
        <w:tc>
          <w:tcPr>
            <w:tcW w:w="6270"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支持内置统计模块，包括</w:t>
            </w:r>
          </w:p>
          <w:p>
            <w:pPr>
              <w:keepNext w:val="0"/>
              <w:keepLines w:val="0"/>
              <w:pageBreakBefore w:val="0"/>
              <w:kinsoku/>
              <w:wordWrap/>
              <w:overflowPunct/>
              <w:topLinePunct w:val="0"/>
              <w:autoSpaceDE/>
              <w:autoSpaceDN/>
              <w:bidi w:val="0"/>
              <w:snapToGrid/>
              <w:spacing w:line="24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描述性统计：对落入指定区域内的定类数据的频数进行统计，了解其数据分布状况；</w:t>
            </w:r>
          </w:p>
          <w:p>
            <w:pPr>
              <w:keepNext w:val="0"/>
              <w:keepLines w:val="0"/>
              <w:pageBreakBefore w:val="0"/>
              <w:kinsoku/>
              <w:wordWrap/>
              <w:overflowPunct/>
              <w:topLinePunct w:val="0"/>
              <w:autoSpaceDE/>
              <w:autoSpaceDN/>
              <w:bidi w:val="0"/>
              <w:snapToGrid/>
              <w:spacing w:line="24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单因素分析：用于多组定量数据（函数）是否呈现差异性；</w:t>
            </w:r>
          </w:p>
          <w:p>
            <w:pPr>
              <w:keepNext w:val="0"/>
              <w:keepLines w:val="0"/>
              <w:pageBreakBefore w:val="0"/>
              <w:kinsoku/>
              <w:wordWrap/>
              <w:overflowPunct/>
              <w:topLinePunct w:val="0"/>
              <w:autoSpaceDE/>
              <w:autoSpaceDN/>
              <w:bidi w:val="0"/>
              <w:snapToGrid/>
              <w:spacing w:line="24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相关性分析：对两个定量变量之间的相关程度进行分析；</w:t>
            </w:r>
          </w:p>
          <w:p>
            <w:pPr>
              <w:keepNext w:val="0"/>
              <w:keepLines w:val="0"/>
              <w:pageBreakBefore w:val="0"/>
              <w:kinsoku/>
              <w:wordWrap/>
              <w:overflowPunct/>
              <w:topLinePunct w:val="0"/>
              <w:autoSpaceDE/>
              <w:autoSpaceDN/>
              <w:bidi w:val="0"/>
              <w:snapToGrid/>
              <w:spacing w:line="24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多因素分析：用于分析多个因素的不同水平是否对结果有显著影响；</w:t>
            </w:r>
          </w:p>
          <w:p>
            <w:pPr>
              <w:keepNext w:val="0"/>
              <w:keepLines w:val="0"/>
              <w:pageBreakBefore w:val="0"/>
              <w:kinsoku/>
              <w:wordWrap/>
              <w:overflowPunct/>
              <w:topLinePunct w:val="0"/>
              <w:autoSpaceDE/>
              <w:autoSpaceDN/>
              <w:bidi w:val="0"/>
              <w:snapToGrid/>
              <w:spacing w:line="24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生存分析：用于分析单一因素（X）对生存时间的影响，如分析某药物使用是否影响病人存活时间等。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35</w:t>
            </w:r>
          </w:p>
        </w:tc>
        <w:tc>
          <w:tcPr>
            <w:tcW w:w="1452"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文献知识库模块</w:t>
            </w:r>
          </w:p>
        </w:tc>
        <w:tc>
          <w:tcPr>
            <w:tcW w:w="6270"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支持千万级数据量的国内外</w:t>
            </w:r>
            <w:r>
              <w:rPr>
                <w:rFonts w:hint="eastAsia" w:ascii="仿宋" w:hAnsi="仿宋" w:eastAsia="仿宋" w:cs="仿宋"/>
                <w:color w:val="000000"/>
                <w:kern w:val="0"/>
                <w:sz w:val="24"/>
                <w:szCs w:val="24"/>
                <w:highlight w:val="none"/>
              </w:rPr>
              <w:t>临床指南、共识、文献以及专家诊疗经验</w:t>
            </w:r>
            <w:r>
              <w:rPr>
                <w:rFonts w:hint="eastAsia" w:ascii="仿宋" w:hAnsi="仿宋" w:eastAsia="仿宋" w:cs="仿宋"/>
                <w:sz w:val="24"/>
                <w:szCs w:val="24"/>
                <w:highlight w:val="none"/>
              </w:rPr>
              <w:t>，为研究者提供参考及灵感发现。支持文献指南、共识及专家诊疗经验检索、下载等功能。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36</w:t>
            </w:r>
          </w:p>
        </w:tc>
        <w:tc>
          <w:tcPr>
            <w:tcW w:w="1452"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专病科研驾驶舱模块</w:t>
            </w:r>
          </w:p>
        </w:tc>
        <w:tc>
          <w:tcPr>
            <w:tcW w:w="6270"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支持专病数据库总体情况概览展示，包括专病数据量、课题与研究队列情况、专病数据分组情况等。用户可以通过患者 360 视图、分次就诊视图、时间轴分类视图等多个维度查看该患者的专病库数据详情；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37</w:t>
            </w:r>
          </w:p>
        </w:tc>
        <w:tc>
          <w:tcPr>
            <w:tcW w:w="1452"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专病数据资产模块</w:t>
            </w:r>
          </w:p>
        </w:tc>
        <w:tc>
          <w:tcPr>
            <w:tcW w:w="6270"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专病数据资产是对专病数据库数据进行资产管理，通过数据资产管理模块可查看本院的数据总体概况以及各种数据资产的分组情况。支持通过数据资产目录，自动设置信息的显示/隐藏包括。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38</w:t>
            </w:r>
          </w:p>
        </w:tc>
        <w:tc>
          <w:tcPr>
            <w:tcW w:w="1452"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专病字典模块</w:t>
            </w:r>
          </w:p>
        </w:tc>
        <w:tc>
          <w:tcPr>
            <w:tcW w:w="6270"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用于专病数据集属性值域内容的维护，可进行新增、修改、删除以及批量导入及导出操作。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39</w:t>
            </w:r>
          </w:p>
        </w:tc>
        <w:tc>
          <w:tcPr>
            <w:tcW w:w="1452"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rPr>
              <w:t>数据可视化</w:t>
            </w:r>
          </w:p>
        </w:tc>
        <w:tc>
          <w:tcPr>
            <w:tcW w:w="6270"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首页概览：</w:t>
            </w:r>
          </w:p>
          <w:p>
            <w:pPr>
              <w:pStyle w:val="15"/>
              <w:keepNext w:val="0"/>
              <w:keepLines w:val="0"/>
              <w:pageBreakBefore w:val="0"/>
              <w:kinsoku/>
              <w:wordWrap/>
              <w:overflowPunct/>
              <w:topLinePunct w:val="0"/>
              <w:autoSpaceDE/>
              <w:autoSpaceDN/>
              <w:bidi w:val="0"/>
              <w:snapToGrid/>
              <w:spacing w:line="24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支持对专病数据库的数据情况进行概览展示，包括患者总数、门诊人数、住院人数、门诊人次、住院人次、门诊/住院就诊人次趋势、就诊患者地域来源、性别占比、年龄分布等基础数据统计图表在内。</w:t>
            </w:r>
          </w:p>
          <w:p>
            <w:pPr>
              <w:keepNext w:val="0"/>
              <w:keepLines w:val="0"/>
              <w:pageBreakBefore w:val="0"/>
              <w:kinsoku/>
              <w:wordWrap/>
              <w:overflowPunct/>
              <w:topLinePunct w:val="0"/>
              <w:autoSpaceDE/>
              <w:autoSpaceDN/>
              <w:bidi w:val="0"/>
              <w:snapToGrid/>
              <w:spacing w:line="24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抽数监测：</w:t>
            </w:r>
          </w:p>
          <w:p>
            <w:pPr>
              <w:keepNext w:val="0"/>
              <w:keepLines w:val="0"/>
              <w:pageBreakBefore w:val="0"/>
              <w:kinsoku/>
              <w:wordWrap/>
              <w:overflowPunct/>
              <w:topLinePunct w:val="0"/>
              <w:autoSpaceDE/>
              <w:autoSpaceDN/>
              <w:bidi w:val="0"/>
              <w:snapToGrid/>
              <w:spacing w:line="24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支持对每次数据抽数同步进行可视化展示，具体内容包括各业务域增量数据、总增量数据、较上次同步相比数据增加/减少、抽数时间及抽数状态；</w:t>
            </w:r>
          </w:p>
          <w:p>
            <w:pPr>
              <w:pStyle w:val="15"/>
              <w:keepNext w:val="0"/>
              <w:keepLines w:val="0"/>
              <w:pageBreakBefore w:val="0"/>
              <w:kinsoku/>
              <w:wordWrap/>
              <w:overflowPunct/>
              <w:topLinePunct w:val="0"/>
              <w:autoSpaceDE/>
              <w:autoSpaceDN/>
              <w:bidi w:val="0"/>
              <w:snapToGrid/>
              <w:spacing w:line="24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用户行为统计：</w:t>
            </w:r>
          </w:p>
          <w:p>
            <w:pPr>
              <w:keepNext w:val="0"/>
              <w:keepLines w:val="0"/>
              <w:pageBreakBefore w:val="0"/>
              <w:kinsoku/>
              <w:wordWrap/>
              <w:overflowPunct/>
              <w:topLinePunct w:val="0"/>
              <w:autoSpaceDE/>
              <w:autoSpaceDN/>
              <w:bidi w:val="0"/>
              <w:snapToGrid/>
              <w:spacing w:line="24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支持从用户维度统计各用户的</w:t>
            </w:r>
            <w:r>
              <w:rPr>
                <w:rFonts w:hint="eastAsia" w:ascii="仿宋" w:hAnsi="仿宋" w:eastAsia="仿宋" w:cs="仿宋"/>
                <w:sz w:val="24"/>
                <w:szCs w:val="24"/>
                <w:highlight w:val="none"/>
                <w:lang w:val="en-US" w:eastAsia="zh-CN"/>
              </w:rPr>
              <w:t>系统</w:t>
            </w:r>
            <w:r>
              <w:rPr>
                <w:rFonts w:hint="eastAsia" w:ascii="仿宋" w:hAnsi="仿宋" w:eastAsia="仿宋" w:cs="仿宋"/>
                <w:sz w:val="24"/>
                <w:szCs w:val="24"/>
                <w:highlight w:val="none"/>
              </w:rPr>
              <w:t>登录频次、检索频次、纳入队列频次及导出频次，亦可对科研项目中的纳入和导出频次进行统计可视化展示，可点击查看具体的图表数据内容，支持按照时间维度进行数据筛选查看；</w:t>
            </w:r>
          </w:p>
          <w:p>
            <w:pPr>
              <w:pStyle w:val="15"/>
              <w:keepNext w:val="0"/>
              <w:keepLines w:val="0"/>
              <w:pageBreakBefore w:val="0"/>
              <w:kinsoku/>
              <w:wordWrap/>
              <w:overflowPunct/>
              <w:topLinePunct w:val="0"/>
              <w:autoSpaceDE/>
              <w:autoSpaceDN/>
              <w:bidi w:val="0"/>
              <w:snapToGrid/>
              <w:spacing w:line="24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数据治理概览：</w:t>
            </w:r>
          </w:p>
          <w:p>
            <w:pPr>
              <w:pStyle w:val="15"/>
              <w:keepNext w:val="0"/>
              <w:keepLines w:val="0"/>
              <w:pageBreakBefore w:val="0"/>
              <w:kinsoku/>
              <w:wordWrap/>
              <w:overflowPunct/>
              <w:topLinePunct w:val="0"/>
              <w:autoSpaceDE/>
              <w:autoSpaceDN/>
              <w:bidi w:val="0"/>
              <w:snapToGrid/>
              <w:spacing w:line="24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1.支持查看数据来源情况，包含数据来源系统总数、数据来源系统表总数、数据来源系统表字段总数；</w:t>
            </w:r>
          </w:p>
          <w:p>
            <w:pPr>
              <w:keepNext w:val="0"/>
              <w:keepLines w:val="0"/>
              <w:pageBreakBefore w:val="0"/>
              <w:kinsoku/>
              <w:wordWrap/>
              <w:overflowPunct/>
              <w:topLinePunct w:val="0"/>
              <w:autoSpaceDE/>
              <w:autoSpaceDN/>
              <w:bidi w:val="0"/>
              <w:snapToGrid/>
              <w:spacing w:line="24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2.支持查看原始数据处理情况，包含数据抽取总数、数据作废处理总数、数据重复处理总数、数据清洗处理总数；</w:t>
            </w:r>
          </w:p>
          <w:p>
            <w:pPr>
              <w:keepNext w:val="0"/>
              <w:keepLines w:val="0"/>
              <w:pageBreakBefore w:val="0"/>
              <w:kinsoku/>
              <w:wordWrap/>
              <w:overflowPunct/>
              <w:topLinePunct w:val="0"/>
              <w:autoSpaceDE/>
              <w:autoSpaceDN/>
              <w:bidi w:val="0"/>
              <w:snapToGrid/>
              <w:spacing w:line="24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rPr>
              <w:t>3.支持查看数据元处理情况，包含数据元总数并按照处理方式分类展示，数据元结果总数并按照处理方式分类展示；</w:t>
            </w:r>
          </w:p>
          <w:p>
            <w:pPr>
              <w:keepNext w:val="0"/>
              <w:keepLines w:val="0"/>
              <w:pageBreakBefore w:val="0"/>
              <w:kinsoku/>
              <w:wordWrap/>
              <w:overflowPunct/>
              <w:topLinePunct w:val="0"/>
              <w:autoSpaceDE/>
              <w:autoSpaceDN/>
              <w:bidi w:val="0"/>
              <w:snapToGrid/>
              <w:spacing w:line="24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rPr>
              <w:t>4.支持查看数据元血缘关系查看，包含数据元流入节点、清洗方式、流转节点和流出节点；</w:t>
            </w:r>
          </w:p>
          <w:p>
            <w:pPr>
              <w:keepNext w:val="0"/>
              <w:keepLines w:val="0"/>
              <w:pageBreakBefore w:val="0"/>
              <w:kinsoku/>
              <w:wordWrap/>
              <w:overflowPunct/>
              <w:topLinePunct w:val="0"/>
              <w:autoSpaceDE/>
              <w:autoSpaceDN/>
              <w:bidi w:val="0"/>
              <w:snapToGrid/>
              <w:spacing w:line="24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rPr>
              <w:t>5.支持按图表和图形两种方式查看专病数据库所有检索数据元的数据完整度，支持按照时间年份和业务域进行筛选查看。</w:t>
            </w:r>
          </w:p>
        </w:tc>
      </w:tr>
    </w:tbl>
    <w:p>
      <w:pPr>
        <w:bidi w:val="0"/>
        <w:spacing w:line="360" w:lineRule="auto"/>
        <w:rPr>
          <w:rFonts w:hint="eastAsia" w:ascii="仿宋" w:hAnsi="仿宋" w:eastAsia="仿宋" w:cs="仿宋"/>
          <w:b/>
          <w:bCs/>
          <w:sz w:val="24"/>
          <w:szCs w:val="24"/>
          <w:lang w:val="en-US" w:eastAsia="zh-CN"/>
        </w:rPr>
      </w:pPr>
      <w:bookmarkStart w:id="13" w:name="_Toc16385"/>
      <w:r>
        <w:rPr>
          <w:rFonts w:hint="eastAsia" w:ascii="仿宋" w:hAnsi="仿宋" w:eastAsia="仿宋" w:cs="仿宋"/>
          <w:b/>
          <w:bCs/>
          <w:sz w:val="24"/>
          <w:szCs w:val="24"/>
          <w:lang w:val="en-US" w:eastAsia="zh-CN"/>
        </w:rPr>
        <w:t>2.3服务器</w:t>
      </w:r>
      <w:bookmarkEnd w:id="13"/>
    </w:p>
    <w:tbl>
      <w:tblPr>
        <w:tblStyle w:val="18"/>
        <w:tblW w:w="8658" w:type="dxa"/>
        <w:jc w:val="center"/>
        <w:tblLayout w:type="fixed"/>
        <w:tblCellMar>
          <w:top w:w="0" w:type="dxa"/>
          <w:left w:w="108" w:type="dxa"/>
          <w:bottom w:w="0" w:type="dxa"/>
          <w:right w:w="108" w:type="dxa"/>
        </w:tblCellMar>
      </w:tblPr>
      <w:tblGrid>
        <w:gridCol w:w="827"/>
        <w:gridCol w:w="1461"/>
        <w:gridCol w:w="6370"/>
      </w:tblGrid>
      <w:tr>
        <w:tblPrEx>
          <w:tblCellMar>
            <w:top w:w="0" w:type="dxa"/>
            <w:left w:w="108" w:type="dxa"/>
            <w:bottom w:w="0" w:type="dxa"/>
            <w:right w:w="108" w:type="dxa"/>
          </w:tblCellMar>
        </w:tblPrEx>
        <w:trPr>
          <w:trHeight w:val="339" w:hRule="atLeast"/>
          <w:jc w:val="center"/>
        </w:trPr>
        <w:tc>
          <w:tcPr>
            <w:tcW w:w="827" w:type="dxa"/>
            <w:tcBorders>
              <w:top w:val="single" w:color="auto" w:sz="4" w:space="0"/>
              <w:left w:val="single" w:color="auto" w:sz="4" w:space="0"/>
              <w:bottom w:val="single" w:color="auto" w:sz="4" w:space="0"/>
              <w:right w:val="single" w:color="auto" w:sz="4" w:space="0"/>
            </w:tcBorders>
            <w:shd w:val="clear" w:color="auto" w:fill="D7D7D7"/>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序号</w:t>
            </w:r>
          </w:p>
        </w:tc>
        <w:tc>
          <w:tcPr>
            <w:tcW w:w="1461" w:type="dxa"/>
            <w:tcBorders>
              <w:top w:val="single" w:color="auto" w:sz="4" w:space="0"/>
              <w:left w:val="single" w:color="auto" w:sz="4" w:space="0"/>
              <w:bottom w:val="single" w:color="auto" w:sz="4" w:space="0"/>
              <w:right w:val="single" w:color="auto" w:sz="4" w:space="0"/>
            </w:tcBorders>
            <w:shd w:val="clear" w:color="auto" w:fill="D7D7D7"/>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功能与模块</w:t>
            </w:r>
          </w:p>
        </w:tc>
        <w:tc>
          <w:tcPr>
            <w:tcW w:w="6370" w:type="dxa"/>
            <w:tcBorders>
              <w:top w:val="single" w:color="auto" w:sz="4" w:space="0"/>
              <w:left w:val="single" w:color="auto" w:sz="4" w:space="0"/>
              <w:bottom w:val="single" w:color="auto" w:sz="4" w:space="0"/>
              <w:right w:val="single" w:color="auto" w:sz="4" w:space="0"/>
            </w:tcBorders>
            <w:shd w:val="clear" w:color="auto" w:fill="D7D7D7"/>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技术性能要求</w:t>
            </w:r>
          </w:p>
        </w:tc>
      </w:tr>
      <w:tr>
        <w:tblPrEx>
          <w:tblCellMar>
            <w:top w:w="0" w:type="dxa"/>
            <w:left w:w="108" w:type="dxa"/>
            <w:bottom w:w="0" w:type="dxa"/>
            <w:right w:w="108" w:type="dxa"/>
          </w:tblCellMar>
        </w:tblPrEx>
        <w:trPr>
          <w:trHeight w:val="1193" w:hRule="atLeast"/>
          <w:jc w:val="center"/>
        </w:trPr>
        <w:tc>
          <w:tcPr>
            <w:tcW w:w="8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spacing w:line="240" w:lineRule="auto"/>
              <w:ind w:firstLine="0" w:firstLineChars="0"/>
              <w:jc w:val="center"/>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w:t>
            </w:r>
          </w:p>
        </w:tc>
        <w:tc>
          <w:tcPr>
            <w:tcW w:w="1461"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服务器</w:t>
            </w:r>
          </w:p>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eastAsia" w:ascii="仿宋" w:hAnsi="仿宋" w:eastAsia="仿宋" w:cs="仿宋"/>
                <w:color w:val="000000"/>
                <w:kern w:val="0"/>
                <w:sz w:val="24"/>
                <w:szCs w:val="24"/>
                <w:highlight w:val="none"/>
                <w:lang w:eastAsia="zh-CN"/>
              </w:rPr>
            </w:pPr>
            <w:r>
              <w:rPr>
                <w:rFonts w:hint="eastAsia" w:ascii="仿宋" w:hAnsi="仿宋" w:eastAsia="仿宋" w:cs="仿宋"/>
                <w:color w:val="000000"/>
                <w:kern w:val="0"/>
                <w:sz w:val="24"/>
                <w:szCs w:val="24"/>
                <w:highlight w:val="none"/>
                <w:lang w:eastAsia="zh-CN"/>
              </w:rPr>
              <w:t>（</w:t>
            </w:r>
            <w:r>
              <w:rPr>
                <w:rFonts w:hint="eastAsia" w:ascii="仿宋" w:hAnsi="仿宋" w:eastAsia="仿宋" w:cs="仿宋"/>
                <w:color w:val="000000"/>
                <w:kern w:val="0"/>
                <w:sz w:val="24"/>
                <w:szCs w:val="24"/>
                <w:highlight w:val="none"/>
                <w:lang w:val="en-US" w:eastAsia="zh-CN"/>
              </w:rPr>
              <w:t>3台</w:t>
            </w:r>
            <w:r>
              <w:rPr>
                <w:rFonts w:hint="eastAsia" w:ascii="仿宋" w:hAnsi="仿宋" w:eastAsia="仿宋" w:cs="仿宋"/>
                <w:color w:val="000000"/>
                <w:kern w:val="0"/>
                <w:sz w:val="24"/>
                <w:szCs w:val="24"/>
                <w:highlight w:val="none"/>
                <w:lang w:eastAsia="zh-CN"/>
              </w:rPr>
              <w:t>）</w:t>
            </w:r>
          </w:p>
        </w:tc>
        <w:tc>
          <w:tcPr>
            <w:tcW w:w="6370"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left"/>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规格：工业标准2U机架式服务器  ；</w:t>
            </w:r>
          </w:p>
          <w:p>
            <w:pPr>
              <w:keepNext w:val="0"/>
              <w:keepLines w:val="0"/>
              <w:pageBreakBefore w:val="0"/>
              <w:kinsoku/>
              <w:wordWrap/>
              <w:overflowPunct/>
              <w:topLinePunct w:val="0"/>
              <w:autoSpaceDE/>
              <w:autoSpaceDN/>
              <w:bidi w:val="0"/>
              <w:snapToGrid/>
              <w:spacing w:line="240" w:lineRule="auto"/>
              <w:ind w:firstLine="0" w:firstLineChars="0"/>
              <w:jc w:val="left"/>
              <w:textAlignment w:val="auto"/>
              <w:rPr>
                <w:rFonts w:hint="eastAsia" w:ascii="仿宋" w:hAnsi="仿宋" w:eastAsia="仿宋" w:cs="仿宋"/>
                <w:color w:val="000000"/>
                <w:kern w:val="0"/>
                <w:sz w:val="24"/>
                <w:szCs w:val="24"/>
                <w:highlight w:val="none"/>
                <w:lang w:eastAsia="zh-CN"/>
              </w:rPr>
            </w:pPr>
            <w:r>
              <w:rPr>
                <w:rFonts w:hint="eastAsia" w:ascii="仿宋" w:hAnsi="仿宋" w:eastAsia="仿宋" w:cs="仿宋"/>
                <w:color w:val="000000"/>
                <w:kern w:val="0"/>
                <w:sz w:val="24"/>
                <w:szCs w:val="24"/>
                <w:highlight w:val="none"/>
              </w:rPr>
              <w:t>处理器：</w:t>
            </w:r>
            <w:r>
              <w:rPr>
                <w:rFonts w:hint="eastAsia" w:ascii="仿宋" w:hAnsi="仿宋" w:eastAsia="仿宋" w:cs="仿宋"/>
                <w:color w:val="000000"/>
                <w:kern w:val="0"/>
                <w:sz w:val="24"/>
                <w:szCs w:val="24"/>
                <w:highlight w:val="none"/>
                <w:lang w:val="en-US" w:eastAsia="zh-CN"/>
              </w:rPr>
              <w:t>≥2颗性能不低于Intel 2.0Hz 20c处理器</w:t>
            </w:r>
            <w:r>
              <w:rPr>
                <w:rFonts w:hint="eastAsia" w:ascii="仿宋" w:hAnsi="仿宋" w:eastAsia="仿宋" w:cs="仿宋"/>
                <w:color w:val="000000"/>
                <w:kern w:val="0"/>
                <w:sz w:val="24"/>
                <w:szCs w:val="24"/>
                <w:highlight w:val="none"/>
                <w:lang w:eastAsia="zh-CN"/>
              </w:rPr>
              <w:t>；</w:t>
            </w:r>
          </w:p>
          <w:p>
            <w:pPr>
              <w:keepNext w:val="0"/>
              <w:keepLines w:val="0"/>
              <w:pageBreakBefore w:val="0"/>
              <w:kinsoku/>
              <w:wordWrap/>
              <w:overflowPunct/>
              <w:topLinePunct w:val="0"/>
              <w:autoSpaceDE/>
              <w:autoSpaceDN/>
              <w:bidi w:val="0"/>
              <w:snapToGrid/>
              <w:spacing w:line="240" w:lineRule="auto"/>
              <w:ind w:firstLine="0" w:firstLineChars="0"/>
              <w:jc w:val="left"/>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内存：</w:t>
            </w:r>
            <w:r>
              <w:rPr>
                <w:rFonts w:hint="eastAsia" w:ascii="仿宋" w:hAnsi="仿宋" w:eastAsia="仿宋" w:cs="仿宋"/>
                <w:color w:val="000000"/>
                <w:kern w:val="0"/>
                <w:sz w:val="24"/>
                <w:szCs w:val="24"/>
                <w:highlight w:val="none"/>
                <w:lang w:val="en-US" w:eastAsia="zh-CN"/>
              </w:rPr>
              <w:t>≥</w:t>
            </w:r>
            <w:r>
              <w:rPr>
                <w:rFonts w:hint="eastAsia" w:ascii="仿宋" w:hAnsi="仿宋" w:eastAsia="仿宋" w:cs="仿宋"/>
                <w:color w:val="000000"/>
                <w:kern w:val="0"/>
                <w:sz w:val="24"/>
                <w:szCs w:val="24"/>
                <w:highlight w:val="none"/>
              </w:rPr>
              <w:t>512G 4800MHz DDR4 内存；</w:t>
            </w:r>
          </w:p>
          <w:p>
            <w:pPr>
              <w:keepNext w:val="0"/>
              <w:keepLines w:val="0"/>
              <w:pageBreakBefore w:val="0"/>
              <w:kinsoku/>
              <w:wordWrap/>
              <w:overflowPunct/>
              <w:topLinePunct w:val="0"/>
              <w:autoSpaceDE/>
              <w:autoSpaceDN/>
              <w:bidi w:val="0"/>
              <w:snapToGrid/>
              <w:spacing w:line="240" w:lineRule="auto"/>
              <w:ind w:firstLine="0" w:firstLineChars="0"/>
              <w:jc w:val="left"/>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硬盘：</w:t>
            </w:r>
            <w:r>
              <w:rPr>
                <w:rFonts w:hint="eastAsia" w:ascii="仿宋" w:hAnsi="仿宋" w:eastAsia="仿宋" w:cs="仿宋"/>
                <w:color w:val="000000"/>
                <w:kern w:val="0"/>
                <w:sz w:val="24"/>
                <w:szCs w:val="24"/>
                <w:highlight w:val="none"/>
                <w:lang w:val="en-US" w:eastAsia="zh-CN"/>
              </w:rPr>
              <w:t>≥</w:t>
            </w:r>
            <w:r>
              <w:rPr>
                <w:rFonts w:hint="eastAsia" w:ascii="仿宋" w:hAnsi="仿宋" w:eastAsia="仿宋" w:cs="仿宋"/>
                <w:color w:val="000000"/>
                <w:kern w:val="0"/>
                <w:sz w:val="24"/>
                <w:szCs w:val="24"/>
                <w:highlight w:val="none"/>
              </w:rPr>
              <w:t>2块480GB 主流级固态硬盘；</w:t>
            </w:r>
            <w:r>
              <w:rPr>
                <w:rFonts w:hint="eastAsia" w:ascii="仿宋" w:hAnsi="仿宋" w:eastAsia="仿宋" w:cs="仿宋"/>
                <w:color w:val="000000"/>
                <w:kern w:val="0"/>
                <w:sz w:val="24"/>
                <w:szCs w:val="24"/>
                <w:highlight w:val="none"/>
                <w:lang w:val="en-US" w:eastAsia="zh-CN"/>
              </w:rPr>
              <w:t>≥</w:t>
            </w:r>
            <w:r>
              <w:rPr>
                <w:rFonts w:hint="eastAsia" w:ascii="仿宋" w:hAnsi="仿宋" w:eastAsia="仿宋" w:cs="仿宋"/>
                <w:color w:val="000000"/>
                <w:kern w:val="0"/>
                <w:sz w:val="24"/>
                <w:szCs w:val="24"/>
                <w:highlight w:val="none"/>
              </w:rPr>
              <w:t>2块3.5 英寸 960GB  NVME固态硬盘；</w:t>
            </w:r>
            <w:r>
              <w:rPr>
                <w:rFonts w:hint="eastAsia" w:ascii="仿宋" w:hAnsi="仿宋" w:eastAsia="仿宋" w:cs="仿宋"/>
                <w:color w:val="000000"/>
                <w:kern w:val="0"/>
                <w:sz w:val="24"/>
                <w:szCs w:val="24"/>
                <w:highlight w:val="none"/>
                <w:lang w:val="en-US" w:eastAsia="zh-CN"/>
              </w:rPr>
              <w:t>≥</w:t>
            </w:r>
            <w:r>
              <w:rPr>
                <w:rFonts w:hint="eastAsia" w:ascii="仿宋" w:hAnsi="仿宋" w:eastAsia="仿宋" w:cs="仿宋"/>
                <w:color w:val="000000"/>
                <w:kern w:val="0"/>
                <w:sz w:val="24"/>
                <w:szCs w:val="24"/>
                <w:highlight w:val="none"/>
              </w:rPr>
              <w:t>4块6TB  SATA 12Gb HDD；</w:t>
            </w:r>
          </w:p>
          <w:p>
            <w:pPr>
              <w:keepNext w:val="0"/>
              <w:keepLines w:val="0"/>
              <w:pageBreakBefore w:val="0"/>
              <w:kinsoku/>
              <w:wordWrap/>
              <w:overflowPunct/>
              <w:topLinePunct w:val="0"/>
              <w:autoSpaceDE/>
              <w:autoSpaceDN/>
              <w:bidi w:val="0"/>
              <w:snapToGrid/>
              <w:spacing w:line="240" w:lineRule="auto"/>
              <w:ind w:firstLine="0" w:firstLineChars="0"/>
              <w:jc w:val="left"/>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RAID卡：</w:t>
            </w:r>
            <w:r>
              <w:rPr>
                <w:rFonts w:hint="eastAsia" w:ascii="仿宋" w:hAnsi="仿宋" w:eastAsia="仿宋" w:cs="仿宋"/>
                <w:color w:val="000000"/>
                <w:kern w:val="0"/>
                <w:sz w:val="24"/>
                <w:szCs w:val="24"/>
                <w:highlight w:val="none"/>
                <w:lang w:val="en-US" w:eastAsia="zh-CN"/>
              </w:rPr>
              <w:t>≥</w:t>
            </w:r>
            <w:r>
              <w:rPr>
                <w:rFonts w:hint="eastAsia" w:ascii="仿宋" w:hAnsi="仿宋" w:eastAsia="仿宋" w:cs="仿宋"/>
                <w:color w:val="000000"/>
                <w:kern w:val="0"/>
                <w:sz w:val="24"/>
                <w:szCs w:val="24"/>
                <w:highlight w:val="none"/>
              </w:rPr>
              <w:t>2GB缓存 SAS/SATA 12Gb HBA；</w:t>
            </w:r>
          </w:p>
          <w:p>
            <w:pPr>
              <w:keepNext w:val="0"/>
              <w:keepLines w:val="0"/>
              <w:pageBreakBefore w:val="0"/>
              <w:kinsoku/>
              <w:wordWrap/>
              <w:overflowPunct/>
              <w:topLinePunct w:val="0"/>
              <w:autoSpaceDE/>
              <w:autoSpaceDN/>
              <w:bidi w:val="0"/>
              <w:snapToGrid/>
              <w:spacing w:line="240" w:lineRule="auto"/>
              <w:ind w:firstLine="0" w:firstLineChars="0"/>
              <w:jc w:val="left"/>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网卡：</w:t>
            </w:r>
            <w:r>
              <w:rPr>
                <w:rFonts w:hint="eastAsia" w:ascii="仿宋" w:hAnsi="仿宋" w:eastAsia="仿宋" w:cs="仿宋"/>
                <w:color w:val="000000"/>
                <w:kern w:val="0"/>
                <w:sz w:val="24"/>
                <w:szCs w:val="24"/>
                <w:highlight w:val="none"/>
                <w:lang w:val="en-US" w:eastAsia="zh-CN"/>
              </w:rPr>
              <w:t>≥4</w:t>
            </w:r>
            <w:r>
              <w:rPr>
                <w:rFonts w:hint="eastAsia" w:ascii="仿宋" w:hAnsi="仿宋" w:eastAsia="仿宋" w:cs="仿宋"/>
                <w:color w:val="000000"/>
                <w:kern w:val="0"/>
                <w:sz w:val="24"/>
                <w:szCs w:val="24"/>
                <w:highlight w:val="none"/>
              </w:rPr>
              <w:t>口千兆；</w:t>
            </w:r>
            <w:r>
              <w:rPr>
                <w:rFonts w:hint="eastAsia" w:ascii="仿宋" w:hAnsi="仿宋" w:eastAsia="仿宋" w:cs="仿宋"/>
                <w:color w:val="000000"/>
                <w:kern w:val="0"/>
                <w:sz w:val="24"/>
                <w:szCs w:val="24"/>
                <w:highlight w:val="none"/>
                <w:lang w:val="en-US" w:eastAsia="zh-CN"/>
              </w:rPr>
              <w:t>≥</w:t>
            </w:r>
            <w:r>
              <w:rPr>
                <w:rFonts w:hint="eastAsia" w:ascii="仿宋" w:hAnsi="仿宋" w:eastAsia="仿宋" w:cs="仿宋"/>
                <w:color w:val="000000"/>
                <w:kern w:val="0"/>
                <w:sz w:val="24"/>
                <w:szCs w:val="24"/>
                <w:highlight w:val="none"/>
              </w:rPr>
              <w:t>2个双口万兆（满配光模块）；1个独享的管理端口；</w:t>
            </w:r>
          </w:p>
          <w:p>
            <w:pPr>
              <w:keepNext w:val="0"/>
              <w:keepLines w:val="0"/>
              <w:pageBreakBefore w:val="0"/>
              <w:kinsoku/>
              <w:wordWrap/>
              <w:overflowPunct/>
              <w:topLinePunct w:val="0"/>
              <w:autoSpaceDE/>
              <w:autoSpaceDN/>
              <w:bidi w:val="0"/>
              <w:snapToGrid/>
              <w:spacing w:line="240" w:lineRule="auto"/>
              <w:ind w:firstLine="0" w:firstLineChars="0"/>
              <w:jc w:val="left"/>
              <w:textAlignment w:val="auto"/>
              <w:rPr>
                <w:rFonts w:hint="eastAsia" w:ascii="仿宋" w:hAnsi="仿宋" w:eastAsia="仿宋" w:cs="仿宋"/>
                <w:color w:val="000000"/>
                <w:kern w:val="0"/>
                <w:sz w:val="24"/>
                <w:szCs w:val="24"/>
                <w:highlight w:val="none"/>
                <w:lang w:eastAsia="zh-CN"/>
              </w:rPr>
            </w:pPr>
            <w:r>
              <w:rPr>
                <w:rFonts w:hint="eastAsia" w:ascii="仿宋" w:hAnsi="仿宋" w:eastAsia="仿宋" w:cs="仿宋"/>
                <w:color w:val="000000"/>
                <w:kern w:val="0"/>
                <w:sz w:val="24"/>
                <w:szCs w:val="24"/>
                <w:highlight w:val="none"/>
              </w:rPr>
              <w:t>电源：</w:t>
            </w:r>
            <w:r>
              <w:rPr>
                <w:rFonts w:hint="eastAsia" w:ascii="仿宋" w:hAnsi="仿宋" w:eastAsia="仿宋" w:cs="仿宋"/>
                <w:color w:val="000000"/>
                <w:kern w:val="0"/>
                <w:sz w:val="24"/>
                <w:szCs w:val="24"/>
                <w:highlight w:val="none"/>
                <w:lang w:val="en-US" w:eastAsia="zh-CN"/>
              </w:rPr>
              <w:t>≥</w:t>
            </w:r>
            <w:r>
              <w:rPr>
                <w:rFonts w:hint="eastAsia" w:ascii="仿宋" w:hAnsi="仿宋" w:eastAsia="仿宋" w:cs="仿宋"/>
                <w:color w:val="000000"/>
                <w:kern w:val="0"/>
                <w:sz w:val="24"/>
                <w:szCs w:val="24"/>
                <w:highlight w:val="none"/>
              </w:rPr>
              <w:t>2个800W 铂金电源</w:t>
            </w:r>
            <w:r>
              <w:rPr>
                <w:rFonts w:hint="eastAsia" w:ascii="仿宋" w:hAnsi="仿宋" w:eastAsia="仿宋" w:cs="仿宋"/>
                <w:color w:val="000000"/>
                <w:kern w:val="0"/>
                <w:sz w:val="24"/>
                <w:szCs w:val="24"/>
                <w:highlight w:val="none"/>
                <w:lang w:eastAsia="zh-CN"/>
              </w:rPr>
              <w:t>；</w:t>
            </w:r>
          </w:p>
          <w:p>
            <w:pPr>
              <w:keepNext w:val="0"/>
              <w:keepLines w:val="0"/>
              <w:pageBreakBefore w:val="0"/>
              <w:kinsoku/>
              <w:wordWrap/>
              <w:overflowPunct/>
              <w:topLinePunct w:val="0"/>
              <w:autoSpaceDE/>
              <w:autoSpaceDN/>
              <w:bidi w:val="0"/>
              <w:snapToGrid/>
              <w:spacing w:line="240" w:lineRule="auto"/>
              <w:ind w:firstLine="0" w:firstLineChars="0"/>
              <w:jc w:val="left"/>
              <w:textAlignment w:val="auto"/>
              <w:rPr>
                <w:rFonts w:hint="eastAsia" w:ascii="仿宋" w:hAnsi="仿宋" w:eastAsia="仿宋" w:cs="仿宋"/>
                <w:color w:val="000000"/>
                <w:kern w:val="0"/>
                <w:sz w:val="24"/>
                <w:szCs w:val="24"/>
                <w:highlight w:val="none"/>
                <w:lang w:eastAsia="zh-CN"/>
              </w:rPr>
            </w:pPr>
            <w:r>
              <w:rPr>
                <w:rFonts w:hint="eastAsia" w:ascii="仿宋" w:hAnsi="仿宋" w:eastAsia="仿宋" w:cs="仿宋"/>
                <w:color w:val="000000"/>
                <w:kern w:val="0"/>
                <w:sz w:val="24"/>
                <w:szCs w:val="24"/>
                <w:highlight w:val="none"/>
              </w:rPr>
              <w:t>显示：</w:t>
            </w:r>
            <w:r>
              <w:rPr>
                <w:rFonts w:hint="eastAsia" w:ascii="仿宋" w:hAnsi="仿宋" w:eastAsia="仿宋" w:cs="仿宋"/>
                <w:color w:val="000000"/>
                <w:kern w:val="0"/>
                <w:sz w:val="24"/>
                <w:szCs w:val="24"/>
                <w:highlight w:val="none"/>
                <w:lang w:val="en-US" w:eastAsia="zh-CN"/>
              </w:rPr>
              <w:t>≥</w:t>
            </w:r>
            <w:r>
              <w:rPr>
                <w:rFonts w:hint="eastAsia" w:ascii="仿宋" w:hAnsi="仿宋" w:eastAsia="仿宋" w:cs="仿宋"/>
                <w:color w:val="000000"/>
                <w:kern w:val="0"/>
                <w:sz w:val="24"/>
                <w:szCs w:val="24"/>
                <w:highlight w:val="none"/>
              </w:rPr>
              <w:t>8口 KVM显示器</w:t>
            </w:r>
            <w:r>
              <w:rPr>
                <w:rFonts w:hint="eastAsia" w:ascii="仿宋" w:hAnsi="仿宋" w:eastAsia="仿宋" w:cs="仿宋"/>
                <w:color w:val="000000"/>
                <w:kern w:val="0"/>
                <w:sz w:val="24"/>
                <w:szCs w:val="24"/>
                <w:highlight w:val="none"/>
                <w:lang w:eastAsia="zh-CN"/>
              </w:rPr>
              <w:t>；</w:t>
            </w:r>
          </w:p>
          <w:p>
            <w:pPr>
              <w:keepNext w:val="0"/>
              <w:keepLines w:val="0"/>
              <w:pageBreakBefore w:val="0"/>
              <w:kinsoku/>
              <w:wordWrap/>
              <w:overflowPunct/>
              <w:topLinePunct w:val="0"/>
              <w:autoSpaceDE/>
              <w:autoSpaceDN/>
              <w:bidi w:val="0"/>
              <w:snapToGrid/>
              <w:spacing w:line="240" w:lineRule="auto"/>
              <w:ind w:firstLine="0" w:firstLineChars="0"/>
              <w:jc w:val="left"/>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服务：原厂3年7x24免费人工上门服务。</w:t>
            </w:r>
          </w:p>
        </w:tc>
      </w:tr>
      <w:tr>
        <w:tblPrEx>
          <w:tblCellMar>
            <w:top w:w="0" w:type="dxa"/>
            <w:left w:w="108" w:type="dxa"/>
            <w:bottom w:w="0" w:type="dxa"/>
            <w:right w:w="108" w:type="dxa"/>
          </w:tblCellMar>
        </w:tblPrEx>
        <w:trPr>
          <w:trHeight w:val="1512" w:hRule="atLeast"/>
          <w:jc w:val="center"/>
        </w:trPr>
        <w:tc>
          <w:tcPr>
            <w:tcW w:w="8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spacing w:line="240" w:lineRule="auto"/>
              <w:ind w:firstLine="0" w:firstLineChars="0"/>
              <w:jc w:val="center"/>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w:t>
            </w:r>
          </w:p>
        </w:tc>
        <w:tc>
          <w:tcPr>
            <w:tcW w:w="14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超融合</w:t>
            </w:r>
            <w:r>
              <w:rPr>
                <w:rFonts w:hint="eastAsia" w:ascii="仿宋" w:hAnsi="仿宋" w:eastAsia="仿宋" w:cs="仿宋"/>
                <w:sz w:val="24"/>
                <w:szCs w:val="24"/>
                <w:highlight w:val="none"/>
                <w:lang w:val="en-US" w:eastAsia="zh-CN"/>
              </w:rPr>
              <w:t>软件</w:t>
            </w:r>
          </w:p>
          <w:p>
            <w:pPr>
              <w:pStyle w:val="15"/>
              <w:keepNext w:val="0"/>
              <w:keepLines w:val="0"/>
              <w:pageBreakBefore w:val="0"/>
              <w:kinsoku/>
              <w:wordWrap/>
              <w:overflowPunct/>
              <w:topLinePunct w:val="0"/>
              <w:autoSpaceDE/>
              <w:autoSpaceDN/>
              <w:bidi w:val="0"/>
              <w:snapToGrid/>
              <w:spacing w:line="240" w:lineRule="auto"/>
              <w:ind w:left="0" w:leftChars="0" w:firstLine="0" w:firstLineChars="0"/>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color w:val="000000"/>
                <w:kern w:val="0"/>
                <w:sz w:val="24"/>
                <w:szCs w:val="24"/>
                <w:highlight w:val="none"/>
                <w:lang w:val="en-US" w:eastAsia="zh-CN"/>
              </w:rPr>
              <w:t>（一套）</w:t>
            </w:r>
          </w:p>
        </w:tc>
        <w:tc>
          <w:tcPr>
            <w:tcW w:w="63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ind w:firstLine="0" w:firstLineChars="0"/>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通过软件定义技术将标准物理服务器定义成统一的云计算资源池，包含计算虚拟化、存储虚拟化、网络虚拟化和统一云管平台。该平台可以对虚拟化资源进行完整的生命周期管理，具备HA高可用、资源动态平衡、业务感知、资源QoS、数据多副本、冷热数据分层、数据压缩、数据备份、可视化网络、故障检测、性能监控等功能特性。含计算虚拟化、网络虚拟化、存储虚拟化等模块。</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b/>
          <w:bCs/>
          <w:sz w:val="24"/>
          <w:szCs w:val="24"/>
          <w:highlight w:val="none"/>
          <w:lang w:val="en-US" w:eastAsia="zh-CN"/>
        </w:rPr>
      </w:pPr>
      <w:bookmarkStart w:id="14" w:name="_Toc7580"/>
      <w:r>
        <w:rPr>
          <w:rFonts w:hint="eastAsia" w:ascii="仿宋" w:hAnsi="仿宋" w:eastAsia="仿宋" w:cs="仿宋"/>
          <w:b/>
          <w:bCs/>
          <w:sz w:val="24"/>
          <w:szCs w:val="24"/>
          <w:highlight w:val="none"/>
          <w:lang w:val="en-US" w:eastAsia="zh-CN"/>
        </w:rPr>
        <w:t>2.4接口要求</w:t>
      </w:r>
      <w:bookmarkEnd w:id="14"/>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系统必须接入医院集成平台、数据中心，实现服务交互、数据互通。和财务预算打通，实现审批与自动结算预算金额，和医院现有的必要的信息系统进行对接。</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达到互联互通四级甲等的要求</w:t>
      </w:r>
      <w:bookmarkStart w:id="15" w:name="_Toc19496"/>
      <w:r>
        <w:rPr>
          <w:rFonts w:hint="eastAsia" w:ascii="仿宋" w:hAnsi="仿宋" w:eastAsia="仿宋" w:cs="仿宋"/>
          <w:sz w:val="24"/>
          <w:szCs w:val="24"/>
          <w:highlight w:val="none"/>
          <w:lang w:val="en-US" w:eastAsia="zh-CN"/>
        </w:rPr>
        <w:t>。</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所有的接口费用必须计入投标总价。</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（三）实施及商务要求</w:t>
      </w:r>
      <w:bookmarkEnd w:id="15"/>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1.付款方式</w:t>
      </w:r>
    </w:p>
    <w:p>
      <w:pPr>
        <w:spacing w:line="360" w:lineRule="auto"/>
        <w:ind w:firstLine="480" w:firstLineChars="200"/>
        <w:rPr>
          <w:rFonts w:ascii="仿宋" w:hAnsi="仿宋" w:eastAsia="仿宋" w:cs="仿宋"/>
          <w:sz w:val="24"/>
          <w:u w:val="none"/>
        </w:rPr>
      </w:pPr>
      <w:r>
        <w:rPr>
          <w:rFonts w:hint="eastAsia" w:ascii="仿宋" w:hAnsi="仿宋" w:eastAsia="仿宋" w:cs="仿宋"/>
          <w:sz w:val="24"/>
          <w:u w:val="none"/>
        </w:rPr>
        <w:t>项目验收合格一个月后，甲方在十五个日历日内向乙方支付合同总金额的60%；验收合格系统运行三个月后，甲方在十五个日历日内向乙方支付合同总金额的30%；验收合格项目服务满一年后，甲方在十五个日历日内项乙方支付合同总金额的5%</w:t>
      </w:r>
      <w:r>
        <w:rPr>
          <w:rFonts w:hint="eastAsia" w:ascii="仿宋" w:hAnsi="仿宋" w:eastAsia="仿宋" w:cs="仿宋"/>
          <w:b/>
          <w:bCs/>
          <w:sz w:val="24"/>
          <w:u w:val="none"/>
        </w:rPr>
        <w:t>；</w:t>
      </w:r>
      <w:r>
        <w:rPr>
          <w:rFonts w:hint="eastAsia" w:ascii="仿宋" w:hAnsi="仿宋" w:eastAsia="仿宋" w:cs="仿宋"/>
          <w:sz w:val="24"/>
          <w:u w:val="none"/>
        </w:rPr>
        <w:t>剩余合同总额5%待项目服务结束后，甲方在十五个日历日内向乙方一次性付清。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2.售后服务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2.1</w:t>
      </w:r>
      <w:r>
        <w:rPr>
          <w:rFonts w:hint="eastAsia" w:ascii="仿宋" w:hAnsi="仿宋" w:eastAsia="仿宋" w:cs="仿宋"/>
          <w:sz w:val="24"/>
          <w:szCs w:val="24"/>
          <w:highlight w:val="none"/>
          <w:lang w:val="en-US" w:eastAsia="zh-CN"/>
        </w:rPr>
        <w:t>自验收合格之日算起免费维保3年</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2.2供应商所承诺的服务内容应包括：供应商的服务响应及维修等承诺，详细说明服务能力、服务时间、人员配备、系统故障响应、诊断、应急处理、维修和相应的设备更换计划等；供应商的技术支持和相应软件的升级承诺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2.3在系统的服务期内，供应商应确保系统的正常使用。在接到用户服务要求后应立即做出回应，并在承诺的服务时间内实施服务。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2.4 7×24小时的免费上门保修服务半小时内响应，4小时内到达现场，24小时内解决故障。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2.5热线电话服务提供技术咨询、故障诊断、故障排除、以及现场支持等具体的技术支持工作，并对客户投诉做出相应处理。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2.6定期巡检及调优系统，复杂的运行环境等种种原因会造成系统性能的逐渐下降。通过定期的技术检查，可及时排除故障隐患，以免问题发生后影响业务运作，还能及时调优系统性能，</w:t>
      </w:r>
      <w:bookmarkStart w:id="16" w:name="_GoBack"/>
      <w:bookmarkEnd w:id="16"/>
      <w:r>
        <w:rPr>
          <w:rFonts w:hint="eastAsia" w:ascii="仿宋" w:hAnsi="仿宋" w:eastAsia="仿宋" w:cs="仿宋"/>
          <w:sz w:val="24"/>
          <w:szCs w:val="24"/>
          <w:highlight w:val="none"/>
        </w:rPr>
        <w:t>使系统始终处于高效率运行状态。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3、培训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3.1培训：供应商需制定详细的培训计划，对使用人员进行操作及相关技术培训。供应商负责用户的现场技术培训，包括产品的功能、部署条件、部署步骤和注意事项、产品升级、日常维护事项等方面，使用户达到能独立进行管理、维护测试和故障处理等工作，以使所提供的软件产品能够正常、安全的运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3.2除全院系统软件培训服务外，要求实施工程师根据科室需求情况进行系统软件培训，制订培训方案，包含网络安全及信息化办公室，科研部，临床科室等相关科室的培训。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3.3所有的培训费用必须计入投标总价。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4、交货及安装调试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4.1安装地点：医院指定地点。</w:t>
      </w:r>
    </w:p>
    <w:p>
      <w:pPr>
        <w:pStyle w:val="27"/>
        <w:keepNext w:val="0"/>
        <w:keepLines w:val="0"/>
        <w:pageBreakBefore w:val="0"/>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kinsoku/>
        <w:wordWrap/>
        <w:overflowPunct/>
        <w:topLinePunct w:val="0"/>
        <w:bidi w:val="0"/>
        <w:snapToGrid w:val="0"/>
        <w:spacing w:line="360" w:lineRule="auto"/>
        <w:ind w:firstLine="480" w:firstLineChars="200"/>
        <w:jc w:val="both"/>
        <w:textAlignment w:val="auto"/>
        <w:rPr>
          <w:rFonts w:hint="eastAsia" w:ascii="仿宋" w:hAnsi="仿宋" w:eastAsia="仿宋" w:cs="仿宋"/>
          <w:sz w:val="24"/>
          <w:szCs w:val="24"/>
          <w:lang w:eastAsia="zh-CN"/>
        </w:rPr>
      </w:pPr>
      <w:r>
        <w:rPr>
          <w:rFonts w:hint="eastAsia" w:ascii="仿宋" w:hAnsi="仿宋" w:eastAsia="仿宋" w:cs="仿宋"/>
          <w:sz w:val="24"/>
          <w:szCs w:val="24"/>
          <w:highlight w:val="none"/>
        </w:rPr>
        <w:t>4.2</w:t>
      </w:r>
      <w:r>
        <w:rPr>
          <w:rFonts w:hint="eastAsia" w:ascii="仿宋" w:hAnsi="仿宋" w:eastAsia="仿宋" w:cs="仿宋"/>
          <w:sz w:val="24"/>
          <w:szCs w:val="24"/>
          <w:highlight w:val="none"/>
          <w:lang w:eastAsia="zh-CN"/>
        </w:rPr>
        <w:t>工期</w:t>
      </w:r>
      <w:r>
        <w:rPr>
          <w:rFonts w:hint="eastAsia" w:ascii="仿宋" w:hAnsi="仿宋" w:eastAsia="仿宋" w:cs="仿宋"/>
          <w:sz w:val="24"/>
          <w:szCs w:val="24"/>
          <w:highlight w:val="none"/>
        </w:rPr>
        <w:t>：</w:t>
      </w:r>
      <w:r>
        <w:rPr>
          <w:rFonts w:hint="eastAsia" w:ascii="仿宋" w:hAnsi="仿宋" w:eastAsia="仿宋" w:cs="仿宋"/>
          <w:sz w:val="24"/>
          <w:szCs w:val="24"/>
          <w:lang w:eastAsia="zh-CN"/>
        </w:rPr>
        <w:t>合同签订后90天</w:t>
      </w:r>
    </w:p>
    <w:p>
      <w:pPr>
        <w:pStyle w:val="27"/>
        <w:keepNext w:val="0"/>
        <w:keepLines w:val="0"/>
        <w:pageBreakBefore w:val="0"/>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kinsoku/>
        <w:wordWrap/>
        <w:overflowPunct/>
        <w:topLinePunct w:val="0"/>
        <w:bidi w:val="0"/>
        <w:snapToGrid w:val="0"/>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4.3安装标准：符合国家有关技术规范要求和技术标准。</w:t>
      </w:r>
    </w:p>
    <w:p>
      <w:pPr>
        <w:pStyle w:val="27"/>
        <w:keepNext w:val="0"/>
        <w:keepLines w:val="0"/>
        <w:pageBreakBefore w:val="0"/>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kinsoku/>
        <w:wordWrap/>
        <w:overflowPunct/>
        <w:topLinePunct w:val="0"/>
        <w:bidi w:val="0"/>
        <w:snapToGrid w:val="0"/>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4.4安装调试过程中发生的费用由供应商负责。</w:t>
      </w:r>
    </w:p>
    <w:p>
      <w:pPr>
        <w:pStyle w:val="27"/>
        <w:keepNext w:val="0"/>
        <w:keepLines w:val="0"/>
        <w:pageBreakBefore w:val="0"/>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kinsoku/>
        <w:wordWrap/>
        <w:overflowPunct/>
        <w:topLinePunct w:val="0"/>
        <w:bidi w:val="0"/>
        <w:snapToGrid w:val="0"/>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4.5供应商应在投标文件中提供其安装调试过程中医院需配合的内容。</w:t>
      </w:r>
    </w:p>
    <w:p>
      <w:pPr>
        <w:pStyle w:val="27"/>
        <w:keepNext w:val="0"/>
        <w:keepLines w:val="0"/>
        <w:pageBreakBefore w:val="0"/>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kinsoku/>
        <w:wordWrap/>
        <w:overflowPunct/>
        <w:topLinePunct w:val="0"/>
        <w:bidi w:val="0"/>
        <w:snapToGrid w:val="0"/>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4.6在项目实施过程中，向医院提供齐全的电子版和书面的操作说明</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授权</w:t>
      </w:r>
      <w:r>
        <w:rPr>
          <w:rFonts w:hint="eastAsia" w:ascii="仿宋" w:hAnsi="仿宋" w:eastAsia="仿宋" w:cs="仿宋"/>
          <w:sz w:val="24"/>
          <w:szCs w:val="24"/>
          <w:highlight w:val="none"/>
        </w:rPr>
        <w:t>等文档。</w:t>
      </w:r>
    </w:p>
    <w:p>
      <w:pPr>
        <w:pStyle w:val="27"/>
        <w:keepNext w:val="0"/>
        <w:keepLines w:val="0"/>
        <w:pageBreakBefore w:val="0"/>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kinsoku/>
        <w:wordWrap/>
        <w:overflowPunct/>
        <w:topLinePunct w:val="0"/>
        <w:bidi w:val="0"/>
        <w:snapToGrid w:val="0"/>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5、报价方式</w:t>
      </w:r>
    </w:p>
    <w:p>
      <w:r>
        <w:rPr>
          <w:rFonts w:hint="eastAsia" w:ascii="仿宋" w:hAnsi="仿宋" w:eastAsia="仿宋" w:cs="仿宋"/>
          <w:sz w:val="24"/>
          <w:szCs w:val="24"/>
          <w:highlight w:val="none"/>
        </w:rPr>
        <w:t>5.1所有报价为到医院人民币价（含一切税费、安装调试等伴随服务费）。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MS PGothic">
    <w:panose1 w:val="020B06000702050802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7B77B8"/>
    <w:multiLevelType w:val="singleLevel"/>
    <w:tmpl w:val="9E7B77B8"/>
    <w:lvl w:ilvl="0" w:tentative="0">
      <w:start w:val="1"/>
      <w:numFmt w:val="decimal"/>
      <w:lvlText w:val="%1."/>
      <w:lvlJc w:val="left"/>
      <w:pPr>
        <w:tabs>
          <w:tab w:val="left" w:pos="312"/>
        </w:tabs>
      </w:pPr>
    </w:lvl>
  </w:abstractNum>
  <w:abstractNum w:abstractNumId="1">
    <w:nsid w:val="C49248D1"/>
    <w:multiLevelType w:val="singleLevel"/>
    <w:tmpl w:val="C49248D1"/>
    <w:lvl w:ilvl="0" w:tentative="0">
      <w:start w:val="1"/>
      <w:numFmt w:val="decimal"/>
      <w:lvlText w:val="%1."/>
      <w:lvlJc w:val="left"/>
      <w:pPr>
        <w:tabs>
          <w:tab w:val="left" w:pos="312"/>
        </w:tabs>
      </w:pPr>
    </w:lvl>
  </w:abstractNum>
  <w:abstractNum w:abstractNumId="2">
    <w:nsid w:val="578744F7"/>
    <w:multiLevelType w:val="multilevel"/>
    <w:tmpl w:val="578744F7"/>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8"/>
      <w:lvlText w:val="           "/>
      <w:lvlJc w:val="left"/>
      <w:pPr>
        <w:tabs>
          <w:tab w:val="left" w:pos="1440"/>
        </w:tabs>
        <w:ind w:left="1152" w:hanging="1152"/>
      </w:pPr>
      <w:rPr>
        <w:rFonts w:hint="eastAsia"/>
      </w:rPr>
    </w:lvl>
    <w:lvl w:ilvl="6" w:tentative="0">
      <w:start w:val="1"/>
      <w:numFmt w:val="decimal"/>
      <w:pStyle w:val="9"/>
      <w:lvlText w:val="%1.%2.%3.%4.%5.%6.%7"/>
      <w:lvlJc w:val="left"/>
      <w:pPr>
        <w:tabs>
          <w:tab w:val="left" w:pos="2520"/>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3">
    <w:nsid w:val="64B166B7"/>
    <w:multiLevelType w:val="singleLevel"/>
    <w:tmpl w:val="64B166B7"/>
    <w:lvl w:ilvl="0" w:tentative="0">
      <w:start w:val="1"/>
      <w:numFmt w:val="decimal"/>
      <w:suff w:val="nothing"/>
      <w:lvlText w:val="%1、"/>
      <w:lvlJc w:val="left"/>
    </w:lvl>
  </w:abstractNum>
  <w:abstractNum w:abstractNumId="4">
    <w:nsid w:val="74E32A34"/>
    <w:multiLevelType w:val="singleLevel"/>
    <w:tmpl w:val="74E32A34"/>
    <w:lvl w:ilvl="0" w:tentative="0">
      <w:start w:val="1"/>
      <w:numFmt w:val="decimal"/>
      <w:suff w:val="nothing"/>
      <w:lvlText w:val="%1、"/>
      <w:lvlJc w:val="left"/>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zYjBkMDE0MDUwZWU1MDYzY2M0YTJiMmIyMWQyNDYifQ=="/>
  </w:docVars>
  <w:rsids>
    <w:rsidRoot w:val="39A67BF9"/>
    <w:rsid w:val="01551D5D"/>
    <w:rsid w:val="05306AF9"/>
    <w:rsid w:val="07001599"/>
    <w:rsid w:val="07851442"/>
    <w:rsid w:val="07A55852"/>
    <w:rsid w:val="091E1297"/>
    <w:rsid w:val="0AB64089"/>
    <w:rsid w:val="0B4121B4"/>
    <w:rsid w:val="0BD83185"/>
    <w:rsid w:val="0C6576D1"/>
    <w:rsid w:val="0D135C89"/>
    <w:rsid w:val="0D8B4292"/>
    <w:rsid w:val="0DCE1ADD"/>
    <w:rsid w:val="0E963FDB"/>
    <w:rsid w:val="0EC5559E"/>
    <w:rsid w:val="0ED17E6C"/>
    <w:rsid w:val="0F976343"/>
    <w:rsid w:val="105C0E12"/>
    <w:rsid w:val="107B1275"/>
    <w:rsid w:val="12800590"/>
    <w:rsid w:val="13033CDB"/>
    <w:rsid w:val="13150045"/>
    <w:rsid w:val="14543459"/>
    <w:rsid w:val="14861F02"/>
    <w:rsid w:val="14E52192"/>
    <w:rsid w:val="14F944F9"/>
    <w:rsid w:val="154A6DF0"/>
    <w:rsid w:val="16FE6557"/>
    <w:rsid w:val="176F6BB0"/>
    <w:rsid w:val="17D64044"/>
    <w:rsid w:val="18094FCA"/>
    <w:rsid w:val="18F64E36"/>
    <w:rsid w:val="1A02767A"/>
    <w:rsid w:val="1B9D385D"/>
    <w:rsid w:val="1BA32D63"/>
    <w:rsid w:val="1C252119"/>
    <w:rsid w:val="1CF1774B"/>
    <w:rsid w:val="1DFB7631"/>
    <w:rsid w:val="1E1E29C9"/>
    <w:rsid w:val="1EF8338A"/>
    <w:rsid w:val="1FA938F9"/>
    <w:rsid w:val="20425FFC"/>
    <w:rsid w:val="20E81997"/>
    <w:rsid w:val="21F45999"/>
    <w:rsid w:val="229A5420"/>
    <w:rsid w:val="22BD1D2C"/>
    <w:rsid w:val="22FB3A94"/>
    <w:rsid w:val="23204BF7"/>
    <w:rsid w:val="23FC12D4"/>
    <w:rsid w:val="24095576"/>
    <w:rsid w:val="24626FA6"/>
    <w:rsid w:val="249D1FF2"/>
    <w:rsid w:val="25DE2DDA"/>
    <w:rsid w:val="25E95F17"/>
    <w:rsid w:val="28C96216"/>
    <w:rsid w:val="2A15141A"/>
    <w:rsid w:val="2A230D5A"/>
    <w:rsid w:val="2B370F4B"/>
    <w:rsid w:val="2C046B0D"/>
    <w:rsid w:val="2C8E2CA3"/>
    <w:rsid w:val="2D576387"/>
    <w:rsid w:val="2D810546"/>
    <w:rsid w:val="2D9D4A5A"/>
    <w:rsid w:val="2E8C2BEA"/>
    <w:rsid w:val="2F2B785B"/>
    <w:rsid w:val="30C528D7"/>
    <w:rsid w:val="3107144D"/>
    <w:rsid w:val="32863B5F"/>
    <w:rsid w:val="33E14065"/>
    <w:rsid w:val="34F44E31"/>
    <w:rsid w:val="35181061"/>
    <w:rsid w:val="36363D90"/>
    <w:rsid w:val="37BD6053"/>
    <w:rsid w:val="37DC5E4F"/>
    <w:rsid w:val="37F007B5"/>
    <w:rsid w:val="380C7C67"/>
    <w:rsid w:val="381713E6"/>
    <w:rsid w:val="38257707"/>
    <w:rsid w:val="38296E28"/>
    <w:rsid w:val="38561033"/>
    <w:rsid w:val="390708FB"/>
    <w:rsid w:val="391B46C0"/>
    <w:rsid w:val="39572F51"/>
    <w:rsid w:val="39A67BF9"/>
    <w:rsid w:val="3A051401"/>
    <w:rsid w:val="3A311F3D"/>
    <w:rsid w:val="3A3962CE"/>
    <w:rsid w:val="3B0770A9"/>
    <w:rsid w:val="3B292F36"/>
    <w:rsid w:val="3BF302F3"/>
    <w:rsid w:val="3C4F0C38"/>
    <w:rsid w:val="3C7A4E02"/>
    <w:rsid w:val="3C8D26A4"/>
    <w:rsid w:val="3CA904FC"/>
    <w:rsid w:val="3D2E5B71"/>
    <w:rsid w:val="3D3F603E"/>
    <w:rsid w:val="3D8F53D3"/>
    <w:rsid w:val="3E9058F4"/>
    <w:rsid w:val="3E963D77"/>
    <w:rsid w:val="3FB33E37"/>
    <w:rsid w:val="42D46393"/>
    <w:rsid w:val="44A02E0E"/>
    <w:rsid w:val="45760938"/>
    <w:rsid w:val="474B43DC"/>
    <w:rsid w:val="48273FDF"/>
    <w:rsid w:val="49740F2E"/>
    <w:rsid w:val="49DE3241"/>
    <w:rsid w:val="4A33479D"/>
    <w:rsid w:val="4B616ED2"/>
    <w:rsid w:val="4BB95F3E"/>
    <w:rsid w:val="4C9F5628"/>
    <w:rsid w:val="4D182C88"/>
    <w:rsid w:val="4D2C0602"/>
    <w:rsid w:val="4DBE6A90"/>
    <w:rsid w:val="4E5660BD"/>
    <w:rsid w:val="4E6F32AF"/>
    <w:rsid w:val="4E7E031F"/>
    <w:rsid w:val="4EC44670"/>
    <w:rsid w:val="4F594CAB"/>
    <w:rsid w:val="4F5A2432"/>
    <w:rsid w:val="4F6B078C"/>
    <w:rsid w:val="4F8F6FE6"/>
    <w:rsid w:val="4FA06378"/>
    <w:rsid w:val="50A8592E"/>
    <w:rsid w:val="51A754EC"/>
    <w:rsid w:val="51AF69CD"/>
    <w:rsid w:val="521600BC"/>
    <w:rsid w:val="52420EF7"/>
    <w:rsid w:val="52963321"/>
    <w:rsid w:val="52A14EC3"/>
    <w:rsid w:val="534B638F"/>
    <w:rsid w:val="53F21995"/>
    <w:rsid w:val="5418220F"/>
    <w:rsid w:val="546045FE"/>
    <w:rsid w:val="554D5290"/>
    <w:rsid w:val="56296E24"/>
    <w:rsid w:val="56E04626"/>
    <w:rsid w:val="57DC64E0"/>
    <w:rsid w:val="581A515D"/>
    <w:rsid w:val="584125D2"/>
    <w:rsid w:val="58AE1A31"/>
    <w:rsid w:val="58B053E8"/>
    <w:rsid w:val="58CB3CE0"/>
    <w:rsid w:val="595A5E33"/>
    <w:rsid w:val="59EA7F4F"/>
    <w:rsid w:val="5ADC54F0"/>
    <w:rsid w:val="5BA81D4B"/>
    <w:rsid w:val="5C741667"/>
    <w:rsid w:val="5CAB1AAC"/>
    <w:rsid w:val="5D186F18"/>
    <w:rsid w:val="5D9341C4"/>
    <w:rsid w:val="5F0745CE"/>
    <w:rsid w:val="5FCC6BAB"/>
    <w:rsid w:val="60886A5A"/>
    <w:rsid w:val="610464A6"/>
    <w:rsid w:val="61DF614B"/>
    <w:rsid w:val="629B3C5A"/>
    <w:rsid w:val="62A35618"/>
    <w:rsid w:val="62FC4118"/>
    <w:rsid w:val="636C5BCF"/>
    <w:rsid w:val="63D24027"/>
    <w:rsid w:val="643E64CB"/>
    <w:rsid w:val="64846CBA"/>
    <w:rsid w:val="65E14FB5"/>
    <w:rsid w:val="686D223D"/>
    <w:rsid w:val="691B2B1E"/>
    <w:rsid w:val="6BF01A2A"/>
    <w:rsid w:val="6C573973"/>
    <w:rsid w:val="6D2E3635"/>
    <w:rsid w:val="6D8F1939"/>
    <w:rsid w:val="6E5839D5"/>
    <w:rsid w:val="6E9D056A"/>
    <w:rsid w:val="712227CC"/>
    <w:rsid w:val="72C930BC"/>
    <w:rsid w:val="72DF6A85"/>
    <w:rsid w:val="74787DB6"/>
    <w:rsid w:val="74957015"/>
    <w:rsid w:val="75065B3C"/>
    <w:rsid w:val="75133ED9"/>
    <w:rsid w:val="75B92B32"/>
    <w:rsid w:val="7613722B"/>
    <w:rsid w:val="76497FA9"/>
    <w:rsid w:val="77053496"/>
    <w:rsid w:val="779F13E7"/>
    <w:rsid w:val="7A98414F"/>
    <w:rsid w:val="7B296116"/>
    <w:rsid w:val="7B74438D"/>
    <w:rsid w:val="7C2932D9"/>
    <w:rsid w:val="7D483034"/>
    <w:rsid w:val="7D7130C1"/>
    <w:rsid w:val="7E687326"/>
    <w:rsid w:val="7EB83636"/>
    <w:rsid w:val="7ECE4975"/>
    <w:rsid w:val="7F2E04CB"/>
    <w:rsid w:val="7F4F1A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22"/>
    <w:qFormat/>
    <w:uiPriority w:val="0"/>
    <w:pPr>
      <w:keepNext/>
      <w:spacing w:line="360" w:lineRule="auto"/>
      <w:jc w:val="center"/>
      <w:outlineLvl w:val="0"/>
    </w:pPr>
    <w:rPr>
      <w:rFonts w:ascii="黑体" w:hAnsi="黑体" w:eastAsia="宋体" w:cs="Times New Roman"/>
      <w:b/>
      <w:sz w:val="36"/>
      <w:szCs w:val="24"/>
    </w:rPr>
  </w:style>
  <w:style w:type="paragraph" w:styleId="4">
    <w:name w:val="heading 2"/>
    <w:basedOn w:val="1"/>
    <w:next w:val="1"/>
    <w:link w:val="20"/>
    <w:semiHidden/>
    <w:unhideWhenUsed/>
    <w:qFormat/>
    <w:uiPriority w:val="0"/>
    <w:pPr>
      <w:keepNext/>
      <w:keepLines/>
      <w:spacing w:line="240" w:lineRule="auto"/>
      <w:jc w:val="center"/>
      <w:outlineLvl w:val="1"/>
    </w:pPr>
    <w:rPr>
      <w:rFonts w:ascii="Calibri" w:hAnsi="Calibri" w:eastAsia="宋体"/>
      <w:b/>
      <w:bCs/>
      <w:sz w:val="32"/>
      <w:szCs w:val="32"/>
    </w:rPr>
  </w:style>
  <w:style w:type="paragraph" w:styleId="5">
    <w:name w:val="heading 3"/>
    <w:basedOn w:val="1"/>
    <w:next w:val="1"/>
    <w:link w:val="21"/>
    <w:semiHidden/>
    <w:unhideWhenUsed/>
    <w:qFormat/>
    <w:uiPriority w:val="0"/>
    <w:pPr>
      <w:keepNext/>
      <w:keepLines/>
      <w:spacing w:line="360" w:lineRule="auto"/>
      <w:ind w:firstLine="0" w:firstLineChars="0"/>
      <w:jc w:val="center"/>
      <w:outlineLvl w:val="2"/>
    </w:pPr>
    <w:rPr>
      <w:rFonts w:ascii="Times New Roman" w:hAnsi="Times New Roman" w:eastAsia="宋体" w:cs="Times New Roman"/>
      <w:b/>
      <w:bCs/>
      <w:sz w:val="30"/>
      <w:szCs w:val="32"/>
      <w:lang w:val="zh-CN"/>
    </w:rPr>
  </w:style>
  <w:style w:type="paragraph" w:styleId="6">
    <w:name w:val="heading 4"/>
    <w:basedOn w:val="1"/>
    <w:next w:val="1"/>
    <w:link w:val="23"/>
    <w:semiHidden/>
    <w:unhideWhenUsed/>
    <w:qFormat/>
    <w:uiPriority w:val="0"/>
    <w:pPr>
      <w:spacing w:line="360" w:lineRule="auto"/>
      <w:ind w:left="0" w:firstLine="0"/>
      <w:outlineLvl w:val="3"/>
    </w:pPr>
    <w:rPr>
      <w:rFonts w:ascii="宋体" w:hAnsi="宋体" w:eastAsia="宋体" w:cs="宋体"/>
      <w:b/>
      <w:bCs/>
      <w:sz w:val="24"/>
      <w:szCs w:val="24"/>
      <w:lang w:val="zh-CN" w:bidi="zh-CN"/>
    </w:rPr>
  </w:style>
  <w:style w:type="paragraph" w:styleId="7">
    <w:name w:val="heading 5"/>
    <w:basedOn w:val="1"/>
    <w:next w:val="1"/>
    <w:semiHidden/>
    <w:unhideWhenUsed/>
    <w:qFormat/>
    <w:uiPriority w:val="0"/>
    <w:pPr>
      <w:keepNext/>
      <w:keepLines/>
      <w:spacing w:beforeLines="0" w:beforeAutospacing="0" w:afterLines="0" w:afterAutospacing="0" w:line="360" w:lineRule="auto"/>
      <w:outlineLvl w:val="4"/>
    </w:pPr>
    <w:rPr>
      <w:rFonts w:ascii="华文仿宋" w:hAnsi="华文仿宋" w:cs="华文仿宋"/>
      <w:b/>
      <w:sz w:val="28"/>
      <w:szCs w:val="22"/>
      <w:lang w:val="zh-CN" w:bidi="zh-CN"/>
    </w:rPr>
  </w:style>
  <w:style w:type="paragraph" w:styleId="8">
    <w:name w:val="heading 6"/>
    <w:basedOn w:val="1"/>
    <w:next w:val="1"/>
    <w:semiHidden/>
    <w:unhideWhenUsed/>
    <w:qFormat/>
    <w:uiPriority w:val="0"/>
    <w:pPr>
      <w:keepNext/>
      <w:keepLines/>
      <w:numPr>
        <w:ilvl w:val="5"/>
        <w:numId w:val="1"/>
      </w:numPr>
      <w:spacing w:beforeLines="0" w:beforeAutospacing="0" w:afterLines="0" w:afterAutospacing="0" w:line="360" w:lineRule="auto"/>
      <w:ind w:left="0" w:firstLine="0"/>
      <w:outlineLvl w:val="5"/>
    </w:pPr>
    <w:rPr>
      <w:rFonts w:ascii="Arial" w:hAnsi="Arial" w:eastAsia="黑体" w:cs="华文仿宋"/>
      <w:sz w:val="24"/>
      <w:szCs w:val="22"/>
      <w:lang w:val="zh-CN" w:bidi="zh-CN"/>
    </w:rPr>
  </w:style>
  <w:style w:type="paragraph" w:styleId="9">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sz w:val="24"/>
    </w:rPr>
  </w:style>
  <w:style w:type="paragraph" w:styleId="10">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1">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4" w:hanging="1584"/>
      <w:outlineLvl w:val="8"/>
    </w:pPr>
    <w:rPr>
      <w:rFonts w:ascii="Arial" w:hAnsi="Arial" w:eastAsia="黑体"/>
      <w:sz w:val="21"/>
    </w:rPr>
  </w:style>
  <w:style w:type="character" w:default="1" w:styleId="19">
    <w:name w:val="Default Paragraph Font"/>
    <w:semiHidden/>
    <w:unhideWhenUsed/>
    <w:qFormat/>
    <w:uiPriority w:val="1"/>
  </w:style>
  <w:style w:type="table" w:default="1" w:styleId="18">
    <w:name w:val="Normal Table"/>
    <w:semiHidden/>
    <w:qFormat/>
    <w:uiPriority w:val="0"/>
    <w:tblPr>
      <w:tblCellMar>
        <w:top w:w="0" w:type="dxa"/>
        <w:left w:w="108" w:type="dxa"/>
        <w:bottom w:w="0" w:type="dxa"/>
        <w:right w:w="108" w:type="dxa"/>
      </w:tblCellMar>
    </w:tblPr>
  </w:style>
  <w:style w:type="paragraph" w:styleId="2">
    <w:name w:val="table of figures"/>
    <w:basedOn w:val="1"/>
    <w:next w:val="1"/>
    <w:unhideWhenUsed/>
    <w:qFormat/>
    <w:uiPriority w:val="99"/>
    <w:pPr>
      <w:ind w:left="200" w:leftChars="200" w:hanging="200" w:hangingChars="200"/>
    </w:pPr>
  </w:style>
  <w:style w:type="paragraph" w:styleId="12">
    <w:name w:val="Normal Indent"/>
    <w:basedOn w:val="1"/>
    <w:qFormat/>
    <w:uiPriority w:val="0"/>
    <w:pPr>
      <w:ind w:firstLine="420" w:firstLineChars="200"/>
    </w:pPr>
  </w:style>
  <w:style w:type="paragraph" w:styleId="13">
    <w:name w:val="toa heading"/>
    <w:basedOn w:val="1"/>
    <w:next w:val="1"/>
    <w:qFormat/>
    <w:uiPriority w:val="0"/>
    <w:pPr>
      <w:spacing w:before="120" w:beforeLines="0" w:beforeAutospacing="0"/>
    </w:pPr>
    <w:rPr>
      <w:rFonts w:ascii="Arial" w:hAnsi="Arial"/>
      <w:sz w:val="24"/>
    </w:rPr>
  </w:style>
  <w:style w:type="paragraph" w:styleId="14">
    <w:name w:val="Body Text"/>
    <w:basedOn w:val="1"/>
    <w:next w:val="1"/>
    <w:qFormat/>
    <w:uiPriority w:val="0"/>
    <w:pPr>
      <w:spacing w:after="120" w:afterLines="0" w:afterAutospacing="0"/>
    </w:pPr>
  </w:style>
  <w:style w:type="paragraph" w:styleId="15">
    <w:name w:val="Body Text Indent"/>
    <w:basedOn w:val="1"/>
    <w:next w:val="16"/>
    <w:semiHidden/>
    <w:unhideWhenUsed/>
    <w:qFormat/>
    <w:uiPriority w:val="99"/>
    <w:pPr>
      <w:ind w:left="420" w:leftChars="200"/>
    </w:pPr>
  </w:style>
  <w:style w:type="paragraph" w:customStyle="1" w:styleId="16">
    <w:name w:val="font5"/>
    <w:basedOn w:val="1"/>
    <w:qFormat/>
    <w:uiPriority w:val="0"/>
    <w:pPr>
      <w:widowControl/>
      <w:spacing w:before="100" w:beforeAutospacing="1" w:after="100" w:afterAutospacing="1"/>
      <w:jc w:val="left"/>
    </w:pPr>
    <w:rPr>
      <w:rFonts w:hint="eastAsia" w:ascii="宋体" w:hAnsi="宋体"/>
      <w:kern w:val="0"/>
      <w:sz w:val="24"/>
      <w:szCs w:val="24"/>
    </w:rPr>
  </w:style>
  <w:style w:type="paragraph" w:styleId="17">
    <w:name w:val="Body Text First Indent"/>
    <w:basedOn w:val="14"/>
    <w:next w:val="1"/>
    <w:unhideWhenUsed/>
    <w:qFormat/>
    <w:uiPriority w:val="99"/>
    <w:pPr>
      <w:ind w:firstLine="420" w:firstLineChars="100"/>
    </w:pPr>
    <w:rPr>
      <w:szCs w:val="24"/>
    </w:rPr>
  </w:style>
  <w:style w:type="character" w:customStyle="1" w:styleId="20">
    <w:name w:val="标题 2 Char1"/>
    <w:link w:val="4"/>
    <w:qFormat/>
    <w:uiPriority w:val="0"/>
    <w:rPr>
      <w:rFonts w:ascii="Arial" w:hAnsi="Arial" w:eastAsia="宋体" w:cs="Times New Roman"/>
      <w:b/>
      <w:bCs/>
      <w:kern w:val="0"/>
      <w:sz w:val="36"/>
      <w:szCs w:val="22"/>
      <w:lang w:val="zh-CN" w:bidi="zh-CN"/>
    </w:rPr>
  </w:style>
  <w:style w:type="character" w:customStyle="1" w:styleId="21">
    <w:name w:val="标题 3 Char"/>
    <w:basedOn w:val="19"/>
    <w:link w:val="5"/>
    <w:qFormat/>
    <w:uiPriority w:val="0"/>
    <w:rPr>
      <w:rFonts w:ascii="Times New Roman" w:hAnsi="Times New Roman" w:eastAsia="宋体" w:cs="Times New Roman"/>
      <w:b/>
      <w:bCs/>
      <w:kern w:val="2"/>
      <w:sz w:val="32"/>
      <w:szCs w:val="32"/>
    </w:rPr>
  </w:style>
  <w:style w:type="character" w:customStyle="1" w:styleId="22">
    <w:name w:val="标题 1 Char"/>
    <w:basedOn w:val="19"/>
    <w:link w:val="3"/>
    <w:qFormat/>
    <w:uiPriority w:val="0"/>
    <w:rPr>
      <w:rFonts w:ascii="黑体" w:hAnsi="黑体" w:eastAsia="宋体" w:cs="Times New Roman"/>
      <w:b/>
      <w:kern w:val="2"/>
      <w:sz w:val="36"/>
      <w:szCs w:val="24"/>
    </w:rPr>
  </w:style>
  <w:style w:type="character" w:customStyle="1" w:styleId="23">
    <w:name w:val="标题 4 Char"/>
    <w:basedOn w:val="19"/>
    <w:link w:val="6"/>
    <w:qFormat/>
    <w:uiPriority w:val="0"/>
    <w:rPr>
      <w:rFonts w:ascii="宋体" w:hAnsi="宋体" w:eastAsia="宋体" w:cs="宋体"/>
      <w:b/>
      <w:color w:val="000000" w:themeColor="text1"/>
      <w:kern w:val="0"/>
      <w:sz w:val="30"/>
      <w:szCs w:val="28"/>
      <w:u w:val="none"/>
      <w:lang w:val="zh-CN" w:bidi="zh-CN"/>
      <w14:textFill>
        <w14:solidFill>
          <w14:schemeClr w14:val="tx1"/>
        </w14:solidFill>
      </w14:textFill>
    </w:rPr>
  </w:style>
  <w:style w:type="paragraph" w:styleId="24">
    <w:name w:val="List Paragraph"/>
    <w:basedOn w:val="1"/>
    <w:qFormat/>
    <w:uiPriority w:val="34"/>
    <w:pPr>
      <w:ind w:firstLine="420" w:firstLineChars="200"/>
    </w:pPr>
  </w:style>
  <w:style w:type="paragraph" w:customStyle="1" w:styleId="25">
    <w:name w:val="正文 首行缩进"/>
    <w:basedOn w:val="17"/>
    <w:qFormat/>
    <w:uiPriority w:val="0"/>
    <w:pPr>
      <w:spacing w:after="0" w:line="360" w:lineRule="auto"/>
      <w:ind w:firstLine="200" w:firstLineChars="200"/>
    </w:pPr>
    <w:rPr>
      <w:kern w:val="0"/>
      <w:sz w:val="24"/>
      <w:szCs w:val="20"/>
    </w:rPr>
  </w:style>
  <w:style w:type="paragraph" w:customStyle="1" w:styleId="26">
    <w:name w:val="正文1"/>
    <w:qFormat/>
    <w:uiPriority w:val="0"/>
    <w:pPr>
      <w:jc w:val="both"/>
    </w:pPr>
    <w:rPr>
      <w:rFonts w:ascii="等线" w:hAnsi="等线" w:eastAsia="宋体" w:cs="宋体"/>
      <w:kern w:val="2"/>
      <w:sz w:val="21"/>
      <w:szCs w:val="21"/>
      <w:lang w:val="en-US" w:eastAsia="zh-CN" w:bidi="ar-SA"/>
    </w:rPr>
  </w:style>
  <w:style w:type="paragraph" w:customStyle="1" w:styleId="27">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2023-11-17T09:23:00Z</dcterms:created>
  <dc:creator>张亚娜</dc:creator>
  <cp:lastModifiedBy>张亚娜</cp:lastModifiedBy>
  <dcterms:modified xsi:type="dcterms:W3CDTF">2023-11-17T09:24:32Z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59B3749C256449E080A2105668701F98_13</vt:lpwstr>
  </property>
</Properties>
</file>