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360" w:lineRule="auto"/>
        <w:jc w:val="center"/>
        <w:rPr>
          <w:rFonts w:ascii="Times New Roman" w:hAnsi="Times New Roman" w:eastAsia="宋体" w:cs="Times New Roman"/>
          <w:b/>
          <w:bCs/>
          <w:sz w:val="24"/>
          <w:szCs w:val="24"/>
        </w:rPr>
      </w:pPr>
      <w:bookmarkStart w:id="0" w:name="_GoBack"/>
      <w:r>
        <w:rPr>
          <w:rFonts w:hint="eastAsia" w:ascii="Times New Roman" w:hAnsi="Times New Roman" w:eastAsia="宋体" w:cs="Times New Roman"/>
          <w:b/>
          <w:bCs/>
          <w:sz w:val="24"/>
          <w:szCs w:val="24"/>
        </w:rPr>
        <w:t>西安科技大学货物采购合同</w:t>
      </w:r>
    </w:p>
    <w:bookmarkEnd w:id="0"/>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需方（以下简称“甲方”）：西安科技大学</w:t>
      </w:r>
      <w:r>
        <w:rPr>
          <w:rFonts w:ascii="Times New Roman" w:hAnsi="Times New Roman" w:eastAsia="宋体" w:cs="Times New Roman"/>
          <w:b/>
          <w:bCs/>
          <w:sz w:val="24"/>
          <w:szCs w:val="24"/>
        </w:rPr>
        <w:t xml:space="preserve">   </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合同编号：</w:t>
      </w:r>
      <w:r>
        <w:rPr>
          <w:rFonts w:ascii="Times New Roman" w:hAnsi="Times New Roman" w:eastAsia="宋体" w:cs="Times New Roman"/>
          <w:b/>
          <w:bCs/>
          <w:sz w:val="24"/>
          <w:szCs w:val="24"/>
        </w:rPr>
        <w:t>XKZH(20**)***(</w:t>
      </w:r>
      <w:r>
        <w:rPr>
          <w:rFonts w:hint="eastAsia" w:ascii="Times New Roman" w:hAnsi="Times New Roman" w:eastAsia="宋体" w:cs="Times New Roman"/>
          <w:b/>
          <w:bCs/>
          <w:sz w:val="24"/>
          <w:szCs w:val="24"/>
        </w:rPr>
        <w:t>由招标办统一编号</w:t>
      </w:r>
      <w:r>
        <w:rPr>
          <w:rFonts w:ascii="Times New Roman" w:hAnsi="Times New Roman" w:eastAsia="宋体" w:cs="Times New Roman"/>
          <w:b/>
          <w:bCs/>
          <w:sz w:val="24"/>
          <w:szCs w:val="24"/>
        </w:rPr>
        <w:t>)</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供方（以下简称“乙方”）：</w:t>
      </w:r>
    </w:p>
    <w:p>
      <w:pPr>
        <w:pStyle w:val="5"/>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依据《中华人民共和国民法典》，甲乙双方经协商一致，就购买</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项目名称</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产品事宜，确立本合同</w:t>
      </w:r>
      <w:r>
        <w:rPr>
          <w:rFonts w:ascii="Times New Roman" w:hAnsi="Times New Roman" w:eastAsia="宋体" w:cs="Times New Roman"/>
          <w:sz w:val="24"/>
          <w:szCs w:val="24"/>
        </w:rPr>
        <w:t>,</w:t>
      </w:r>
      <w:r>
        <w:rPr>
          <w:rFonts w:hint="eastAsia" w:ascii="Times New Roman" w:hAnsi="Times New Roman" w:eastAsia="宋体" w:cs="Times New Roman"/>
          <w:sz w:val="24"/>
          <w:szCs w:val="24"/>
        </w:rPr>
        <w:t>双方共同遵守：</w:t>
      </w:r>
    </w:p>
    <w:p>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b/>
          <w:bCs/>
          <w:sz w:val="24"/>
          <w:szCs w:val="24"/>
        </w:rPr>
        <w:t>一、产品名称、数量、价格：</w:t>
      </w:r>
      <w:r>
        <w:rPr>
          <w:rFonts w:ascii="Times New Roman" w:hAnsi="Times New Roman" w:eastAsia="宋体" w:cs="Times New Roman"/>
          <w:b/>
          <w:bCs/>
          <w:sz w:val="24"/>
          <w:szCs w:val="24"/>
        </w:rPr>
        <w:t xml:space="preserve">  </w:t>
      </w:r>
      <w:r>
        <w:rPr>
          <w:rFonts w:ascii="Times New Roman" w:hAnsi="Times New Roman" w:eastAsia="宋体" w:cs="Times New Roman"/>
          <w:sz w:val="24"/>
          <w:szCs w:val="24"/>
        </w:rPr>
        <w:t xml:space="preserve">                       </w:t>
      </w:r>
    </w:p>
    <w:tbl>
      <w:tblPr>
        <w:tblStyle w:val="7"/>
        <w:tblpPr w:leftFromText="180" w:rightFromText="180" w:vertAnchor="text" w:horzAnchor="margin" w:tblpX="-252" w:tblpY="158"/>
        <w:tblOverlap w:val="never"/>
        <w:tblW w:w="520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
        <w:gridCol w:w="1984"/>
        <w:gridCol w:w="1044"/>
        <w:gridCol w:w="870"/>
        <w:gridCol w:w="1218"/>
        <w:gridCol w:w="870"/>
        <w:gridCol w:w="1049"/>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350" w:type="pct"/>
            <w:vAlign w:val="center"/>
          </w:tcPr>
          <w:p>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序号</w:t>
            </w:r>
          </w:p>
        </w:tc>
        <w:tc>
          <w:tcPr>
            <w:tcW w:w="1117" w:type="pct"/>
            <w:vAlign w:val="center"/>
          </w:tcPr>
          <w:p>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产品名称</w:t>
            </w:r>
          </w:p>
        </w:tc>
        <w:tc>
          <w:tcPr>
            <w:tcW w:w="588" w:type="pct"/>
            <w:vAlign w:val="center"/>
          </w:tcPr>
          <w:p>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规格</w:t>
            </w:r>
          </w:p>
        </w:tc>
        <w:tc>
          <w:tcPr>
            <w:tcW w:w="490" w:type="pct"/>
            <w:vAlign w:val="center"/>
          </w:tcPr>
          <w:p>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品牌</w:t>
            </w:r>
          </w:p>
        </w:tc>
        <w:tc>
          <w:tcPr>
            <w:tcW w:w="686" w:type="pct"/>
            <w:vAlign w:val="center"/>
          </w:tcPr>
          <w:p>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生产厂家</w:t>
            </w:r>
          </w:p>
        </w:tc>
        <w:tc>
          <w:tcPr>
            <w:tcW w:w="490" w:type="pct"/>
            <w:vAlign w:val="center"/>
          </w:tcPr>
          <w:p>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数量</w:t>
            </w:r>
          </w:p>
        </w:tc>
        <w:tc>
          <w:tcPr>
            <w:tcW w:w="590" w:type="pct"/>
            <w:vAlign w:val="center"/>
          </w:tcPr>
          <w:p>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单价</w:t>
            </w:r>
            <w:r>
              <w:rPr>
                <w:rFonts w:ascii="Times New Roman" w:hAnsi="Times New Roman" w:eastAsia="宋体" w:cs="Times New Roman"/>
                <w:b/>
                <w:sz w:val="24"/>
              </w:rPr>
              <w:t>(</w:t>
            </w:r>
            <w:r>
              <w:rPr>
                <w:rFonts w:hint="eastAsia" w:ascii="Times New Roman" w:hAnsi="Times New Roman" w:eastAsia="宋体" w:cs="Times New Roman"/>
                <w:b/>
                <w:sz w:val="24"/>
              </w:rPr>
              <w:t>元</w:t>
            </w:r>
            <w:r>
              <w:rPr>
                <w:rFonts w:ascii="Times New Roman" w:hAnsi="Times New Roman" w:eastAsia="宋体" w:cs="Times New Roman"/>
                <w:b/>
                <w:sz w:val="24"/>
              </w:rPr>
              <w:t>)</w:t>
            </w:r>
          </w:p>
        </w:tc>
        <w:tc>
          <w:tcPr>
            <w:tcW w:w="686" w:type="pct"/>
            <w:vAlign w:val="center"/>
          </w:tcPr>
          <w:p>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合计</w:t>
            </w:r>
            <w:r>
              <w:rPr>
                <w:rFonts w:ascii="Times New Roman" w:hAnsi="Times New Roman" w:eastAsia="宋体" w:cs="Times New Roman"/>
                <w:b/>
                <w:sz w:val="24"/>
              </w:rPr>
              <w:t xml:space="preserve">( </w:t>
            </w:r>
            <w:r>
              <w:rPr>
                <w:rFonts w:hint="eastAsia" w:ascii="Times New Roman" w:hAnsi="Times New Roman" w:eastAsia="宋体" w:cs="Times New Roman"/>
                <w:b/>
                <w:sz w:val="24"/>
              </w:rPr>
              <w:t>元</w:t>
            </w:r>
            <w:r>
              <w:rPr>
                <w:rFonts w:ascii="Times New Roman" w:hAnsi="Times New Roman" w:eastAsia="宋体" w:cs="Times New Roman"/>
                <w:b/>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50" w:type="pct"/>
            <w:vAlign w:val="center"/>
          </w:tcPr>
          <w:p>
            <w:pPr>
              <w:adjustRightInd w:val="0"/>
              <w:snapToGrid w:val="0"/>
              <w:spacing w:line="360" w:lineRule="auto"/>
              <w:jc w:val="both"/>
              <w:rPr>
                <w:rFonts w:ascii="Times New Roman" w:hAnsi="Times New Roman" w:eastAsia="宋体" w:cs="Times New Roman"/>
                <w:sz w:val="24"/>
              </w:rPr>
            </w:pPr>
            <w:r>
              <w:rPr>
                <w:rFonts w:ascii="Times New Roman" w:hAnsi="Times New Roman" w:eastAsia="宋体" w:cs="Times New Roman"/>
                <w:sz w:val="24"/>
              </w:rPr>
              <w:t>1</w:t>
            </w:r>
          </w:p>
        </w:tc>
        <w:tc>
          <w:tcPr>
            <w:tcW w:w="1117" w:type="pct"/>
            <w:vAlign w:val="center"/>
          </w:tcPr>
          <w:p>
            <w:pPr>
              <w:adjustRightInd w:val="0"/>
              <w:snapToGrid w:val="0"/>
              <w:spacing w:line="360" w:lineRule="auto"/>
              <w:jc w:val="both"/>
              <w:rPr>
                <w:rFonts w:ascii="Times New Roman" w:hAnsi="Times New Roman" w:eastAsia="宋体" w:cs="Times New Roman"/>
                <w:sz w:val="24"/>
              </w:rPr>
            </w:pPr>
          </w:p>
        </w:tc>
        <w:tc>
          <w:tcPr>
            <w:tcW w:w="588" w:type="pct"/>
            <w:vAlign w:val="center"/>
          </w:tcPr>
          <w:p>
            <w:pPr>
              <w:adjustRightInd w:val="0"/>
              <w:snapToGrid w:val="0"/>
              <w:spacing w:line="360" w:lineRule="auto"/>
              <w:jc w:val="both"/>
              <w:rPr>
                <w:rFonts w:ascii="Times New Roman" w:hAnsi="Times New Roman" w:eastAsia="宋体" w:cs="Times New Roman"/>
                <w:sz w:val="24"/>
              </w:rPr>
            </w:pPr>
          </w:p>
        </w:tc>
        <w:tc>
          <w:tcPr>
            <w:tcW w:w="490" w:type="pct"/>
          </w:tcPr>
          <w:p>
            <w:pPr>
              <w:adjustRightInd w:val="0"/>
              <w:snapToGrid w:val="0"/>
              <w:spacing w:line="360" w:lineRule="auto"/>
              <w:jc w:val="both"/>
              <w:rPr>
                <w:rFonts w:ascii="Times New Roman" w:hAnsi="Times New Roman" w:eastAsia="宋体" w:cs="Times New Roman"/>
                <w:sz w:val="24"/>
              </w:rPr>
            </w:pPr>
          </w:p>
        </w:tc>
        <w:tc>
          <w:tcPr>
            <w:tcW w:w="686" w:type="pct"/>
            <w:vAlign w:val="center"/>
          </w:tcPr>
          <w:p>
            <w:pPr>
              <w:adjustRightInd w:val="0"/>
              <w:snapToGrid w:val="0"/>
              <w:spacing w:line="360" w:lineRule="auto"/>
              <w:jc w:val="both"/>
              <w:rPr>
                <w:rFonts w:ascii="Times New Roman" w:hAnsi="Times New Roman" w:eastAsia="宋体" w:cs="Times New Roman"/>
                <w:sz w:val="24"/>
              </w:rPr>
            </w:pPr>
          </w:p>
        </w:tc>
        <w:tc>
          <w:tcPr>
            <w:tcW w:w="490" w:type="pct"/>
            <w:vAlign w:val="center"/>
          </w:tcPr>
          <w:p>
            <w:pPr>
              <w:adjustRightInd w:val="0"/>
              <w:snapToGrid w:val="0"/>
              <w:spacing w:line="360" w:lineRule="auto"/>
              <w:jc w:val="both"/>
              <w:rPr>
                <w:rFonts w:ascii="Times New Roman" w:hAnsi="Times New Roman" w:eastAsia="宋体" w:cs="Times New Roman"/>
                <w:sz w:val="24"/>
              </w:rPr>
            </w:pPr>
          </w:p>
        </w:tc>
        <w:tc>
          <w:tcPr>
            <w:tcW w:w="590" w:type="pct"/>
            <w:vAlign w:val="center"/>
          </w:tcPr>
          <w:p>
            <w:pPr>
              <w:adjustRightInd w:val="0"/>
              <w:snapToGrid w:val="0"/>
              <w:spacing w:line="360" w:lineRule="auto"/>
              <w:jc w:val="both"/>
              <w:rPr>
                <w:rFonts w:ascii="Times New Roman" w:hAnsi="Times New Roman" w:eastAsia="宋体" w:cs="Times New Roman"/>
                <w:sz w:val="24"/>
              </w:rPr>
            </w:pPr>
          </w:p>
        </w:tc>
        <w:tc>
          <w:tcPr>
            <w:tcW w:w="686" w:type="pct"/>
            <w:vAlign w:val="center"/>
          </w:tcPr>
          <w:p>
            <w:pPr>
              <w:adjustRightInd w:val="0"/>
              <w:snapToGrid w:val="0"/>
              <w:spacing w:line="360" w:lineRule="auto"/>
              <w:jc w:val="both"/>
              <w:rPr>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50" w:type="pct"/>
            <w:vAlign w:val="center"/>
          </w:tcPr>
          <w:p>
            <w:pPr>
              <w:adjustRightInd w:val="0"/>
              <w:snapToGrid w:val="0"/>
              <w:spacing w:line="360" w:lineRule="auto"/>
              <w:jc w:val="both"/>
              <w:rPr>
                <w:rFonts w:ascii="Times New Roman" w:hAnsi="Times New Roman" w:eastAsia="宋体" w:cs="Times New Roman"/>
                <w:sz w:val="24"/>
              </w:rPr>
            </w:pPr>
            <w:r>
              <w:rPr>
                <w:rFonts w:ascii="Times New Roman" w:hAnsi="Times New Roman" w:eastAsia="宋体" w:cs="Times New Roman"/>
                <w:sz w:val="24"/>
              </w:rPr>
              <w:t>2</w:t>
            </w:r>
          </w:p>
        </w:tc>
        <w:tc>
          <w:tcPr>
            <w:tcW w:w="1117" w:type="pct"/>
            <w:vAlign w:val="center"/>
          </w:tcPr>
          <w:p>
            <w:pPr>
              <w:adjustRightInd w:val="0"/>
              <w:snapToGrid w:val="0"/>
              <w:spacing w:line="360" w:lineRule="auto"/>
              <w:jc w:val="both"/>
              <w:rPr>
                <w:rFonts w:ascii="Times New Roman" w:hAnsi="Times New Roman" w:eastAsia="宋体" w:cs="Times New Roman"/>
                <w:sz w:val="24"/>
              </w:rPr>
            </w:pPr>
          </w:p>
        </w:tc>
        <w:tc>
          <w:tcPr>
            <w:tcW w:w="588" w:type="pct"/>
            <w:vAlign w:val="center"/>
          </w:tcPr>
          <w:p>
            <w:pPr>
              <w:adjustRightInd w:val="0"/>
              <w:snapToGrid w:val="0"/>
              <w:spacing w:line="360" w:lineRule="auto"/>
              <w:jc w:val="both"/>
              <w:rPr>
                <w:rFonts w:ascii="Times New Roman" w:hAnsi="Times New Roman" w:eastAsia="宋体" w:cs="Times New Roman"/>
                <w:sz w:val="24"/>
              </w:rPr>
            </w:pPr>
          </w:p>
        </w:tc>
        <w:tc>
          <w:tcPr>
            <w:tcW w:w="490" w:type="pct"/>
          </w:tcPr>
          <w:p>
            <w:pPr>
              <w:adjustRightInd w:val="0"/>
              <w:snapToGrid w:val="0"/>
              <w:spacing w:line="360" w:lineRule="auto"/>
              <w:jc w:val="both"/>
              <w:rPr>
                <w:rFonts w:ascii="Times New Roman" w:hAnsi="Times New Roman" w:eastAsia="宋体" w:cs="Times New Roman"/>
                <w:sz w:val="24"/>
              </w:rPr>
            </w:pPr>
          </w:p>
        </w:tc>
        <w:tc>
          <w:tcPr>
            <w:tcW w:w="686" w:type="pct"/>
            <w:vAlign w:val="center"/>
          </w:tcPr>
          <w:p>
            <w:pPr>
              <w:adjustRightInd w:val="0"/>
              <w:snapToGrid w:val="0"/>
              <w:spacing w:line="360" w:lineRule="auto"/>
              <w:jc w:val="both"/>
              <w:rPr>
                <w:rFonts w:ascii="Times New Roman" w:hAnsi="Times New Roman" w:eastAsia="宋体" w:cs="Times New Roman"/>
                <w:sz w:val="24"/>
              </w:rPr>
            </w:pPr>
          </w:p>
        </w:tc>
        <w:tc>
          <w:tcPr>
            <w:tcW w:w="490" w:type="pct"/>
            <w:vAlign w:val="center"/>
          </w:tcPr>
          <w:p>
            <w:pPr>
              <w:adjustRightInd w:val="0"/>
              <w:snapToGrid w:val="0"/>
              <w:spacing w:line="360" w:lineRule="auto"/>
              <w:jc w:val="both"/>
              <w:rPr>
                <w:rFonts w:ascii="Times New Roman" w:hAnsi="Times New Roman" w:eastAsia="宋体" w:cs="Times New Roman"/>
                <w:sz w:val="24"/>
              </w:rPr>
            </w:pPr>
          </w:p>
        </w:tc>
        <w:tc>
          <w:tcPr>
            <w:tcW w:w="590" w:type="pct"/>
            <w:vAlign w:val="center"/>
          </w:tcPr>
          <w:p>
            <w:pPr>
              <w:adjustRightInd w:val="0"/>
              <w:snapToGrid w:val="0"/>
              <w:spacing w:line="360" w:lineRule="auto"/>
              <w:jc w:val="both"/>
              <w:rPr>
                <w:rFonts w:ascii="Times New Roman" w:hAnsi="Times New Roman" w:eastAsia="宋体" w:cs="Times New Roman"/>
                <w:sz w:val="24"/>
              </w:rPr>
            </w:pPr>
          </w:p>
        </w:tc>
        <w:tc>
          <w:tcPr>
            <w:tcW w:w="686" w:type="pct"/>
            <w:vAlign w:val="center"/>
          </w:tcPr>
          <w:p>
            <w:pPr>
              <w:adjustRightInd w:val="0"/>
              <w:snapToGrid w:val="0"/>
              <w:spacing w:line="360" w:lineRule="auto"/>
              <w:jc w:val="both"/>
              <w:rPr>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50" w:type="pct"/>
            <w:vAlign w:val="center"/>
          </w:tcPr>
          <w:p>
            <w:pPr>
              <w:adjustRightInd w:val="0"/>
              <w:snapToGrid w:val="0"/>
              <w:spacing w:line="360" w:lineRule="auto"/>
              <w:jc w:val="both"/>
              <w:rPr>
                <w:rFonts w:ascii="Times New Roman" w:hAnsi="Times New Roman" w:eastAsia="宋体" w:cs="Times New Roman"/>
                <w:sz w:val="24"/>
              </w:rPr>
            </w:pPr>
            <w:r>
              <w:rPr>
                <w:rFonts w:ascii="Times New Roman" w:hAnsi="Times New Roman" w:eastAsia="宋体" w:cs="Times New Roman"/>
                <w:sz w:val="24"/>
              </w:rPr>
              <w:t>3</w:t>
            </w:r>
          </w:p>
        </w:tc>
        <w:tc>
          <w:tcPr>
            <w:tcW w:w="1117" w:type="pct"/>
            <w:vAlign w:val="center"/>
          </w:tcPr>
          <w:p>
            <w:pPr>
              <w:adjustRightInd w:val="0"/>
              <w:snapToGrid w:val="0"/>
              <w:spacing w:line="360" w:lineRule="auto"/>
              <w:jc w:val="both"/>
              <w:rPr>
                <w:rFonts w:ascii="Times New Roman" w:hAnsi="Times New Roman" w:eastAsia="宋体" w:cs="Times New Roman"/>
                <w:sz w:val="24"/>
              </w:rPr>
            </w:pPr>
          </w:p>
        </w:tc>
        <w:tc>
          <w:tcPr>
            <w:tcW w:w="588" w:type="pct"/>
            <w:vAlign w:val="center"/>
          </w:tcPr>
          <w:p>
            <w:pPr>
              <w:adjustRightInd w:val="0"/>
              <w:snapToGrid w:val="0"/>
              <w:spacing w:line="360" w:lineRule="auto"/>
              <w:jc w:val="both"/>
              <w:rPr>
                <w:rFonts w:ascii="Times New Roman" w:hAnsi="Times New Roman" w:eastAsia="宋体" w:cs="Times New Roman"/>
                <w:sz w:val="24"/>
              </w:rPr>
            </w:pPr>
          </w:p>
        </w:tc>
        <w:tc>
          <w:tcPr>
            <w:tcW w:w="490" w:type="pct"/>
          </w:tcPr>
          <w:p>
            <w:pPr>
              <w:adjustRightInd w:val="0"/>
              <w:snapToGrid w:val="0"/>
              <w:spacing w:line="360" w:lineRule="auto"/>
              <w:jc w:val="both"/>
              <w:rPr>
                <w:rFonts w:ascii="Times New Roman" w:hAnsi="Times New Roman" w:eastAsia="宋体" w:cs="Times New Roman"/>
                <w:sz w:val="24"/>
              </w:rPr>
            </w:pPr>
          </w:p>
        </w:tc>
        <w:tc>
          <w:tcPr>
            <w:tcW w:w="686" w:type="pct"/>
            <w:vAlign w:val="center"/>
          </w:tcPr>
          <w:p>
            <w:pPr>
              <w:adjustRightInd w:val="0"/>
              <w:snapToGrid w:val="0"/>
              <w:spacing w:line="360" w:lineRule="auto"/>
              <w:jc w:val="both"/>
              <w:rPr>
                <w:rFonts w:ascii="Times New Roman" w:hAnsi="Times New Roman" w:eastAsia="宋体" w:cs="Times New Roman"/>
                <w:sz w:val="24"/>
              </w:rPr>
            </w:pPr>
          </w:p>
        </w:tc>
        <w:tc>
          <w:tcPr>
            <w:tcW w:w="490" w:type="pct"/>
            <w:vAlign w:val="center"/>
          </w:tcPr>
          <w:p>
            <w:pPr>
              <w:adjustRightInd w:val="0"/>
              <w:snapToGrid w:val="0"/>
              <w:spacing w:line="360" w:lineRule="auto"/>
              <w:jc w:val="both"/>
              <w:rPr>
                <w:rFonts w:ascii="Times New Roman" w:hAnsi="Times New Roman" w:eastAsia="宋体" w:cs="Times New Roman"/>
                <w:sz w:val="24"/>
              </w:rPr>
            </w:pPr>
          </w:p>
        </w:tc>
        <w:tc>
          <w:tcPr>
            <w:tcW w:w="590" w:type="pct"/>
            <w:vAlign w:val="center"/>
          </w:tcPr>
          <w:p>
            <w:pPr>
              <w:adjustRightInd w:val="0"/>
              <w:snapToGrid w:val="0"/>
              <w:spacing w:line="360" w:lineRule="auto"/>
              <w:jc w:val="both"/>
              <w:rPr>
                <w:rFonts w:ascii="Times New Roman" w:hAnsi="Times New Roman" w:eastAsia="宋体" w:cs="Times New Roman"/>
                <w:sz w:val="24"/>
              </w:rPr>
            </w:pPr>
          </w:p>
        </w:tc>
        <w:tc>
          <w:tcPr>
            <w:tcW w:w="686" w:type="pct"/>
            <w:vAlign w:val="center"/>
          </w:tcPr>
          <w:p>
            <w:pPr>
              <w:adjustRightInd w:val="0"/>
              <w:snapToGrid w:val="0"/>
              <w:spacing w:line="360" w:lineRule="auto"/>
              <w:jc w:val="both"/>
              <w:rPr>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350" w:type="pct"/>
            <w:vAlign w:val="center"/>
          </w:tcPr>
          <w:p>
            <w:pPr>
              <w:adjustRightInd w:val="0"/>
              <w:snapToGrid w:val="0"/>
              <w:spacing w:line="360" w:lineRule="auto"/>
              <w:jc w:val="both"/>
              <w:rPr>
                <w:rFonts w:ascii="Times New Roman" w:hAnsi="Times New Roman" w:eastAsia="宋体" w:cs="Times New Roman"/>
                <w:sz w:val="24"/>
              </w:rPr>
            </w:pPr>
            <w:r>
              <w:rPr>
                <w:rFonts w:hint="eastAsia" w:ascii="Times New Roman" w:hAnsi="Times New Roman" w:eastAsia="宋体" w:cs="Times New Roman"/>
                <w:sz w:val="24"/>
              </w:rPr>
              <w:t>合计</w:t>
            </w:r>
          </w:p>
        </w:tc>
        <w:tc>
          <w:tcPr>
            <w:tcW w:w="3962" w:type="pct"/>
            <w:gridSpan w:val="6"/>
            <w:vAlign w:val="center"/>
          </w:tcPr>
          <w:p>
            <w:pPr>
              <w:adjustRightInd w:val="0"/>
              <w:snapToGrid w:val="0"/>
              <w:spacing w:line="360" w:lineRule="auto"/>
              <w:rPr>
                <w:rFonts w:ascii="Times New Roman" w:hAnsi="Times New Roman" w:eastAsia="宋体" w:cs="Times New Roman"/>
                <w:sz w:val="24"/>
              </w:rPr>
            </w:pPr>
            <w:r>
              <w:rPr>
                <w:rFonts w:hint="eastAsia" w:ascii="Times New Roman" w:hAnsi="Times New Roman" w:eastAsia="宋体" w:cs="Times New Roman"/>
                <w:sz w:val="24"/>
              </w:rPr>
              <w:t>大写：</w:t>
            </w:r>
            <w:r>
              <w:rPr>
                <w:rFonts w:ascii="Times New Roman" w:hAnsi="Times New Roman" w:eastAsia="宋体" w:cs="Times New Roman"/>
                <w:sz w:val="24"/>
              </w:rPr>
              <w:t xml:space="preserve">                        </w:t>
            </w:r>
            <w:r>
              <w:rPr>
                <w:rFonts w:hint="eastAsia" w:ascii="Times New Roman" w:hAnsi="Times New Roman" w:eastAsia="宋体" w:cs="Times New Roman"/>
                <w:sz w:val="24"/>
              </w:rPr>
              <w:t>（含税价）</w:t>
            </w:r>
          </w:p>
        </w:tc>
        <w:tc>
          <w:tcPr>
            <w:tcW w:w="686" w:type="pct"/>
            <w:vAlign w:val="center"/>
          </w:tcPr>
          <w:p>
            <w:pPr>
              <w:adjustRightInd w:val="0"/>
              <w:snapToGrid w:val="0"/>
              <w:spacing w:line="360" w:lineRule="auto"/>
              <w:jc w:val="both"/>
              <w:rPr>
                <w:rFonts w:ascii="Times New Roman" w:hAnsi="Times New Roman" w:eastAsia="宋体" w:cs="Times New Roman"/>
                <w:sz w:val="24"/>
              </w:rPr>
            </w:pPr>
          </w:p>
        </w:tc>
      </w:tr>
    </w:tbl>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、合同总金额包括货物价款、检验、包装、运输、保险等全部费用，如果</w:t>
      </w:r>
      <w:r>
        <w:rPr>
          <w:rStyle w:val="9"/>
          <w:rFonts w:hint="eastAsia" w:ascii="Times New Roman" w:hAnsi="Times New Roman" w:cs="Times New Roman"/>
          <w:sz w:val="24"/>
          <w:szCs w:val="24"/>
        </w:rPr>
        <w:t>谈判文件、响应文件</w:t>
      </w:r>
      <w:r>
        <w:rPr>
          <w:rFonts w:hint="eastAsia" w:ascii="Times New Roman" w:hAnsi="Times New Roman" w:eastAsia="宋体" w:cs="Times New Roman"/>
          <w:sz w:val="24"/>
          <w:szCs w:val="24"/>
        </w:rPr>
        <w:t>对其另有规定的，从其规定。</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二、质量标准：</w:t>
      </w:r>
    </w:p>
    <w:p>
      <w:pPr>
        <w:pStyle w:val="5"/>
        <w:spacing w:line="360" w:lineRule="auto"/>
        <w:ind w:firstLine="480" w:firstLineChars="200"/>
        <w:rPr>
          <w:rFonts w:ascii="Times New Roman" w:hAnsi="Times New Roman" w:eastAsia="宋体" w:cs="Times New Roman"/>
          <w:b/>
          <w:bCs/>
          <w:sz w:val="24"/>
          <w:szCs w:val="24"/>
        </w:rPr>
      </w:pPr>
      <w:r>
        <w:rPr>
          <w:rFonts w:hint="eastAsia" w:ascii="Times New Roman" w:hAnsi="Times New Roman" w:eastAsia="宋体" w:cs="Times New Roman"/>
          <w:sz w:val="24"/>
          <w:szCs w:val="24"/>
        </w:rPr>
        <w:t>乙方提供的货物必须符合中华人民共和国国家安全环保标准，国家及有关行业产品质量认证标准。谈判文件的质量要求及双方签字确认的技术协议作为本合同的有效附件。</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三、交货日期、方式及地点：</w:t>
      </w:r>
    </w:p>
    <w:p>
      <w:pPr>
        <w:pStyle w:val="5"/>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合同生效后，于</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年</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月</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日前，乙方将所供货物送至西安科技大学指定位置。</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四、乙方对质量保证的条件及期限：</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、货物自验收合格之日起保质期</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年。在保质期内因货物质量问题，乙方负责免费退换。</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、乙方所供的货物必须是双方</w:t>
      </w:r>
      <w:r>
        <w:rPr>
          <w:rStyle w:val="9"/>
          <w:rFonts w:hint="eastAsia" w:ascii="Times New Roman" w:hAnsi="Times New Roman" w:cs="Times New Roman"/>
          <w:sz w:val="24"/>
          <w:szCs w:val="24"/>
        </w:rPr>
        <w:t>谈判文件、响应文件</w:t>
      </w:r>
      <w:r>
        <w:rPr>
          <w:rFonts w:hint="eastAsia" w:ascii="Times New Roman" w:hAnsi="Times New Roman" w:eastAsia="宋体" w:cs="Times New Roman"/>
          <w:sz w:val="24"/>
          <w:szCs w:val="24"/>
        </w:rPr>
        <w:t>规定的最新产品。</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五、货物的包装及运输：</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、乙方应在货物发运前对其进行满足于运输距离和防破损装卸要求的包装，以保证货物安全运输到达甲方指定地点。途中发生包装物破损的情况，甲方有权拒收货物。</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、包装上注明货物品种及数量。</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、运输方式：乙方负责运输并承担运输、装卸、倒运及运保费等费用。</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六、货物验收：</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、乙方负责搬运，甲方提供必要的工作条件（水电等）。</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、甲方对乙方所交货物依照国家有关标准和双方确认的标准进行现场验收。质量达到要求的，验收通过；验收不合格的，限期退换。</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、如因货物的质量问题发生争议，由甲方属地质量监督部门进行质量鉴定；货物符合质量标准的，鉴定费由甲方承担；货物不符合质量标准的，鉴定费由乙方承担，同时按本合同第八条第</w:t>
      </w:r>
      <w:r>
        <w:rPr>
          <w:rFonts w:ascii="Times New Roman" w:hAnsi="Times New Roman" w:eastAsia="宋体" w:cs="Times New Roman"/>
          <w:sz w:val="24"/>
          <w:szCs w:val="24"/>
        </w:rPr>
        <w:t>3</w:t>
      </w:r>
      <w:r>
        <w:rPr>
          <w:rFonts w:hint="eastAsia" w:ascii="Times New Roman" w:hAnsi="Times New Roman" w:eastAsia="宋体" w:cs="Times New Roman"/>
          <w:sz w:val="24"/>
          <w:szCs w:val="24"/>
        </w:rPr>
        <w:t>款处理。</w:t>
      </w:r>
      <w:r>
        <w:rPr>
          <w:rFonts w:ascii="Times New Roman" w:hAnsi="Times New Roman" w:eastAsia="宋体" w:cs="Times New Roman"/>
          <w:sz w:val="24"/>
          <w:szCs w:val="24"/>
        </w:rPr>
        <w:t xml:space="preserve"> </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七、付款方式及期限：</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结算单位：采购人结算，在付款前必须开具全额增值税发票给采购人。</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付款方式：签订合同前向学校缴纳</w:t>
      </w:r>
      <w:r>
        <w:rPr>
          <w:rFonts w:ascii="Times New Roman" w:hAnsi="Times New Roman" w:eastAsia="宋体" w:cs="Times New Roman"/>
          <w:sz w:val="24"/>
          <w:szCs w:val="24"/>
        </w:rPr>
        <w:t>5%</w:t>
      </w:r>
      <w:r>
        <w:rPr>
          <w:rFonts w:hint="eastAsia" w:ascii="Times New Roman" w:hAnsi="Times New Roman" w:eastAsia="宋体" w:cs="Times New Roman"/>
          <w:sz w:val="24"/>
          <w:szCs w:val="24"/>
        </w:rPr>
        <w:t>的履约保证金，合同签订后采购人支付</w:t>
      </w:r>
      <w:r>
        <w:rPr>
          <w:rFonts w:ascii="Times New Roman" w:hAnsi="Times New Roman" w:eastAsia="宋体" w:cs="Times New Roman"/>
          <w:sz w:val="24"/>
          <w:szCs w:val="24"/>
        </w:rPr>
        <w:t>40%</w:t>
      </w:r>
      <w:r>
        <w:rPr>
          <w:rFonts w:hint="eastAsia" w:ascii="Times New Roman" w:hAnsi="Times New Roman" w:eastAsia="宋体" w:cs="Times New Roman"/>
          <w:sz w:val="24"/>
          <w:szCs w:val="24"/>
        </w:rPr>
        <w:t>合同金额的预付款。国内产品安装调试经学校验收合格后一次性支付</w:t>
      </w:r>
      <w:r>
        <w:rPr>
          <w:rFonts w:ascii="Times New Roman" w:hAnsi="Times New Roman" w:eastAsia="宋体" w:cs="Times New Roman"/>
          <w:sz w:val="24"/>
          <w:szCs w:val="24"/>
        </w:rPr>
        <w:t>60%</w:t>
      </w:r>
      <w:r>
        <w:rPr>
          <w:rFonts w:hint="eastAsia" w:ascii="Times New Roman" w:hAnsi="Times New Roman" w:eastAsia="宋体" w:cs="Times New Roman"/>
          <w:sz w:val="24"/>
          <w:szCs w:val="24"/>
        </w:rPr>
        <w:t>合同金额的余款，同时缴纳的</w:t>
      </w:r>
      <w:r>
        <w:rPr>
          <w:rFonts w:ascii="Times New Roman" w:hAnsi="Times New Roman" w:eastAsia="宋体" w:cs="Times New Roman"/>
          <w:sz w:val="24"/>
          <w:szCs w:val="24"/>
        </w:rPr>
        <w:t>5%</w:t>
      </w:r>
      <w:r>
        <w:rPr>
          <w:rFonts w:hint="eastAsia" w:ascii="Times New Roman" w:hAnsi="Times New Roman" w:eastAsia="宋体" w:cs="Times New Roman"/>
          <w:sz w:val="24"/>
          <w:szCs w:val="24"/>
        </w:rPr>
        <w:t>履约保证金无质量问题一次性无息退还。</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八、违约责任：</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乙方逾期交货，每天应按合同总价的千分之一向甲方支付违约金。如乙方逾期三十天仍未交齐货物的，甲方有权终止合同，乙方须按合同总价的百分之十计算，向甲方支付违约赔偿金，并全额退还甲方已付给乙方的货款。</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、甲方无正当理由拒收货物，应向乙方支付合同总价款</w:t>
      </w:r>
      <w:r>
        <w:rPr>
          <w:rFonts w:ascii="Times New Roman" w:hAnsi="Times New Roman" w:eastAsia="宋体" w:cs="Times New Roman"/>
          <w:sz w:val="24"/>
          <w:szCs w:val="24"/>
        </w:rPr>
        <w:t>10%</w:t>
      </w:r>
      <w:r>
        <w:rPr>
          <w:rFonts w:hint="eastAsia" w:ascii="Times New Roman" w:hAnsi="Times New Roman" w:eastAsia="宋体" w:cs="Times New Roman"/>
          <w:sz w:val="24"/>
          <w:szCs w:val="24"/>
        </w:rPr>
        <w:t>的违约金。</w:t>
      </w:r>
    </w:p>
    <w:p>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、乙方所交的货物品种、规格、质量不符合合同约定、国家标准，所供货物达不到约定质量要求的，乙方必须无条件退回全部货款，并向甲方支付合同总价款</w:t>
      </w:r>
      <w:r>
        <w:rPr>
          <w:rFonts w:ascii="Times New Roman" w:hAnsi="Times New Roman" w:eastAsia="宋体" w:cs="Times New Roman"/>
          <w:sz w:val="24"/>
          <w:szCs w:val="24"/>
        </w:rPr>
        <w:t>10%</w:t>
      </w:r>
      <w:r>
        <w:rPr>
          <w:rFonts w:hint="eastAsia" w:ascii="Times New Roman" w:hAnsi="Times New Roman" w:eastAsia="宋体" w:cs="Times New Roman"/>
          <w:sz w:val="24"/>
          <w:szCs w:val="24"/>
        </w:rPr>
        <w:t>的赔偿金。</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九、争议解决方式：</w:t>
      </w:r>
    </w:p>
    <w:p>
      <w:pPr>
        <w:pStyle w:val="5"/>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本合同在履行过程中，如发生争议，双方友好协商解决，如协商不成，双方同意向签约地法院起诉解决。</w:t>
      </w:r>
    </w:p>
    <w:p>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十、其他：</w:t>
      </w:r>
    </w:p>
    <w:p>
      <w:pPr>
        <w:pStyle w:val="5"/>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本合同自双方签字盖章之日起生效。本合同一式伍份，甲方执肆份，乙方执壹份，具有同等法律效力。</w:t>
      </w:r>
      <w:r>
        <w:rPr>
          <w:rFonts w:ascii="Times New Roman" w:hAnsi="Times New Roman" w:eastAsia="宋体" w:cs="Times New Roman"/>
          <w:sz w:val="24"/>
          <w:szCs w:val="24"/>
        </w:rPr>
        <w:t xml:space="preserve"> </w:t>
      </w:r>
    </w:p>
    <w:p>
      <w:pPr>
        <w:pStyle w:val="5"/>
        <w:spacing w:line="360" w:lineRule="auto"/>
        <w:ind w:firstLine="480" w:firstLineChars="200"/>
        <w:rPr>
          <w:rFonts w:ascii="Times New Roman" w:hAnsi="Times New Roman" w:eastAsia="宋体" w:cs="Times New Roman"/>
          <w:sz w:val="24"/>
          <w:szCs w:val="24"/>
        </w:rPr>
      </w:pPr>
    </w:p>
    <w:p>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需方</w:t>
      </w:r>
      <w:r>
        <w:rPr>
          <w:rFonts w:ascii="Times New Roman" w:hAnsi="Times New Roman" w:eastAsia="宋体" w:cs="Times New Roman"/>
          <w:sz w:val="24"/>
          <w:szCs w:val="24"/>
        </w:rPr>
        <w:t>(</w:t>
      </w:r>
      <w:r>
        <w:rPr>
          <w:rFonts w:hint="eastAsia" w:ascii="Times New Roman" w:hAnsi="Times New Roman" w:eastAsia="宋体" w:cs="Times New Roman"/>
          <w:sz w:val="24"/>
          <w:szCs w:val="24"/>
        </w:rPr>
        <w:t>甲方</w:t>
      </w:r>
      <w:r>
        <w:rPr>
          <w:rFonts w:ascii="Times New Roman" w:hAnsi="Times New Roman" w:eastAsia="宋体" w:cs="Times New Roman"/>
          <w:sz w:val="24"/>
          <w:szCs w:val="24"/>
        </w:rPr>
        <w:t>)</w:t>
      </w:r>
      <w:r>
        <w:rPr>
          <w:rFonts w:hint="eastAsia" w:ascii="Times New Roman" w:hAnsi="Times New Roman" w:eastAsia="宋体" w:cs="Times New Roman"/>
          <w:sz w:val="24"/>
          <w:szCs w:val="24"/>
        </w:rPr>
        <w:t>：西安科技大学</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方</w:t>
      </w:r>
      <w:r>
        <w:rPr>
          <w:rFonts w:ascii="Times New Roman" w:hAnsi="Times New Roman" w:eastAsia="宋体" w:cs="Times New Roman"/>
          <w:sz w:val="24"/>
          <w:szCs w:val="24"/>
        </w:rPr>
        <w:t>(</w:t>
      </w:r>
      <w:r>
        <w:rPr>
          <w:rFonts w:hint="eastAsia" w:ascii="Times New Roman" w:hAnsi="Times New Roman" w:eastAsia="宋体" w:cs="Times New Roman"/>
          <w:sz w:val="24"/>
          <w:szCs w:val="24"/>
        </w:rPr>
        <w:t>乙方</w:t>
      </w:r>
      <w:r>
        <w:rPr>
          <w:rFonts w:ascii="Times New Roman" w:hAnsi="Times New Roman" w:eastAsia="宋体" w:cs="Times New Roman"/>
          <w:sz w:val="24"/>
          <w:szCs w:val="24"/>
        </w:rPr>
        <w:t>)</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w:t>
      </w:r>
    </w:p>
    <w:p>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项目负责人：</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法定代表人：</w:t>
      </w:r>
      <w:r>
        <w:rPr>
          <w:rFonts w:ascii="Times New Roman" w:hAnsi="Times New Roman" w:eastAsia="宋体" w:cs="Times New Roman"/>
          <w:sz w:val="24"/>
          <w:szCs w:val="24"/>
        </w:rPr>
        <w:t xml:space="preserve">    </w:t>
      </w:r>
    </w:p>
    <w:p>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授权代表：</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授权代表：</w:t>
      </w:r>
    </w:p>
    <w:p>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电话：</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电</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话：</w:t>
      </w:r>
      <w:r>
        <w:rPr>
          <w:rFonts w:ascii="Times New Roman" w:hAnsi="Times New Roman" w:eastAsia="宋体" w:cs="Times New Roman"/>
          <w:sz w:val="24"/>
          <w:szCs w:val="24"/>
        </w:rPr>
        <w:t xml:space="preserve"> </w:t>
      </w:r>
    </w:p>
    <w:p>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传真：</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传</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真：</w:t>
      </w:r>
      <w:r>
        <w:rPr>
          <w:rFonts w:ascii="Times New Roman" w:hAnsi="Times New Roman" w:eastAsia="宋体" w:cs="Times New Roman"/>
          <w:sz w:val="24"/>
          <w:szCs w:val="24"/>
        </w:rPr>
        <w:t xml:space="preserve"> </w:t>
      </w:r>
    </w:p>
    <w:p>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开户银行：</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开户银行：</w:t>
      </w:r>
      <w:r>
        <w:rPr>
          <w:rFonts w:ascii="Times New Roman" w:hAnsi="Times New Roman" w:eastAsia="宋体" w:cs="Times New Roman"/>
          <w:sz w:val="24"/>
          <w:szCs w:val="24"/>
        </w:rPr>
        <w:t xml:space="preserve"> </w:t>
      </w:r>
    </w:p>
    <w:p>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帐号：</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帐</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号：</w:t>
      </w:r>
      <w:r>
        <w:rPr>
          <w:rFonts w:ascii="Times New Roman" w:hAnsi="Times New Roman" w:eastAsia="宋体" w:cs="Times New Roman"/>
          <w:sz w:val="24"/>
          <w:szCs w:val="24"/>
        </w:rPr>
        <w:t xml:space="preserve">   </w:t>
      </w:r>
    </w:p>
    <w:p>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邮政编码：</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邮政编码：</w:t>
      </w:r>
      <w:r>
        <w:rPr>
          <w:rFonts w:ascii="Times New Roman" w:hAnsi="Times New Roman" w:eastAsia="宋体" w:cs="Times New Roman"/>
          <w:sz w:val="24"/>
          <w:szCs w:val="24"/>
        </w:rPr>
        <w:t xml:space="preserve"> </w:t>
      </w:r>
    </w:p>
    <w:p>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签约时间：</w:t>
      </w:r>
      <w:r>
        <w:rPr>
          <w:rFonts w:ascii="Times New Roman" w:hAnsi="Times New Roman" w:eastAsia="宋体" w:cs="Times New Roman"/>
          <w:sz w:val="24"/>
          <w:szCs w:val="24"/>
        </w:rPr>
        <w:t>20**</w:t>
      </w:r>
      <w:r>
        <w:rPr>
          <w:rFonts w:hint="eastAsia" w:ascii="Times New Roman" w:hAnsi="Times New Roman" w:eastAsia="宋体" w:cs="Times New Roman"/>
          <w:sz w:val="24"/>
          <w:szCs w:val="24"/>
        </w:rPr>
        <w:t>年</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月</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日</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签约时间：</w:t>
      </w:r>
      <w:r>
        <w:rPr>
          <w:rFonts w:ascii="Times New Roman" w:hAnsi="Times New Roman" w:eastAsia="宋体" w:cs="Times New Roman"/>
          <w:sz w:val="24"/>
          <w:szCs w:val="24"/>
        </w:rPr>
        <w:t>20**</w:t>
      </w:r>
      <w:r>
        <w:rPr>
          <w:rFonts w:hint="eastAsia" w:ascii="Times New Roman" w:hAnsi="Times New Roman" w:eastAsia="宋体" w:cs="Times New Roman"/>
          <w:sz w:val="24"/>
          <w:szCs w:val="24"/>
        </w:rPr>
        <w:t>年</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月</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日</w:t>
      </w:r>
    </w:p>
    <w:p>
      <w:pPr>
        <w:pStyle w:val="3"/>
        <w:ind w:firstLine="0"/>
        <w:rPr>
          <w:rFonts w:ascii="Times New Roman" w:hAnsi="Times New Roman" w:cs="Times New Roman"/>
          <w:sz w:val="24"/>
        </w:rPr>
      </w:pPr>
      <w:r>
        <w:rPr>
          <w:rFonts w:hint="eastAsia" w:ascii="Times New Roman" w:hAnsi="Times New Roman" w:cs="Times New Roman"/>
          <w:sz w:val="24"/>
        </w:rPr>
        <w:t>签约地点：西安</w:t>
      </w:r>
    </w:p>
    <w:p>
      <w:pPr>
        <w:rPr>
          <w:rFonts w:ascii="Times New Roman" w:hAnsi="Times New Roman" w:eastAsia="宋体" w:cs="Times New Roman"/>
          <w:sz w:val="24"/>
        </w:rPr>
      </w:pPr>
    </w:p>
    <w:p>
      <w:pPr>
        <w:rPr>
          <w:rFonts w:ascii="Times New Roman" w:hAnsi="Times New Roman" w:eastAsia="宋体" w:cs="Times New Roman"/>
          <w:sz w:val="24"/>
        </w:rPr>
      </w:pPr>
    </w:p>
    <w:p>
      <w:pPr>
        <w:rPr>
          <w:rFonts w:ascii="Times New Roman" w:hAnsi="Times New Roman" w:eastAsia="宋体" w:cs="Times New Roman"/>
          <w:sz w:val="24"/>
        </w:rPr>
      </w:pPr>
    </w:p>
    <w:p>
      <w:pPr>
        <w:pStyle w:val="6"/>
        <w:spacing w:line="360" w:lineRule="auto"/>
        <w:jc w:val="both"/>
        <w:rPr>
          <w:rFonts w:ascii="Times New Roman" w:hAnsi="Times New Roman" w:cs="Times New Roman"/>
          <w:sz w:val="24"/>
        </w:rPr>
      </w:pPr>
    </w:p>
    <w:p>
      <w:pPr>
        <w:spacing w:line="360" w:lineRule="auto"/>
        <w:rPr>
          <w:rFonts w:ascii="Times New Roman" w:hAnsi="Times New Roman" w:eastAsia="宋体" w:cs="Times New Roman"/>
          <w:kern w:val="0"/>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0MWExYzZhN2MyNGJiNTVhNDFjN2I1MzgyYTEyNWYifQ=="/>
  </w:docVars>
  <w:rsids>
    <w:rsidRoot w:val="47CC0510"/>
    <w:rsid w:val="0C9E7A33"/>
    <w:rsid w:val="1D3C3403"/>
    <w:rsid w:val="2BB30485"/>
    <w:rsid w:val="47CC0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keepNext/>
      <w:keepLines/>
      <w:spacing w:before="240" w:after="120" w:line="240" w:lineRule="atLeast"/>
      <w:outlineLvl w:val="3"/>
    </w:pPr>
    <w:rPr>
      <w:rFonts w:ascii="宋体" w:hAnsi="宋体" w:eastAsia="华文宋体"/>
      <w:b/>
      <w:bCs/>
      <w:sz w:val="28"/>
      <w:szCs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link w:val="9"/>
    <w:qFormat/>
    <w:uiPriority w:val="0"/>
    <w:pPr>
      <w:ind w:firstLine="420"/>
    </w:pPr>
    <w:rPr>
      <w:rFonts w:ascii="Times New Roman" w:hAnsi="Times New Roman" w:eastAsia="宋体" w:cs="Times New Roman"/>
    </w:rPr>
  </w:style>
  <w:style w:type="paragraph" w:styleId="4">
    <w:name w:val="toc 4"/>
    <w:basedOn w:val="1"/>
    <w:next w:val="1"/>
    <w:unhideWhenUsed/>
    <w:qFormat/>
    <w:uiPriority w:val="39"/>
    <w:pPr>
      <w:ind w:left="1260" w:leftChars="600"/>
    </w:p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40"/>
        <w:tab w:val="right" w:pos="8300"/>
      </w:tabs>
      <w:snapToGrid w:val="0"/>
      <w:jc w:val="left"/>
    </w:pPr>
    <w:rPr>
      <w:rFonts w:ascii="Times New Roman" w:hAnsi="Times New Roman" w:eastAsia="宋体" w:cs="Times New Roman"/>
      <w:sz w:val="18"/>
    </w:rPr>
  </w:style>
  <w:style w:type="character" w:customStyle="1" w:styleId="9">
    <w:name w:val="正文缩进 字符"/>
    <w:link w:val="3"/>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2023-11-15T10:49:00Z</dcterms:created>
  <dc:creator>好好的</dc:creator>
  <cp:lastModifiedBy>好好的</cp:lastModifiedBy>
  <dcterms:modified xsi:type="dcterms:W3CDTF">2023-11-15T10:49:33Z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5E453BA126014437A7635D59D2FD20F4_11</vt:lpwstr>
  </property>
</Properties>
</file>