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分项价格表</w:t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/>
          <w:color w:val="auto"/>
          <w:sz w:val="28"/>
          <w:szCs w:val="28"/>
          <w:highlight w:val="none"/>
        </w:rPr>
        <w:tab/>
      </w:r>
    </w:p>
    <w:p>
      <w:pPr>
        <w:pStyle w:val="3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包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号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</w:t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Cs w:val="32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单位：</w:t>
      </w:r>
      <w:r>
        <w:rPr>
          <w:rFonts w:hint="eastAsia" w:ascii="仿宋" w:hAnsi="仿宋"/>
          <w:color w:val="auto"/>
          <w:szCs w:val="32"/>
          <w:highlight w:val="none"/>
        </w:rPr>
        <w:t>元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661"/>
        <w:gridCol w:w="1119"/>
        <w:gridCol w:w="695"/>
        <w:gridCol w:w="3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6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657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40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备注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(</w:t>
            </w: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收费依据、收费标准等</w:t>
            </w: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6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6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6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6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62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pct"/>
            <w:gridSpan w:val="2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085" w:type="pct"/>
            <w:gridSpan w:val="3"/>
            <w:noWrap w:val="0"/>
            <w:vAlign w:val="center"/>
          </w:tcPr>
          <w:p>
            <w:pPr>
              <w:pStyle w:val="3"/>
              <w:spacing w:line="336" w:lineRule="auto"/>
              <w:jc w:val="left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大写：人民币</w:t>
            </w: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______________</w:t>
            </w: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元</w:t>
            </w:r>
          </w:p>
          <w:p>
            <w:pPr>
              <w:pStyle w:val="3"/>
              <w:spacing w:line="336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___________________</w:t>
            </w:r>
          </w:p>
        </w:tc>
      </w:tr>
    </w:tbl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说明：投标报价子目出现漏项或报价数量与招标文件要求不符的，将其视为无效投标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。</w:t>
      </w:r>
    </w:p>
    <w:p>
      <w:pPr>
        <w:pStyle w:val="3"/>
        <w:spacing w:line="336" w:lineRule="auto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投标人名称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____________________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szCs w:val="32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说明：授权用投标专用章的，与公章具有相同法律效力。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NjQzNGZmYzgxOTYwOWJjZTNmNzQ0OTk2MTliNzUifQ=="/>
  </w:docVars>
  <w:rsids>
    <w:rsidRoot w:val="438B0719"/>
    <w:rsid w:val="438B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2023-11-27T07:09:00Z</dcterms:created>
  <dc:creator>王琦</dc:creator>
  <cp:lastModifiedBy>王琦</cp:lastModifiedBy>
  <dcterms:modified xsi:type="dcterms:W3CDTF">2023-11-27T07:09:32Z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5B66AA8DD6374CE7953A588753353D02_11</vt:lpwstr>
  </property>
</Properties>
</file>