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after="0" w:line="360" w:lineRule="auto"/>
        <w:jc w:val="right"/>
        <w:rPr>
          <w:rFonts w:hint="default" w:eastAsia="黑体"/>
          <w:color w:val="auto"/>
          <w:sz w:val="30"/>
          <w:szCs w:val="30"/>
          <w:highlight w:val="none"/>
          <w:lang w:val="en-US" w:eastAsia="zh-CN"/>
        </w:rPr>
      </w:pPr>
      <w:r>
        <w:rPr>
          <w:rFonts w:hint="eastAsia" w:ascii="黑体" w:hAnsi="黑体" w:eastAsia="黑体" w:cs="微软雅黑"/>
          <w:color w:val="auto"/>
          <w:sz w:val="32"/>
          <w:szCs w:val="32"/>
          <w:highlight w:val="none"/>
        </w:rPr>
        <w:t xml:space="preserve">  编号：</w:t>
      </w:r>
      <w:r>
        <w:rPr>
          <w:rFonts w:hint="eastAsia" w:ascii="黑体" w:hAnsi="黑体" w:eastAsia="黑体" w:cs="微软雅黑"/>
          <w:color w:val="auto"/>
          <w:sz w:val="32"/>
          <w:szCs w:val="32"/>
          <w:highlight w:val="none"/>
          <w:lang w:val="en-US" w:eastAsia="zh-CN"/>
        </w:rPr>
        <w:t xml:space="preserve">          </w:t>
      </w:r>
    </w:p>
    <w:p>
      <w:pPr>
        <w:spacing w:after="0" w:line="360" w:lineRule="auto"/>
        <w:rPr>
          <w:rFonts w:ascii="微软雅黑" w:cs="微软雅黑"/>
          <w:color w:val="auto"/>
          <w:sz w:val="18"/>
          <w:szCs w:val="18"/>
          <w:highlight w:val="none"/>
        </w:rPr>
      </w:pPr>
    </w:p>
    <w:p>
      <w:pPr>
        <w:pStyle w:val="3"/>
        <w:rPr>
          <w:color w:val="auto"/>
          <w:highlight w:val="none"/>
        </w:rPr>
      </w:pPr>
    </w:p>
    <w:p>
      <w:pPr>
        <w:spacing w:line="360" w:lineRule="auto"/>
        <w:jc w:val="center"/>
        <w:rPr>
          <w:rFonts w:ascii="黑体" w:eastAsia="黑体" w:cs="Arial"/>
          <w:b/>
          <w:color w:val="auto"/>
          <w:sz w:val="48"/>
          <w:szCs w:val="48"/>
          <w:highlight w:val="none"/>
        </w:rPr>
      </w:pPr>
      <w:r>
        <w:rPr>
          <w:rFonts w:hint="eastAsia" w:ascii="黑体" w:eastAsia="黑体" w:cs="Arial"/>
          <w:b/>
          <w:color w:val="auto"/>
          <w:sz w:val="48"/>
          <w:szCs w:val="48"/>
          <w:highlight w:val="none"/>
        </w:rPr>
        <w:t>延安大学附属医院</w:t>
      </w:r>
      <w:r>
        <w:rPr>
          <w:rFonts w:hint="eastAsia" w:ascii="黑体" w:eastAsia="黑体" w:cs="Arial"/>
          <w:b/>
          <w:color w:val="auto"/>
          <w:sz w:val="48"/>
          <w:szCs w:val="48"/>
          <w:highlight w:val="none"/>
          <w:lang w:eastAsia="zh-CN"/>
        </w:rPr>
        <w:t>美国通用电气EXCITE1.5THDTwinSpeed磁共振保修服务</w:t>
      </w:r>
      <w:r>
        <w:rPr>
          <w:rFonts w:hint="eastAsia" w:ascii="黑体" w:eastAsia="黑体" w:cs="Arial"/>
          <w:b/>
          <w:color w:val="auto"/>
          <w:sz w:val="48"/>
          <w:szCs w:val="48"/>
          <w:highlight w:val="none"/>
        </w:rPr>
        <w:t>项目</w:t>
      </w:r>
    </w:p>
    <w:p>
      <w:pPr>
        <w:spacing w:after="0" w:line="360" w:lineRule="auto"/>
        <w:rPr>
          <w:rFonts w:ascii="黑体" w:hAnsi="黑体" w:eastAsia="黑体"/>
          <w:b/>
          <w:color w:val="auto"/>
          <w:sz w:val="44"/>
          <w:szCs w:val="44"/>
          <w:highlight w:val="none"/>
        </w:rPr>
      </w:pPr>
    </w:p>
    <w:p>
      <w:pPr>
        <w:pStyle w:val="3"/>
        <w:rPr>
          <w:color w:val="auto"/>
          <w:highlight w:val="none"/>
        </w:rPr>
      </w:pPr>
    </w:p>
    <w:p>
      <w:pPr>
        <w:spacing w:after="0" w:line="360" w:lineRule="auto"/>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合</w:t>
      </w:r>
    </w:p>
    <w:p>
      <w:pPr>
        <w:spacing w:after="0" w:line="360" w:lineRule="auto"/>
        <w:jc w:val="center"/>
        <w:rPr>
          <w:rFonts w:ascii="黑体" w:hAnsi="黑体" w:eastAsia="黑体"/>
          <w:b/>
          <w:color w:val="auto"/>
          <w:sz w:val="44"/>
          <w:szCs w:val="44"/>
          <w:highlight w:val="none"/>
        </w:rPr>
      </w:pPr>
    </w:p>
    <w:p>
      <w:pPr>
        <w:spacing w:after="0" w:line="360" w:lineRule="auto"/>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同</w:t>
      </w:r>
    </w:p>
    <w:p>
      <w:pPr>
        <w:spacing w:after="0" w:line="360" w:lineRule="auto"/>
        <w:jc w:val="center"/>
        <w:rPr>
          <w:rFonts w:ascii="黑体" w:hAnsi="黑体" w:eastAsia="黑体"/>
          <w:b/>
          <w:color w:val="auto"/>
          <w:sz w:val="44"/>
          <w:szCs w:val="44"/>
          <w:highlight w:val="none"/>
        </w:rPr>
      </w:pPr>
    </w:p>
    <w:p>
      <w:pPr>
        <w:spacing w:after="0" w:line="360" w:lineRule="auto"/>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书</w:t>
      </w:r>
    </w:p>
    <w:p>
      <w:pPr>
        <w:spacing w:after="0" w:line="360" w:lineRule="auto"/>
        <w:rPr>
          <w:rFonts w:ascii="黑体" w:hAnsi="黑体" w:eastAsia="黑体"/>
          <w:color w:val="auto"/>
          <w:sz w:val="44"/>
          <w:szCs w:val="44"/>
          <w:highlight w:val="none"/>
        </w:rPr>
      </w:pPr>
    </w:p>
    <w:p>
      <w:pPr>
        <w:pStyle w:val="3"/>
        <w:rPr>
          <w:color w:val="auto"/>
          <w:highlight w:val="none"/>
        </w:rPr>
      </w:pPr>
    </w:p>
    <w:p>
      <w:pPr>
        <w:pStyle w:val="3"/>
        <w:rPr>
          <w:color w:val="auto"/>
          <w:highlight w:val="none"/>
        </w:rPr>
      </w:pPr>
    </w:p>
    <w:p>
      <w:pPr>
        <w:rPr>
          <w:color w:val="auto"/>
          <w:highlight w:val="none"/>
        </w:rPr>
      </w:pPr>
    </w:p>
    <w:p>
      <w:pPr>
        <w:spacing w:after="0" w:line="360" w:lineRule="auto"/>
        <w:ind w:firstLine="1760" w:firstLineChars="550"/>
        <w:rPr>
          <w:rFonts w:ascii="楷体" w:hAnsi="楷体" w:eastAsia="楷体"/>
          <w:color w:val="auto"/>
          <w:sz w:val="32"/>
          <w:szCs w:val="32"/>
          <w:highlight w:val="none"/>
        </w:rPr>
      </w:pPr>
      <w:r>
        <w:rPr>
          <w:rFonts w:hint="eastAsia" w:ascii="楷体" w:hAnsi="楷体" w:eastAsia="楷体"/>
          <w:color w:val="auto"/>
          <w:sz w:val="32"/>
          <w:szCs w:val="32"/>
          <w:highlight w:val="none"/>
        </w:rPr>
        <w:t>甲</w:t>
      </w:r>
      <w:r>
        <w:rPr>
          <w:rFonts w:ascii="楷体" w:hAnsi="楷体" w:eastAsia="楷体"/>
          <w:color w:val="auto"/>
          <w:sz w:val="32"/>
          <w:szCs w:val="32"/>
          <w:highlight w:val="none"/>
        </w:rPr>
        <w:t xml:space="preserve">    </w:t>
      </w:r>
      <w:r>
        <w:rPr>
          <w:rFonts w:hint="eastAsia" w:ascii="楷体" w:hAnsi="楷体" w:eastAsia="楷体"/>
          <w:color w:val="auto"/>
          <w:sz w:val="32"/>
          <w:szCs w:val="32"/>
          <w:highlight w:val="none"/>
        </w:rPr>
        <w:t>方：</w:t>
      </w:r>
      <w:r>
        <w:rPr>
          <w:rFonts w:hint="eastAsia" w:ascii="楷体" w:hAnsi="楷体" w:eastAsia="楷体"/>
          <w:color w:val="auto"/>
          <w:sz w:val="32"/>
          <w:szCs w:val="32"/>
          <w:highlight w:val="none"/>
          <w:u w:val="single"/>
        </w:rPr>
        <w:t>延安大学附属医院</w:t>
      </w:r>
    </w:p>
    <w:p>
      <w:pPr>
        <w:spacing w:after="0" w:line="360" w:lineRule="auto"/>
        <w:ind w:firstLine="1760" w:firstLineChars="550"/>
        <w:rPr>
          <w:rFonts w:hint="default" w:ascii="楷体" w:hAnsi="楷体" w:eastAsia="楷体"/>
          <w:color w:val="auto"/>
          <w:sz w:val="32"/>
          <w:szCs w:val="32"/>
          <w:highlight w:val="none"/>
          <w:u w:val="single"/>
          <w:lang w:val="en-US" w:eastAsia="zh-CN"/>
        </w:rPr>
      </w:pPr>
      <w:r>
        <w:rPr>
          <w:rFonts w:hint="eastAsia" w:ascii="楷体" w:hAnsi="楷体" w:eastAsia="楷体"/>
          <w:color w:val="auto"/>
          <w:sz w:val="32"/>
          <w:szCs w:val="32"/>
          <w:highlight w:val="none"/>
        </w:rPr>
        <w:t>乙</w:t>
      </w:r>
      <w:r>
        <w:rPr>
          <w:rFonts w:ascii="楷体" w:hAnsi="楷体" w:eastAsia="楷体"/>
          <w:color w:val="auto"/>
          <w:sz w:val="32"/>
          <w:szCs w:val="32"/>
          <w:highlight w:val="none"/>
        </w:rPr>
        <w:t xml:space="preserve">    </w:t>
      </w:r>
      <w:r>
        <w:rPr>
          <w:rFonts w:hint="eastAsia" w:ascii="楷体" w:hAnsi="楷体" w:eastAsia="楷体"/>
          <w:color w:val="auto"/>
          <w:sz w:val="32"/>
          <w:szCs w:val="32"/>
          <w:highlight w:val="none"/>
        </w:rPr>
        <w:t>方：</w:t>
      </w:r>
      <w:r>
        <w:rPr>
          <w:rFonts w:hint="eastAsia" w:ascii="楷体" w:hAnsi="楷体" w:eastAsia="楷体"/>
          <w:color w:val="auto"/>
          <w:sz w:val="32"/>
          <w:szCs w:val="32"/>
          <w:highlight w:val="none"/>
          <w:u w:val="single"/>
          <w:lang w:val="en-US" w:eastAsia="zh-CN"/>
        </w:rPr>
        <w:t>有限公司</w:t>
      </w:r>
    </w:p>
    <w:p>
      <w:pPr>
        <w:spacing w:after="0" w:line="360" w:lineRule="auto"/>
        <w:ind w:firstLine="1760" w:firstLineChars="550"/>
        <w:rPr>
          <w:rFonts w:ascii="楷体" w:hAnsi="楷体" w:eastAsia="楷体"/>
          <w:color w:val="auto"/>
          <w:sz w:val="32"/>
          <w:szCs w:val="32"/>
          <w:highlight w:val="none"/>
        </w:rPr>
      </w:pPr>
      <w:r>
        <w:rPr>
          <w:rFonts w:hint="eastAsia" w:ascii="楷体" w:hAnsi="楷体" w:eastAsia="楷体"/>
          <w:color w:val="auto"/>
          <w:sz w:val="32"/>
          <w:szCs w:val="32"/>
          <w:highlight w:val="none"/>
        </w:rPr>
        <w:t>签订地点：</w:t>
      </w:r>
      <w:r>
        <w:rPr>
          <w:rFonts w:hint="eastAsia" w:ascii="楷体" w:hAnsi="楷体" w:eastAsia="楷体"/>
          <w:color w:val="auto"/>
          <w:sz w:val="32"/>
          <w:szCs w:val="32"/>
          <w:highlight w:val="none"/>
          <w:u w:val="single"/>
        </w:rPr>
        <w:t>招标采供科</w:t>
      </w:r>
    </w:p>
    <w:p>
      <w:pPr>
        <w:spacing w:after="0" w:line="360" w:lineRule="auto"/>
        <w:jc w:val="both"/>
        <w:rPr>
          <w:rFonts w:ascii="楷体" w:hAnsi="楷体" w:eastAsia="楷体"/>
          <w:color w:val="auto"/>
          <w:sz w:val="32"/>
          <w:szCs w:val="32"/>
          <w:highlight w:val="none"/>
        </w:rPr>
      </w:pPr>
    </w:p>
    <w:p>
      <w:pPr>
        <w:spacing w:after="0" w:line="360" w:lineRule="auto"/>
        <w:jc w:val="center"/>
        <w:rPr>
          <w:rFonts w:ascii="楷体" w:hAnsi="楷体" w:eastAsia="楷体"/>
          <w:color w:val="auto"/>
          <w:sz w:val="32"/>
          <w:szCs w:val="32"/>
          <w:highlight w:val="none"/>
        </w:rPr>
      </w:pPr>
      <w:r>
        <w:rPr>
          <w:rFonts w:hint="eastAsia" w:ascii="楷体" w:hAnsi="楷体" w:eastAsia="楷体"/>
          <w:color w:val="auto"/>
          <w:sz w:val="32"/>
          <w:szCs w:val="32"/>
          <w:highlight w:val="none"/>
        </w:rPr>
        <w:t>延安大学附属医院招标采供科制</w:t>
      </w:r>
    </w:p>
    <w:p>
      <w:pPr>
        <w:keepNext/>
        <w:keepLines/>
        <w:spacing w:line="360" w:lineRule="auto"/>
        <w:jc w:val="center"/>
        <w:outlineLvl w:val="0"/>
        <w:rPr>
          <w:rFonts w:asciiTheme="minorEastAsia" w:hAnsiTheme="minorEastAsia" w:eastAsiaTheme="minorEastAsia"/>
          <w:b/>
          <w:bCs/>
          <w:color w:val="auto"/>
          <w:kern w:val="44"/>
          <w:sz w:val="40"/>
          <w:highlight w:val="none"/>
        </w:rPr>
      </w:pPr>
      <w:r>
        <w:rPr>
          <w:rFonts w:hint="eastAsia" w:asciiTheme="minorEastAsia" w:hAnsiTheme="minorEastAsia" w:eastAsiaTheme="minorEastAsia"/>
          <w:b/>
          <w:bCs/>
          <w:color w:val="auto"/>
          <w:kern w:val="44"/>
          <w:sz w:val="40"/>
          <w:highlight w:val="none"/>
          <w:lang w:eastAsia="zh-CN"/>
        </w:rPr>
        <w:t>保修</w:t>
      </w:r>
      <w:r>
        <w:rPr>
          <w:rFonts w:hint="eastAsia" w:asciiTheme="minorEastAsia" w:hAnsiTheme="minorEastAsia" w:eastAsiaTheme="minorEastAsia"/>
          <w:b/>
          <w:bCs/>
          <w:color w:val="auto"/>
          <w:kern w:val="44"/>
          <w:sz w:val="40"/>
          <w:highlight w:val="none"/>
        </w:rPr>
        <w:t>项目合同书</w:t>
      </w:r>
    </w:p>
    <w:p>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甲方：延安大学附属医院（以下简称甲方）</w:t>
      </w:r>
    </w:p>
    <w:p>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统一信用代码：12610000436450686U</w:t>
      </w:r>
    </w:p>
    <w:p>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法定代表人：白茫茫</w:t>
      </w:r>
    </w:p>
    <w:p>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地址：陕西省延安市宝塔区北大街43号院 </w:t>
      </w:r>
    </w:p>
    <w:p>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电话：(0911)2881002   传真: (0911)2881002  邮编: 716000</w:t>
      </w:r>
    </w:p>
    <w:p>
      <w:pPr>
        <w:spacing w:beforeLines="50"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乙方：</w:t>
      </w:r>
      <w:r>
        <w:rPr>
          <w:rFonts w:hint="eastAsia" w:asciiTheme="minorEastAsia" w:hAnsiTheme="minorEastAsia" w:eastAsiaTheme="minorEastAsia"/>
          <w:color w:val="auto"/>
          <w:sz w:val="24"/>
          <w:szCs w:val="24"/>
          <w:highlight w:val="none"/>
        </w:rPr>
        <w:t>（以下简称乙方）</w:t>
      </w:r>
    </w:p>
    <w:p>
      <w:pPr>
        <w:spacing w:after="0" w:line="360" w:lineRule="auto"/>
        <w:jc w:val="both"/>
        <w:rPr>
          <w:rFonts w:hint="eastAsia" w:ascii="宋体" w:hAnsi="宋体" w:eastAsia="宋体"/>
          <w:color w:val="auto"/>
          <w:sz w:val="24"/>
          <w:szCs w:val="24"/>
          <w:highlight w:val="none"/>
          <w:lang w:val="en-US" w:eastAsia="zh-CN"/>
        </w:rPr>
      </w:pPr>
      <w:r>
        <w:rPr>
          <w:rFonts w:hint="eastAsia" w:asciiTheme="minorEastAsia" w:hAnsiTheme="minorEastAsia" w:eastAsiaTheme="minorEastAsia"/>
          <w:color w:val="auto"/>
          <w:sz w:val="24"/>
          <w:szCs w:val="24"/>
          <w:highlight w:val="none"/>
        </w:rPr>
        <w:t>统一信用代码：</w:t>
      </w:r>
    </w:p>
    <w:p>
      <w:pPr>
        <w:spacing w:after="0" w:line="360" w:lineRule="auto"/>
        <w:jc w:val="both"/>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rPr>
        <w:t>法定代表人：</w:t>
      </w:r>
    </w:p>
    <w:p>
      <w:pPr>
        <w:spacing w:after="0" w:line="360" w:lineRule="auto"/>
        <w:jc w:val="both"/>
        <w:rPr>
          <w:rFonts w:hint="eastAsia" w:ascii="宋体" w:hAnsi="宋体" w:eastAsia="宋体"/>
          <w:color w:val="auto"/>
          <w:sz w:val="24"/>
          <w:szCs w:val="24"/>
          <w:highlight w:val="none"/>
          <w:lang w:val="en-US" w:eastAsia="zh-CN"/>
        </w:rPr>
      </w:pPr>
      <w:r>
        <w:rPr>
          <w:rFonts w:hint="eastAsia" w:asciiTheme="minorEastAsia" w:hAnsiTheme="minorEastAsia" w:eastAsiaTheme="minorEastAsia"/>
          <w:color w:val="auto"/>
          <w:sz w:val="24"/>
          <w:szCs w:val="24"/>
          <w:highlight w:val="none"/>
        </w:rPr>
        <w:t>地址：</w:t>
      </w:r>
    </w:p>
    <w:p>
      <w:pPr>
        <w:spacing w:after="0" w:line="360" w:lineRule="auto"/>
        <w:jc w:val="both"/>
        <w:rPr>
          <w:rFonts w:hint="default" w:eastAsia="宋体" w:asciiTheme="minorEastAsia" w:hAnsiTheme="minorEastAsia"/>
          <w:color w:val="auto"/>
          <w:sz w:val="24"/>
          <w:szCs w:val="24"/>
          <w:highlight w:val="none"/>
          <w:lang w:val="en-US" w:eastAsia="zh-CN"/>
        </w:rPr>
      </w:pPr>
      <w:r>
        <w:rPr>
          <w:rFonts w:hint="eastAsia" w:ascii="宋体" w:hAnsi="宋体" w:eastAsia="宋体"/>
          <w:color w:val="auto"/>
          <w:sz w:val="24"/>
          <w:szCs w:val="24"/>
          <w:highlight w:val="none"/>
        </w:rPr>
        <w:t xml:space="preserve">电话: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邮编:</w:t>
      </w:r>
    </w:p>
    <w:p>
      <w:pPr>
        <w:tabs>
          <w:tab w:val="left" w:pos="540"/>
        </w:tabs>
        <w:spacing w:beforeLines="100" w:after="0" w:line="360" w:lineRule="auto"/>
        <w:ind w:firstLine="480" w:firstLineChars="200"/>
        <w:jc w:val="both"/>
        <w:rPr>
          <w:rFonts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根据《中华人民共和国民法典》及相关法律法规之规定,甲乙双方本着诚实信用、相互合作、平等互利的原则，就医疗设备的服务购买事宜,为明确双方的权利义务，特订立本合同，双方共同信守。</w:t>
      </w:r>
    </w:p>
    <w:p>
      <w:pPr>
        <w:tabs>
          <w:tab w:val="left" w:pos="540"/>
        </w:tabs>
        <w:spacing w:after="0" w:line="520" w:lineRule="exact"/>
        <w:jc w:val="both"/>
        <w:rPr>
          <w:rFonts w:cs="黑体" w:asciiTheme="minorEastAsia" w:hAnsiTheme="minorEastAsia" w:eastAsiaTheme="minorEastAsia"/>
          <w:b/>
          <w:color w:val="auto"/>
          <w:sz w:val="24"/>
          <w:szCs w:val="24"/>
          <w:highlight w:val="none"/>
        </w:rPr>
      </w:pPr>
      <w:r>
        <w:rPr>
          <w:rFonts w:hint="eastAsia" w:cs="仿宋" w:asciiTheme="minorEastAsia" w:hAnsiTheme="minorEastAsia" w:eastAsiaTheme="minorEastAsia"/>
          <w:b/>
          <w:bCs/>
          <w:color w:val="auto"/>
          <w:sz w:val="24"/>
          <w:szCs w:val="24"/>
          <w:highlight w:val="none"/>
        </w:rPr>
        <w:t>第一条</w:t>
      </w:r>
      <w:r>
        <w:rPr>
          <w:rFonts w:hint="eastAsia" w:cs="仿宋" w:asciiTheme="minorEastAsia" w:hAnsiTheme="minorEastAsia" w:eastAsiaTheme="minorEastAsia"/>
          <w:bCs/>
          <w:color w:val="auto"/>
          <w:sz w:val="24"/>
          <w:szCs w:val="24"/>
          <w:highlight w:val="none"/>
        </w:rPr>
        <w:t xml:space="preserve"> 合同产品:乙方负责向甲方</w:t>
      </w:r>
      <w:r>
        <w:rPr>
          <w:rFonts w:hint="eastAsia" w:cs="仿宋" w:asciiTheme="minorEastAsia" w:hAnsiTheme="minorEastAsia" w:eastAsiaTheme="minorEastAsia"/>
          <w:bCs/>
          <w:color w:val="auto"/>
          <w:sz w:val="24"/>
          <w:szCs w:val="24"/>
          <w:highlight w:val="none"/>
          <w:lang w:eastAsia="zh-CN"/>
        </w:rPr>
        <w:t>提供</w:t>
      </w:r>
      <w:r>
        <w:rPr>
          <w:rFonts w:hint="eastAsia" w:cs="仿宋" w:asciiTheme="minorEastAsia" w:hAnsiTheme="minorEastAsia" w:eastAsiaTheme="minorEastAsia"/>
          <w:bCs/>
          <w:color w:val="auto"/>
          <w:sz w:val="24"/>
          <w:szCs w:val="24"/>
          <w:highlight w:val="none"/>
        </w:rPr>
        <w:t>下表中所列产品的保修服务：</w:t>
      </w:r>
      <w:r>
        <w:rPr>
          <w:rFonts w:hint="eastAsia" w:asciiTheme="minorEastAsia" w:hAnsiTheme="minorEastAsia" w:eastAsiaTheme="minorEastAsia"/>
          <w:color w:val="auto"/>
          <w:sz w:val="28"/>
          <w:szCs w:val="28"/>
          <w:highlight w:val="none"/>
        </w:rPr>
        <w:t xml:space="preserve">       </w:t>
      </w:r>
    </w:p>
    <w:tbl>
      <w:tblPr>
        <w:tblStyle w:val="11"/>
        <w:tblpPr w:leftFromText="180" w:rightFromText="180" w:vertAnchor="text" w:horzAnchor="page" w:tblpX="957" w:tblpY="248"/>
        <w:tblOverlap w:val="never"/>
        <w:tblW w:w="993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3023"/>
        <w:gridCol w:w="2070"/>
        <w:gridCol w:w="1725"/>
        <w:gridCol w:w="930"/>
        <w:gridCol w:w="855"/>
        <w:gridCol w:w="133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81" w:hRule="atLeast"/>
        </w:trPr>
        <w:tc>
          <w:tcPr>
            <w:tcW w:w="3023" w:type="dxa"/>
            <w:vAlign w:val="center"/>
          </w:tcPr>
          <w:p>
            <w:pPr>
              <w:tabs>
                <w:tab w:val="left" w:pos="8364"/>
              </w:tabs>
              <w:spacing w:after="0" w:line="360" w:lineRule="auto"/>
              <w:ind w:right="-58"/>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产品名称</w:t>
            </w:r>
          </w:p>
        </w:tc>
        <w:tc>
          <w:tcPr>
            <w:tcW w:w="2070" w:type="dxa"/>
            <w:vAlign w:val="center"/>
          </w:tcPr>
          <w:p>
            <w:pPr>
              <w:tabs>
                <w:tab w:val="left" w:pos="8364"/>
              </w:tabs>
              <w:spacing w:after="0" w:line="360" w:lineRule="auto"/>
              <w:ind w:right="-58"/>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规格型号</w:t>
            </w:r>
          </w:p>
        </w:tc>
        <w:tc>
          <w:tcPr>
            <w:tcW w:w="1725" w:type="dxa"/>
            <w:vAlign w:val="center"/>
          </w:tcPr>
          <w:p>
            <w:pPr>
              <w:tabs>
                <w:tab w:val="left" w:pos="8364"/>
              </w:tabs>
              <w:spacing w:after="0" w:line="360" w:lineRule="auto"/>
              <w:ind w:right="77" w:rightChars="35"/>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产地/品牌</w:t>
            </w:r>
          </w:p>
        </w:tc>
        <w:tc>
          <w:tcPr>
            <w:tcW w:w="930" w:type="dxa"/>
            <w:tcBorders>
              <w:right w:val="single" w:color="auto" w:sz="4" w:space="0"/>
            </w:tcBorders>
            <w:vAlign w:val="center"/>
          </w:tcPr>
          <w:p>
            <w:pPr>
              <w:tabs>
                <w:tab w:val="left" w:pos="8364"/>
              </w:tabs>
              <w:spacing w:after="0" w:line="360" w:lineRule="auto"/>
              <w:ind w:right="77"/>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年限</w:t>
            </w:r>
          </w:p>
        </w:tc>
        <w:tc>
          <w:tcPr>
            <w:tcW w:w="855" w:type="dxa"/>
            <w:tcBorders>
              <w:right w:val="single" w:color="auto" w:sz="4" w:space="0"/>
            </w:tcBorders>
            <w:vAlign w:val="center"/>
          </w:tcPr>
          <w:p>
            <w:pPr>
              <w:tabs>
                <w:tab w:val="left" w:pos="8364"/>
              </w:tabs>
              <w:spacing w:after="0" w:line="360" w:lineRule="auto"/>
              <w:ind w:right="-58"/>
              <w:jc w:val="center"/>
              <w:rPr>
                <w:rFonts w:hint="eastAsia" w:ascii="宋体" w:hAnsi="宋体" w:eastAsia="宋体" w:cs="黑体"/>
                <w:b/>
                <w:color w:val="auto"/>
                <w:sz w:val="24"/>
                <w:szCs w:val="24"/>
                <w:highlight w:val="none"/>
                <w:lang w:eastAsia="zh-CN"/>
              </w:rPr>
            </w:pPr>
            <w:r>
              <w:rPr>
                <w:rFonts w:hint="eastAsia" w:ascii="宋体" w:hAnsi="宋体" w:eastAsia="宋体" w:cs="黑体"/>
                <w:b/>
                <w:color w:val="auto"/>
                <w:sz w:val="24"/>
                <w:szCs w:val="24"/>
                <w:highlight w:val="none"/>
                <w:lang w:eastAsia="zh-CN"/>
              </w:rPr>
              <w:t>数量</w:t>
            </w:r>
          </w:p>
        </w:tc>
        <w:tc>
          <w:tcPr>
            <w:tcW w:w="1335" w:type="dxa"/>
            <w:tcBorders>
              <w:left w:val="single" w:color="auto" w:sz="4" w:space="0"/>
              <w:right w:val="single" w:color="auto" w:sz="4" w:space="0"/>
            </w:tcBorders>
            <w:vAlign w:val="center"/>
          </w:tcPr>
          <w:p>
            <w:pPr>
              <w:tabs>
                <w:tab w:val="left" w:pos="8364"/>
              </w:tabs>
              <w:spacing w:after="0" w:line="360" w:lineRule="auto"/>
              <w:ind w:right="-58"/>
              <w:jc w:val="center"/>
              <w:rPr>
                <w:rFonts w:hint="eastAsia" w:ascii="宋体" w:hAnsi="宋体" w:eastAsia="宋体" w:cs="黑体"/>
                <w:b/>
                <w:color w:val="auto"/>
                <w:sz w:val="24"/>
                <w:szCs w:val="24"/>
                <w:highlight w:val="none"/>
                <w:lang w:eastAsia="zh-CN"/>
              </w:rPr>
            </w:pPr>
            <w:r>
              <w:rPr>
                <w:rFonts w:hint="eastAsia" w:ascii="宋体" w:hAnsi="宋体" w:eastAsia="宋体" w:cs="黑体"/>
                <w:b/>
                <w:color w:val="auto"/>
                <w:sz w:val="24"/>
                <w:szCs w:val="24"/>
                <w:highlight w:val="none"/>
                <w:lang w:eastAsia="zh-CN"/>
              </w:rPr>
              <w:t>价格</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trPr>
        <w:tc>
          <w:tcPr>
            <w:tcW w:w="3023" w:type="dxa"/>
            <w:vAlign w:val="center"/>
          </w:tcPr>
          <w:p>
            <w:pPr>
              <w:spacing w:after="0" w:line="360" w:lineRule="auto"/>
              <w:jc w:val="center"/>
              <w:rPr>
                <w:rFonts w:hint="eastAsia" w:ascii="宋体" w:hAnsi="宋体" w:eastAsia="宋体" w:cs="黑体"/>
                <w:color w:val="auto"/>
                <w:sz w:val="24"/>
                <w:szCs w:val="24"/>
                <w:highlight w:val="none"/>
                <w:lang w:eastAsia="zh-CN"/>
              </w:rPr>
            </w:pPr>
            <w:r>
              <w:rPr>
                <w:rFonts w:hint="eastAsia" w:ascii="宋体" w:hAnsi="宋体" w:eastAsia="宋体" w:cs="黑体"/>
                <w:color w:val="auto"/>
                <w:sz w:val="24"/>
                <w:szCs w:val="24"/>
                <w:highlight w:val="none"/>
                <w:lang w:eastAsia="zh-CN"/>
              </w:rPr>
              <w:t>美国通用电气EXCITE1.5THDTwinSpeed磁共振</w:t>
            </w:r>
          </w:p>
        </w:tc>
        <w:tc>
          <w:tcPr>
            <w:tcW w:w="2070" w:type="dxa"/>
            <w:vAlign w:val="center"/>
          </w:tcPr>
          <w:p>
            <w:pPr>
              <w:spacing w:after="0" w:line="360" w:lineRule="auto"/>
              <w:jc w:val="center"/>
              <w:rPr>
                <w:rFonts w:hint="default" w:ascii="宋体" w:hAnsi="宋体" w:eastAsia="宋体" w:cs="黑体"/>
                <w:color w:val="auto"/>
                <w:sz w:val="24"/>
                <w:szCs w:val="24"/>
                <w:highlight w:val="none"/>
                <w:lang w:val="en-US" w:eastAsia="zh-CN"/>
              </w:rPr>
            </w:pPr>
            <w:r>
              <w:rPr>
                <w:rFonts w:hint="eastAsia" w:ascii="宋体" w:hAnsi="宋体" w:eastAsia="宋体" w:cs="黑体"/>
                <w:color w:val="auto"/>
                <w:sz w:val="24"/>
                <w:szCs w:val="24"/>
                <w:highlight w:val="none"/>
                <w:lang w:val="en-US" w:eastAsia="zh-CN"/>
              </w:rPr>
              <w:t>1.5T核磁共振</w:t>
            </w:r>
          </w:p>
        </w:tc>
        <w:tc>
          <w:tcPr>
            <w:tcW w:w="1725" w:type="dxa"/>
            <w:vAlign w:val="center"/>
          </w:tcPr>
          <w:p>
            <w:pPr>
              <w:spacing w:beforeLines="100" w:after="0" w:line="360" w:lineRule="auto"/>
              <w:jc w:val="center"/>
              <w:rPr>
                <w:rFonts w:hint="default" w:ascii="宋体" w:hAnsi="宋体" w:eastAsia="宋体" w:cs="Arial"/>
                <w:color w:val="auto"/>
                <w:sz w:val="24"/>
                <w:szCs w:val="24"/>
                <w:highlight w:val="none"/>
                <w:lang w:val="en-US" w:eastAsia="zh-CN"/>
              </w:rPr>
            </w:pPr>
            <w:r>
              <w:rPr>
                <w:rFonts w:hint="eastAsia" w:ascii="宋体" w:hAnsi="宋体" w:eastAsia="宋体" w:cs="黑体"/>
                <w:color w:val="auto"/>
                <w:sz w:val="24"/>
                <w:szCs w:val="24"/>
                <w:highlight w:val="none"/>
                <w:lang w:val="en-US" w:eastAsia="zh-CN"/>
              </w:rPr>
              <w:t>美国/GE</w:t>
            </w:r>
          </w:p>
        </w:tc>
        <w:tc>
          <w:tcPr>
            <w:tcW w:w="930" w:type="dxa"/>
            <w:tcBorders>
              <w:right w:val="single" w:color="auto" w:sz="4" w:space="0"/>
            </w:tcBorders>
            <w:vAlign w:val="center"/>
          </w:tcPr>
          <w:p>
            <w:pPr>
              <w:spacing w:after="0" w:line="360" w:lineRule="auto"/>
              <w:jc w:val="center"/>
              <w:rPr>
                <w:rFonts w:ascii="宋体" w:hAnsi="宋体" w:eastAsia="宋体" w:cs="Arial"/>
                <w:color w:val="auto"/>
                <w:sz w:val="24"/>
                <w:szCs w:val="24"/>
                <w:highlight w:val="none"/>
              </w:rPr>
            </w:pPr>
            <w:r>
              <w:rPr>
                <w:rFonts w:hint="eastAsia" w:ascii="宋体" w:hAnsi="宋体" w:eastAsia="宋体" w:cs="Arial"/>
                <w:color w:val="auto"/>
                <w:sz w:val="24"/>
                <w:szCs w:val="24"/>
                <w:highlight w:val="none"/>
                <w:lang w:val="en-US" w:eastAsia="zh-CN"/>
              </w:rPr>
              <w:t>1</w:t>
            </w:r>
            <w:r>
              <w:rPr>
                <w:rFonts w:hint="eastAsia" w:ascii="宋体" w:hAnsi="宋体" w:eastAsia="宋体" w:cs="Arial"/>
                <w:color w:val="auto"/>
                <w:sz w:val="24"/>
                <w:szCs w:val="24"/>
                <w:highlight w:val="none"/>
              </w:rPr>
              <w:t>年</w:t>
            </w:r>
          </w:p>
        </w:tc>
        <w:tc>
          <w:tcPr>
            <w:tcW w:w="855" w:type="dxa"/>
            <w:tcBorders>
              <w:right w:val="single" w:color="auto" w:sz="4" w:space="0"/>
            </w:tcBorders>
            <w:vAlign w:val="center"/>
          </w:tcPr>
          <w:p>
            <w:pPr>
              <w:tabs>
                <w:tab w:val="left" w:pos="8364"/>
              </w:tabs>
              <w:spacing w:after="0"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1台</w:t>
            </w:r>
          </w:p>
        </w:tc>
        <w:tc>
          <w:tcPr>
            <w:tcW w:w="1335" w:type="dxa"/>
            <w:tcBorders>
              <w:left w:val="single" w:color="auto" w:sz="4" w:space="0"/>
              <w:right w:val="single" w:color="auto" w:sz="4" w:space="0"/>
            </w:tcBorders>
            <w:vAlign w:val="center"/>
          </w:tcPr>
          <w:p>
            <w:pPr>
              <w:tabs>
                <w:tab w:val="left" w:pos="8364"/>
              </w:tabs>
              <w:spacing w:after="0" w:line="360" w:lineRule="auto"/>
              <w:ind w:right="-58"/>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29" w:hRule="atLeast"/>
        </w:trPr>
        <w:tc>
          <w:tcPr>
            <w:tcW w:w="9938" w:type="dxa"/>
            <w:gridSpan w:val="6"/>
            <w:tcBorders>
              <w:top w:val="single" w:color="auto" w:sz="4" w:space="0"/>
              <w:bottom w:val="single" w:color="auto" w:sz="4" w:space="0"/>
              <w:right w:val="single" w:color="auto" w:sz="4" w:space="0"/>
            </w:tcBorders>
            <w:vAlign w:val="center"/>
          </w:tcPr>
          <w:p>
            <w:pPr>
              <w:spacing w:after="0" w:line="360" w:lineRule="auto"/>
              <w:rPr>
                <w:rFonts w:ascii="宋体" w:hAnsi="宋体" w:eastAsia="宋体" w:cs="黑体"/>
                <w:color w:val="auto"/>
                <w:sz w:val="24"/>
                <w:szCs w:val="24"/>
                <w:highlight w:val="none"/>
              </w:rPr>
            </w:pPr>
            <w:r>
              <w:rPr>
                <w:rFonts w:hint="eastAsia" w:ascii="宋体" w:hAnsi="宋体" w:eastAsia="宋体" w:cs="黑体"/>
                <w:color w:val="auto"/>
                <w:sz w:val="24"/>
                <w:szCs w:val="24"/>
                <w:highlight w:val="none"/>
              </w:rPr>
              <w:t>总价（人民币大写）：</w:t>
            </w:r>
            <w:r>
              <w:rPr>
                <w:rFonts w:hint="eastAsia" w:ascii="宋体" w:hAnsi="宋体" w:eastAsia="宋体" w:cs="黑体"/>
                <w:color w:val="auto"/>
                <w:sz w:val="24"/>
                <w:szCs w:val="24"/>
                <w:highlight w:val="none"/>
                <w:lang w:val="en-US" w:eastAsia="zh-CN"/>
              </w:rPr>
              <w:t>元</w:t>
            </w:r>
            <w:r>
              <w:rPr>
                <w:rFonts w:hint="eastAsia" w:ascii="宋体" w:hAnsi="宋体" w:eastAsia="宋体" w:cs="黑体"/>
                <w:bCs/>
                <w:color w:val="auto"/>
                <w:sz w:val="24"/>
                <w:szCs w:val="24"/>
                <w:highlight w:val="none"/>
              </w:rPr>
              <w:t>整        ¥：元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29" w:hRule="atLeast"/>
        </w:trPr>
        <w:tc>
          <w:tcPr>
            <w:tcW w:w="9938" w:type="dxa"/>
            <w:gridSpan w:val="6"/>
            <w:tcBorders>
              <w:top w:val="single" w:color="auto" w:sz="4" w:space="0"/>
              <w:bottom w:val="single" w:color="auto" w:sz="4" w:space="0"/>
              <w:right w:val="single" w:color="auto" w:sz="4" w:space="0"/>
            </w:tcBorders>
            <w:vAlign w:val="center"/>
          </w:tcPr>
          <w:p>
            <w:pPr>
              <w:spacing w:after="0" w:line="360" w:lineRule="auto"/>
              <w:rPr>
                <w:rFonts w:hint="default" w:ascii="宋体" w:hAnsi="宋体" w:eastAsia="宋体" w:cs="黑体"/>
                <w:color w:val="auto"/>
                <w:sz w:val="24"/>
                <w:szCs w:val="24"/>
                <w:highlight w:val="none"/>
                <w:lang w:val="en-US" w:eastAsia="zh-CN"/>
              </w:rPr>
            </w:pPr>
            <w:r>
              <w:rPr>
                <w:rFonts w:hint="eastAsia" w:ascii="宋体" w:hAnsi="宋体" w:eastAsia="宋体" w:cs="黑体"/>
                <w:color w:val="auto"/>
                <w:sz w:val="24"/>
                <w:szCs w:val="24"/>
                <w:highlight w:val="none"/>
                <w:lang w:eastAsia="zh-CN"/>
              </w:rPr>
              <w:t xml:space="preserve">合同期限为 </w:t>
            </w:r>
            <w:r>
              <w:rPr>
                <w:rFonts w:hint="eastAsia" w:ascii="宋体" w:hAnsi="宋体" w:eastAsia="宋体" w:cs="黑体"/>
                <w:color w:val="auto"/>
                <w:sz w:val="24"/>
                <w:szCs w:val="24"/>
                <w:highlight w:val="none"/>
                <w:lang w:val="en-US" w:eastAsia="zh-CN"/>
              </w:rPr>
              <w:t>1</w:t>
            </w:r>
            <w:r>
              <w:rPr>
                <w:rFonts w:hint="eastAsia" w:ascii="宋体" w:hAnsi="宋体" w:eastAsia="宋体" w:cs="黑体"/>
                <w:color w:val="auto"/>
                <w:sz w:val="24"/>
                <w:szCs w:val="24"/>
                <w:highlight w:val="none"/>
                <w:lang w:eastAsia="zh-CN"/>
              </w:rPr>
              <w:t xml:space="preserve"> 年，从202</w:t>
            </w:r>
            <w:r>
              <w:rPr>
                <w:rFonts w:hint="eastAsia" w:ascii="宋体" w:hAnsi="宋体" w:eastAsia="宋体" w:cs="黑体"/>
                <w:color w:val="auto"/>
                <w:sz w:val="24"/>
                <w:szCs w:val="24"/>
                <w:highlight w:val="none"/>
                <w:lang w:val="en-US" w:eastAsia="zh-CN"/>
              </w:rPr>
              <w:t>3</w:t>
            </w:r>
            <w:r>
              <w:rPr>
                <w:rFonts w:hint="eastAsia" w:ascii="宋体" w:hAnsi="宋体" w:eastAsia="宋体" w:cs="黑体"/>
                <w:color w:val="auto"/>
                <w:sz w:val="24"/>
                <w:szCs w:val="24"/>
                <w:highlight w:val="none"/>
                <w:lang w:eastAsia="zh-CN"/>
              </w:rPr>
              <w:t>年</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月</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日到 202</w:t>
            </w:r>
            <w:r>
              <w:rPr>
                <w:rFonts w:hint="eastAsia" w:ascii="宋体" w:hAnsi="宋体" w:eastAsia="宋体" w:cs="黑体"/>
                <w:color w:val="auto"/>
                <w:sz w:val="24"/>
                <w:szCs w:val="24"/>
                <w:highlight w:val="none"/>
                <w:lang w:val="en-US" w:eastAsia="zh-CN"/>
              </w:rPr>
              <w:t>4</w:t>
            </w:r>
            <w:r>
              <w:rPr>
                <w:rFonts w:hint="eastAsia" w:ascii="宋体" w:hAnsi="宋体" w:eastAsia="宋体" w:cs="黑体"/>
                <w:color w:val="auto"/>
                <w:sz w:val="24"/>
                <w:szCs w:val="24"/>
                <w:highlight w:val="none"/>
                <w:lang w:eastAsia="zh-CN"/>
              </w:rPr>
              <w:t>年</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月</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日止。</w:t>
            </w:r>
          </w:p>
        </w:tc>
      </w:tr>
    </w:tbl>
    <w:p>
      <w:pPr>
        <w:spacing w:after="0"/>
        <w:rPr>
          <w:rFonts w:asciiTheme="minorEastAsia" w:hAnsiTheme="minorEastAsia" w:eastAsiaTheme="minorEastAsia"/>
          <w:color w:val="auto"/>
          <w:sz w:val="24"/>
          <w:highlight w:val="none"/>
        </w:rPr>
      </w:pPr>
    </w:p>
    <w:p>
      <w:pPr>
        <w:spacing w:beforeLines="100"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第二条</w:t>
      </w:r>
      <w:r>
        <w:rPr>
          <w:rFonts w:hint="eastAsia" w:asciiTheme="minorEastAsia" w:hAnsiTheme="minorEastAsia" w:eastAsiaTheme="minorEastAsia"/>
          <w:color w:val="auto"/>
          <w:sz w:val="24"/>
          <w:szCs w:val="24"/>
          <w:highlight w:val="none"/>
        </w:rPr>
        <w:t>合同总价</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合同总价为人民币</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大写</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eastAsia="zh-CN"/>
        </w:rPr>
        <w:t>:</w:t>
      </w:r>
      <w:r>
        <w:rPr>
          <w:rFonts w:hint="eastAsia" w:ascii="宋体" w:hAnsi="宋体" w:eastAsia="宋体" w:cs="黑体"/>
          <w:color w:val="auto"/>
          <w:sz w:val="24"/>
          <w:szCs w:val="24"/>
          <w:highlight w:val="none"/>
          <w:lang w:val="en-US" w:eastAsia="zh-CN"/>
        </w:rPr>
        <w:t>元</w:t>
      </w:r>
      <w:r>
        <w:rPr>
          <w:rFonts w:hint="eastAsia" w:ascii="宋体" w:hAnsi="宋体" w:eastAsia="宋体" w:cs="黑体"/>
          <w:bCs/>
          <w:color w:val="auto"/>
          <w:sz w:val="24"/>
          <w:szCs w:val="24"/>
          <w:highlight w:val="none"/>
        </w:rPr>
        <w:t>整</w:t>
      </w:r>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bCs/>
          <w:color w:val="auto"/>
          <w:sz w:val="24"/>
          <w:szCs w:val="24"/>
          <w:highlight w:val="none"/>
        </w:rPr>
        <w:t>¥</w:t>
      </w:r>
      <w:r>
        <w:rPr>
          <w:rFonts w:hint="eastAsia" w:asciiTheme="minorEastAsia" w:hAnsiTheme="minorEastAsia" w:eastAsiaTheme="minorEastAsia"/>
          <w:color w:val="auto"/>
          <w:sz w:val="24"/>
          <w:szCs w:val="24"/>
          <w:highlight w:val="none"/>
        </w:rPr>
        <w:t>元），该合同总金额是</w:t>
      </w:r>
      <w:r>
        <w:rPr>
          <w:rFonts w:hint="eastAsia" w:ascii="宋体" w:hAnsi="宋体" w:eastAsia="宋体" w:cs="黑体"/>
          <w:color w:val="auto"/>
          <w:sz w:val="24"/>
          <w:szCs w:val="24"/>
          <w:highlight w:val="none"/>
          <w:lang w:val="en-US" w:eastAsia="zh-CN"/>
        </w:rPr>
        <w:t>1.5T核磁共振设备</w:t>
      </w:r>
      <w:r>
        <w:rPr>
          <w:rFonts w:hint="eastAsia" w:asciiTheme="minorEastAsia" w:hAnsiTheme="minorEastAsia" w:eastAsiaTheme="minorEastAsia"/>
          <w:color w:val="auto"/>
          <w:sz w:val="24"/>
          <w:szCs w:val="24"/>
          <w:highlight w:val="none"/>
        </w:rPr>
        <w:t>维保期间包括备品备件和人工、维修发生的所有含税费用。本合同执行期间合同总金额不变。</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第三条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合同组成</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详细价格、技术说明及其他有关合同产品的特定信息由合同附件说明。所有附件及本项目的招投标文件、会议纪要、协议、澄清等均为本合同不可分割的一部分。</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第四</w:t>
      </w:r>
      <w:r>
        <w:rPr>
          <w:rFonts w:hint="eastAsia" w:cs="微软雅黑" w:asciiTheme="minorEastAsia" w:hAnsiTheme="minorEastAsia" w:eastAsiaTheme="minorEastAsia"/>
          <w:color w:val="auto"/>
          <w:sz w:val="24"/>
          <w:szCs w:val="24"/>
          <w:highlight w:val="none"/>
        </w:rPr>
        <w:t>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资质保证。</w:t>
      </w:r>
    </w:p>
    <w:p>
      <w:pPr>
        <w:spacing w:after="0" w:line="360" w:lineRule="auto"/>
        <w:ind w:firstLine="480" w:firstLineChars="200"/>
        <w:jc w:val="both"/>
        <w:rPr>
          <w:rFonts w:hint="eastAsia"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乙方应当确保以下资质证书在甲方使用期内持续合法有效：医疗器械经营企业许可证、企业法人营业执照</w:t>
      </w:r>
      <w:r>
        <w:rPr>
          <w:rFonts w:hint="eastAsia" w:cs="仿宋_GB2312" w:asciiTheme="minorEastAsia" w:hAnsiTheme="minorEastAsia" w:eastAsiaTheme="minorEastAsia"/>
          <w:bCs/>
          <w:color w:val="auto"/>
          <w:sz w:val="24"/>
          <w:szCs w:val="24"/>
          <w:highlight w:val="none"/>
          <w:lang w:eastAsia="zh-CN"/>
        </w:rPr>
        <w:t>、</w:t>
      </w:r>
      <w:r>
        <w:rPr>
          <w:rFonts w:hint="eastAsia" w:cs="仿宋_GB2312" w:asciiTheme="minorEastAsia" w:hAnsiTheme="minorEastAsia" w:eastAsiaTheme="minorEastAsia"/>
          <w:bCs/>
          <w:color w:val="auto"/>
          <w:sz w:val="24"/>
          <w:szCs w:val="24"/>
          <w:highlight w:val="none"/>
          <w:lang w:val="en-US" w:eastAsia="zh-CN"/>
        </w:rPr>
        <w:t>二类备案证</w:t>
      </w:r>
      <w:r>
        <w:rPr>
          <w:rFonts w:hint="eastAsia" w:cs="仿宋_GB2312" w:asciiTheme="minorEastAsia" w:hAnsiTheme="minorEastAsia" w:eastAsiaTheme="minorEastAsia"/>
          <w:bCs/>
          <w:color w:val="auto"/>
          <w:sz w:val="24"/>
          <w:szCs w:val="24"/>
          <w:highlight w:val="none"/>
        </w:rPr>
        <w:t>。</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第五条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付款办法</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eastAsia="zh-CN"/>
        </w:rPr>
        <w:t>甲方收到乙方全额发票后，一次性支付当期维保款项。达到付款条件起15日内，支付合同金额的100%</w:t>
      </w:r>
      <w:r>
        <w:rPr>
          <w:rFonts w:hint="eastAsia" w:asciiTheme="minorEastAsia" w:hAnsiTheme="minorEastAsia" w:eastAsiaTheme="minorEastAsia"/>
          <w:color w:val="auto"/>
          <w:sz w:val="24"/>
          <w:szCs w:val="24"/>
          <w:highlight w:val="none"/>
        </w:rPr>
        <w:t>。以上款项支付时，乙方均应提供合法税务票据，款项转入乙方指定账户。具体如下：</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合同；</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乙方开具的正式发票。</w:t>
      </w:r>
    </w:p>
    <w:p>
      <w:pPr>
        <w:spacing w:after="0" w:line="360" w:lineRule="auto"/>
        <w:ind w:firstLine="480" w:firstLineChars="200"/>
        <w:jc w:val="both"/>
        <w:rPr>
          <w:rFonts w:ascii="宋体" w:hAnsi="宋体" w:eastAsia="宋体" w:cs="仿宋"/>
          <w:color w:val="auto"/>
          <w:sz w:val="24"/>
          <w:szCs w:val="24"/>
          <w:highlight w:val="none"/>
        </w:rPr>
      </w:pPr>
      <w:r>
        <w:rPr>
          <w:rFonts w:hint="eastAsia" w:ascii="宋体" w:hAnsi="宋体" w:eastAsia="宋体" w:cs="仿宋"/>
          <w:color w:val="auto"/>
          <w:sz w:val="24"/>
          <w:szCs w:val="24"/>
          <w:highlight w:val="none"/>
        </w:rPr>
        <w:t>账户：</w:t>
      </w:r>
    </w:p>
    <w:p>
      <w:pPr>
        <w:ind w:firstLine="480" w:firstLineChars="200"/>
        <w:rPr>
          <w:rFonts w:hint="eastAsia" w:ascii="宋体" w:hAnsi="宋体" w:eastAsia="宋体" w:cs="仿宋"/>
          <w:color w:val="auto"/>
          <w:sz w:val="24"/>
          <w:szCs w:val="24"/>
          <w:highlight w:val="none"/>
          <w:lang w:val="en-US" w:eastAsia="zh-CN"/>
        </w:rPr>
      </w:pPr>
      <w:r>
        <w:rPr>
          <w:rFonts w:hint="eastAsia" w:ascii="宋体" w:hAnsi="宋体" w:eastAsia="宋体" w:cs="仿宋"/>
          <w:color w:val="auto"/>
          <w:sz w:val="24"/>
          <w:szCs w:val="24"/>
          <w:highlight w:val="none"/>
        </w:rPr>
        <w:t>帐号：</w:t>
      </w:r>
    </w:p>
    <w:p>
      <w:pPr>
        <w:ind w:firstLine="480" w:firstLineChars="200"/>
        <w:rPr>
          <w:rFonts w:hint="default" w:ascii="宋体" w:hAnsi="宋体" w:eastAsia="宋体" w:cs="仿宋"/>
          <w:color w:val="auto"/>
          <w:sz w:val="24"/>
          <w:szCs w:val="24"/>
          <w:highlight w:val="none"/>
          <w:lang w:val="en-US" w:eastAsia="zh-CN"/>
        </w:rPr>
      </w:pPr>
      <w:r>
        <w:rPr>
          <w:rFonts w:hint="eastAsia" w:ascii="宋体" w:hAnsi="宋体" w:eastAsia="宋体" w:cs="仿宋"/>
          <w:color w:val="auto"/>
          <w:sz w:val="24"/>
          <w:szCs w:val="24"/>
          <w:highlight w:val="none"/>
        </w:rPr>
        <w:t>开户银行：</w:t>
      </w:r>
    </w:p>
    <w:p>
      <w:pPr>
        <w:rPr>
          <w:rFonts w:hint="eastAsia" w:asciiTheme="minorEastAsia" w:hAnsiTheme="minorEastAsia" w:eastAsiaTheme="minorEastAsia"/>
          <w:color w:val="auto"/>
          <w:sz w:val="24"/>
          <w:highlight w:val="none"/>
        </w:rPr>
      </w:pPr>
    </w:p>
    <w:p>
      <w:pP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第六条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技术服务</w:t>
      </w:r>
    </w:p>
    <w:p>
      <w:pPr>
        <w:spacing w:after="0" w:line="360" w:lineRule="auto"/>
        <w:ind w:firstLine="480" w:firstLineChars="200"/>
        <w:jc w:val="both"/>
        <w:rPr>
          <w:rFonts w:ascii="宋体" w:hAnsi="宋体" w:eastAsia="宋体"/>
          <w:color w:val="auto"/>
          <w:sz w:val="24"/>
          <w:szCs w:val="24"/>
          <w:highlight w:val="none"/>
        </w:rPr>
      </w:pPr>
      <w:r>
        <w:rPr>
          <w:rFonts w:ascii="宋体" w:hAnsi="宋体" w:eastAsia="宋体"/>
          <w:color w:val="auto"/>
          <w:sz w:val="24"/>
          <w:szCs w:val="24"/>
          <w:highlight w:val="none"/>
        </w:rPr>
        <w:t>1.服务范围：整机全保（</w:t>
      </w:r>
      <w:r>
        <w:rPr>
          <w:rFonts w:hint="eastAsia" w:ascii="宋体" w:hAnsi="宋体" w:eastAsia="宋体"/>
          <w:color w:val="auto"/>
          <w:sz w:val="24"/>
          <w:szCs w:val="24"/>
          <w:highlight w:val="none"/>
          <w:lang w:val="en-US" w:eastAsia="zh-CN"/>
        </w:rPr>
        <w:t>磁体除外</w:t>
      </w:r>
      <w:r>
        <w:rPr>
          <w:rFonts w:ascii="宋体" w:hAnsi="宋体" w:eastAsia="宋体"/>
          <w:color w:val="auto"/>
          <w:sz w:val="24"/>
          <w:szCs w:val="24"/>
          <w:highlight w:val="none"/>
        </w:rPr>
        <w:t>），</w:t>
      </w:r>
      <w:r>
        <w:rPr>
          <w:rFonts w:hint="eastAsia" w:ascii="宋体" w:hAnsi="宋体" w:eastAsia="宋体" w:cs="宋体"/>
          <w:i w:val="0"/>
          <w:iCs w:val="0"/>
          <w:caps w:val="0"/>
          <w:color w:val="auto"/>
          <w:spacing w:val="0"/>
          <w:sz w:val="24"/>
          <w:szCs w:val="24"/>
          <w:highlight w:val="none"/>
          <w:shd w:val="clear" w:fill="FFFFFF"/>
        </w:rPr>
        <w:t>合同期内乙方负责合同标的设备的维修维护和更换、保养。</w:t>
      </w:r>
      <w:r>
        <w:rPr>
          <w:rFonts w:ascii="宋体" w:hAnsi="宋体" w:eastAsia="宋体"/>
          <w:color w:val="auto"/>
          <w:sz w:val="24"/>
          <w:szCs w:val="24"/>
          <w:highlight w:val="none"/>
        </w:rPr>
        <w:t xml:space="preserve">包含人工、性能调整、故障维修、原厂保养和原厂部件全部更换。   </w:t>
      </w:r>
    </w:p>
    <w:p>
      <w:pPr>
        <w:spacing w:after="0" w:line="360" w:lineRule="auto"/>
        <w:ind w:firstLine="480" w:firstLineChars="200"/>
        <w:jc w:val="both"/>
        <w:rPr>
          <w:rFonts w:ascii="宋体" w:hAnsi="宋体" w:eastAsia="宋体"/>
          <w:color w:val="auto"/>
          <w:sz w:val="24"/>
          <w:szCs w:val="24"/>
          <w:highlight w:val="none"/>
        </w:rPr>
      </w:pPr>
      <w:r>
        <w:rPr>
          <w:rFonts w:ascii="宋体" w:hAnsi="宋体" w:eastAsia="宋体"/>
          <w:color w:val="auto"/>
          <w:sz w:val="24"/>
          <w:szCs w:val="24"/>
          <w:highlight w:val="none"/>
        </w:rPr>
        <w:t>2.响应时间保证：接到运行故障的报修电话，将在正常工作时间的2小时内做出响应；4-8小时内提供诊断及解决方案；</w:t>
      </w:r>
      <w:r>
        <w:rPr>
          <w:rFonts w:hint="eastAsia" w:ascii="宋体" w:hAnsi="宋体" w:eastAsia="宋体"/>
          <w:color w:val="auto"/>
          <w:sz w:val="24"/>
          <w:szCs w:val="24"/>
          <w:highlight w:val="none"/>
          <w:lang w:val="en-US" w:eastAsia="zh-CN"/>
        </w:rPr>
        <w:t>12</w:t>
      </w:r>
      <w:r>
        <w:rPr>
          <w:rFonts w:ascii="宋体" w:hAnsi="宋体" w:eastAsia="宋体"/>
          <w:color w:val="auto"/>
          <w:sz w:val="24"/>
          <w:szCs w:val="24"/>
          <w:highlight w:val="none"/>
        </w:rPr>
        <w:t xml:space="preserve">小时内原厂工程师到达现场对设备进行维修，从而使设备尽快恢复正常工作状态。   </w:t>
      </w:r>
    </w:p>
    <w:p>
      <w:pPr>
        <w:spacing w:after="0" w:line="360" w:lineRule="auto"/>
        <w:ind w:firstLine="480" w:firstLineChars="200"/>
        <w:jc w:val="both"/>
        <w:rPr>
          <w:rFonts w:ascii="宋体" w:hAnsi="宋体" w:eastAsia="宋体"/>
          <w:color w:val="auto"/>
          <w:sz w:val="24"/>
          <w:szCs w:val="24"/>
          <w:highlight w:val="none"/>
        </w:rPr>
      </w:pPr>
      <w:r>
        <w:rPr>
          <w:rFonts w:ascii="宋体" w:hAnsi="宋体" w:eastAsia="宋体"/>
          <w:color w:val="auto"/>
          <w:sz w:val="24"/>
          <w:szCs w:val="24"/>
          <w:highlight w:val="none"/>
        </w:rPr>
        <w:t>3.每年提供</w:t>
      </w: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次设备保养和检测，并提供维护保养报告，确保设备处于正常状态。   </w:t>
      </w:r>
    </w:p>
    <w:p>
      <w:pPr>
        <w:spacing w:after="0" w:line="360" w:lineRule="auto"/>
        <w:ind w:firstLine="480" w:firstLineChars="200"/>
        <w:jc w:val="both"/>
        <w:rPr>
          <w:rFonts w:ascii="宋体" w:hAnsi="宋体" w:eastAsia="宋体"/>
          <w:color w:val="auto"/>
          <w:sz w:val="24"/>
          <w:szCs w:val="24"/>
          <w:highlight w:val="none"/>
        </w:rPr>
      </w:pPr>
      <w:r>
        <w:rPr>
          <w:rFonts w:ascii="宋体" w:hAnsi="宋体" w:eastAsia="宋体"/>
          <w:color w:val="auto"/>
          <w:sz w:val="24"/>
          <w:szCs w:val="24"/>
          <w:highlight w:val="none"/>
        </w:rPr>
        <w:drawing>
          <wp:anchor distT="0" distB="0" distL="114300" distR="114300" simplePos="0" relativeHeight="251659264" behindDoc="0" locked="0" layoutInCell="1" allowOverlap="0">
            <wp:simplePos x="0" y="0"/>
            <wp:positionH relativeFrom="page">
              <wp:posOffset>7540625</wp:posOffset>
            </wp:positionH>
            <wp:positionV relativeFrom="page">
              <wp:posOffset>528320</wp:posOffset>
            </wp:positionV>
            <wp:extent cx="22860" cy="167640"/>
            <wp:effectExtent l="0" t="0" r="0" b="0"/>
            <wp:wrapSquare wrapText="bothSides"/>
            <wp:docPr id="354" name="Picture 354"/>
            <wp:cNvGraphicFramePr/>
            <a:graphic xmlns:a="http://schemas.openxmlformats.org/drawingml/2006/main">
              <a:graphicData uri="http://schemas.openxmlformats.org/drawingml/2006/picture">
                <pic:pic xmlns:pic="http://schemas.openxmlformats.org/drawingml/2006/picture">
                  <pic:nvPicPr>
                    <pic:cNvPr id="354" name="Picture 354"/>
                    <pic:cNvPicPr/>
                  </pic:nvPicPr>
                  <pic:blipFill>
                    <a:blip r:embed="rId5"/>
                    <a:stretch>
                      <a:fillRect/>
                    </a:stretch>
                  </pic:blipFill>
                  <pic:spPr>
                    <a:xfrm>
                      <a:off x="0" y="0"/>
                      <a:ext cx="22859" cy="167640"/>
                    </a:xfrm>
                    <a:prstGeom prst="rect">
                      <a:avLst/>
                    </a:prstGeom>
                  </pic:spPr>
                </pic:pic>
              </a:graphicData>
            </a:graphic>
          </wp:anchor>
        </w:drawing>
      </w:r>
      <w:r>
        <w:rPr>
          <w:rFonts w:ascii="宋体" w:hAnsi="宋体" w:eastAsia="宋体"/>
          <w:color w:val="auto"/>
          <w:sz w:val="24"/>
          <w:szCs w:val="24"/>
          <w:highlight w:val="none"/>
        </w:rPr>
        <mc:AlternateContent>
          <mc:Choice Requires="wpg">
            <w:drawing>
              <wp:anchor distT="0" distB="0" distL="114300" distR="114300" simplePos="0" relativeHeight="251660288" behindDoc="0" locked="0" layoutInCell="1" allowOverlap="1">
                <wp:simplePos x="0" y="0"/>
                <wp:positionH relativeFrom="page">
                  <wp:posOffset>7542530</wp:posOffset>
                </wp:positionH>
                <wp:positionV relativeFrom="page">
                  <wp:posOffset>560705</wp:posOffset>
                </wp:positionV>
                <wp:extent cx="85090" cy="152400"/>
                <wp:effectExtent l="0" t="0" r="0" b="0"/>
                <wp:wrapSquare wrapText="bothSides"/>
                <wp:docPr id="1" name="Group 2268"/>
                <wp:cNvGraphicFramePr/>
                <a:graphic xmlns:a="http://schemas.openxmlformats.org/drawingml/2006/main">
                  <a:graphicData uri="http://schemas.microsoft.com/office/word/2010/wordprocessingGroup">
                    <wpg:wgp>
                      <wpg:cNvGrpSpPr/>
                      <wpg:grpSpPr>
                        <a:xfrm>
                          <a:off x="0" y="0"/>
                          <a:ext cx="85090" cy="152400"/>
                          <a:chOff x="0" y="0"/>
                          <a:chExt cx="85344" cy="152400"/>
                        </a:xfrm>
                        <a:effectLst/>
                      </wpg:grpSpPr>
                      <wps:wsp>
                        <wps:cNvPr id="262" name="Rectangle 262"/>
                        <wps:cNvSpPr/>
                        <wps:spPr>
                          <a:xfrm>
                            <a:off x="9144" y="0"/>
                            <a:ext cx="101346" cy="202692"/>
                          </a:xfrm>
                          <a:prstGeom prst="rect">
                            <a:avLst/>
                          </a:prstGeom>
                          <a:noFill/>
                          <a:ln>
                            <a:noFill/>
                          </a:ln>
                          <a:effectLst/>
                        </wps:spPr>
                        <wps:txbx>
                          <w:txbxContent>
                            <w:p>
                              <w:pPr>
                                <w:spacing w:after="160"/>
                              </w:pPr>
                              <w:r>
                                <w:t xml:space="preserve"> </w:t>
                              </w:r>
                            </w:p>
                          </w:txbxContent>
                        </wps:txbx>
                        <wps:bodyPr horzOverflow="overflow" vert="horz" lIns="0" tIns="0" rIns="0" bIns="0" rtlCol="0">
                          <a:noAutofit/>
                        </wps:bodyPr>
                      </wps:wsp>
                      <wps:wsp>
                        <wps:cNvPr id="355" name="Rectangle 355"/>
                        <wps:cNvSpPr/>
                        <wps:spPr>
                          <a:xfrm>
                            <a:off x="0" y="13120"/>
                            <a:ext cx="84117" cy="168235"/>
                          </a:xfrm>
                          <a:prstGeom prst="rect">
                            <a:avLst/>
                          </a:prstGeom>
                          <a:noFill/>
                          <a:ln>
                            <a:noFill/>
                          </a:ln>
                          <a:effectLst/>
                        </wps:spPr>
                        <wps:txbx>
                          <w:txbxContent>
                            <w:p>
                              <w:pPr>
                                <w:spacing w:after="160"/>
                              </w:pPr>
                              <w:r>
                                <w:rPr>
                                  <w:sz w:val="20"/>
                                </w:rPr>
                                <w:t xml:space="preserve"> </w:t>
                              </w:r>
                            </w:p>
                          </w:txbxContent>
                        </wps:txbx>
                        <wps:bodyPr horzOverflow="overflow" vert="horz" lIns="0" tIns="0" rIns="0" bIns="0" rtlCol="0">
                          <a:noAutofit/>
                        </wps:bodyPr>
                      </wps:wsp>
                    </wpg:wgp>
                  </a:graphicData>
                </a:graphic>
              </wp:anchor>
            </w:drawing>
          </mc:Choice>
          <mc:Fallback>
            <w:pict>
              <v:group id="Group 2268" o:spid="_x0000_s1026" o:spt="203" style="position:absolute;left:0pt;margin-left:593.9pt;margin-top:44.15pt;height:12pt;width:6.7pt;mso-position-horizontal-relative:page;mso-position-vertical-relative:page;mso-wrap-distance-bottom:0pt;mso-wrap-distance-left:9pt;mso-wrap-distance-right:9pt;mso-wrap-distance-top:0pt;z-index:251660288;mso-width-relative:page;mso-height-relative:page;" coordsize="85344,152400" o:gfxdata="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wEJvDZAAAA&#10;DAEAAA8AAAAAAAAAAQAgAAAAIgAAAGRycy9kb3ducmV2LnhtbFBLAQIUABQAAAAIAIdO4kBC/9ks&#10;VQIAAM8GAAAOAAAAAAAAAAEAIAAAACgBAABkcnMvZTJvRG9jLnhtbFBLBQYAAAAABgAGAFkBAADv&#10;BQAAAAA=&#10;">
                <o:lock v:ext="edit" aspectratio="f"/>
                <v:rect id="Rectangle 262" o:spid="_x0000_s1026" o:spt="1" style="position:absolute;left:9144;top:0;height:202692;width:101346;" filled="f" stroked="f" coordsize="21600,21600" o:gfxdata="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BVPe/&#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160"/>
                        </w:pPr>
                        <w:r>
                          <w:t xml:space="preserve"> </w:t>
                        </w:r>
                      </w:p>
                    </w:txbxContent>
                  </v:textbox>
                </v:rect>
                <v:rect id="Rectangle 355" o:spid="_x0000_s1026" o:spt="1" style="position:absolute;left:0;top:13120;height:168235;width:84117;" filled="f" stroked="f" coordsize="21600,21600" o:gfxdata="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dlCaO/&#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160"/>
                        </w:pPr>
                        <w:r>
                          <w:rPr>
                            <w:sz w:val="20"/>
                          </w:rPr>
                          <w:t xml:space="preserve"> </w:t>
                        </w:r>
                      </w:p>
                    </w:txbxContent>
                  </v:textbox>
                </v:rect>
                <w10:wrap type="square"/>
              </v:group>
            </w:pict>
          </mc:Fallback>
        </mc:AlternateContent>
      </w:r>
      <w:r>
        <w:rPr>
          <w:rFonts w:ascii="宋体" w:hAnsi="宋体" w:eastAsia="宋体"/>
          <w:color w:val="auto"/>
          <w:sz w:val="24"/>
          <w:szCs w:val="24"/>
          <w:highlight w:val="none"/>
        </w:rPr>
        <w:t xml:space="preserve">4.及时将系统升级成最新版的软件。   </w:t>
      </w:r>
    </w:p>
    <w:p>
      <w:pPr>
        <w:spacing w:after="0" w:line="360" w:lineRule="auto"/>
        <w:ind w:firstLine="480" w:firstLineChars="200"/>
        <w:jc w:val="both"/>
        <w:rPr>
          <w:rFonts w:ascii="宋体" w:hAnsi="宋体" w:eastAsia="宋体"/>
          <w:color w:val="auto"/>
          <w:sz w:val="24"/>
          <w:szCs w:val="24"/>
          <w:highlight w:val="none"/>
        </w:rPr>
      </w:pPr>
      <w:r>
        <w:rPr>
          <w:rFonts w:ascii="宋体" w:hAnsi="宋体" w:eastAsia="宋体"/>
          <w:color w:val="auto"/>
          <w:sz w:val="24"/>
          <w:szCs w:val="24"/>
          <w:highlight w:val="none"/>
        </w:rPr>
        <w:t xml:space="preserve">5.保证系统开机时间不少于全年的95％（365天/年计算）。如在维修协议实 施期间系统开机时间无法达到95％，则按照每超过停机一天延保三天提供服务。  </w:t>
      </w:r>
    </w:p>
    <w:p>
      <w:pPr>
        <w:pStyle w:val="3"/>
        <w:ind w:left="0" w:leftChars="0" w:firstLine="0" w:firstLineChars="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lang w:eastAsia="zh-CN"/>
        </w:rPr>
        <w:t>第七条</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知识产权归属和处理方式：</w:t>
      </w:r>
    </w:p>
    <w:p>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一、供应商应保证在本项目中使用的任何技术、产品和服务（包括部分使用），不会产生因第三方提出侵犯其专利权、商 标权或其它知识产权而引起的法律和经济纠纷，如存在前述情形，由供应商承担所有相关责任。采购人享有本项目实施过程中 产生的知识成果及知识产权。 </w:t>
      </w:r>
    </w:p>
    <w:p>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二、供应商将在采购项目实施过程中采用自有或者第三方知识成果的，使用该知识成果后，供应商需提供开发接口和开发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w:t>
      </w:r>
    </w:p>
    <w:p>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三、如采用供应商所不拥有的知识产权，则在报价中必须包括合法使用该知识产权的相关费用。 </w:t>
      </w:r>
    </w:p>
    <w:p>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color w:val="auto"/>
          <w:highlight w:val="none"/>
        </w:rPr>
      </w:pPr>
      <w:r>
        <w:rPr>
          <w:rFonts w:hint="eastAsia" w:ascii="宋体" w:hAnsi="宋体" w:eastAsia="宋体" w:cs="宋体"/>
          <w:i w:val="0"/>
          <w:iCs w:val="0"/>
          <w:caps w:val="0"/>
          <w:color w:val="auto"/>
          <w:spacing w:val="0"/>
          <w:sz w:val="24"/>
          <w:szCs w:val="24"/>
          <w:highlight w:val="none"/>
          <w:shd w:val="clear" w:fill="FFFFFF"/>
        </w:rPr>
        <w:t>四、构成本磋商文件的各组成部分，未经采购人书面同意，供应商不得擅自复印或用于非本磋商项目所需的其他目的。</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jc w:val="both"/>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lang w:eastAsia="zh-CN"/>
        </w:rPr>
        <w:t>第七条</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验收交付标准和方法：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firstLine="480" w:firstLineChars="200"/>
        <w:jc w:val="both"/>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val="en-US" w:eastAsia="zh-CN"/>
        </w:rPr>
        <w:t>1、</w:t>
      </w:r>
      <w:r>
        <w:rPr>
          <w:rFonts w:hint="eastAsia" w:ascii="宋体" w:hAnsi="宋体" w:eastAsia="宋体" w:cs="宋体"/>
          <w:i w:val="0"/>
          <w:iCs w:val="0"/>
          <w:caps w:val="0"/>
          <w:color w:val="auto"/>
          <w:spacing w:val="0"/>
          <w:sz w:val="24"/>
          <w:szCs w:val="24"/>
          <w:highlight w:val="none"/>
          <w:shd w:val="clear" w:fill="FFFFFF"/>
        </w:rPr>
        <w:t>供应商提出验收申请之日起15日内组织验收</w:t>
      </w:r>
      <w:r>
        <w:rPr>
          <w:rFonts w:hint="eastAsia" w:ascii="宋体" w:hAnsi="宋体" w:eastAsia="宋体" w:cs="宋体"/>
          <w:i w:val="0"/>
          <w:iCs w:val="0"/>
          <w:caps w:val="0"/>
          <w:color w:val="auto"/>
          <w:spacing w:val="0"/>
          <w:sz w:val="24"/>
          <w:szCs w:val="24"/>
          <w:highlight w:val="none"/>
          <w:shd w:val="clear" w:fill="FFFFFF"/>
          <w:lang w:eastAsia="zh-CN"/>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firstLine="480" w:firstLineChars="200"/>
        <w:jc w:val="both"/>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shd w:val="clear" w:fill="FFFFFF"/>
          <w:lang w:eastAsia="zh-CN"/>
        </w:rPr>
        <w:t>甲方</w:t>
      </w:r>
      <w:r>
        <w:rPr>
          <w:rFonts w:hint="eastAsia" w:ascii="宋体" w:hAnsi="宋体" w:eastAsia="宋体" w:cs="宋体"/>
          <w:i w:val="0"/>
          <w:iCs w:val="0"/>
          <w:caps w:val="0"/>
          <w:color w:val="auto"/>
          <w:spacing w:val="0"/>
          <w:sz w:val="24"/>
          <w:szCs w:val="24"/>
          <w:highlight w:val="none"/>
          <w:shd w:val="clear" w:fill="FFFFFF"/>
        </w:rPr>
        <w:t>对日常的服务质量进行监督考核。</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firstLine="480" w:firstLineChars="200"/>
        <w:jc w:val="both"/>
        <w:rPr>
          <w:color w:val="auto"/>
          <w:highlight w:val="none"/>
        </w:rPr>
      </w:pPr>
      <w:r>
        <w:rPr>
          <w:rFonts w:hint="eastAsia" w:ascii="宋体" w:hAnsi="宋体" w:eastAsia="宋体"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期末由维修方提供全年保修次数及备件更换情况的整体报告书，交由甲方统一对照保管。</w:t>
      </w:r>
    </w:p>
    <w:p>
      <w:pPr>
        <w:spacing w:after="0" w:line="360" w:lineRule="auto"/>
        <w:rPr>
          <w:rFonts w:hint="eastAsia" w:ascii="宋体" w:hAnsi="宋体" w:eastAsia="宋体" w:cs="宋体"/>
          <w:i w:val="0"/>
          <w:iCs w:val="0"/>
          <w:caps w:val="0"/>
          <w:color w:val="auto"/>
          <w:spacing w:val="0"/>
          <w:sz w:val="24"/>
          <w:szCs w:val="24"/>
          <w:highlight w:val="none"/>
          <w:shd w:val="clear" w:fill="FFFFFF"/>
        </w:rPr>
      </w:pPr>
      <w:r>
        <w:rPr>
          <w:rFonts w:hint="eastAsia" w:asciiTheme="minorEastAsia" w:hAnsiTheme="minorEastAsia" w:eastAsiaTheme="minorEastAsia"/>
          <w:color w:val="auto"/>
          <w:sz w:val="24"/>
          <w:szCs w:val="24"/>
          <w:highlight w:val="none"/>
        </w:rPr>
        <w:t>第</w:t>
      </w:r>
      <w:r>
        <w:rPr>
          <w:rFonts w:hint="eastAsia" w:asciiTheme="minorEastAsia" w:hAnsiTheme="minorEastAsia" w:eastAsiaTheme="minorEastAsia"/>
          <w:color w:val="auto"/>
          <w:sz w:val="24"/>
          <w:szCs w:val="24"/>
          <w:highlight w:val="none"/>
          <w:lang w:eastAsia="zh-CN"/>
        </w:rPr>
        <w:t>八</w:t>
      </w:r>
      <w:r>
        <w:rPr>
          <w:rFonts w:hint="eastAsia" w:asciiTheme="minorEastAsia" w:hAnsiTheme="minorEastAsia" w:eastAsiaTheme="minorEastAsia"/>
          <w:color w:val="auto"/>
          <w:sz w:val="24"/>
          <w:szCs w:val="24"/>
          <w:highlight w:val="none"/>
        </w:rPr>
        <w:t>条</w:t>
      </w:r>
      <w:r>
        <w:rPr>
          <w:rFonts w:asciiTheme="minorEastAsia" w:hAnsiTheme="minorEastAsia" w:eastAsiaTheme="minorEastAsia"/>
          <w:color w:val="auto"/>
          <w:sz w:val="24"/>
          <w:szCs w:val="24"/>
          <w:highlight w:val="none"/>
        </w:rPr>
        <w:t xml:space="preserve"> </w:t>
      </w:r>
      <w:r>
        <w:rPr>
          <w:rFonts w:hint="eastAsia" w:ascii="宋体" w:hAnsi="宋体" w:eastAsia="宋体" w:cs="宋体"/>
          <w:i w:val="0"/>
          <w:iCs w:val="0"/>
          <w:caps w:val="0"/>
          <w:color w:val="auto"/>
          <w:spacing w:val="0"/>
          <w:sz w:val="24"/>
          <w:szCs w:val="24"/>
          <w:highlight w:val="none"/>
          <w:shd w:val="clear" w:fill="FFFFFF"/>
        </w:rPr>
        <w:t>成本补偿和风险分担约定：</w:t>
      </w:r>
    </w:p>
    <w:p>
      <w:pPr>
        <w:spacing w:after="0"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1、本合同所称不可抗力事件是指双方在订立合同时不能预见、对其发生和后果不能避免并不能克服的客观事件，如：战争、火灾、地震等。</w:t>
      </w:r>
    </w:p>
    <w:p>
      <w:pPr>
        <w:spacing w:after="0"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2、遭受不可抗力一方须在事故发生后立即书面告知另一方并在事故发生后 15 天内 将事故发生地相关机构出具的事故证明书邮寄另一方为证。如不可抗力事件持续（60） 天以上， 双方就继续履行合同还是终止履行合同另行协商。不可抗力发生后，各方应尽最大努力减少损失。 </w:t>
      </w:r>
    </w:p>
    <w:p>
      <w:pPr>
        <w:spacing w:after="0" w:line="360" w:lineRule="auto"/>
        <w:ind w:firstLine="480" w:firstLineChars="200"/>
        <w:rPr>
          <w:rFonts w:asciiTheme="minorEastAsia" w:hAnsiTheme="minorEastAsia" w:eastAsiaTheme="minorEastAsia"/>
          <w:color w:val="auto"/>
          <w:sz w:val="24"/>
          <w:szCs w:val="24"/>
          <w:highlight w:val="none"/>
        </w:rPr>
      </w:pPr>
      <w:r>
        <w:rPr>
          <w:rFonts w:hint="eastAsia" w:ascii="宋体" w:hAnsi="宋体" w:eastAsia="宋体" w:cs="宋体"/>
          <w:i w:val="0"/>
          <w:iCs w:val="0"/>
          <w:caps w:val="0"/>
          <w:color w:val="auto"/>
          <w:spacing w:val="0"/>
          <w:sz w:val="24"/>
          <w:szCs w:val="24"/>
          <w:highlight w:val="none"/>
          <w:shd w:val="clear" w:fill="FFFFFF"/>
        </w:rPr>
        <w:t>3、合同任何一方因不可抗力事件不能履行合同的全部或部分义务时，根据不可抗 力的影响， 部分或全部免除责任。但因一方延迟履行合同后发生不可抗力的，责任不能免除。</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eastAsia="zh-CN"/>
        </w:rPr>
        <w:t>九</w:t>
      </w:r>
      <w:r>
        <w:rPr>
          <w:rFonts w:hint="eastAsia" w:asciiTheme="minorEastAsia" w:hAnsiTheme="minorEastAsia" w:eastAsiaTheme="minorEastAsia"/>
          <w:color w:val="auto"/>
          <w:sz w:val="24"/>
          <w:highlight w:val="none"/>
        </w:rPr>
        <w:t>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索赔</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、如有异议</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甲方有权根据有关政府部门的检验结果向乙方提出索赔。</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、在合同执行期间</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如果乙方对甲方提出的索赔和差异负有责任</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乙方应按照甲方同意的下列一种或多种方式解决索赔事宜</w:t>
      </w:r>
      <w:r>
        <w:rPr>
          <w:rFonts w:asciiTheme="minorEastAsia" w:hAnsiTheme="minorEastAsia" w:eastAsiaTheme="minorEastAsia"/>
          <w:color w:val="auto"/>
          <w:sz w:val="24"/>
          <w:szCs w:val="24"/>
          <w:highlight w:val="none"/>
        </w:rPr>
        <w:t>:</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乙方同意退</w:t>
      </w:r>
      <w:r>
        <w:rPr>
          <w:rFonts w:hint="eastAsia" w:asciiTheme="minorEastAsia" w:hAnsiTheme="minorEastAsia" w:eastAsiaTheme="minorEastAsia"/>
          <w:color w:val="auto"/>
          <w:sz w:val="24"/>
          <w:szCs w:val="24"/>
          <w:highlight w:val="none"/>
          <w:lang w:eastAsia="zh-CN"/>
        </w:rPr>
        <w:t>款</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按合同规定的同种货币将货款退还给甲方</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并承担由此发生的一切损失和费用。</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用符合规格、质量和性能要求的新零件、部件或货物来更换有缺陷的部分或修补缺陷的部分</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乙方应承担一切费用和风险并负担甲方所发生的一切直接费用。同时</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相应延长质量保证期。</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asciiTheme="minorEastAsia" w:hAnsiTheme="minorEastAsia" w:eastAsiaTheme="minorEastAsia"/>
          <w:color w:val="auto"/>
          <w:sz w:val="24"/>
          <w:szCs w:val="24"/>
          <w:highlight w:val="none"/>
        </w:rPr>
        <w:t>、如果在甲方发出索赔通知后</w:t>
      </w:r>
      <w:r>
        <w:rPr>
          <w:rFonts w:asciiTheme="minorEastAsia" w:hAnsiTheme="minorEastAsia" w:eastAsiaTheme="minorEastAsia"/>
          <w:color w:val="auto"/>
          <w:sz w:val="24"/>
          <w:szCs w:val="24"/>
          <w:highlight w:val="none"/>
        </w:rPr>
        <w:t>30</w:t>
      </w:r>
      <w:r>
        <w:rPr>
          <w:rFonts w:hint="eastAsia" w:asciiTheme="minorEastAsia" w:hAnsiTheme="minorEastAsia" w:eastAsiaTheme="minorEastAsia"/>
          <w:color w:val="auto"/>
          <w:sz w:val="24"/>
          <w:szCs w:val="24"/>
          <w:highlight w:val="none"/>
        </w:rPr>
        <w:t>天内</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乙方未作书面答复</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上述索赔应视为已被乙方接受。甲方将从合同款项中扣回索赔金额。如果这些金额不足以补偿索赔金额</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甲方有权向乙方提出不足部分的补偿。</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合同终止</w:t>
      </w:r>
    </w:p>
    <w:p>
      <w:pPr>
        <w:spacing w:after="0" w:line="360" w:lineRule="auto"/>
        <w:ind w:firstLine="480" w:firstLineChars="200"/>
        <w:jc w:val="both"/>
        <w:rPr>
          <w:rFonts w:hint="default" w:eastAsiaTheme="minorEastAsia"/>
          <w:color w:val="auto"/>
          <w:highlight w:val="none"/>
          <w:lang w:val="en-US" w:eastAsia="zh-CN"/>
        </w:rPr>
      </w:pPr>
      <w:r>
        <w:rPr>
          <w:rFonts w:hint="eastAsia" w:asciiTheme="minorEastAsia" w:hAnsiTheme="minorEastAsia" w:eastAsiaTheme="minorEastAsia"/>
          <w:color w:val="auto"/>
          <w:sz w:val="24"/>
          <w:szCs w:val="24"/>
          <w:highlight w:val="none"/>
          <w:lang w:val="en-US" w:eastAsia="zh-CN"/>
        </w:rPr>
        <w:t>1.</w:t>
      </w:r>
      <w:r>
        <w:rPr>
          <w:rFonts w:hint="eastAsia" w:asciiTheme="minorEastAsia" w:hAnsiTheme="minorEastAsia" w:eastAsiaTheme="minorEastAsia"/>
          <w:color w:val="auto"/>
          <w:sz w:val="24"/>
          <w:szCs w:val="24"/>
          <w:highlight w:val="none"/>
        </w:rPr>
        <w:t>如果一方严重违反合同</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并在收到对方违约通知书后</w:t>
      </w:r>
      <w:r>
        <w:rPr>
          <w:rFonts w:asciiTheme="minorEastAsia" w:hAnsiTheme="minorEastAsia" w:eastAsiaTheme="minorEastAsia"/>
          <w:color w:val="auto"/>
          <w:sz w:val="24"/>
          <w:szCs w:val="24"/>
          <w:highlight w:val="none"/>
        </w:rPr>
        <w:t>30</w:t>
      </w:r>
      <w:r>
        <w:rPr>
          <w:rFonts w:hint="eastAsia" w:asciiTheme="minorEastAsia" w:hAnsiTheme="minorEastAsia" w:eastAsiaTheme="minorEastAsia"/>
          <w:color w:val="auto"/>
          <w:sz w:val="24"/>
          <w:szCs w:val="24"/>
          <w:highlight w:val="none"/>
        </w:rPr>
        <w:t>天内仍未能改正违约的，另一方可立即终止本合同。</w:t>
      </w:r>
    </w:p>
    <w:p>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第十一条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争议解决</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凡因本合同的签订、履行、解除、终止引起的或与本合同有关的任何争议，双方应通过友好协商解决，</w:t>
      </w:r>
      <w:r>
        <w:rPr>
          <w:rFonts w:hint="eastAsia" w:asciiTheme="minorEastAsia" w:hAnsiTheme="minorEastAsia" w:eastAsiaTheme="minorEastAsia"/>
          <w:color w:val="auto"/>
          <w:sz w:val="24"/>
          <w:szCs w:val="24"/>
          <w:highlight w:val="none"/>
        </w:rPr>
        <w:t>协商不成时，向延安市宝塔区人民法院提起诉讼解决。诉讼期间</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双方应继续执行合同其余部分。</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第十二条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信息保密：</w:t>
      </w:r>
      <w:bookmarkStart w:id="0" w:name="_GoBack"/>
      <w:bookmarkEnd w:id="0"/>
    </w:p>
    <w:p>
      <w:pPr>
        <w:spacing w:after="0"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甲乙双方有义务对本合同的价格及详细内容进行保密；哪一方若违背此保密承诺，则应自行承担相应的责任并独自去面对厂家或总代理商的追责和诉讼，与另一方无关。</w:t>
      </w:r>
    </w:p>
    <w:p>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第十三条 其他</w:t>
      </w:r>
    </w:p>
    <w:p>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1、本合同在执行期间如因国家有关政策、法律法规变动或其他原因确需变动时，双方应本着友好、坦诚、互谅、公平诚信的态度依法对相关条款做出必要的调整和补充。</w:t>
      </w:r>
    </w:p>
    <w:p>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2、甲乙双方对合作过程中所知晓的对方商业秘密负有保密义务，未取得对方书面同意，不得以任何形式向其他人员或机构透露，该保密义务不因本协议的终止而取消。如因泄密而导致对方损失，泄密方应承担相应的赔偿责任。</w:t>
      </w:r>
    </w:p>
    <w:p>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3、本合同未尽事宜，由甲乙双方另行协商解决，并签订补充合同，补充合同与本合同书具有同等法律效力。</w:t>
      </w:r>
    </w:p>
    <w:p>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4、本合同自双方盖章之日起生效。对本合同作出的任何修改和/或补充应为书面形式，并由双方盖章后生效。</w:t>
      </w:r>
    </w:p>
    <w:p>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5、本合同书正本一式伍份，甲方执肆份，乙方执壹份，具有同等法律效力。</w:t>
      </w:r>
      <w:r>
        <w:rPr>
          <w:rFonts w:hint="eastAsia" w:asciiTheme="minorEastAsia" w:hAnsiTheme="minorEastAsia" w:eastAsiaTheme="minorEastAsia"/>
          <w:color w:val="auto"/>
          <w:sz w:val="24"/>
          <w:szCs w:val="24"/>
          <w:highlight w:val="none"/>
        </w:rPr>
        <w:t>合同自签字、盖章之日起生效。</w:t>
      </w:r>
    </w:p>
    <w:p>
      <w:pPr>
        <w:spacing w:beforeLines="250" w:after="0" w:line="360" w:lineRule="auto"/>
        <w:ind w:left="6440" w:hanging="6440" w:hangingChars="2300"/>
        <w:jc w:val="both"/>
        <w:rPr>
          <w:rFonts w:asciiTheme="minorEastAsia" w:hAnsiTheme="minorEastAsia" w:eastAsiaTheme="minorEastAsia"/>
          <w:color w:val="auto"/>
          <w:sz w:val="28"/>
          <w:szCs w:val="28"/>
          <w:highlight w:val="none"/>
        </w:rPr>
      </w:pPr>
      <w:r>
        <w:rPr>
          <w:rFonts w:hint="eastAsia" w:cs="宋体" w:asciiTheme="minorEastAsia" w:hAnsiTheme="minorEastAsia" w:eastAsiaTheme="minorEastAsia"/>
          <w:color w:val="auto"/>
          <w:sz w:val="28"/>
          <w:szCs w:val="28"/>
          <w:highlight w:val="none"/>
        </w:rPr>
        <w:t xml:space="preserve">甲方（签章）：                </w:t>
      </w:r>
      <w:r>
        <w:rPr>
          <w:rFonts w:cs="宋体" w:asciiTheme="minorEastAsia" w:hAnsiTheme="minorEastAsia" w:eastAsiaTheme="minorEastAsia"/>
          <w:color w:val="auto"/>
          <w:sz w:val="28"/>
          <w:szCs w:val="28"/>
          <w:highlight w:val="none"/>
        </w:rPr>
        <w:t xml:space="preserve"> </w:t>
      </w:r>
      <w:r>
        <w:rPr>
          <w:rFonts w:hint="eastAsia" w:cs="宋体" w:asciiTheme="minorEastAsia" w:hAnsiTheme="minorEastAsia" w:eastAsiaTheme="minorEastAsia"/>
          <w:color w:val="auto"/>
          <w:sz w:val="28"/>
          <w:szCs w:val="28"/>
          <w:highlight w:val="none"/>
        </w:rPr>
        <w:t>乙方（签章）：</w:t>
      </w:r>
      <w:r>
        <w:rPr>
          <w:rFonts w:asciiTheme="minorEastAsia" w:hAnsiTheme="minorEastAsia" w:eastAsiaTheme="minorEastAsia"/>
          <w:color w:val="auto"/>
          <w:sz w:val="28"/>
          <w:szCs w:val="28"/>
          <w:highlight w:val="none"/>
        </w:rPr>
        <w:t xml:space="preserve"> </w:t>
      </w:r>
    </w:p>
    <w:p>
      <w:pPr>
        <w:spacing w:beforeLines="250" w:after="0" w:line="360" w:lineRule="auto"/>
        <w:jc w:val="both"/>
        <w:rPr>
          <w:rFonts w:cs="宋体" w:asciiTheme="minorEastAsia" w:hAnsiTheme="minorEastAsia" w:eastAsiaTheme="minorEastAsia"/>
          <w:color w:val="auto"/>
          <w:sz w:val="28"/>
          <w:szCs w:val="28"/>
          <w:highlight w:val="none"/>
        </w:rPr>
      </w:pPr>
      <w:r>
        <w:rPr>
          <w:rFonts w:hint="eastAsia" w:cs="宋体" w:asciiTheme="minorEastAsia" w:hAnsiTheme="minorEastAsia" w:eastAsiaTheme="minorEastAsia"/>
          <w:color w:val="auto"/>
          <w:sz w:val="28"/>
          <w:szCs w:val="28"/>
          <w:highlight w:val="none"/>
        </w:rPr>
        <w:t>法定代表人：                   法定代表人或委托人：</w:t>
      </w:r>
    </w:p>
    <w:p>
      <w:pPr>
        <w:spacing w:beforeLines="250" w:after="0" w:line="360" w:lineRule="auto"/>
        <w:ind w:firstLine="561"/>
        <w:jc w:val="both"/>
        <w:rPr>
          <w:rFonts w:ascii="宋体" w:hAnsi="宋体" w:eastAsia="宋体" w:cs="宋体"/>
          <w:b/>
          <w:bCs/>
          <w:color w:val="auto"/>
          <w:sz w:val="24"/>
          <w:szCs w:val="24"/>
          <w:highlight w:val="none"/>
        </w:rPr>
      </w:pPr>
      <w:r>
        <w:rPr>
          <w:rFonts w:hint="eastAsia" w:cs="宋体" w:asciiTheme="minorEastAsia" w:hAnsiTheme="minorEastAsia" w:eastAsiaTheme="minorEastAsia"/>
          <w:color w:val="auto"/>
          <w:sz w:val="28"/>
          <w:szCs w:val="28"/>
          <w:highlight w:val="none"/>
        </w:rPr>
        <w:t xml:space="preserve">       年    月    日                   年     月     日</w:t>
      </w:r>
    </w:p>
    <w:sectPr>
      <w:pgSz w:w="11906" w:h="16838"/>
      <w:pgMar w:top="1020" w:right="1134" w:bottom="1020"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noLineBreaksAfter w:lang="zh-CN" w:val="$([{£¥·‘“〈《「『【〔〖〝﹙﹛﹝＄（．［｛￡￥"/>
  <w:noLineBreaksBefore w:lang="zh-CN" w:val="!%),.:;&gt;?]}¢¨°·ˇˉ―‖’”…‰′″›℃∶、。〃〉》」』】〕〗〞︶︺︾﹀﹄﹚﹜﹞！＂％＇），．：；？］｀｜｝～￠"/>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xZWRiZWYzMmU3YWU0YTM4MzNkODcxOWNlM2M5ZDcifQ=="/>
  </w:docVars>
  <w:rsids>
    <w:rsidRoot w:val="00ED0AB5"/>
    <w:rsid w:val="00150AD5"/>
    <w:rsid w:val="0015124D"/>
    <w:rsid w:val="001E51E1"/>
    <w:rsid w:val="00351E84"/>
    <w:rsid w:val="003755D9"/>
    <w:rsid w:val="003B435E"/>
    <w:rsid w:val="00652430"/>
    <w:rsid w:val="00670502"/>
    <w:rsid w:val="00780153"/>
    <w:rsid w:val="00802F96"/>
    <w:rsid w:val="008F43CE"/>
    <w:rsid w:val="0095319E"/>
    <w:rsid w:val="00977F02"/>
    <w:rsid w:val="00AA2EF1"/>
    <w:rsid w:val="00C40568"/>
    <w:rsid w:val="00D00984"/>
    <w:rsid w:val="00D049E0"/>
    <w:rsid w:val="00ED0AB5"/>
    <w:rsid w:val="00F521F6"/>
    <w:rsid w:val="031A6BF7"/>
    <w:rsid w:val="045949E1"/>
    <w:rsid w:val="07935C2F"/>
    <w:rsid w:val="0F863546"/>
    <w:rsid w:val="1820473B"/>
    <w:rsid w:val="33F86541"/>
    <w:rsid w:val="39AE1A35"/>
    <w:rsid w:val="3F4B27D5"/>
    <w:rsid w:val="3FC43815"/>
    <w:rsid w:val="408C7FFF"/>
    <w:rsid w:val="41800B63"/>
    <w:rsid w:val="4BAE1101"/>
    <w:rsid w:val="50610B72"/>
    <w:rsid w:val="5D227E4E"/>
    <w:rsid w:val="5DA413D3"/>
    <w:rsid w:val="620052AF"/>
    <w:rsid w:val="69514F10"/>
    <w:rsid w:val="713C375B"/>
    <w:rsid w:val="7A8568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2"/>
    <w:basedOn w:val="1"/>
    <w:next w:val="1"/>
    <w:link w:val="17"/>
    <w:qFormat/>
    <w:locked/>
    <w:uiPriority w:val="0"/>
    <w:pPr>
      <w:keepNext/>
      <w:keepLines/>
      <w:widowControl w:val="0"/>
      <w:adjustRightInd/>
      <w:snapToGrid/>
      <w:spacing w:before="260" w:after="260" w:line="416" w:lineRule="auto"/>
      <w:jc w:val="both"/>
      <w:outlineLvl w:val="1"/>
    </w:pPr>
    <w:rPr>
      <w:rFonts w:ascii="Arial" w:hAnsi="Arial" w:eastAsia="黑体"/>
      <w:b/>
      <w:bCs/>
      <w:kern w:val="2"/>
      <w:sz w:val="32"/>
      <w:szCs w:val="32"/>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link w:val="20"/>
    <w:qFormat/>
    <w:uiPriority w:val="99"/>
    <w:pPr>
      <w:spacing w:after="120"/>
    </w:pPr>
  </w:style>
  <w:style w:type="paragraph" w:styleId="5">
    <w:name w:val="Body Text Indent"/>
    <w:basedOn w:val="1"/>
    <w:unhideWhenUsed/>
    <w:qFormat/>
    <w:uiPriority w:val="99"/>
    <w:pPr>
      <w:spacing w:after="120"/>
      <w:ind w:left="420" w:leftChars="200"/>
    </w:pPr>
  </w:style>
  <w:style w:type="paragraph" w:styleId="6">
    <w:name w:val="Balloon Text"/>
    <w:basedOn w:val="1"/>
    <w:link w:val="14"/>
    <w:semiHidden/>
    <w:qFormat/>
    <w:uiPriority w:val="99"/>
    <w:rPr>
      <w:sz w:val="18"/>
      <w:szCs w:val="18"/>
    </w:rPr>
  </w:style>
  <w:style w:type="paragraph" w:styleId="7">
    <w:name w:val="footer"/>
    <w:basedOn w:val="1"/>
    <w:link w:val="16"/>
    <w:unhideWhenUsed/>
    <w:qFormat/>
    <w:uiPriority w:val="99"/>
    <w:pPr>
      <w:tabs>
        <w:tab w:val="center" w:pos="4153"/>
        <w:tab w:val="right" w:pos="8306"/>
      </w:tabs>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5"/>
    <w:next w:val="1"/>
    <w:qFormat/>
    <w:uiPriority w:val="0"/>
    <w:pPr>
      <w:spacing w:after="0" w:line="400" w:lineRule="exact"/>
      <w:ind w:left="360" w:leftChars="0" w:firstLine="420" w:firstLineChars="200"/>
    </w:pPr>
    <w:rPr>
      <w:rFonts w:ascii="华文中宋" w:hAnsi="华文中宋" w:eastAsia="华文中宋"/>
      <w:color w:val="FF6600"/>
      <w:sz w:val="24"/>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批注框文本 Char"/>
    <w:basedOn w:val="13"/>
    <w:link w:val="6"/>
    <w:semiHidden/>
    <w:qFormat/>
    <w:uiPriority w:val="99"/>
    <w:rPr>
      <w:rFonts w:ascii="Tahoma" w:hAnsi="Tahoma"/>
      <w:kern w:val="0"/>
      <w:sz w:val="0"/>
      <w:szCs w:val="0"/>
    </w:rPr>
  </w:style>
  <w:style w:type="character" w:customStyle="1" w:styleId="15">
    <w:name w:val="页眉 Char"/>
    <w:basedOn w:val="13"/>
    <w:link w:val="8"/>
    <w:qFormat/>
    <w:uiPriority w:val="99"/>
    <w:rPr>
      <w:rFonts w:ascii="Tahoma" w:hAnsi="Tahoma"/>
      <w:kern w:val="0"/>
      <w:sz w:val="18"/>
      <w:szCs w:val="18"/>
    </w:rPr>
  </w:style>
  <w:style w:type="character" w:customStyle="1" w:styleId="16">
    <w:name w:val="页脚 Char"/>
    <w:basedOn w:val="13"/>
    <w:link w:val="7"/>
    <w:qFormat/>
    <w:uiPriority w:val="99"/>
    <w:rPr>
      <w:rFonts w:ascii="Tahoma" w:hAnsi="Tahoma"/>
      <w:kern w:val="0"/>
      <w:sz w:val="18"/>
      <w:szCs w:val="18"/>
    </w:rPr>
  </w:style>
  <w:style w:type="character" w:customStyle="1" w:styleId="17">
    <w:name w:val="标题 2 Char"/>
    <w:basedOn w:val="13"/>
    <w:link w:val="2"/>
    <w:qFormat/>
    <w:uiPriority w:val="0"/>
    <w:rPr>
      <w:rFonts w:ascii="Arial" w:hAnsi="Arial" w:eastAsia="黑体"/>
      <w:b/>
      <w:bCs/>
      <w:kern w:val="2"/>
      <w:sz w:val="32"/>
      <w:szCs w:val="32"/>
    </w:rPr>
  </w:style>
  <w:style w:type="character" w:customStyle="1" w:styleId="18">
    <w:name w:val="font12"/>
    <w:qFormat/>
    <w:uiPriority w:val="0"/>
    <w:rPr>
      <w:rFonts w:ascii="微软雅黑" w:hAnsi="微软雅黑" w:eastAsia="微软雅黑" w:cs="微软雅黑"/>
      <w:b/>
      <w:color w:val="000000"/>
      <w:sz w:val="40"/>
      <w:szCs w:val="40"/>
      <w:u w:val="none"/>
    </w:rPr>
  </w:style>
  <w:style w:type="paragraph" w:customStyle="1" w:styleId="19">
    <w:name w:val="列出段落1"/>
    <w:basedOn w:val="1"/>
    <w:qFormat/>
    <w:uiPriority w:val="99"/>
    <w:pPr>
      <w:ind w:firstLine="420" w:firstLineChars="200"/>
    </w:pPr>
  </w:style>
  <w:style w:type="character" w:customStyle="1" w:styleId="20">
    <w:name w:val="正文文本 Char"/>
    <w:basedOn w:val="13"/>
    <w:link w:val="4"/>
    <w:qFormat/>
    <w:uiPriority w:val="99"/>
    <w:rPr>
      <w:rFonts w:ascii="Tahoma" w:hAnsi="Tahoma"/>
      <w:sz w:val="22"/>
      <w:szCs w:val="22"/>
    </w:rPr>
  </w:style>
  <w:style w:type="paragraph" w:customStyle="1" w:styleId="21">
    <w:name w:val="列出段落2"/>
    <w:basedOn w:val="1"/>
    <w:qFormat/>
    <w:uiPriority w:val="34"/>
    <w:pPr>
      <w:widowControl w:val="0"/>
      <w:adjustRightInd/>
      <w:snapToGrid/>
      <w:spacing w:after="0"/>
      <w:ind w:firstLine="420" w:firstLineChars="200"/>
      <w:jc w:val="both"/>
    </w:pPr>
    <w:rPr>
      <w:rFonts w:ascii="Times New Roman" w:hAnsi="Times New Roman" w:eastAsia="宋体"/>
      <w:kern w:val="2"/>
      <w:sz w:val="21"/>
      <w:szCs w:val="24"/>
    </w:rPr>
  </w:style>
  <w:style w:type="paragraph" w:customStyle="1" w:styleId="2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列表段落1"/>
    <w:basedOn w:val="1"/>
    <w:qFormat/>
    <w:uiPriority w:val="0"/>
    <w:pPr>
      <w:widowControl w:val="0"/>
      <w:adjustRightInd/>
      <w:snapToGrid/>
      <w:spacing w:after="0"/>
      <w:ind w:firstLine="420" w:firstLineChars="200"/>
      <w:jc w:val="both"/>
    </w:pPr>
    <w:rPr>
      <w:rFonts w:ascii="Times New Roman" w:hAnsi="Times New Roman" w:eastAsia="宋体"/>
      <w:kern w:val="2"/>
      <w:sz w:val="21"/>
      <w:szCs w:val="24"/>
    </w:rPr>
  </w:style>
  <w:style w:type="table" w:customStyle="1" w:styleId="24">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402</Words>
  <Characters>2296</Characters>
  <Lines>19</Lines>
  <Paragraphs>5</Paragraphs>
  <TotalTime>2</TotalTime>
  <ScaleCrop>false</ScaleCrop>
  <LinksUpToDate>false</LinksUpToDate>
  <CharactersWithSpaces>2693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2023-07-20T02:41:00Z</dcterms:created>
  <dc:creator>新账户</dc:creator>
  <cp:lastModifiedBy>Administrator</cp:lastModifiedBy>
  <cp:lastPrinted>2022-02-22T16:50:00Z</cp:lastPrinted>
  <dcterms:modified xsi:type="dcterms:W3CDTF">2023-11-27T09:11:34Z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C5D719D1BA7E4377ADB208C90F52189B_13</vt:lpwstr>
  </property>
</Properties>
</file>