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合同协议书</w:t>
      </w:r>
      <w:bookmarkStart w:id="0" w:name="_Toc8194597"/>
      <w:bookmarkStart w:id="1" w:name="_Toc389553742"/>
    </w:p>
    <w:p>
      <w:pPr>
        <w:spacing w:line="360" w:lineRule="auto"/>
        <w:jc w:val="center"/>
        <w:rPr>
          <w:rFonts w:ascii="宋体" w:hAnsi="宋体" w:cs="宋体"/>
          <w:b/>
          <w:color w:val="auto"/>
          <w:sz w:val="24"/>
          <w:szCs w:val="24"/>
        </w:rPr>
      </w:pPr>
      <w:r>
        <w:rPr>
          <w:rFonts w:hint="eastAsia" w:ascii="宋体" w:hAnsi="宋体" w:cs="宋体"/>
          <w:b/>
          <w:color w:val="auto"/>
          <w:sz w:val="24"/>
          <w:szCs w:val="24"/>
        </w:rPr>
        <w:t>（合同模板仅供参考，具体以实际签订合同为准）</w:t>
      </w:r>
    </w:p>
    <w:p>
      <w:pPr>
        <w:spacing w:line="420" w:lineRule="exact"/>
        <w:ind w:firstLine="482" w:firstLineChars="200"/>
        <w:rPr>
          <w:rFonts w:ascii="宋体" w:hAnsi="宋体" w:cs="宋体"/>
          <w:b/>
          <w:color w:val="auto"/>
          <w:sz w:val="24"/>
          <w:szCs w:val="24"/>
          <w:u w:val="single"/>
        </w:rPr>
      </w:pPr>
      <w:r>
        <w:rPr>
          <w:rFonts w:hint="eastAsia" w:ascii="宋体" w:hAnsi="宋体" w:cs="宋体"/>
          <w:b/>
          <w:color w:val="auto"/>
          <w:sz w:val="24"/>
          <w:szCs w:val="24"/>
        </w:rPr>
        <w:t>甲方（全称）：</w:t>
      </w:r>
      <w:r>
        <w:rPr>
          <w:rFonts w:hint="eastAsia" w:ascii="宋体" w:hAnsi="宋体" w:cs="宋体"/>
          <w:b/>
          <w:color w:val="auto"/>
          <w:sz w:val="24"/>
          <w:szCs w:val="24"/>
          <w:u w:val="single"/>
        </w:rPr>
        <w:t xml:space="preserve">                           </w:t>
      </w:r>
    </w:p>
    <w:p>
      <w:pPr>
        <w:spacing w:line="420" w:lineRule="exact"/>
        <w:ind w:firstLine="482" w:firstLineChars="200"/>
        <w:rPr>
          <w:rFonts w:ascii="宋体" w:hAnsi="宋体" w:cs="宋体"/>
          <w:b/>
          <w:color w:val="auto"/>
          <w:sz w:val="24"/>
          <w:szCs w:val="24"/>
          <w:u w:val="single"/>
        </w:rPr>
      </w:pPr>
      <w:r>
        <w:rPr>
          <w:rFonts w:hint="eastAsia" w:ascii="宋体" w:hAnsi="宋体" w:cs="宋体"/>
          <w:b/>
          <w:color w:val="auto"/>
          <w:sz w:val="24"/>
          <w:szCs w:val="24"/>
        </w:rPr>
        <w:t>乙方（全称）：</w:t>
      </w:r>
      <w:r>
        <w:rPr>
          <w:rFonts w:hint="eastAsia" w:ascii="宋体" w:hAnsi="宋体" w:cs="宋体"/>
          <w:b/>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根据《中华人民共和国民法典》、《中华人民共和国政府采购法》与项目行业有关的法律法规，以及本项目（公开购买导盲犬治疗犬服务项目）相关采购要求的规定，合同双方就乙方向采购方提供公开购买导盲犬治疗犬服务项目协商达成一致，确立本合同。</w:t>
      </w:r>
    </w:p>
    <w:p>
      <w:pPr>
        <w:tabs>
          <w:tab w:val="left" w:pos="480"/>
        </w:tabs>
        <w:spacing w:line="420" w:lineRule="exact"/>
        <w:ind w:firstLine="482" w:firstLineChars="200"/>
        <w:outlineLvl w:val="1"/>
        <w:rPr>
          <w:rFonts w:ascii="宋体" w:hAnsi="宋体" w:cs="宋体"/>
          <w:b/>
          <w:color w:val="auto"/>
          <w:sz w:val="24"/>
          <w:szCs w:val="24"/>
        </w:rPr>
      </w:pPr>
      <w:bookmarkStart w:id="2" w:name="_Toc8841"/>
      <w:bookmarkStart w:id="3" w:name="_Toc30883"/>
      <w:bookmarkStart w:id="4" w:name="_Toc3164"/>
      <w:r>
        <w:rPr>
          <w:rFonts w:hint="eastAsia" w:ascii="宋体" w:hAnsi="宋体" w:cs="宋体"/>
          <w:b/>
          <w:color w:val="auto"/>
          <w:sz w:val="24"/>
          <w:szCs w:val="24"/>
        </w:rPr>
        <w:t>1、合同标的物内容、数量及单价</w:t>
      </w:r>
      <w:bookmarkEnd w:id="2"/>
      <w:bookmarkEnd w:id="3"/>
      <w:bookmarkEnd w:id="4"/>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950"/>
        <w:gridCol w:w="1494"/>
        <w:gridCol w:w="2784"/>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2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jc w:val="center"/>
              <w:rPr>
                <w:rFonts w:ascii="宋体" w:hAnsi="宋体" w:cs="宋体"/>
                <w:color w:val="auto"/>
                <w:sz w:val="24"/>
                <w:szCs w:val="24"/>
              </w:rPr>
            </w:pPr>
            <w:r>
              <w:rPr>
                <w:rFonts w:hint="eastAsia" w:ascii="宋体" w:hAnsi="宋体" w:cs="宋体"/>
                <w:color w:val="auto"/>
                <w:sz w:val="24"/>
                <w:szCs w:val="24"/>
              </w:rPr>
              <w:t>序号</w:t>
            </w:r>
          </w:p>
        </w:tc>
        <w:tc>
          <w:tcPr>
            <w:tcW w:w="1950"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jc w:val="center"/>
              <w:rPr>
                <w:rFonts w:ascii="宋体" w:hAnsi="宋体" w:cs="宋体"/>
                <w:color w:val="auto"/>
                <w:sz w:val="24"/>
                <w:szCs w:val="24"/>
              </w:rPr>
            </w:pPr>
            <w:r>
              <w:rPr>
                <w:rFonts w:hint="eastAsia" w:ascii="宋体" w:hAnsi="宋体" w:cs="宋体"/>
                <w:color w:val="auto"/>
                <w:sz w:val="24"/>
                <w:szCs w:val="24"/>
              </w:rPr>
              <w:t>服务内容</w:t>
            </w:r>
          </w:p>
        </w:tc>
        <w:tc>
          <w:tcPr>
            <w:tcW w:w="149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jc w:val="center"/>
              <w:rPr>
                <w:rFonts w:ascii="宋体" w:hAnsi="宋体" w:cs="宋体"/>
                <w:color w:val="auto"/>
                <w:sz w:val="24"/>
                <w:szCs w:val="24"/>
              </w:rPr>
            </w:pPr>
            <w:r>
              <w:rPr>
                <w:rFonts w:hint="eastAsia" w:ascii="宋体" w:hAnsi="宋体" w:cs="宋体"/>
                <w:color w:val="auto"/>
                <w:sz w:val="24"/>
                <w:szCs w:val="24"/>
              </w:rPr>
              <w:t>服务期限</w:t>
            </w:r>
          </w:p>
        </w:tc>
        <w:tc>
          <w:tcPr>
            <w:tcW w:w="278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jc w:val="center"/>
              <w:rPr>
                <w:rFonts w:ascii="宋体" w:hAnsi="宋体" w:cs="宋体"/>
                <w:color w:val="auto"/>
                <w:sz w:val="24"/>
                <w:szCs w:val="24"/>
              </w:rPr>
            </w:pPr>
            <w:r>
              <w:rPr>
                <w:rFonts w:hint="eastAsia" w:ascii="宋体" w:hAnsi="宋体" w:cs="宋体"/>
                <w:color w:val="auto"/>
                <w:sz w:val="24"/>
                <w:szCs w:val="24"/>
              </w:rPr>
              <w:t>相关要求</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jc w:val="center"/>
              <w:rPr>
                <w:rFonts w:ascii="宋体" w:hAnsi="宋体" w:cs="宋体"/>
                <w:color w:val="auto"/>
                <w:sz w:val="24"/>
                <w:szCs w:val="24"/>
              </w:rPr>
            </w:pPr>
            <w:r>
              <w:rPr>
                <w:rFonts w:hint="eastAsia" w:ascii="宋体" w:hAnsi="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2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r>
              <w:rPr>
                <w:rFonts w:hint="eastAsia" w:ascii="宋体" w:hAnsi="宋体" w:cs="宋体"/>
                <w:color w:val="auto"/>
                <w:sz w:val="24"/>
                <w:szCs w:val="24"/>
              </w:rPr>
              <w:t>1</w:t>
            </w:r>
          </w:p>
        </w:tc>
        <w:tc>
          <w:tcPr>
            <w:tcW w:w="1950"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c>
          <w:tcPr>
            <w:tcW w:w="149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c>
          <w:tcPr>
            <w:tcW w:w="278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259"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r>
              <w:rPr>
                <w:rFonts w:hint="eastAsia" w:ascii="宋体" w:hAnsi="宋体" w:cs="宋体"/>
                <w:color w:val="auto"/>
                <w:sz w:val="24"/>
                <w:szCs w:val="24"/>
              </w:rPr>
              <w:t>……</w:t>
            </w:r>
          </w:p>
        </w:tc>
        <w:tc>
          <w:tcPr>
            <w:tcW w:w="1950"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c>
          <w:tcPr>
            <w:tcW w:w="149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c>
          <w:tcPr>
            <w:tcW w:w="2784"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480"/>
              </w:tabs>
              <w:spacing w:line="420" w:lineRule="exact"/>
              <w:ind w:firstLine="480" w:firstLineChars="200"/>
              <w:jc w:val="center"/>
              <w:rPr>
                <w:rFonts w:ascii="宋体" w:hAnsi="宋体" w:cs="宋体"/>
                <w:color w:val="auto"/>
                <w:sz w:val="24"/>
                <w:szCs w:val="24"/>
              </w:rPr>
            </w:pPr>
          </w:p>
        </w:tc>
      </w:tr>
    </w:tbl>
    <w:p>
      <w:pPr>
        <w:spacing w:line="420" w:lineRule="exact"/>
        <w:ind w:firstLine="482" w:firstLineChars="200"/>
        <w:rPr>
          <w:rFonts w:ascii="宋体" w:hAnsi="宋体" w:cs="宋体"/>
          <w:b/>
          <w:color w:val="auto"/>
          <w:sz w:val="24"/>
          <w:szCs w:val="24"/>
        </w:rPr>
      </w:pPr>
      <w:bookmarkStart w:id="5" w:name="_Toc4137"/>
      <w:bookmarkStart w:id="6" w:name="_Toc3926"/>
      <w:bookmarkStart w:id="7" w:name="_Toc8066"/>
      <w:r>
        <w:rPr>
          <w:rFonts w:hint="eastAsia" w:ascii="宋体" w:hAnsi="宋体" w:cs="宋体"/>
          <w:b/>
          <w:color w:val="auto"/>
          <w:sz w:val="24"/>
          <w:szCs w:val="24"/>
        </w:rPr>
        <w:t>2、合同价款</w:t>
      </w:r>
      <w:bookmarkEnd w:id="5"/>
      <w:bookmarkEnd w:id="6"/>
      <w:bookmarkEnd w:id="7"/>
    </w:p>
    <w:p>
      <w:pPr>
        <w:spacing w:line="420" w:lineRule="exact"/>
        <w:ind w:firstLine="480" w:firstLineChars="200"/>
        <w:rPr>
          <w:rFonts w:ascii="宋体" w:hAnsi="宋体" w:cs="宋体"/>
          <w:bCs/>
          <w:color w:val="auto"/>
          <w:sz w:val="24"/>
          <w:szCs w:val="24"/>
        </w:rPr>
      </w:pPr>
      <w:bookmarkStart w:id="8" w:name="_Toc5678"/>
      <w:bookmarkStart w:id="9" w:name="_Toc23247"/>
      <w:bookmarkStart w:id="10" w:name="_Toc28664"/>
      <w:r>
        <w:rPr>
          <w:rFonts w:hint="eastAsia" w:ascii="宋体" w:hAnsi="宋体" w:cs="宋体"/>
          <w:bCs/>
          <w:color w:val="auto"/>
          <w:sz w:val="24"/>
          <w:szCs w:val="24"/>
        </w:rPr>
        <w:t>2.1、合同价格形式：固定总价合同。</w:t>
      </w:r>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2.2、合同总价包括：</w:t>
      </w:r>
      <w:r>
        <w:rPr>
          <w:rFonts w:hint="eastAsia" w:ascii="宋体" w:hAnsi="宋体" w:cs="宋体"/>
          <w:color w:val="auto"/>
          <w:sz w:val="24"/>
          <w:szCs w:val="24"/>
        </w:rPr>
        <w:t>犬只费、疫苗费、培训费、培训所用书籍费、运输</w:t>
      </w:r>
      <w:r>
        <w:rPr>
          <w:rFonts w:hint="eastAsia" w:ascii="宋体" w:hAnsi="宋体"/>
          <w:color w:val="auto"/>
          <w:sz w:val="24"/>
        </w:rPr>
        <w:t>费、装卸费、</w:t>
      </w:r>
      <w:r>
        <w:rPr>
          <w:rFonts w:hint="eastAsia" w:ascii="宋体" w:hAnsi="宋体" w:cs="宋体"/>
          <w:color w:val="auto"/>
          <w:sz w:val="24"/>
          <w:szCs w:val="24"/>
        </w:rPr>
        <w:t>招标代理服务费、税金等其他与本项目相关费用。</w:t>
      </w:r>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2.3、合同有效期内，合同总价一次包死，不因市场因素、政府政策调整、费率调整和税收变化等而作任何调整。</w:t>
      </w:r>
    </w:p>
    <w:bookmarkEnd w:id="8"/>
    <w:bookmarkEnd w:id="9"/>
    <w:bookmarkEnd w:id="10"/>
    <w:p>
      <w:pPr>
        <w:spacing w:line="420" w:lineRule="exact"/>
        <w:ind w:firstLine="482" w:firstLineChars="200"/>
        <w:rPr>
          <w:rFonts w:ascii="宋体" w:hAnsi="宋体" w:cs="宋体"/>
          <w:b/>
          <w:color w:val="auto"/>
          <w:sz w:val="24"/>
          <w:szCs w:val="24"/>
        </w:rPr>
      </w:pPr>
      <w:bookmarkStart w:id="11" w:name="_Toc24406"/>
      <w:bookmarkStart w:id="12" w:name="_Toc15939"/>
      <w:bookmarkStart w:id="13" w:name="_Toc21714"/>
      <w:r>
        <w:rPr>
          <w:rFonts w:hint="eastAsia" w:ascii="宋体" w:hAnsi="宋体" w:cs="宋体"/>
          <w:b/>
          <w:color w:val="auto"/>
          <w:sz w:val="24"/>
          <w:szCs w:val="24"/>
        </w:rPr>
        <w:t>3、付款方式</w:t>
      </w:r>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3.1、结算方式：投入服务后，</w:t>
      </w:r>
      <w:r>
        <w:rPr>
          <w:rFonts w:hint="eastAsia" w:ascii="宋体" w:hAnsi="宋体" w:cs="宋体"/>
          <w:bCs/>
          <w:color w:val="auto"/>
          <w:sz w:val="24"/>
          <w:szCs w:val="24"/>
          <w:lang w:val="en-US" w:eastAsia="zh-CN"/>
        </w:rPr>
        <w:t>甲方</w:t>
      </w:r>
      <w:r>
        <w:rPr>
          <w:rFonts w:hint="eastAsia" w:ascii="宋体" w:hAnsi="宋体" w:cs="宋体"/>
          <w:bCs/>
          <w:color w:val="auto"/>
          <w:sz w:val="24"/>
          <w:szCs w:val="24"/>
        </w:rPr>
        <w:t>向</w:t>
      </w:r>
      <w:r>
        <w:rPr>
          <w:rFonts w:hint="eastAsia" w:ascii="宋体" w:hAnsi="宋体" w:cs="宋体"/>
          <w:bCs/>
          <w:color w:val="auto"/>
          <w:sz w:val="24"/>
          <w:szCs w:val="24"/>
          <w:lang w:val="en-US" w:eastAsia="zh-CN"/>
        </w:rPr>
        <w:t>乙方</w:t>
      </w:r>
      <w:bookmarkStart w:id="23" w:name="_GoBack"/>
      <w:bookmarkEnd w:id="23"/>
      <w:r>
        <w:rPr>
          <w:rFonts w:hint="eastAsia" w:ascii="宋体" w:hAnsi="宋体" w:cs="宋体"/>
          <w:bCs/>
          <w:color w:val="auto"/>
          <w:sz w:val="24"/>
          <w:szCs w:val="24"/>
        </w:rPr>
        <w:t>一次性付清，达到付款条件起30日内，支付合同总金额的100.00%。</w:t>
      </w:r>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3.2、支付形式：银行转账。在付款前，乙方须开具全额发票给甲方；否则，甲方有权拒绝付款，无需承担任何责任，且乙方不得以此为由拒绝履行协议义务。</w:t>
      </w:r>
    </w:p>
    <w:p>
      <w:pPr>
        <w:tabs>
          <w:tab w:val="left" w:pos="480"/>
        </w:tabs>
        <w:spacing w:line="420" w:lineRule="exact"/>
        <w:ind w:firstLine="482" w:firstLineChars="200"/>
        <w:outlineLvl w:val="1"/>
        <w:rPr>
          <w:rFonts w:ascii="宋体" w:hAnsi="宋体" w:cs="宋体"/>
          <w:b/>
          <w:color w:val="auto"/>
          <w:sz w:val="24"/>
          <w:szCs w:val="24"/>
        </w:rPr>
      </w:pPr>
      <w:r>
        <w:rPr>
          <w:rFonts w:hint="eastAsia" w:ascii="宋体" w:hAnsi="宋体" w:cs="宋体"/>
          <w:b/>
          <w:color w:val="auto"/>
          <w:sz w:val="24"/>
          <w:szCs w:val="24"/>
        </w:rPr>
        <w:t>4、服务条件：</w:t>
      </w:r>
      <w:bookmarkEnd w:id="11"/>
      <w:bookmarkEnd w:id="12"/>
      <w:bookmarkEnd w:id="13"/>
    </w:p>
    <w:p>
      <w:pPr>
        <w:tabs>
          <w:tab w:val="left" w:pos="480"/>
        </w:tabs>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（一）服务地点：甲方指定地点。</w:t>
      </w:r>
    </w:p>
    <w:p>
      <w:pPr>
        <w:tabs>
          <w:tab w:val="left" w:pos="480"/>
        </w:tabs>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（二）服务期：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20" w:lineRule="exact"/>
        <w:ind w:firstLine="482" w:firstLineChars="200"/>
        <w:rPr>
          <w:rFonts w:ascii="宋体" w:hAnsi="宋体" w:cs="宋体"/>
          <w:b/>
          <w:color w:val="auto"/>
          <w:sz w:val="24"/>
          <w:szCs w:val="24"/>
        </w:rPr>
      </w:pPr>
      <w:bookmarkStart w:id="14" w:name="_Toc27382"/>
      <w:bookmarkStart w:id="15" w:name="_Toc7966"/>
      <w:r>
        <w:rPr>
          <w:rFonts w:hint="eastAsia" w:ascii="宋体" w:hAnsi="宋体" w:cs="宋体"/>
          <w:b/>
          <w:color w:val="auto"/>
          <w:sz w:val="24"/>
          <w:szCs w:val="24"/>
        </w:rPr>
        <w:t>5、质量保</w:t>
      </w:r>
      <w:bookmarkEnd w:id="14"/>
      <w:bookmarkEnd w:id="15"/>
      <w:r>
        <w:rPr>
          <w:rFonts w:hint="eastAsia" w:ascii="宋体" w:hAnsi="宋体" w:cs="宋体"/>
          <w:b/>
          <w:color w:val="auto"/>
          <w:sz w:val="24"/>
          <w:szCs w:val="24"/>
        </w:rPr>
        <w:t>障</w:t>
      </w:r>
    </w:p>
    <w:p>
      <w:pPr>
        <w:spacing w:line="420" w:lineRule="exact"/>
        <w:ind w:firstLine="480" w:firstLineChars="200"/>
        <w:rPr>
          <w:rFonts w:ascii="宋体" w:hAnsi="宋体" w:cs="宋体"/>
          <w:bCs/>
          <w:color w:val="auto"/>
          <w:sz w:val="24"/>
          <w:szCs w:val="24"/>
        </w:rPr>
      </w:pPr>
      <w:bookmarkStart w:id="16" w:name="_Toc20183"/>
      <w:bookmarkStart w:id="17" w:name="_Toc22161"/>
      <w:bookmarkStart w:id="18" w:name="_Toc12975"/>
      <w:r>
        <w:rPr>
          <w:rFonts w:hint="eastAsia" w:ascii="宋体" w:hAnsi="宋体" w:cs="宋体"/>
          <w:bCs/>
          <w:color w:val="auto"/>
          <w:sz w:val="24"/>
          <w:szCs w:val="24"/>
        </w:rPr>
        <w:t>5.1、乙方应当保证所供犬只的来源渠道正常，完全符合招标文件要求的质量、品种、技术指标等要求。</w:t>
      </w:r>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5.3、在质保期内，如果发现犬只的质量、品种、技术指标等存在与招标文件要求的任何一项不符，甲方应在最短时间内，以书面形式向乙方提出索赔。</w:t>
      </w:r>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（3）乙方应当明确售后服务公约，承诺免费售后服务条件。</w:t>
      </w:r>
    </w:p>
    <w:p>
      <w:pPr>
        <w:tabs>
          <w:tab w:val="left" w:pos="480"/>
        </w:tabs>
        <w:spacing w:line="420" w:lineRule="exact"/>
        <w:ind w:firstLine="482" w:firstLineChars="200"/>
        <w:outlineLvl w:val="1"/>
        <w:rPr>
          <w:rFonts w:ascii="宋体" w:hAnsi="宋体" w:cs="宋体"/>
          <w:color w:val="auto"/>
          <w:sz w:val="24"/>
          <w:szCs w:val="24"/>
        </w:rPr>
      </w:pPr>
      <w:r>
        <w:rPr>
          <w:rFonts w:hint="eastAsia" w:ascii="宋体" w:hAnsi="宋体" w:cs="宋体"/>
          <w:b/>
          <w:color w:val="auto"/>
          <w:sz w:val="24"/>
          <w:szCs w:val="24"/>
        </w:rPr>
        <w:t>6、验收</w:t>
      </w:r>
      <w:bookmarkEnd w:id="16"/>
      <w:bookmarkEnd w:id="17"/>
      <w:bookmarkEnd w:id="18"/>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甲方将组织相关专业人员对服务的效果考核验收。</w:t>
      </w:r>
    </w:p>
    <w:p>
      <w:pPr>
        <w:numPr>
          <w:ilvl w:val="0"/>
          <w:numId w:val="1"/>
        </w:numPr>
        <w:tabs>
          <w:tab w:val="left" w:pos="480"/>
        </w:tabs>
        <w:spacing w:line="420" w:lineRule="exact"/>
        <w:ind w:firstLine="482" w:firstLineChars="200"/>
        <w:outlineLvl w:val="1"/>
        <w:rPr>
          <w:rFonts w:hint="eastAsia" w:ascii="宋体" w:hAnsi="宋体" w:cs="宋体"/>
          <w:b/>
          <w:color w:val="auto"/>
          <w:sz w:val="24"/>
          <w:szCs w:val="24"/>
          <w:lang w:val="en-US" w:eastAsia="zh-CN"/>
        </w:rPr>
      </w:pPr>
      <w:bookmarkStart w:id="19" w:name="_Toc9858"/>
      <w:bookmarkStart w:id="20" w:name="_Toc16693"/>
      <w:bookmarkStart w:id="21" w:name="_Toc20026"/>
      <w:r>
        <w:rPr>
          <w:rFonts w:hint="eastAsia" w:ascii="宋体" w:hAnsi="宋体" w:cs="宋体"/>
          <w:b/>
          <w:color w:val="auto"/>
          <w:sz w:val="24"/>
          <w:szCs w:val="24"/>
          <w:lang w:val="en-US" w:eastAsia="zh-CN"/>
        </w:rPr>
        <w:t>知识产权</w:t>
      </w:r>
    </w:p>
    <w:p>
      <w:pPr>
        <w:spacing w:line="420" w:lineRule="exact"/>
        <w:ind w:firstLine="480" w:firstLineChars="200"/>
        <w:rPr>
          <w:rFonts w:hint="default" w:ascii="宋体" w:hAnsi="宋体" w:cs="宋体"/>
          <w:color w:val="auto"/>
          <w:sz w:val="24"/>
          <w:szCs w:val="24"/>
          <w:lang w:val="en-US" w:eastAsia="zh-CN"/>
        </w:rPr>
      </w:pPr>
      <w:r>
        <w:rPr>
          <w:rFonts w:hint="default" w:ascii="宋体" w:hAnsi="宋体" w:cs="宋体"/>
          <w:color w:val="auto"/>
          <w:sz w:val="24"/>
          <w:szCs w:val="24"/>
          <w:lang w:val="en-US" w:eastAsia="zh-CN"/>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pPr>
        <w:tabs>
          <w:tab w:val="left" w:pos="480"/>
        </w:tabs>
        <w:spacing w:line="420" w:lineRule="exact"/>
        <w:ind w:firstLine="482" w:firstLineChars="200"/>
        <w:outlineLvl w:val="1"/>
        <w:rPr>
          <w:rFonts w:ascii="宋体" w:hAnsi="宋体" w:cs="宋体"/>
          <w:b/>
          <w:color w:val="auto"/>
          <w:sz w:val="24"/>
          <w:szCs w:val="24"/>
        </w:rPr>
      </w:pPr>
      <w:r>
        <w:rPr>
          <w:rFonts w:hint="eastAsia" w:ascii="宋体" w:hAnsi="宋体" w:cs="宋体"/>
          <w:b/>
          <w:color w:val="auto"/>
          <w:sz w:val="24"/>
          <w:szCs w:val="24"/>
          <w:lang w:val="en-US" w:eastAsia="zh-CN"/>
        </w:rPr>
        <w:t>8</w:t>
      </w:r>
      <w:r>
        <w:rPr>
          <w:rFonts w:hint="eastAsia" w:ascii="宋体" w:hAnsi="宋体" w:cs="宋体"/>
          <w:b/>
          <w:color w:val="auto"/>
          <w:sz w:val="24"/>
          <w:szCs w:val="24"/>
        </w:rPr>
        <w:t>、违约责任</w:t>
      </w:r>
      <w:bookmarkEnd w:id="19"/>
      <w:bookmarkEnd w:id="20"/>
      <w:bookmarkEnd w:id="21"/>
    </w:p>
    <w:p>
      <w:pPr>
        <w:tabs>
          <w:tab w:val="left" w:pos="480"/>
        </w:tabs>
        <w:spacing w:line="420" w:lineRule="exact"/>
        <w:ind w:firstLine="480" w:firstLineChars="200"/>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.1、按《民法典》中的相关条款执行。</w:t>
      </w:r>
    </w:p>
    <w:p>
      <w:pPr>
        <w:tabs>
          <w:tab w:val="left" w:pos="480"/>
        </w:tabs>
        <w:spacing w:line="420" w:lineRule="exact"/>
        <w:ind w:firstLine="480" w:firstLineChars="200"/>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2、未按合同要求提供服务或服务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tabs>
          <w:tab w:val="left" w:pos="1155"/>
        </w:tabs>
        <w:overflowPunct w:val="0"/>
        <w:topLinePunct/>
        <w:spacing w:line="420" w:lineRule="exact"/>
        <w:ind w:firstLine="482" w:firstLineChars="200"/>
        <w:rPr>
          <w:rFonts w:ascii="宋体" w:hAnsi="宋体" w:cs="宋体"/>
          <w:b/>
          <w:bCs/>
          <w:color w:val="auto"/>
          <w:sz w:val="24"/>
          <w:szCs w:val="24"/>
        </w:rPr>
      </w:pPr>
      <w:r>
        <w:rPr>
          <w:rFonts w:hint="eastAsia" w:ascii="宋体" w:hAnsi="宋体" w:cs="宋体"/>
          <w:b/>
          <w:bCs/>
          <w:color w:val="auto"/>
          <w:sz w:val="24"/>
          <w:szCs w:val="24"/>
          <w:lang w:val="en-US" w:eastAsia="zh-CN"/>
        </w:rPr>
        <w:t>9</w:t>
      </w:r>
      <w:r>
        <w:rPr>
          <w:rFonts w:hint="eastAsia" w:ascii="宋体" w:hAnsi="宋体" w:cs="宋体"/>
          <w:b/>
          <w:bCs/>
          <w:color w:val="auto"/>
          <w:sz w:val="24"/>
          <w:szCs w:val="24"/>
        </w:rPr>
        <w:t>、争议与索赔</w:t>
      </w:r>
    </w:p>
    <w:p>
      <w:pPr>
        <w:tabs>
          <w:tab w:val="left" w:pos="1155"/>
        </w:tabs>
        <w:overflowPunct w:val="0"/>
        <w:topLinePunct/>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争议与索赔：甲方、乙方双方因合同发生争议时，双方应通过友好协商解决，协商不能达成协议，要求调解、仲裁、或诉讼的，采用调解或仲裁方式解决：</w:t>
      </w:r>
    </w:p>
    <w:p>
      <w:pPr>
        <w:tabs>
          <w:tab w:val="left" w:pos="1155"/>
        </w:tabs>
        <w:overflowPunct w:val="0"/>
        <w:topLinePunct/>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（1）向西安仲裁委员会提请仲裁；</w:t>
      </w:r>
    </w:p>
    <w:p>
      <w:pPr>
        <w:tabs>
          <w:tab w:val="left" w:pos="1155"/>
        </w:tabs>
        <w:overflowPunct w:val="0"/>
        <w:topLinePunct/>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（2）仲裁期间，除与仲裁有关的部分外，双方应继续履行合同规定的各自的义务。</w:t>
      </w:r>
    </w:p>
    <w:p>
      <w:pPr>
        <w:spacing w:line="420" w:lineRule="exact"/>
        <w:ind w:firstLine="482" w:firstLineChars="200"/>
        <w:rPr>
          <w:rFonts w:ascii="宋体" w:hAnsi="宋体" w:cs="宋体"/>
          <w:bCs/>
          <w:color w:val="auto"/>
          <w:sz w:val="24"/>
          <w:szCs w:val="24"/>
        </w:rPr>
      </w:pPr>
      <w:bookmarkStart w:id="22" w:name="_Toc351203493"/>
      <w:r>
        <w:rPr>
          <w:rFonts w:hint="eastAsia" w:ascii="宋体" w:hAnsi="宋体" w:cs="宋体"/>
          <w:b/>
          <w:color w:val="auto"/>
          <w:sz w:val="24"/>
          <w:szCs w:val="24"/>
          <w:lang w:val="en-US" w:eastAsia="zh-CN"/>
        </w:rPr>
        <w:t>10</w:t>
      </w:r>
      <w:r>
        <w:rPr>
          <w:rFonts w:hint="eastAsia" w:ascii="宋体" w:hAnsi="宋体" w:cs="宋体"/>
          <w:b/>
          <w:color w:val="auto"/>
          <w:sz w:val="24"/>
          <w:szCs w:val="24"/>
        </w:rPr>
        <w:t>、合同份数</w:t>
      </w:r>
      <w:bookmarkEnd w:id="22"/>
    </w:p>
    <w:p>
      <w:pPr>
        <w:spacing w:line="420" w:lineRule="exact"/>
        <w:ind w:firstLine="480" w:firstLineChars="200"/>
        <w:rPr>
          <w:rFonts w:ascii="宋体" w:hAnsi="宋体" w:cs="宋体"/>
          <w:bCs/>
          <w:color w:val="auto"/>
          <w:sz w:val="24"/>
          <w:szCs w:val="24"/>
        </w:rPr>
      </w:pPr>
      <w:r>
        <w:rPr>
          <w:rFonts w:hint="eastAsia" w:ascii="宋体" w:hAnsi="宋体" w:cs="宋体"/>
          <w:bCs/>
          <w:color w:val="auto"/>
          <w:sz w:val="24"/>
          <w:szCs w:val="24"/>
        </w:rPr>
        <w:t>本合同一式</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份，均具有同等法律效力，发包人执</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份，承包人执</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份，见证方执</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份。</w:t>
      </w:r>
    </w:p>
    <w:p>
      <w:pPr>
        <w:pStyle w:val="2"/>
        <w:spacing w:line="420" w:lineRule="exact"/>
        <w:ind w:firstLine="560" w:firstLineChars="200"/>
        <w:rPr>
          <w:color w:val="auto"/>
        </w:rPr>
      </w:pP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 xml:space="preserve">甲方：  (公章)                   乙方：  (公章)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法定代表人或其委托代理人：         法定代表人或其委托代理人：</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（签字）                           （签字）</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地  址：</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邮政编码：</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法定代表人：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法定代表人：</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委托代理人：</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电  话：</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传  真：</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传  真：</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宋体"/>
          <w:color w:val="auto"/>
          <w:sz w:val="24"/>
          <w:szCs w:val="24"/>
        </w:rPr>
      </w:pPr>
      <w:r>
        <w:rPr>
          <w:rFonts w:hint="eastAsia" w:ascii="宋体" w:hAnsi="宋体" w:cs="宋体"/>
          <w:color w:val="auto"/>
          <w:sz w:val="24"/>
          <w:szCs w:val="24"/>
        </w:rPr>
        <w:t>电子信箱：</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电子信箱：</w:t>
      </w:r>
      <w:r>
        <w:rPr>
          <w:rFonts w:hint="eastAsia" w:ascii="宋体" w:hAnsi="宋体" w:cs="宋体"/>
          <w:color w:val="auto"/>
          <w:sz w:val="24"/>
          <w:szCs w:val="24"/>
          <w:u w:val="single"/>
        </w:rPr>
        <w:t xml:space="preserve">                    </w:t>
      </w:r>
    </w:p>
    <w:p>
      <w:pPr>
        <w:spacing w:line="420" w:lineRule="exact"/>
        <w:ind w:firstLine="480" w:firstLineChars="200"/>
        <w:rPr>
          <w:rFonts w:ascii="宋体" w:hAnsi="宋体" w:cs="仿宋"/>
          <w:bCs/>
          <w:color w:val="auto"/>
          <w:sz w:val="24"/>
          <w:szCs w:val="24"/>
        </w:rPr>
      </w:pPr>
      <w:r>
        <w:rPr>
          <w:rFonts w:hint="eastAsia" w:ascii="宋体" w:hAnsi="宋体" w:cs="宋体"/>
          <w:color w:val="auto"/>
          <w:sz w:val="24"/>
          <w:szCs w:val="24"/>
        </w:rPr>
        <w:t>开户银行：</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开户银行：</w:t>
      </w:r>
      <w:r>
        <w:rPr>
          <w:rFonts w:hint="eastAsia" w:ascii="宋体" w:hAnsi="宋体" w:cs="宋体"/>
          <w:color w:val="auto"/>
          <w:sz w:val="24"/>
          <w:szCs w:val="24"/>
          <w:u w:val="single"/>
        </w:rPr>
        <w:t xml:space="preserve">                    </w:t>
      </w:r>
    </w:p>
    <w:p>
      <w:pPr>
        <w:spacing w:line="420" w:lineRule="exact"/>
        <w:ind w:firstLine="480" w:firstLineChars="200"/>
        <w:jc w:val="center"/>
      </w:pPr>
      <w:r>
        <w:rPr>
          <w:rFonts w:hint="eastAsia" w:ascii="宋体" w:hAnsi="宋体" w:cs="仿宋"/>
          <w:bCs/>
          <w:color w:val="auto"/>
          <w:sz w:val="24"/>
          <w:szCs w:val="24"/>
        </w:rPr>
        <w:t xml:space="preserve">                           </w:t>
      </w:r>
      <w:r>
        <w:rPr>
          <w:rFonts w:hint="eastAsia" w:ascii="宋体" w:hAnsi="宋体" w:cs="仿宋"/>
          <w:bCs/>
          <w:color w:val="auto"/>
          <w:sz w:val="24"/>
          <w:szCs w:val="24"/>
          <w:lang w:val="en-US" w:eastAsia="zh-CN"/>
        </w:rPr>
        <w:t xml:space="preserve">     </w:t>
      </w:r>
      <w:r>
        <w:rPr>
          <w:rFonts w:hint="eastAsia" w:ascii="宋体" w:hAnsi="宋体" w:cs="仿宋"/>
          <w:bCs/>
          <w:color w:val="auto"/>
          <w:sz w:val="24"/>
          <w:szCs w:val="24"/>
        </w:rPr>
        <w:t xml:space="preserve">  签订日期：</w:t>
      </w:r>
      <w:r>
        <w:rPr>
          <w:rFonts w:hint="eastAsia" w:ascii="宋体" w:hAnsi="宋体" w:cs="仿宋"/>
          <w:bCs/>
          <w:color w:val="auto"/>
          <w:sz w:val="24"/>
          <w:szCs w:val="24"/>
          <w:u w:val="single"/>
        </w:rPr>
        <w:t xml:space="preserve">    年    月   日</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5D32C4"/>
    <w:multiLevelType w:val="singleLevel"/>
    <w:tmpl w:val="275D32C4"/>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1FD401A5"/>
    <w:rsid w:val="3CF25569"/>
    <w:rsid w:val="5808131F"/>
    <w:rsid w:val="6F707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2023-10-11T01:49:00Z</dcterms:created>
  <dc:creator>Administrator</dc:creator>
  <cp:lastModifiedBy>Administrator</cp:lastModifiedBy>
  <dcterms:modified xsi:type="dcterms:W3CDTF">2023-10-11T07:29:43Z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E2D350BD522C4924A26059694B6E7BEB_12</vt:lpwstr>
  </property>
</Properties>
</file>