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outlineLvl w:val="9"/>
        <w:rPr>
          <w:rFonts w:ascii="宋体" w:hAnsi="宋体"/>
          <w:b/>
          <w:sz w:val="32"/>
          <w:szCs w:val="32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近三年无重大违法、违纪书面声明</w:t>
      </w:r>
    </w:p>
    <w:p>
      <w:pPr>
        <w:spacing w:line="360" w:lineRule="auto"/>
        <w:jc w:val="left"/>
        <w:outlineLvl w:val="9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cs="Arial"/>
          <w:kern w:val="0"/>
          <w:sz w:val="24"/>
        </w:rPr>
        <w:t>致：</w:t>
      </w:r>
      <w:r>
        <w:rPr>
          <w:rFonts w:hint="eastAsia" w:ascii="宋体" w:hAnsi="宋体" w:cs="Arial"/>
          <w:kern w:val="0"/>
          <w:sz w:val="24"/>
          <w:lang w:eastAsia="zh-CN"/>
        </w:rPr>
        <w:t>陕西德勤招标有限公司</w:t>
      </w:r>
    </w:p>
    <w:p>
      <w:pPr>
        <w:spacing w:line="360" w:lineRule="auto"/>
        <w:ind w:firstLine="480" w:firstLineChars="200"/>
        <w:jc w:val="left"/>
        <w:outlineLvl w:val="9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我</w:t>
      </w:r>
      <w:r>
        <w:rPr>
          <w:rFonts w:ascii="宋体" w:hAnsi="宋体"/>
          <w:sz w:val="24"/>
        </w:rPr>
        <w:t>单位</w:t>
      </w:r>
      <w:r>
        <w:rPr>
          <w:rFonts w:hint="eastAsia" w:ascii="宋体" w:hAnsi="宋体"/>
          <w:sz w:val="24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 w:val="24"/>
        </w:rPr>
        <w:t>在</w:t>
      </w:r>
      <w:r>
        <w:rPr>
          <w:rFonts w:hint="eastAsia" w:ascii="宋体" w:hAnsi="宋体"/>
          <w:sz w:val="24"/>
        </w:rPr>
        <w:t>重大税收违法失信主体及政府采购严重违法失信行为记录名单中。</w:t>
      </w:r>
    </w:p>
    <w:p>
      <w:pPr>
        <w:spacing w:line="360" w:lineRule="auto"/>
        <w:ind w:firstLine="424" w:firstLineChars="177"/>
        <w:jc w:val="left"/>
        <w:outlineLvl w:val="9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>
      <w:pPr>
        <w:spacing w:line="360" w:lineRule="auto"/>
        <w:jc w:val="left"/>
        <w:outlineLvl w:val="9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投标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备注：</w:t>
      </w:r>
    </w:p>
    <w:p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投标</w:t>
      </w: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在参加政府采购活动前3年内因违法经营被禁止在一定期限内参加政府采购活动，期限届满的，可以参加政府采购活动，但应提供期限届满的证明材料。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《中华人民共和国政府采购法实施条例》第十九条</w:t>
      </w: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重大违法记录，是指供应商因违法经营受到刑事处罚或者责令停产停业、吊销许可证后者执照、较大数额罚款等行政处罚。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3</w:t>
      </w: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财库[2022]3号文件，《中华人民共和国政府采购法实施条例》第十九条第一款规定的“较大数额罚款”认定为200万元以上的罚款，法律、行政法规以及国务院有关部门明确规定相关领域“较大数额罚款”标准高于200万元的，从其规定。</w:t>
      </w:r>
    </w:p>
    <w:p>
      <w:pPr>
        <w:spacing w:line="480" w:lineRule="auto"/>
        <w:ind w:firstLine="420" w:firstLineChars="200"/>
        <w:jc w:val="left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yZGEzMDVkZmYyMmUwMDAyY2MyMWRkMDIzODQ1YjEifQ=="/>
  </w:docVars>
  <w:rsids>
    <w:rsidRoot w:val="5A1E79F6"/>
    <w:rsid w:val="5A1E79F6"/>
    <w:rsid w:val="7648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</w:style>
  <w:style w:type="paragraph" w:styleId="3">
    <w:name w:val="toc 4"/>
    <w:basedOn w:val="1"/>
    <w:next w:val="1"/>
    <w:semiHidden/>
    <w:qFormat/>
    <w:uiPriority w:val="0"/>
    <w:pPr>
      <w:ind w:left="630"/>
      <w:jc w:val="left"/>
    </w:pPr>
    <w:rPr>
      <w:rFonts w:ascii="Times New Roman" w:hAnsi="Times New Roman" w:cs="Times New Roman"/>
      <w:sz w:val="18"/>
      <w:szCs w:val="18"/>
    </w:rPr>
  </w:style>
  <w:style w:type="paragraph" w:styleId="4">
    <w:name w:val="Body Text"/>
    <w:basedOn w:val="1"/>
    <w:next w:val="1"/>
    <w:qFormat/>
    <w:uiPriority w:val="99"/>
    <w:rPr>
      <w:rFonts w:ascii="Calibri" w:hAnsi="Calibri" w:cs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2023-09-21T09:04:00Z</dcterms:created>
  <dc:creator>以沫</dc:creator>
  <cp:lastModifiedBy>以沫</cp:lastModifiedBy>
  <dcterms:modified xsi:type="dcterms:W3CDTF">2023-09-21T09:06:02Z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D9E43C029AFC41ACA78EFE0D228F9A46_13</vt:lpwstr>
  </property>
</Properties>
</file>