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财务状况报告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宋体"/>
          <w:sz w:val="24"/>
        </w:rPr>
        <w:t>提供2022年度经审计的完整财务审计报告（审计报告应当包含报告正文、资产负债表、利润表、现金流量表及所有者权益变动表（无所有者权益表的提供书面说明）、附注和会计师事务所营业执照，报告正文应当有会计师事务所公章，2个注册会计师的证书、签字和盖章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</w:rPr>
        <w:t>或2023年</w:t>
      </w:r>
      <w:r>
        <w:rPr>
          <w:rFonts w:hint="eastAsia" w:ascii="宋体" w:hAnsi="宋体" w:cs="宋体"/>
          <w:sz w:val="24"/>
        </w:rPr>
        <w:t>6</w:t>
      </w:r>
      <w:r>
        <w:rPr>
          <w:rFonts w:ascii="宋体" w:hAnsi="宋体" w:cs="宋体"/>
          <w:sz w:val="24"/>
        </w:rPr>
        <w:t>月1日至今期间银行出具的资信证明，或财政部门认可的政府采购专业担保机构出具的投标担保函（以上三种形式的资料提供任何一种即可）。</w:t>
      </w:r>
    </w:p>
    <w:p>
      <w:pPr>
        <w:spacing w:line="360" w:lineRule="auto"/>
        <w:ind w:firstLine="420" w:firstLineChars="200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762DC8"/>
    <w:rsid w:val="00762DC8"/>
    <w:rsid w:val="00A363C9"/>
    <w:rsid w:val="2F301BCC"/>
    <w:rsid w:val="6921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link w:val="5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5">
    <w:name w:val="普通(网站) Char"/>
    <w:link w:val="2"/>
    <w:qFormat/>
    <w:locked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0</TotalTime>
  <ScaleCrop>false</ScaleCrop>
  <LinksUpToDate>false</LinksUpToDate>
  <CharactersWithSpaces>235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2023-09-07T07:15:00Z</dcterms:created>
  <dc:creator>Administrator</dc:creator>
  <cp:lastModifiedBy>张丹</cp:lastModifiedBy>
  <dcterms:modified xsi:type="dcterms:W3CDTF">2023-11-09T04:24:06Z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FC5502EB699541FDAC2282CB84BBDC9A_12</vt:lpwstr>
  </property>
</Properties>
</file>