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contextualSpacing/>
        <w:jc w:val="center"/>
        <w:rPr>
          <w:rFonts w:hint="eastAsia" w:ascii="宋体" w:hAnsi="宋体" w:cs="宋体"/>
          <w:b/>
          <w:bCs/>
          <w:sz w:val="44"/>
          <w:szCs w:val="44"/>
          <w:lang w:val="en-US" w:eastAsia="zh-CN"/>
        </w:rPr>
      </w:pPr>
    </w:p>
    <w:p>
      <w:pPr>
        <w:snapToGrid w:val="0"/>
        <w:contextualSpacing/>
        <w:jc w:val="center"/>
        <w:rPr>
          <w:rFonts w:hint="eastAsia" w:ascii="宋体" w:hAnsi="宋体" w:cs="宋体"/>
          <w:b/>
          <w:bCs/>
          <w:sz w:val="44"/>
          <w:szCs w:val="44"/>
          <w:lang w:val="en-US" w:eastAsia="zh-CN"/>
        </w:rPr>
      </w:pPr>
    </w:p>
    <w:p>
      <w:pPr>
        <w:snapToGrid w:val="0"/>
        <w:contextualSpacing/>
        <w:jc w:val="center"/>
        <w:rPr>
          <w:rFonts w:hint="eastAsia" w:ascii="宋体" w:hAnsi="宋体"/>
          <w:b/>
          <w:color w:val="auto"/>
          <w:sz w:val="44"/>
          <w:szCs w:val="44"/>
        </w:rPr>
      </w:pPr>
      <w:r>
        <w:rPr>
          <w:rFonts w:hint="eastAsia" w:ascii="宋体" w:hAnsi="宋体" w:cs="宋体"/>
          <w:b/>
          <w:bCs/>
          <w:sz w:val="44"/>
          <w:szCs w:val="44"/>
          <w:lang w:val="en-US" w:eastAsia="zh-CN"/>
        </w:rPr>
        <w:t>省工疗南门用房及消防联动工程</w:t>
      </w:r>
    </w:p>
    <w:p>
      <w:pPr>
        <w:snapToGrid w:val="0"/>
        <w:contextualSpacing/>
        <w:jc w:val="center"/>
        <w:rPr>
          <w:rFonts w:hint="eastAsia" w:ascii="宋体" w:hAnsi="宋体"/>
          <w:b/>
          <w:color w:val="auto"/>
          <w:sz w:val="72"/>
          <w:szCs w:val="72"/>
        </w:rPr>
      </w:pPr>
    </w:p>
    <w:p>
      <w:pPr>
        <w:pStyle w:val="2"/>
        <w:rPr>
          <w:rFonts w:hint="eastAsia" w:ascii="宋体" w:hAnsi="宋体"/>
          <w:b/>
          <w:color w:val="auto"/>
          <w:sz w:val="72"/>
          <w:szCs w:val="72"/>
        </w:rPr>
      </w:pPr>
    </w:p>
    <w:p>
      <w:pPr>
        <w:pStyle w:val="2"/>
        <w:rPr>
          <w:rFonts w:hint="eastAsia" w:ascii="宋体" w:hAnsi="宋体"/>
          <w:b/>
          <w:color w:val="auto"/>
          <w:sz w:val="72"/>
          <w:szCs w:val="72"/>
        </w:rPr>
      </w:pPr>
    </w:p>
    <w:p>
      <w:pPr>
        <w:snapToGrid w:val="0"/>
        <w:contextualSpacing/>
        <w:jc w:val="center"/>
        <w:rPr>
          <w:rFonts w:hint="default" w:ascii="宋体" w:hAnsi="宋体"/>
          <w:b/>
          <w:color w:val="auto"/>
          <w:sz w:val="28"/>
          <w:szCs w:val="28"/>
          <w:lang w:val="en-US"/>
        </w:rPr>
      </w:pPr>
      <w:r>
        <w:rPr>
          <w:rFonts w:hint="eastAsia" w:ascii="宋体" w:hAnsi="宋体"/>
          <w:b/>
          <w:color w:val="auto"/>
          <w:sz w:val="44"/>
          <w:szCs w:val="44"/>
          <w:lang w:val="en-US" w:eastAsia="zh-CN"/>
        </w:rPr>
        <w:t>工程量清单</w:t>
      </w:r>
    </w:p>
    <w:p>
      <w:pPr>
        <w:jc w:val="center"/>
        <w:rPr>
          <w:rFonts w:hint="eastAsia" w:ascii="宋体" w:hAnsi="宋体"/>
          <w:b/>
          <w:color w:val="auto"/>
          <w:sz w:val="84"/>
        </w:rPr>
      </w:pPr>
    </w:p>
    <w:p>
      <w:pPr>
        <w:jc w:val="center"/>
        <w:rPr>
          <w:rFonts w:hint="eastAsia" w:ascii="宋体" w:hAnsi="宋体"/>
          <w:b/>
          <w:color w:val="auto"/>
          <w:sz w:val="84"/>
        </w:rPr>
      </w:pPr>
    </w:p>
    <w:p>
      <w:pPr>
        <w:jc w:val="center"/>
        <w:rPr>
          <w:rFonts w:hint="eastAsia" w:ascii="宋体" w:hAnsi="宋体"/>
          <w:b/>
          <w:color w:val="auto"/>
          <w:sz w:val="32"/>
          <w:szCs w:val="32"/>
        </w:rPr>
      </w:pPr>
    </w:p>
    <w:p>
      <w:pPr>
        <w:jc w:val="center"/>
        <w:rPr>
          <w:rFonts w:hint="eastAsia" w:ascii="宋体" w:hAnsi="宋体"/>
          <w:b/>
          <w:color w:val="auto"/>
          <w:sz w:val="84"/>
        </w:rPr>
      </w:pPr>
    </w:p>
    <w:p>
      <w:pPr>
        <w:pStyle w:val="2"/>
        <w:ind w:left="0" w:leftChars="0" w:firstLine="0" w:firstLineChars="0"/>
        <w:jc w:val="center"/>
        <w:rPr>
          <w:rFonts w:hint="eastAsia" w:ascii="宋体" w:hAnsi="宋体"/>
          <w:b/>
          <w:color w:val="auto"/>
          <w:sz w:val="84"/>
        </w:rPr>
      </w:pPr>
    </w:p>
    <w:p>
      <w:pPr>
        <w:snapToGrid w:val="0"/>
        <w:spacing w:line="360" w:lineRule="auto"/>
        <w:ind w:left="1042" w:leftChars="305" w:hanging="402" w:hangingChars="125"/>
        <w:jc w:val="center"/>
        <w:rPr>
          <w:rFonts w:hint="eastAsia" w:ascii="宋体" w:hAnsi="宋体"/>
          <w:b/>
          <w:bCs/>
          <w:color w:val="auto"/>
          <w:sz w:val="36"/>
          <w:szCs w:val="36"/>
        </w:rPr>
      </w:pPr>
      <w:r>
        <w:rPr>
          <w:rFonts w:hint="eastAsia" w:ascii="宋体" w:hAnsi="宋体"/>
          <w:b/>
          <w:bCs/>
          <w:color w:val="auto"/>
          <w:sz w:val="32"/>
          <w:szCs w:val="32"/>
        </w:rPr>
        <w:t>陕西正翼</w:t>
      </w:r>
      <w:r>
        <w:rPr>
          <w:rFonts w:hint="eastAsia" w:ascii="宋体" w:hAnsi="宋体"/>
          <w:b/>
          <w:bCs/>
          <w:color w:val="auto"/>
          <w:sz w:val="32"/>
          <w:szCs w:val="32"/>
          <w:lang w:val="en-US" w:eastAsia="zh-CN"/>
        </w:rPr>
        <w:t>项目管理咨询</w:t>
      </w:r>
      <w:r>
        <w:rPr>
          <w:rFonts w:hint="eastAsia" w:ascii="宋体" w:hAnsi="宋体"/>
          <w:b/>
          <w:bCs/>
          <w:color w:val="auto"/>
          <w:sz w:val="32"/>
          <w:szCs w:val="32"/>
        </w:rPr>
        <w:t>有限公司</w:t>
      </w:r>
    </w:p>
    <w:p>
      <w:pPr>
        <w:jc w:val="center"/>
        <w:rPr>
          <w:rFonts w:hint="eastAsia" w:ascii="宋体" w:hAnsi="宋体" w:eastAsia="宋体" w:cs="Times New Roman"/>
          <w:b/>
          <w:bCs/>
          <w:color w:val="auto"/>
          <w:sz w:val="32"/>
          <w:szCs w:val="32"/>
          <w:lang w:val="en-US" w:eastAsia="zh-CN"/>
        </w:rPr>
      </w:pPr>
      <w:r>
        <w:rPr>
          <w:rFonts w:hint="eastAsia" w:ascii="宋体" w:hAnsi="宋体" w:eastAsia="宋体" w:cs="Times New Roman"/>
          <w:b/>
          <w:bCs/>
          <w:color w:val="auto"/>
          <w:sz w:val="32"/>
          <w:szCs w:val="32"/>
        </w:rPr>
        <w:t>二○二</w:t>
      </w:r>
      <w:r>
        <w:rPr>
          <w:rFonts w:hint="eastAsia" w:ascii="宋体" w:hAnsi="宋体" w:eastAsia="宋体" w:cs="Times New Roman"/>
          <w:b/>
          <w:bCs/>
          <w:color w:val="auto"/>
          <w:sz w:val="32"/>
          <w:szCs w:val="32"/>
          <w:lang w:val="en-US" w:eastAsia="zh-CN"/>
        </w:rPr>
        <w:t>三</w:t>
      </w:r>
      <w:r>
        <w:rPr>
          <w:rFonts w:hint="eastAsia" w:ascii="宋体" w:hAnsi="宋体" w:eastAsia="宋体" w:cs="Times New Roman"/>
          <w:b/>
          <w:bCs/>
          <w:color w:val="auto"/>
          <w:sz w:val="32"/>
          <w:szCs w:val="32"/>
        </w:rPr>
        <w:t>年</w:t>
      </w:r>
      <w:r>
        <w:rPr>
          <w:rFonts w:hint="eastAsia" w:ascii="宋体" w:hAnsi="宋体" w:cs="Times New Roman"/>
          <w:b/>
          <w:bCs/>
          <w:color w:val="auto"/>
          <w:sz w:val="32"/>
          <w:szCs w:val="32"/>
          <w:lang w:val="en-US" w:eastAsia="zh-CN"/>
        </w:rPr>
        <w:t>十二</w:t>
      </w:r>
      <w:r>
        <w:rPr>
          <w:rFonts w:hint="eastAsia" w:ascii="宋体" w:hAnsi="宋体" w:eastAsia="宋体" w:cs="Times New Roman"/>
          <w:b/>
          <w:bCs/>
          <w:color w:val="auto"/>
          <w:sz w:val="32"/>
          <w:szCs w:val="32"/>
          <w:lang w:val="en-US" w:eastAsia="zh-CN"/>
        </w:rPr>
        <w:t>月二十</w:t>
      </w:r>
      <w:r>
        <w:rPr>
          <w:rFonts w:hint="eastAsia" w:ascii="宋体" w:hAnsi="宋体" w:cs="Times New Roman"/>
          <w:b/>
          <w:bCs/>
          <w:color w:val="auto"/>
          <w:sz w:val="32"/>
          <w:szCs w:val="32"/>
          <w:lang w:val="en-US" w:eastAsia="zh-CN"/>
        </w:rPr>
        <w:t>九</w:t>
      </w:r>
      <w:r>
        <w:rPr>
          <w:rFonts w:hint="eastAsia" w:ascii="宋体" w:hAnsi="宋体" w:eastAsia="宋体" w:cs="Times New Roman"/>
          <w:b/>
          <w:bCs/>
          <w:color w:val="auto"/>
          <w:sz w:val="32"/>
          <w:szCs w:val="32"/>
          <w:lang w:val="en-US" w:eastAsia="zh-CN"/>
        </w:rPr>
        <w:t>日</w:t>
      </w:r>
    </w:p>
    <w:p>
      <w:pPr>
        <w:jc w:val="center"/>
        <w:rPr>
          <w:rFonts w:hint="eastAsia" w:ascii="宋体" w:hAnsi="宋体" w:cs="宋体"/>
          <w:b/>
          <w:bCs/>
          <w:sz w:val="28"/>
          <w:szCs w:val="28"/>
          <w:lang w:val="en-US" w:eastAsia="zh-CN"/>
        </w:rPr>
      </w:pPr>
    </w:p>
    <w:p>
      <w:pPr>
        <w:jc w:val="center"/>
        <w:rPr>
          <w:rFonts w:hint="eastAsia" w:ascii="宋体" w:hAnsi="宋体" w:cs="宋体"/>
          <w:b/>
          <w:bCs/>
          <w:sz w:val="28"/>
          <w:szCs w:val="28"/>
          <w:lang w:val="en-US" w:eastAsia="zh-CN"/>
        </w:rPr>
      </w:pPr>
    </w:p>
    <w:p>
      <w:pPr>
        <w:ind w:firstLine="2249" w:firstLineChars="800"/>
        <w:jc w:val="left"/>
        <w:rPr>
          <w:rFonts w:hint="eastAsia" w:ascii="宋体" w:hAnsi="宋体" w:cs="宋体"/>
          <w:b/>
          <w:bCs/>
          <w:sz w:val="28"/>
          <w:szCs w:val="28"/>
          <w:lang w:val="en-US" w:eastAsia="zh-CN"/>
        </w:rPr>
      </w:pPr>
    </w:p>
    <w:p>
      <w:pPr>
        <w:ind w:firstLine="2249" w:firstLineChars="800"/>
        <w:jc w:val="left"/>
        <w:rPr>
          <w:rFonts w:hint="eastAsia" w:ascii="宋体" w:hAnsi="宋体" w:cs="宋体"/>
          <w:b/>
          <w:bCs/>
          <w:sz w:val="28"/>
          <w:szCs w:val="28"/>
          <w:lang w:val="en-US" w:eastAsia="zh-CN"/>
        </w:rPr>
      </w:pPr>
      <w:r>
        <w:rPr>
          <w:rFonts w:hint="eastAsia" w:ascii="宋体" w:hAnsi="宋体" w:cs="宋体"/>
          <w:b/>
          <w:bCs/>
          <w:sz w:val="28"/>
          <w:szCs w:val="28"/>
          <w:lang w:val="en-US" w:eastAsia="zh-CN"/>
        </w:rPr>
        <w:t>省工疗南门用房及消防联动工程</w:t>
      </w:r>
    </w:p>
    <w:p>
      <w:pPr>
        <w:jc w:val="center"/>
        <w:rPr>
          <w:rFonts w:ascii="宋体" w:hAnsi="宋体" w:cs="宋体"/>
          <w:b/>
          <w:sz w:val="28"/>
          <w:szCs w:val="28"/>
        </w:rPr>
      </w:pPr>
      <w:r>
        <w:rPr>
          <w:rFonts w:hint="eastAsia" w:ascii="宋体" w:hAnsi="宋体" w:cs="宋体"/>
          <w:b/>
          <w:bCs/>
          <w:kern w:val="0"/>
          <w:sz w:val="28"/>
          <w:szCs w:val="28"/>
          <w:lang w:val="en-US" w:eastAsia="zh-CN"/>
        </w:rPr>
        <w:t>清单</w:t>
      </w:r>
      <w:r>
        <w:rPr>
          <w:rFonts w:hint="eastAsia" w:ascii="宋体" w:hAnsi="宋体" w:cs="宋体"/>
          <w:b/>
          <w:bCs/>
          <w:kern w:val="0"/>
          <w:sz w:val="28"/>
          <w:szCs w:val="28"/>
        </w:rPr>
        <w:t>编制说明</w:t>
      </w:r>
    </w:p>
    <w:p>
      <w:pPr>
        <w:rPr>
          <w:rFonts w:ascii="宋体" w:hAnsi="宋体" w:cs="宋体"/>
          <w:b/>
          <w:sz w:val="28"/>
          <w:szCs w:val="28"/>
        </w:rPr>
      </w:pPr>
    </w:p>
    <w:p>
      <w:pPr>
        <w:ind w:firstLine="562" w:firstLineChars="200"/>
        <w:rPr>
          <w:rFonts w:ascii="宋体" w:hAnsi="宋体" w:cs="宋体"/>
          <w:b/>
          <w:color w:val="000000"/>
          <w:sz w:val="28"/>
          <w:szCs w:val="28"/>
        </w:rPr>
      </w:pPr>
      <w:r>
        <w:rPr>
          <w:rFonts w:hint="eastAsia" w:ascii="宋体" w:hAnsi="宋体" w:cs="宋体"/>
          <w:b/>
          <w:color w:val="000000"/>
          <w:sz w:val="28"/>
          <w:szCs w:val="28"/>
        </w:rPr>
        <w:t>一、工程概况</w:t>
      </w:r>
    </w:p>
    <w:p>
      <w:pPr>
        <w:pStyle w:val="5"/>
        <w:widowControl/>
        <w:spacing w:before="0" w:beforeAutospacing="0" w:after="0" w:afterAutospacing="0" w:line="480" w:lineRule="auto"/>
        <w:ind w:firstLine="560" w:firstLineChars="200"/>
        <w:rPr>
          <w:rFonts w:ascii="宋体" w:hAnsi="宋体" w:cs="宋体"/>
          <w:sz w:val="28"/>
          <w:szCs w:val="28"/>
        </w:rPr>
      </w:pPr>
      <w:r>
        <w:rPr>
          <w:rFonts w:hint="eastAsia" w:ascii="宋体" w:hAnsi="宋体" w:cs="宋体"/>
          <w:sz w:val="28"/>
          <w:szCs w:val="28"/>
        </w:rPr>
        <w:t>本工程为省工疗南门用房及消防联动工程，位于西安市</w:t>
      </w:r>
      <w:r>
        <w:rPr>
          <w:rFonts w:hint="eastAsia" w:ascii="宋体" w:hAnsi="宋体" w:cs="宋体"/>
          <w:sz w:val="28"/>
          <w:szCs w:val="28"/>
          <w:lang w:val="en-US" w:eastAsia="zh-CN"/>
        </w:rPr>
        <w:t>临潼区陕西工人疗养院</w:t>
      </w:r>
      <w:r>
        <w:rPr>
          <w:rFonts w:hint="eastAsia" w:ascii="宋体" w:hAnsi="宋体" w:cs="宋体"/>
          <w:sz w:val="28"/>
          <w:szCs w:val="28"/>
        </w:rPr>
        <w:t>。</w:t>
      </w:r>
      <w:bookmarkStart w:id="0" w:name="_Hlk136943880"/>
    </w:p>
    <w:bookmarkEnd w:id="0"/>
    <w:p>
      <w:pPr>
        <w:spacing w:line="560" w:lineRule="exact"/>
        <w:ind w:firstLine="562" w:firstLineChars="200"/>
        <w:rPr>
          <w:rFonts w:ascii="宋体" w:hAnsi="宋体" w:cs="宋体"/>
          <w:b/>
          <w:sz w:val="28"/>
          <w:szCs w:val="28"/>
        </w:rPr>
      </w:pPr>
      <w:r>
        <w:rPr>
          <w:rFonts w:hint="eastAsia" w:ascii="宋体" w:hAnsi="宋体" w:cs="宋体"/>
          <w:b/>
          <w:sz w:val="28"/>
          <w:szCs w:val="28"/>
        </w:rPr>
        <w:t>二、清单编制范围</w:t>
      </w:r>
    </w:p>
    <w:p>
      <w:pPr>
        <w:pStyle w:val="5"/>
        <w:widowControl/>
        <w:spacing w:before="0" w:beforeAutospacing="0" w:after="0" w:afterAutospacing="0"/>
        <w:ind w:firstLine="560" w:firstLineChars="200"/>
        <w:rPr>
          <w:rFonts w:ascii="宋体" w:hAnsi="宋体" w:cs="宋体"/>
          <w:sz w:val="28"/>
          <w:szCs w:val="28"/>
        </w:rPr>
      </w:pPr>
      <w:r>
        <w:rPr>
          <w:rFonts w:hint="eastAsia" w:ascii="宋体" w:hAnsi="宋体" w:cs="宋体"/>
          <w:sz w:val="28"/>
          <w:szCs w:val="28"/>
        </w:rPr>
        <w:t>1、《省工疗南门用房及消防联动工程》施工图纸中</w:t>
      </w:r>
      <w:r>
        <w:rPr>
          <w:rFonts w:hint="eastAsia" w:ascii="宋体" w:hAnsi="宋体" w:cs="宋体"/>
          <w:sz w:val="28"/>
          <w:szCs w:val="28"/>
          <w:lang w:val="en-US" w:eastAsia="zh-CN"/>
        </w:rPr>
        <w:t>南门内附属用房（门卫室、电动自行车棚、库房）以及火锅店库房的土建、装饰、安装等新建；南门内附属用房周边路面新做；红线内以下电气系统：火灾自动报警及消防联动控制系统、机电抗震设计等改造</w:t>
      </w:r>
      <w:r>
        <w:rPr>
          <w:rFonts w:hint="eastAsia" w:ascii="宋体" w:hAnsi="宋体" w:cs="宋体"/>
          <w:sz w:val="28"/>
          <w:szCs w:val="28"/>
        </w:rPr>
        <w:t>。</w:t>
      </w:r>
    </w:p>
    <w:p>
      <w:pPr>
        <w:spacing w:line="560" w:lineRule="exact"/>
        <w:ind w:firstLine="562" w:firstLineChars="200"/>
        <w:rPr>
          <w:rFonts w:ascii="宋体" w:hAnsi="宋体" w:cs="宋体"/>
          <w:b/>
          <w:sz w:val="28"/>
          <w:szCs w:val="28"/>
        </w:rPr>
      </w:pPr>
      <w:r>
        <w:rPr>
          <w:rFonts w:hint="eastAsia" w:ascii="宋体" w:hAnsi="宋体" w:cs="宋体"/>
          <w:b/>
          <w:sz w:val="28"/>
          <w:szCs w:val="28"/>
        </w:rPr>
        <w:t>三、编制依据</w:t>
      </w:r>
    </w:p>
    <w:p>
      <w:pPr>
        <w:spacing w:line="560" w:lineRule="exact"/>
        <w:ind w:firstLine="560" w:firstLineChars="200"/>
        <w:rPr>
          <w:rFonts w:hint="eastAsia" w:ascii="宋体" w:hAnsi="宋体" w:eastAsia="宋体" w:cs="宋体"/>
          <w:sz w:val="28"/>
          <w:szCs w:val="28"/>
        </w:rPr>
      </w:pPr>
      <w:r>
        <w:rPr>
          <w:rFonts w:hint="eastAsia" w:ascii="宋体" w:hAnsi="宋体" w:eastAsia="宋体" w:cs="宋体"/>
          <w:sz w:val="28"/>
          <w:szCs w:val="28"/>
        </w:rPr>
        <w:t>1、2009年《陕西省建设工程工程量清单计价规则》、2004《陕西省建筑、装饰、安装</w:t>
      </w:r>
      <w:r>
        <w:rPr>
          <w:rFonts w:hint="eastAsia" w:ascii="宋体" w:hAnsi="宋体" w:cs="宋体"/>
          <w:sz w:val="28"/>
          <w:szCs w:val="28"/>
          <w:lang w:eastAsia="zh-CN"/>
        </w:rPr>
        <w:t>、</w:t>
      </w:r>
      <w:r>
        <w:rPr>
          <w:rFonts w:hint="eastAsia" w:ascii="宋体" w:hAnsi="宋体" w:cs="宋体"/>
          <w:sz w:val="28"/>
          <w:szCs w:val="28"/>
          <w:lang w:val="en-US" w:eastAsia="zh-CN"/>
        </w:rPr>
        <w:t>市政</w:t>
      </w:r>
      <w:r>
        <w:rPr>
          <w:rFonts w:hint="eastAsia" w:ascii="宋体" w:hAnsi="宋体" w:eastAsia="宋体" w:cs="宋体"/>
          <w:sz w:val="28"/>
          <w:szCs w:val="28"/>
        </w:rPr>
        <w:t>消耗量定额》及勘误表（2009）、《陕西省建设工程消耗量定额（2004）补充定额》、《陕西省建设工程量清单计价费率》；</w:t>
      </w:r>
    </w:p>
    <w:p>
      <w:pPr>
        <w:spacing w:line="560" w:lineRule="exact"/>
        <w:ind w:firstLine="560" w:firstLineChars="200"/>
        <w:rPr>
          <w:rFonts w:ascii="宋体" w:hAnsi="宋体" w:cs="宋体"/>
          <w:sz w:val="28"/>
          <w:szCs w:val="28"/>
        </w:rPr>
      </w:pPr>
      <w:r>
        <w:rPr>
          <w:rFonts w:hint="eastAsia" w:ascii="宋体" w:hAnsi="宋体" w:cs="宋体"/>
          <w:sz w:val="28"/>
          <w:szCs w:val="28"/>
        </w:rPr>
        <w:t>2、《省工疗南门用房及消防联动》施工图纸、答疑回复等；</w:t>
      </w:r>
    </w:p>
    <w:p>
      <w:pPr>
        <w:spacing w:line="560" w:lineRule="exact"/>
        <w:ind w:firstLine="560" w:firstLineChars="200"/>
        <w:rPr>
          <w:rFonts w:ascii="宋体" w:hAnsi="宋体" w:cs="宋体"/>
          <w:sz w:val="28"/>
          <w:szCs w:val="28"/>
        </w:rPr>
      </w:pPr>
      <w:r>
        <w:rPr>
          <w:rFonts w:hint="eastAsia" w:ascii="宋体" w:hAnsi="宋体" w:cs="宋体"/>
          <w:sz w:val="28"/>
          <w:szCs w:val="28"/>
        </w:rPr>
        <w:t>3、陕建发【2019】45号文件关于调整我省建设工程计价依据的通知；</w:t>
      </w:r>
    </w:p>
    <w:p>
      <w:pPr>
        <w:spacing w:line="560" w:lineRule="exact"/>
        <w:ind w:firstLine="560" w:firstLineChars="200"/>
        <w:rPr>
          <w:rFonts w:ascii="宋体" w:hAnsi="宋体" w:cs="宋体"/>
          <w:sz w:val="28"/>
          <w:szCs w:val="28"/>
        </w:rPr>
      </w:pPr>
      <w:r>
        <w:rPr>
          <w:rFonts w:hint="eastAsia" w:ascii="宋体" w:hAnsi="宋体" w:cs="宋体"/>
          <w:sz w:val="28"/>
          <w:szCs w:val="28"/>
        </w:rPr>
        <w:t>4、陕建发【2019】1246号文件关于 陕西省住房和城乡建设厅关于发布我省落实建筑工人实名制管理计价依据的通知；</w:t>
      </w:r>
    </w:p>
    <w:p>
      <w:pPr>
        <w:spacing w:line="560" w:lineRule="exact"/>
        <w:ind w:firstLine="560" w:firstLineChars="200"/>
        <w:rPr>
          <w:rFonts w:ascii="宋体" w:hAnsi="宋体" w:cs="宋体"/>
          <w:sz w:val="28"/>
          <w:szCs w:val="28"/>
        </w:rPr>
      </w:pPr>
      <w:r>
        <w:rPr>
          <w:rFonts w:hint="eastAsia" w:ascii="宋体" w:hAnsi="宋体" w:cs="宋体"/>
          <w:sz w:val="28"/>
          <w:szCs w:val="28"/>
        </w:rPr>
        <w:t>5、陕建发【2020】1097号文关于建筑施工安全生产责任保险费用计价的通知；</w:t>
      </w:r>
    </w:p>
    <w:p>
      <w:pPr>
        <w:spacing w:line="560" w:lineRule="exact"/>
        <w:ind w:firstLine="560" w:firstLineChars="200"/>
        <w:rPr>
          <w:rFonts w:ascii="宋体" w:hAnsi="宋体" w:cs="宋体"/>
          <w:sz w:val="28"/>
          <w:szCs w:val="28"/>
        </w:rPr>
      </w:pPr>
      <w:r>
        <w:rPr>
          <w:rFonts w:hint="eastAsia" w:ascii="宋体" w:hAnsi="宋体" w:cs="宋体"/>
          <w:sz w:val="28"/>
          <w:szCs w:val="28"/>
        </w:rPr>
        <w:t>6、陕建发【2021】1021号建筑业劳保费用执行陕西省住房和城乡建设厅《关于全省统一停止收缴建筑业劳保费用的通知》；</w:t>
      </w:r>
    </w:p>
    <w:p>
      <w:pPr>
        <w:spacing w:line="560" w:lineRule="exact"/>
        <w:ind w:firstLine="560" w:firstLineChars="200"/>
        <w:rPr>
          <w:rFonts w:ascii="宋体" w:hAnsi="宋体" w:cs="宋体"/>
          <w:sz w:val="28"/>
          <w:szCs w:val="28"/>
        </w:rPr>
      </w:pPr>
      <w:r>
        <w:rPr>
          <w:rFonts w:hint="eastAsia" w:ascii="宋体" w:hAnsi="宋体" w:cs="宋体"/>
          <w:sz w:val="28"/>
          <w:szCs w:val="28"/>
        </w:rPr>
        <w:t>7、清单编制要求、正常的施工组织设计及施工方法；</w:t>
      </w:r>
    </w:p>
    <w:p>
      <w:pPr>
        <w:spacing w:line="560" w:lineRule="exact"/>
        <w:ind w:firstLine="560" w:firstLineChars="200"/>
        <w:rPr>
          <w:rFonts w:ascii="宋体" w:hAnsi="宋体" w:cs="宋体"/>
          <w:sz w:val="28"/>
          <w:szCs w:val="28"/>
        </w:rPr>
      </w:pPr>
      <w:r>
        <w:rPr>
          <w:rFonts w:hint="eastAsia" w:ascii="宋体" w:hAnsi="宋体" w:cs="宋体"/>
          <w:sz w:val="28"/>
          <w:szCs w:val="28"/>
        </w:rPr>
        <w:t>8、与建设工程项目有关的标准、规范、图集、技术资料；</w:t>
      </w:r>
    </w:p>
    <w:p>
      <w:pPr>
        <w:spacing w:line="560" w:lineRule="exact"/>
        <w:ind w:firstLine="560" w:firstLineChars="200"/>
        <w:rPr>
          <w:rFonts w:hint="eastAsia" w:ascii="宋体" w:hAnsi="宋体" w:eastAsia="宋体" w:cs="宋体"/>
          <w:kern w:val="2"/>
          <w:sz w:val="28"/>
          <w:szCs w:val="28"/>
          <w:lang w:val="en-US" w:eastAsia="zh-CN" w:bidi="ar-SA"/>
        </w:rPr>
      </w:pPr>
      <w:r>
        <w:rPr>
          <w:rFonts w:hint="eastAsia" w:ascii="宋体" w:hAnsi="宋体" w:cs="宋体"/>
          <w:sz w:val="28"/>
          <w:szCs w:val="28"/>
        </w:rPr>
        <w:t>9、设计图采用的相关标准图集、施工规范及验收规范</w:t>
      </w:r>
      <w:r>
        <w:rPr>
          <w:rFonts w:hint="eastAsia" w:ascii="宋体" w:hAnsi="宋体" w:eastAsia="宋体" w:cs="宋体"/>
          <w:kern w:val="2"/>
          <w:sz w:val="28"/>
          <w:szCs w:val="28"/>
          <w:lang w:val="en-US" w:eastAsia="zh-CN" w:bidi="ar-SA"/>
        </w:rPr>
        <w:t>。</w:t>
      </w:r>
    </w:p>
    <w:p>
      <w:pPr>
        <w:spacing w:line="560" w:lineRule="exact"/>
        <w:ind w:firstLine="562" w:firstLineChars="200"/>
        <w:rPr>
          <w:rFonts w:ascii="宋体" w:hAnsi="宋体" w:cs="宋体"/>
          <w:sz w:val="28"/>
          <w:szCs w:val="28"/>
        </w:rPr>
      </w:pPr>
      <w:r>
        <w:rPr>
          <w:rFonts w:hint="eastAsia" w:ascii="宋体" w:hAnsi="宋体" w:cs="宋体"/>
          <w:b/>
          <w:color w:val="000000"/>
          <w:sz w:val="28"/>
          <w:szCs w:val="28"/>
        </w:rPr>
        <w:t>四、其他说明</w:t>
      </w:r>
    </w:p>
    <w:p>
      <w:pPr>
        <w:pStyle w:val="5"/>
        <w:keepNext w:val="0"/>
        <w:keepLines w:val="0"/>
        <w:widowControl/>
        <w:numPr>
          <w:ilvl w:val="0"/>
          <w:numId w:val="0"/>
        </w:numPr>
        <w:suppressLineNumbers w:val="0"/>
        <w:spacing w:before="0" w:beforeAutospacing="0" w:after="0" w:afterAutospacing="0"/>
        <w:ind w:leftChars="200" w:right="0" w:rightChars="0"/>
        <w:rPr>
          <w:rFonts w:hint="eastAsia" w:ascii="宋体" w:hAnsi="宋体" w:eastAsia="宋体" w:cs="宋体"/>
          <w:sz w:val="28"/>
          <w:szCs w:val="28"/>
          <w:lang w:val="en-US" w:eastAsia="zh-CN"/>
        </w:rPr>
      </w:pPr>
      <w:r>
        <w:rPr>
          <w:rFonts w:hint="eastAsia" w:ascii="宋体" w:hAnsi="宋体" w:eastAsia="宋体" w:cs="宋体"/>
          <w:b/>
          <w:color w:val="000000"/>
          <w:sz w:val="28"/>
          <w:szCs w:val="28"/>
          <w:lang w:val="en-US" w:eastAsia="zh-CN"/>
        </w:rPr>
        <w:t>（一）、土建</w:t>
      </w:r>
    </w:p>
    <w:p>
      <w:pPr>
        <w:pStyle w:val="5"/>
        <w:keepNext w:val="0"/>
        <w:keepLines w:val="0"/>
        <w:widowControl/>
        <w:numPr>
          <w:ilvl w:val="0"/>
          <w:numId w:val="1"/>
        </w:numPr>
        <w:suppressLineNumbers w:val="0"/>
        <w:spacing w:before="0" w:beforeAutospacing="0" w:after="0" w:afterAutospacing="0"/>
        <w:ind w:left="0" w:right="0" w:firstLine="560" w:firstLineChars="200"/>
        <w:jc w:val="both"/>
        <w:rPr>
          <w:rFonts w:hint="eastAsia" w:ascii="宋体" w:hAnsi="宋体" w:eastAsia="宋体" w:cs="宋体"/>
          <w:sz w:val="28"/>
          <w:szCs w:val="28"/>
          <w:lang w:val="en-US" w:eastAsia="zh-CN"/>
        </w:rPr>
      </w:pPr>
      <w:r>
        <w:rPr>
          <w:rFonts w:hint="eastAsia" w:ascii="宋体" w:hAnsi="宋体" w:cs="宋体"/>
          <w:sz w:val="28"/>
          <w:szCs w:val="28"/>
          <w:lang w:val="en-US" w:eastAsia="zh-CN"/>
        </w:rPr>
        <w:t>素土回填按人工回填20%、机械回填80%比例</w:t>
      </w:r>
      <w:r>
        <w:rPr>
          <w:rFonts w:hint="eastAsia" w:ascii="宋体" w:hAnsi="宋体" w:eastAsia="宋体" w:cs="宋体"/>
          <w:sz w:val="28"/>
          <w:szCs w:val="28"/>
          <w:lang w:val="en-US" w:eastAsia="zh-CN"/>
        </w:rPr>
        <w:t>考虑计入；</w:t>
      </w:r>
    </w:p>
    <w:p>
      <w:pPr>
        <w:pStyle w:val="5"/>
        <w:keepNext w:val="0"/>
        <w:keepLines w:val="0"/>
        <w:widowControl/>
        <w:numPr>
          <w:ilvl w:val="0"/>
          <w:numId w:val="1"/>
        </w:numPr>
        <w:suppressLineNumbers w:val="0"/>
        <w:spacing w:before="0" w:beforeAutospacing="0" w:after="0" w:afterAutospacing="0"/>
        <w:ind w:left="0" w:right="0" w:firstLine="560" w:firstLineChars="200"/>
        <w:jc w:val="both"/>
        <w:rPr>
          <w:rFonts w:hint="eastAsia" w:ascii="宋体" w:hAnsi="宋体" w:eastAsia="宋体" w:cs="宋体"/>
          <w:sz w:val="28"/>
          <w:szCs w:val="28"/>
          <w:lang w:val="en-US" w:eastAsia="zh-CN"/>
        </w:rPr>
      </w:pPr>
      <w:r>
        <w:rPr>
          <w:rFonts w:hint="eastAsia" w:ascii="宋体" w:hAnsi="宋体" w:cs="宋体"/>
          <w:sz w:val="28"/>
          <w:szCs w:val="28"/>
          <w:lang w:val="en-US" w:eastAsia="zh-CN"/>
        </w:rPr>
        <w:t>灰土回填按机械回填</w:t>
      </w:r>
      <w:r>
        <w:rPr>
          <w:rFonts w:hint="eastAsia" w:ascii="宋体" w:hAnsi="宋体" w:eastAsia="宋体" w:cs="宋体"/>
          <w:sz w:val="28"/>
          <w:szCs w:val="28"/>
          <w:lang w:val="en-US" w:eastAsia="zh-CN"/>
        </w:rPr>
        <w:t>考虑计入；</w:t>
      </w:r>
    </w:p>
    <w:p>
      <w:pPr>
        <w:pStyle w:val="2"/>
        <w:numPr>
          <w:ilvl w:val="0"/>
          <w:numId w:val="1"/>
        </w:numPr>
        <w:ind w:left="0" w:leftChars="0" w:right="0" w:firstLine="560" w:firstLineChars="200"/>
        <w:jc w:val="both"/>
        <w:rPr>
          <w:rFonts w:hint="eastAsia" w:ascii="宋体" w:hAnsi="宋体" w:eastAsia="宋体" w:cs="宋体"/>
          <w:kern w:val="2"/>
          <w:sz w:val="28"/>
          <w:szCs w:val="28"/>
          <w:lang w:val="en-US" w:eastAsia="zh-CN" w:bidi="ar-SA"/>
        </w:rPr>
      </w:pPr>
      <w:r>
        <w:rPr>
          <w:rFonts w:hint="eastAsia" w:ascii="宋体" w:hAnsi="宋体" w:eastAsia="宋体" w:cs="宋体"/>
          <w:kern w:val="2"/>
          <w:sz w:val="28"/>
          <w:szCs w:val="28"/>
          <w:lang w:val="en-US" w:eastAsia="zh-CN" w:bidi="ar-SA"/>
        </w:rPr>
        <w:t>本工程内所有混凝土均按商品混凝土，砂浆按预拌砂浆</w:t>
      </w:r>
      <w:r>
        <w:rPr>
          <w:rFonts w:hint="eastAsia" w:ascii="宋体" w:hAnsi="宋体" w:cs="宋体"/>
          <w:kern w:val="2"/>
          <w:sz w:val="28"/>
          <w:szCs w:val="28"/>
          <w:lang w:val="en-US" w:eastAsia="zh-CN" w:bidi="ar-SA"/>
        </w:rPr>
        <w:t>考虑</w:t>
      </w:r>
      <w:r>
        <w:rPr>
          <w:rFonts w:hint="eastAsia" w:ascii="宋体" w:hAnsi="宋体" w:eastAsia="宋体" w:cs="宋体"/>
          <w:kern w:val="2"/>
          <w:sz w:val="28"/>
          <w:szCs w:val="28"/>
          <w:lang w:val="en-US" w:eastAsia="zh-CN" w:bidi="ar-SA"/>
        </w:rPr>
        <w:t>计入。</w:t>
      </w:r>
    </w:p>
    <w:p>
      <w:pPr>
        <w:pStyle w:val="5"/>
        <w:keepNext w:val="0"/>
        <w:keepLines w:val="0"/>
        <w:widowControl/>
        <w:numPr>
          <w:ilvl w:val="0"/>
          <w:numId w:val="2"/>
        </w:numPr>
        <w:suppressLineNumbers w:val="0"/>
        <w:spacing w:before="0" w:beforeAutospacing="0" w:after="0" w:afterAutospacing="0"/>
        <w:ind w:left="420" w:leftChars="200" w:right="0" w:rightChars="0"/>
        <w:rPr>
          <w:rFonts w:hint="eastAsia" w:ascii="宋体" w:hAnsi="宋体" w:cs="宋体"/>
          <w:b/>
          <w:color w:val="000000"/>
          <w:sz w:val="28"/>
          <w:szCs w:val="28"/>
          <w:lang w:val="en-US" w:eastAsia="zh-CN"/>
        </w:rPr>
      </w:pPr>
      <w:r>
        <w:rPr>
          <w:rFonts w:hint="eastAsia" w:ascii="宋体" w:hAnsi="宋体" w:eastAsia="宋体" w:cs="宋体"/>
          <w:b/>
          <w:color w:val="000000"/>
          <w:sz w:val="28"/>
          <w:szCs w:val="28"/>
          <w:lang w:val="en-US" w:eastAsia="zh-CN"/>
        </w:rPr>
        <w:t>、</w:t>
      </w:r>
      <w:r>
        <w:rPr>
          <w:rFonts w:hint="eastAsia" w:ascii="宋体" w:hAnsi="宋体" w:cs="宋体"/>
          <w:b/>
          <w:color w:val="000000"/>
          <w:sz w:val="28"/>
          <w:szCs w:val="28"/>
          <w:lang w:val="en-US" w:eastAsia="zh-CN"/>
        </w:rPr>
        <w:t>安装</w:t>
      </w:r>
    </w:p>
    <w:p>
      <w:pPr>
        <w:pStyle w:val="2"/>
        <w:numPr>
          <w:ilvl w:val="0"/>
          <w:numId w:val="3"/>
        </w:numPr>
        <w:ind w:left="0" w:leftChars="0" w:right="0" w:firstLine="560" w:firstLineChars="200"/>
        <w:jc w:val="both"/>
        <w:rPr>
          <w:rFonts w:hint="eastAsia" w:ascii="宋体" w:hAnsi="宋体" w:cs="宋体"/>
          <w:b w:val="0"/>
          <w:bCs w:val="0"/>
          <w:color w:val="000000"/>
          <w:sz w:val="28"/>
          <w:szCs w:val="28"/>
          <w:lang w:val="en-US" w:eastAsia="zh-CN"/>
        </w:rPr>
      </w:pPr>
      <w:r>
        <w:rPr>
          <w:rFonts w:hint="eastAsia" w:ascii="宋体" w:hAnsi="宋体" w:cs="宋体"/>
          <w:b w:val="0"/>
          <w:bCs w:val="0"/>
          <w:kern w:val="2"/>
          <w:sz w:val="28"/>
          <w:szCs w:val="28"/>
          <w:lang w:val="en-US" w:eastAsia="zh-CN" w:bidi="ar-SA"/>
        </w:rPr>
        <w:t>消防联动改造内容按甲方提供的改造内容计入</w:t>
      </w:r>
      <w:r>
        <w:rPr>
          <w:rFonts w:hint="eastAsia" w:ascii="宋体" w:hAnsi="宋体" w:eastAsia="宋体" w:cs="宋体"/>
          <w:b w:val="0"/>
          <w:bCs w:val="0"/>
          <w:kern w:val="2"/>
          <w:sz w:val="28"/>
          <w:szCs w:val="28"/>
          <w:lang w:val="en-US" w:eastAsia="zh-CN" w:bidi="ar-SA"/>
        </w:rPr>
        <w:t>。</w:t>
      </w:r>
    </w:p>
    <w:p>
      <w:pPr>
        <w:pStyle w:val="5"/>
        <w:keepNext w:val="0"/>
        <w:keepLines w:val="0"/>
        <w:widowControl/>
        <w:numPr>
          <w:ilvl w:val="0"/>
          <w:numId w:val="0"/>
        </w:numPr>
        <w:suppressLineNumbers w:val="0"/>
        <w:spacing w:before="0" w:beforeAutospacing="0" w:after="0" w:afterAutospacing="0"/>
        <w:ind w:leftChars="200" w:right="0" w:rightChars="0"/>
        <w:rPr>
          <w:rFonts w:ascii="宋体" w:hAnsi="宋体" w:cs="宋体"/>
          <w:sz w:val="28"/>
          <w:szCs w:val="28"/>
        </w:rPr>
      </w:pPr>
      <w:r>
        <w:rPr>
          <w:rFonts w:hint="eastAsia" w:ascii="宋体" w:hAnsi="宋体" w:eastAsia="宋体" w:cs="宋体"/>
          <w:b/>
          <w:color w:val="000000"/>
          <w:sz w:val="28"/>
          <w:szCs w:val="28"/>
          <w:lang w:val="en-US" w:eastAsia="zh-CN"/>
        </w:rPr>
        <w:t>（三）、其他</w:t>
      </w:r>
    </w:p>
    <w:p>
      <w:pPr>
        <w:ind w:firstLine="560" w:firstLineChars="200"/>
        <w:rPr>
          <w:rFonts w:ascii="宋体" w:hAnsi="宋体" w:cs="宋体"/>
          <w:sz w:val="28"/>
          <w:szCs w:val="28"/>
        </w:rPr>
      </w:pPr>
      <w:r>
        <w:rPr>
          <w:rFonts w:hint="eastAsia" w:ascii="宋体" w:hAnsi="宋体" w:cs="宋体"/>
          <w:sz w:val="28"/>
          <w:szCs w:val="28"/>
          <w:lang w:val="en-US" w:eastAsia="zh-CN"/>
        </w:rPr>
        <w:t>1</w:t>
      </w:r>
      <w:r>
        <w:rPr>
          <w:rFonts w:hint="eastAsia" w:ascii="宋体" w:hAnsi="宋体" w:cs="宋体"/>
          <w:sz w:val="28"/>
          <w:szCs w:val="28"/>
        </w:rPr>
        <w:t>、本项目招标工程量清单所提供的工程项目其工程特征仅简略表述了主要项目特征、用料及做法，工程量清单计价应与投标须知、合同条款、技术规范、图纸及答疑纪要等文件结合起来查阅与理解，报价时结合技术规范和图纸报价；</w:t>
      </w:r>
    </w:p>
    <w:p>
      <w:pPr>
        <w:pStyle w:val="5"/>
        <w:keepNext w:val="0"/>
        <w:keepLines w:val="0"/>
        <w:widowControl/>
        <w:suppressLineNumbers w:val="0"/>
        <w:spacing w:before="0" w:beforeAutospacing="0" w:after="0" w:afterAutospacing="0"/>
        <w:ind w:left="0" w:right="0" w:firstLine="0"/>
        <w:jc w:val="center"/>
        <w:rPr>
          <w:rFonts w:hint="eastAsia" w:ascii="宋体" w:hAnsi="宋体" w:cs="宋体"/>
          <w:sz w:val="28"/>
          <w:szCs w:val="28"/>
          <w:lang w:eastAsia="zh-CN"/>
        </w:rPr>
      </w:pPr>
      <w:r>
        <w:rPr>
          <w:rFonts w:hint="eastAsia" w:ascii="宋体" w:hAnsi="宋体" w:cs="宋体"/>
          <w:sz w:val="28"/>
          <w:szCs w:val="28"/>
          <w:lang w:val="en-US" w:eastAsia="zh-CN"/>
        </w:rPr>
        <w:t>2</w:t>
      </w:r>
      <w:r>
        <w:rPr>
          <w:rFonts w:hint="eastAsia" w:ascii="宋体" w:hAnsi="宋体" w:cs="宋体"/>
          <w:sz w:val="28"/>
          <w:szCs w:val="28"/>
        </w:rPr>
        <w:t>、工程量清单按广联达GCCP6.0（版本号6.4100.23.11</w:t>
      </w:r>
      <w:r>
        <w:rPr>
          <w:rFonts w:hint="eastAsia" w:ascii="宋体" w:hAnsi="宋体" w:cs="宋体"/>
          <w:sz w:val="28"/>
          <w:szCs w:val="28"/>
          <w:lang w:val="en-US" w:eastAsia="zh-CN"/>
        </w:rPr>
        <w:t>9</w:t>
      </w:r>
      <w:r>
        <w:rPr>
          <w:rFonts w:hint="eastAsia" w:ascii="宋体" w:hAnsi="宋体" w:cs="宋体"/>
          <w:sz w:val="28"/>
          <w:szCs w:val="28"/>
        </w:rPr>
        <w:t>）编制</w:t>
      </w:r>
      <w:r>
        <w:rPr>
          <w:rFonts w:hint="eastAsia" w:ascii="宋体" w:hAnsi="宋体" w:cs="宋体"/>
          <w:sz w:val="28"/>
          <w:szCs w:val="28"/>
          <w:lang w:eastAsia="zh-CN"/>
        </w:rPr>
        <w:t>。</w:t>
      </w:r>
    </w:p>
    <w:p>
      <w:pPr>
        <w:pStyle w:val="5"/>
        <w:keepNext w:val="0"/>
        <w:keepLines w:val="0"/>
        <w:widowControl/>
        <w:suppressLineNumbers w:val="0"/>
        <w:spacing w:before="0" w:beforeAutospacing="0" w:after="0" w:afterAutospacing="0"/>
        <w:ind w:left="0" w:right="0" w:firstLine="0"/>
        <w:jc w:val="center"/>
        <w:rPr>
          <w:rFonts w:hint="eastAsia" w:ascii="宋体" w:hAnsi="宋体" w:cs="宋体"/>
          <w:sz w:val="28"/>
          <w:szCs w:val="28"/>
          <w:lang w:eastAsia="zh-CN"/>
        </w:rPr>
      </w:pPr>
    </w:p>
    <w:p>
      <w:pPr>
        <w:pStyle w:val="5"/>
        <w:keepNext w:val="0"/>
        <w:keepLines w:val="0"/>
        <w:widowControl/>
        <w:suppressLineNumbers w:val="0"/>
        <w:spacing w:before="0" w:beforeAutospacing="0" w:after="0" w:afterAutospacing="0"/>
        <w:ind w:left="0" w:right="0" w:firstLine="0"/>
        <w:jc w:val="center"/>
        <w:rPr>
          <w:rFonts w:hint="eastAsia" w:ascii="宋体" w:hAnsi="宋体" w:cs="宋体"/>
          <w:sz w:val="28"/>
          <w:szCs w:val="28"/>
          <w:lang w:eastAsia="zh-CN"/>
        </w:rPr>
      </w:pPr>
    </w:p>
    <w:p>
      <w:pPr>
        <w:pStyle w:val="5"/>
        <w:keepNext w:val="0"/>
        <w:keepLines w:val="0"/>
        <w:widowControl/>
        <w:suppressLineNumbers w:val="0"/>
        <w:spacing w:before="0" w:beforeAutospacing="0" w:after="0" w:afterAutospacing="0"/>
        <w:ind w:left="0" w:right="0" w:firstLine="0"/>
        <w:jc w:val="center"/>
        <w:rPr>
          <w:rFonts w:hint="eastAsia" w:ascii="宋体" w:hAnsi="宋体" w:cs="宋体"/>
          <w:sz w:val="28"/>
          <w:szCs w:val="28"/>
          <w:lang w:eastAsia="zh-CN"/>
        </w:rPr>
      </w:pPr>
    </w:p>
    <w:p>
      <w:pPr>
        <w:pStyle w:val="5"/>
        <w:keepNext w:val="0"/>
        <w:keepLines w:val="0"/>
        <w:widowControl/>
        <w:suppressLineNumbers w:val="0"/>
        <w:spacing w:before="0" w:beforeAutospacing="0" w:after="0" w:afterAutospacing="0"/>
        <w:ind w:left="0" w:right="0" w:firstLine="0"/>
        <w:jc w:val="center"/>
        <w:rPr>
          <w:rFonts w:hint="eastAsia" w:ascii="宋体" w:hAnsi="宋体" w:cs="宋体"/>
          <w:sz w:val="28"/>
          <w:szCs w:val="28"/>
          <w:lang w:eastAsia="zh-CN"/>
        </w:rPr>
      </w:pPr>
    </w:p>
    <w:p>
      <w:pPr>
        <w:pStyle w:val="5"/>
        <w:keepNext w:val="0"/>
        <w:keepLines w:val="0"/>
        <w:widowControl/>
        <w:suppressLineNumbers w:val="0"/>
        <w:spacing w:before="0" w:beforeAutospacing="0" w:after="0" w:afterAutospacing="0"/>
        <w:ind w:left="0" w:right="0" w:firstLine="0"/>
        <w:jc w:val="center"/>
        <w:rPr>
          <w:rFonts w:hint="eastAsia" w:ascii="宋体" w:hAnsi="宋体" w:eastAsia="宋体" w:cs="宋体"/>
          <w:sz w:val="28"/>
          <w:szCs w:val="28"/>
          <w:lang w:val="en-US" w:eastAsia="zh-CN"/>
        </w:rPr>
      </w:pPr>
      <w:bookmarkStart w:id="1" w:name="_GoBack"/>
      <w:bookmarkEnd w:id="1"/>
      <w:r>
        <w:rPr>
          <w:rFonts w:hint="eastAsia" w:ascii="宋体" w:hAnsi="宋体" w:eastAsia="宋体" w:cs="宋体"/>
          <w:sz w:val="28"/>
          <w:szCs w:val="28"/>
        </w:rPr>
        <w:t>陕西省工人疗养院南门内附属用房施工图</w:t>
      </w:r>
      <w:r>
        <w:rPr>
          <w:rFonts w:hint="eastAsia" w:ascii="宋体" w:hAnsi="宋体" w:eastAsia="宋体" w:cs="宋体"/>
          <w:sz w:val="28"/>
          <w:szCs w:val="28"/>
          <w:lang w:val="en-US" w:eastAsia="zh-CN"/>
        </w:rPr>
        <w:t>图纸答疑</w:t>
      </w:r>
    </w:p>
    <w:p>
      <w:pPr>
        <w:numPr>
          <w:ilvl w:val="0"/>
          <w:numId w:val="4"/>
        </w:numP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请明确铝方通壁厚？</w:t>
      </w:r>
    </w:p>
    <w:p>
      <w:pPr>
        <w:numPr>
          <w:ilvl w:val="0"/>
          <w:numId w:val="0"/>
        </w:numPr>
        <w:rPr>
          <w:rFonts w:hint="eastAsia" w:ascii="宋体" w:hAnsi="宋体" w:eastAsia="宋体" w:cs="宋体"/>
          <w:sz w:val="28"/>
          <w:szCs w:val="28"/>
        </w:rPr>
      </w:pPr>
      <w:r>
        <w:rPr>
          <w:rFonts w:hint="eastAsia" w:ascii="宋体" w:hAnsi="宋体" w:eastAsia="宋体" w:cs="宋体"/>
          <w:sz w:val="28"/>
          <w:szCs w:val="28"/>
        </w:rPr>
        <w:drawing>
          <wp:inline distT="0" distB="0" distL="114300" distR="114300">
            <wp:extent cx="3568065" cy="2805430"/>
            <wp:effectExtent l="0" t="0" r="13335" b="139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3568065" cy="2805430"/>
                    </a:xfrm>
                    <a:prstGeom prst="rect">
                      <a:avLst/>
                    </a:prstGeom>
                    <a:noFill/>
                    <a:ln>
                      <a:noFill/>
                    </a:ln>
                  </pic:spPr>
                </pic:pic>
              </a:graphicData>
            </a:graphic>
          </wp:inline>
        </w:drawing>
      </w:r>
    </w:p>
    <w:p>
      <w:pPr>
        <w:numPr>
          <w:ilvl w:val="0"/>
          <w:numId w:val="0"/>
        </w:numPr>
        <w:rPr>
          <w:rFonts w:hint="eastAsia" w:ascii="宋体" w:hAnsi="宋体" w:eastAsia="宋体" w:cs="宋体"/>
          <w:sz w:val="28"/>
          <w:szCs w:val="28"/>
          <w:lang w:val="en-US" w:eastAsia="zh-CN"/>
        </w:rPr>
      </w:pPr>
      <w:r>
        <w:rPr>
          <w:rFonts w:hint="eastAsia" w:ascii="宋体" w:hAnsi="宋体" w:eastAsia="宋体" w:cs="宋体"/>
          <w:sz w:val="28"/>
          <w:szCs w:val="28"/>
          <w:highlight w:val="red"/>
          <w:lang w:val="en-US" w:eastAsia="zh-CN"/>
        </w:rPr>
        <w:t>回复：2.5mm厚</w:t>
      </w:r>
    </w:p>
    <w:p>
      <w:pPr>
        <w:numPr>
          <w:ilvl w:val="0"/>
          <w:numId w:val="4"/>
        </w:numPr>
        <w:ind w:left="0" w:leftChars="0" w:firstLine="0" w:firstLineChars="0"/>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泵房施工范围？</w:t>
      </w:r>
    </w:p>
    <w:p>
      <w:pPr>
        <w:pStyle w:val="5"/>
        <w:keepNext w:val="0"/>
        <w:keepLines w:val="0"/>
        <w:widowControl/>
        <w:suppressLineNumbers w:val="0"/>
        <w:spacing w:before="0" w:beforeAutospacing="0" w:after="0" w:afterAutospacing="0"/>
        <w:ind w:left="0" w:right="0" w:firstLine="0"/>
        <w:rPr>
          <w:rFonts w:hint="eastAsia" w:ascii="宋体" w:hAnsi="宋体" w:eastAsia="宋体" w:cs="宋体"/>
          <w:sz w:val="28"/>
          <w:szCs w:val="28"/>
          <w:lang w:val="en-US" w:eastAsia="zh-CN"/>
        </w:rPr>
      </w:pPr>
      <w:r>
        <w:rPr>
          <w:rFonts w:hint="eastAsia"/>
          <w:highlight w:val="red"/>
          <w:lang w:val="en-US" w:eastAsia="zh-CN"/>
        </w:rPr>
        <w:t>回复：</w:t>
      </w:r>
      <w:r>
        <w:rPr>
          <w:rFonts w:hint="eastAsia" w:ascii="宋体" w:hAnsi="宋体" w:eastAsia="宋体" w:cs="宋体"/>
          <w:sz w:val="28"/>
          <w:szCs w:val="28"/>
          <w:lang w:val="en-US" w:eastAsia="zh-CN"/>
        </w:rPr>
        <w:t>包括三个感烟探测器，室内、外消火栓泵两台及控制柜安装、接电，消火栓泵型号：1.Q=50L/S H=70m，N=55KW。配电室到控制柜电缆：WDZBN-YJV-3*50+1*25；控制柜接泵：WDZBN-YJV-3*25+1*10。</w:t>
      </w:r>
    </w:p>
    <w:p>
      <w:pPr>
        <w:pStyle w:val="5"/>
        <w:keepNext w:val="0"/>
        <w:keepLines w:val="0"/>
        <w:widowControl/>
        <w:numPr>
          <w:ilvl w:val="0"/>
          <w:numId w:val="4"/>
        </w:numPr>
        <w:suppressLineNumbers w:val="0"/>
        <w:spacing w:before="0" w:beforeAutospacing="0" w:after="0" w:afterAutospacing="0"/>
        <w:ind w:left="0" w:leftChars="0" w:right="0" w:firstLine="0" w:firstLineChars="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室外消防线路请明确具体配管配线型号？</w:t>
      </w:r>
    </w:p>
    <w:p>
      <w:pPr>
        <w:pStyle w:val="5"/>
        <w:keepNext w:val="0"/>
        <w:keepLines w:val="0"/>
        <w:widowControl/>
        <w:numPr>
          <w:ilvl w:val="0"/>
          <w:numId w:val="0"/>
        </w:numPr>
        <w:suppressLineNumbers w:val="0"/>
        <w:spacing w:before="0" w:beforeAutospacing="0" w:after="0" w:afterAutospacing="0"/>
        <w:ind w:leftChars="0" w:right="0" w:rightChars="0"/>
      </w:pPr>
      <w:r>
        <w:drawing>
          <wp:inline distT="0" distB="0" distL="114300" distR="114300">
            <wp:extent cx="5270500" cy="989330"/>
            <wp:effectExtent l="0" t="0" r="2540" b="127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5"/>
                    <a:stretch>
                      <a:fillRect/>
                    </a:stretch>
                  </pic:blipFill>
                  <pic:spPr>
                    <a:xfrm>
                      <a:off x="0" y="0"/>
                      <a:ext cx="5270500" cy="989330"/>
                    </a:xfrm>
                    <a:prstGeom prst="rect">
                      <a:avLst/>
                    </a:prstGeom>
                    <a:noFill/>
                    <a:ln>
                      <a:noFill/>
                    </a:ln>
                  </pic:spPr>
                </pic:pic>
              </a:graphicData>
            </a:graphic>
          </wp:inline>
        </w:drawing>
      </w:r>
    </w:p>
    <w:p>
      <w:pPr>
        <w:pStyle w:val="5"/>
        <w:keepNext w:val="0"/>
        <w:keepLines w:val="0"/>
        <w:widowControl/>
        <w:suppressLineNumbers w:val="0"/>
        <w:spacing w:before="0" w:beforeAutospacing="0" w:after="0" w:afterAutospacing="0"/>
        <w:ind w:left="0" w:right="0" w:firstLine="0"/>
        <w:rPr>
          <w:rFonts w:hint="eastAsia" w:eastAsiaTheme="minorEastAsia"/>
          <w:lang w:eastAsia="zh-CN"/>
        </w:rPr>
      </w:pPr>
      <w:r>
        <w:rPr>
          <w:rFonts w:hint="eastAsia"/>
          <w:highlight w:val="red"/>
          <w:lang w:val="en-US" w:eastAsia="zh-CN"/>
        </w:rPr>
        <w:t>回复：</w:t>
      </w:r>
      <w:r>
        <w:rPr>
          <w:rFonts w:hint="eastAsia"/>
          <w:lang w:val="en-US" w:eastAsia="zh-CN"/>
        </w:rPr>
        <w:t>管材为PE管，穿信号线、电源线和电话线，信号线及电源线：</w:t>
      </w:r>
      <w:r>
        <w:t>RVVS-2*1.5</w:t>
      </w:r>
      <w:r>
        <w:rPr>
          <w:rFonts w:hint="eastAsia"/>
          <w:lang w:eastAsia="zh-CN"/>
        </w:rPr>
        <w:t>，</w:t>
      </w:r>
    </w:p>
    <w:p>
      <w:pPr>
        <w:pStyle w:val="5"/>
        <w:keepNext w:val="0"/>
        <w:keepLines w:val="0"/>
        <w:widowControl/>
        <w:suppressLineNumbers w:val="0"/>
        <w:spacing w:before="0" w:beforeAutospacing="0" w:after="0" w:afterAutospacing="0"/>
        <w:ind w:left="0" w:right="0" w:firstLine="0"/>
        <w:rPr>
          <w:rFonts w:hint="eastAsia" w:eastAsiaTheme="minorEastAsia"/>
          <w:lang w:eastAsia="zh-CN"/>
        </w:rPr>
      </w:pPr>
      <w:r>
        <w:rPr>
          <w:rFonts w:hint="eastAsia"/>
          <w:lang w:val="en-US" w:eastAsia="zh-CN"/>
        </w:rPr>
        <w:t>电话线：</w:t>
      </w:r>
      <w:r>
        <w:t>RVVSP-2*1.5</w:t>
      </w:r>
      <w:r>
        <w:rPr>
          <w:rFonts w:hint="eastAsia"/>
          <w:lang w:eastAsia="zh-CN"/>
        </w:rPr>
        <w:t>。</w:t>
      </w:r>
    </w:p>
    <w:p>
      <w:pPr>
        <w:pStyle w:val="5"/>
        <w:keepNext w:val="0"/>
        <w:keepLines w:val="0"/>
        <w:widowControl/>
        <w:numPr>
          <w:ilvl w:val="0"/>
          <w:numId w:val="4"/>
        </w:numPr>
        <w:suppressLineNumbers w:val="0"/>
        <w:spacing w:before="0" w:beforeAutospacing="0" w:after="0" w:afterAutospacing="0"/>
        <w:ind w:left="0" w:leftChars="0" w:right="0" w:rightChars="0" w:firstLine="0" w:firstLineChars="0"/>
        <w:rPr>
          <w:rFonts w:hint="eastAsia"/>
          <w:lang w:val="en-US" w:eastAsia="zh-CN"/>
        </w:rPr>
      </w:pPr>
      <w:r>
        <w:rPr>
          <w:rFonts w:hint="eastAsia"/>
          <w:lang w:val="en-US" w:eastAsia="zh-CN"/>
        </w:rPr>
        <w:t>自动报警调试点数请明确？</w:t>
      </w:r>
    </w:p>
    <w:p>
      <w:pPr>
        <w:pStyle w:val="5"/>
        <w:keepNext w:val="0"/>
        <w:keepLines w:val="0"/>
        <w:widowControl/>
        <w:numPr>
          <w:ilvl w:val="0"/>
          <w:numId w:val="0"/>
        </w:numPr>
        <w:suppressLineNumbers w:val="0"/>
        <w:spacing w:before="0" w:beforeAutospacing="0" w:after="0" w:afterAutospacing="0"/>
        <w:ind w:leftChars="0" w:right="0" w:rightChars="0"/>
        <w:rPr>
          <w:rFonts w:hint="eastAsia"/>
          <w:lang w:val="en-US" w:eastAsia="zh-CN"/>
        </w:rPr>
      </w:pPr>
      <w:r>
        <w:rPr>
          <w:rFonts w:hint="eastAsia"/>
          <w:highlight w:val="red"/>
          <w:lang w:val="en-US" w:eastAsia="zh-CN"/>
        </w:rPr>
        <w:t>回复：</w:t>
      </w:r>
      <w:r>
        <w:rPr>
          <w:rFonts w:hint="eastAsia"/>
          <w:lang w:val="en-US" w:eastAsia="zh-CN"/>
        </w:rPr>
        <w:t>调试点数为1650点</w:t>
      </w:r>
    </w:p>
    <w:p>
      <w:pPr>
        <w:pStyle w:val="5"/>
        <w:keepNext w:val="0"/>
        <w:keepLines w:val="0"/>
        <w:widowControl/>
        <w:numPr>
          <w:ilvl w:val="0"/>
          <w:numId w:val="0"/>
        </w:numPr>
        <w:suppressLineNumbers w:val="0"/>
        <w:spacing w:before="0" w:beforeAutospacing="0" w:after="0" w:afterAutospacing="0"/>
        <w:ind w:leftChars="0" w:right="0" w:rightChars="0"/>
        <w:rPr>
          <w:rFonts w:hint="eastAsia"/>
          <w:lang w:val="en-US" w:eastAsia="zh-CN"/>
        </w:rPr>
      </w:pPr>
    </w:p>
    <w:p>
      <w:pPr>
        <w:pStyle w:val="5"/>
        <w:keepNext w:val="0"/>
        <w:keepLines w:val="0"/>
        <w:widowControl/>
        <w:numPr>
          <w:ilvl w:val="0"/>
          <w:numId w:val="4"/>
        </w:numPr>
        <w:suppressLineNumbers w:val="0"/>
        <w:spacing w:before="0" w:beforeAutospacing="0" w:after="0" w:afterAutospacing="0"/>
        <w:ind w:left="0" w:leftChars="0" w:right="0" w:rightChars="0" w:firstLine="0" w:firstLineChars="0"/>
        <w:rPr>
          <w:rFonts w:hint="eastAsia"/>
          <w:lang w:val="en-US" w:eastAsia="zh-CN"/>
        </w:rPr>
      </w:pPr>
      <w:r>
        <w:rPr>
          <w:rFonts w:hint="eastAsia"/>
          <w:lang w:val="en-US" w:eastAsia="zh-CN"/>
        </w:rPr>
        <w:t>消防控制室设备规格及参数请明确？</w:t>
      </w:r>
    </w:p>
    <w:p>
      <w:pPr>
        <w:pStyle w:val="5"/>
        <w:keepNext w:val="0"/>
        <w:keepLines w:val="0"/>
        <w:widowControl/>
        <w:numPr>
          <w:ilvl w:val="0"/>
          <w:numId w:val="0"/>
        </w:numPr>
        <w:suppressLineNumbers w:val="0"/>
        <w:spacing w:before="0" w:beforeAutospacing="0" w:after="0" w:afterAutospacing="0"/>
        <w:ind w:leftChars="0" w:right="0" w:rightChars="0"/>
        <w:rPr>
          <w:rFonts w:hint="default"/>
          <w:highlight w:val="red"/>
          <w:lang w:val="en-US" w:eastAsia="zh-CN"/>
        </w:rPr>
      </w:pPr>
      <w:r>
        <w:rPr>
          <w:rFonts w:hint="eastAsia"/>
          <w:highlight w:val="red"/>
          <w:lang w:val="en-US" w:eastAsia="zh-CN"/>
        </w:rPr>
        <w:t>回复：</w:t>
      </w:r>
    </w:p>
    <w:tbl>
      <w:tblPr>
        <w:tblStyle w:val="6"/>
        <w:tblW w:w="934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8"/>
        <w:gridCol w:w="3216"/>
        <w:gridCol w:w="4774"/>
        <w:gridCol w:w="7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620" w:hRule="atLeast"/>
        </w:trPr>
        <w:tc>
          <w:tcPr>
            <w:tcW w:w="934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44"/>
                <w:szCs w:val="44"/>
                <w:u w:val="none"/>
              </w:rPr>
            </w:pPr>
            <w:r>
              <w:rPr>
                <w:rFonts w:hint="eastAsia" w:ascii="宋体" w:hAnsi="宋体" w:eastAsia="宋体" w:cs="宋体"/>
                <w:b/>
                <w:bCs/>
                <w:i w:val="0"/>
                <w:iCs w:val="0"/>
                <w:color w:val="000000"/>
                <w:kern w:val="0"/>
                <w:sz w:val="44"/>
                <w:szCs w:val="44"/>
                <w:u w:val="none"/>
                <w:lang w:val="en-US" w:eastAsia="zh-CN" w:bidi="ar"/>
              </w:rPr>
              <w:t>消防控制室设备清单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620"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3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产品名称</w:t>
            </w:r>
          </w:p>
        </w:tc>
        <w:tc>
          <w:tcPr>
            <w:tcW w:w="477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规格参数</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620"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壁挂广播</w:t>
            </w:r>
          </w:p>
        </w:tc>
        <w:tc>
          <w:tcPr>
            <w:tcW w:w="47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最大输出功率150W；DC24V方式触发应急广播；面板插孔插入 YJGF3040B 手柄电话后，可直接对外进行区域广播。不包含备用电池，需要单独配置12V/7AH电池2节。</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892"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壁挂电话系统</w:t>
            </w:r>
          </w:p>
        </w:tc>
        <w:tc>
          <w:tcPr>
            <w:tcW w:w="47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采用多线（2N线）方式，每路两根线，固定8路配置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所有设置操作有权限确认过程，避免因误操作造成设置改变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有独立的语音录音模块，可对电话通话自动进行录音，录音过程采取循环 覆盖、先进先出方式，可与消防电话分机YJGF3040A、手提式消防电话分机TN3101、消防电话插口（非编码）TN3301配套使用。不包含备用电池，需要单独配置12V/4AH电池2节。</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620"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3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火灾报警控制器/消防联动控制器</w:t>
            </w:r>
          </w:p>
        </w:tc>
        <w:tc>
          <w:tcPr>
            <w:tcW w:w="47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式，彩色大屏幕液晶汉字显示，报警联动点总数484点(2回路，每回路242点)，含软件，含打印机，含一块64点总线操作盘，含6路多线控制盘(可通过TX6002/4多线控制盘扩展至10路多线盘），含备用电池,联动电源输出容量为27V/3A。</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892"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4</w:t>
            </w:r>
          </w:p>
        </w:tc>
        <w:tc>
          <w:tcPr>
            <w:tcW w:w="3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消防控制室图形显示装置（壁挂）</w:t>
            </w:r>
          </w:p>
        </w:tc>
        <w:tc>
          <w:tcPr>
            <w:tcW w:w="47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式，满足消防一体化需求，能对火灾报警、应急照明疏散指示、防火门、气体灭火系统、可燃气体、电气火灾、消防设备电源等系统集中监控；一体式操作界面，含19寸超大显示屏；操作系统：Linux；控制器联网方式支持双路RS232和单路RS485连接；内部嵌入扬声器、打印机；不含蓄电池，如需要需单独配置DC12V/12AH电池1节,不含鼠标键盘，功能操作可用触摸屏实现。</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620"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电气火灾监控设备</w:t>
            </w:r>
          </w:p>
        </w:tc>
        <w:tc>
          <w:tcPr>
            <w:tcW w:w="47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容量：1个回路，64个地址点；含备电；实时监测被保护电气线路中的剩余电流、温度、过线电流等电气火灾危险参数；壁挂式，外形尺寸311mm×60mm×251mm（长×宽×高）。材质：塑料。含打印机，不含联网卡（需选配）。</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620"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3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防火门监控器</w:t>
            </w:r>
          </w:p>
        </w:tc>
        <w:tc>
          <w:tcPr>
            <w:tcW w:w="47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监控器采用 2.8 寸 TFT 彩色液晶屏，最大设计容量为单回路 64 个地址点，可与公司的各类常开门模块、常闭门模块、门磁关及电磁释放器相连。不含打印机。含T3联网板,TX3000D-LW/T3</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620"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3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消防设备电源状态监控器</w:t>
            </w:r>
          </w:p>
        </w:tc>
        <w:tc>
          <w:tcPr>
            <w:tcW w:w="47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监控器采用 2.8 寸 TFT 彩色液晶屏，最大设计容量为单回路 64 个地址点，含打印机，联网卡（需选配）。</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620"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3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应急照明控制器（立柜式）</w:t>
            </w:r>
          </w:p>
        </w:tc>
        <w:tc>
          <w:tcPr>
            <w:tcW w:w="47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立柜式;主电输入AC220V 50Hz；产品尺寸：550×480×1715mm防护等级：IP30；19寸液晶显示屏；主电功耗：≤50W；可配接128台消防应急灯具专用应急电源;</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620"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11</w:t>
            </w:r>
          </w:p>
        </w:tc>
        <w:tc>
          <w:tcPr>
            <w:tcW w:w="3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液位控制装置</w:t>
            </w:r>
          </w:p>
        </w:tc>
        <w:tc>
          <w:tcPr>
            <w:tcW w:w="47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AC220V供电；光柱分辨率5%；输入信号：4-20mA；输出信号：4-20mA；准确度0.5级；输入阻抗250Ω；模拟输出负载能力1000Ω；配电输出DC12V 40mA，过流自动保护；使用坏境：温度-10~60℃ 相对湿度≤85RH；功耗≤5W</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620"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12</w:t>
            </w:r>
          </w:p>
        </w:tc>
        <w:tc>
          <w:tcPr>
            <w:tcW w:w="3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消防电气控制装置</w:t>
            </w:r>
          </w:p>
        </w:tc>
        <w:tc>
          <w:tcPr>
            <w:tcW w:w="47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一控二；含嵌入式软件；含嵌入式软件；含机械应急启动装置；星三角启动；防护等级IP55；电缆连接</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1620"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default" w:ascii="宋体" w:hAnsi="宋体" w:eastAsia="宋体" w:cs="宋体"/>
                <w:i w:val="0"/>
                <w:iCs w:val="0"/>
                <w:color w:val="000000"/>
                <w:sz w:val="20"/>
                <w:szCs w:val="20"/>
                <w:u w:val="none"/>
                <w:lang w:val="en-US" w:eastAsia="zh-CN"/>
              </w:rPr>
            </w:pPr>
            <w:r>
              <w:rPr>
                <w:rFonts w:hint="eastAsia" w:ascii="宋体" w:hAnsi="宋体" w:eastAsia="宋体" w:cs="宋体"/>
                <w:i w:val="0"/>
                <w:iCs w:val="0"/>
                <w:color w:val="000000"/>
                <w:sz w:val="20"/>
                <w:szCs w:val="20"/>
                <w:u w:val="none"/>
                <w:lang w:val="en-US" w:eastAsia="zh-CN"/>
              </w:rPr>
              <w:t>13</w:t>
            </w:r>
          </w:p>
        </w:tc>
        <w:tc>
          <w:tcPr>
            <w:tcW w:w="3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室内消火栓泵</w:t>
            </w:r>
          </w:p>
        </w:tc>
        <w:tc>
          <w:tcPr>
            <w:tcW w:w="47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Q=50L/S；H=70m；N=55KW</w:t>
            </w:r>
          </w:p>
        </w:tc>
        <w:tc>
          <w:tcPr>
            <w:tcW w:w="7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536" w:hRule="atLeast"/>
        </w:trPr>
        <w:tc>
          <w:tcPr>
            <w:tcW w:w="6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3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Style w:val="10"/>
                <w:lang w:val="en-US" w:eastAsia="zh-CN" w:bidi="ar"/>
              </w:rPr>
              <w:t>应急照明集中电源（500W）</w:t>
            </w:r>
          </w:p>
        </w:tc>
        <w:tc>
          <w:tcPr>
            <w:tcW w:w="47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额定电源电压：AC220V（AC187V～AC242V）；额定工作频率：50Hz；备电电压：DC36V；电池规格：铅酸蓄电池12V/38Ah 3节；输出电压：DC36V；输出功率：500W(TS-D-0.5KVA-6330)；回路数：8个回路，总线模式下每回路能接64个前端设备，地址范围1～64；标称应急工作时间：90min；应急切换时间：＜5s；运行环境：温度0℃～+55℃；相对湿度≤95％RH；防护等级：IP43；执行标准：GB 17945-2010；外观尺寸：550mm×250mm×700mm(TS-D-0.5KVA-6330)</w:t>
            </w:r>
          </w:p>
        </w:tc>
        <w:tc>
          <w:tcPr>
            <w:tcW w:w="732" w:type="dxa"/>
            <w:tcBorders>
              <w:top w:val="nil"/>
              <w:left w:val="nil"/>
              <w:bottom w:val="nil"/>
              <w:right w:val="nil"/>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10</w:t>
            </w:r>
          </w:p>
        </w:tc>
      </w:tr>
    </w:tbl>
    <w:p>
      <w:pPr>
        <w:pStyle w:val="5"/>
        <w:keepNext w:val="0"/>
        <w:keepLines w:val="0"/>
        <w:widowControl/>
        <w:numPr>
          <w:ilvl w:val="0"/>
          <w:numId w:val="0"/>
        </w:numPr>
        <w:suppressLineNumbers w:val="0"/>
        <w:spacing w:before="0" w:beforeAutospacing="0" w:after="0" w:afterAutospacing="0"/>
        <w:ind w:leftChars="0" w:right="0" w:rightChars="0"/>
        <w:rPr>
          <w:rFonts w:hint="default"/>
          <w:lang w:val="en-US" w:eastAsia="zh-CN"/>
        </w:rPr>
      </w:pPr>
    </w:p>
    <w:p>
      <w:pPr>
        <w:ind w:firstLine="420" w:firstLineChars="200"/>
        <w:rPr>
          <w:rFonts w:hint="eastAsia"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26B53E"/>
    <w:multiLevelType w:val="singleLevel"/>
    <w:tmpl w:val="9526B53E"/>
    <w:lvl w:ilvl="0" w:tentative="0">
      <w:start w:val="1"/>
      <w:numFmt w:val="decimal"/>
      <w:lvlText w:val="%1."/>
      <w:lvlJc w:val="left"/>
      <w:pPr>
        <w:tabs>
          <w:tab w:val="left" w:pos="312"/>
        </w:tabs>
      </w:pPr>
    </w:lvl>
  </w:abstractNum>
  <w:abstractNum w:abstractNumId="1">
    <w:nsid w:val="98869CEF"/>
    <w:multiLevelType w:val="singleLevel"/>
    <w:tmpl w:val="98869CEF"/>
    <w:lvl w:ilvl="0" w:tentative="0">
      <w:start w:val="1"/>
      <w:numFmt w:val="decimal"/>
      <w:suff w:val="nothing"/>
      <w:lvlText w:val="%1、"/>
      <w:lvlJc w:val="left"/>
    </w:lvl>
  </w:abstractNum>
  <w:abstractNum w:abstractNumId="2">
    <w:nsid w:val="D176FEDD"/>
    <w:multiLevelType w:val="singleLevel"/>
    <w:tmpl w:val="D176FEDD"/>
    <w:lvl w:ilvl="0" w:tentative="0">
      <w:start w:val="2"/>
      <w:numFmt w:val="chineseCounting"/>
      <w:suff w:val="nothing"/>
      <w:lvlText w:val="（%1）"/>
      <w:lvlJc w:val="left"/>
      <w:rPr>
        <w:rFonts w:hint="eastAsia"/>
      </w:rPr>
    </w:lvl>
  </w:abstractNum>
  <w:abstractNum w:abstractNumId="3">
    <w:nsid w:val="17BE1620"/>
    <w:multiLevelType w:val="singleLevel"/>
    <w:tmpl w:val="17BE1620"/>
    <w:lvl w:ilvl="0" w:tentative="0">
      <w:start w:val="1"/>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kODAxODMzNGFmYjhiYjM5YWVhZDBjNjI2NzUzYWEifQ=="/>
  </w:docVars>
  <w:rsids>
    <w:rsidRoot w:val="001550A0"/>
    <w:rsid w:val="000376DA"/>
    <w:rsid w:val="0005710F"/>
    <w:rsid w:val="001550A0"/>
    <w:rsid w:val="00365CDC"/>
    <w:rsid w:val="007B4696"/>
    <w:rsid w:val="00A70014"/>
    <w:rsid w:val="00D158FE"/>
    <w:rsid w:val="00F85FA8"/>
    <w:rsid w:val="059938F8"/>
    <w:rsid w:val="0E887FBE"/>
    <w:rsid w:val="11F04ECD"/>
    <w:rsid w:val="28B67538"/>
    <w:rsid w:val="58C45E17"/>
    <w:rsid w:val="594031EC"/>
    <w:rsid w:val="5A9A5008"/>
    <w:rsid w:val="650D6C6F"/>
    <w:rsid w:val="760C4B46"/>
    <w:rsid w:val="76F40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lock Text"/>
    <w:basedOn w:val="1"/>
    <w:qFormat/>
    <w:uiPriority w:val="0"/>
    <w:pPr>
      <w:adjustRightInd w:val="0"/>
      <w:ind w:left="420" w:right="33"/>
      <w:textAlignment w:val="baseline"/>
    </w:pPr>
    <w:rPr>
      <w:sz w:val="24"/>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100" w:beforeAutospacing="1" w:after="100" w:afterAutospacing="1"/>
      <w:jc w:val="left"/>
    </w:pPr>
    <w:rPr>
      <w:kern w:val="0"/>
      <w:sz w:val="24"/>
    </w:rPr>
  </w:style>
  <w:style w:type="character" w:customStyle="1" w:styleId="8">
    <w:name w:val="页眉 字符"/>
    <w:basedOn w:val="7"/>
    <w:link w:val="4"/>
    <w:qFormat/>
    <w:uiPriority w:val="99"/>
    <w:rPr>
      <w:rFonts w:ascii="Times New Roman" w:hAnsi="Times New Roman" w:eastAsia="宋体" w:cs="Times New Roman"/>
      <w:sz w:val="18"/>
      <w:szCs w:val="18"/>
    </w:rPr>
  </w:style>
  <w:style w:type="character" w:customStyle="1" w:styleId="9">
    <w:name w:val="页脚 字符"/>
    <w:basedOn w:val="7"/>
    <w:link w:val="3"/>
    <w:qFormat/>
    <w:uiPriority w:val="99"/>
    <w:rPr>
      <w:rFonts w:ascii="Times New Roman" w:hAnsi="Times New Roman" w:eastAsia="宋体" w:cs="Times New Roman"/>
      <w:sz w:val="18"/>
      <w:szCs w:val="18"/>
    </w:rPr>
  </w:style>
  <w:style w:type="character" w:customStyle="1" w:styleId="10">
    <w:name w:val="font81"/>
    <w:basedOn w:val="7"/>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939</Words>
  <Characters>1016</Characters>
  <Lines>5</Lines>
  <Paragraphs>1</Paragraphs>
  <TotalTime>1</TotalTime>
  <ScaleCrop>false</ScaleCrop>
  <LinksUpToDate>false</LinksUpToDate>
  <CharactersWithSpaces>1017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2023-06-06T03:31:00Z</dcterms:created>
  <dc:creator>Administrator</dc:creator>
  <cp:lastModifiedBy>ZYZB</cp:lastModifiedBy>
  <dcterms:modified xsi:type="dcterms:W3CDTF">2023-12-29T09:11:03Z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862F641F8AF74E1EA7DF0A4565AB1AAF_12</vt:lpwstr>
  </property>
</Properties>
</file>