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rPr>
      </w:pPr>
      <w:bookmarkStart w:id="0" w:name="_Toc152530686"/>
      <w:bookmarkStart w:id="9" w:name="_GoBack"/>
      <w:r>
        <w:rPr>
          <w:rFonts w:hint="eastAsia"/>
          <w:color w:val="auto"/>
        </w:rPr>
        <w:t>一、项目总体情况</w:t>
      </w:r>
      <w:bookmarkEnd w:id="0"/>
    </w:p>
    <w:p>
      <w:pPr>
        <w:pStyle w:val="14"/>
        <w:shd w:val="clear" w:color="auto" w:fill="FFFFFF"/>
        <w:spacing w:before="0" w:beforeAutospacing="0" w:after="0" w:afterAutospacing="0" w:line="360" w:lineRule="auto"/>
        <w:ind w:firstLine="480"/>
        <w:rPr>
          <w:color w:val="auto"/>
          <w:sz w:val="21"/>
          <w:szCs w:val="21"/>
        </w:rPr>
      </w:pPr>
      <w:r>
        <w:rPr>
          <w:rFonts w:hint="eastAsia"/>
          <w:color w:val="auto"/>
          <w:sz w:val="21"/>
          <w:szCs w:val="21"/>
        </w:rPr>
        <w:t>（一）项目名称：</w:t>
      </w:r>
      <w:r>
        <w:rPr>
          <w:rStyle w:val="57"/>
          <w:color w:val="auto"/>
          <w:sz w:val="21"/>
          <w:szCs w:val="21"/>
          <w:u w:val="single"/>
        </w:rPr>
        <w:t xml:space="preserve"> </w:t>
      </w:r>
      <w:r>
        <w:rPr>
          <w:rStyle w:val="57"/>
          <w:rFonts w:hint="eastAsia"/>
          <w:color w:val="auto"/>
          <w:sz w:val="21"/>
          <w:szCs w:val="21"/>
          <w:u w:val="single"/>
        </w:rPr>
        <w:t>陕西省企业综合服务应用平台</w:t>
      </w:r>
      <w:r>
        <w:rPr>
          <w:rStyle w:val="57"/>
          <w:rFonts w:hint="eastAsia" w:ascii="Times New Roman" w:hAnsi="Times New Roman" w:cs="Times New Roman"/>
          <w:color w:val="auto"/>
          <w:sz w:val="21"/>
          <w:szCs w:val="21"/>
          <w:u w:val="single"/>
        </w:rPr>
        <w:t>（陕企通）一期</w:t>
      </w:r>
      <w:r>
        <w:rPr>
          <w:rStyle w:val="57"/>
          <w:color w:val="auto"/>
          <w:sz w:val="21"/>
          <w:szCs w:val="21"/>
          <w:u w:val="single"/>
        </w:rPr>
        <w:t xml:space="preserve">    </w:t>
      </w:r>
    </w:p>
    <w:p>
      <w:pPr>
        <w:pStyle w:val="14"/>
        <w:shd w:val="clear" w:color="auto" w:fill="FFFFFF"/>
        <w:spacing w:before="0" w:beforeAutospacing="0" w:after="0" w:afterAutospacing="0" w:line="360" w:lineRule="auto"/>
        <w:ind w:firstLine="480"/>
        <w:rPr>
          <w:color w:val="auto"/>
          <w:sz w:val="21"/>
          <w:szCs w:val="21"/>
        </w:rPr>
      </w:pPr>
      <w:r>
        <w:rPr>
          <w:rFonts w:hint="eastAsia"/>
          <w:color w:val="auto"/>
          <w:sz w:val="21"/>
          <w:szCs w:val="21"/>
        </w:rPr>
        <w:t>（二）项目所属年度：</w:t>
      </w:r>
      <w:r>
        <w:rPr>
          <w:rStyle w:val="57"/>
          <w:color w:val="auto"/>
          <w:sz w:val="21"/>
          <w:szCs w:val="21"/>
          <w:u w:val="single"/>
        </w:rPr>
        <w:t xml:space="preserve">    2023</w:t>
      </w:r>
      <w:r>
        <w:rPr>
          <w:rStyle w:val="57"/>
          <w:rFonts w:hint="eastAsia"/>
          <w:color w:val="auto"/>
          <w:sz w:val="21"/>
          <w:szCs w:val="21"/>
          <w:u w:val="single"/>
        </w:rPr>
        <w:t>年</w:t>
      </w:r>
      <w:r>
        <w:rPr>
          <w:rStyle w:val="57"/>
          <w:color w:val="auto"/>
          <w:sz w:val="21"/>
          <w:szCs w:val="21"/>
          <w:u w:val="single"/>
        </w:rPr>
        <w:t xml:space="preserve">       </w:t>
      </w:r>
    </w:p>
    <w:p>
      <w:pPr>
        <w:pStyle w:val="14"/>
        <w:shd w:val="clear" w:color="auto" w:fill="FFFFFF"/>
        <w:spacing w:before="0" w:beforeAutospacing="0" w:after="0" w:afterAutospacing="0" w:line="360" w:lineRule="auto"/>
        <w:ind w:firstLine="480"/>
        <w:rPr>
          <w:color w:val="auto"/>
          <w:sz w:val="21"/>
          <w:szCs w:val="21"/>
        </w:rPr>
      </w:pPr>
      <w:r>
        <w:rPr>
          <w:rFonts w:hint="eastAsia"/>
          <w:color w:val="auto"/>
          <w:sz w:val="21"/>
          <w:szCs w:val="21"/>
        </w:rPr>
        <w:t>（三）项目所属分类：</w:t>
      </w:r>
      <w:r>
        <w:rPr>
          <w:rStyle w:val="57"/>
          <w:color w:val="auto"/>
          <w:sz w:val="21"/>
          <w:szCs w:val="21"/>
          <w:u w:val="single"/>
        </w:rPr>
        <w:t xml:space="preserve">   </w:t>
      </w:r>
      <w:r>
        <w:rPr>
          <w:rStyle w:val="57"/>
          <w:rFonts w:hint="eastAsia"/>
          <w:color w:val="auto"/>
          <w:sz w:val="21"/>
          <w:szCs w:val="21"/>
          <w:u w:val="single"/>
        </w:rPr>
        <w:t>设备购置</w:t>
      </w:r>
      <w:r>
        <w:rPr>
          <w:rStyle w:val="57"/>
          <w:color w:val="auto"/>
          <w:sz w:val="21"/>
          <w:szCs w:val="21"/>
          <w:u w:val="single"/>
        </w:rPr>
        <w:t xml:space="preserve">      </w:t>
      </w:r>
    </w:p>
    <w:p>
      <w:pPr>
        <w:pStyle w:val="14"/>
        <w:shd w:val="clear" w:color="auto" w:fill="FFFFFF"/>
        <w:spacing w:before="0" w:beforeAutospacing="0" w:after="0" w:afterAutospacing="0" w:line="360" w:lineRule="auto"/>
        <w:ind w:firstLine="480"/>
        <w:rPr>
          <w:color w:val="auto"/>
          <w:sz w:val="21"/>
          <w:szCs w:val="21"/>
        </w:rPr>
      </w:pPr>
      <w:r>
        <w:rPr>
          <w:rFonts w:hint="eastAsia"/>
          <w:color w:val="auto"/>
          <w:sz w:val="21"/>
          <w:szCs w:val="21"/>
        </w:rPr>
        <w:t>（四）预算金额（元）：</w:t>
      </w:r>
      <w:r>
        <w:rPr>
          <w:rStyle w:val="57"/>
          <w:color w:val="auto"/>
          <w:sz w:val="21"/>
          <w:szCs w:val="21"/>
          <w:u w:val="single"/>
        </w:rPr>
        <w:t xml:space="preserve">  11,</w:t>
      </w:r>
      <w:r>
        <w:rPr>
          <w:rStyle w:val="57"/>
          <w:rFonts w:hint="eastAsia"/>
          <w:color w:val="auto"/>
          <w:sz w:val="21"/>
          <w:szCs w:val="21"/>
          <w:u w:val="single"/>
          <w:lang w:val="en-US" w:eastAsia="zh-CN"/>
        </w:rPr>
        <w:t>538</w:t>
      </w:r>
      <w:r>
        <w:rPr>
          <w:rStyle w:val="57"/>
          <w:rFonts w:hint="eastAsia"/>
          <w:color w:val="auto"/>
          <w:sz w:val="21"/>
          <w:szCs w:val="21"/>
          <w:u w:val="single"/>
        </w:rPr>
        <w:t>,</w:t>
      </w:r>
      <w:r>
        <w:rPr>
          <w:rStyle w:val="57"/>
          <w:rFonts w:hint="eastAsia"/>
          <w:color w:val="auto"/>
          <w:sz w:val="21"/>
          <w:szCs w:val="21"/>
          <w:u w:val="single"/>
          <w:lang w:val="en-US" w:eastAsia="zh-CN"/>
        </w:rPr>
        <w:t>1</w:t>
      </w:r>
      <w:r>
        <w:rPr>
          <w:rStyle w:val="57"/>
          <w:color w:val="auto"/>
          <w:sz w:val="21"/>
          <w:szCs w:val="21"/>
          <w:u w:val="single"/>
        </w:rPr>
        <w:t xml:space="preserve">00.00 </w:t>
      </w:r>
      <w:r>
        <w:rPr>
          <w:rFonts w:hint="eastAsia"/>
          <w:color w:val="auto"/>
          <w:sz w:val="21"/>
          <w:szCs w:val="21"/>
        </w:rPr>
        <w:t>元 ，大写（人民币）：</w:t>
      </w:r>
      <w:r>
        <w:rPr>
          <w:rStyle w:val="57"/>
          <w:color w:val="auto"/>
          <w:sz w:val="21"/>
          <w:szCs w:val="21"/>
          <w:u w:val="single"/>
        </w:rPr>
        <w:t xml:space="preserve">  </w:t>
      </w:r>
      <w:r>
        <w:rPr>
          <w:rStyle w:val="57"/>
          <w:rFonts w:hint="eastAsia"/>
          <w:color w:val="auto"/>
          <w:sz w:val="21"/>
          <w:szCs w:val="21"/>
          <w:u w:val="single"/>
          <w:lang w:val="en-US" w:eastAsia="zh-CN"/>
        </w:rPr>
        <w:t>壹仟壹佰伍拾叁万捌仟壹佰</w:t>
      </w:r>
      <w:r>
        <w:rPr>
          <w:rStyle w:val="57"/>
          <w:rFonts w:hint="eastAsia"/>
          <w:color w:val="auto"/>
          <w:sz w:val="21"/>
          <w:szCs w:val="21"/>
          <w:u w:val="single"/>
        </w:rPr>
        <w:t>圆整</w:t>
      </w:r>
      <w:r>
        <w:rPr>
          <w:rStyle w:val="57"/>
          <w:color w:val="auto"/>
          <w:sz w:val="21"/>
          <w:szCs w:val="21"/>
          <w:u w:val="single"/>
        </w:rPr>
        <w:t xml:space="preserve">  </w:t>
      </w:r>
      <w:r>
        <w:rPr>
          <w:color w:val="auto"/>
          <w:sz w:val="21"/>
          <w:szCs w:val="21"/>
        </w:rPr>
        <w:t xml:space="preserve"> </w:t>
      </w:r>
    </w:p>
    <w:p>
      <w:pPr>
        <w:pStyle w:val="14"/>
        <w:shd w:val="clear" w:color="auto" w:fill="FFFFFF"/>
        <w:spacing w:before="0" w:beforeAutospacing="0" w:after="0" w:afterAutospacing="0" w:line="360" w:lineRule="auto"/>
        <w:ind w:firstLine="480"/>
        <w:rPr>
          <w:color w:val="auto"/>
          <w:sz w:val="21"/>
          <w:szCs w:val="21"/>
        </w:rPr>
      </w:pPr>
      <w:r>
        <w:rPr>
          <w:rFonts w:hint="eastAsia"/>
          <w:color w:val="auto"/>
          <w:sz w:val="21"/>
          <w:szCs w:val="21"/>
        </w:rPr>
        <w:t>（五）项目概况：</w:t>
      </w:r>
    </w:p>
    <w:p>
      <w:pPr>
        <w:pStyle w:val="14"/>
        <w:shd w:val="clear" w:color="auto" w:fill="FFFFFF"/>
        <w:spacing w:before="0" w:beforeAutospacing="0" w:after="0" w:afterAutospacing="0" w:line="360" w:lineRule="auto"/>
        <w:ind w:firstLine="480"/>
        <w:rPr>
          <w:rStyle w:val="24"/>
          <w:color w:val="auto"/>
          <w:sz w:val="21"/>
          <w:szCs w:val="21"/>
          <w:u w:val="single"/>
        </w:rPr>
      </w:pPr>
      <w:r>
        <w:rPr>
          <w:rStyle w:val="24"/>
          <w:rFonts w:hint="eastAsia"/>
          <w:color w:val="auto"/>
          <w:sz w:val="21"/>
          <w:szCs w:val="21"/>
        </w:rPr>
        <w:t xml:space="preserve"> </w:t>
      </w:r>
      <w:r>
        <w:rPr>
          <w:rStyle w:val="24"/>
          <w:color w:val="auto"/>
          <w:sz w:val="21"/>
          <w:szCs w:val="21"/>
          <w:u w:val="single"/>
        </w:rPr>
        <w:t xml:space="preserve"> </w:t>
      </w:r>
      <w:r>
        <w:rPr>
          <w:rStyle w:val="24"/>
          <w:rFonts w:hint="eastAsia"/>
          <w:color w:val="auto"/>
          <w:sz w:val="21"/>
          <w:szCs w:val="21"/>
          <w:u w:val="single"/>
        </w:rPr>
        <w:t>本项目针对全省民营经济主体实现各项企业服务和管理业务线上化，建设陕西省企业综合服务应用平台（陕企通）一期，对全省一站式企业服务工作开展业务服务、业务管理、指挥调度和运行分析。建设包括企业服务应用系统、综合分析调度系统、政务服务协同系统、机构服务协同系统、运营管理应用系统五个子系统，从而实现全省民营经济市场主体通过APP、微信小程序、PC端访问平台，获取诉求、政策、融资、招聘、培训、供需等综合服务。</w:t>
      </w:r>
    </w:p>
    <w:p>
      <w:pPr>
        <w:pStyle w:val="14"/>
        <w:shd w:val="clear" w:color="auto" w:fill="FFFFFF"/>
        <w:spacing w:before="0" w:beforeAutospacing="0" w:after="0" w:afterAutospacing="0" w:line="360" w:lineRule="auto"/>
        <w:ind w:firstLine="480"/>
        <w:rPr>
          <w:rStyle w:val="24"/>
          <w:color w:val="auto"/>
          <w:sz w:val="21"/>
          <w:szCs w:val="21"/>
          <w:u w:val="single"/>
        </w:rPr>
      </w:pPr>
      <w:r>
        <w:rPr>
          <w:rStyle w:val="24"/>
          <w:color w:val="auto"/>
          <w:sz w:val="21"/>
          <w:szCs w:val="21"/>
          <w:u w:val="single"/>
        </w:rPr>
        <w:t xml:space="preserve">  </w:t>
      </w:r>
      <w:r>
        <w:rPr>
          <w:rStyle w:val="24"/>
          <w:rFonts w:hint="eastAsia"/>
          <w:color w:val="auto"/>
          <w:sz w:val="21"/>
          <w:szCs w:val="21"/>
          <w:u w:val="single"/>
        </w:rPr>
        <w:t>本项目包括陕西省企业综合服务应用平台（陕企通）一期建设主体项目和与之配套的</w:t>
      </w:r>
      <w:r>
        <w:rPr>
          <w:rStyle w:val="24"/>
          <w:rFonts w:hint="eastAsia"/>
          <w:color w:val="auto"/>
          <w:sz w:val="21"/>
          <w:szCs w:val="21"/>
          <w:u w:val="single"/>
          <w:lang w:val="en-US" w:eastAsia="zh-CN"/>
        </w:rPr>
        <w:t>四</w:t>
      </w:r>
      <w:r>
        <w:rPr>
          <w:rStyle w:val="24"/>
          <w:rFonts w:hint="eastAsia"/>
          <w:color w:val="auto"/>
          <w:sz w:val="21"/>
          <w:szCs w:val="21"/>
          <w:u w:val="single"/>
        </w:rPr>
        <w:t>个子项目，包括</w:t>
      </w:r>
      <w:bookmarkStart w:id="1" w:name="_Hlk152530822"/>
      <w:r>
        <w:rPr>
          <w:rStyle w:val="24"/>
          <w:rFonts w:hint="eastAsia"/>
          <w:color w:val="auto"/>
          <w:sz w:val="21"/>
          <w:szCs w:val="21"/>
          <w:u w:val="single"/>
        </w:rPr>
        <w:t>项目工程监理、第三方软件测评、网络安全等级保护测评、密码应用安全性评估</w:t>
      </w:r>
      <w:bookmarkEnd w:id="1"/>
      <w:r>
        <w:rPr>
          <w:rStyle w:val="24"/>
          <w:rFonts w:hint="eastAsia"/>
          <w:color w:val="auto"/>
          <w:sz w:val="21"/>
          <w:szCs w:val="21"/>
          <w:u w:val="single"/>
        </w:rPr>
        <w:t>。</w:t>
      </w:r>
    </w:p>
    <w:p>
      <w:pPr>
        <w:pStyle w:val="14"/>
        <w:shd w:val="clear" w:color="auto" w:fill="FFFFFF"/>
        <w:spacing w:before="0" w:beforeAutospacing="0" w:after="0" w:afterAutospacing="0" w:line="360" w:lineRule="auto"/>
        <w:ind w:firstLine="480"/>
        <w:rPr>
          <w:color w:val="auto"/>
          <w:sz w:val="21"/>
          <w:szCs w:val="21"/>
          <w:u w:val="single"/>
        </w:rPr>
      </w:pPr>
      <w:r>
        <w:rPr>
          <w:rStyle w:val="24"/>
          <w:rFonts w:hint="eastAsia"/>
          <w:color w:val="auto"/>
          <w:sz w:val="21"/>
          <w:szCs w:val="21"/>
          <w:u w:val="single"/>
        </w:rPr>
        <w:t>其中建设主体项目、项目工程监理、第三方软件测评、网络安全等级保护测评、密码应用安全性评估项目采用公开招标方式。</w:t>
      </w:r>
    </w:p>
    <w:p>
      <w:pPr>
        <w:pStyle w:val="14"/>
        <w:shd w:val="clear" w:color="auto" w:fill="FFFFFF"/>
        <w:spacing w:before="0" w:beforeAutospacing="0" w:after="0" w:afterAutospacing="0" w:line="360" w:lineRule="auto"/>
        <w:ind w:firstLine="480"/>
        <w:rPr>
          <w:color w:val="auto"/>
          <w:sz w:val="21"/>
          <w:szCs w:val="21"/>
          <w:u w:val="single"/>
        </w:rPr>
      </w:pPr>
      <w:r>
        <w:rPr>
          <w:rFonts w:hint="eastAsia"/>
          <w:color w:val="auto"/>
          <w:sz w:val="21"/>
          <w:szCs w:val="21"/>
        </w:rPr>
        <w:t>（六）本项目是否有为采购项目提供整体设计、规范编制或者项目管理、监理、检测等服务的供应商：</w:t>
      </w:r>
      <w:r>
        <w:rPr>
          <w:rStyle w:val="25"/>
          <w:rFonts w:hint="eastAsia"/>
          <w:color w:val="auto"/>
          <w:sz w:val="21"/>
          <w:szCs w:val="21"/>
          <w:u w:val="single"/>
        </w:rPr>
        <w:t xml:space="preserve"> 无</w:t>
      </w:r>
      <w:r>
        <w:rPr>
          <w:rStyle w:val="25"/>
          <w:color w:val="auto"/>
          <w:sz w:val="21"/>
          <w:szCs w:val="21"/>
          <w:u w:val="single"/>
        </w:rPr>
        <w:t xml:space="preserve">   </w:t>
      </w:r>
    </w:p>
    <w:p>
      <w:pPr>
        <w:pStyle w:val="3"/>
        <w:spacing w:before="0" w:after="0" w:line="240" w:lineRule="auto"/>
        <w:rPr>
          <w:color w:val="auto"/>
        </w:rPr>
      </w:pPr>
      <w:bookmarkStart w:id="2" w:name="_Toc152530689"/>
      <w:r>
        <w:rPr>
          <w:rFonts w:hint="eastAsia"/>
          <w:color w:val="auto"/>
          <w:lang w:val="en-US" w:eastAsia="zh-CN"/>
        </w:rPr>
        <w:t>二</w:t>
      </w:r>
      <w:r>
        <w:rPr>
          <w:rFonts w:hint="eastAsia"/>
          <w:color w:val="auto"/>
        </w:rPr>
        <w:t>、项目需求及分包情况、采购标的</w:t>
      </w:r>
      <w:bookmarkEnd w:id="2"/>
    </w:p>
    <w:p>
      <w:pPr>
        <w:pStyle w:val="4"/>
        <w:rPr>
          <w:color w:val="auto"/>
        </w:rPr>
      </w:pPr>
      <w:bookmarkStart w:id="3" w:name="_Toc152530690"/>
      <w:r>
        <w:rPr>
          <w:rFonts w:hint="eastAsia"/>
          <w:color w:val="auto"/>
        </w:rPr>
        <w:t>（一）陕西省企业综合服务应用平台（陕企通）一期项目建设</w:t>
      </w:r>
      <w:bookmarkEnd w:id="3"/>
    </w:p>
    <w:p>
      <w:pPr>
        <w:shd w:val="clear" w:color="auto" w:fill="FFFFFF"/>
        <w:spacing w:line="360" w:lineRule="auto"/>
        <w:ind w:firstLine="480"/>
        <w:jc w:val="left"/>
        <w:rPr>
          <w:rFonts w:ascii="宋体" w:hAnsi="宋体" w:eastAsia="宋体" w:cs="宋体"/>
          <w:color w:val="auto"/>
          <w:kern w:val="0"/>
          <w:szCs w:val="21"/>
        </w:rPr>
      </w:pPr>
      <w:r>
        <w:rPr>
          <w:rFonts w:hint="eastAsia" w:ascii="宋体" w:hAnsi="宋体" w:eastAsia="宋体" w:cs="宋体"/>
          <w:color w:val="auto"/>
          <w:kern w:val="0"/>
          <w:szCs w:val="21"/>
        </w:rPr>
        <w:t>标的名称：陕西省企业综合服务应用平台（陕企通）一期项目建设</w:t>
      </w:r>
    </w:p>
    <w:tbl>
      <w:tblPr>
        <w:tblStyle w:val="16"/>
        <w:tblW w:w="499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44"/>
        <w:gridCol w:w="684"/>
        <w:gridCol w:w="67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参数性质</w:t>
            </w:r>
          </w:p>
        </w:tc>
        <w:tc>
          <w:tcPr>
            <w:tcW w:w="4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序号</w:t>
            </w:r>
          </w:p>
        </w:tc>
        <w:tc>
          <w:tcPr>
            <w:tcW w:w="392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w:t>
            </w:r>
          </w:p>
        </w:tc>
        <w:tc>
          <w:tcPr>
            <w:tcW w:w="4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1</w:t>
            </w:r>
          </w:p>
        </w:tc>
        <w:tc>
          <w:tcPr>
            <w:tcW w:w="392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left"/>
              <w:rPr>
                <w:rFonts w:ascii="宋体" w:hAnsi="宋体" w:eastAsia="宋体" w:cs="Times New Roman"/>
                <w:b/>
                <w:bCs/>
                <w:color w:val="auto"/>
                <w:szCs w:val="21"/>
              </w:rPr>
            </w:pPr>
            <w:r>
              <w:rPr>
                <w:rFonts w:hint="eastAsia" w:ascii="宋体" w:hAnsi="宋体" w:eastAsia="宋体" w:cs="Times New Roman"/>
                <w:b/>
                <w:bCs/>
                <w:color w:val="auto"/>
                <w:szCs w:val="21"/>
              </w:rPr>
              <w:t>1.平台建设要求</w:t>
            </w:r>
          </w:p>
          <w:p>
            <w:pPr>
              <w:spacing w:line="360" w:lineRule="auto"/>
              <w:jc w:val="left"/>
              <w:rPr>
                <w:rFonts w:ascii="宋体" w:hAnsi="宋体" w:eastAsia="宋体" w:cs="Times New Roman"/>
                <w:b/>
                <w:bCs/>
                <w:color w:val="auto"/>
                <w:szCs w:val="21"/>
              </w:rPr>
            </w:pPr>
            <w:r>
              <w:rPr>
                <w:rFonts w:hint="eastAsia" w:ascii="宋体" w:hAnsi="宋体" w:eastAsia="宋体" w:cs="Times New Roman"/>
                <w:b/>
                <w:bCs/>
                <w:color w:val="auto"/>
                <w:szCs w:val="21"/>
              </w:rPr>
              <w:t>（1）技术方案编制设计</w:t>
            </w:r>
          </w:p>
          <w:p>
            <w:pPr>
              <w:spacing w:line="360" w:lineRule="auto"/>
              <w:jc w:val="left"/>
              <w:rPr>
                <w:rFonts w:ascii="宋体" w:hAnsi="宋体" w:eastAsia="宋体" w:cs="Times New Roman"/>
                <w:b/>
                <w:bCs/>
                <w:color w:val="auto"/>
                <w:szCs w:val="21"/>
              </w:rPr>
            </w:pPr>
            <w:r>
              <w:rPr>
                <w:rFonts w:hint="eastAsia" w:ascii="宋体" w:hAnsi="宋体" w:eastAsia="宋体" w:cs="Times New Roman"/>
                <w:b/>
                <w:bCs/>
                <w:color w:val="auto"/>
                <w:szCs w:val="21"/>
              </w:rPr>
              <w:t xml:space="preserve"> </w:t>
            </w:r>
            <w:r>
              <w:rPr>
                <w:rFonts w:ascii="宋体" w:hAnsi="宋体" w:eastAsia="宋体" w:cs="Times New Roman"/>
                <w:b/>
                <w:bCs/>
                <w:color w:val="auto"/>
                <w:szCs w:val="21"/>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编制设计完成符合陕西省电子政务信息化建设标准规范和陕西省企业综合服务应用平台业务需求的技术方案，为进一步的系统开发建设提供数据标准依据、技术路线标准依据、业务功能设计需求。</w:t>
            </w:r>
          </w:p>
          <w:p>
            <w:pPr>
              <w:spacing w:line="360" w:lineRule="auto"/>
              <w:jc w:val="left"/>
              <w:rPr>
                <w:rFonts w:ascii="宋体" w:hAnsi="宋体" w:eastAsia="宋体" w:cs="Times New Roman"/>
                <w:b/>
                <w:bCs/>
                <w:color w:val="auto"/>
                <w:szCs w:val="21"/>
              </w:rPr>
            </w:pPr>
            <w:r>
              <w:rPr>
                <w:rFonts w:hint="eastAsia" w:ascii="宋体" w:hAnsi="宋体" w:eastAsia="宋体" w:cs="Times New Roman"/>
                <w:b/>
                <w:bCs/>
                <w:color w:val="auto"/>
                <w:szCs w:val="21"/>
              </w:rPr>
              <w:t>（2）业务应用系统建设</w:t>
            </w:r>
          </w:p>
          <w:p>
            <w:pPr>
              <w:widowControl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建设企业服务应用系统，包括门户首页、用户中心、提诉求、享政策、服务券、获融资、促供需、找培训、招人才、搜陕企、秦商E家、特色专区、三赋行动、扫码亮码，通过微信小程序、PC端、APP端、自助终端（仅包括获融资模块）为企业提供一站式的线上服务。</w:t>
            </w:r>
          </w:p>
          <w:p>
            <w:pPr>
              <w:widowControl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建设综合分析调度系统，包括民营企业分析、诉求服务分析、政策服务分析、金融服务分析、服务券分析、运行效果分析、诉求指挥调度。</w:t>
            </w:r>
          </w:p>
          <w:p>
            <w:pPr>
              <w:widowControl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建设政务服务协同系统，包括诉求政务协同服务管理、政策政务协同服务管理、培训政务协同服务管理。</w:t>
            </w:r>
          </w:p>
          <w:p>
            <w:pPr>
              <w:widowControl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建设机构服务协同系统，包括人才服务机构协同管理、金融服务机构协同管理、供需服务机构协同管理、培训服务机构协同管理、服务券机构协同管理。</w:t>
            </w:r>
          </w:p>
          <w:p>
            <w:pPr>
              <w:widowControl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建设运营管理应用系统，包括平台管理、业务管理、监测分析。</w:t>
            </w:r>
          </w:p>
          <w:p>
            <w:pPr>
              <w:spacing w:line="360" w:lineRule="auto"/>
              <w:jc w:val="left"/>
              <w:rPr>
                <w:rFonts w:ascii="宋体" w:hAnsi="宋体" w:eastAsia="宋体" w:cs="Times New Roman"/>
                <w:color w:val="auto"/>
                <w:szCs w:val="21"/>
              </w:rPr>
            </w:pPr>
            <w:r>
              <w:rPr>
                <w:rFonts w:hint="eastAsia" w:ascii="宋体" w:hAnsi="宋体" w:eastAsia="宋体" w:cs="Times New Roman"/>
                <w:b/>
                <w:bCs/>
                <w:color w:val="auto"/>
                <w:szCs w:val="21"/>
              </w:rPr>
              <w:t>（3）成品软件采购：</w:t>
            </w:r>
            <w:r>
              <w:rPr>
                <w:rFonts w:hint="eastAsia" w:ascii="宋体" w:hAnsi="宋体" w:eastAsia="宋体" w:cs="Times New Roman"/>
                <w:color w:val="auto"/>
                <w:szCs w:val="21"/>
              </w:rPr>
              <w:t>采购表单引擎、流程引擎、企业视图、标签系统4个成品软件。</w:t>
            </w:r>
          </w:p>
          <w:p>
            <w:pPr>
              <w:spacing w:line="360" w:lineRule="auto"/>
              <w:rPr>
                <w:rFonts w:ascii="宋体" w:hAnsi="宋体" w:eastAsia="宋体" w:cs="Times New Roman"/>
                <w:color w:val="auto"/>
                <w:szCs w:val="21"/>
              </w:rPr>
            </w:pPr>
            <w:r>
              <w:rPr>
                <w:rFonts w:hint="eastAsia" w:ascii="宋体" w:hAnsi="宋体" w:eastAsia="宋体" w:cs="Times New Roman"/>
                <w:b/>
                <w:bCs/>
                <w:color w:val="auto"/>
                <w:szCs w:val="21"/>
              </w:rPr>
              <w:t>（4）应用支撑建设：</w:t>
            </w:r>
            <w:r>
              <w:rPr>
                <w:rFonts w:hint="eastAsia" w:ascii="宋体" w:hAnsi="宋体" w:eastAsia="宋体" w:cs="Times New Roman"/>
                <w:color w:val="auto"/>
                <w:szCs w:val="21"/>
              </w:rPr>
              <w:t>按需与省政务云公共应用支撑实现对接；自建专用应用支撑，包括企业赋码、一企多账号、数字名片、数据授权、企业证照包，并集成采购的成品软件。与</w:t>
            </w:r>
            <w:r>
              <w:rPr>
                <w:rFonts w:hint="eastAsia" w:ascii="宋体" w:hAnsi="宋体" w:eastAsia="宋体" w:cs="宋体"/>
                <w:color w:val="auto"/>
                <w:szCs w:val="21"/>
                <w:lang w:bidi="ar"/>
              </w:rPr>
              <w:t>秦政通、秦务员、数字档案馆、陕西省政务数据共享交换平台、</w:t>
            </w:r>
            <w:r>
              <w:rPr>
                <w:rFonts w:ascii="Calibri" w:hAnsi="Calibri" w:eastAsia="宋体" w:cs="Calibri"/>
                <w:color w:val="auto"/>
                <w:szCs w:val="21"/>
                <w:lang w:bidi="ar"/>
              </w:rPr>
              <w:t>12345</w:t>
            </w:r>
            <w:r>
              <w:rPr>
                <w:rFonts w:hint="eastAsia" w:ascii="宋体" w:hAnsi="宋体" w:eastAsia="宋体" w:cs="宋体"/>
                <w:color w:val="auto"/>
                <w:szCs w:val="21"/>
                <w:lang w:bidi="ar"/>
              </w:rPr>
              <w:t>、秦信融、金服云、秦云就业、渭南企业码、延企通</w:t>
            </w:r>
            <w:r>
              <w:rPr>
                <w:rFonts w:ascii="宋体" w:hAnsi="宋体" w:eastAsia="宋体" w:cs="宋体"/>
                <w:color w:val="auto"/>
                <w:szCs w:val="21"/>
                <w:lang w:bidi="ar"/>
              </w:rPr>
              <w:t>、</w:t>
            </w:r>
            <w:r>
              <w:rPr>
                <w:rFonts w:hint="eastAsia" w:ascii="宋体" w:hAnsi="宋体" w:eastAsia="宋体" w:cs="宋体"/>
                <w:color w:val="auto"/>
                <w:szCs w:val="21"/>
                <w:lang w:bidi="ar"/>
              </w:rPr>
              <w:t>第三方互联网公开涉企数据</w:t>
            </w:r>
            <w:r>
              <w:rPr>
                <w:rFonts w:ascii="宋体" w:hAnsi="宋体" w:eastAsia="宋体" w:cs="宋体"/>
                <w:color w:val="auto"/>
                <w:szCs w:val="21"/>
                <w:lang w:bidi="ar"/>
              </w:rPr>
              <w:t>等</w:t>
            </w:r>
            <w:r>
              <w:rPr>
                <w:rFonts w:hint="eastAsia" w:ascii="宋体" w:hAnsi="宋体" w:eastAsia="宋体" w:cs="Times New Roman"/>
                <w:color w:val="auto"/>
                <w:szCs w:val="21"/>
              </w:rPr>
              <w:t>第三方系统对接。</w:t>
            </w:r>
          </w:p>
          <w:p>
            <w:pPr>
              <w:spacing w:line="360" w:lineRule="auto"/>
              <w:jc w:val="left"/>
              <w:rPr>
                <w:rFonts w:ascii="宋体" w:hAnsi="宋体" w:eastAsia="宋体" w:cs="Times New Roman"/>
                <w:color w:val="auto"/>
                <w:szCs w:val="21"/>
              </w:rPr>
            </w:pPr>
            <w:r>
              <w:rPr>
                <w:rFonts w:hint="eastAsia" w:ascii="宋体" w:hAnsi="宋体" w:eastAsia="宋体" w:cs="Times New Roman"/>
                <w:b/>
                <w:bCs/>
                <w:color w:val="auto"/>
                <w:szCs w:val="21"/>
              </w:rPr>
              <w:t>（5）硬件设备：</w:t>
            </w:r>
            <w:r>
              <w:rPr>
                <w:rFonts w:hint="eastAsia" w:ascii="宋体" w:hAnsi="宋体" w:eastAsia="宋体" w:cs="Times New Roman"/>
                <w:color w:val="auto"/>
                <w:szCs w:val="21"/>
              </w:rPr>
              <w:t>采购智能密码钥匙（30套）和数字证书（35套）。</w:t>
            </w:r>
          </w:p>
          <w:p>
            <w:pPr>
              <w:spacing w:line="360" w:lineRule="auto"/>
              <w:jc w:val="left"/>
              <w:rPr>
                <w:rFonts w:ascii="宋体" w:hAnsi="宋体" w:eastAsia="宋体" w:cs="Times New Roman"/>
                <w:color w:val="auto"/>
                <w:szCs w:val="21"/>
              </w:rPr>
            </w:pPr>
            <w:r>
              <w:rPr>
                <w:rFonts w:hint="eastAsia" w:ascii="宋体" w:hAnsi="宋体" w:eastAsia="宋体" w:cs="Times New Roman"/>
                <w:b/>
                <w:bCs/>
                <w:color w:val="auto"/>
                <w:szCs w:val="21"/>
              </w:rPr>
              <w:t>（6）网络安全建设：</w:t>
            </w:r>
            <w:r>
              <w:rPr>
                <w:rFonts w:hint="eastAsia" w:ascii="宋体" w:hAnsi="宋体" w:eastAsia="宋体" w:cs="Times New Roman"/>
                <w:color w:val="auto"/>
                <w:szCs w:val="21"/>
              </w:rPr>
              <w:t>需满足等保三级、密码应用三级和第三方软件测评的要求，并符合国产自主可控设计。</w:t>
            </w:r>
          </w:p>
          <w:p>
            <w:pPr>
              <w:spacing w:line="360" w:lineRule="auto"/>
              <w:jc w:val="left"/>
              <w:rPr>
                <w:rFonts w:ascii="宋体" w:hAnsi="宋体" w:eastAsia="宋体" w:cs="Times New Roman"/>
                <w:color w:val="auto"/>
                <w:szCs w:val="21"/>
              </w:rPr>
            </w:pPr>
            <w:r>
              <w:rPr>
                <w:rFonts w:hint="eastAsia" w:ascii="宋体" w:hAnsi="宋体" w:eastAsia="宋体" w:cs="Times New Roman"/>
                <w:b/>
                <w:bCs/>
                <w:color w:val="auto"/>
                <w:szCs w:val="21"/>
              </w:rPr>
              <w:t>（7）数据迁移：</w:t>
            </w:r>
            <w:r>
              <w:rPr>
                <w:rFonts w:hint="eastAsia" w:ascii="宋体" w:hAnsi="宋体" w:eastAsia="宋体" w:cs="Times New Roman"/>
                <w:color w:val="auto"/>
                <w:szCs w:val="21"/>
              </w:rPr>
              <w:t>对原有系统相关数据进行数据迁移。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w:t>
            </w:r>
          </w:p>
        </w:tc>
        <w:tc>
          <w:tcPr>
            <w:tcW w:w="4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2</w:t>
            </w:r>
          </w:p>
        </w:tc>
        <w:tc>
          <w:tcPr>
            <w:tcW w:w="392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left"/>
              <w:rPr>
                <w:rFonts w:ascii="宋体" w:hAnsi="宋体" w:eastAsia="宋体" w:cs="Times New Roman"/>
                <w:b/>
                <w:bCs/>
                <w:color w:val="auto"/>
                <w:szCs w:val="21"/>
              </w:rPr>
            </w:pPr>
            <w:r>
              <w:rPr>
                <w:rFonts w:hint="eastAsia" w:ascii="宋体" w:hAnsi="宋体" w:eastAsia="宋体" w:cs="Times New Roman"/>
                <w:b/>
                <w:bCs/>
                <w:color w:val="auto"/>
                <w:szCs w:val="21"/>
              </w:rPr>
              <w:t>2、技术需求</w:t>
            </w:r>
          </w:p>
          <w:p>
            <w:pPr>
              <w:widowControl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使用陕西省政务云资源进行统一部署，需要满足国产信创云环境。</w:t>
            </w:r>
          </w:p>
          <w:p>
            <w:pPr>
              <w:spacing w:line="360" w:lineRule="auto"/>
              <w:jc w:val="left"/>
              <w:rPr>
                <w:rFonts w:ascii="宋体" w:hAnsi="宋体" w:eastAsia="宋体" w:cs="宋体"/>
                <w:color w:val="auto"/>
                <w:szCs w:val="21"/>
              </w:rPr>
            </w:pPr>
            <w:r>
              <w:rPr>
                <w:rFonts w:hint="eastAsia" w:ascii="宋体" w:hAnsi="宋体" w:eastAsia="宋体" w:cs="Times New Roman"/>
                <w:b/>
                <w:bCs/>
                <w:color w:val="auto"/>
                <w:szCs w:val="21"/>
              </w:rPr>
              <w:t>（1）时效性指标：</w:t>
            </w:r>
            <w:r>
              <w:rPr>
                <w:rFonts w:hint="eastAsia" w:ascii="宋体" w:hAnsi="宋体" w:eastAsia="宋体" w:cs="宋体"/>
                <w:color w:val="auto"/>
                <w:szCs w:val="21"/>
              </w:rPr>
              <w:t>交互类、查询类业务页面平均响应时间不超过2秒，峰值响应时间不超过3秒，数据响应时间不超过2秒，跨年历史数据最大不超过4秒。</w:t>
            </w:r>
          </w:p>
          <w:p>
            <w:pPr>
              <w:spacing w:line="360" w:lineRule="auto"/>
              <w:jc w:val="left"/>
              <w:rPr>
                <w:rFonts w:ascii="宋体" w:hAnsi="宋体" w:eastAsia="宋体" w:cs="宋体"/>
                <w:color w:val="auto"/>
                <w:szCs w:val="21"/>
              </w:rPr>
            </w:pPr>
            <w:r>
              <w:rPr>
                <w:rFonts w:hint="eastAsia" w:ascii="宋体" w:hAnsi="宋体" w:eastAsia="宋体" w:cs="Times New Roman"/>
                <w:b/>
                <w:bCs/>
                <w:color w:val="auto"/>
                <w:szCs w:val="21"/>
              </w:rPr>
              <w:t>（2）并发性需求：</w:t>
            </w:r>
            <w:r>
              <w:rPr>
                <w:rFonts w:hint="eastAsia" w:ascii="宋体" w:hAnsi="宋体" w:eastAsia="宋体" w:cs="宋体"/>
                <w:color w:val="auto"/>
                <w:szCs w:val="21"/>
              </w:rPr>
              <w:t>企业服务应用系统的峰值并发用户值1095；政务服务协同系统的峰值并发用户值243；机构服务协同系统的峰值并发用户值101；综合分析调度系统的峰值并发用户值56；运营管理应用系统的峰值并发用户值71。</w:t>
            </w:r>
          </w:p>
          <w:p>
            <w:pPr>
              <w:spacing w:line="360" w:lineRule="auto"/>
              <w:jc w:val="left"/>
              <w:rPr>
                <w:rFonts w:ascii="宋体" w:hAnsi="宋体" w:eastAsia="宋体" w:cs="宋体"/>
                <w:color w:val="auto"/>
                <w:szCs w:val="21"/>
              </w:rPr>
            </w:pPr>
            <w:r>
              <w:rPr>
                <w:rFonts w:hint="eastAsia" w:ascii="宋体" w:hAnsi="宋体" w:eastAsia="宋体" w:cs="Times New Roman"/>
                <w:b/>
                <w:bCs/>
                <w:color w:val="auto"/>
                <w:szCs w:val="21"/>
              </w:rPr>
              <w:t>（3）可靠性指标：</w:t>
            </w:r>
            <w:r>
              <w:rPr>
                <w:rFonts w:hint="eastAsia" w:ascii="宋体" w:hAnsi="宋体" w:eastAsia="宋体" w:cs="宋体"/>
                <w:color w:val="auto"/>
                <w:szCs w:val="21"/>
              </w:rPr>
              <w:t>系统应能够连续7×24小时不间断工作。系统每运行2000小时，累计平均无故障时间为1998小时，平均故障修复时间小于2小时。</w:t>
            </w:r>
          </w:p>
          <w:p>
            <w:pPr>
              <w:spacing w:line="360" w:lineRule="auto"/>
              <w:jc w:val="left"/>
              <w:rPr>
                <w:rFonts w:ascii="宋体" w:hAnsi="宋体" w:eastAsia="宋体" w:cs="宋体"/>
                <w:color w:val="auto"/>
                <w:szCs w:val="21"/>
              </w:rPr>
            </w:pPr>
            <w:r>
              <w:rPr>
                <w:rFonts w:hint="eastAsia" w:ascii="宋体" w:hAnsi="宋体" w:eastAsia="宋体" w:cs="Times New Roman"/>
                <w:b/>
                <w:bCs/>
                <w:color w:val="auto"/>
                <w:szCs w:val="21"/>
              </w:rPr>
              <w:t>（4）数据要求：</w:t>
            </w:r>
            <w:r>
              <w:rPr>
                <w:rFonts w:hint="eastAsia" w:ascii="宋体" w:hAnsi="宋体" w:eastAsia="宋体" w:cs="宋体"/>
                <w:color w:val="auto"/>
                <w:szCs w:val="21"/>
              </w:rPr>
              <w:t>需要具有市场主体数据提供能力，保障市场主体数据及时更新。</w:t>
            </w:r>
          </w:p>
          <w:p>
            <w:pPr>
              <w:spacing w:line="360" w:lineRule="auto"/>
              <w:jc w:val="left"/>
              <w:rPr>
                <w:rFonts w:ascii="宋体" w:hAnsi="宋体" w:eastAsia="宋体" w:cs="Times New Roman"/>
                <w:color w:val="auto"/>
                <w:szCs w:val="21"/>
              </w:rPr>
            </w:pPr>
            <w:r>
              <w:rPr>
                <w:rFonts w:hint="eastAsia" w:ascii="宋体" w:hAnsi="宋体" w:eastAsia="宋体" w:cs="Times New Roman"/>
                <w:b/>
                <w:bCs/>
                <w:color w:val="auto"/>
                <w:szCs w:val="21"/>
              </w:rPr>
              <w:t>（5）数据备份要求：</w:t>
            </w:r>
            <w:r>
              <w:rPr>
                <w:rFonts w:hint="eastAsia" w:ascii="宋体" w:hAnsi="宋体" w:eastAsia="宋体" w:cs="宋体"/>
                <w:color w:val="auto"/>
                <w:szCs w:val="21"/>
              </w:rPr>
              <w:t>要求满足两地三中心备份方式，提供详细的系统备份设计方案。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w:t>
            </w:r>
          </w:p>
        </w:tc>
        <w:tc>
          <w:tcPr>
            <w:tcW w:w="4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3</w:t>
            </w:r>
          </w:p>
        </w:tc>
        <w:tc>
          <w:tcPr>
            <w:tcW w:w="392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left"/>
              <w:rPr>
                <w:rFonts w:ascii="宋体" w:hAnsi="宋体" w:eastAsia="宋体" w:cs="Times New Roman"/>
                <w:b/>
                <w:bCs/>
                <w:color w:val="auto"/>
                <w:szCs w:val="21"/>
              </w:rPr>
            </w:pPr>
            <w:r>
              <w:rPr>
                <w:rFonts w:hint="eastAsia" w:ascii="宋体" w:hAnsi="宋体" w:eastAsia="宋体" w:cs="Times New Roman"/>
                <w:b/>
                <w:bCs/>
                <w:color w:val="auto"/>
                <w:szCs w:val="21"/>
              </w:rPr>
              <w:t>3、项目实施需求</w:t>
            </w:r>
          </w:p>
          <w:p>
            <w:pPr>
              <w:spacing w:line="360" w:lineRule="auto"/>
              <w:jc w:val="left"/>
              <w:rPr>
                <w:rFonts w:ascii="宋体" w:hAnsi="宋体" w:eastAsia="宋体" w:cs="Times New Roman"/>
                <w:color w:val="auto"/>
                <w:szCs w:val="21"/>
              </w:rPr>
            </w:pPr>
            <w:r>
              <w:rPr>
                <w:rFonts w:hint="eastAsia" w:ascii="宋体" w:hAnsi="宋体" w:eastAsia="宋体" w:cs="Times New Roman"/>
                <w:b/>
                <w:bCs/>
                <w:color w:val="auto"/>
                <w:szCs w:val="21"/>
              </w:rPr>
              <w:t>（1）</w:t>
            </w:r>
            <w:r>
              <w:rPr>
                <w:rFonts w:ascii="宋体" w:hAnsi="宋体" w:eastAsia="宋体" w:cs="Times New Roman"/>
                <w:b/>
                <w:bCs/>
                <w:color w:val="auto"/>
                <w:szCs w:val="21"/>
              </w:rPr>
              <w:t>项目工期要求</w:t>
            </w:r>
            <w:r>
              <w:rPr>
                <w:rFonts w:hint="eastAsia" w:ascii="宋体" w:hAnsi="宋体" w:eastAsia="宋体" w:cs="Times New Roman"/>
                <w:b/>
                <w:bCs/>
                <w:color w:val="auto"/>
                <w:szCs w:val="21"/>
              </w:rPr>
              <w:t>：</w:t>
            </w:r>
            <w:r>
              <w:rPr>
                <w:rFonts w:ascii="宋体" w:hAnsi="宋体" w:eastAsia="宋体" w:cs="Times New Roman"/>
                <w:color w:val="auto"/>
                <w:szCs w:val="21"/>
              </w:rPr>
              <w:t>要求在合同正式签订生效之日起2个月</w:t>
            </w:r>
            <w:r>
              <w:rPr>
                <w:rFonts w:hint="eastAsia" w:ascii="宋体" w:hAnsi="宋体" w:eastAsia="宋体" w:cs="Times New Roman"/>
                <w:color w:val="auto"/>
                <w:szCs w:val="21"/>
              </w:rPr>
              <w:t>（</w:t>
            </w:r>
            <w:r>
              <w:rPr>
                <w:rFonts w:ascii="宋体" w:hAnsi="宋体" w:eastAsia="宋体" w:cs="Times New Roman"/>
                <w:color w:val="auto"/>
                <w:szCs w:val="21"/>
              </w:rPr>
              <w:t>60日历天</w:t>
            </w:r>
            <w:r>
              <w:rPr>
                <w:rFonts w:hint="eastAsia" w:ascii="宋体" w:hAnsi="宋体" w:eastAsia="宋体" w:cs="Times New Roman"/>
                <w:color w:val="auto"/>
                <w:szCs w:val="21"/>
              </w:rPr>
              <w:t>）</w:t>
            </w:r>
            <w:r>
              <w:rPr>
                <w:rFonts w:ascii="宋体" w:hAnsi="宋体" w:eastAsia="宋体" w:cs="Times New Roman"/>
                <w:color w:val="auto"/>
                <w:szCs w:val="21"/>
              </w:rPr>
              <w:t>内完成</w:t>
            </w:r>
            <w:r>
              <w:rPr>
                <w:rFonts w:hint="eastAsia" w:ascii="宋体" w:hAnsi="宋体" w:eastAsia="宋体" w:cs="Times New Roman"/>
                <w:color w:val="auto"/>
                <w:szCs w:val="21"/>
              </w:rPr>
              <w:t>系统建设并初验</w:t>
            </w:r>
            <w:r>
              <w:rPr>
                <w:rFonts w:ascii="宋体" w:hAnsi="宋体" w:eastAsia="宋体" w:cs="Times New Roman"/>
                <w:color w:val="auto"/>
                <w:szCs w:val="21"/>
              </w:rPr>
              <w:t>，</w:t>
            </w:r>
            <w:r>
              <w:rPr>
                <w:rFonts w:hint="eastAsia" w:ascii="宋体" w:hAnsi="宋体" w:eastAsia="宋体" w:cs="Times New Roman"/>
                <w:color w:val="auto"/>
                <w:szCs w:val="21"/>
              </w:rPr>
              <w:t>初验通过后</w:t>
            </w:r>
            <w:r>
              <w:rPr>
                <w:rFonts w:ascii="宋体" w:hAnsi="宋体" w:eastAsia="宋体" w:cs="Times New Roman"/>
                <w:color w:val="auto"/>
                <w:szCs w:val="21"/>
              </w:rPr>
              <w:t>试运行</w:t>
            </w:r>
            <w:r>
              <w:rPr>
                <w:rFonts w:hint="eastAsia" w:ascii="宋体" w:hAnsi="宋体" w:eastAsia="宋体" w:cs="Times New Roman"/>
                <w:color w:val="auto"/>
                <w:szCs w:val="21"/>
              </w:rPr>
              <w:t>3个月（90日历天），再进行系统终验</w:t>
            </w:r>
            <w:r>
              <w:rPr>
                <w:rFonts w:ascii="宋体" w:hAnsi="宋体" w:eastAsia="宋体" w:cs="Times New Roman"/>
                <w:color w:val="auto"/>
                <w:szCs w:val="21"/>
              </w:rPr>
              <w:t>。</w:t>
            </w:r>
          </w:p>
          <w:p>
            <w:pPr>
              <w:spacing w:line="360" w:lineRule="auto"/>
              <w:jc w:val="left"/>
              <w:rPr>
                <w:rFonts w:ascii="宋体" w:hAnsi="宋体" w:eastAsia="宋体" w:cs="Times New Roman"/>
                <w:color w:val="auto"/>
                <w:szCs w:val="21"/>
              </w:rPr>
            </w:pPr>
            <w:r>
              <w:rPr>
                <w:rFonts w:hint="eastAsia" w:ascii="宋体" w:hAnsi="宋体" w:eastAsia="宋体" w:cs="Times New Roman"/>
                <w:b/>
                <w:bCs/>
                <w:color w:val="auto"/>
                <w:szCs w:val="21"/>
              </w:rPr>
              <w:t>（2）</w:t>
            </w:r>
            <w:r>
              <w:rPr>
                <w:rFonts w:ascii="宋体" w:hAnsi="宋体" w:eastAsia="宋体" w:cs="Times New Roman"/>
                <w:b/>
                <w:bCs/>
                <w:color w:val="auto"/>
                <w:szCs w:val="21"/>
              </w:rPr>
              <w:t>项目团队要求</w:t>
            </w:r>
            <w:r>
              <w:rPr>
                <w:rFonts w:hint="eastAsia" w:ascii="宋体" w:hAnsi="宋体" w:eastAsia="宋体" w:cs="Times New Roman"/>
                <w:b/>
                <w:bCs/>
                <w:color w:val="auto"/>
                <w:szCs w:val="21"/>
              </w:rPr>
              <w:t>：</w:t>
            </w:r>
            <w:r>
              <w:rPr>
                <w:rFonts w:ascii="宋体" w:hAnsi="宋体" w:eastAsia="宋体" w:cs="Times New Roman"/>
                <w:color w:val="auto"/>
                <w:szCs w:val="21"/>
              </w:rPr>
              <w:t>项目团队不少于</w:t>
            </w:r>
            <w:r>
              <w:rPr>
                <w:rFonts w:hint="eastAsia" w:ascii="宋体" w:hAnsi="宋体" w:eastAsia="宋体" w:cs="Times New Roman"/>
                <w:color w:val="auto"/>
                <w:szCs w:val="21"/>
              </w:rPr>
              <w:t>30</w:t>
            </w:r>
            <w:r>
              <w:rPr>
                <w:rFonts w:ascii="宋体" w:hAnsi="宋体" w:eastAsia="宋体" w:cs="Times New Roman"/>
                <w:color w:val="auto"/>
                <w:szCs w:val="21"/>
              </w:rPr>
              <w:t>人。</w:t>
            </w:r>
            <w:r>
              <w:rPr>
                <w:rFonts w:hint="eastAsia" w:ascii="宋体" w:hAnsi="宋体" w:eastAsia="宋体" w:cs="Times New Roman"/>
                <w:color w:val="auto"/>
                <w:szCs w:val="21"/>
              </w:rPr>
              <w:t>项目</w:t>
            </w:r>
            <w:r>
              <w:rPr>
                <w:rFonts w:ascii="宋体" w:hAnsi="宋体" w:eastAsia="宋体" w:cs="Times New Roman"/>
                <w:color w:val="auto"/>
                <w:szCs w:val="21"/>
              </w:rPr>
              <w:t>终验前</w:t>
            </w:r>
            <w:r>
              <w:rPr>
                <w:rFonts w:hint="eastAsia" w:ascii="宋体" w:hAnsi="宋体" w:eastAsia="宋体" w:cs="Times New Roman"/>
                <w:color w:val="auto"/>
                <w:szCs w:val="21"/>
              </w:rPr>
              <w:t>需提供不少于10个驻场人员。</w:t>
            </w:r>
          </w:p>
          <w:p>
            <w:pPr>
              <w:spacing w:line="360" w:lineRule="auto"/>
              <w:jc w:val="left"/>
              <w:rPr>
                <w:rFonts w:ascii="宋体" w:hAnsi="宋体" w:eastAsia="宋体" w:cs="Times New Roman"/>
                <w:color w:val="auto"/>
                <w:szCs w:val="21"/>
              </w:rPr>
            </w:pPr>
            <w:r>
              <w:rPr>
                <w:rFonts w:hint="eastAsia" w:ascii="宋体" w:hAnsi="宋体" w:eastAsia="宋体" w:cs="Times New Roman"/>
                <w:b/>
                <w:bCs/>
                <w:color w:val="auto"/>
                <w:szCs w:val="21"/>
              </w:rPr>
              <w:t>（3）</w:t>
            </w:r>
            <w:r>
              <w:rPr>
                <w:rFonts w:ascii="宋体" w:hAnsi="宋体" w:eastAsia="宋体" w:cs="Times New Roman"/>
                <w:b/>
                <w:bCs/>
                <w:color w:val="auto"/>
                <w:szCs w:val="21"/>
              </w:rPr>
              <w:t>项目验收要求</w:t>
            </w:r>
            <w:r>
              <w:rPr>
                <w:rFonts w:hint="eastAsia" w:ascii="宋体" w:hAnsi="宋体" w:eastAsia="宋体" w:cs="Times New Roman"/>
                <w:b/>
                <w:bCs/>
                <w:color w:val="auto"/>
                <w:szCs w:val="21"/>
              </w:rPr>
              <w:t>：</w:t>
            </w:r>
            <w:r>
              <w:rPr>
                <w:rFonts w:ascii="宋体" w:hAnsi="宋体" w:eastAsia="宋体" w:cs="Times New Roman"/>
                <w:color w:val="auto"/>
                <w:szCs w:val="21"/>
              </w:rPr>
              <w:t>根据</w:t>
            </w:r>
            <w:r>
              <w:rPr>
                <w:rFonts w:hint="eastAsia" w:ascii="宋体" w:hAnsi="宋体" w:eastAsia="宋体" w:cs="Times New Roman"/>
                <w:color w:val="auto"/>
                <w:szCs w:val="21"/>
              </w:rPr>
              <w:t>陕西省相关政策要求</w:t>
            </w:r>
            <w:r>
              <w:rPr>
                <w:rFonts w:ascii="宋体" w:hAnsi="宋体" w:eastAsia="宋体" w:cs="Times New Roman"/>
                <w:color w:val="auto"/>
                <w:szCs w:val="21"/>
              </w:rPr>
              <w:t>，对项目系统进行验收。</w:t>
            </w:r>
          </w:p>
          <w:p>
            <w:pPr>
              <w:spacing w:line="360" w:lineRule="auto"/>
              <w:jc w:val="left"/>
              <w:rPr>
                <w:rFonts w:ascii="宋体" w:hAnsi="宋体" w:eastAsia="宋体" w:cs="Times New Roman"/>
                <w:b/>
                <w:bCs/>
                <w:color w:val="auto"/>
                <w:szCs w:val="21"/>
              </w:rPr>
            </w:pPr>
            <w:r>
              <w:rPr>
                <w:rFonts w:hint="eastAsia" w:ascii="宋体" w:hAnsi="宋体" w:eastAsia="宋体" w:cs="Times New Roman"/>
                <w:b/>
                <w:bCs/>
                <w:color w:val="auto"/>
                <w:szCs w:val="21"/>
              </w:rPr>
              <w:t>（4）</w:t>
            </w:r>
            <w:r>
              <w:rPr>
                <w:rFonts w:ascii="宋体" w:hAnsi="宋体" w:eastAsia="宋体" w:cs="Times New Roman"/>
                <w:b/>
                <w:bCs/>
                <w:color w:val="auto"/>
                <w:szCs w:val="21"/>
              </w:rPr>
              <w:t>售后服务要求</w:t>
            </w:r>
          </w:p>
          <w:p>
            <w:pPr>
              <w:widowControl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①</w:t>
            </w:r>
            <w:r>
              <w:rPr>
                <w:rFonts w:ascii="宋体" w:hAnsi="宋体" w:eastAsia="宋体" w:cs="Times New Roman"/>
                <w:color w:val="auto"/>
                <w:szCs w:val="21"/>
              </w:rPr>
              <w:t>服务响应：提供</w:t>
            </w:r>
            <w:r>
              <w:rPr>
                <w:rFonts w:hint="eastAsia" w:ascii="宋体" w:hAnsi="宋体" w:eastAsia="宋体" w:cs="Times New Roman"/>
                <w:color w:val="auto"/>
                <w:szCs w:val="21"/>
              </w:rPr>
              <w:t>7</w:t>
            </w:r>
            <w:r>
              <w:rPr>
                <w:rFonts w:ascii="宋体" w:hAnsi="宋体" w:eastAsia="宋体" w:cs="Times New Roman"/>
                <w:color w:val="auto"/>
                <w:szCs w:val="21"/>
              </w:rPr>
              <w:t>×</w:t>
            </w:r>
            <w:r>
              <w:rPr>
                <w:rFonts w:hint="eastAsia" w:ascii="宋体" w:hAnsi="宋体" w:eastAsia="宋体" w:cs="Times New Roman"/>
                <w:color w:val="auto"/>
                <w:szCs w:val="21"/>
              </w:rPr>
              <w:t>24</w:t>
            </w:r>
            <w:r>
              <w:rPr>
                <w:rFonts w:ascii="宋体" w:hAnsi="宋体" w:eastAsia="宋体" w:cs="Times New Roman"/>
                <w:color w:val="auto"/>
                <w:szCs w:val="21"/>
              </w:rPr>
              <w:t>小时服务，响应时间不超过1小时，一般故障24小时内恢复，重大故障1小时响应、4小时给出解决方案；针对特殊无法修复故障，投标人应全力配合解决，并确保系统和数据安全。</w:t>
            </w:r>
          </w:p>
          <w:p>
            <w:pPr>
              <w:widowControl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②</w:t>
            </w:r>
            <w:r>
              <w:rPr>
                <w:rFonts w:ascii="宋体" w:hAnsi="宋体" w:eastAsia="宋体" w:cs="Times New Roman"/>
                <w:color w:val="auto"/>
                <w:szCs w:val="21"/>
              </w:rPr>
              <w:t>项目验收交付后，自项目终验通过之日起提供</w:t>
            </w:r>
            <w:r>
              <w:rPr>
                <w:rFonts w:hint="eastAsia" w:ascii="宋体" w:hAnsi="宋体" w:eastAsia="宋体" w:cs="Times New Roman"/>
                <w:color w:val="auto"/>
                <w:szCs w:val="21"/>
              </w:rPr>
              <w:t>1</w:t>
            </w:r>
            <w:r>
              <w:rPr>
                <w:rFonts w:ascii="宋体" w:hAnsi="宋体" w:eastAsia="宋体" w:cs="Times New Roman"/>
                <w:color w:val="auto"/>
                <w:szCs w:val="21"/>
              </w:rPr>
              <w:t>年的免费运维服务。免费运维</w:t>
            </w:r>
            <w:r>
              <w:rPr>
                <w:rFonts w:hint="eastAsia" w:ascii="宋体" w:hAnsi="宋体" w:eastAsia="宋体" w:cs="Times New Roman"/>
                <w:color w:val="auto"/>
                <w:szCs w:val="21"/>
              </w:rPr>
              <w:t>期间</w:t>
            </w:r>
            <w:r>
              <w:rPr>
                <w:rFonts w:ascii="宋体" w:hAnsi="宋体" w:eastAsia="宋体" w:cs="Times New Roman"/>
                <w:color w:val="auto"/>
                <w:szCs w:val="21"/>
              </w:rPr>
              <w:t>供应商</w:t>
            </w:r>
            <w:r>
              <w:rPr>
                <w:rFonts w:hint="eastAsia" w:ascii="宋体" w:hAnsi="宋体" w:eastAsia="宋体" w:cs="Times New Roman"/>
                <w:color w:val="auto"/>
                <w:szCs w:val="21"/>
              </w:rPr>
              <w:t>需要</w:t>
            </w:r>
            <w:r>
              <w:rPr>
                <w:rFonts w:ascii="宋体" w:hAnsi="宋体" w:eastAsia="宋体" w:cs="Times New Roman"/>
                <w:color w:val="auto"/>
                <w:szCs w:val="21"/>
              </w:rPr>
              <w:t>提供</w:t>
            </w:r>
            <w:r>
              <w:rPr>
                <w:rFonts w:hint="eastAsia" w:ascii="宋体" w:hAnsi="宋体" w:eastAsia="宋体" w:cs="Times New Roman"/>
                <w:color w:val="auto"/>
                <w:szCs w:val="21"/>
              </w:rPr>
              <w:t>不少于5</w:t>
            </w:r>
            <w:r>
              <w:rPr>
                <w:rFonts w:ascii="宋体" w:hAnsi="宋体" w:eastAsia="宋体" w:cs="Times New Roman"/>
                <w:color w:val="auto"/>
                <w:szCs w:val="21"/>
              </w:rPr>
              <w:t>人的驻场服务。</w:t>
            </w:r>
          </w:p>
          <w:p>
            <w:pPr>
              <w:spacing w:line="360" w:lineRule="auto"/>
              <w:jc w:val="left"/>
              <w:rPr>
                <w:rFonts w:ascii="宋体" w:hAnsi="宋体" w:eastAsia="宋体" w:cs="Times New Roman"/>
                <w:color w:val="auto"/>
                <w:szCs w:val="21"/>
              </w:rPr>
            </w:pPr>
            <w:r>
              <w:rPr>
                <w:rFonts w:hint="eastAsia" w:ascii="宋体" w:hAnsi="宋体" w:eastAsia="宋体" w:cs="Times New Roman"/>
                <w:b/>
                <w:bCs/>
                <w:color w:val="auto"/>
                <w:szCs w:val="21"/>
              </w:rPr>
              <w:t>（5）</w:t>
            </w:r>
            <w:r>
              <w:rPr>
                <w:rFonts w:ascii="宋体" w:hAnsi="宋体" w:eastAsia="宋体" w:cs="Times New Roman"/>
                <w:b/>
                <w:bCs/>
                <w:color w:val="auto"/>
                <w:szCs w:val="21"/>
              </w:rPr>
              <w:t>项目培训要求</w:t>
            </w:r>
            <w:r>
              <w:rPr>
                <w:rFonts w:hint="eastAsia" w:ascii="宋体" w:hAnsi="宋体" w:eastAsia="宋体" w:cs="Times New Roman"/>
                <w:b/>
                <w:bCs/>
                <w:color w:val="auto"/>
                <w:szCs w:val="21"/>
              </w:rPr>
              <w:t>：</w:t>
            </w:r>
            <w:r>
              <w:rPr>
                <w:rFonts w:ascii="宋体" w:hAnsi="宋体" w:eastAsia="宋体" w:cs="Times New Roman"/>
                <w:color w:val="auto"/>
                <w:szCs w:val="21"/>
              </w:rPr>
              <w:t>要求对相关</w:t>
            </w:r>
            <w:r>
              <w:rPr>
                <w:rFonts w:hint="eastAsia" w:ascii="宋体" w:hAnsi="宋体" w:eastAsia="宋体" w:cs="Times New Roman"/>
                <w:color w:val="auto"/>
                <w:szCs w:val="21"/>
              </w:rPr>
              <w:t>使用</w:t>
            </w:r>
            <w:r>
              <w:rPr>
                <w:rFonts w:ascii="宋体" w:hAnsi="宋体" w:eastAsia="宋体" w:cs="Times New Roman"/>
                <w:color w:val="auto"/>
                <w:szCs w:val="21"/>
              </w:rPr>
              <w:t>人员</w:t>
            </w:r>
            <w:r>
              <w:rPr>
                <w:rFonts w:hint="eastAsia" w:ascii="宋体" w:hAnsi="宋体" w:eastAsia="宋体" w:cs="Times New Roman"/>
                <w:color w:val="auto"/>
                <w:szCs w:val="21"/>
              </w:rPr>
              <w:t>、系统管理员、技术人员</w:t>
            </w:r>
            <w:r>
              <w:rPr>
                <w:rFonts w:ascii="宋体" w:hAnsi="宋体" w:eastAsia="宋体" w:cs="Times New Roman"/>
                <w:color w:val="auto"/>
                <w:szCs w:val="21"/>
              </w:rPr>
              <w:t>进行</w:t>
            </w:r>
            <w:r>
              <w:rPr>
                <w:rFonts w:hint="eastAsia" w:ascii="宋体" w:hAnsi="宋体" w:eastAsia="宋体" w:cs="Times New Roman"/>
                <w:color w:val="auto"/>
                <w:szCs w:val="21"/>
              </w:rPr>
              <w:t>有针对性的</w:t>
            </w:r>
            <w:r>
              <w:rPr>
                <w:rFonts w:ascii="宋体" w:hAnsi="宋体" w:eastAsia="宋体" w:cs="Times New Roman"/>
                <w:color w:val="auto"/>
                <w:szCs w:val="21"/>
              </w:rPr>
              <w:t>培训。</w:t>
            </w:r>
          </w:p>
        </w:tc>
      </w:tr>
    </w:tbl>
    <w:p>
      <w:pPr>
        <w:widowControl w:val="0"/>
        <w:spacing w:line="240" w:lineRule="auto"/>
        <w:rPr>
          <w:rFonts w:ascii="Calibri" w:hAnsi="Calibri" w:eastAsia="宋体" w:cs="Times New Roman"/>
          <w:color w:val="auto"/>
        </w:rPr>
      </w:pPr>
    </w:p>
    <w:p>
      <w:pPr>
        <w:shd w:val="clear"/>
        <w:spacing w:line="240" w:lineRule="auto"/>
        <w:ind w:firstLine="0"/>
        <w:jc w:val="left"/>
        <w:rPr>
          <w:rFonts w:ascii="宋体" w:hAnsi="宋体" w:eastAsia="宋体" w:cs="宋体"/>
          <w:color w:val="auto"/>
          <w:kern w:val="0"/>
          <w:szCs w:val="21"/>
        </w:rPr>
      </w:pPr>
      <w:r>
        <w:rPr>
          <w:rFonts w:ascii="宋体" w:hAnsi="宋体" w:eastAsia="宋体" w:cs="宋体"/>
          <w:color w:val="auto"/>
          <w:kern w:val="0"/>
          <w:szCs w:val="21"/>
        </w:rPr>
        <w:br w:type="page"/>
      </w:r>
    </w:p>
    <w:p>
      <w:pPr>
        <w:shd w:val="clear" w:color="auto" w:fill="FFFFFF"/>
        <w:spacing w:line="360" w:lineRule="auto"/>
        <w:ind w:firstLine="480"/>
        <w:jc w:val="left"/>
        <w:rPr>
          <w:rFonts w:ascii="宋体" w:hAnsi="宋体" w:eastAsia="宋体" w:cs="宋体"/>
          <w:color w:val="auto"/>
          <w:kern w:val="0"/>
          <w:szCs w:val="21"/>
        </w:rPr>
      </w:pPr>
    </w:p>
    <w:p>
      <w:pPr>
        <w:pStyle w:val="4"/>
        <w:rPr>
          <w:color w:val="auto"/>
        </w:rPr>
      </w:pPr>
      <w:bookmarkStart w:id="4" w:name="_Toc152530691"/>
      <w:r>
        <w:rPr>
          <w:rFonts w:hint="eastAsia"/>
          <w:color w:val="auto"/>
        </w:rPr>
        <w:t>（二）陕西省企业综合服务应用平台（陕企通）一期——工程监理</w:t>
      </w:r>
      <w:bookmarkEnd w:id="4"/>
    </w:p>
    <w:p>
      <w:pPr>
        <w:shd w:val="clear" w:color="auto" w:fill="FFFFFF"/>
        <w:spacing w:line="360" w:lineRule="auto"/>
        <w:ind w:firstLine="480"/>
        <w:jc w:val="left"/>
        <w:rPr>
          <w:rFonts w:ascii="宋体" w:hAnsi="宋体" w:eastAsia="宋体" w:cs="宋体"/>
          <w:color w:val="auto"/>
          <w:kern w:val="0"/>
          <w:szCs w:val="21"/>
        </w:rPr>
      </w:pPr>
      <w:r>
        <w:rPr>
          <w:rFonts w:hint="eastAsia" w:ascii="宋体" w:hAnsi="宋体" w:eastAsia="宋体" w:cs="宋体"/>
          <w:color w:val="auto"/>
          <w:kern w:val="0"/>
          <w:szCs w:val="21"/>
        </w:rPr>
        <w:t>标的名称：陕西省企业综合服务应用平台（陕企通）一期工程项目监理</w:t>
      </w:r>
    </w:p>
    <w:tbl>
      <w:tblPr>
        <w:tblStyle w:val="16"/>
        <w:tblW w:w="5296"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68"/>
        <w:gridCol w:w="706"/>
        <w:gridCol w:w="71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宋体"/>
                <w:b/>
                <w:bCs/>
                <w:color w:val="auto"/>
                <w:sz w:val="22"/>
              </w:rPr>
            </w:pPr>
            <w:r>
              <w:rPr>
                <w:rFonts w:hint="eastAsia" w:ascii="宋体" w:hAnsi="宋体" w:eastAsia="宋体" w:cs="宋体"/>
                <w:b/>
                <w:bCs/>
                <w:color w:val="auto"/>
                <w:sz w:val="22"/>
              </w:rPr>
              <w:t>参数性质</w:t>
            </w:r>
          </w:p>
        </w:tc>
        <w:tc>
          <w:tcPr>
            <w:tcW w:w="6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宋体"/>
                <w:b/>
                <w:bCs/>
                <w:color w:val="auto"/>
                <w:sz w:val="22"/>
              </w:rPr>
            </w:pPr>
            <w:r>
              <w:rPr>
                <w:rFonts w:hint="eastAsia" w:ascii="宋体" w:hAnsi="宋体" w:eastAsia="宋体" w:cs="宋体"/>
                <w:b/>
                <w:bCs/>
                <w:color w:val="auto"/>
                <w:sz w:val="22"/>
              </w:rPr>
              <w:t>序号</w:t>
            </w:r>
          </w:p>
        </w:tc>
        <w:tc>
          <w:tcPr>
            <w:tcW w:w="696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宋体"/>
                <w:b/>
                <w:bCs/>
                <w:color w:val="auto"/>
                <w:sz w:val="22"/>
              </w:rPr>
            </w:pPr>
            <w:r>
              <w:rPr>
                <w:rFonts w:hint="eastAsia" w:ascii="宋体" w:hAnsi="宋体" w:eastAsia="宋体" w:cs="宋体"/>
                <w:b/>
                <w:bCs/>
                <w:color w:val="auto"/>
                <w:sz w:val="22"/>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宋体"/>
                <w:b/>
                <w:bCs/>
                <w:color w:val="auto"/>
                <w:sz w:val="22"/>
              </w:rPr>
            </w:pPr>
            <w:r>
              <w:rPr>
                <w:rFonts w:hint="eastAsia" w:ascii="宋体" w:hAnsi="宋体" w:eastAsia="宋体" w:cs="宋体"/>
                <w:b/>
                <w:bCs/>
                <w:color w:val="auto"/>
                <w:sz w:val="22"/>
              </w:rPr>
              <w:t>▲</w:t>
            </w:r>
          </w:p>
        </w:tc>
        <w:tc>
          <w:tcPr>
            <w:tcW w:w="6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宋体"/>
                <w:b/>
                <w:bCs/>
                <w:color w:val="auto"/>
                <w:sz w:val="22"/>
              </w:rPr>
            </w:pPr>
            <w:r>
              <w:rPr>
                <w:rFonts w:hint="eastAsia" w:ascii="宋体" w:hAnsi="宋体" w:eastAsia="宋体" w:cs="宋体"/>
                <w:b/>
                <w:bCs/>
                <w:color w:val="auto"/>
                <w:sz w:val="22"/>
              </w:rPr>
              <w:t>1</w:t>
            </w:r>
          </w:p>
        </w:tc>
        <w:tc>
          <w:tcPr>
            <w:tcW w:w="696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240" w:lineRule="auto"/>
              <w:jc w:val="left"/>
              <w:rPr>
                <w:rFonts w:ascii="宋体" w:hAnsi="宋体" w:eastAsia="宋体" w:cs="宋体"/>
                <w:color w:val="auto"/>
                <w:sz w:val="22"/>
              </w:rPr>
            </w:pPr>
            <w:r>
              <w:rPr>
                <w:rFonts w:hint="eastAsia" w:ascii="宋体" w:hAnsi="宋体" w:eastAsia="宋体" w:cs="宋体"/>
                <w:color w:val="auto"/>
                <w:sz w:val="22"/>
              </w:rPr>
              <w:t>监理目标</w:t>
            </w:r>
          </w:p>
          <w:p>
            <w:pPr>
              <w:spacing w:line="240" w:lineRule="auto"/>
              <w:jc w:val="left"/>
              <w:rPr>
                <w:rFonts w:ascii="宋体" w:hAnsi="宋体" w:eastAsia="宋体" w:cs="宋体"/>
                <w:color w:val="auto"/>
                <w:sz w:val="22"/>
              </w:rPr>
            </w:pPr>
            <w:r>
              <w:rPr>
                <w:rFonts w:hint="eastAsia" w:ascii="宋体" w:hAnsi="宋体" w:eastAsia="宋体" w:cs="宋体"/>
                <w:color w:val="auto"/>
                <w:sz w:val="22"/>
              </w:rPr>
              <w:t>投资目标：投资金额不超过合同规定金额。</w:t>
            </w:r>
          </w:p>
          <w:p>
            <w:pPr>
              <w:spacing w:line="240" w:lineRule="auto"/>
              <w:jc w:val="left"/>
              <w:rPr>
                <w:rFonts w:ascii="宋体" w:hAnsi="宋体" w:eastAsia="宋体" w:cs="宋体"/>
                <w:color w:val="auto"/>
                <w:sz w:val="22"/>
              </w:rPr>
            </w:pPr>
            <w:r>
              <w:rPr>
                <w:rFonts w:hint="eastAsia" w:ascii="宋体" w:hAnsi="宋体" w:eastAsia="宋体" w:cs="宋体"/>
                <w:color w:val="auto"/>
                <w:sz w:val="22"/>
              </w:rPr>
              <w:t>工期目标：确保项目在合同规定的期限内竣工验收，并投入使用。</w:t>
            </w:r>
          </w:p>
          <w:p>
            <w:pPr>
              <w:spacing w:line="240" w:lineRule="auto"/>
              <w:jc w:val="left"/>
              <w:rPr>
                <w:rFonts w:ascii="宋体" w:hAnsi="宋体" w:eastAsia="宋体" w:cs="宋体"/>
                <w:b/>
                <w:bCs/>
                <w:color w:val="auto"/>
                <w:sz w:val="22"/>
              </w:rPr>
            </w:pPr>
            <w:r>
              <w:rPr>
                <w:rFonts w:hint="eastAsia" w:ascii="宋体" w:hAnsi="宋体" w:eastAsia="宋体" w:cs="宋体"/>
                <w:color w:val="auto"/>
                <w:sz w:val="22"/>
              </w:rPr>
              <w:t>质量目标：实现合同和设计方案的各项功能，并符合设计方案的质量标准，将系统建设成一个先进、实用、体现当代高新技术水平的信息化建设工程，同时保证系统的可靠性、安全性和高性能。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宋体"/>
                <w:b/>
                <w:bCs/>
                <w:color w:val="auto"/>
                <w:sz w:val="22"/>
              </w:rPr>
            </w:pPr>
            <w:r>
              <w:rPr>
                <w:rFonts w:hint="eastAsia" w:ascii="宋体" w:hAnsi="宋体" w:eastAsia="宋体" w:cs="宋体"/>
                <w:b/>
                <w:bCs/>
                <w:color w:val="auto"/>
                <w:sz w:val="22"/>
              </w:rPr>
              <w:t>▲</w:t>
            </w:r>
          </w:p>
        </w:tc>
        <w:tc>
          <w:tcPr>
            <w:tcW w:w="6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宋体"/>
                <w:b/>
                <w:bCs/>
                <w:color w:val="auto"/>
                <w:sz w:val="22"/>
              </w:rPr>
            </w:pPr>
            <w:r>
              <w:rPr>
                <w:rFonts w:hint="eastAsia" w:ascii="宋体" w:hAnsi="宋体" w:eastAsia="宋体" w:cs="宋体"/>
                <w:b/>
                <w:bCs/>
                <w:color w:val="auto"/>
                <w:sz w:val="22"/>
              </w:rPr>
              <w:t>2</w:t>
            </w:r>
          </w:p>
        </w:tc>
        <w:tc>
          <w:tcPr>
            <w:tcW w:w="696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240" w:lineRule="auto"/>
              <w:jc w:val="left"/>
              <w:rPr>
                <w:rFonts w:ascii="宋体" w:hAnsi="宋体" w:eastAsia="宋体" w:cs="宋体"/>
                <w:color w:val="auto"/>
                <w:sz w:val="22"/>
              </w:rPr>
            </w:pPr>
            <w:r>
              <w:rPr>
                <w:rFonts w:hint="eastAsia" w:ascii="宋体" w:hAnsi="宋体" w:eastAsia="宋体" w:cs="宋体"/>
                <w:color w:val="auto"/>
                <w:sz w:val="22"/>
              </w:rPr>
              <w:t>监理工作内容</w:t>
            </w:r>
          </w:p>
          <w:p>
            <w:pPr>
              <w:widowControl w:val="0"/>
              <w:spacing w:line="240" w:lineRule="auto"/>
              <w:rPr>
                <w:rFonts w:ascii="宋体" w:hAnsi="宋体" w:eastAsia="宋体" w:cs="宋体"/>
                <w:color w:val="auto"/>
                <w:sz w:val="22"/>
              </w:rPr>
            </w:pPr>
            <w:r>
              <w:rPr>
                <w:rFonts w:hint="eastAsia" w:ascii="宋体" w:hAnsi="宋体" w:eastAsia="宋体" w:cs="宋体"/>
                <w:color w:val="auto"/>
                <w:sz w:val="22"/>
              </w:rPr>
              <w:t>对项目的整个过程进行监理，具体监理工作内容如下：</w:t>
            </w:r>
          </w:p>
          <w:p>
            <w:pPr>
              <w:spacing w:line="240" w:lineRule="auto"/>
              <w:jc w:val="left"/>
              <w:rPr>
                <w:rFonts w:ascii="宋体" w:hAnsi="宋体" w:eastAsia="宋体" w:cs="宋体"/>
                <w:color w:val="auto"/>
                <w:sz w:val="22"/>
              </w:rPr>
            </w:pPr>
            <w:r>
              <w:rPr>
                <w:rFonts w:hint="eastAsia" w:ascii="宋体" w:hAnsi="宋体" w:eastAsia="宋体" w:cs="宋体"/>
                <w:color w:val="auto"/>
                <w:sz w:val="22"/>
              </w:rPr>
              <w:t>（1）项目阶段：</w:t>
            </w:r>
          </w:p>
          <w:p>
            <w:pPr>
              <w:spacing w:line="240" w:lineRule="auto"/>
              <w:jc w:val="left"/>
              <w:rPr>
                <w:rFonts w:ascii="宋体" w:hAnsi="宋体" w:eastAsia="宋体" w:cs="宋体"/>
                <w:color w:val="auto"/>
                <w:sz w:val="22"/>
              </w:rPr>
            </w:pPr>
            <w:r>
              <w:rPr>
                <w:rFonts w:hint="eastAsia" w:ascii="宋体" w:hAnsi="宋体" w:eastAsia="宋体" w:cs="宋体"/>
                <w:color w:val="auto"/>
                <w:sz w:val="22"/>
              </w:rPr>
              <w:t>设计阶段</w:t>
            </w:r>
            <w:r>
              <w:rPr>
                <w:rFonts w:ascii="宋体" w:hAnsi="宋体" w:eastAsia="宋体" w:cs="宋体"/>
                <w:color w:val="auto"/>
                <w:sz w:val="22"/>
              </w:rPr>
              <w:t>对设计单位提供的设计方案进行分析、审核。</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审核设计单位项目进度计划的合理性和可操作性。</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审核设计单位的项目组织结构、人员构成。</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审查设计单位的质量保证体系和计划。</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审查设计单位设计成果与合同要求的符合情况。</w:t>
            </w:r>
          </w:p>
          <w:p>
            <w:pPr>
              <w:spacing w:line="240" w:lineRule="auto"/>
              <w:jc w:val="left"/>
              <w:rPr>
                <w:rFonts w:ascii="宋体" w:hAnsi="宋体" w:eastAsia="宋体" w:cs="宋体"/>
                <w:color w:val="auto"/>
                <w:sz w:val="22"/>
              </w:rPr>
            </w:pPr>
            <w:r>
              <w:rPr>
                <w:rFonts w:hint="eastAsia" w:ascii="宋体" w:hAnsi="宋体" w:eastAsia="宋体" w:cs="宋体"/>
                <w:color w:val="auto"/>
                <w:sz w:val="22"/>
              </w:rPr>
              <w:t>（2）实施阶段</w:t>
            </w:r>
            <w:r>
              <w:rPr>
                <w:rFonts w:ascii="宋体" w:hAnsi="宋体" w:eastAsia="宋体" w:cs="宋体"/>
                <w:color w:val="auto"/>
                <w:sz w:val="22"/>
              </w:rPr>
              <w:tab/>
            </w:r>
          </w:p>
          <w:p>
            <w:pPr>
              <w:spacing w:line="240" w:lineRule="auto"/>
              <w:jc w:val="left"/>
              <w:rPr>
                <w:rFonts w:ascii="宋体" w:hAnsi="宋体" w:eastAsia="宋体" w:cs="宋体"/>
                <w:color w:val="auto"/>
                <w:sz w:val="22"/>
              </w:rPr>
            </w:pPr>
            <w:r>
              <w:rPr>
                <w:rFonts w:ascii="宋体" w:hAnsi="宋体" w:eastAsia="宋体" w:cs="宋体"/>
                <w:color w:val="auto"/>
                <w:sz w:val="22"/>
              </w:rPr>
              <w:t>审核承包商项目建设内容的具体实施方案。</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审核承包商的技术验证环境建设情况、技术验证方案和执行情况。</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审核和确认承包商的开发和采购计划、安装调试计划、测试计划、试运行计划、正式运行计划。</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检查承包商项目实施的相关文档。</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检查项目实施的环境准备情况。</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对软硬件设备等进行到货检查。</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监督项目计划进度与实际进度的符合性，并提出合理化建议，确保计划进度与实际进度偏差最小化。</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对于项目实施过程中的变更进行审核。</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处理项目实施过程中出现的质量事故。</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代表采购人负责与承包商之间的工作协调安排。</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初验和试运行阶段</w:t>
            </w:r>
            <w:r>
              <w:rPr>
                <w:rFonts w:ascii="宋体" w:hAnsi="宋体" w:eastAsia="宋体" w:cs="宋体"/>
                <w:color w:val="auto"/>
                <w:sz w:val="22"/>
              </w:rPr>
              <w:tab/>
            </w:r>
            <w:r>
              <w:rPr>
                <w:rFonts w:ascii="宋体" w:hAnsi="宋体" w:eastAsia="宋体" w:cs="宋体"/>
                <w:color w:val="auto"/>
                <w:sz w:val="22"/>
              </w:rPr>
              <w:t>协助采购人制定验收程序和标准，审查验收方案和验收文档。</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协助采购人进行系统的功能和性能测试及初验。</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检查系统的调试和试运行情况。</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处理试运行期间出现的质量问题。</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协调与承包商之间的关系，解决纠纷。</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监督、检查并督促承包商对用户的培训工作。</w:t>
            </w:r>
          </w:p>
          <w:p>
            <w:pPr>
              <w:spacing w:line="240" w:lineRule="auto"/>
              <w:jc w:val="left"/>
              <w:rPr>
                <w:rFonts w:ascii="宋体" w:hAnsi="宋体" w:eastAsia="宋体" w:cs="宋体"/>
                <w:color w:val="auto"/>
                <w:sz w:val="22"/>
              </w:rPr>
            </w:pPr>
            <w:r>
              <w:rPr>
                <w:rFonts w:hint="eastAsia" w:ascii="宋体" w:hAnsi="宋体" w:eastAsia="宋体" w:cs="宋体"/>
                <w:color w:val="auto"/>
                <w:sz w:val="22"/>
              </w:rPr>
              <w:t>（3）终验阶段</w:t>
            </w:r>
            <w:r>
              <w:rPr>
                <w:rFonts w:ascii="宋体" w:hAnsi="宋体" w:eastAsia="宋体" w:cs="宋体"/>
                <w:color w:val="auto"/>
                <w:sz w:val="22"/>
              </w:rPr>
              <w:tab/>
            </w:r>
            <w:r>
              <w:rPr>
                <w:rFonts w:ascii="宋体" w:hAnsi="宋体" w:eastAsia="宋体" w:cs="宋体"/>
                <w:color w:val="auto"/>
                <w:sz w:val="22"/>
              </w:rPr>
              <w:t>协助采购人进行项目终验。</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进行项目配置审核。</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协助采购人完成项目审计工作。</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系统验收完毕进入运营阶段的审核。</w:t>
            </w:r>
          </w:p>
          <w:p>
            <w:pPr>
              <w:spacing w:line="240" w:lineRule="auto"/>
              <w:jc w:val="left"/>
              <w:rPr>
                <w:rFonts w:ascii="宋体" w:hAnsi="宋体" w:eastAsia="宋体" w:cs="宋体"/>
                <w:color w:val="auto"/>
                <w:sz w:val="22"/>
              </w:rPr>
            </w:pPr>
            <w:r>
              <w:rPr>
                <w:rFonts w:hint="eastAsia" w:ascii="宋体" w:hAnsi="宋体" w:eastAsia="宋体" w:cs="宋体"/>
                <w:color w:val="auto"/>
                <w:sz w:val="22"/>
              </w:rPr>
              <w:t>（4）项目运行维护阶段</w:t>
            </w:r>
          </w:p>
          <w:p>
            <w:pPr>
              <w:spacing w:line="240" w:lineRule="auto"/>
              <w:jc w:val="left"/>
              <w:rPr>
                <w:rFonts w:ascii="宋体" w:hAnsi="宋体" w:eastAsia="宋体" w:cs="宋体"/>
                <w:color w:val="auto"/>
                <w:sz w:val="22"/>
              </w:rPr>
            </w:pPr>
            <w:r>
              <w:rPr>
                <w:rFonts w:ascii="宋体" w:hAnsi="宋体" w:eastAsia="宋体" w:cs="宋体"/>
                <w:color w:val="auto"/>
                <w:sz w:val="22"/>
              </w:rPr>
              <w:tab/>
            </w:r>
            <w:r>
              <w:rPr>
                <w:rFonts w:ascii="宋体" w:hAnsi="宋体" w:eastAsia="宋体" w:cs="宋体"/>
                <w:color w:val="auto"/>
                <w:sz w:val="22"/>
              </w:rPr>
              <w:t>运行维护咨询、评估、评价。</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提供运行维护服务标准制定，和运维期间网络运行管理（设备维护、网络管理、状态监控、灾难恢复等）、系统监测优化（硬件优化、系统优化、数据优化）、技术支持服务和服务评估、评价。</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保证网络设施的稳定性、可靠性、安全性，确保应用系统的可用性和业务连续性。</w:t>
            </w:r>
          </w:p>
          <w:p>
            <w:pPr>
              <w:spacing w:line="240" w:lineRule="auto"/>
              <w:jc w:val="left"/>
              <w:rPr>
                <w:rFonts w:ascii="宋体" w:hAnsi="宋体" w:eastAsia="宋体" w:cs="宋体"/>
                <w:color w:val="auto"/>
                <w:sz w:val="22"/>
              </w:rPr>
            </w:pPr>
            <w:r>
              <w:rPr>
                <w:rFonts w:hint="eastAsia" w:ascii="宋体" w:hAnsi="宋体" w:eastAsia="宋体" w:cs="宋体"/>
                <w:color w:val="auto"/>
                <w:sz w:val="22"/>
              </w:rPr>
              <w:t>（5）服务全过程</w:t>
            </w:r>
            <w:r>
              <w:rPr>
                <w:rFonts w:ascii="宋体" w:hAnsi="宋体" w:eastAsia="宋体" w:cs="宋体"/>
                <w:color w:val="auto"/>
                <w:sz w:val="22"/>
              </w:rPr>
              <w:tab/>
            </w:r>
            <w:r>
              <w:rPr>
                <w:rFonts w:ascii="宋体" w:hAnsi="宋体" w:eastAsia="宋体" w:cs="宋体"/>
                <w:color w:val="auto"/>
                <w:sz w:val="22"/>
              </w:rPr>
              <w:t>按照档案验收要求制定规范的监理过程用表、审核、监督承包商制定标准文档模板，以及文档的提交计划。</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按照项目阶段划分，提出对应各阶段监理内容的符合性检查一览表，作为各阶段项目建设完成进度的检查标志。</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定期向采购人汇报项目进展情况，提交项目监控报告。</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组织或协助采购人组织与项目建设有关的各类会议。</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填报与项目有关的管理报表。</w:t>
            </w:r>
          </w:p>
          <w:p>
            <w:pPr>
              <w:pStyle w:val="59"/>
              <w:numPr>
                <w:ilvl w:val="0"/>
                <w:numId w:val="1"/>
              </w:numPr>
              <w:spacing w:line="240" w:lineRule="auto"/>
              <w:ind w:firstLineChars="0"/>
              <w:jc w:val="left"/>
              <w:rPr>
                <w:rFonts w:ascii="宋体" w:hAnsi="宋体" w:eastAsia="宋体" w:cs="宋体"/>
                <w:color w:val="auto"/>
                <w:sz w:val="22"/>
              </w:rPr>
            </w:pPr>
            <w:r>
              <w:rPr>
                <w:rFonts w:hint="eastAsia" w:ascii="宋体" w:hAnsi="宋体" w:eastAsia="宋体" w:cs="宋体"/>
                <w:color w:val="auto"/>
                <w:sz w:val="22"/>
              </w:rPr>
              <w:t>运行维护咨询、评估、评价。</w:t>
            </w:r>
          </w:p>
        </w:tc>
      </w:tr>
    </w:tbl>
    <w:p>
      <w:pPr>
        <w:shd w:val="clear" w:color="auto" w:fill="FFFFFF"/>
        <w:spacing w:line="360" w:lineRule="auto"/>
        <w:ind w:firstLine="480"/>
        <w:jc w:val="left"/>
        <w:rPr>
          <w:rFonts w:ascii="宋体" w:hAnsi="宋体" w:eastAsia="宋体" w:cs="宋体"/>
          <w:color w:val="auto"/>
          <w:kern w:val="0"/>
          <w:szCs w:val="21"/>
        </w:rPr>
      </w:pPr>
    </w:p>
    <w:p>
      <w:pPr>
        <w:rPr>
          <w:rFonts w:hint="eastAsia"/>
          <w:color w:val="auto"/>
        </w:rPr>
      </w:pPr>
      <w:bookmarkStart w:id="5" w:name="_Toc152530692"/>
      <w:bookmarkStart w:id="6" w:name="_Hlk151625964"/>
      <w:r>
        <w:rPr>
          <w:rFonts w:hint="eastAsia"/>
          <w:color w:val="auto"/>
        </w:rPr>
        <w:br w:type="page"/>
      </w:r>
    </w:p>
    <w:p>
      <w:pPr>
        <w:pStyle w:val="4"/>
        <w:rPr>
          <w:rFonts w:cs="Times New Roman"/>
          <w:color w:val="auto"/>
          <w:sz w:val="21"/>
          <w:szCs w:val="21"/>
        </w:rPr>
      </w:pPr>
      <w:r>
        <w:rPr>
          <w:rFonts w:hint="eastAsia"/>
          <w:color w:val="auto"/>
        </w:rPr>
        <w:t>（三）陕西省企业综合服务应用平台</w:t>
      </w:r>
      <w:r>
        <w:rPr>
          <w:color w:val="auto"/>
        </w:rPr>
        <w:t>（陕企通）一期</w:t>
      </w:r>
      <w:r>
        <w:rPr>
          <w:rFonts w:hint="eastAsia"/>
          <w:color w:val="auto"/>
        </w:rPr>
        <w:t>——第三方软件测评</w:t>
      </w:r>
      <w:bookmarkEnd w:id="5"/>
    </w:p>
    <w:p>
      <w:pPr>
        <w:shd w:val="clear" w:color="auto" w:fill="FFFFFF"/>
        <w:spacing w:line="360" w:lineRule="auto"/>
        <w:ind w:firstLine="480"/>
        <w:jc w:val="left"/>
        <w:rPr>
          <w:rFonts w:ascii="宋体" w:hAnsi="宋体" w:eastAsia="宋体" w:cs="宋体"/>
          <w:color w:val="auto"/>
          <w:kern w:val="0"/>
          <w:szCs w:val="21"/>
        </w:rPr>
      </w:pPr>
      <w:r>
        <w:rPr>
          <w:rFonts w:hint="eastAsia" w:ascii="宋体" w:hAnsi="宋体" w:eastAsia="宋体" w:cs="宋体"/>
          <w:color w:val="auto"/>
          <w:kern w:val="0"/>
          <w:szCs w:val="21"/>
        </w:rPr>
        <w:t>标的名称：陕西省企业综合服务应用平台</w:t>
      </w:r>
      <w:r>
        <w:rPr>
          <w:rFonts w:ascii="宋体" w:hAnsi="宋体" w:eastAsia="宋体" w:cs="宋体"/>
          <w:color w:val="auto"/>
          <w:kern w:val="0"/>
          <w:szCs w:val="21"/>
        </w:rPr>
        <w:t>（陕企通）一期</w:t>
      </w:r>
      <w:r>
        <w:rPr>
          <w:rFonts w:hint="eastAsia" w:ascii="宋体" w:hAnsi="宋体" w:eastAsia="宋体" w:cs="宋体"/>
          <w:color w:val="auto"/>
          <w:kern w:val="0"/>
          <w:szCs w:val="21"/>
        </w:rPr>
        <w:t>第三方软件测评</w:t>
      </w:r>
    </w:p>
    <w:tbl>
      <w:tblPr>
        <w:tblStyle w:val="16"/>
        <w:tblW w:w="5382"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70"/>
        <w:gridCol w:w="707"/>
        <w:gridCol w:w="7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参数性质</w:t>
            </w:r>
          </w:p>
        </w:tc>
        <w:tc>
          <w:tcPr>
            <w:tcW w:w="6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序号</w:t>
            </w:r>
          </w:p>
        </w:tc>
        <w:tc>
          <w:tcPr>
            <w:tcW w:w="710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w:t>
            </w:r>
          </w:p>
        </w:tc>
        <w:tc>
          <w:tcPr>
            <w:tcW w:w="6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1</w:t>
            </w:r>
          </w:p>
        </w:tc>
        <w:tc>
          <w:tcPr>
            <w:tcW w:w="710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left"/>
              <w:rPr>
                <w:rFonts w:ascii="宋体" w:hAnsi="宋体" w:eastAsia="宋体" w:cs="Times New Roman"/>
                <w:b/>
                <w:bCs/>
                <w:color w:val="auto"/>
                <w:szCs w:val="21"/>
              </w:rPr>
            </w:pPr>
            <w:r>
              <w:rPr>
                <w:rFonts w:hint="eastAsia" w:ascii="宋体" w:hAnsi="宋体" w:eastAsia="宋体" w:cs="Times New Roman"/>
                <w:b/>
                <w:bCs/>
                <w:color w:val="auto"/>
                <w:szCs w:val="21"/>
              </w:rPr>
              <w:t>对陕西省企业综合服务应用平台</w:t>
            </w:r>
            <w:r>
              <w:rPr>
                <w:rFonts w:ascii="宋体" w:hAnsi="宋体" w:eastAsia="宋体" w:cs="Times New Roman"/>
                <w:b/>
                <w:bCs/>
                <w:color w:val="auto"/>
                <w:szCs w:val="21"/>
              </w:rPr>
              <w:t>（陕企通）一期</w:t>
            </w:r>
            <w:r>
              <w:rPr>
                <w:rFonts w:hint="eastAsia" w:ascii="宋体" w:hAnsi="宋体" w:eastAsia="宋体" w:cs="Times New Roman"/>
                <w:b/>
                <w:bCs/>
                <w:color w:val="auto"/>
                <w:szCs w:val="21"/>
              </w:rPr>
              <w:t>第三方软件测评，测试内容包括系统功能测试、性能效率测试、易用性、可靠性、兼容性等</w:t>
            </w:r>
          </w:p>
        </w:tc>
      </w:tr>
    </w:tbl>
    <w:p>
      <w:pPr>
        <w:rPr>
          <w:rFonts w:hint="eastAsia"/>
          <w:color w:val="auto"/>
        </w:rPr>
      </w:pPr>
      <w:bookmarkStart w:id="7" w:name="_Toc152530693"/>
      <w:r>
        <w:rPr>
          <w:rFonts w:hint="eastAsia"/>
          <w:color w:val="auto"/>
        </w:rPr>
        <w:br w:type="page"/>
      </w:r>
    </w:p>
    <w:p>
      <w:pPr>
        <w:pStyle w:val="4"/>
        <w:rPr>
          <w:color w:val="auto"/>
        </w:rPr>
      </w:pPr>
      <w:r>
        <w:rPr>
          <w:rFonts w:hint="eastAsia"/>
          <w:color w:val="auto"/>
        </w:rPr>
        <w:t>（四）陕西省企业综合服务应用平台</w:t>
      </w:r>
      <w:r>
        <w:rPr>
          <w:color w:val="auto"/>
        </w:rPr>
        <w:t>（陕企通）一期</w:t>
      </w:r>
      <w:r>
        <w:rPr>
          <w:rFonts w:hint="eastAsia"/>
          <w:color w:val="auto"/>
        </w:rPr>
        <w:t>——网络安全等级保护测评</w:t>
      </w:r>
      <w:bookmarkEnd w:id="7"/>
    </w:p>
    <w:p>
      <w:pPr>
        <w:shd w:val="clear" w:color="auto" w:fill="FFFFFF"/>
        <w:spacing w:line="360" w:lineRule="auto"/>
        <w:ind w:firstLine="480"/>
        <w:jc w:val="left"/>
        <w:rPr>
          <w:rFonts w:ascii="宋体" w:hAnsi="宋体" w:eastAsia="宋体" w:cs="宋体"/>
          <w:color w:val="auto"/>
          <w:kern w:val="0"/>
          <w:szCs w:val="21"/>
        </w:rPr>
      </w:pPr>
      <w:r>
        <w:rPr>
          <w:rFonts w:hint="eastAsia" w:ascii="宋体" w:hAnsi="宋体" w:eastAsia="宋体" w:cs="宋体"/>
          <w:color w:val="auto"/>
          <w:kern w:val="0"/>
          <w:szCs w:val="21"/>
        </w:rPr>
        <w:t>标的名称：</w:t>
      </w:r>
      <w:r>
        <w:rPr>
          <w:rFonts w:hint="eastAsia" w:ascii="宋体" w:hAnsi="宋体" w:eastAsia="宋体" w:cs="宋体"/>
          <w:color w:val="auto"/>
          <w:kern w:val="0"/>
          <w:szCs w:val="21"/>
        </w:rPr>
        <w:t>陕西省企业综合服务应用平台（陕企通）一期网络安全等级保护测评</w:t>
      </w:r>
    </w:p>
    <w:tbl>
      <w:tblPr>
        <w:tblStyle w:val="16"/>
        <w:tblW w:w="521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66"/>
        <w:gridCol w:w="705"/>
        <w:gridCol w:w="70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参数性质</w:t>
            </w:r>
          </w:p>
        </w:tc>
        <w:tc>
          <w:tcPr>
            <w:tcW w:w="68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序号</w:t>
            </w:r>
          </w:p>
        </w:tc>
        <w:tc>
          <w:tcPr>
            <w:tcW w:w="682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68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682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val="0"/>
              <w:numPr>
                <w:ilvl w:val="0"/>
                <w:numId w:val="2"/>
              </w:num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供应商具有《网络安全等级测评与检测评估机构服务认证证书》</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2、供应商具有《CCRC信息安全服务资质认证证书-风险评估》</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3、项目组成员不少于6人，需包含至少2名高级测评师，2名中级测评师。</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4、具备注册网络安全渗透评估专业人员（NSATP-A)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68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color w:val="auto"/>
                <w:szCs w:val="21"/>
              </w:rPr>
            </w:pPr>
            <w:r>
              <w:rPr>
                <w:rFonts w:hint="eastAsia" w:ascii="宋体" w:hAnsi="宋体" w:eastAsia="宋体" w:cs="Times New Roman"/>
                <w:color w:val="auto"/>
                <w:szCs w:val="21"/>
              </w:rPr>
              <w:t>2</w:t>
            </w:r>
          </w:p>
        </w:tc>
        <w:tc>
          <w:tcPr>
            <w:tcW w:w="682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人员要求：</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1、项目经理：同时具备网络安全等级测评师证书（高级）、国际注册信息系统安全师认证（CISSP）、注册密码技术专家（CISP-CTE）、商用密码应用安全性评估人员测评能力考核证书、信息安全保障人员认证证书（CISAW-风险管理），大数据-DSMM测评师初级（能力三级）。</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2、技术主管：同时具备网络安全等级测评师证书（高级）、网络安全服务能力评价证书（CCSS-R)、注册数据安全治理专业人员（CISP-DSG)、信息安全管理师（CIIP-D),信息安全保障人员认证证书(CISAW-安全集成）。</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3、风险安全管理员：同时具备网络安全等级测评师证书（中级）、信息安全保障人员认证证书(CISAW-应急服务）、IT服务管理人才认证（ITIL），网络安全服务能力评价证书（CCSS-L)。</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4、售后培训讲师：需具备国产操作系统运维高级工程师证书、国产操作系统培训高级讲师证书。</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企业实力：</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1、供应商具有质量管理体系认证ISO9001、中国职业健康安全管理体系认证证书ISO45001、环境管理体系认证ISO14001、信息技术服务管理体系认证证书ISO/IEC20000、信息安全管理体系认证证书ISO/IEC27001。</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2、近一年内取得的《CNVD原创漏洞证明》。</w:t>
            </w:r>
          </w:p>
          <w:p>
            <w:pPr>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3、供应商具有网络安全等级保护相关计算机软件著作权登记证书。</w:t>
            </w:r>
          </w:p>
        </w:tc>
      </w:tr>
      <w:bookmarkEnd w:id="6"/>
    </w:tbl>
    <w:p>
      <w:pPr>
        <w:rPr>
          <w:rFonts w:hint="eastAsia"/>
          <w:color w:val="auto"/>
        </w:rPr>
      </w:pPr>
      <w:bookmarkStart w:id="8" w:name="_Toc152530694"/>
      <w:r>
        <w:rPr>
          <w:rFonts w:hint="eastAsia"/>
          <w:color w:val="auto"/>
        </w:rPr>
        <w:br w:type="page"/>
      </w:r>
    </w:p>
    <w:p>
      <w:pPr>
        <w:pStyle w:val="4"/>
        <w:rPr>
          <w:color w:val="auto"/>
        </w:rPr>
      </w:pPr>
      <w:r>
        <w:rPr>
          <w:rFonts w:hint="eastAsia"/>
          <w:color w:val="auto"/>
        </w:rPr>
        <w:t>（五）陕西省企业综合服务应用平台</w:t>
      </w:r>
      <w:r>
        <w:rPr>
          <w:color w:val="auto"/>
        </w:rPr>
        <w:t>（陕企通）一期</w:t>
      </w:r>
      <w:r>
        <w:rPr>
          <w:rFonts w:hint="eastAsia"/>
          <w:color w:val="auto"/>
        </w:rPr>
        <w:t>——密码应用安全性评估</w:t>
      </w:r>
      <w:bookmarkEnd w:id="8"/>
    </w:p>
    <w:p>
      <w:pPr>
        <w:shd w:val="clear" w:color="auto" w:fill="FFFFFF"/>
        <w:spacing w:line="360" w:lineRule="auto"/>
        <w:ind w:firstLine="480"/>
        <w:jc w:val="left"/>
        <w:rPr>
          <w:rFonts w:ascii="宋体" w:hAnsi="宋体" w:eastAsia="宋体" w:cs="宋体"/>
          <w:color w:val="auto"/>
          <w:kern w:val="0"/>
          <w:szCs w:val="21"/>
        </w:rPr>
      </w:pPr>
      <w:r>
        <w:rPr>
          <w:rFonts w:hint="eastAsia" w:ascii="宋体" w:hAnsi="宋体" w:eastAsia="宋体" w:cs="宋体"/>
          <w:color w:val="auto"/>
          <w:kern w:val="0"/>
          <w:szCs w:val="21"/>
        </w:rPr>
        <w:t>标的名称：</w:t>
      </w:r>
      <w:r>
        <w:rPr>
          <w:rFonts w:hint="eastAsia" w:ascii="宋体" w:hAnsi="宋体" w:eastAsia="宋体" w:cs="宋体"/>
          <w:color w:val="auto"/>
          <w:kern w:val="0"/>
          <w:szCs w:val="21"/>
        </w:rPr>
        <w:t>陕西省企业综合服务应用平台（陕企通）一期密码应用安全性评估</w:t>
      </w:r>
    </w:p>
    <w:tbl>
      <w:tblPr>
        <w:tblStyle w:val="16"/>
        <w:tblW w:w="5382"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68"/>
        <w:gridCol w:w="706"/>
        <w:gridCol w:w="73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参数性质</w:t>
            </w:r>
          </w:p>
        </w:tc>
        <w:tc>
          <w:tcPr>
            <w:tcW w:w="6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序号</w:t>
            </w:r>
          </w:p>
        </w:tc>
        <w:tc>
          <w:tcPr>
            <w:tcW w:w="710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技术参数与性能指标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3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w:t>
            </w:r>
          </w:p>
        </w:tc>
        <w:tc>
          <w:tcPr>
            <w:tcW w:w="6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1</w:t>
            </w:r>
          </w:p>
        </w:tc>
        <w:tc>
          <w:tcPr>
            <w:tcW w:w="710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rPr>
                <w:rFonts w:ascii="宋体" w:hAnsi="宋体" w:eastAsia="宋体" w:cs="宋体"/>
                <w:color w:val="auto"/>
                <w:kern w:val="0"/>
                <w:szCs w:val="21"/>
                <w:lang w:bidi="ar"/>
              </w:rPr>
            </w:pPr>
            <w:r>
              <w:rPr>
                <w:rFonts w:hint="eastAsia" w:ascii="宋体" w:hAnsi="宋体" w:eastAsia="宋体" w:cs="宋体"/>
                <w:color w:val="auto"/>
                <w:kern w:val="0"/>
                <w:szCs w:val="21"/>
                <w:lang w:bidi="ar"/>
              </w:rPr>
              <w:t>陕西省企业综合服务应用平台系统商用密码应用安全性评估：</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1.商用密码应用安全性评估服务内容</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依据GB/T39786-2021《信息系统密码应用基本要求》等国家和行业商用密码相关规范标准，在服务期内，对</w:t>
            </w:r>
            <w:r>
              <w:rPr>
                <w:rFonts w:hint="eastAsia" w:ascii="宋体" w:hAnsi="宋体" w:eastAsia="宋体" w:cs="宋体"/>
                <w:color w:val="auto"/>
                <w:kern w:val="0"/>
                <w:szCs w:val="21"/>
                <w:lang w:bidi="ar"/>
              </w:rPr>
              <w:t>陕西省企业综合服务应用平台系统</w:t>
            </w:r>
            <w:r>
              <w:rPr>
                <w:rFonts w:hint="eastAsia" w:ascii="宋体" w:hAnsi="宋体" w:eastAsia="宋体" w:cs="仿宋"/>
                <w:color w:val="auto"/>
                <w:szCs w:val="21"/>
              </w:rPr>
              <w:t>开展密码应用安全性评估，评估内容为：商用密码总体要求测评、密码技术应用测评、密钥管理测评、安全管理测评。测评后，出具加盖检测机构印章的《密码应用安全评估报告》纸质一式三份。</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2.商用密码应用安全性评估服务技术要求</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(1） 商用密码总体测评要求</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1）密码算法合规性测评：信息系统中使用的密码算法是否符合法律、法规的规定和密码相关国家标准、行业标准的有关要求。</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2）密码技术合规性测评：信息系统中使用的密码技术是否遵循密码相关国家标准和行业标准。</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3）密码产品合规性测评：信息系统中使用的密码产品与密码模块是否通过国家密码管理部门核准。</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4）密码服务合规性测评：信息系统中使用的密码服务是否通过国家密码管理部门许可。</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（2) 密码技术应用测评</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从物理和环境、网络和通信、设备和计算、应用和数据4个层面对信息系统中应用的密码技术进行分析与评估。</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物理和环境层面测评：分析评估信息系统是否合理、合规地利用商用密码完整性、真实性功能，对影响信息系统安全防护效能的物理和环境层面因素进行保护。包括但不限于下列典型因素：重要场所的物理访问控制，监控设备的物理访问控制，以及物理访问记录、监控信息等敏感信息数据完整性。</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网络和通信层面测评：分析评估信息系统是否合理、合规地利用商用密码机密性、完整性、真实性功能，对影响信息系统安全防护效能的网络和通信层面因素进行保护。包括但不限于下列典型因素：安全认证连接到内部网络的设备，通信双方的身份认证过程，通信数据完整性，敏感信息数据字段机密性，网络边界访问控制信息完整性，系统资源访问控制信息完整性，安全设备、安全组件的集中管理方式和信息传输通道。</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设备和计算层面测评：分析评估信息系统是否合理、合规地利用商用密码机密性、完整性、真实性功能，对影响信息系统安全防护效能的设备和计算层面因素进行保护。包括但不限于下列典型因素：登录信息系统设备和计算环境的用户身份鉴别过程，系统设备和计算环境资源访问控制信息完整性，重要信息资源敏感标记完整性，重要程序或文件完整性，信息系统设备和计算环境的日志记录完整性。</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应用和数据层面测评：分析评估信息系统是否合理、合规地利用商用密码机密性、完整性、真实性以及不可否认性功能，对影响信息系统安全防护效能的应用和数据层面因素进行保护。包括但不限于下列典型因素：登录信息系统应用和数据操作环境的用户身份鉴别过程，系统应用和数据操作环境资源访问控制信息完整性，重要信息资源敏感标记完整性，重要数据传输过程的机密性、完整性，重要信息存储过程的机密性、完整性，重要程序的加载和卸载过程，信息系统应用相关实体行为不可否认性，信息系统应用和数据操作环境的日志记录完整性。</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(3)密钥管理测评</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对影响商用密码防护效能的密钥生命周期相关环节，以及相关环节管理和策略制定的全过程进行分析与评估。密钥生命周期相关环节包括但不限于下列典型环节：密钥生成，密钥存储，密钥分发，密钥导入，密钥导出，密钥使用，密钥备份，密钥恢复，密钥归档，密钥销毁。</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(4)安全管理测评</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对影响商用密码防护效能的管理制度与措施进行分析与评估。管理制度与措施包括但不限于下列典型维度：安全管理制度，人员管控，信息系统实施，应急预案。</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1）安全管理制度维度，包括但不限于下列内容与措施：密码建设、运维、人员、设备、密钥管理内容，密码相关操作规范、安全操作规范，安全管理制度的合理性和适用性论证与审定，安全管理制度的改进和修订，安全管理制度的发布，安全管理制度的执行。</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2）人员管控维度，包括但不限于下列内容与措施：了解并遵守密码相关法律法规密码产品使用，关键岗位划分，相关人员职责与权限划分，岗位责任制与人员制约、监督机制，管理和使用账号，人员培训、人员选拔，人员考核、奖惩与调离，人员保密措施。</w:t>
            </w:r>
          </w:p>
          <w:p>
            <w:pPr>
              <w:widowControl w:val="0"/>
              <w:snapToGrid w:val="0"/>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rPr>
              <w:t>3）信息系统实施维度，包括但不限于下列内容与措施：信息系统规划，信息系统建设方案，信息系统密码产品、服务选用，信息系统运行前与定期评估，信息系统整改。</w:t>
            </w:r>
          </w:p>
          <w:p>
            <w:pPr>
              <w:widowControl w:val="0"/>
              <w:snapToGrid w:val="0"/>
              <w:spacing w:line="360" w:lineRule="auto"/>
              <w:ind w:firstLine="420" w:firstLineChars="200"/>
              <w:rPr>
                <w:rFonts w:ascii="宋体" w:hAnsi="宋体" w:eastAsia="宋体" w:cs="Times New Roman"/>
                <w:b/>
                <w:bCs/>
                <w:color w:val="auto"/>
                <w:szCs w:val="21"/>
              </w:rPr>
            </w:pPr>
            <w:r>
              <w:rPr>
                <w:rFonts w:hint="eastAsia" w:ascii="宋体" w:hAnsi="宋体" w:eastAsia="宋体" w:cs="仿宋"/>
                <w:color w:val="auto"/>
                <w:szCs w:val="21"/>
              </w:rPr>
              <w:t>4）应急预案维度，包括但不限于下列内容与措施：应急预案，应急资源准备，应急情况与处置，上级主管部门应急报告，同级密码主管部门应急报告。</w:t>
            </w:r>
          </w:p>
        </w:tc>
      </w:tr>
    </w:tbl>
    <w:p>
      <w:pPr>
        <w:spacing w:line="360" w:lineRule="auto"/>
        <w:ind w:firstLine="420" w:firstLineChars="200"/>
        <w:rPr>
          <w:rFonts w:ascii="宋体" w:hAnsi="宋体" w:eastAsia="宋体" w:cs="宋体"/>
          <w:color w:val="auto"/>
          <w:kern w:val="0"/>
          <w:szCs w:val="21"/>
        </w:rPr>
      </w:pPr>
    </w:p>
    <w:bookmarkEnd w:id="9"/>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2743452"/>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5AEF7"/>
    <w:multiLevelType w:val="singleLevel"/>
    <w:tmpl w:val="F0D5AEF7"/>
    <w:lvl w:ilvl="0" w:tentative="0">
      <w:start w:val="1"/>
      <w:numFmt w:val="decimal"/>
      <w:suff w:val="nothing"/>
      <w:lvlText w:val="%1、"/>
      <w:lvlJc w:val="left"/>
    </w:lvl>
  </w:abstractNum>
  <w:abstractNum w:abstractNumId="1">
    <w:nsid w:val="2D6E113E"/>
    <w:multiLevelType w:val="multilevel"/>
    <w:tmpl w:val="2D6E113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MmZlNzc2NmM0MWYzMjA1ZDFiODVjNjA3OTJjNTkifQ=="/>
  </w:docVars>
  <w:rsids>
    <w:rsidRoot w:val="00067604"/>
    <w:rsid w:val="000147C9"/>
    <w:rsid w:val="00017DB9"/>
    <w:rsid w:val="00067604"/>
    <w:rsid w:val="00074FC9"/>
    <w:rsid w:val="00075A9D"/>
    <w:rsid w:val="00090C3C"/>
    <w:rsid w:val="000F5CF4"/>
    <w:rsid w:val="0011485B"/>
    <w:rsid w:val="00135C84"/>
    <w:rsid w:val="00144786"/>
    <w:rsid w:val="00145EAC"/>
    <w:rsid w:val="001829A1"/>
    <w:rsid w:val="0019176C"/>
    <w:rsid w:val="001C37DC"/>
    <w:rsid w:val="002213D1"/>
    <w:rsid w:val="002616C9"/>
    <w:rsid w:val="002B2C81"/>
    <w:rsid w:val="002D6653"/>
    <w:rsid w:val="00324005"/>
    <w:rsid w:val="003274AA"/>
    <w:rsid w:val="003556A3"/>
    <w:rsid w:val="00362E84"/>
    <w:rsid w:val="00374022"/>
    <w:rsid w:val="003C2E3B"/>
    <w:rsid w:val="003F09C3"/>
    <w:rsid w:val="004132A1"/>
    <w:rsid w:val="004146BD"/>
    <w:rsid w:val="00462668"/>
    <w:rsid w:val="004773E7"/>
    <w:rsid w:val="004A7D44"/>
    <w:rsid w:val="004E2473"/>
    <w:rsid w:val="00511E74"/>
    <w:rsid w:val="00552BCB"/>
    <w:rsid w:val="005E3D50"/>
    <w:rsid w:val="0060620D"/>
    <w:rsid w:val="00611D86"/>
    <w:rsid w:val="006A480D"/>
    <w:rsid w:val="006B0CE5"/>
    <w:rsid w:val="006D6956"/>
    <w:rsid w:val="00711060"/>
    <w:rsid w:val="007415BF"/>
    <w:rsid w:val="007C1048"/>
    <w:rsid w:val="007E66A3"/>
    <w:rsid w:val="007F4598"/>
    <w:rsid w:val="0080173B"/>
    <w:rsid w:val="00831116"/>
    <w:rsid w:val="008431DE"/>
    <w:rsid w:val="00844C85"/>
    <w:rsid w:val="008D4C6F"/>
    <w:rsid w:val="0092693A"/>
    <w:rsid w:val="00944AB1"/>
    <w:rsid w:val="00960304"/>
    <w:rsid w:val="0099007C"/>
    <w:rsid w:val="009B1514"/>
    <w:rsid w:val="009B3458"/>
    <w:rsid w:val="009B7344"/>
    <w:rsid w:val="009C088C"/>
    <w:rsid w:val="00A03A77"/>
    <w:rsid w:val="00A04E51"/>
    <w:rsid w:val="00A23BAB"/>
    <w:rsid w:val="00A253E1"/>
    <w:rsid w:val="00A344E9"/>
    <w:rsid w:val="00A35A30"/>
    <w:rsid w:val="00A5494B"/>
    <w:rsid w:val="00A60860"/>
    <w:rsid w:val="00A8728D"/>
    <w:rsid w:val="00AF0075"/>
    <w:rsid w:val="00AF0095"/>
    <w:rsid w:val="00AF21BD"/>
    <w:rsid w:val="00AF372B"/>
    <w:rsid w:val="00B637AA"/>
    <w:rsid w:val="00B73D81"/>
    <w:rsid w:val="00B85542"/>
    <w:rsid w:val="00B90B93"/>
    <w:rsid w:val="00BB4268"/>
    <w:rsid w:val="00BF3899"/>
    <w:rsid w:val="00C05736"/>
    <w:rsid w:val="00C07C49"/>
    <w:rsid w:val="00C13A63"/>
    <w:rsid w:val="00C338DE"/>
    <w:rsid w:val="00D03333"/>
    <w:rsid w:val="00D50B1E"/>
    <w:rsid w:val="00DD02A6"/>
    <w:rsid w:val="00DD1601"/>
    <w:rsid w:val="00DE0628"/>
    <w:rsid w:val="00E54F2D"/>
    <w:rsid w:val="00E56B7D"/>
    <w:rsid w:val="00E871CD"/>
    <w:rsid w:val="00E90CF1"/>
    <w:rsid w:val="00EC7FA1"/>
    <w:rsid w:val="00ED31E4"/>
    <w:rsid w:val="00ED5F1B"/>
    <w:rsid w:val="00F52336"/>
    <w:rsid w:val="00FE0F42"/>
    <w:rsid w:val="00FE1593"/>
    <w:rsid w:val="00FE2D40"/>
    <w:rsid w:val="00FF2B50"/>
    <w:rsid w:val="00FF3CA8"/>
    <w:rsid w:val="02400D1B"/>
    <w:rsid w:val="0B053BCD"/>
    <w:rsid w:val="10590C56"/>
    <w:rsid w:val="11355F93"/>
    <w:rsid w:val="1A025A78"/>
    <w:rsid w:val="1C876194"/>
    <w:rsid w:val="1E736EB6"/>
    <w:rsid w:val="2A822761"/>
    <w:rsid w:val="2CD05027"/>
    <w:rsid w:val="2DFDFF38"/>
    <w:rsid w:val="2E2738B1"/>
    <w:rsid w:val="2E276B82"/>
    <w:rsid w:val="3301262C"/>
    <w:rsid w:val="37286900"/>
    <w:rsid w:val="37C5051E"/>
    <w:rsid w:val="3836465C"/>
    <w:rsid w:val="3D976FD8"/>
    <w:rsid w:val="3FBF4F96"/>
    <w:rsid w:val="47A40B11"/>
    <w:rsid w:val="48065B33"/>
    <w:rsid w:val="4ACF02EA"/>
    <w:rsid w:val="4F6572FD"/>
    <w:rsid w:val="56374B1D"/>
    <w:rsid w:val="57820118"/>
    <w:rsid w:val="57EE83C2"/>
    <w:rsid w:val="59A809A7"/>
    <w:rsid w:val="5C8332D2"/>
    <w:rsid w:val="5D514877"/>
    <w:rsid w:val="67FECA39"/>
    <w:rsid w:val="6FAEFBDC"/>
    <w:rsid w:val="714E116D"/>
    <w:rsid w:val="716C7BA1"/>
    <w:rsid w:val="72BE4526"/>
    <w:rsid w:val="7A3E3B4E"/>
    <w:rsid w:val="7BC215DF"/>
    <w:rsid w:val="7CBA1F94"/>
    <w:rsid w:val="7DAB46BB"/>
    <w:rsid w:val="7ED9D15E"/>
    <w:rsid w:val="A16708BF"/>
    <w:rsid w:val="DBFB2E3D"/>
    <w:rsid w:val="DDBACEA4"/>
    <w:rsid w:val="DFFFD7F4"/>
    <w:rsid w:val="FD755E44"/>
    <w:rsid w:val="FEFFCC38"/>
    <w:rsid w:val="FFDD12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0" w:lineRule="atLeast"/>
      <w:jc w:val="both"/>
    </w:pPr>
    <w:rPr>
      <w:rFonts w:ascii="微软雅黑" w:hAnsi="微软雅黑" w:eastAsia="微软雅黑" w:cstheme="minorBidi"/>
      <w:kern w:val="2"/>
      <w:sz w:val="21"/>
      <w:szCs w:val="22"/>
      <w:lang w:val="en-US" w:eastAsia="zh-CN" w:bidi="ar-SA"/>
    </w:rPr>
  </w:style>
  <w:style w:type="paragraph" w:styleId="2">
    <w:name w:val="heading 1"/>
    <w:basedOn w:val="1"/>
    <w:next w:val="1"/>
    <w:link w:val="21"/>
    <w:qFormat/>
    <w:uiPriority w:val="9"/>
    <w:pPr>
      <w:spacing w:before="100" w:beforeAutospacing="1" w:after="100" w:afterAutospacing="1" w:line="240" w:lineRule="auto"/>
      <w:jc w:val="left"/>
      <w:outlineLvl w:val="0"/>
    </w:pPr>
    <w:rPr>
      <w:rFonts w:ascii="宋体" w:hAnsi="宋体" w:eastAsia="宋体" w:cs="宋体"/>
      <w:b/>
      <w:bCs/>
      <w:kern w:val="36"/>
      <w:sz w:val="48"/>
      <w:szCs w:val="48"/>
    </w:rPr>
  </w:style>
  <w:style w:type="paragraph" w:styleId="3">
    <w:name w:val="heading 2"/>
    <w:basedOn w:val="1"/>
    <w:next w:val="1"/>
    <w:link w:val="64"/>
    <w:unhideWhenUsed/>
    <w:qFormat/>
    <w:uiPriority w:val="9"/>
    <w:pPr>
      <w:keepNext/>
      <w:keepLines/>
      <w:spacing w:before="260" w:after="260" w:line="416" w:lineRule="atLeast"/>
      <w:outlineLvl w:val="1"/>
    </w:pPr>
    <w:rPr>
      <w:rFonts w:eastAsia="宋体" w:asciiTheme="majorHAnsi" w:hAnsiTheme="majorHAnsi" w:cstheme="majorBidi"/>
      <w:b/>
      <w:bCs/>
      <w:sz w:val="30"/>
      <w:szCs w:val="32"/>
    </w:rPr>
  </w:style>
  <w:style w:type="paragraph" w:styleId="4">
    <w:name w:val="heading 3"/>
    <w:basedOn w:val="1"/>
    <w:next w:val="1"/>
    <w:link w:val="22"/>
    <w:qFormat/>
    <w:uiPriority w:val="9"/>
    <w:pPr>
      <w:spacing w:before="100" w:beforeAutospacing="1" w:after="100" w:afterAutospacing="1" w:line="240" w:lineRule="auto"/>
      <w:jc w:val="left"/>
      <w:outlineLvl w:val="2"/>
    </w:pPr>
    <w:rPr>
      <w:rFonts w:ascii="宋体" w:hAnsi="宋体" w:eastAsia="宋体" w:cs="宋体"/>
      <w:b/>
      <w:bCs/>
      <w:kern w:val="0"/>
      <w:sz w:val="28"/>
      <w:szCs w:val="27"/>
    </w:rPr>
  </w:style>
  <w:style w:type="paragraph" w:styleId="5">
    <w:name w:val="heading 4"/>
    <w:basedOn w:val="1"/>
    <w:next w:val="1"/>
    <w:link w:val="65"/>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tLeast"/>
      <w:outlineLvl w:val="4"/>
    </w:pPr>
    <w:rPr>
      <w:b/>
      <w:bCs/>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62"/>
    <w:semiHidden/>
    <w:unhideWhenUsed/>
    <w:qFormat/>
    <w:uiPriority w:val="99"/>
    <w:pPr>
      <w:widowControl w:val="0"/>
      <w:spacing w:line="240" w:lineRule="auto"/>
      <w:jc w:val="left"/>
    </w:pPr>
    <w:rPr>
      <w:rFonts w:asciiTheme="minorHAnsi" w:hAnsiTheme="minorHAnsi" w:eastAsiaTheme="minorEastAsia"/>
    </w:rPr>
  </w:style>
  <w:style w:type="paragraph" w:styleId="8">
    <w:name w:val="Body Text"/>
    <w:basedOn w:val="1"/>
    <w:next w:val="1"/>
    <w:link w:val="67"/>
    <w:qFormat/>
    <w:uiPriority w:val="99"/>
    <w:rPr>
      <w:rFonts w:ascii="宋体" w:hAnsi="宋体" w:eastAsia="宋体"/>
      <w:sz w:val="24"/>
    </w:rPr>
  </w:style>
  <w:style w:type="paragraph" w:styleId="9">
    <w:name w:val="toc 3"/>
    <w:basedOn w:val="1"/>
    <w:next w:val="1"/>
    <w:unhideWhenUsed/>
    <w:qFormat/>
    <w:uiPriority w:val="39"/>
    <w:pPr>
      <w:ind w:left="840" w:leftChars="400"/>
    </w:pPr>
  </w:style>
  <w:style w:type="paragraph" w:styleId="10">
    <w:name w:val="footer"/>
    <w:basedOn w:val="1"/>
    <w:link w:val="61"/>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60"/>
    <w:unhideWhenUsed/>
    <w:qFormat/>
    <w:uiPriority w:val="99"/>
    <w:pP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styleId="15">
    <w:name w:val="annotation subject"/>
    <w:basedOn w:val="7"/>
    <w:next w:val="7"/>
    <w:link w:val="69"/>
    <w:semiHidden/>
    <w:unhideWhenUsed/>
    <w:qFormat/>
    <w:uiPriority w:val="99"/>
    <w:pPr>
      <w:widowControl/>
      <w:spacing w:line="0" w:lineRule="atLeast"/>
    </w:pPr>
    <w:rPr>
      <w:rFonts w:ascii="微软雅黑" w:hAnsi="微软雅黑" w:eastAsia="微软雅黑"/>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2"/>
    <w:qFormat/>
    <w:uiPriority w:val="9"/>
    <w:rPr>
      <w:rFonts w:ascii="宋体" w:hAnsi="宋体" w:eastAsia="宋体" w:cs="宋体"/>
      <w:b/>
      <w:bCs/>
      <w:kern w:val="36"/>
      <w:sz w:val="48"/>
      <w:szCs w:val="48"/>
    </w:rPr>
  </w:style>
  <w:style w:type="character" w:customStyle="1" w:styleId="22">
    <w:name w:val="标题 3 字符"/>
    <w:basedOn w:val="18"/>
    <w:link w:val="4"/>
    <w:qFormat/>
    <w:uiPriority w:val="9"/>
    <w:rPr>
      <w:rFonts w:ascii="宋体" w:hAnsi="宋体" w:eastAsia="宋体" w:cs="宋体"/>
      <w:b/>
      <w:bCs/>
      <w:kern w:val="0"/>
      <w:sz w:val="28"/>
      <w:szCs w:val="27"/>
    </w:rPr>
  </w:style>
  <w:style w:type="character" w:customStyle="1" w:styleId="23">
    <w:name w:val="标题 5 字符"/>
    <w:basedOn w:val="18"/>
    <w:link w:val="6"/>
    <w:semiHidden/>
    <w:qFormat/>
    <w:uiPriority w:val="9"/>
    <w:rPr>
      <w:b/>
      <w:bCs/>
      <w:sz w:val="28"/>
      <w:szCs w:val="28"/>
    </w:rPr>
  </w:style>
  <w:style w:type="character" w:customStyle="1" w:styleId="24">
    <w:name w:val="population-projectoverview"/>
    <w:basedOn w:val="18"/>
    <w:qFormat/>
    <w:uiPriority w:val="0"/>
  </w:style>
  <w:style w:type="character" w:customStyle="1" w:styleId="25">
    <w:name w:val="population-hassuppliergpx"/>
    <w:basedOn w:val="18"/>
    <w:qFormat/>
    <w:uiPriority w:val="0"/>
  </w:style>
  <w:style w:type="character" w:customStyle="1" w:styleId="26">
    <w:name w:val="investigation-researchstatusnew"/>
    <w:basedOn w:val="18"/>
    <w:qFormat/>
    <w:uiPriority w:val="0"/>
  </w:style>
  <w:style w:type="character" w:customStyle="1" w:styleId="27">
    <w:name w:val="implementation-subcontracttotalgpx"/>
    <w:basedOn w:val="18"/>
    <w:qFormat/>
    <w:uiPriority w:val="0"/>
  </w:style>
  <w:style w:type="paragraph" w:customStyle="1" w:styleId="28">
    <w:name w:val="implementation-reservestatusnew"/>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29">
    <w:name w:val="_gpx_procurement_environment"/>
    <w:basedOn w:val="18"/>
    <w:qFormat/>
    <w:uiPriority w:val="0"/>
  </w:style>
  <w:style w:type="character" w:customStyle="1" w:styleId="30">
    <w:name w:val="_gpx_procurement_efficient"/>
    <w:basedOn w:val="18"/>
    <w:qFormat/>
    <w:uiPriority w:val="0"/>
  </w:style>
  <w:style w:type="character" w:customStyle="1" w:styleId="31">
    <w:name w:val="implementation-govservicegpx"/>
    <w:basedOn w:val="18"/>
    <w:qFormat/>
    <w:uiPriority w:val="0"/>
  </w:style>
  <w:style w:type="character" w:customStyle="1" w:styleId="32">
    <w:name w:val="implementation-govinformationstatus"/>
    <w:basedOn w:val="18"/>
    <w:qFormat/>
    <w:uiPriority w:val="0"/>
  </w:style>
  <w:style w:type="character" w:customStyle="1" w:styleId="33">
    <w:name w:val="implementation-sciencestatus"/>
    <w:basedOn w:val="18"/>
    <w:qFormat/>
    <w:uiPriority w:val="0"/>
  </w:style>
  <w:style w:type="character" w:customStyle="1" w:styleId="34">
    <w:name w:val="implementation-yearmore"/>
    <w:basedOn w:val="18"/>
    <w:qFormat/>
    <w:uiPriority w:val="0"/>
  </w:style>
  <w:style w:type="character" w:customStyle="1" w:styleId="35">
    <w:name w:val="subcontract-jointbiddingstatus"/>
    <w:basedOn w:val="18"/>
    <w:qFormat/>
    <w:uiPriority w:val="0"/>
  </w:style>
  <w:style w:type="character" w:customStyle="1" w:styleId="36">
    <w:name w:val="subcontract-subcontractstatus"/>
    <w:basedOn w:val="18"/>
    <w:qFormat/>
    <w:uiPriority w:val="0"/>
  </w:style>
  <w:style w:type="character" w:customStyle="1" w:styleId="37">
    <w:name w:val="subcontract-legalcontracttype"/>
    <w:basedOn w:val="18"/>
    <w:qFormat/>
    <w:uiPriority w:val="0"/>
  </w:style>
  <w:style w:type="character" w:customStyle="1" w:styleId="38">
    <w:name w:val="subcontract-performperiod"/>
    <w:basedOn w:val="18"/>
    <w:qFormat/>
    <w:uiPriority w:val="0"/>
  </w:style>
  <w:style w:type="character" w:customStyle="1" w:styleId="39">
    <w:name w:val="subcontract-performaddress"/>
    <w:basedOn w:val="18"/>
    <w:qFormat/>
    <w:uiPriority w:val="0"/>
  </w:style>
  <w:style w:type="character" w:customStyle="1" w:styleId="40">
    <w:name w:val="subcontract-paymentplansgpx"/>
    <w:basedOn w:val="18"/>
    <w:qFormat/>
    <w:uiPriority w:val="0"/>
  </w:style>
  <w:style w:type="character" w:customStyle="1" w:styleId="41">
    <w:name w:val="subcontract-deliverystandard"/>
    <w:basedOn w:val="18"/>
    <w:qFormat/>
    <w:uiPriority w:val="0"/>
  </w:style>
  <w:style w:type="character" w:customStyle="1" w:styleId="42">
    <w:name w:val="subcontract-maintenance"/>
    <w:basedOn w:val="18"/>
    <w:qFormat/>
    <w:uiPriority w:val="0"/>
  </w:style>
  <w:style w:type="character" w:customStyle="1" w:styleId="43">
    <w:name w:val="subcontract-intellectualproperty"/>
    <w:basedOn w:val="18"/>
    <w:qFormat/>
    <w:uiPriority w:val="0"/>
  </w:style>
  <w:style w:type="character" w:customStyle="1" w:styleId="44">
    <w:name w:val="subcontract-risksharing"/>
    <w:basedOn w:val="18"/>
    <w:qFormat/>
    <w:uiPriority w:val="0"/>
  </w:style>
  <w:style w:type="character" w:customStyle="1" w:styleId="45">
    <w:name w:val="subcontract-disputeresolution"/>
    <w:basedOn w:val="18"/>
    <w:qFormat/>
    <w:uiPriority w:val="0"/>
  </w:style>
  <w:style w:type="character" w:customStyle="1" w:styleId="46">
    <w:name w:val="subcontract-otherterms"/>
    <w:basedOn w:val="18"/>
    <w:qFormat/>
    <w:uiPriority w:val="0"/>
  </w:style>
  <w:style w:type="character" w:customStyle="1" w:styleId="47">
    <w:name w:val="subcontract-acceptancetype"/>
    <w:basedOn w:val="18"/>
    <w:qFormat/>
    <w:uiPriority w:val="0"/>
  </w:style>
  <w:style w:type="character" w:customStyle="1" w:styleId="48">
    <w:name w:val="subcontract-invitesupplierstatus"/>
    <w:basedOn w:val="18"/>
    <w:qFormat/>
    <w:uiPriority w:val="0"/>
  </w:style>
  <w:style w:type="character" w:customStyle="1" w:styleId="49">
    <w:name w:val="subcontract-inviteexpertstatus"/>
    <w:basedOn w:val="18"/>
    <w:qFormat/>
    <w:uiPriority w:val="0"/>
  </w:style>
  <w:style w:type="character" w:customStyle="1" w:styleId="50">
    <w:name w:val="subcontract-inviteserviceobjectstatus"/>
    <w:basedOn w:val="18"/>
    <w:qFormat/>
    <w:uiPriority w:val="0"/>
  </w:style>
  <w:style w:type="character" w:customStyle="1" w:styleId="51">
    <w:name w:val="subcontract-professionaldetectionstatus"/>
    <w:basedOn w:val="18"/>
    <w:qFormat/>
    <w:uiPriority w:val="0"/>
  </w:style>
  <w:style w:type="character" w:customStyle="1" w:styleId="52">
    <w:name w:val="subcontract-acceptanceprocesstype"/>
    <w:basedOn w:val="18"/>
    <w:qFormat/>
    <w:uiPriority w:val="0"/>
  </w:style>
  <w:style w:type="character" w:customStyle="1" w:styleId="53">
    <w:name w:val="subcontract-otherpreparations"/>
    <w:basedOn w:val="18"/>
    <w:qFormat/>
    <w:uiPriority w:val="0"/>
  </w:style>
  <w:style w:type="character" w:customStyle="1" w:styleId="54">
    <w:name w:val="subcontract-goodscontent"/>
    <w:basedOn w:val="18"/>
    <w:qFormat/>
    <w:uiPriority w:val="0"/>
  </w:style>
  <w:style w:type="character" w:customStyle="1" w:styleId="55">
    <w:name w:val="subcontract-businesscontent"/>
    <w:basedOn w:val="18"/>
    <w:qFormat/>
    <w:uiPriority w:val="0"/>
  </w:style>
  <w:style w:type="character" w:customStyle="1" w:styleId="56">
    <w:name w:val="subcontract-acceptancecriteria"/>
    <w:basedOn w:val="18"/>
    <w:qFormat/>
    <w:uiPriority w:val="0"/>
  </w:style>
  <w:style w:type="character" w:customStyle="1" w:styleId="57">
    <w:name w:val="subcontract-othercontent"/>
    <w:basedOn w:val="18"/>
    <w:qFormat/>
    <w:uiPriority w:val="0"/>
  </w:style>
  <w:style w:type="character" w:customStyle="1" w:styleId="58">
    <w:name w:val="risk-riskresponsegpx"/>
    <w:basedOn w:val="18"/>
    <w:qFormat/>
    <w:uiPriority w:val="0"/>
  </w:style>
  <w:style w:type="paragraph" w:styleId="59">
    <w:name w:val="List Paragraph"/>
    <w:basedOn w:val="1"/>
    <w:qFormat/>
    <w:uiPriority w:val="34"/>
    <w:pPr>
      <w:ind w:firstLine="420" w:firstLineChars="200"/>
    </w:pPr>
  </w:style>
  <w:style w:type="character" w:customStyle="1" w:styleId="60">
    <w:name w:val="页眉 字符"/>
    <w:basedOn w:val="18"/>
    <w:link w:val="11"/>
    <w:qFormat/>
    <w:uiPriority w:val="99"/>
    <w:rPr>
      <w:sz w:val="18"/>
      <w:szCs w:val="18"/>
    </w:rPr>
  </w:style>
  <w:style w:type="character" w:customStyle="1" w:styleId="61">
    <w:name w:val="页脚 字符"/>
    <w:basedOn w:val="18"/>
    <w:link w:val="10"/>
    <w:qFormat/>
    <w:uiPriority w:val="99"/>
    <w:rPr>
      <w:sz w:val="18"/>
      <w:szCs w:val="18"/>
    </w:rPr>
  </w:style>
  <w:style w:type="character" w:customStyle="1" w:styleId="62">
    <w:name w:val="批注文字 字符"/>
    <w:basedOn w:val="18"/>
    <w:link w:val="7"/>
    <w:semiHidden/>
    <w:qFormat/>
    <w:uiPriority w:val="99"/>
    <w:rPr>
      <w:rFonts w:asciiTheme="minorHAnsi" w:hAnsiTheme="minorHAnsi" w:eastAsiaTheme="minorEastAsia"/>
    </w:rPr>
  </w:style>
  <w:style w:type="paragraph" w:customStyle="1" w:styleId="63">
    <w:name w:val="my正文"/>
    <w:basedOn w:val="1"/>
    <w:qFormat/>
    <w:uiPriority w:val="0"/>
    <w:pPr>
      <w:widowControl w:val="0"/>
      <w:spacing w:line="360" w:lineRule="auto"/>
      <w:ind w:firstLine="480" w:firstLineChars="200"/>
    </w:pPr>
    <w:rPr>
      <w:rFonts w:asciiTheme="minorHAnsi" w:hAnsiTheme="minorHAnsi" w:eastAsiaTheme="minorEastAsia"/>
      <w:szCs w:val="20"/>
    </w:rPr>
  </w:style>
  <w:style w:type="character" w:customStyle="1" w:styleId="64">
    <w:name w:val="标题 2 字符"/>
    <w:basedOn w:val="18"/>
    <w:link w:val="3"/>
    <w:qFormat/>
    <w:uiPriority w:val="9"/>
    <w:rPr>
      <w:rFonts w:eastAsia="宋体" w:asciiTheme="majorHAnsi" w:hAnsiTheme="majorHAnsi" w:cstheme="majorBidi"/>
      <w:b/>
      <w:bCs/>
      <w:sz w:val="30"/>
      <w:szCs w:val="32"/>
    </w:rPr>
  </w:style>
  <w:style w:type="character" w:customStyle="1" w:styleId="65">
    <w:name w:val="标题 4 字符"/>
    <w:basedOn w:val="18"/>
    <w:link w:val="5"/>
    <w:qFormat/>
    <w:uiPriority w:val="9"/>
    <w:rPr>
      <w:rFonts w:asciiTheme="majorHAnsi" w:hAnsiTheme="majorHAnsi" w:eastAsiaTheme="majorEastAsia" w:cstheme="majorBidi"/>
      <w:b/>
      <w:bCs/>
      <w:sz w:val="28"/>
      <w:szCs w:val="28"/>
    </w:rPr>
  </w:style>
  <w:style w:type="paragraph" w:customStyle="1" w:styleId="66">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7">
    <w:name w:val="正文文本 字符"/>
    <w:basedOn w:val="18"/>
    <w:link w:val="8"/>
    <w:qFormat/>
    <w:uiPriority w:val="99"/>
    <w:rPr>
      <w:rFonts w:ascii="宋体" w:hAnsi="宋体" w:eastAsia="宋体"/>
      <w:kern w:val="2"/>
      <w:sz w:val="24"/>
      <w:szCs w:val="22"/>
    </w:rPr>
  </w:style>
  <w:style w:type="table" w:customStyle="1" w:styleId="68">
    <w:name w:val="Table Normal"/>
    <w:semiHidden/>
    <w:unhideWhenUsed/>
    <w:qFormat/>
    <w:uiPriority w:val="0"/>
    <w:rPr>
      <w:rFonts w:ascii="Calibri" w:hAnsi="Calibri"/>
    </w:rPr>
    <w:tblPr>
      <w:tblCellMar>
        <w:top w:w="0" w:type="dxa"/>
        <w:left w:w="0" w:type="dxa"/>
        <w:bottom w:w="0" w:type="dxa"/>
        <w:right w:w="0" w:type="dxa"/>
      </w:tblCellMar>
    </w:tblPr>
  </w:style>
  <w:style w:type="character" w:customStyle="1" w:styleId="69">
    <w:name w:val="批注主题 字符"/>
    <w:basedOn w:val="62"/>
    <w:link w:val="15"/>
    <w:semiHidden/>
    <w:qFormat/>
    <w:uiPriority w:val="99"/>
    <w:rPr>
      <w:rFonts w:ascii="微软雅黑" w:hAnsi="微软雅黑" w:eastAsia="微软雅黑"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0CFF78B-21CC-4668-9C3C-07344903135F}">
  <ds:schemaRefs/>
</ds:datastoreItem>
</file>

<file path=docProps/app.xml><?xml version="1.0" encoding="utf-8"?>
<Properties xmlns="http://schemas.openxmlformats.org/officeDocument/2006/extended-properties" xmlns:vt="http://schemas.openxmlformats.org/officeDocument/2006/docPropsVTypes">
  <Template>Normal</Template>
  <Pages>65</Pages>
  <Words>6765</Words>
  <Characters>38562</Characters>
  <Lines>321</Lines>
  <Paragraphs>90</Paragraphs>
  <TotalTime>7</TotalTime>
  <ScaleCrop>false</ScaleCrop>
  <LinksUpToDate>false</LinksUpToDate>
  <CharactersWithSpaces>45237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2023-11-30T00:46:00Z</dcterms:created>
  <dc:creator>asus</dc:creator>
  <cp:lastModifiedBy>姚杰远</cp:lastModifiedBy>
  <dcterms:modified xsi:type="dcterms:W3CDTF">2023-12-06T09:00:19Z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6B5F694D9A064CA0A56C360A0F9139BC_13</vt:lpwstr>
  </property>
</Properties>
</file>