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default"/>
          <w:sz w:val="44"/>
          <w:szCs w:val="44"/>
          <w:lang w:val="en-US" w:eastAsia="zh-CN"/>
        </w:rPr>
      </w:pPr>
      <w:r>
        <w:rPr>
          <w:rFonts w:hint="eastAsia"/>
          <w:sz w:val="44"/>
          <w:szCs w:val="44"/>
          <w:lang w:val="en-US" w:eastAsia="zh-CN"/>
        </w:rPr>
        <w:t>陕西学前师范学院高压电缆改迁工程</w:t>
      </w:r>
    </w:p>
    <w:p>
      <w:pPr>
        <w:pStyle w:val="2"/>
        <w:bidi w:val="0"/>
        <w:jc w:val="center"/>
        <w:rPr>
          <w:rFonts w:hint="eastAsia"/>
          <w:sz w:val="44"/>
          <w:szCs w:val="44"/>
        </w:rPr>
      </w:pPr>
      <w:r>
        <w:rPr>
          <w:rFonts w:hint="eastAsia"/>
          <w:sz w:val="44"/>
          <w:szCs w:val="44"/>
          <w:lang w:val="en-US" w:eastAsia="zh-CN"/>
        </w:rPr>
        <w:t>清单</w:t>
      </w:r>
      <w:r>
        <w:rPr>
          <w:rFonts w:hint="eastAsia"/>
          <w:sz w:val="44"/>
          <w:szCs w:val="44"/>
        </w:rPr>
        <w:t>编制说明</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b/>
          <w:bCs/>
          <w:sz w:val="24"/>
          <w:szCs w:val="24"/>
        </w:rPr>
      </w:pPr>
    </w:p>
    <w:p>
      <w:pPr>
        <w:keepNext w:val="0"/>
        <w:keepLines w:val="0"/>
        <w:pageBreakBefore w:val="0"/>
        <w:widowControl w:val="0"/>
        <w:kinsoku/>
        <w:wordWrap/>
        <w:overflowPunct/>
        <w:topLinePunct w:val="0"/>
        <w:autoSpaceDE/>
        <w:autoSpaceDN/>
        <w:bidi w:val="0"/>
        <w:adjustRightInd/>
        <w:snapToGrid w:val="0"/>
        <w:spacing w:before="0" w:after="0" w:line="360" w:lineRule="auto"/>
        <w:jc w:val="both"/>
        <w:textAlignment w:val="auto"/>
        <w:outlineLvl w:val="9"/>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一、工程概况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cs="宋体"/>
          <w:sz w:val="28"/>
          <w:szCs w:val="28"/>
          <w:lang w:val="en-US" w:eastAsia="zh-CN"/>
        </w:rPr>
      </w:pPr>
      <w:r>
        <w:rPr>
          <w:rFonts w:hint="eastAsia" w:ascii="宋体" w:hAnsi="宋体" w:eastAsia="宋体" w:cs="宋体"/>
          <w:sz w:val="28"/>
          <w:szCs w:val="28"/>
          <w:lang w:val="en-US" w:eastAsia="zh-CN"/>
        </w:rPr>
        <w:t>1、工程名称：</w:t>
      </w:r>
      <w:r>
        <w:rPr>
          <w:rFonts w:hint="eastAsia" w:ascii="宋体" w:hAnsi="宋体" w:cs="宋体"/>
          <w:sz w:val="28"/>
          <w:szCs w:val="28"/>
          <w:lang w:val="en-US" w:eastAsia="zh-CN"/>
        </w:rPr>
        <w:t>陕西学前师范学院高压电缆改迁工程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ascii="宋体" w:hAnsi="宋体" w:cs="宋体"/>
          <w:sz w:val="28"/>
          <w:szCs w:val="28"/>
          <w:lang w:val="en-US" w:eastAsia="zh-CN"/>
        </w:rPr>
      </w:pPr>
      <w:r>
        <w:rPr>
          <w:rFonts w:hint="eastAsia" w:ascii="宋体" w:hAnsi="宋体" w:eastAsia="宋体" w:cs="宋体"/>
          <w:sz w:val="28"/>
          <w:szCs w:val="28"/>
          <w:lang w:val="en-US" w:eastAsia="zh-CN"/>
        </w:rPr>
        <w:t>2、建设地点：</w:t>
      </w:r>
      <w:r>
        <w:rPr>
          <w:rFonts w:hint="eastAsia" w:ascii="宋体" w:hAnsi="宋体" w:cs="宋体"/>
          <w:sz w:val="28"/>
          <w:szCs w:val="28"/>
          <w:lang w:val="en-US" w:eastAsia="zh-CN"/>
        </w:rPr>
        <w:t>陕西西学前师范学院--长安区神禾二路101号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ascii="宋体" w:hAnsi="宋体" w:eastAsia="宋体" w:cs="宋体"/>
          <w:b/>
          <w:sz w:val="28"/>
          <w:szCs w:val="28"/>
          <w:lang w:val="en-US" w:eastAsia="zh-CN"/>
        </w:rPr>
      </w:pPr>
      <w:r>
        <w:rPr>
          <w:rFonts w:hint="eastAsia" w:ascii="宋体" w:hAnsi="宋体" w:eastAsia="宋体" w:cs="宋体"/>
          <w:sz w:val="28"/>
          <w:szCs w:val="28"/>
          <w:lang w:val="en-US" w:eastAsia="zh-CN"/>
        </w:rPr>
        <w:t>3、建设单位：</w:t>
      </w:r>
      <w:r>
        <w:rPr>
          <w:rFonts w:hint="eastAsia" w:ascii="宋体" w:hAnsi="宋体" w:cs="宋体"/>
          <w:sz w:val="28"/>
          <w:szCs w:val="28"/>
          <w:lang w:val="en-US" w:eastAsia="zh-CN"/>
        </w:rPr>
        <w:t>陕西学前师范学院</w:t>
      </w:r>
    </w:p>
    <w:p>
      <w:pPr>
        <w:keepNext w:val="0"/>
        <w:keepLines w:val="0"/>
        <w:pageBreakBefore w:val="0"/>
        <w:widowControl w:val="0"/>
        <w:numPr>
          <w:ilvl w:val="0"/>
          <w:numId w:val="1"/>
        </w:numPr>
        <w:kinsoku/>
        <w:wordWrap/>
        <w:overflowPunct/>
        <w:topLinePunct w:val="0"/>
        <w:autoSpaceDE/>
        <w:autoSpaceDN/>
        <w:bidi w:val="0"/>
        <w:adjustRightInd/>
        <w:snapToGrid/>
        <w:spacing w:before="120" w:after="120" w:line="360" w:lineRule="auto"/>
        <w:ind w:firstLine="0" w:firstLineChars="0"/>
        <w:textAlignment w:val="auto"/>
        <w:rPr>
          <w:rFonts w:hint="eastAsia" w:ascii="宋体" w:hAnsi="宋体" w:eastAsia="宋体" w:cs="宋体"/>
          <w:b/>
          <w:sz w:val="28"/>
          <w:szCs w:val="28"/>
          <w:lang w:val="en-US" w:eastAsia="zh-CN"/>
        </w:rPr>
      </w:pPr>
      <w:r>
        <w:rPr>
          <w:rFonts w:hint="eastAsia" w:ascii="宋体" w:hAnsi="宋体" w:cs="宋体"/>
          <w:b/>
          <w:sz w:val="28"/>
          <w:szCs w:val="28"/>
          <w:lang w:val="en-US" w:eastAsia="zh-CN"/>
        </w:rPr>
        <w:t>编制</w:t>
      </w:r>
      <w:r>
        <w:rPr>
          <w:rFonts w:hint="eastAsia" w:ascii="宋体" w:hAnsi="宋体" w:eastAsia="宋体" w:cs="宋体"/>
          <w:b/>
          <w:sz w:val="28"/>
          <w:szCs w:val="28"/>
          <w:lang w:val="en-US" w:eastAsia="zh-CN"/>
        </w:rPr>
        <w:t>范围</w:t>
      </w:r>
    </w:p>
    <w:p>
      <w:pPr>
        <w:pStyle w:val="4"/>
        <w:keepNext w:val="0"/>
        <w:keepLines w:val="0"/>
        <w:widowControl/>
        <w:suppressLineNumbers w:val="0"/>
        <w:spacing w:before="0" w:beforeAutospacing="0" w:after="0" w:afterAutospacing="0"/>
        <w:ind w:left="0" w:right="0" w:firstLine="560" w:firstLineChars="200"/>
        <w:rPr>
          <w:rFonts w:hint="default" w:ascii="宋体" w:hAnsi="宋体" w:eastAsia="宋体" w:cs="宋体"/>
          <w:b/>
          <w:sz w:val="28"/>
          <w:szCs w:val="28"/>
          <w:lang w:val="en-US" w:eastAsia="zh-CN"/>
        </w:rPr>
      </w:pPr>
      <w:r>
        <w:rPr>
          <w:rFonts w:hint="eastAsia" w:ascii="宋体" w:hAnsi="宋体" w:cs="宋体"/>
          <w:sz w:val="28"/>
          <w:szCs w:val="28"/>
          <w:lang w:val="en-US" w:eastAsia="zh-CN"/>
        </w:rPr>
        <w:t>陕西学前师范学院高压电缆改迁工程图纸中的</w:t>
      </w:r>
      <w:r>
        <w:rPr>
          <w:rFonts w:hint="eastAsia" w:ascii="宋体" w:hAnsi="宋体" w:eastAsia="宋体" w:cs="宋体"/>
          <w:sz w:val="28"/>
          <w:szCs w:val="28"/>
        </w:rPr>
        <w:t>全部内容</w:t>
      </w:r>
      <w:r>
        <w:rPr>
          <w:rFonts w:hint="eastAsia" w:ascii="宋体" w:hAnsi="宋体" w:cs="宋体"/>
          <w:sz w:val="28"/>
          <w:szCs w:val="28"/>
          <w:lang w:eastAsia="zh-CN"/>
        </w:rPr>
        <w:t>，</w:t>
      </w:r>
      <w:r>
        <w:rPr>
          <w:rFonts w:hint="eastAsia" w:ascii="宋体" w:hAnsi="宋体" w:cs="宋体"/>
          <w:sz w:val="28"/>
          <w:szCs w:val="28"/>
          <w:lang w:val="en-US" w:eastAsia="zh-CN"/>
        </w:rPr>
        <w:t>其中包括水平导向钻进，工作坑土方开挖及回填，以及检查井砌筑等内容。</w:t>
      </w:r>
    </w:p>
    <w:p>
      <w:pPr>
        <w:keepNext w:val="0"/>
        <w:keepLines w:val="0"/>
        <w:pageBreakBefore w:val="0"/>
        <w:widowControl w:val="0"/>
        <w:numPr>
          <w:ilvl w:val="0"/>
          <w:numId w:val="1"/>
        </w:numPr>
        <w:kinsoku/>
        <w:wordWrap/>
        <w:overflowPunct/>
        <w:topLinePunct w:val="0"/>
        <w:autoSpaceDE/>
        <w:autoSpaceDN/>
        <w:bidi w:val="0"/>
        <w:adjustRightInd/>
        <w:snapToGrid/>
        <w:spacing w:before="120" w:after="120" w:line="360" w:lineRule="auto"/>
        <w:ind w:left="0" w:leftChars="0" w:firstLine="0" w:firstLineChars="0"/>
        <w:textAlignment w:val="auto"/>
        <w:rPr>
          <w:rFonts w:hint="eastAsia" w:ascii="宋体" w:hAnsi="宋体" w:cs="宋体"/>
          <w:b/>
          <w:sz w:val="28"/>
          <w:szCs w:val="28"/>
          <w:lang w:val="en-US" w:eastAsia="zh-CN"/>
        </w:rPr>
      </w:pPr>
      <w:r>
        <w:rPr>
          <w:rFonts w:hint="eastAsia" w:ascii="宋体" w:hAnsi="宋体" w:eastAsia="宋体" w:cs="宋体"/>
          <w:b/>
          <w:sz w:val="28"/>
          <w:szCs w:val="28"/>
        </w:rPr>
        <w:t>编制</w:t>
      </w:r>
      <w:r>
        <w:rPr>
          <w:rFonts w:hint="eastAsia" w:ascii="宋体" w:hAnsi="宋体" w:cs="宋体"/>
          <w:b/>
          <w:sz w:val="28"/>
          <w:szCs w:val="28"/>
          <w:lang w:val="en-US" w:eastAsia="zh-CN"/>
        </w:rPr>
        <w:t>说明</w:t>
      </w:r>
    </w:p>
    <w:p>
      <w:pPr>
        <w:numPr>
          <w:ilvl w:val="0"/>
          <w:numId w:val="2"/>
        </w:numPr>
        <w:spacing w:line="360" w:lineRule="auto"/>
        <w:ind w:firstLine="560" w:firstLineChars="200"/>
        <w:rPr>
          <w:rFonts w:hint="eastAsia" w:ascii="宋体" w:hAnsi="宋体" w:eastAsia="宋体" w:cs="宋体"/>
          <w:color w:val="000000"/>
          <w:sz w:val="28"/>
          <w:szCs w:val="28"/>
          <w:highlight w:val="none"/>
        </w:rPr>
      </w:pPr>
      <w:r>
        <w:rPr>
          <w:rFonts w:hint="eastAsia" w:ascii="宋体" w:hAnsi="宋体" w:eastAsia="宋体" w:cs="宋体"/>
          <w:sz w:val="28"/>
          <w:szCs w:val="28"/>
        </w:rPr>
        <w:t>依据《陕西省建设工程工程量清单计价规则》（2009）、《陕西省建设工程工程量清单计价费率》（2009）；</w:t>
      </w:r>
    </w:p>
    <w:p>
      <w:pPr>
        <w:numPr>
          <w:ilvl w:val="0"/>
          <w:numId w:val="2"/>
        </w:numPr>
        <w:spacing w:line="360" w:lineRule="auto"/>
        <w:ind w:firstLine="560" w:firstLineChars="200"/>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rPr>
        <w:t>税率调整按陕建发[2019]45号《关于调整陕西省建设工程计价依据的通知》。</w:t>
      </w:r>
    </w:p>
    <w:p>
      <w:pPr>
        <w:numPr>
          <w:ilvl w:val="0"/>
          <w:numId w:val="2"/>
        </w:numPr>
        <w:spacing w:line="360" w:lineRule="auto"/>
        <w:ind w:firstLine="560" w:firstLineChars="200"/>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lang w:val="en-US" w:eastAsia="zh-CN"/>
        </w:rPr>
        <w:t>规费执行</w:t>
      </w:r>
      <w:r>
        <w:rPr>
          <w:rFonts w:hint="eastAsia" w:ascii="宋体" w:hAnsi="宋体" w:eastAsia="宋体" w:cs="宋体"/>
          <w:color w:val="000000"/>
          <w:sz w:val="28"/>
          <w:szCs w:val="28"/>
          <w:highlight w:val="none"/>
        </w:rPr>
        <w:t>陕建发[20</w:t>
      </w:r>
      <w:r>
        <w:rPr>
          <w:rFonts w:hint="eastAsia" w:ascii="宋体" w:hAnsi="宋体" w:eastAsia="宋体" w:cs="宋体"/>
          <w:color w:val="000000"/>
          <w:sz w:val="28"/>
          <w:szCs w:val="28"/>
          <w:highlight w:val="none"/>
          <w:lang w:val="en-US" w:eastAsia="zh-CN"/>
        </w:rPr>
        <w:t>20</w:t>
      </w:r>
      <w:r>
        <w:rPr>
          <w:rFonts w:hint="eastAsia" w:ascii="宋体" w:hAnsi="宋体" w:eastAsia="宋体" w:cs="宋体"/>
          <w:color w:val="000000"/>
          <w:sz w:val="28"/>
          <w:szCs w:val="28"/>
          <w:highlight w:val="none"/>
        </w:rPr>
        <w:t>]</w:t>
      </w:r>
      <w:r>
        <w:rPr>
          <w:rFonts w:hint="eastAsia" w:ascii="宋体" w:hAnsi="宋体" w:eastAsia="宋体" w:cs="宋体"/>
          <w:color w:val="000000"/>
          <w:sz w:val="28"/>
          <w:szCs w:val="28"/>
          <w:highlight w:val="none"/>
          <w:lang w:val="en-US" w:eastAsia="zh-CN"/>
        </w:rPr>
        <w:t>1097</w:t>
      </w:r>
      <w:r>
        <w:rPr>
          <w:rFonts w:hint="eastAsia" w:ascii="宋体" w:hAnsi="宋体" w:eastAsia="宋体" w:cs="宋体"/>
          <w:color w:val="000000"/>
          <w:sz w:val="28"/>
          <w:szCs w:val="28"/>
          <w:highlight w:val="none"/>
        </w:rPr>
        <w:t>号</w:t>
      </w:r>
      <w:r>
        <w:rPr>
          <w:rFonts w:hint="eastAsia" w:ascii="宋体" w:hAnsi="宋体" w:eastAsia="宋体" w:cs="宋体"/>
          <w:color w:val="000000"/>
          <w:sz w:val="28"/>
          <w:szCs w:val="28"/>
          <w:highlight w:val="none"/>
          <w:lang w:val="en-US" w:eastAsia="zh-CN"/>
        </w:rPr>
        <w:t>《陕西省住房和城乡建设厅关于建筑施工安全生产责任保险费用计价的通知》。</w:t>
      </w:r>
    </w:p>
    <w:p>
      <w:pPr>
        <w:numPr>
          <w:ilvl w:val="0"/>
          <w:numId w:val="2"/>
        </w:numPr>
        <w:spacing w:line="360" w:lineRule="auto"/>
        <w:ind w:firstLine="560" w:firstLineChars="200"/>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val="en-US" w:eastAsia="zh-CN"/>
        </w:rPr>
        <w:t>养老保险费用执行陕建发</w:t>
      </w:r>
      <w:r>
        <w:rPr>
          <w:rFonts w:hint="eastAsia" w:ascii="宋体" w:hAnsi="宋体" w:eastAsia="宋体" w:cs="宋体"/>
          <w:color w:val="000000"/>
          <w:sz w:val="28"/>
          <w:szCs w:val="28"/>
          <w:highlight w:val="none"/>
        </w:rPr>
        <w:t>[20</w:t>
      </w:r>
      <w:r>
        <w:rPr>
          <w:rFonts w:hint="eastAsia" w:ascii="宋体" w:hAnsi="宋体" w:eastAsia="宋体" w:cs="宋体"/>
          <w:color w:val="000000"/>
          <w:sz w:val="28"/>
          <w:szCs w:val="28"/>
          <w:highlight w:val="none"/>
          <w:lang w:val="en-US" w:eastAsia="zh-CN"/>
        </w:rPr>
        <w:t>21</w:t>
      </w:r>
      <w:r>
        <w:rPr>
          <w:rFonts w:hint="eastAsia" w:ascii="宋体" w:hAnsi="宋体" w:eastAsia="宋体" w:cs="宋体"/>
          <w:color w:val="000000"/>
          <w:sz w:val="28"/>
          <w:szCs w:val="28"/>
          <w:highlight w:val="none"/>
        </w:rPr>
        <w:t>]</w:t>
      </w:r>
      <w:r>
        <w:rPr>
          <w:rFonts w:hint="eastAsia" w:ascii="宋体" w:hAnsi="宋体" w:eastAsia="宋体" w:cs="宋体"/>
          <w:color w:val="000000"/>
          <w:sz w:val="28"/>
          <w:szCs w:val="28"/>
          <w:highlight w:val="none"/>
          <w:lang w:val="en-US" w:eastAsia="zh-CN"/>
        </w:rPr>
        <w:t>1021</w:t>
      </w:r>
      <w:r>
        <w:rPr>
          <w:rFonts w:hint="eastAsia" w:ascii="宋体" w:hAnsi="宋体" w:eastAsia="宋体" w:cs="宋体"/>
          <w:color w:val="000000"/>
          <w:sz w:val="28"/>
          <w:szCs w:val="28"/>
          <w:highlight w:val="none"/>
        </w:rPr>
        <w:t>号</w:t>
      </w:r>
      <w:r>
        <w:rPr>
          <w:rFonts w:hint="eastAsia" w:ascii="宋体" w:hAnsi="宋体" w:eastAsia="宋体" w:cs="宋体"/>
          <w:color w:val="000000"/>
          <w:sz w:val="28"/>
          <w:szCs w:val="28"/>
          <w:highlight w:val="none"/>
          <w:lang w:eastAsia="zh-CN"/>
        </w:rPr>
        <w:t>《</w:t>
      </w:r>
      <w:r>
        <w:rPr>
          <w:rFonts w:hint="eastAsia" w:ascii="宋体" w:hAnsi="宋体" w:eastAsia="宋体" w:cs="宋体"/>
          <w:color w:val="000000"/>
          <w:sz w:val="28"/>
          <w:szCs w:val="28"/>
          <w:highlight w:val="none"/>
          <w:lang w:val="en-US" w:eastAsia="zh-CN"/>
        </w:rPr>
        <w:t>关于全省统一停止收缴建筑业劳保费用的通知</w:t>
      </w:r>
      <w:r>
        <w:rPr>
          <w:rFonts w:hint="eastAsia" w:ascii="宋体" w:hAnsi="宋体" w:eastAsia="宋体" w:cs="宋体"/>
          <w:color w:val="000000"/>
          <w:sz w:val="28"/>
          <w:szCs w:val="28"/>
          <w:highlight w:val="none"/>
          <w:lang w:eastAsia="zh-CN"/>
        </w:rPr>
        <w:t>》。</w:t>
      </w:r>
    </w:p>
    <w:p>
      <w:pPr>
        <w:numPr>
          <w:ilvl w:val="0"/>
          <w:numId w:val="2"/>
        </w:numPr>
        <w:spacing w:line="360" w:lineRule="auto"/>
        <w:ind w:firstLine="560" w:firstLineChars="200"/>
        <w:rPr>
          <w:rFonts w:hint="eastAsia" w:ascii="宋体" w:hAnsi="宋体" w:cs="宋体"/>
          <w:b/>
          <w:sz w:val="28"/>
          <w:szCs w:val="28"/>
          <w:lang w:val="en-US" w:eastAsia="zh-CN"/>
        </w:rPr>
      </w:pPr>
      <w:r>
        <w:rPr>
          <w:rFonts w:hint="eastAsia" w:ascii="宋体" w:hAnsi="宋体" w:cs="宋体"/>
          <w:color w:val="000000"/>
          <w:sz w:val="28"/>
          <w:szCs w:val="28"/>
          <w:highlight w:val="none"/>
          <w:lang w:val="en-US" w:eastAsia="zh-CN"/>
        </w:rPr>
        <w:t>广联达云计价平台GCCP6.0(6.410023.118)</w:t>
      </w:r>
    </w:p>
    <w:p>
      <w:pPr>
        <w:keepNext w:val="0"/>
        <w:keepLines w:val="0"/>
        <w:pageBreakBefore w:val="0"/>
        <w:widowControl w:val="0"/>
        <w:numPr>
          <w:ilvl w:val="0"/>
          <w:numId w:val="1"/>
        </w:numPr>
        <w:kinsoku/>
        <w:wordWrap/>
        <w:overflowPunct/>
        <w:topLinePunct w:val="0"/>
        <w:autoSpaceDE/>
        <w:autoSpaceDN/>
        <w:bidi w:val="0"/>
        <w:adjustRightInd/>
        <w:snapToGrid/>
        <w:spacing w:before="120" w:after="120" w:line="360" w:lineRule="auto"/>
        <w:ind w:left="0" w:leftChars="0" w:firstLine="0" w:firstLineChars="0"/>
        <w:textAlignment w:val="auto"/>
        <w:rPr>
          <w:rFonts w:hint="eastAsia" w:ascii="宋体" w:hAnsi="宋体" w:cs="宋体"/>
          <w:b/>
          <w:sz w:val="28"/>
          <w:szCs w:val="28"/>
          <w:lang w:val="en-US" w:eastAsia="zh-CN"/>
        </w:rPr>
      </w:pPr>
      <w:r>
        <w:rPr>
          <w:rFonts w:hint="eastAsia" w:ascii="宋体" w:hAnsi="宋体" w:cs="宋体"/>
          <w:b/>
          <w:sz w:val="28"/>
          <w:szCs w:val="28"/>
          <w:lang w:val="en-US" w:eastAsia="zh-CN"/>
        </w:rPr>
        <w:t>其他相关说明</w:t>
      </w:r>
    </w:p>
    <w:p>
      <w:pPr>
        <w:tabs>
          <w:tab w:val="left" w:pos="851"/>
        </w:tabs>
        <w:spacing w:before="156" w:beforeLines="50" w:after="156" w:afterLines="50"/>
        <w:ind w:firstLine="560" w:firstLineChars="200"/>
        <w:rPr>
          <w:rFonts w:hint="eastAsia" w:ascii="宋体" w:hAnsi="宋体" w:cs="宋体"/>
          <w:sz w:val="28"/>
          <w:szCs w:val="28"/>
          <w:lang w:val="en-US" w:eastAsia="zh-CN"/>
        </w:rPr>
      </w:pPr>
      <w:r>
        <w:rPr>
          <w:rFonts w:hint="eastAsia" w:ascii="宋体" w:hAnsi="宋体" w:cs="宋体"/>
          <w:sz w:val="28"/>
          <w:szCs w:val="28"/>
          <w:lang w:val="en-US" w:eastAsia="zh-CN"/>
        </w:rPr>
        <w:t>1.</w:t>
      </w:r>
      <w:r>
        <w:rPr>
          <w:rFonts w:hint="eastAsia" w:ascii="宋体" w:hAnsi="宋体" w:eastAsia="宋体" w:cs="宋体"/>
          <w:sz w:val="28"/>
          <w:szCs w:val="28"/>
          <w:lang w:val="en-US" w:eastAsia="zh-CN"/>
        </w:rPr>
        <w:t>工作坑土方开挖尺寸</w:t>
      </w:r>
      <w:r>
        <w:rPr>
          <w:rFonts w:hint="eastAsia" w:ascii="宋体" w:hAnsi="宋体" w:cs="宋体"/>
          <w:sz w:val="28"/>
          <w:szCs w:val="28"/>
          <w:lang w:val="en-US" w:eastAsia="zh-CN"/>
        </w:rPr>
        <w:t>为</w:t>
      </w:r>
      <w:r>
        <w:rPr>
          <w:rFonts w:hint="eastAsia" w:ascii="宋体" w:hAnsi="宋体" w:eastAsia="宋体" w:cs="宋体"/>
          <w:sz w:val="28"/>
          <w:szCs w:val="28"/>
          <w:lang w:val="en-US" w:eastAsia="zh-CN"/>
        </w:rPr>
        <w:t>1.5m*</w:t>
      </w:r>
      <w:r>
        <w:rPr>
          <w:rFonts w:hint="eastAsia" w:ascii="宋体" w:hAnsi="宋体" w:cs="宋体"/>
          <w:sz w:val="28"/>
          <w:szCs w:val="28"/>
          <w:lang w:val="en-US" w:eastAsia="zh-CN"/>
        </w:rPr>
        <w:t>2</w:t>
      </w:r>
      <w:r>
        <w:rPr>
          <w:rFonts w:hint="eastAsia" w:ascii="宋体" w:hAnsi="宋体" w:eastAsia="宋体" w:cs="宋体"/>
          <w:sz w:val="28"/>
          <w:szCs w:val="28"/>
          <w:lang w:val="en-US" w:eastAsia="zh-CN"/>
        </w:rPr>
        <w:t>m，挖土深度3m,共计6座</w:t>
      </w:r>
      <w:r>
        <w:rPr>
          <w:rFonts w:hint="eastAsia" w:ascii="宋体" w:hAnsi="宋体" w:cs="宋体"/>
          <w:sz w:val="28"/>
          <w:szCs w:val="28"/>
          <w:lang w:val="en-US" w:eastAsia="zh-CN"/>
        </w:rPr>
        <w:t>。</w:t>
      </w:r>
    </w:p>
    <w:p>
      <w:pPr>
        <w:tabs>
          <w:tab w:val="left" w:pos="851"/>
        </w:tabs>
        <w:spacing w:before="156" w:beforeLines="50" w:after="156" w:afterLines="50"/>
        <w:ind w:firstLine="560" w:firstLineChars="200"/>
        <w:rPr>
          <w:rFonts w:hint="eastAsia" w:ascii="宋体" w:hAnsi="宋体" w:cs="宋体"/>
          <w:sz w:val="28"/>
          <w:szCs w:val="28"/>
          <w:lang w:val="en-US" w:eastAsia="zh-CN"/>
        </w:rPr>
      </w:pPr>
      <w:r>
        <w:rPr>
          <w:rFonts w:hint="eastAsia" w:ascii="宋体" w:hAnsi="宋体" w:cs="宋体"/>
          <w:sz w:val="28"/>
          <w:szCs w:val="28"/>
          <w:lang w:val="en-US" w:eastAsia="zh-CN"/>
        </w:rPr>
        <w:t>2.</w:t>
      </w:r>
      <w:r>
        <w:rPr>
          <w:rFonts w:hint="eastAsia" w:ascii="宋体" w:hAnsi="宋体" w:eastAsia="宋体" w:cs="宋体"/>
          <w:sz w:val="28"/>
          <w:szCs w:val="28"/>
          <w:lang w:val="en-US" w:eastAsia="zh-CN"/>
        </w:rPr>
        <w:t>工作坑土方开挖尺寸以6m*2m，挖土深度2m,共计1座</w:t>
      </w:r>
      <w:r>
        <w:rPr>
          <w:rFonts w:hint="eastAsia" w:ascii="宋体" w:hAnsi="宋体" w:cs="宋体"/>
          <w:sz w:val="28"/>
          <w:szCs w:val="28"/>
          <w:lang w:val="en-US" w:eastAsia="zh-CN"/>
        </w:rPr>
        <w:t>。</w:t>
      </w:r>
    </w:p>
    <w:p>
      <w:pPr>
        <w:tabs>
          <w:tab w:val="left" w:pos="851"/>
        </w:tabs>
        <w:spacing w:before="156" w:beforeLines="50" w:after="156" w:afterLines="50"/>
        <w:ind w:firstLine="560" w:firstLineChars="200"/>
        <w:rPr>
          <w:rFonts w:hint="eastAsia" w:ascii="宋体" w:hAnsi="宋体" w:cs="宋体"/>
          <w:sz w:val="28"/>
          <w:szCs w:val="28"/>
          <w:lang w:val="en-US" w:eastAsia="zh-CN"/>
        </w:rPr>
      </w:pPr>
      <w:r>
        <w:rPr>
          <w:rFonts w:hint="eastAsia" w:ascii="宋体" w:hAnsi="宋体" w:cs="宋体"/>
          <w:sz w:val="28"/>
          <w:szCs w:val="28"/>
          <w:lang w:val="en-US" w:eastAsia="zh-CN"/>
        </w:rPr>
        <w:t>3.</w:t>
      </w:r>
      <w:r>
        <w:rPr>
          <w:rFonts w:hint="eastAsia" w:ascii="宋体" w:hAnsi="宋体" w:eastAsia="宋体" w:cs="宋体"/>
          <w:sz w:val="28"/>
          <w:szCs w:val="28"/>
          <w:lang w:val="en-US" w:eastAsia="zh-CN"/>
        </w:rPr>
        <w:t>检查井尺寸按1m*2m*2m计入，底层铺设300厚3：7灰土</w:t>
      </w:r>
      <w:r>
        <w:rPr>
          <w:rFonts w:hint="eastAsia" w:ascii="宋体" w:hAnsi="宋体" w:cs="宋体"/>
          <w:sz w:val="28"/>
          <w:szCs w:val="28"/>
          <w:lang w:val="en-US" w:eastAsia="zh-CN"/>
        </w:rPr>
        <w:t>。</w:t>
      </w:r>
    </w:p>
    <w:p>
      <w:pPr>
        <w:tabs>
          <w:tab w:val="left" w:pos="851"/>
        </w:tabs>
        <w:spacing w:before="156" w:beforeLines="50" w:after="156" w:afterLines="50"/>
        <w:ind w:firstLine="560" w:firstLineChars="200"/>
        <w:rPr>
          <w:rFonts w:hint="default" w:ascii="宋体" w:hAnsi="宋体" w:cs="宋体"/>
          <w:sz w:val="28"/>
          <w:szCs w:val="28"/>
          <w:lang w:val="en-US" w:eastAsia="zh-CN"/>
        </w:rPr>
      </w:pPr>
      <w:r>
        <w:rPr>
          <w:rFonts w:hint="eastAsia" w:ascii="宋体" w:hAnsi="宋体" w:cs="宋体"/>
          <w:sz w:val="28"/>
          <w:szCs w:val="28"/>
          <w:lang w:val="en-US" w:eastAsia="zh-CN"/>
        </w:rPr>
        <w:t>4.现场施工区域围挡，围挡长度228m，围挡高度2.2m。</w:t>
      </w:r>
    </w:p>
    <w:p>
      <w:pPr>
        <w:keepNext w:val="0"/>
        <w:keepLines w:val="0"/>
        <w:pageBreakBefore w:val="0"/>
        <w:widowControl w:val="0"/>
        <w:kinsoku/>
        <w:wordWrap/>
        <w:overflowPunct/>
        <w:topLinePunct w:val="0"/>
        <w:autoSpaceDE/>
        <w:autoSpaceDN/>
        <w:bidi w:val="0"/>
        <w:adjustRightInd/>
        <w:snapToGrid/>
        <w:spacing w:before="120" w:after="120" w:line="360" w:lineRule="auto"/>
        <w:ind w:firstLine="0" w:firstLineChars="0"/>
        <w:textAlignment w:val="auto"/>
        <w:rPr>
          <w:rFonts w:hint="eastAsia" w:ascii="宋体" w:hAnsi="宋体" w:eastAsia="宋体" w:cs="宋体"/>
          <w:b/>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before="120" w:after="120" w:line="360" w:lineRule="auto"/>
        <w:ind w:firstLine="984" w:firstLineChars="350"/>
        <w:jc w:val="both"/>
        <w:textAlignment w:val="auto"/>
        <w:rPr>
          <w:rFonts w:hint="default" w:ascii="宋体" w:hAnsi="宋体" w:cs="宋体"/>
          <w:b/>
          <w:sz w:val="28"/>
          <w:szCs w:val="28"/>
          <w:lang w:val="en-US" w:eastAsia="zh-CN"/>
        </w:rPr>
      </w:pP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before="120" w:after="120" w:line="360" w:lineRule="auto"/>
        <w:ind w:firstLine="562" w:firstLineChars="200"/>
        <w:jc w:val="both"/>
        <w:textAlignment w:val="auto"/>
        <w:rPr>
          <w:rFonts w:hint="default" w:ascii="宋体" w:hAnsi="宋体" w:cs="宋体"/>
          <w:b/>
          <w:sz w:val="28"/>
          <w:szCs w:val="28"/>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8CCDBA"/>
    <w:multiLevelType w:val="singleLevel"/>
    <w:tmpl w:val="008CCDBA"/>
    <w:lvl w:ilvl="0" w:tentative="0">
      <w:start w:val="2"/>
      <w:numFmt w:val="chineseCounting"/>
      <w:suff w:val="nothing"/>
      <w:lvlText w:val="%1、"/>
      <w:lvlJc w:val="left"/>
      <w:rPr>
        <w:rFonts w:hint="eastAsia"/>
      </w:rPr>
    </w:lvl>
  </w:abstractNum>
  <w:abstractNum w:abstractNumId="1">
    <w:nsid w:val="6BD90DD4"/>
    <w:multiLevelType w:val="singleLevel"/>
    <w:tmpl w:val="6BD90DD4"/>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Q4ZTEzYWRhYWUxODNhZTIwNWJmY2JkMmJiZmFkZTIifQ=="/>
  </w:docVars>
  <w:rsids>
    <w:rsidRoot w:val="0EC8590D"/>
    <w:rsid w:val="0A570319"/>
    <w:rsid w:val="0EC8590D"/>
    <w:rsid w:val="12AD31C8"/>
    <w:rsid w:val="23274147"/>
    <w:rsid w:val="25B93C21"/>
    <w:rsid w:val="453B6D11"/>
    <w:rsid w:val="4D5C3962"/>
    <w:rsid w:val="774F64AE"/>
    <w:rsid w:val="78A445D8"/>
    <w:rsid w:val="7A7539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100" w:beforeAutospacing="1" w:after="100"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421</Words>
  <Characters>508</Characters>
  <Lines>0</Lines>
  <Paragraphs>0</Paragraphs>
  <TotalTime>2</TotalTime>
  <ScaleCrop>false</ScaleCrop>
  <LinksUpToDate>false</LinksUpToDate>
  <CharactersWithSpaces>508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2023-07-21T08:07:00Z</dcterms:created>
  <dc:creator>水沫</dc:creator>
  <cp:lastModifiedBy>水沫</cp:lastModifiedBy>
  <dcterms:modified xsi:type="dcterms:W3CDTF">2023-07-27T07:07:53Z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352EB87E7180403FB28813EAD0EF1271_13</vt:lpwstr>
  </property>
</Properties>
</file>