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overflowPunct/>
        <w:topLinePunct w:val="0"/>
        <w:bidi w:val="0"/>
        <w:spacing w:line="360" w:lineRule="auto"/>
        <w:jc w:val="center"/>
        <w:rPr>
          <w:rFonts w:hint="eastAsia" w:ascii="仿宋_GB2312" w:hAnsi="仿宋_GB2312" w:eastAsia="仿宋_GB2312" w:cs="仿宋_GB2312"/>
          <w:color w:val="auto"/>
          <w:sz w:val="36"/>
          <w:szCs w:val="36"/>
        </w:rPr>
      </w:pPr>
      <w:bookmarkStart w:id="7" w:name="_GoBack"/>
      <w:r>
        <w:rPr>
          <w:rFonts w:hint="eastAsia" w:ascii="仿宋_GB2312" w:hAnsi="仿宋_GB2312" w:eastAsia="仿宋_GB2312" w:cs="仿宋_GB2312"/>
          <w:color w:val="auto"/>
          <w:sz w:val="36"/>
          <w:szCs w:val="36"/>
        </w:rPr>
        <w:t>合同条款格式</w:t>
      </w:r>
    </w:p>
    <w:bookmarkEnd w:id="7"/>
    <w:p>
      <w:pPr>
        <w:pageBreakBefore w:val="0"/>
        <w:overflowPunct/>
        <w:topLinePunct w:val="0"/>
        <w:bidi w:val="0"/>
        <w:spacing w:before="120" w:line="360" w:lineRule="auto"/>
        <w:jc w:val="center"/>
        <w:rPr>
          <w:rFonts w:hint="eastAsia" w:ascii="仿宋_GB2312" w:hAnsi="仿宋_GB2312" w:eastAsia="仿宋_GB2312" w:cs="仿宋_GB2312"/>
          <w:color w:val="auto"/>
          <w:sz w:val="24"/>
        </w:rPr>
      </w:pPr>
      <w:bookmarkStart w:id="0" w:name="_Toc9523"/>
      <w:bookmarkStart w:id="1" w:name="_Toc23019"/>
      <w:bookmarkStart w:id="2" w:name="_Toc23426"/>
      <w:r>
        <w:rPr>
          <w:rFonts w:hint="eastAsia" w:ascii="仿宋_GB2312" w:hAnsi="仿宋_GB2312" w:eastAsia="仿宋_GB2312" w:cs="仿宋_GB2312"/>
          <w:color w:val="auto"/>
          <w:sz w:val="24"/>
        </w:rPr>
        <w:t>（参考格式）</w:t>
      </w:r>
    </w:p>
    <w:p>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p>
    <w:p>
      <w:pPr>
        <w:pageBreakBefore w:val="0"/>
        <w:overflowPunct/>
        <w:topLinePunct w:val="0"/>
        <w:bidi w:val="0"/>
        <w:spacing w:before="120" w:line="360" w:lineRule="auto"/>
        <w:jc w:val="center"/>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政 府 采 购 合 同</w:t>
      </w:r>
    </w:p>
    <w:p>
      <w:pPr>
        <w:pageBreakBefore w:val="0"/>
        <w:overflowPunct/>
        <w:topLinePunct w:val="0"/>
        <w:bidi w:val="0"/>
        <w:spacing w:before="120" w:line="360" w:lineRule="auto"/>
        <w:ind w:firstLine="2626" w:firstLineChars="1090"/>
        <w:rPr>
          <w:rFonts w:hint="eastAsia" w:ascii="仿宋_GB2312" w:hAnsi="仿宋_GB2312" w:eastAsia="仿宋_GB2312" w:cs="仿宋_GB2312"/>
          <w:b/>
          <w:bCs/>
          <w:color w:val="auto"/>
          <w:sz w:val="24"/>
        </w:rPr>
      </w:pPr>
      <w:bookmarkStart w:id="3" w:name="_Toc109542396"/>
      <w:bookmarkStart w:id="4" w:name="_Toc109543216"/>
    </w:p>
    <w:p>
      <w:pPr>
        <w:pageBreakBefore w:val="0"/>
        <w:overflowPunct/>
        <w:topLinePunct w:val="0"/>
        <w:bidi w:val="0"/>
        <w:spacing w:before="120" w:line="360" w:lineRule="auto"/>
        <w:ind w:firstLine="2626" w:firstLineChars="1090"/>
        <w:rPr>
          <w:rFonts w:hint="eastAsia" w:ascii="仿宋_GB2312" w:hAnsi="仿宋_GB2312" w:eastAsia="仿宋_GB2312" w:cs="仿宋_GB2312"/>
          <w:color w:val="auto"/>
          <w:sz w:val="24"/>
        </w:rPr>
      </w:pPr>
      <w:r>
        <w:rPr>
          <w:rFonts w:hint="eastAsia" w:ascii="仿宋_GB2312" w:hAnsi="仿宋_GB2312" w:eastAsia="仿宋_GB2312" w:cs="仿宋_GB2312"/>
          <w:b/>
          <w:bCs/>
          <w:color w:val="auto"/>
          <w:sz w:val="24"/>
        </w:rPr>
        <w:t>合同编号：</w:t>
      </w:r>
      <w:bookmarkEnd w:id="3"/>
      <w:bookmarkEnd w:id="4"/>
      <w:r>
        <w:rPr>
          <w:rFonts w:hint="eastAsia" w:ascii="仿宋_GB2312" w:hAnsi="仿宋_GB2312" w:eastAsia="仿宋_GB2312" w:cs="仿宋_GB2312"/>
          <w:b/>
          <w:bCs/>
          <w:color w:val="auto"/>
          <w:sz w:val="24"/>
          <w:u w:val="single"/>
        </w:rPr>
        <w:t xml:space="preserve">            </w:t>
      </w:r>
      <w:r>
        <w:rPr>
          <w:rFonts w:hint="eastAsia" w:ascii="仿宋_GB2312" w:hAnsi="仿宋_GB2312" w:eastAsia="仿宋_GB2312" w:cs="仿宋_GB2312"/>
          <w:color w:val="auto"/>
          <w:sz w:val="24"/>
        </w:rPr>
        <w:t xml:space="preserve">        </w:t>
      </w:r>
    </w:p>
    <w:p>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p>
    <w:p>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项目名称：</w:t>
      </w:r>
    </w:p>
    <w:p>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 xml:space="preserve">采 购 人： </w:t>
      </w:r>
    </w:p>
    <w:p>
      <w:pPr>
        <w:pageBreakBefore w:val="0"/>
        <w:overflowPunct/>
        <w:topLinePunct w:val="0"/>
        <w:bidi w:val="0"/>
        <w:spacing w:before="120" w:line="360" w:lineRule="auto"/>
        <w:ind w:firstLine="1928" w:firstLineChars="800"/>
        <w:rPr>
          <w:rFonts w:hint="eastAsia" w:ascii="仿宋_GB2312" w:hAnsi="仿宋_GB2312" w:eastAsia="仿宋_GB2312" w:cs="仿宋_GB2312"/>
          <w:b/>
          <w:bCs/>
          <w:color w:val="auto"/>
          <w:sz w:val="24"/>
          <w:u w:val="single"/>
        </w:rPr>
      </w:pPr>
      <w:r>
        <w:rPr>
          <w:rFonts w:hint="eastAsia" w:ascii="仿宋_GB2312" w:hAnsi="仿宋_GB2312" w:eastAsia="仿宋_GB2312" w:cs="仿宋_GB2312"/>
          <w:b/>
          <w:bCs/>
          <w:color w:val="auto"/>
          <w:sz w:val="24"/>
        </w:rPr>
        <w:t>供 应 商：</w:t>
      </w:r>
    </w:p>
    <w:p>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p>
    <w:p>
      <w:pPr>
        <w:pageBreakBefore w:val="0"/>
        <w:overflowPunct/>
        <w:topLinePunct w:val="0"/>
        <w:bidi w:val="0"/>
        <w:spacing w:line="360" w:lineRule="auto"/>
        <w:ind w:firstLine="1928" w:firstLineChars="800"/>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签署日期：     年    月    日</w:t>
      </w:r>
    </w:p>
    <w:p>
      <w:pPr>
        <w:pageBreakBefore w:val="0"/>
        <w:overflowPunct/>
        <w:topLinePunct w:val="0"/>
        <w:bidi w:val="0"/>
        <w:spacing w:before="120" w:beforeLines="50" w:line="360" w:lineRule="auto"/>
        <w:jc w:val="center"/>
        <w:outlineLvl w:val="1"/>
        <w:rPr>
          <w:rFonts w:hint="eastAsia" w:ascii="仿宋_GB2312" w:hAnsi="仿宋_GB2312" w:eastAsia="仿宋_GB2312" w:cs="仿宋_GB2312"/>
          <w:b/>
          <w:bCs/>
          <w:color w:val="auto"/>
          <w:sz w:val="24"/>
        </w:rPr>
      </w:pPr>
      <w:bookmarkStart w:id="5" w:name="_Toc233435953"/>
      <w:bookmarkStart w:id="6" w:name="_Toc356927946"/>
      <w:r>
        <w:rPr>
          <w:rFonts w:hint="eastAsia" w:ascii="仿宋_GB2312" w:hAnsi="仿宋_GB2312" w:eastAsia="仿宋_GB2312" w:cs="仿宋_GB2312"/>
          <w:color w:val="auto"/>
          <w:sz w:val="24"/>
        </w:rPr>
        <w:br w:type="page"/>
      </w:r>
      <w:bookmarkEnd w:id="5"/>
      <w:bookmarkEnd w:id="6"/>
      <w:r>
        <w:rPr>
          <w:rFonts w:hint="eastAsia" w:ascii="仿宋_GB2312" w:hAnsi="仿宋_GB2312" w:eastAsia="仿宋_GB2312" w:cs="仿宋_GB2312"/>
          <w:b/>
          <w:bCs/>
          <w:color w:val="auto"/>
          <w:sz w:val="24"/>
        </w:rPr>
        <w:t>第一部分  协议书</w:t>
      </w:r>
    </w:p>
    <w:p>
      <w:pPr>
        <w:pageBreakBefore w:val="0"/>
        <w:overflowPunct/>
        <w:topLinePunct w:val="0"/>
        <w:bidi w:val="0"/>
        <w:spacing w:before="120" w:beforeLines="50" w:line="360" w:lineRule="auto"/>
        <w:jc w:val="center"/>
        <w:outlineLvl w:val="2"/>
        <w:rPr>
          <w:rFonts w:hint="eastAsia" w:ascii="仿宋_GB2312" w:hAnsi="仿宋_GB2312" w:eastAsia="仿宋_GB2312" w:cs="仿宋_GB2312"/>
          <w:b/>
          <w:bCs/>
          <w:color w:val="auto"/>
          <w:sz w:val="24"/>
        </w:rPr>
      </w:pPr>
      <w:r>
        <w:rPr>
          <w:rFonts w:hint="eastAsia" w:ascii="仿宋_GB2312" w:hAnsi="仿宋_GB2312" w:eastAsia="仿宋_GB2312" w:cs="仿宋_GB2312"/>
          <w:b/>
          <w:bCs/>
          <w:color w:val="auto"/>
          <w:sz w:val="24"/>
        </w:rPr>
        <w:t>（主要条款）</w:t>
      </w:r>
    </w:p>
    <w:p>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p>
    <w:p>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采购人：</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b/>
          <w:color w:val="auto"/>
          <w:sz w:val="24"/>
        </w:rPr>
        <w:t xml:space="preserve">   </w:t>
      </w:r>
    </w:p>
    <w:p>
      <w:pPr>
        <w:pageBreakBefore w:val="0"/>
        <w:overflowPunct/>
        <w:topLinePunct w:val="0"/>
        <w:bidi w:val="0"/>
        <w:adjustRightInd w:val="0"/>
        <w:snapToGrid w:val="0"/>
        <w:spacing w:line="360" w:lineRule="auto"/>
        <w:ind w:firstLine="482" w:firstLineChars="200"/>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供应商：</w:t>
      </w:r>
      <w:r>
        <w:rPr>
          <w:rFonts w:hint="eastAsia" w:ascii="仿宋_GB2312" w:hAnsi="仿宋_GB2312" w:eastAsia="仿宋_GB2312" w:cs="仿宋_GB2312"/>
          <w:b/>
          <w:color w:val="auto"/>
          <w:sz w:val="24"/>
          <w:u w:val="single"/>
        </w:rPr>
        <w:t xml:space="preserve">                                   </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根据《中华人民共和国民法典》及其他有关法律、法规，遵循平等、自愿、公平和诚信的原则，双方就下述项目范围与相关服务事项协商一致，订立本合同。</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一、项目概况</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项目名称：</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项目地点：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项目规模：</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pageBreakBefore w:val="0"/>
        <w:overflowPunct/>
        <w:topLinePunct w:val="0"/>
        <w:bidi w:val="0"/>
        <w:adjustRightInd w:val="0"/>
        <w:snapToGrid w:val="0"/>
        <w:spacing w:line="360" w:lineRule="auto"/>
        <w:ind w:firstLine="475" w:firstLineChars="198"/>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 项目内容：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二、组成本合同的文件</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协议书；</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成交通知书、磋商响应文件、澄清、补充文件（或委托书）；</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本合同签订后，双方依法签订的补充协议、备忘录也是本合同文件的组成部分。</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三、签约金额</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签约金额（大写）：</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合同总价包括：人工费、材料费、设计费、管理费、利润、税金、保险的一切费用、税费风险，最终结算以实际审计为准。</w:t>
      </w:r>
    </w:p>
    <w:p>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四、结算方式</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付款方式：</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（1）维护合同签署后第一个月内，支付合同价款的50%。</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（2）当年最后一个月支付合同价款的30%。</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lang w:eastAsia="zh-CN"/>
        </w:rPr>
      </w:pPr>
      <w:r>
        <w:rPr>
          <w:rFonts w:hint="eastAsia" w:ascii="仿宋_GB2312" w:hAnsi="仿宋_GB2312" w:eastAsia="仿宋_GB2312" w:cs="仿宋_GB2312"/>
          <w:color w:val="auto"/>
          <w:sz w:val="24"/>
        </w:rPr>
        <w:t>（3）维护期满并检测合格后一个月内支付合同价款的20%</w:t>
      </w:r>
      <w:r>
        <w:rPr>
          <w:rFonts w:hint="eastAsia" w:ascii="仿宋_GB2312" w:hAnsi="仿宋_GB2312" w:eastAsia="仿宋_GB2312" w:cs="仿宋_GB2312"/>
          <w:color w:val="auto"/>
          <w:sz w:val="24"/>
          <w:lang w:eastAsia="zh-CN"/>
        </w:rPr>
        <w:t>。</w:t>
      </w:r>
    </w:p>
    <w:p>
      <w:pPr>
        <w:pageBreakBefore w:val="0"/>
        <w:overflowPunct/>
        <w:topLinePunct w:val="0"/>
        <w:bidi w:val="0"/>
        <w:spacing w:line="360" w:lineRule="auto"/>
        <w:ind w:firstLine="480" w:firstLineChars="200"/>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lang w:eastAsia="zh-CN"/>
          <w14:textFill>
            <w14:solidFill>
              <w14:schemeClr w14:val="tx1"/>
            </w14:solidFill>
          </w14:textFill>
        </w:rPr>
        <w:t>备注：</w:t>
      </w:r>
      <w:r>
        <w:rPr>
          <w:rFonts w:hint="default" w:ascii="Calibri" w:hAnsi="Calibri" w:eastAsia="仿宋_GB2312" w:cs="Calibri"/>
          <w:color w:val="000000" w:themeColor="text1"/>
          <w:sz w:val="24"/>
          <w:lang w:eastAsia="zh-CN"/>
          <w14:textFill>
            <w14:solidFill>
              <w14:schemeClr w14:val="tx1"/>
            </w14:solidFill>
          </w14:textFill>
        </w:rPr>
        <w:t>①</w:t>
      </w:r>
      <w:r>
        <w:rPr>
          <w:rFonts w:hint="eastAsia" w:ascii="仿宋_GB2312" w:hAnsi="仿宋_GB2312" w:eastAsia="仿宋_GB2312" w:cs="仿宋_GB2312"/>
          <w:color w:val="000000" w:themeColor="text1"/>
          <w:sz w:val="24"/>
          <w14:textFill>
            <w14:solidFill>
              <w14:schemeClr w14:val="tx1"/>
            </w14:solidFill>
          </w14:textFill>
        </w:rPr>
        <w:t>在支付价款前甲方委托有资质的第三方检测公司对安防系统进行检测，检测结果以第三方检测公司出具的检测报告为准，检测费用由乙方承担。若第三方检测公司认定维保设备不符合甲方要求的，乙方应根据报告加以更正工作结果。</w:t>
      </w:r>
    </w:p>
    <w:p>
      <w:pPr>
        <w:pageBreakBefore w:val="0"/>
        <w:overflowPunct/>
        <w:topLinePunct w:val="0"/>
        <w:bidi w:val="0"/>
        <w:spacing w:line="360" w:lineRule="auto"/>
        <w:ind w:firstLine="1200" w:firstLineChars="500"/>
        <w:rPr>
          <w:rFonts w:hint="eastAsia" w:ascii="仿宋_GB2312" w:hAnsi="仿宋_GB2312" w:eastAsia="仿宋_GB2312" w:cs="仿宋_GB2312"/>
          <w:color w:val="auto"/>
          <w:sz w:val="24"/>
        </w:rPr>
      </w:pPr>
      <w:r>
        <w:rPr>
          <w:rFonts w:hint="default" w:ascii="Calibri" w:hAnsi="Calibri" w:eastAsia="仿宋_GB2312" w:cs="Calibri"/>
          <w:color w:val="auto"/>
          <w:sz w:val="24"/>
        </w:rPr>
        <w:t>②</w:t>
      </w:r>
      <w:r>
        <w:rPr>
          <w:rFonts w:hint="eastAsia" w:ascii="仿宋_GB2312" w:hAnsi="仿宋_GB2312" w:eastAsia="仿宋_GB2312" w:cs="仿宋_GB2312"/>
          <w:color w:val="auto"/>
          <w:sz w:val="24"/>
        </w:rPr>
        <w:t>乙方应在每次付款前向甲方开具等额增值税普通发票。甲方收到发票并核验无误后按前款规定付款，乙方迟延交付发票的，甲方付款时间相应顺延，并且不承担任何违约责任，乙方不得以此为由拒绝履行本合同项下的权利义务。</w:t>
      </w:r>
    </w:p>
    <w:p>
      <w:pPr>
        <w:pageBreakBefore w:val="0"/>
        <w:overflowPunct/>
        <w:topLinePunct w:val="0"/>
        <w:bidi w:val="0"/>
        <w:adjustRightInd w:val="0"/>
        <w:snapToGrid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五、期限</w:t>
      </w:r>
    </w:p>
    <w:p>
      <w:pPr>
        <w:pageBreakBefore w:val="0"/>
        <w:overflowPunct/>
        <w:topLinePunct w:val="0"/>
        <w:bidi w:val="0"/>
        <w:spacing w:line="360" w:lineRule="auto"/>
        <w:ind w:firstLine="480" w:firstLineChars="200"/>
        <w:rPr>
          <w:rFonts w:hint="eastAsia" w:ascii="仿宋_GB2312" w:hAnsi="仿宋_GB2312" w:eastAsia="仿宋_GB2312" w:cs="仿宋_GB2312"/>
          <w:bCs/>
          <w:color w:val="auto"/>
          <w:sz w:val="24"/>
          <w:lang w:eastAsia="zh-CN"/>
        </w:rPr>
      </w:pPr>
      <w:r>
        <w:rPr>
          <w:rFonts w:hint="eastAsia" w:ascii="仿宋_GB2312" w:hAnsi="仿宋_GB2312" w:eastAsia="仿宋_GB2312" w:cs="仿宋_GB2312"/>
          <w:bCs/>
          <w:color w:val="auto"/>
          <w:sz w:val="24"/>
        </w:rPr>
        <w:t>服务期限：</w:t>
      </w:r>
      <w:r>
        <w:rPr>
          <w:rFonts w:hint="eastAsia" w:ascii="仿宋_GB2312" w:hAnsi="仿宋_GB2312" w:eastAsia="仿宋_GB2312" w:cs="仿宋_GB2312"/>
          <w:bCs/>
          <w:color w:val="auto"/>
          <w:sz w:val="24"/>
          <w:lang w:eastAsia="zh-CN"/>
        </w:rPr>
        <w:t>自合同签订之日起365日</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六、双方承诺</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供应商向采购人承诺，按照本合同约定提供相关服务。</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采购人向供应商承诺，按照本合同约定支付服务款项。</w:t>
      </w:r>
    </w:p>
    <w:p>
      <w:pPr>
        <w:pageBreakBefore w:val="0"/>
        <w:tabs>
          <w:tab w:val="left" w:pos="840"/>
        </w:tabs>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七、内容及要求：</w:t>
      </w:r>
    </w:p>
    <w:p>
      <w:pPr>
        <w:pageBreakBefore w:val="0"/>
        <w:tabs>
          <w:tab w:val="left" w:pos="840"/>
        </w:tabs>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即交付的</w:t>
      </w:r>
      <w:r>
        <w:rPr>
          <w:rFonts w:hint="eastAsia" w:ascii="仿宋_GB2312" w:hAnsi="仿宋_GB2312" w:eastAsia="仿宋_GB2312" w:cs="仿宋_GB2312"/>
          <w:color w:val="auto"/>
          <w:sz w:val="24"/>
          <w:szCs w:val="24"/>
        </w:rPr>
        <w:t>产品、服务内容、</w:t>
      </w:r>
      <w:r>
        <w:rPr>
          <w:rFonts w:hint="eastAsia" w:ascii="仿宋_GB2312" w:hAnsi="仿宋_GB2312" w:eastAsia="仿宋_GB2312" w:cs="仿宋_GB2312"/>
          <w:color w:val="auto"/>
          <w:sz w:val="24"/>
        </w:rPr>
        <w:t>服务期限与磋商响应文件所指明的，或者与本合同所指明的内容相一致。（附清单）</w:t>
      </w:r>
    </w:p>
    <w:p>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八、项目实施地点：</w:t>
      </w:r>
      <w:r>
        <w:rPr>
          <w:rFonts w:hint="eastAsia" w:ascii="仿宋_GB2312" w:hAnsi="仿宋_GB2312" w:eastAsia="仿宋_GB2312" w:cs="仿宋_GB2312"/>
          <w:color w:val="auto"/>
          <w:sz w:val="24"/>
          <w:szCs w:val="24"/>
        </w:rPr>
        <w:t>秦始皇帝陵博物院指定地点。</w:t>
      </w:r>
    </w:p>
    <w:p>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九、质量保证：</w:t>
      </w:r>
    </w:p>
    <w:p>
      <w:pPr>
        <w:pageBreakBefore w:val="0"/>
        <w:overflowPunct/>
        <w:topLinePunct w:val="0"/>
        <w:bidi w:val="0"/>
        <w:spacing w:line="360" w:lineRule="auto"/>
        <w:ind w:firstLine="480" w:firstLineChars="200"/>
        <w:rPr>
          <w:rFonts w:hint="eastAsia" w:ascii="仿宋_GB2312" w:hAnsi="仿宋_GB2312" w:eastAsia="仿宋_GB2312" w:cs="仿宋_GB2312"/>
          <w:bCs/>
          <w:color w:val="auto"/>
          <w:sz w:val="24"/>
        </w:rPr>
      </w:pPr>
      <w:r>
        <w:rPr>
          <w:rFonts w:hint="eastAsia" w:ascii="仿宋_GB2312" w:hAnsi="仿宋_GB2312" w:eastAsia="仿宋_GB2312" w:cs="仿宋_GB2312"/>
          <w:bCs/>
          <w:color w:val="auto"/>
          <w:sz w:val="24"/>
        </w:rPr>
        <w:t>供应商</w:t>
      </w:r>
      <w:r>
        <w:rPr>
          <w:rFonts w:hint="eastAsia" w:ascii="仿宋_GB2312" w:hAnsi="仿宋_GB2312" w:eastAsia="仿宋_GB2312" w:cs="仿宋_GB2312"/>
          <w:bCs/>
          <w:color w:val="auto"/>
          <w:sz w:val="24"/>
          <w:lang w:eastAsia="zh-CN"/>
        </w:rPr>
        <w:t>提供</w:t>
      </w:r>
      <w:r>
        <w:rPr>
          <w:rFonts w:hint="eastAsia" w:ascii="仿宋_GB2312" w:hAnsi="仿宋_GB2312" w:eastAsia="仿宋_GB2312" w:cs="仿宋_GB2312"/>
          <w:bCs/>
          <w:color w:val="auto"/>
          <w:sz w:val="24"/>
        </w:rPr>
        <w:t>的</w:t>
      </w:r>
      <w:r>
        <w:rPr>
          <w:rFonts w:hint="eastAsia" w:ascii="仿宋_GB2312" w:hAnsi="仿宋_GB2312" w:eastAsia="仿宋_GB2312" w:cs="仿宋_GB2312"/>
          <w:bCs/>
          <w:color w:val="auto"/>
          <w:sz w:val="24"/>
          <w:lang w:eastAsia="zh-CN"/>
        </w:rPr>
        <w:t>服务</w:t>
      </w:r>
      <w:r>
        <w:rPr>
          <w:rFonts w:hint="eastAsia" w:ascii="仿宋_GB2312" w:hAnsi="仿宋_GB2312" w:eastAsia="仿宋_GB2312" w:cs="仿宋_GB2312"/>
          <w:bCs/>
          <w:color w:val="auto"/>
          <w:sz w:val="24"/>
        </w:rPr>
        <w:t>及备件耗材必须保证质量可靠，应全面满足磋商文件的要求，磋商文件未明确要求的内容，供应商按采购服务要求或以采购人的补充要求为准。所供服务应严格按照国家最新发布的规范标准执行，如发生问题由供应商承担全部责任。</w:t>
      </w:r>
      <w:r>
        <w:rPr>
          <w:rFonts w:hint="eastAsia" w:ascii="仿宋_GB2312" w:hAnsi="仿宋_GB2312" w:eastAsia="仿宋_GB2312" w:cs="仿宋_GB2312"/>
          <w:bCs/>
          <w:color w:val="auto"/>
          <w:sz w:val="24"/>
          <w:lang w:eastAsia="zh-CN"/>
        </w:rPr>
        <w:t>供应商</w:t>
      </w:r>
      <w:r>
        <w:rPr>
          <w:rFonts w:hint="eastAsia" w:ascii="仿宋_GB2312" w:hAnsi="仿宋_GB2312" w:eastAsia="仿宋_GB2312" w:cs="仿宋_GB2312"/>
          <w:bCs/>
          <w:color w:val="auto"/>
          <w:sz w:val="24"/>
        </w:rPr>
        <w:t>要求具有完善的管理及服务体系、高效的工作作风。</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十、保密</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双方须对工作中了解到的使用单位技术、机密等进行严格保密，不得向他人泄漏。</w:t>
      </w:r>
    </w:p>
    <w:p>
      <w:pPr>
        <w:pageBreakBefore w:val="0"/>
        <w:overflowPunct/>
        <w:topLinePunct w:val="0"/>
        <w:bidi w:val="0"/>
        <w:spacing w:line="360" w:lineRule="auto"/>
        <w:outlineLvl w:val="2"/>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十一、知识产权</w:t>
      </w:r>
    </w:p>
    <w:p>
      <w:pPr>
        <w:pageBreakBefore w:val="0"/>
        <w:overflowPunct/>
        <w:topLinePunct w:val="0"/>
        <w:bidi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应保证投标产品及服务不会出现因第三方提出侵犯其专利权、商标权或其它知识产权而引发法律或经济纠纷，否则由供应商承担全部责任。任何被供应商用于未经授权的商业目的行为所造成的违约或侵权责任由供应商承但。</w:t>
      </w:r>
    </w:p>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十二、合同争议的解决：</w:t>
      </w:r>
      <w:r>
        <w:rPr>
          <w:rFonts w:hint="eastAsia" w:ascii="仿宋_GB2312" w:hAnsi="仿宋_GB2312" w:eastAsia="仿宋_GB2312" w:cs="仿宋_GB2312"/>
          <w:color w:val="auto"/>
          <w:sz w:val="24"/>
        </w:rPr>
        <w:t>合同执行中发生争议的，当事人双方应协商解决，协商达不成一致时，可向采购人住所地有管辖权的人民法院提请诉讼。</w:t>
      </w:r>
    </w:p>
    <w:p>
      <w:pPr>
        <w:pageBreakBefore w:val="0"/>
        <w:overflowPunct/>
        <w:topLinePunct w:val="0"/>
        <w:bidi w:val="0"/>
        <w:spacing w:line="360" w:lineRule="auto"/>
        <w:outlineLvl w:val="2"/>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十三、</w:t>
      </w:r>
      <w:r>
        <w:rPr>
          <w:rFonts w:hint="eastAsia" w:ascii="仿宋_GB2312" w:hAnsi="仿宋_GB2312" w:eastAsia="仿宋_GB2312" w:cs="仿宋_GB2312"/>
          <w:color w:val="auto"/>
          <w:sz w:val="24"/>
        </w:rPr>
        <w:t>在发生不可抗力情况下的应对措施和解决办法。</w:t>
      </w:r>
    </w:p>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二四、</w:t>
      </w:r>
      <w:r>
        <w:rPr>
          <w:rFonts w:hint="eastAsia" w:ascii="仿宋_GB2312" w:hAnsi="仿宋_GB2312" w:eastAsia="仿宋_GB2312" w:cs="仿宋_GB2312"/>
          <w:color w:val="auto"/>
          <w:sz w:val="24"/>
        </w:rPr>
        <w:t>合同一经签订，不得擅自变更、中止或者终止合同。对确需变更、调整或者中止、终止合同的，应按规定履行相应的手续。</w:t>
      </w:r>
    </w:p>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十五、违约责任：</w:t>
      </w:r>
      <w:r>
        <w:rPr>
          <w:rFonts w:hint="eastAsia" w:ascii="仿宋_GB2312" w:hAnsi="仿宋_GB2312" w:eastAsia="仿宋_GB2312" w:cs="仿宋_GB2312"/>
          <w:color w:val="auto"/>
          <w:sz w:val="24"/>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pPr>
        <w:pageBreakBefore w:val="0"/>
        <w:overflowPunct/>
        <w:topLinePunct w:val="0"/>
        <w:bidi w:val="0"/>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b/>
          <w:color w:val="auto"/>
          <w:sz w:val="24"/>
        </w:rPr>
        <w:t>十六、其他（</w:t>
      </w:r>
      <w:r>
        <w:rPr>
          <w:rFonts w:hint="eastAsia" w:ascii="仿宋_GB2312" w:hAnsi="仿宋_GB2312" w:eastAsia="仿宋_GB2312" w:cs="仿宋_GB2312"/>
          <w:color w:val="auto"/>
          <w:sz w:val="24"/>
        </w:rPr>
        <w:t>在合同中具体明确）</w:t>
      </w:r>
    </w:p>
    <w:p>
      <w:pPr>
        <w:pageBreakBefore w:val="0"/>
        <w:overflowPunct/>
        <w:topLinePunct w:val="0"/>
        <w:bidi w:val="0"/>
        <w:spacing w:line="360" w:lineRule="auto"/>
        <w:rPr>
          <w:rFonts w:hint="eastAsia" w:ascii="仿宋_GB2312" w:hAnsi="仿宋_GB2312" w:eastAsia="仿宋_GB2312" w:cs="仿宋_GB2312"/>
          <w:b/>
          <w:color w:val="auto"/>
          <w:sz w:val="24"/>
        </w:rPr>
      </w:pPr>
      <w:r>
        <w:rPr>
          <w:rFonts w:hint="eastAsia" w:ascii="仿宋_GB2312" w:hAnsi="仿宋_GB2312" w:eastAsia="仿宋_GB2312" w:cs="仿宋_GB2312"/>
          <w:b/>
          <w:color w:val="auto"/>
          <w:sz w:val="24"/>
        </w:rPr>
        <w:t>十七、合同订立</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 订立时间：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年</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月</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日。</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 订立地点：</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w:t>
      </w:r>
    </w:p>
    <w:p>
      <w:pPr>
        <w:pageBreakBefore w:val="0"/>
        <w:tabs>
          <w:tab w:val="left" w:pos="980"/>
        </w:tabs>
        <w:kinsoku w:val="0"/>
        <w:overflowPunct/>
        <w:topLinePunct w:val="0"/>
        <w:bidi w:val="0"/>
        <w:spacing w:line="360" w:lineRule="auto"/>
        <w:ind w:left="354" w:leftChars="104" w:firstLine="259" w:firstLineChars="10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 本合同一式</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份，具有同等法律效力，双方各执</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份，监管部门备案壹份、采购代理机构存档壹份。各方签字盖章后生效，合同执行完毕自动失效（合同的服务承诺则长期有效）。</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采购人：</w:t>
      </w:r>
      <w:r>
        <w:rPr>
          <w:rFonts w:hint="eastAsia" w:ascii="仿宋_GB2312" w:hAnsi="仿宋_GB2312" w:eastAsia="仿宋_GB2312" w:cs="仿宋_GB2312"/>
          <w:color w:val="auto"/>
          <w:sz w:val="24"/>
          <w:u w:val="single"/>
        </w:rPr>
        <w:t xml:space="preserve">   （盖章）     </w:t>
      </w:r>
      <w:r>
        <w:rPr>
          <w:rFonts w:hint="eastAsia" w:ascii="仿宋_GB2312" w:hAnsi="仿宋_GB2312" w:eastAsia="仿宋_GB2312" w:cs="仿宋_GB2312"/>
          <w:color w:val="auto"/>
          <w:sz w:val="24"/>
        </w:rPr>
        <w:t xml:space="preserve">           供应商：</w:t>
      </w:r>
      <w:r>
        <w:rPr>
          <w:rFonts w:hint="eastAsia" w:ascii="仿宋_GB2312" w:hAnsi="仿宋_GB2312" w:eastAsia="仿宋_GB2312" w:cs="仿宋_GB2312"/>
          <w:color w:val="auto"/>
          <w:sz w:val="24"/>
          <w:u w:val="single"/>
        </w:rPr>
        <w:t xml:space="preserve">   （盖章）    </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 xml:space="preserve">地址：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地址： </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邮政编码：</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邮政编码：           </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80" w:firstLineChars="2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法定代表人或其授权                 法定代表人或其授权</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的代理人：</w:t>
      </w:r>
      <w:r>
        <w:rPr>
          <w:rFonts w:hint="eastAsia" w:ascii="仿宋_GB2312" w:hAnsi="仿宋_GB2312" w:eastAsia="仿宋_GB2312" w:cs="仿宋_GB2312"/>
          <w:color w:val="auto"/>
          <w:sz w:val="24"/>
          <w:u w:val="single"/>
        </w:rPr>
        <w:t xml:space="preserve">（签字）      </w:t>
      </w:r>
      <w:r>
        <w:rPr>
          <w:rFonts w:hint="eastAsia" w:ascii="仿宋_GB2312" w:hAnsi="仿宋_GB2312" w:eastAsia="仿宋_GB2312" w:cs="仿宋_GB2312"/>
          <w:color w:val="auto"/>
          <w:sz w:val="24"/>
        </w:rPr>
        <w:t xml:space="preserve">           的代理人：</w:t>
      </w:r>
      <w:r>
        <w:rPr>
          <w:rFonts w:hint="eastAsia" w:ascii="仿宋_GB2312" w:hAnsi="仿宋_GB2312" w:eastAsia="仿宋_GB2312" w:cs="仿宋_GB2312"/>
          <w:color w:val="auto"/>
          <w:sz w:val="24"/>
          <w:u w:val="single"/>
        </w:rPr>
        <w:t xml:space="preserve">（签字）          </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开户银行：</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开户银行：</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账号：</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账号：</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电话：</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电话：</w:t>
      </w:r>
      <w:r>
        <w:rPr>
          <w:rFonts w:hint="eastAsia" w:ascii="仿宋_GB2312" w:hAnsi="仿宋_GB2312" w:eastAsia="仿宋_GB2312" w:cs="仿宋_GB2312"/>
          <w:color w:val="auto"/>
          <w:sz w:val="24"/>
          <w:u w:val="single"/>
        </w:rPr>
        <w:t xml:space="preserve">                       </w:t>
      </w: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r>
        <w:rPr>
          <w:rFonts w:hint="eastAsia" w:ascii="仿宋_GB2312" w:hAnsi="仿宋_GB2312" w:eastAsia="仿宋_GB2312" w:cs="仿宋_GB2312"/>
          <w:color w:val="auto"/>
          <w:sz w:val="24"/>
        </w:rPr>
        <w:t>电子邮箱：</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电子邮箱：</w:t>
      </w:r>
      <w:r>
        <w:rPr>
          <w:rFonts w:hint="eastAsia" w:ascii="仿宋_GB2312" w:hAnsi="仿宋_GB2312" w:eastAsia="仿宋_GB2312" w:cs="仿宋_GB2312"/>
          <w:color w:val="auto"/>
          <w:sz w:val="24"/>
          <w:u w:val="single"/>
        </w:rPr>
        <w:t xml:space="preserve">                 </w:t>
      </w:r>
      <w:bookmarkEnd w:id="0"/>
      <w:bookmarkEnd w:id="1"/>
      <w:bookmarkEnd w:id="2"/>
    </w:p>
    <w:p>
      <w:pPr>
        <w:pageBreakBefore w:val="0"/>
        <w:overflowPunct/>
        <w:topLinePunct w:val="0"/>
        <w:bidi w:val="0"/>
        <w:adjustRightInd w:val="0"/>
        <w:snapToGrid w:val="0"/>
        <w:spacing w:line="360" w:lineRule="auto"/>
        <w:rPr>
          <w:rFonts w:hint="eastAsia" w:ascii="仿宋_GB2312" w:hAnsi="仿宋_GB2312" w:eastAsia="仿宋_GB2312" w:cs="仿宋_GB2312"/>
          <w:color w:val="auto"/>
          <w:sz w:val="24"/>
          <w:u w:val="single"/>
        </w:rPr>
      </w:pP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pPr>
        <w:pageBreakBefore w:val="0"/>
        <w:overflowPunct/>
        <w:topLinePunct w:val="0"/>
        <w:bidi w:val="0"/>
        <w:adjustRightInd w:val="0"/>
        <w:snapToGrid w:val="0"/>
        <w:spacing w:line="360" w:lineRule="auto"/>
        <w:ind w:firstLine="475" w:firstLineChars="198"/>
        <w:rPr>
          <w:rFonts w:hint="eastAsia" w:ascii="仿宋_GB2312" w:hAnsi="仿宋_GB2312" w:eastAsia="仿宋_GB2312" w:cs="仿宋_GB2312"/>
          <w:color w:val="auto"/>
          <w:sz w:val="24"/>
          <w:u w:val="single"/>
        </w:rPr>
      </w:pPr>
    </w:p>
    <w:p>
      <w:pPr>
        <w:pageBreakBefore w:val="0"/>
        <w:overflowPunct/>
        <w:topLinePunct w:val="0"/>
        <w:bidi w:val="0"/>
        <w:adjustRightInd w:val="0"/>
        <w:snapToGrid w:val="0"/>
        <w:spacing w:line="360" w:lineRule="auto"/>
        <w:ind w:firstLine="475" w:firstLineChars="198"/>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（合同模板供参考）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1A5E2F46"/>
    <w:rsid w:val="1A5E2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qFormat/>
    <w:uiPriority w:val="0"/>
    <w:pPr>
      <w:keepNext/>
      <w:keepLines/>
      <w:spacing w:before="340" w:after="330" w:line="576" w:lineRule="auto"/>
      <w:outlineLvl w:val="0"/>
    </w:pPr>
    <w:rPr>
      <w:rFonts w:ascii="Calibri" w:hAnsi="Calibri"/>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2023-07-20T02:07:00Z</dcterms:created>
  <dc:creator>Administrator</dc:creator>
  <cp:lastModifiedBy>Administrator</cp:lastModifiedBy>
  <dcterms:modified xsi:type="dcterms:W3CDTF">2023-07-20T02:07:14Z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D9BBC7F5A29A4590A20C70F73C2F2B21_11</vt:lpwstr>
  </property>
</Properties>
</file>