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 w:bidi="ar"/>
        </w:rPr>
        <w:t>陕西财政2023年信息化运转类项目—厅网络机房基础设施维保采购需求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为保障我厅网络机房正常运行，为财政业务系统提供基础支撑，需购买机房UPS电源系统、机房后备发电机系统、机房专用精密空调、机房消防灭火系统、机房动环门禁等系统维保及技术支持服务等。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GRjYTgxYmVmZjg2ZTE4YjA5OTRmMGNiZjBmYWUifQ=="/>
  </w:docVars>
  <w:rsids>
    <w:rsidRoot w:val="00000000"/>
    <w:rsid w:val="240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2023-08-21T02:51:40Z</dcterms:created>
  <dc:creator>Administrator</dc:creator>
  <cp:lastModifiedBy>Yuner</cp:lastModifiedBy>
  <dcterms:modified xsi:type="dcterms:W3CDTF">2023-08-21T02:54:10Z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E4D2153878B44ADD8BE530C89E80D885_12</vt:lpwstr>
  </property>
</Properties>
</file>