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rPr>
          <w:rFonts w:ascii="宋体" w:hAnsi="宋体"/>
          <w:b/>
          <w:color w:val="auto"/>
          <w:sz w:val="32"/>
          <w:szCs w:val="32"/>
          <w:highlight w:val="none"/>
        </w:rPr>
      </w:pPr>
      <w:r>
        <w:rPr>
          <w:rFonts w:hint="eastAsia" w:ascii="宋体" w:hAnsi="宋体"/>
          <w:b/>
          <w:color w:val="auto"/>
          <w:sz w:val="32"/>
          <w:szCs w:val="32"/>
          <w:highlight w:val="none"/>
        </w:rPr>
        <w:t>政府采购项目</w:t>
      </w:r>
    </w:p>
    <w:p>
      <w:pPr>
        <w:rPr>
          <w:rFonts w:ascii="宋体" w:hAnsi="宋体"/>
          <w:color w:val="auto"/>
          <w:sz w:val="52"/>
          <w:szCs w:val="52"/>
          <w:highlight w:val="none"/>
        </w:rPr>
      </w:pPr>
    </w:p>
    <w:p>
      <w:pPr>
        <w:ind w:firstLine="1898" w:firstLineChars="350"/>
        <w:rPr>
          <w:rFonts w:ascii="宋体" w:hAnsi="宋体"/>
          <w:b/>
          <w:color w:val="auto"/>
          <w:spacing w:val="-20"/>
          <w:sz w:val="58"/>
          <w:szCs w:val="58"/>
          <w:highlight w:val="none"/>
        </w:rPr>
      </w:pPr>
      <w:r>
        <w:rPr>
          <w:rFonts w:hint="eastAsia" w:ascii="宋体" w:hAnsi="宋体"/>
          <w:b/>
          <w:color w:val="auto"/>
          <w:spacing w:val="-20"/>
          <w:sz w:val="58"/>
          <w:szCs w:val="58"/>
          <w:highlight w:val="none"/>
        </w:rPr>
        <w:t>X X X X X X（项目名称）</w:t>
      </w:r>
    </w:p>
    <w:p>
      <w:pPr>
        <w:jc w:val="center"/>
        <w:rPr>
          <w:rFonts w:ascii="宋体" w:hAnsi="宋体"/>
          <w:b/>
          <w:color w:val="auto"/>
          <w:sz w:val="72"/>
          <w:szCs w:val="72"/>
          <w:highlight w:val="none"/>
        </w:rPr>
      </w:pPr>
    </w:p>
    <w:p>
      <w:pPr>
        <w:jc w:val="center"/>
        <w:rPr>
          <w:rFonts w:ascii="宋体" w:hAnsi="宋体"/>
          <w:b/>
          <w:color w:val="auto"/>
          <w:sz w:val="72"/>
          <w:szCs w:val="72"/>
          <w:highlight w:val="none"/>
        </w:rPr>
      </w:pPr>
    </w:p>
    <w:p>
      <w:pPr>
        <w:jc w:val="center"/>
        <w:rPr>
          <w:rFonts w:ascii="宋体" w:hAnsi="宋体"/>
          <w:b/>
          <w:color w:val="auto"/>
          <w:sz w:val="72"/>
          <w:szCs w:val="72"/>
          <w:highlight w:val="none"/>
        </w:rPr>
      </w:pPr>
      <w:r>
        <w:rPr>
          <w:rFonts w:hint="eastAsia" w:ascii="宋体" w:hAnsi="宋体"/>
          <w:b/>
          <w:color w:val="auto"/>
          <w:sz w:val="72"/>
          <w:szCs w:val="72"/>
          <w:highlight w:val="none"/>
        </w:rPr>
        <w:t>服 务 合 同</w:t>
      </w:r>
    </w:p>
    <w:p>
      <w:pPr>
        <w:jc w:val="center"/>
        <w:rPr>
          <w:rFonts w:ascii="宋体" w:hAnsi="宋体"/>
          <w:color w:val="auto"/>
          <w:sz w:val="30"/>
          <w:szCs w:val="30"/>
          <w:highlight w:val="none"/>
        </w:rPr>
      </w:pPr>
      <w:r>
        <w:rPr>
          <w:rFonts w:hint="eastAsia" w:ascii="宋体" w:hAnsi="宋体"/>
          <w:color w:val="auto"/>
          <w:sz w:val="30"/>
          <w:szCs w:val="30"/>
          <w:highlight w:val="none"/>
        </w:rPr>
        <w:t>（编号：        ）</w:t>
      </w:r>
    </w:p>
    <w:p>
      <w:pPr>
        <w:jc w:val="center"/>
        <w:rPr>
          <w:rFonts w:ascii="宋体" w:hAnsi="宋体"/>
          <w:color w:val="auto"/>
          <w:sz w:val="30"/>
          <w:szCs w:val="30"/>
          <w:highlight w:val="none"/>
        </w:rPr>
      </w:pPr>
      <w:r>
        <w:rPr>
          <w:rFonts w:hint="eastAsia" w:ascii="宋体" w:hAnsi="宋体"/>
          <w:color w:val="auto"/>
          <w:sz w:val="30"/>
          <w:szCs w:val="30"/>
          <w:highlight w:val="none"/>
        </w:rPr>
        <w:t xml:space="preserve"> </w:t>
      </w:r>
    </w:p>
    <w:p>
      <w:pPr>
        <w:jc w:val="center"/>
        <w:rPr>
          <w:rFonts w:ascii="宋体" w:hAnsi="宋体"/>
          <w:color w:val="auto"/>
          <w:sz w:val="30"/>
          <w:szCs w:val="30"/>
          <w:highlight w:val="none"/>
        </w:rPr>
      </w:pPr>
    </w:p>
    <w:p>
      <w:pPr>
        <w:jc w:val="center"/>
        <w:rPr>
          <w:rFonts w:ascii="宋体" w:hAnsi="宋体"/>
          <w:color w:val="auto"/>
          <w:sz w:val="30"/>
          <w:szCs w:val="30"/>
          <w:highlight w:val="none"/>
        </w:rPr>
      </w:pPr>
    </w:p>
    <w:p>
      <w:pPr>
        <w:rPr>
          <w:rFonts w:ascii="宋体" w:hAnsi="宋体"/>
          <w:color w:val="auto"/>
          <w:sz w:val="30"/>
          <w:szCs w:val="30"/>
          <w:highlight w:val="none"/>
        </w:rPr>
      </w:pPr>
    </w:p>
    <w:p>
      <w:pPr>
        <w:jc w:val="center"/>
        <w:rPr>
          <w:rFonts w:ascii="宋体" w:hAnsi="宋体"/>
          <w:color w:val="auto"/>
          <w:sz w:val="30"/>
          <w:szCs w:val="30"/>
          <w:highlight w:val="none"/>
        </w:rPr>
      </w:pPr>
    </w:p>
    <w:p>
      <w:pPr>
        <w:ind w:firstLine="2124" w:firstLineChars="664"/>
        <w:rPr>
          <w:rFonts w:ascii="宋体" w:hAnsi="宋体"/>
          <w:color w:val="auto"/>
          <w:sz w:val="32"/>
          <w:szCs w:val="32"/>
          <w:highlight w:val="none"/>
        </w:rPr>
      </w:pPr>
      <w:r>
        <w:rPr>
          <w:rFonts w:hint="eastAsia" w:ascii="宋体" w:hAnsi="宋体"/>
          <w:color w:val="auto"/>
          <w:sz w:val="32"/>
          <w:szCs w:val="32"/>
          <w:highlight w:val="none"/>
        </w:rPr>
        <w:t>甲  方：XXXXXXX</w:t>
      </w:r>
    </w:p>
    <w:p>
      <w:pPr>
        <w:tabs>
          <w:tab w:val="left" w:pos="480"/>
        </w:tabs>
        <w:ind w:firstLine="2124" w:firstLineChars="664"/>
        <w:rPr>
          <w:rFonts w:ascii="宋体" w:hAnsi="宋体"/>
          <w:color w:val="auto"/>
          <w:sz w:val="32"/>
          <w:szCs w:val="32"/>
          <w:highlight w:val="none"/>
        </w:rPr>
      </w:pPr>
      <w:r>
        <w:rPr>
          <w:rFonts w:hint="eastAsia" w:ascii="宋体" w:hAnsi="宋体"/>
          <w:color w:val="auto"/>
          <w:sz w:val="32"/>
          <w:szCs w:val="32"/>
          <w:highlight w:val="none"/>
        </w:rPr>
        <w:t>乙  方：XXXXXXX</w:t>
      </w:r>
    </w:p>
    <w:p>
      <w:pPr>
        <w:ind w:firstLine="2118" w:firstLineChars="662"/>
        <w:rPr>
          <w:rFonts w:ascii="宋体" w:hAnsi="宋体"/>
          <w:color w:val="auto"/>
          <w:sz w:val="32"/>
          <w:szCs w:val="32"/>
          <w:highlight w:val="none"/>
        </w:rPr>
      </w:pPr>
      <w:r>
        <w:rPr>
          <w:rFonts w:hint="eastAsia" w:ascii="宋体" w:hAnsi="宋体"/>
          <w:bCs/>
          <w:color w:val="auto"/>
          <w:sz w:val="32"/>
          <w:szCs w:val="21"/>
          <w:highlight w:val="none"/>
        </w:rPr>
        <w:t>鉴证</w:t>
      </w:r>
      <w:r>
        <w:rPr>
          <w:rFonts w:hint="eastAsia" w:ascii="宋体" w:hAnsi="宋体"/>
          <w:bCs/>
          <w:color w:val="auto"/>
          <w:sz w:val="32"/>
          <w:szCs w:val="32"/>
          <w:highlight w:val="none"/>
        </w:rPr>
        <w:t>方</w:t>
      </w:r>
      <w:r>
        <w:rPr>
          <w:rFonts w:hint="eastAsia" w:ascii="宋体" w:hAnsi="宋体"/>
          <w:color w:val="auto"/>
          <w:sz w:val="32"/>
          <w:szCs w:val="32"/>
          <w:highlight w:val="none"/>
        </w:rPr>
        <w:t>：采购代理机构</w:t>
      </w:r>
    </w:p>
    <w:p>
      <w:pPr>
        <w:jc w:val="center"/>
        <w:rPr>
          <w:rFonts w:ascii="宋体" w:hAnsi="宋体"/>
          <w:color w:val="auto"/>
          <w:sz w:val="30"/>
          <w:szCs w:val="30"/>
          <w:highlight w:val="none"/>
        </w:rPr>
      </w:pPr>
    </w:p>
    <w:p>
      <w:pPr>
        <w:jc w:val="center"/>
        <w:rPr>
          <w:rFonts w:ascii="宋体" w:hAnsi="宋体"/>
          <w:color w:val="auto"/>
          <w:sz w:val="32"/>
          <w:szCs w:val="32"/>
          <w:highlight w:val="none"/>
        </w:rPr>
      </w:pPr>
      <w:r>
        <w:rPr>
          <w:rFonts w:hint="eastAsia" w:ascii="宋体" w:hAnsi="宋体"/>
          <w:color w:val="auto"/>
          <w:sz w:val="32"/>
          <w:szCs w:val="32"/>
          <w:highlight w:val="none"/>
        </w:rPr>
        <w:t>202X年XX月</w:t>
      </w:r>
    </w:p>
    <w:p>
      <w:pPr>
        <w:jc w:val="center"/>
        <w:rPr>
          <w:rFonts w:ascii="宋体" w:hAnsi="宋体"/>
          <w:b/>
          <w:color w:val="auto"/>
          <w:sz w:val="36"/>
          <w:szCs w:val="36"/>
          <w:highlight w:val="none"/>
        </w:rPr>
      </w:pPr>
      <w:r>
        <w:rPr>
          <w:rFonts w:hint="eastAsia" w:ascii="宋体" w:hAnsi="宋体"/>
          <w:color w:val="auto"/>
          <w:sz w:val="32"/>
          <w:szCs w:val="32"/>
          <w:highlight w:val="none"/>
        </w:rPr>
        <w:t>中国  西安</w:t>
      </w:r>
    </w:p>
    <w:p>
      <w:pPr>
        <w:spacing w:line="360" w:lineRule="auto"/>
        <w:rPr>
          <w:rFonts w:ascii="宋体" w:hAnsi="宋体" w:cs="宋体"/>
          <w:color w:val="auto"/>
          <w:sz w:val="24"/>
          <w:highlight w:val="none"/>
        </w:rPr>
      </w:pPr>
      <w:r>
        <w:rPr>
          <w:rFonts w:ascii="宋体" w:hAnsi="宋体"/>
          <w:color w:val="auto"/>
          <w:spacing w:val="-20"/>
          <w:kern w:val="0"/>
          <w:sz w:val="28"/>
          <w:szCs w:val="20"/>
          <w:highlight w:val="none"/>
        </w:rPr>
        <w:br w:type="page"/>
      </w:r>
    </w:p>
    <w:p>
      <w:pPr>
        <w:spacing w:line="360" w:lineRule="auto"/>
        <w:rPr>
          <w:rFonts w:ascii="宋体" w:hAnsi="宋体" w:cs="宋体"/>
          <w:color w:val="auto"/>
          <w:sz w:val="24"/>
          <w:highlight w:val="none"/>
        </w:rPr>
      </w:pPr>
      <w:r>
        <w:rPr>
          <w:rFonts w:hint="eastAsia" w:ascii="宋体" w:hAnsi="宋体" w:cs="宋体"/>
          <w:color w:val="auto"/>
          <w:sz w:val="24"/>
          <w:highlight w:val="none"/>
        </w:rPr>
        <w:t>采购人 (甲方)：</w:t>
      </w:r>
      <w:r>
        <w:rPr>
          <w:rFonts w:hint="eastAsia" w:ascii="宋体" w:hAnsi="宋体" w:cs="宋体"/>
          <w:b/>
          <w:color w:val="auto"/>
          <w:sz w:val="24"/>
          <w:highlight w:val="none"/>
          <w:u w:val="single"/>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rPr>
        <w:t>供应商 (乙方)：</w:t>
      </w:r>
      <w:r>
        <w:rPr>
          <w:rFonts w:hint="eastAsia" w:ascii="宋体" w:hAnsi="宋体" w:cs="宋体"/>
          <w:b/>
          <w:color w:val="auto"/>
          <w:sz w:val="24"/>
          <w:highlight w:val="none"/>
          <w:u w:val="single"/>
        </w:rPr>
        <w:t xml:space="preserve">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根据《中华人民共和国政府采购法》及实施条例、《中华人民共和国民法典》和甲方采购项目</w:t>
      </w:r>
      <w:r>
        <w:rPr>
          <w:rFonts w:hint="eastAsia" w:ascii="宋体" w:hAnsi="宋体" w:cs="宋体"/>
          <w:color w:val="auto"/>
          <w:sz w:val="24"/>
          <w:highlight w:val="none"/>
          <w:u w:val="single"/>
        </w:rPr>
        <w:t xml:space="preserve"> 西安监狱医疗管理服务     </w:t>
      </w:r>
      <w:r>
        <w:rPr>
          <w:rFonts w:hint="eastAsia" w:ascii="宋体" w:hAnsi="宋体" w:cs="宋体"/>
          <w:color w:val="auto"/>
          <w:sz w:val="24"/>
          <w:highlight w:val="none"/>
        </w:rPr>
        <w:t>(项目编号：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的招标文件、响应文件等有关规定，为确保甲方采购服务项目的顺利实施，甲、乙双方在平等自愿原则下签订本合同，并共同遵守如下条款：</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一、协议期限</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1、本协议自签订之日起生效，有效期  壹年</w:t>
      </w:r>
      <w:r>
        <w:rPr>
          <w:rFonts w:hint="eastAsia" w:ascii="宋体" w:hAnsi="宋体" w:cs="宋体"/>
          <w:color w:val="auto"/>
          <w:sz w:val="24"/>
          <w:highlight w:val="none"/>
          <w:u w:val="single"/>
        </w:rPr>
        <w:t xml:space="preserve"> （2023年  月  日至2024年  月   日）</w:t>
      </w:r>
      <w:r>
        <w:rPr>
          <w:rFonts w:hint="eastAsia" w:ascii="宋体" w:hAnsi="宋体" w:cs="宋体"/>
          <w:color w:val="auto"/>
          <w:sz w:val="24"/>
          <w:highlight w:val="none"/>
        </w:rPr>
        <w:t>。</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二、工作地点</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乙方的工作地点为：陕西省西安监狱医院</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三、工作内容</w:t>
      </w:r>
    </w:p>
    <w:p>
      <w:pPr>
        <w:spacing w:line="360" w:lineRule="auto"/>
        <w:ind w:firstLine="720" w:firstLineChars="300"/>
        <w:rPr>
          <w:rFonts w:ascii="宋体" w:hAnsi="宋体" w:cs="宋体"/>
          <w:color w:val="auto"/>
          <w:sz w:val="24"/>
          <w:highlight w:val="none"/>
        </w:rPr>
      </w:pPr>
      <w:r>
        <w:rPr>
          <w:rFonts w:hint="eastAsia"/>
          <w:color w:val="auto"/>
          <w:sz w:val="24"/>
          <w:szCs w:val="22"/>
          <w:highlight w:val="none"/>
        </w:rPr>
        <w:t>1、乙方负责甲方医院的医疗管理，需配备一名管理人员，负责日常管理，</w:t>
      </w:r>
      <w:r>
        <w:rPr>
          <w:rFonts w:hint="eastAsia" w:ascii="宋体" w:hAnsi="宋体" w:cs="宋体"/>
          <w:color w:val="auto"/>
          <w:sz w:val="24"/>
          <w:highlight w:val="none"/>
        </w:rPr>
        <w:t>合理调配在岗人员，做好相应的培训、教育等工作，保证基本医疗服务持续有效开展；</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2、乙方管理人员，需严格按照医疗规定落实相关管理措施及制度，每月召开院务会，对当月所开展医疗情况进行分析、总结，对存在不规范的医疗行为及不符合监狱规定的问题提出整改措施，立即进行整改。</w:t>
      </w:r>
    </w:p>
    <w:p>
      <w:pPr>
        <w:spacing w:line="360" w:lineRule="auto"/>
        <w:ind w:firstLine="720" w:firstLineChars="300"/>
        <w:rPr>
          <w:color w:val="auto"/>
          <w:highlight w:val="none"/>
        </w:rPr>
      </w:pPr>
      <w:r>
        <w:rPr>
          <w:rFonts w:hint="eastAsia"/>
          <w:color w:val="auto"/>
          <w:sz w:val="24"/>
          <w:szCs w:val="22"/>
          <w:highlight w:val="none"/>
        </w:rPr>
        <w:t>3、乙方聘用人员需依法执业。</w:t>
      </w:r>
      <w:r>
        <w:rPr>
          <w:rFonts w:hint="eastAsia" w:ascii="宋体" w:hAnsi="宋体" w:cs="宋体"/>
          <w:color w:val="auto"/>
          <w:sz w:val="24"/>
          <w:highlight w:val="none"/>
        </w:rPr>
        <w:t>乙方负责甲方医院的审批和设立手续，在条件成熟后及时开展内科、外科、口腔、医技科室（检验、影像、超声），</w:t>
      </w:r>
      <w:commentRangeStart w:id="0"/>
      <w:r>
        <w:rPr>
          <w:rFonts w:hint="eastAsia" w:ascii="宋体" w:hAnsi="宋体" w:cs="宋体"/>
          <w:color w:val="auto"/>
          <w:sz w:val="24"/>
          <w:highlight w:val="none"/>
        </w:rPr>
        <w:t>相关</w:t>
      </w:r>
      <w:commentRangeEnd w:id="0"/>
      <w:r>
        <w:rPr>
          <w:rStyle w:val="11"/>
          <w:color w:val="auto"/>
          <w:highlight w:val="none"/>
        </w:rPr>
        <w:commentReference w:id="0"/>
      </w:r>
      <w:r>
        <w:rPr>
          <w:rFonts w:hint="eastAsia" w:ascii="宋体" w:hAnsi="宋体" w:cs="宋体"/>
          <w:color w:val="auto"/>
          <w:sz w:val="24"/>
          <w:highlight w:val="none"/>
        </w:rPr>
        <w:t>费用另行结算</w:t>
      </w:r>
      <w:r>
        <w:rPr>
          <w:rFonts w:hint="eastAsia" w:ascii="宋体" w:hAnsi="宋体" w:cs="宋体"/>
          <w:color w:val="auto"/>
          <w:sz w:val="24"/>
          <w:highlight w:val="none"/>
        </w:rPr>
        <w:t>。乙方负责办理卫生部门要求的相关证照，包括《执业许可证》等，甲方协助乙方并提供必要支持，使医院开展的医疗业务合法、合规。</w:t>
      </w:r>
    </w:p>
    <w:p>
      <w:pPr>
        <w:spacing w:line="360" w:lineRule="auto"/>
        <w:ind w:firstLine="720" w:firstLineChars="300"/>
        <w:rPr>
          <w:color w:val="auto"/>
          <w:highlight w:val="none"/>
        </w:rPr>
      </w:pPr>
      <w:r>
        <w:rPr>
          <w:rFonts w:hint="eastAsia" w:ascii="宋体" w:hAnsi="宋体" w:cs="宋体"/>
          <w:color w:val="auto"/>
          <w:sz w:val="24"/>
          <w:highlight w:val="none"/>
        </w:rPr>
        <w:t>4、乙方负责甲方罪犯的门诊、急诊、转诊、巡诊、健康咨询、传染病管理、突发事件急救、协助甲方健康档案管理等医疗相关工作。</w:t>
      </w:r>
      <w:r>
        <w:rPr>
          <w:rFonts w:hint="eastAsia"/>
          <w:color w:val="auto"/>
          <w:sz w:val="24"/>
          <w:szCs w:val="22"/>
          <w:highlight w:val="none"/>
        </w:rPr>
        <w:t>负责西安监狱内罪犯常见的内科、外科、口腔疾病、慢性疾病，外伤清创缝合包扎、</w:t>
      </w:r>
      <w:r>
        <w:rPr>
          <w:rFonts w:hint="eastAsia"/>
          <w:color w:val="auto"/>
          <w:sz w:val="24"/>
          <w:szCs w:val="22"/>
          <w:highlight w:val="none"/>
        </w:rPr>
        <w:t>新犯收押</w:t>
      </w:r>
      <w:commentRangeStart w:id="1"/>
      <w:r>
        <w:rPr>
          <w:rFonts w:hint="eastAsia"/>
          <w:color w:val="auto"/>
          <w:sz w:val="24"/>
          <w:szCs w:val="22"/>
          <w:highlight w:val="none"/>
        </w:rPr>
        <w:t>体检</w:t>
      </w:r>
      <w:commentRangeEnd w:id="1"/>
      <w:r>
        <w:rPr>
          <w:rStyle w:val="11"/>
          <w:color w:val="auto"/>
          <w:highlight w:val="none"/>
        </w:rPr>
        <w:commentReference w:id="1"/>
      </w:r>
      <w:r>
        <w:rPr>
          <w:rFonts w:hint="eastAsia"/>
          <w:color w:val="auto"/>
          <w:sz w:val="24"/>
          <w:szCs w:val="22"/>
          <w:highlight w:val="none"/>
        </w:rPr>
        <w:t>。每周对各监区进行一次巡诊，加强患病罪犯的管理和关注，做好相关记录。</w:t>
      </w:r>
    </w:p>
    <w:p>
      <w:pPr>
        <w:spacing w:line="360" w:lineRule="auto"/>
        <w:ind w:firstLine="720" w:firstLineChars="300"/>
        <w:rPr>
          <w:color w:val="auto"/>
          <w:sz w:val="24"/>
          <w:szCs w:val="22"/>
          <w:highlight w:val="none"/>
        </w:rPr>
      </w:pPr>
      <w:r>
        <w:rPr>
          <w:rFonts w:hint="eastAsia" w:ascii="宋体" w:hAnsi="宋体" w:cs="宋体"/>
          <w:color w:val="auto"/>
          <w:sz w:val="24"/>
          <w:highlight w:val="none"/>
        </w:rPr>
        <w:t>5、乙方在为甲方提供医疗服务时，应当严格遵守医疗卫生管理法律、行政法规、部门规章制度以及诊疗护理规范、常规要求，合理用药。尽可能根据甲方罪犯病情，以最基本的药物为甲方提供最优质的医疗服务，减少不必要的院外诊疗，</w:t>
      </w:r>
      <w:r>
        <w:rPr>
          <w:rFonts w:hint="eastAsia"/>
          <w:color w:val="auto"/>
          <w:sz w:val="24"/>
          <w:szCs w:val="22"/>
          <w:highlight w:val="none"/>
        </w:rPr>
        <w:t>同等情况下，逐年降低外出就医费用。</w:t>
      </w:r>
    </w:p>
    <w:p>
      <w:pPr>
        <w:spacing w:line="360" w:lineRule="auto"/>
        <w:ind w:firstLine="720" w:firstLineChars="300"/>
        <w:rPr>
          <w:rFonts w:ascii="宋体" w:hAnsi="宋体" w:cs="宋体"/>
          <w:color w:val="auto"/>
          <w:sz w:val="24"/>
          <w:highlight w:val="none"/>
        </w:rPr>
      </w:pPr>
      <w:r>
        <w:rPr>
          <w:rFonts w:hint="eastAsia"/>
          <w:color w:val="auto"/>
          <w:sz w:val="24"/>
          <w:szCs w:val="22"/>
          <w:highlight w:val="none"/>
        </w:rPr>
        <w:t>6、</w:t>
      </w:r>
      <w:r>
        <w:rPr>
          <w:rFonts w:hint="eastAsia" w:ascii="宋体" w:hAnsi="宋体" w:cs="宋体"/>
          <w:color w:val="auto"/>
          <w:sz w:val="24"/>
          <w:highlight w:val="none"/>
        </w:rPr>
        <w:t>在保障甲方罪犯合法权益前提下，防止过度医疗和非必要医疗。提高责任意识，审慎诊断，精准施治，防止发生因误判造成患者院内病亡的责任事故。在医院管理期间，因乙方原因造成的不安全损失、医疗事故损失、物品损失、药品损失等由乙方承担相应法律责任。</w:t>
      </w:r>
    </w:p>
    <w:p>
      <w:pPr>
        <w:spacing w:line="360" w:lineRule="auto"/>
        <w:ind w:firstLine="720" w:firstLineChars="300"/>
        <w:rPr>
          <w:color w:val="auto"/>
          <w:sz w:val="24"/>
          <w:szCs w:val="22"/>
          <w:highlight w:val="none"/>
        </w:rPr>
      </w:pPr>
      <w:r>
        <w:rPr>
          <w:rFonts w:hint="eastAsia"/>
          <w:color w:val="auto"/>
          <w:sz w:val="24"/>
          <w:szCs w:val="22"/>
          <w:highlight w:val="none"/>
        </w:rPr>
        <w:t>7、</w:t>
      </w:r>
      <w:r>
        <w:rPr>
          <w:rFonts w:hint="eastAsia" w:ascii="宋体" w:hAnsi="宋体" w:cs="宋体"/>
          <w:color w:val="auto"/>
          <w:sz w:val="24"/>
          <w:highlight w:val="none"/>
        </w:rPr>
        <w:t>乙方需按照甲方相关规定建立完善各类医疗台账，包括病历、处方、门诊记录、外诊记录、巡诊记录、传染病记录、用药记录、外科处置记录、</w:t>
      </w:r>
      <w:commentRangeStart w:id="2"/>
      <w:r>
        <w:rPr>
          <w:rFonts w:hint="eastAsia" w:ascii="宋体" w:hAnsi="宋体" w:cs="宋体"/>
          <w:color w:val="auto"/>
          <w:sz w:val="24"/>
          <w:highlight w:val="none"/>
        </w:rPr>
        <w:t>精神病</w:t>
      </w:r>
      <w:commentRangeEnd w:id="2"/>
      <w:r>
        <w:rPr>
          <w:rStyle w:val="11"/>
          <w:color w:val="auto"/>
          <w:highlight w:val="none"/>
        </w:rPr>
        <w:commentReference w:id="2"/>
      </w:r>
      <w:r>
        <w:rPr>
          <w:rFonts w:hint="eastAsia" w:ascii="宋体" w:hAnsi="宋体" w:cs="宋体"/>
          <w:color w:val="auto"/>
          <w:sz w:val="24"/>
          <w:highlight w:val="none"/>
        </w:rPr>
        <w:t>犯记录</w:t>
      </w:r>
      <w:r>
        <w:rPr>
          <w:rFonts w:hint="eastAsia" w:ascii="宋体" w:hAnsi="宋体" w:cs="宋体"/>
          <w:color w:val="auto"/>
          <w:sz w:val="24"/>
          <w:highlight w:val="none"/>
        </w:rPr>
        <w:t>、重点病犯记录、消毒记录、培训计划，新犯收押体检记录等，做到整洁、全面、规范，有迹可查。</w:t>
      </w:r>
    </w:p>
    <w:p>
      <w:pPr>
        <w:spacing w:line="360" w:lineRule="auto"/>
        <w:ind w:firstLine="720" w:firstLineChars="300"/>
        <w:rPr>
          <w:rFonts w:ascii="宋体" w:hAnsi="宋体" w:cs="宋体"/>
          <w:color w:val="auto"/>
          <w:sz w:val="24"/>
          <w:highlight w:val="none"/>
        </w:rPr>
      </w:pPr>
      <w:r>
        <w:rPr>
          <w:rFonts w:hint="eastAsia"/>
          <w:color w:val="auto"/>
          <w:sz w:val="24"/>
          <w:szCs w:val="22"/>
          <w:highlight w:val="none"/>
        </w:rPr>
        <w:t>8、</w:t>
      </w:r>
      <w:r>
        <w:rPr>
          <w:rFonts w:hint="eastAsia" w:ascii="宋体" w:hAnsi="宋体" w:cs="宋体"/>
          <w:color w:val="auto"/>
          <w:sz w:val="24"/>
          <w:highlight w:val="none"/>
        </w:rPr>
        <w:t>乙方负责为甲方提供健康知识宣传服务，建立健康教育宣传栏（上墙），每月开办一次健康知识讲座，每周进行一次院内消毒，乙方承诺遇公共卫生突发事件及重大疾病流行时，及时配合甲方进行消毒隔离、预防接种、医疗救治及预防保健知识培训等医疗保障服务。</w:t>
      </w:r>
    </w:p>
    <w:p>
      <w:pPr>
        <w:spacing w:line="360" w:lineRule="auto"/>
        <w:ind w:firstLine="720" w:firstLineChars="300"/>
        <w:rPr>
          <w:color w:val="auto"/>
          <w:sz w:val="24"/>
          <w:szCs w:val="22"/>
          <w:highlight w:val="none"/>
        </w:rPr>
      </w:pPr>
      <w:r>
        <w:rPr>
          <w:rFonts w:hint="eastAsia"/>
          <w:color w:val="auto"/>
          <w:sz w:val="24"/>
          <w:szCs w:val="22"/>
          <w:highlight w:val="none"/>
        </w:rPr>
        <w:t>9、在甲方的协助下，处理好属地医疗管理部门及上级机关的业务关系，应对各级部门的监督、检查，对发现的问题及时整改，规范行为，不断提高整体医疗水平。</w:t>
      </w:r>
    </w:p>
    <w:p>
      <w:pPr>
        <w:spacing w:line="360" w:lineRule="auto"/>
        <w:ind w:firstLine="720" w:firstLineChars="300"/>
        <w:rPr>
          <w:color w:val="auto"/>
          <w:sz w:val="24"/>
          <w:szCs w:val="22"/>
          <w:highlight w:val="none"/>
        </w:rPr>
      </w:pPr>
      <w:r>
        <w:rPr>
          <w:rFonts w:hint="eastAsia"/>
          <w:color w:val="auto"/>
          <w:sz w:val="24"/>
          <w:szCs w:val="22"/>
          <w:highlight w:val="none"/>
        </w:rPr>
        <w:t>10、</w:t>
      </w:r>
      <w:r>
        <w:rPr>
          <w:rFonts w:hint="eastAsia" w:ascii="宋体" w:hAnsi="宋体" w:cs="宋体"/>
          <w:color w:val="auto"/>
          <w:sz w:val="24"/>
          <w:highlight w:val="none"/>
        </w:rPr>
        <w:t>乙方负责甲方医院医疗垃圾的及时清理，使医院环境卫生符合卫生部门的要求。医疗垃圾清运费用由甲方承担。</w:t>
      </w:r>
    </w:p>
    <w:p>
      <w:pPr>
        <w:spacing w:line="360" w:lineRule="auto"/>
        <w:ind w:firstLine="723" w:firstLineChars="300"/>
        <w:rPr>
          <w:color w:val="auto"/>
          <w:highlight w:val="none"/>
        </w:rPr>
      </w:pPr>
      <w:r>
        <w:rPr>
          <w:rFonts w:hint="eastAsia" w:ascii="宋体" w:hAnsi="宋体" w:cs="宋体"/>
          <w:b/>
          <w:bCs/>
          <w:color w:val="auto"/>
          <w:sz w:val="24"/>
          <w:highlight w:val="none"/>
        </w:rPr>
        <w:t>四、</w:t>
      </w:r>
      <w:r>
        <w:rPr>
          <w:rFonts w:hint="eastAsia" w:ascii="宋体" w:hAnsi="宋体" w:cs="宋体"/>
          <w:b/>
          <w:bCs/>
          <w:color w:val="auto"/>
          <w:sz w:val="28"/>
          <w:szCs w:val="28"/>
          <w:highlight w:val="none"/>
        </w:rPr>
        <w:t>工作时间</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周一至周日，每天保证一名医生、一名护士二十四小时值班；</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医技科室、口腔科业务开展后，每周按需安排人员正常上班（每周上班时间不少于一天）；</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五、聘用条件</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1、乙方对所聘工作人员须拥有下列真实有效的资格证件：</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身份证、毕业证、医师资格证、医师执业资格证、护士资格证、护士执业资格证等相关证件。</w:t>
      </w:r>
    </w:p>
    <w:p>
      <w:pPr>
        <w:numPr>
          <w:ilvl w:val="0"/>
          <w:numId w:val="1"/>
        </w:numPr>
        <w:spacing w:line="360" w:lineRule="auto"/>
        <w:ind w:firstLine="720"/>
        <w:rPr>
          <w:rFonts w:ascii="宋体" w:hAnsi="宋体" w:cs="宋体"/>
          <w:color w:val="auto"/>
          <w:sz w:val="24"/>
          <w:highlight w:val="none"/>
        </w:rPr>
      </w:pPr>
      <w:r>
        <w:rPr>
          <w:rFonts w:hint="eastAsia" w:ascii="宋体" w:hAnsi="宋体" w:cs="宋体"/>
          <w:color w:val="auto"/>
          <w:sz w:val="24"/>
          <w:highlight w:val="none"/>
        </w:rPr>
        <w:t>乙方负责上述资格证书等原件验证，其复印件交甲方保存。</w:t>
      </w:r>
    </w:p>
    <w:p>
      <w:pPr>
        <w:pStyle w:val="2"/>
        <w:rPr>
          <w:color w:val="auto"/>
          <w:highlight w:val="none"/>
        </w:rPr>
      </w:pPr>
      <w:r>
        <w:rPr>
          <w:rFonts w:hint="eastAsia"/>
          <w:color w:val="auto"/>
          <w:highlight w:val="none"/>
        </w:rPr>
        <w:t xml:space="preserve">      </w:t>
      </w:r>
      <w:r>
        <w:rPr>
          <w:rFonts w:ascii="Calibri" w:hAnsi="Calibri" w:cs="Calibri"/>
          <w:color w:val="auto"/>
          <w:sz w:val="24"/>
          <w:highlight w:val="none"/>
        </w:rPr>
        <w:t>3</w:t>
      </w:r>
      <w:r>
        <w:rPr>
          <w:rFonts w:hint="eastAsia"/>
          <w:color w:val="auto"/>
          <w:highlight w:val="none"/>
        </w:rPr>
        <w:t>、乙方所聘医生需具有五年以上从业经验的主治医师及以上职业资格，护士需具有护士执业资格证，并有一定的工作经验。</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六、费用支付</w:t>
      </w:r>
    </w:p>
    <w:p>
      <w:pPr>
        <w:widowControl/>
        <w:kinsoku w:val="0"/>
        <w:autoSpaceDE w:val="0"/>
        <w:autoSpaceDN w:val="0"/>
        <w:adjustRightInd w:val="0"/>
        <w:snapToGrid w:val="0"/>
        <w:spacing w:line="360" w:lineRule="auto"/>
        <w:ind w:firstLine="720" w:firstLineChars="300"/>
        <w:textAlignment w:val="baseline"/>
        <w:rPr>
          <w:color w:val="auto"/>
          <w:highlight w:val="none"/>
        </w:rPr>
      </w:pPr>
      <w:r>
        <w:rPr>
          <w:rFonts w:hint="eastAsia" w:ascii="宋体" w:hAnsi="宋体" w:cs="宋体"/>
          <w:color w:val="auto"/>
          <w:sz w:val="24"/>
          <w:highlight w:val="none"/>
        </w:rPr>
        <w:t>1、</w:t>
      </w:r>
      <w:r>
        <w:rPr>
          <w:rFonts w:hint="eastAsia" w:asciiTheme="minorEastAsia" w:hAnsiTheme="minorEastAsia" w:eastAsiaTheme="minorEastAsia" w:cstheme="minorEastAsia"/>
          <w:color w:val="auto"/>
          <w:sz w:val="24"/>
          <w:highlight w:val="none"/>
        </w:rPr>
        <w:t>中标人在领中标通知书之日起三日内向招标人交纳中标价款的10%作为履约保证金。合同签订后甲方支付</w:t>
      </w:r>
      <w:r>
        <w:rPr>
          <w:rFonts w:hint="eastAsia" w:ascii="宋体" w:hAnsi="宋体" w:cs="宋体"/>
          <w:color w:val="auto"/>
          <w:sz w:val="24"/>
          <w:highlight w:val="none"/>
        </w:rPr>
        <w:t>乙方的医院管理和医疗服务费，医疗管理服务费为</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元/年。</w:t>
      </w:r>
      <w:r>
        <w:rPr>
          <w:rFonts w:hint="eastAsia" w:ascii="宋体" w:hAnsi="宋体" w:cs="宋体"/>
          <w:color w:val="auto"/>
          <w:sz w:val="24"/>
          <w:highlight w:val="none"/>
        </w:rPr>
        <w:t>投标人需在甲方付款前按时向釆购人提供增值税普通发票。</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2、履约保证金</w:t>
      </w:r>
    </w:p>
    <w:p>
      <w:pP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履约保证金的形式：银行保函或现金、支票形式</w:t>
      </w:r>
    </w:p>
    <w:p>
      <w:pPr>
        <w:spacing w:line="400" w:lineRule="exact"/>
        <w:rPr>
          <w:rFonts w:hAnsi="宋体"/>
          <w:snapToGrid w:val="0"/>
          <w:color w:val="auto"/>
          <w:highlight w:val="none"/>
        </w:rPr>
      </w:pPr>
      <w:r>
        <w:rPr>
          <w:rFonts w:hint="eastAsia" w:asciiTheme="minorEastAsia" w:hAnsiTheme="minorEastAsia" w:eastAsiaTheme="minorEastAsia" w:cstheme="minorEastAsia"/>
          <w:color w:val="auto"/>
          <w:sz w:val="24"/>
          <w:highlight w:val="none"/>
        </w:rPr>
        <w:t>履约保证金的金额：中标人在领中标通知书之日</w:t>
      </w:r>
      <w:bookmarkStart w:id="0" w:name="_GoBack"/>
      <w:bookmarkEnd w:id="0"/>
      <w:r>
        <w:rPr>
          <w:rFonts w:hint="eastAsia" w:asciiTheme="minorEastAsia" w:hAnsiTheme="minorEastAsia" w:eastAsiaTheme="minorEastAsia" w:cstheme="minorEastAsia"/>
          <w:color w:val="auto"/>
          <w:sz w:val="24"/>
          <w:highlight w:val="none"/>
        </w:rPr>
        <w:t>起三日内向招标人交纳中标价款的10%作为履约保证金。</w:t>
      </w:r>
    </w:p>
    <w:p>
      <w:pPr>
        <w:pStyle w:val="2"/>
        <w:rPr>
          <w:color w:val="auto"/>
          <w:highlight w:val="none"/>
        </w:rPr>
      </w:pPr>
      <w:r>
        <w:rPr>
          <w:rFonts w:hint="eastAsia" w:asciiTheme="minorEastAsia" w:hAnsiTheme="minorEastAsia" w:eastAsiaTheme="minorEastAsia" w:cstheme="minorEastAsia"/>
          <w:bCs/>
          <w:color w:val="auto"/>
          <w:sz w:val="24"/>
          <w:highlight w:val="none"/>
        </w:rPr>
        <w:t>合同服务期限到期后五日内招标人向中标人返还履约保证金。</w:t>
      </w:r>
    </w:p>
    <w:p>
      <w:pPr>
        <w:spacing w:line="360" w:lineRule="auto"/>
        <w:ind w:firstLine="720" w:firstLineChars="300"/>
        <w:rPr>
          <w:rFonts w:ascii="宋体" w:hAnsi="宋体" w:cs="宋体"/>
          <w:b/>
          <w:color w:val="auto"/>
          <w:sz w:val="24"/>
          <w:highlight w:val="none"/>
        </w:rPr>
      </w:pPr>
      <w:r>
        <w:rPr>
          <w:rFonts w:hint="eastAsia" w:ascii="宋体" w:hAnsi="宋体" w:cs="宋体"/>
          <w:color w:val="auto"/>
          <w:sz w:val="24"/>
          <w:highlight w:val="none"/>
        </w:rPr>
        <w:t>3、药品费及其它设备、耗材等费用由甲乙双方另行约定。</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七、甲乙双方的责任和义务</w:t>
      </w:r>
    </w:p>
    <w:p>
      <w:pPr>
        <w:pStyle w:val="2"/>
        <w:spacing w:line="360" w:lineRule="auto"/>
        <w:ind w:firstLine="723" w:firstLineChars="300"/>
        <w:rPr>
          <w:color w:val="auto"/>
          <w:highlight w:val="none"/>
        </w:rPr>
      </w:pPr>
      <w:r>
        <w:rPr>
          <w:rFonts w:hint="eastAsia" w:ascii="宋体" w:hAnsi="宋体" w:cs="宋体"/>
          <w:b/>
          <w:bCs/>
          <w:color w:val="auto"/>
          <w:sz w:val="24"/>
          <w:highlight w:val="none"/>
        </w:rPr>
        <w:t>（一）甲方的权力义务</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1、甲方提供必要、安全的工作条件，保障乙方人身安全。乙方在甲方工作地点进行诊疗活动，甲方按程序为乙方相关人员办理就餐卡，乙方人员需在规定时间内就餐。</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2、甲方有权监督乙方在医疗管理过程中遵守监狱规定、遵守法律、法规的情况。若因乙方发生违法行为可能造成甲方在行政、经济上的责任，甲方有权向乙方提出书面整改意见，若乙方收到甲方书面意见一个月内不能改正时，甲方有权要求终止合同，同时要求乙方承担违约责任。</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3、甲方有权对乙方使用的设备、器材进行监督，防止设备出现人为损毁或丢失。</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4、甲方有权定期或不定期地对乙方应做好的公共卫生、防疫保健、基本医疗服务等各项工作进行监督检查。</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5、甲方负责积极协调与各科室、各监区之间的关系，协助乙方开展医疗活动、办理各种行政审批手续等。</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6、乙方需要引进专业人员时，甲方应积极协助办理各种手续。</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7、乙方管理期间因诉讼、仲裁需办理有关手续需甲方配合的，甲方不能拒绝。</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8、甲方保证监狱医院的正常水电供应。</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（二）乙方的权力与义务</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1、乙方有权对聘用人员全权管理，可以根据业务需要决定人员的配备，在招聘人员时，应结合监狱实际招聘特定资质的医护人员。</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2、乙方有权引进资金、技术、人才，开展专科特色。</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3、必须遵守国家法律法规及相关政策。严格按照规定开展各项医疗活动。把医疗服务放在首位，不断改进服务方式，杜绝医疗事故发生。</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4、接受甲方及当地行政部门的监督，若因违法、违规受到处理，由乙方承担相应的法律、行政及经济责任。</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5、接受甲方的监督，确保甲方资产得到合理有效的运用；</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6、保证所招聘人员无违法犯罪记录，并对招聘人员依法缴纳“五险一金”，依法办理录用手续；依法承担医务人员的培训工作，若产生劳动纠纷，一切责任由乙方承担；</w:t>
      </w:r>
    </w:p>
    <w:p>
      <w:pPr>
        <w:spacing w:line="360" w:lineRule="auto"/>
        <w:ind w:firstLine="720" w:firstLineChars="300"/>
        <w:rPr>
          <w:color w:val="auto"/>
          <w:highlight w:val="none"/>
        </w:rPr>
      </w:pPr>
      <w:r>
        <w:rPr>
          <w:rFonts w:hint="eastAsia" w:ascii="宋体" w:hAnsi="宋体" w:cs="宋体"/>
          <w:color w:val="auto"/>
          <w:sz w:val="24"/>
          <w:highlight w:val="none"/>
        </w:rPr>
        <w:t>7、若遇重大灾害、传染病爆发流行等突发公共卫生事件时，乙方有服从参与当地人民政府及卫生行政部门组织的应急救治工作的义务。</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8、乙方应遵守技术标准操作规范和甲方制定的有关规章制度，认真履行其岗位职责。甲乙双方一致确认，乙方工作内容具有极高的专业性，因此有关医疗行为产生的后果与甲方无关，由乙方承担全部责任。 由此造成的经济损失，由乙方承担。</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八、违约责任</w:t>
      </w:r>
    </w:p>
    <w:p>
      <w:pPr>
        <w:spacing w:line="360" w:lineRule="auto"/>
        <w:ind w:firstLine="720" w:firstLineChars="300"/>
        <w:rPr>
          <w:rFonts w:ascii="宋体" w:hAnsi="宋体" w:cs="宋体"/>
          <w:color w:val="auto"/>
          <w:sz w:val="32"/>
          <w:szCs w:val="32"/>
          <w:highlight w:val="none"/>
        </w:rPr>
      </w:pPr>
      <w:r>
        <w:rPr>
          <w:rFonts w:hint="eastAsia" w:ascii="宋体" w:hAnsi="宋体" w:cs="宋体"/>
          <w:color w:val="auto"/>
          <w:sz w:val="24"/>
          <w:highlight w:val="none"/>
        </w:rPr>
        <w:t>1、合同履行期间，任何一方需要提前解除本合同的，需提前三个月书面通知对方，取得对方书面同意的前提下，双方协商解除合同。否则单方面解除合同即违约，如因单方解除合同，而给守约方造成损失的，还应赔偿守约方的全部损失。任一方违反本合同前款各项具有约束力条款的规定，即为违约。违约方应向守约方支付年合同总额的百分之二十的违约金。违约给对方造成经济损失的，还应承担民事赔偿责任。</w:t>
      </w:r>
    </w:p>
    <w:p>
      <w:pPr>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2、乙方在医疗管理服务期内因医疗纠纷、劳动争议、违规受罚，应及时向有关权力人支付理赔金、罚款。若因不及时支付造成甲方损失的，除</w:t>
      </w:r>
      <w:r>
        <w:rPr>
          <w:rFonts w:ascii="宋体" w:hAnsi="宋体" w:cs="宋体"/>
          <w:color w:val="auto"/>
          <w:sz w:val="24"/>
          <w:highlight w:val="none"/>
        </w:rPr>
        <w:t>归还</w:t>
      </w:r>
      <w:r>
        <w:rPr>
          <w:rFonts w:hint="eastAsia" w:ascii="宋体" w:hAnsi="宋体" w:cs="宋体"/>
          <w:color w:val="auto"/>
          <w:sz w:val="24"/>
          <w:highlight w:val="none"/>
        </w:rPr>
        <w:t>赔偿甲方损失外，</w:t>
      </w:r>
      <w:r>
        <w:rPr>
          <w:rFonts w:hint="eastAsia" w:ascii="宋体" w:hAnsi="宋体" w:cs="宋体"/>
          <w:color w:val="auto"/>
          <w:sz w:val="24"/>
          <w:highlight w:val="none"/>
        </w:rPr>
        <w:t>按赔偿金或罚款的每日千分之一交纳滞纳金。</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九、本合同未尽事宜</w:t>
      </w:r>
    </w:p>
    <w:p>
      <w:pPr>
        <w:spacing w:line="360" w:lineRule="auto"/>
        <w:ind w:left="420" w:firstLine="480" w:firstLineChars="200"/>
        <w:rPr>
          <w:rFonts w:ascii="宋体" w:hAnsi="宋体" w:cs="宋体"/>
          <w:color w:val="auto"/>
          <w:sz w:val="24"/>
          <w:highlight w:val="none"/>
        </w:rPr>
      </w:pPr>
      <w:r>
        <w:rPr>
          <w:rFonts w:hint="eastAsia" w:ascii="宋体" w:hAnsi="宋体" w:cs="宋体"/>
          <w:color w:val="auto"/>
          <w:sz w:val="24"/>
          <w:highlight w:val="none"/>
        </w:rPr>
        <w:t>未尽事宜双方应协商解决，协商不能达成一致时，由甲方所在地人民法院管辖。</w:t>
      </w:r>
    </w:p>
    <w:p>
      <w:pPr>
        <w:spacing w:line="360" w:lineRule="auto"/>
        <w:ind w:firstLine="723" w:firstLineChars="300"/>
        <w:rPr>
          <w:rFonts w:ascii="宋体" w:hAnsi="宋体" w:cs="宋体"/>
          <w:b/>
          <w:bCs/>
          <w:color w:val="auto"/>
          <w:sz w:val="24"/>
          <w:highlight w:val="none"/>
        </w:rPr>
      </w:pPr>
      <w:r>
        <w:rPr>
          <w:rFonts w:hint="eastAsia" w:ascii="宋体" w:hAnsi="宋体" w:cs="宋体"/>
          <w:b/>
          <w:bCs/>
          <w:color w:val="auto"/>
          <w:sz w:val="24"/>
          <w:highlight w:val="none"/>
        </w:rPr>
        <w:t>十、其他约定</w:t>
      </w:r>
    </w:p>
    <w:p>
      <w:pPr>
        <w:spacing w:line="360" w:lineRule="auto"/>
        <w:ind w:firstLine="720" w:firstLineChars="300"/>
        <w:rPr>
          <w:rFonts w:ascii="宋体" w:hAnsi="宋体" w:cs="宋体"/>
          <w:color w:val="auto"/>
          <w:sz w:val="24"/>
          <w:highlight w:val="none"/>
          <w:shd w:val="clear" w:color="auto" w:fill="FFFFFF"/>
        </w:rPr>
      </w:pPr>
      <w:r>
        <w:rPr>
          <w:rFonts w:hint="eastAsia" w:ascii="宋体" w:hAnsi="宋体" w:cs="宋体"/>
          <w:color w:val="auto"/>
          <w:sz w:val="24"/>
          <w:highlight w:val="none"/>
        </w:rPr>
        <w:t>1、</w:t>
      </w:r>
      <w:r>
        <w:rPr>
          <w:rFonts w:hint="eastAsia" w:ascii="宋体" w:hAnsi="宋体" w:cs="宋体"/>
          <w:color w:val="auto"/>
          <w:sz w:val="24"/>
          <w:highlight w:val="none"/>
          <w:shd w:val="clear" w:color="auto" w:fill="FFFFFF"/>
        </w:rPr>
        <w:t>本合同自双方签字、盖章齐备之日生效。</w:t>
      </w:r>
    </w:p>
    <w:p>
      <w:pPr>
        <w:pageBreakBefore w:val="0"/>
        <w:kinsoku/>
        <w:topLinePunct w:val="0"/>
        <w:bidi w:val="0"/>
        <w:spacing w:line="360" w:lineRule="auto"/>
        <w:ind w:firstLine="480" w:firstLineChars="200"/>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sz w:val="24"/>
          <w:szCs w:val="24"/>
          <w:highlight w:val="none"/>
        </w:rPr>
        <w:t>本合同一式</w:t>
      </w:r>
      <w:r>
        <w:rPr>
          <w:rFonts w:hint="eastAsia" w:ascii="宋体" w:hAnsi="宋体"/>
          <w:sz w:val="24"/>
          <w:szCs w:val="24"/>
          <w:highlight w:val="none"/>
          <w:u w:val="single"/>
        </w:rPr>
        <w:t xml:space="preserve">  </w:t>
      </w:r>
      <w:r>
        <w:rPr>
          <w:rFonts w:hint="eastAsia" w:ascii="宋体" w:hAnsi="宋体"/>
          <w:sz w:val="24"/>
          <w:szCs w:val="24"/>
          <w:highlight w:val="none"/>
        </w:rPr>
        <w:t>份，甲方持</w:t>
      </w:r>
      <w:r>
        <w:rPr>
          <w:rFonts w:hint="eastAsia" w:ascii="宋体" w:hAnsi="宋体"/>
          <w:sz w:val="24"/>
          <w:szCs w:val="24"/>
          <w:highlight w:val="none"/>
          <w:u w:val="single"/>
        </w:rPr>
        <w:t xml:space="preserve">  </w:t>
      </w:r>
      <w:r>
        <w:rPr>
          <w:rFonts w:hint="eastAsia" w:ascii="宋体" w:hAnsi="宋体"/>
          <w:sz w:val="24"/>
          <w:szCs w:val="24"/>
          <w:highlight w:val="none"/>
        </w:rPr>
        <w:t>份，乙方持</w:t>
      </w:r>
      <w:r>
        <w:rPr>
          <w:rFonts w:hint="eastAsia" w:ascii="宋体" w:hAnsi="宋体"/>
          <w:sz w:val="24"/>
          <w:szCs w:val="24"/>
          <w:highlight w:val="none"/>
          <w:u w:val="single"/>
        </w:rPr>
        <w:t xml:space="preserve">  </w:t>
      </w:r>
      <w:r>
        <w:rPr>
          <w:rFonts w:hint="eastAsia" w:ascii="宋体" w:hAnsi="宋体"/>
          <w:sz w:val="24"/>
          <w:szCs w:val="24"/>
          <w:highlight w:val="none"/>
        </w:rPr>
        <w:t>份，鉴证方持壹份，本合同甲、乙、鉴证各方签字盖章后生效，合同执行完毕后，自动失效（合同的服务承诺则长期有效）。</w:t>
      </w:r>
    </w:p>
    <w:tbl>
      <w:tblPr>
        <w:tblStyle w:val="9"/>
        <w:tblW w:w="5482" w:type="pct"/>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490"/>
        <w:gridCol w:w="3002"/>
        <w:gridCol w:w="28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  方</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  方</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见 证 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1867" w:type="pct"/>
            <w:noWrap/>
            <w:vAlign w:val="center"/>
          </w:tcPr>
          <w:p>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（公章）</w:t>
            </w:r>
          </w:p>
        </w:tc>
        <w:tc>
          <w:tcPr>
            <w:tcW w:w="1606" w:type="pct"/>
            <w:noWrap/>
            <w:vAlign w:val="center"/>
          </w:tcPr>
          <w:p>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（公章）</w:t>
            </w:r>
          </w:p>
        </w:tc>
        <w:tc>
          <w:tcPr>
            <w:tcW w:w="1526" w:type="pct"/>
            <w:noWrap/>
            <w:vAlign w:val="center"/>
          </w:tcPr>
          <w:p>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（公章）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867" w:type="pct"/>
            <w:noWrap/>
            <w:vAlign w:val="center"/>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地址：</w:t>
            </w:r>
          </w:p>
        </w:tc>
        <w:tc>
          <w:tcPr>
            <w:tcW w:w="1606" w:type="pct"/>
            <w:noWrap/>
            <w:vAlign w:val="top"/>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地址：</w:t>
            </w:r>
          </w:p>
        </w:tc>
        <w:tc>
          <w:tcPr>
            <w:tcW w:w="1526" w:type="pct"/>
            <w:noWrap/>
            <w:vAlign w:val="top"/>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地址：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867" w:type="pct"/>
            <w:noWrap/>
            <w:vAlign w:val="center"/>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邮编： </w:t>
            </w:r>
          </w:p>
        </w:tc>
        <w:tc>
          <w:tcPr>
            <w:tcW w:w="1606" w:type="pct"/>
            <w:noWrap/>
            <w:vAlign w:val="center"/>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邮编：</w:t>
            </w:r>
          </w:p>
        </w:tc>
        <w:tc>
          <w:tcPr>
            <w:tcW w:w="1526" w:type="pct"/>
            <w:noWrap/>
            <w:vAlign w:val="center"/>
          </w:tcPr>
          <w:p>
            <w:pPr>
              <w:keepNext w:val="0"/>
              <w:keepLines w:val="0"/>
              <w:pageBreakBefore w:val="0"/>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邮编：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1526" w:type="pct"/>
            <w:vMerge w:val="restar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负责人：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负责人：</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负责人：</w:t>
            </w:r>
          </w:p>
        </w:tc>
        <w:tc>
          <w:tcPr>
            <w:tcW w:w="1526" w:type="pct"/>
            <w:vMerge w:val="continue"/>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电话：</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电话：</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电话：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p>
        </w:tc>
        <w:tc>
          <w:tcPr>
            <w:tcW w:w="1606" w:type="pct"/>
            <w:noWrap/>
            <w:vAlign w:val="top"/>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开户银行：</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账号：</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867"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   年   月   日</w:t>
            </w:r>
          </w:p>
        </w:tc>
        <w:tc>
          <w:tcPr>
            <w:tcW w:w="160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   年   月   日</w:t>
            </w:r>
          </w:p>
        </w:tc>
        <w:tc>
          <w:tcPr>
            <w:tcW w:w="1526" w:type="pct"/>
            <w:noWrap/>
            <w:vAlign w:val="center"/>
          </w:tcPr>
          <w:p>
            <w:pPr>
              <w:keepNext w:val="0"/>
              <w:keepLines w:val="0"/>
              <w:pageBreakBefore w:val="0"/>
              <w:tabs>
                <w:tab w:val="left" w:pos="347"/>
              </w:tabs>
              <w:wordWrap/>
              <w:overflowPunct/>
              <w:topLinePunct w:val="0"/>
              <w:autoSpaceDE w:val="0"/>
              <w:autoSpaceDN w:val="0"/>
              <w:bidi w:val="0"/>
              <w:adjustRightIn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   年   月   日</w:t>
            </w:r>
          </w:p>
        </w:tc>
      </w:tr>
    </w:tbl>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heng" w:date="2023-08-18T08:46:00Z" w:initials="C">
    <w:p w14:paraId="72AE2CD6">
      <w:pPr>
        <w:pStyle w:val="5"/>
        <w:rPr>
          <w:rFonts w:hint="eastAsia"/>
        </w:rPr>
      </w:pPr>
      <w:r>
        <w:rPr>
          <w:rFonts w:hint="eastAsia"/>
        </w:rPr>
        <w:t>增加费用不包含在本合同内</w:t>
      </w:r>
    </w:p>
  </w:comment>
  <w:comment w:id="1" w:author="Cheng" w:date="2023-08-17T22:37:00Z" w:initials="C">
    <w:p w14:paraId="5F906952">
      <w:pPr>
        <w:pStyle w:val="5"/>
      </w:pPr>
      <w:r>
        <w:rPr>
          <w:rFonts w:hint="eastAsia"/>
        </w:rPr>
        <w:t>删去“住院罪犯病情了解”</w:t>
      </w:r>
    </w:p>
  </w:comment>
  <w:comment w:id="2" w:author="Cheng" w:date="2023-08-17T22:36:00Z" w:initials="C">
    <w:p w14:paraId="6DF11649">
      <w:pPr>
        <w:pStyle w:val="5"/>
      </w:pPr>
      <w:r>
        <w:rPr>
          <w:rFonts w:hint="eastAsia"/>
        </w:rPr>
        <w:t>删去“住院病犯记录”</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2AE2CD6" w15:done="0"/>
  <w15:commentEx w15:paraId="5F906952" w15:done="0"/>
  <w15:commentEx w15:paraId="6DF116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D6C5C8"/>
    <w:multiLevelType w:val="singleLevel"/>
    <w:tmpl w:val="2DD6C5C8"/>
    <w:lvl w:ilvl="0" w:tentative="0">
      <w:start w:val="2"/>
      <w:numFmt w:val="decimal"/>
      <w:suff w:val="nothing"/>
      <w:lvlText w:val="%1、"/>
      <w:lvlJc w:val="left"/>
      <w:pPr>
        <w:ind w:left="1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eng">
    <w15:presenceInfo w15:providerId="None" w15:userId="Che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MTUwMjhmNmI2ZmVlMTBkYzRmYzI5MTBmNTk5ODUifQ=="/>
  </w:docVars>
  <w:rsids>
    <w:rsidRoot w:val="03343890"/>
    <w:rsid w:val="0014068C"/>
    <w:rsid w:val="001641B6"/>
    <w:rsid w:val="00611DF4"/>
    <w:rsid w:val="009C3465"/>
    <w:rsid w:val="009C6A75"/>
    <w:rsid w:val="00B34AD9"/>
    <w:rsid w:val="00F04325"/>
    <w:rsid w:val="00FA14B6"/>
    <w:rsid w:val="03343890"/>
    <w:rsid w:val="05392019"/>
    <w:rsid w:val="05814128"/>
    <w:rsid w:val="0AEF6D32"/>
    <w:rsid w:val="0BFB397F"/>
    <w:rsid w:val="181D2B9D"/>
    <w:rsid w:val="215C5ED0"/>
    <w:rsid w:val="28853AED"/>
    <w:rsid w:val="32275B76"/>
    <w:rsid w:val="37EF0510"/>
    <w:rsid w:val="3EA6569C"/>
    <w:rsid w:val="3FE85E85"/>
    <w:rsid w:val="445D1359"/>
    <w:rsid w:val="4D8A43EB"/>
    <w:rsid w:val="55E00C4E"/>
    <w:rsid w:val="5EA608B0"/>
    <w:rsid w:val="5F13162C"/>
    <w:rsid w:val="6085052A"/>
    <w:rsid w:val="63740C03"/>
    <w:rsid w:val="69E6489D"/>
    <w:rsid w:val="73375A6F"/>
    <w:rsid w:val="76995AD2"/>
    <w:rsid w:val="77E939CE"/>
    <w:rsid w:val="7CD9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120" w:after="120" w:line="360" w:lineRule="auto"/>
      <w:jc w:val="center"/>
      <w:outlineLvl w:val="0"/>
    </w:pPr>
    <w:rPr>
      <w:b/>
      <w:bCs/>
      <w:kern w:val="44"/>
      <w:sz w:val="30"/>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annotation text"/>
    <w:basedOn w:val="1"/>
    <w:link w:val="14"/>
    <w:uiPriority w:val="0"/>
    <w:pPr>
      <w:jc w:val="left"/>
    </w:pPr>
  </w:style>
  <w:style w:type="paragraph" w:styleId="6">
    <w:name w:val="footer"/>
    <w:basedOn w:val="1"/>
    <w:link w:val="13"/>
    <w:uiPriority w:val="0"/>
    <w:pPr>
      <w:tabs>
        <w:tab w:val="center" w:pos="4153"/>
        <w:tab w:val="right" w:pos="8306"/>
      </w:tabs>
      <w:snapToGrid w:val="0"/>
      <w:spacing w:line="240" w:lineRule="auto"/>
      <w:jc w:val="left"/>
    </w:pPr>
    <w:rPr>
      <w:sz w:val="18"/>
      <w:szCs w:val="18"/>
    </w:rPr>
  </w:style>
  <w:style w:type="paragraph" w:styleId="7">
    <w:name w:val="header"/>
    <w:basedOn w:val="1"/>
    <w:link w:val="12"/>
    <w:qFormat/>
    <w:uiPriority w:val="0"/>
    <w:pPr>
      <w:tabs>
        <w:tab w:val="center" w:pos="4153"/>
        <w:tab w:val="right" w:pos="8306"/>
      </w:tabs>
      <w:snapToGrid w:val="0"/>
      <w:spacing w:line="240" w:lineRule="auto"/>
      <w:jc w:val="center"/>
    </w:pPr>
    <w:rPr>
      <w:sz w:val="18"/>
      <w:szCs w:val="18"/>
    </w:rPr>
  </w:style>
  <w:style w:type="paragraph" w:styleId="8">
    <w:name w:val="annotation subject"/>
    <w:basedOn w:val="5"/>
    <w:next w:val="5"/>
    <w:link w:val="15"/>
    <w:uiPriority w:val="0"/>
    <w:rPr>
      <w:b/>
      <w:bCs/>
    </w:rPr>
  </w:style>
  <w:style w:type="character" w:styleId="11">
    <w:name w:val="annotation reference"/>
    <w:basedOn w:val="10"/>
    <w:uiPriority w:val="0"/>
    <w:rPr>
      <w:sz w:val="21"/>
      <w:szCs w:val="21"/>
    </w:rPr>
  </w:style>
  <w:style w:type="character" w:customStyle="1" w:styleId="12">
    <w:name w:val="页眉 字符"/>
    <w:basedOn w:val="10"/>
    <w:link w:val="7"/>
    <w:qFormat/>
    <w:uiPriority w:val="0"/>
    <w:rPr>
      <w:rFonts w:ascii="Times New Roman" w:hAnsi="Times New Roman" w:eastAsia="宋体" w:cs="Times New Roman"/>
      <w:kern w:val="2"/>
      <w:sz w:val="18"/>
      <w:szCs w:val="18"/>
    </w:rPr>
  </w:style>
  <w:style w:type="character" w:customStyle="1" w:styleId="13">
    <w:name w:val="页脚 字符"/>
    <w:basedOn w:val="10"/>
    <w:link w:val="6"/>
    <w:qFormat/>
    <w:uiPriority w:val="0"/>
    <w:rPr>
      <w:rFonts w:ascii="Times New Roman" w:hAnsi="Times New Roman" w:eastAsia="宋体" w:cs="Times New Roman"/>
      <w:kern w:val="2"/>
      <w:sz w:val="18"/>
      <w:szCs w:val="18"/>
    </w:rPr>
  </w:style>
  <w:style w:type="character" w:customStyle="1" w:styleId="14">
    <w:name w:val="批注文字 字符"/>
    <w:basedOn w:val="10"/>
    <w:link w:val="5"/>
    <w:uiPriority w:val="0"/>
    <w:rPr>
      <w:rFonts w:ascii="Times New Roman" w:hAnsi="Times New Roman" w:eastAsia="宋体" w:cs="Times New Roman"/>
      <w:kern w:val="2"/>
      <w:sz w:val="21"/>
      <w:szCs w:val="24"/>
    </w:rPr>
  </w:style>
  <w:style w:type="character" w:customStyle="1" w:styleId="15">
    <w:name w:val="批注主题 字符"/>
    <w:basedOn w:val="14"/>
    <w:link w:val="8"/>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509</Words>
  <Characters>2902</Characters>
  <Lines>24</Lines>
  <Paragraphs>6</Paragraphs>
  <TotalTime>0</TotalTime>
  <ScaleCrop>false</ScaleCrop>
  <LinksUpToDate>false</LinksUpToDate>
  <CharactersWithSpaces>3405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2023-04-24T02:20:00Z</dcterms:created>
  <dc:creator>刘菲</dc:creator>
  <cp:lastModifiedBy>刘菲</cp:lastModifiedBy>
  <cp:lastPrinted>2023-04-24T05:47:00Z</cp:lastPrinted>
  <dcterms:modified xsi:type="dcterms:W3CDTF">2023-08-23T10:14:59Z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940E21E5CCAB422C9130EB89C9A29260_13</vt:lpwstr>
  </property>
</Properties>
</file>