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080" w:leftChars="257" w:hanging="540"/>
        <w:jc w:val="center"/>
        <w:outlineLvl w:val="0"/>
        <w:rPr>
          <w:rFonts w:eastAsia="仿宋_GB2312"/>
          <w:sz w:val="32"/>
          <w:szCs w:val="32"/>
        </w:rPr>
      </w:pPr>
      <w:bookmarkStart w:id="0" w:name="_Toc4796"/>
      <w:bookmarkStart w:id="1" w:name="_Toc515647833"/>
      <w:bookmarkStart w:id="2" w:name="_Toc6865"/>
      <w:bookmarkStart w:id="3" w:name="_Toc532473757"/>
      <w:bookmarkStart w:id="4" w:name="_Toc532044541"/>
      <w:bookmarkStart w:id="5" w:name="_Toc3711"/>
      <w:r>
        <w:rPr>
          <w:rStyle w:val="7"/>
          <w:rFonts w:ascii="Times New Roman" w:eastAsia="仿宋_GB2312"/>
          <w:szCs w:val="32"/>
        </w:rPr>
        <w:t>拟签订的合同</w:t>
      </w:r>
      <w:bookmarkEnd w:id="0"/>
      <w:bookmarkEnd w:id="1"/>
      <w:bookmarkEnd w:id="2"/>
      <w:bookmarkEnd w:id="3"/>
      <w:bookmarkEnd w:id="4"/>
      <w:bookmarkStart w:id="6" w:name="_Hlt487972895"/>
      <w:bookmarkEnd w:id="6"/>
      <w:bookmarkStart w:id="7" w:name="_Toc216513788"/>
      <w:bookmarkStart w:id="8" w:name="_Toc487900382"/>
      <w:r>
        <w:rPr>
          <w:rStyle w:val="7"/>
          <w:rFonts w:ascii="Times New Roman" w:eastAsia="仿宋_GB2312"/>
          <w:szCs w:val="32"/>
        </w:rPr>
        <w:t>文本</w:t>
      </w:r>
      <w:bookmarkEnd w:id="5"/>
    </w:p>
    <w:bookmarkEnd w:id="7"/>
    <w:bookmarkEnd w:id="8"/>
    <w:p>
      <w:pPr>
        <w:snapToGrid w:val="0"/>
        <w:spacing w:line="480" w:lineRule="auto"/>
        <w:ind w:firstLine="6987" w:firstLineChars="2900"/>
        <w:rPr>
          <w:rFonts w:ascii="宋体" w:hAnsi="宋体"/>
          <w:b/>
          <w:sz w:val="24"/>
        </w:rPr>
      </w:pPr>
      <w:r>
        <w:rPr>
          <w:rFonts w:hint="eastAsia" w:ascii="宋体" w:hAnsi="宋体"/>
          <w:b/>
          <w:sz w:val="24"/>
        </w:rPr>
        <w:t>合 同 编 号：</w:t>
      </w:r>
      <w:r>
        <w:rPr>
          <w:rFonts w:hint="eastAsia" w:ascii="宋体" w:hAnsi="宋体"/>
          <w:b/>
          <w:sz w:val="24"/>
          <w:u w:val="single"/>
        </w:rPr>
        <w:t xml:space="preserve">                </w:t>
      </w:r>
    </w:p>
    <w:p>
      <w:pPr>
        <w:spacing w:line="480" w:lineRule="auto"/>
        <w:ind w:right="-1"/>
        <w:outlineLvl w:val="0"/>
        <w:rPr>
          <w:rFonts w:ascii="宋体"/>
          <w:b/>
          <w:sz w:val="24"/>
        </w:rPr>
      </w:pPr>
      <w:bookmarkStart w:id="9" w:name="_Toc29551"/>
      <w:r>
        <w:rPr>
          <w:rFonts w:hint="eastAsia" w:ascii="宋体" w:hAnsi="宋体"/>
          <w:b/>
          <w:sz w:val="24"/>
        </w:rPr>
        <w:t>甲方（采购方）：</w:t>
      </w:r>
      <w:bookmarkEnd w:id="9"/>
      <w:r>
        <w:rPr>
          <w:rFonts w:hint="eastAsia" w:ascii="宋体" w:hAnsi="宋体"/>
          <w:b/>
          <w:sz w:val="24"/>
        </w:rPr>
        <w:t>陕西省荣复军人第二医院</w:t>
      </w:r>
      <w:r>
        <w:rPr>
          <w:rFonts w:ascii="宋体" w:hAnsi="宋体"/>
          <w:b/>
          <w:sz w:val="24"/>
        </w:rPr>
        <w:t xml:space="preserve">       </w:t>
      </w:r>
    </w:p>
    <w:p>
      <w:pPr>
        <w:snapToGrid w:val="0"/>
        <w:spacing w:line="480" w:lineRule="auto"/>
        <w:rPr>
          <w:rFonts w:ascii="宋体" w:hAnsi="宋体"/>
          <w:b/>
          <w:sz w:val="24"/>
          <w:u w:val="single"/>
        </w:rPr>
      </w:pPr>
      <w:r>
        <w:rPr>
          <w:rFonts w:hint="eastAsia" w:ascii="宋体" w:hAnsi="宋体"/>
          <w:b/>
          <w:sz w:val="24"/>
        </w:rPr>
        <w:t>乙方（供货方）：</w:t>
      </w:r>
      <w:r>
        <w:rPr>
          <w:rFonts w:hint="eastAsia" w:ascii="宋体" w:hAnsi="宋体"/>
          <w:b/>
          <w:sz w:val="24"/>
          <w:u w:val="single"/>
        </w:rPr>
        <w:t xml:space="preserve">              </w:t>
      </w:r>
    </w:p>
    <w:p>
      <w:pPr>
        <w:spacing w:line="360" w:lineRule="auto"/>
        <w:ind w:right="-1" w:firstLine="480" w:firstLineChars="200"/>
        <w:outlineLvl w:val="0"/>
        <w:rPr>
          <w:rFonts w:eastAsia="仿宋_GB2312"/>
          <w:sz w:val="24"/>
        </w:rPr>
      </w:pPr>
      <w:bookmarkStart w:id="10" w:name="_Toc14754"/>
      <w:bookmarkStart w:id="11" w:name="_Toc341030114"/>
      <w:r>
        <w:rPr>
          <w:rFonts w:hint="eastAsia" w:eastAsia="仿宋_GB2312"/>
          <w:sz w:val="24"/>
        </w:rPr>
        <w:t>依据《中华人民共和国政府采购法》、《中华人民共和国民法典》及其他有关法律、法规之规定，以及</w:t>
      </w:r>
      <w:r>
        <w:rPr>
          <w:rFonts w:hint="eastAsia" w:eastAsia="仿宋_GB2312"/>
          <w:sz w:val="24"/>
          <w:lang w:val="en-US" w:eastAsia="zh-CN"/>
        </w:rPr>
        <w:t>招标</w:t>
      </w:r>
      <w:r>
        <w:rPr>
          <w:rFonts w:hint="eastAsia" w:eastAsia="仿宋_GB2312"/>
          <w:sz w:val="24"/>
        </w:rPr>
        <w:t>文件、</w:t>
      </w:r>
      <w:r>
        <w:rPr>
          <w:rFonts w:hint="eastAsia" w:eastAsia="仿宋_GB2312"/>
          <w:sz w:val="24"/>
          <w:lang w:val="en-US" w:eastAsia="zh-CN"/>
        </w:rPr>
        <w:t>投标</w:t>
      </w:r>
      <w:r>
        <w:rPr>
          <w:rFonts w:hint="eastAsia" w:eastAsia="仿宋_GB2312"/>
          <w:sz w:val="24"/>
        </w:rPr>
        <w:t>文件规定条款和</w:t>
      </w:r>
      <w:r>
        <w:rPr>
          <w:rFonts w:hint="eastAsia" w:eastAsia="仿宋_GB2312"/>
          <w:sz w:val="24"/>
          <w:lang w:val="en-US" w:eastAsia="zh-CN"/>
        </w:rPr>
        <w:t>中标</w:t>
      </w:r>
      <w:r>
        <w:rPr>
          <w:rFonts w:hint="eastAsia" w:eastAsia="仿宋_GB2312"/>
          <w:sz w:val="24"/>
        </w:rPr>
        <w:t>供应商承诺书、</w:t>
      </w:r>
      <w:r>
        <w:rPr>
          <w:rFonts w:hint="eastAsia" w:eastAsia="仿宋_GB2312"/>
          <w:sz w:val="24"/>
          <w:lang w:val="en-US" w:eastAsia="zh-CN"/>
        </w:rPr>
        <w:t>中标</w:t>
      </w:r>
      <w:r>
        <w:rPr>
          <w:rFonts w:hint="eastAsia" w:eastAsia="仿宋_GB2312"/>
          <w:sz w:val="24"/>
        </w:rPr>
        <w:t>通知书等，甲、乙双方同意签订</w:t>
      </w:r>
      <w:r>
        <w:rPr>
          <w:rFonts w:hint="eastAsia" w:eastAsia="仿宋_GB2312"/>
          <w:sz w:val="24"/>
          <w:u w:val="single"/>
        </w:rPr>
        <w:t>陕西省荣复军人第二医院</w:t>
      </w:r>
      <w:r>
        <w:rPr>
          <w:rFonts w:hint="eastAsia" w:eastAsia="仿宋_GB2312"/>
          <w:sz w:val="24"/>
          <w:u w:val="single"/>
          <w:lang w:val="en-US" w:eastAsia="zh-CN"/>
        </w:rPr>
        <w:t>医疗</w:t>
      </w:r>
      <w:r>
        <w:rPr>
          <w:rFonts w:hint="eastAsia" w:eastAsia="仿宋_GB2312"/>
          <w:sz w:val="24"/>
          <w:u w:val="single"/>
        </w:rPr>
        <w:t>设备采购项目</w:t>
      </w:r>
      <w:r>
        <w:rPr>
          <w:rFonts w:hint="eastAsia" w:eastAsia="仿宋_GB2312"/>
          <w:sz w:val="24"/>
          <w:u w:val="single"/>
          <w:lang w:val="en-US" w:eastAsia="zh-CN"/>
        </w:rPr>
        <w:t>包X</w:t>
      </w:r>
      <w:r>
        <w:rPr>
          <w:rFonts w:hint="eastAsia" w:eastAsia="仿宋_GB2312"/>
          <w:sz w:val="24"/>
          <w:u w:val="single"/>
        </w:rPr>
        <w:t>（项目编号：</w:t>
      </w:r>
      <w:r>
        <w:rPr>
          <w:rFonts w:hint="eastAsia" w:eastAsia="仿宋_GB2312"/>
          <w:sz w:val="24"/>
          <w:u w:val="single"/>
          <w:lang w:eastAsia="zh-CN"/>
        </w:rPr>
        <w:t>SCZD2023-ZB-1603-001</w:t>
      </w:r>
      <w:r>
        <w:rPr>
          <w:rFonts w:hint="eastAsia" w:eastAsia="仿宋_GB2312"/>
          <w:sz w:val="24"/>
          <w:u w:val="single"/>
        </w:rPr>
        <w:t>）</w:t>
      </w:r>
      <w:r>
        <w:rPr>
          <w:rFonts w:hint="eastAsia" w:eastAsia="仿宋_GB2312"/>
          <w:sz w:val="24"/>
        </w:rPr>
        <w:t>供货合同。</w:t>
      </w:r>
      <w:bookmarkEnd w:id="10"/>
    </w:p>
    <w:p>
      <w:pPr>
        <w:spacing w:line="360" w:lineRule="auto"/>
        <w:ind w:right="-1" w:firstLine="482" w:firstLineChars="200"/>
        <w:outlineLvl w:val="0"/>
        <w:rPr>
          <w:rFonts w:ascii="宋体" w:hAnsi="宋体" w:cs="宋体"/>
          <w:b/>
          <w:bCs/>
          <w:color w:val="000000"/>
          <w:sz w:val="24"/>
          <w:szCs w:val="18"/>
        </w:rPr>
      </w:pPr>
      <w:bookmarkStart w:id="12" w:name="_Toc27507"/>
      <w:r>
        <w:rPr>
          <w:rFonts w:hint="eastAsia" w:ascii="宋体" w:hAnsi="宋体" w:cs="宋体"/>
          <w:b/>
          <w:bCs/>
          <w:color w:val="000000"/>
          <w:sz w:val="24"/>
          <w:szCs w:val="18"/>
        </w:rPr>
        <w:t>第一条 合同标的</w:t>
      </w:r>
      <w:bookmarkEnd w:id="12"/>
    </w:p>
    <w:bookmarkEnd w:id="11"/>
    <w:tbl>
      <w:tblPr>
        <w:tblStyle w:val="5"/>
        <w:tblpPr w:leftFromText="180" w:rightFromText="180" w:vertAnchor="text" w:horzAnchor="page" w:tblpXSpec="center" w:tblpY="128"/>
        <w:tblOverlap w:val="never"/>
        <w:tblW w:w="1010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91"/>
        <w:gridCol w:w="1598"/>
        <w:gridCol w:w="1111"/>
        <w:gridCol w:w="1170"/>
        <w:gridCol w:w="804"/>
        <w:gridCol w:w="877"/>
        <w:gridCol w:w="1264"/>
        <w:gridCol w:w="1244"/>
        <w:gridCol w:w="1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8" w:hRule="atLeast"/>
          <w:jc w:val="center"/>
        </w:trPr>
        <w:tc>
          <w:tcPr>
            <w:tcW w:w="791" w:type="dxa"/>
            <w:noWrap w:val="0"/>
            <w:vAlign w:val="center"/>
          </w:tcPr>
          <w:p>
            <w:pPr>
              <w:spacing w:line="360" w:lineRule="auto"/>
              <w:ind w:right="-1"/>
              <w:jc w:val="center"/>
              <w:rPr>
                <w:rFonts w:ascii="宋体" w:hAnsi="宋体" w:cs="宋体"/>
                <w:b/>
                <w:bCs/>
                <w:color w:val="000000"/>
                <w:sz w:val="22"/>
                <w:szCs w:val="18"/>
              </w:rPr>
            </w:pPr>
            <w:bookmarkStart w:id="13" w:name="_Toc341030115"/>
            <w:r>
              <w:rPr>
                <w:rFonts w:hint="eastAsia" w:ascii="宋体" w:hAnsi="宋体" w:cs="宋体"/>
                <w:b/>
                <w:bCs/>
                <w:color w:val="000000"/>
                <w:sz w:val="22"/>
                <w:szCs w:val="18"/>
              </w:rPr>
              <w:t>序号</w:t>
            </w:r>
          </w:p>
        </w:tc>
        <w:tc>
          <w:tcPr>
            <w:tcW w:w="1598" w:type="dxa"/>
            <w:noWrap w:val="0"/>
            <w:vAlign w:val="center"/>
          </w:tcPr>
          <w:p>
            <w:pPr>
              <w:spacing w:line="360" w:lineRule="auto"/>
              <w:ind w:right="-1"/>
              <w:jc w:val="center"/>
              <w:rPr>
                <w:rFonts w:ascii="宋体" w:hAnsi="宋体" w:cs="宋体"/>
                <w:b/>
                <w:bCs/>
                <w:color w:val="000000"/>
                <w:sz w:val="22"/>
                <w:szCs w:val="18"/>
              </w:rPr>
            </w:pPr>
            <w:r>
              <w:rPr>
                <w:rFonts w:hint="eastAsia" w:ascii="宋体" w:hAnsi="宋体" w:cs="宋体"/>
                <w:b/>
                <w:bCs/>
                <w:color w:val="000000"/>
                <w:sz w:val="22"/>
                <w:szCs w:val="18"/>
              </w:rPr>
              <w:t>货物名称</w:t>
            </w:r>
          </w:p>
        </w:tc>
        <w:tc>
          <w:tcPr>
            <w:tcW w:w="1111" w:type="dxa"/>
            <w:noWrap w:val="0"/>
            <w:vAlign w:val="center"/>
          </w:tcPr>
          <w:p>
            <w:pPr>
              <w:spacing w:line="360" w:lineRule="auto"/>
              <w:ind w:right="-1"/>
              <w:jc w:val="center"/>
              <w:rPr>
                <w:rFonts w:ascii="宋体" w:hAnsi="宋体" w:cs="宋体"/>
                <w:b/>
                <w:bCs/>
                <w:color w:val="000000"/>
                <w:sz w:val="22"/>
                <w:szCs w:val="18"/>
              </w:rPr>
            </w:pPr>
            <w:r>
              <w:rPr>
                <w:rFonts w:hint="eastAsia" w:ascii="宋体" w:hAnsi="宋体" w:cs="宋体"/>
                <w:b/>
                <w:bCs/>
                <w:color w:val="000000"/>
                <w:sz w:val="22"/>
                <w:szCs w:val="18"/>
              </w:rPr>
              <w:t>规格型号</w:t>
            </w:r>
          </w:p>
        </w:tc>
        <w:tc>
          <w:tcPr>
            <w:tcW w:w="1170" w:type="dxa"/>
            <w:noWrap w:val="0"/>
            <w:vAlign w:val="center"/>
          </w:tcPr>
          <w:p>
            <w:pPr>
              <w:spacing w:line="360" w:lineRule="auto"/>
              <w:ind w:right="-1"/>
              <w:jc w:val="center"/>
              <w:rPr>
                <w:rFonts w:ascii="宋体" w:hAnsi="宋体" w:cs="宋体"/>
                <w:b/>
                <w:bCs/>
                <w:color w:val="000000"/>
                <w:sz w:val="22"/>
                <w:szCs w:val="18"/>
              </w:rPr>
            </w:pPr>
            <w:r>
              <w:rPr>
                <w:rFonts w:hint="eastAsia" w:ascii="宋体" w:hAnsi="宋体" w:cs="宋体"/>
                <w:b/>
                <w:bCs/>
                <w:color w:val="000000"/>
                <w:sz w:val="22"/>
                <w:szCs w:val="18"/>
              </w:rPr>
              <w:t>生产厂家</w:t>
            </w:r>
          </w:p>
        </w:tc>
        <w:tc>
          <w:tcPr>
            <w:tcW w:w="804" w:type="dxa"/>
            <w:noWrap w:val="0"/>
            <w:vAlign w:val="center"/>
          </w:tcPr>
          <w:p>
            <w:pPr>
              <w:spacing w:line="360" w:lineRule="auto"/>
              <w:ind w:right="-1"/>
              <w:jc w:val="center"/>
              <w:rPr>
                <w:rFonts w:ascii="宋体" w:hAnsi="宋体" w:cs="宋体"/>
                <w:b/>
                <w:bCs/>
                <w:color w:val="000000"/>
                <w:sz w:val="22"/>
                <w:szCs w:val="18"/>
              </w:rPr>
            </w:pPr>
            <w:r>
              <w:rPr>
                <w:rFonts w:hint="eastAsia" w:ascii="宋体" w:hAnsi="宋体" w:cs="宋体"/>
                <w:b/>
                <w:bCs/>
                <w:color w:val="000000"/>
                <w:sz w:val="22"/>
                <w:szCs w:val="18"/>
              </w:rPr>
              <w:t>单位</w:t>
            </w:r>
          </w:p>
        </w:tc>
        <w:tc>
          <w:tcPr>
            <w:tcW w:w="877" w:type="dxa"/>
            <w:noWrap w:val="0"/>
            <w:vAlign w:val="center"/>
          </w:tcPr>
          <w:p>
            <w:pPr>
              <w:spacing w:line="360" w:lineRule="auto"/>
              <w:ind w:right="-1"/>
              <w:jc w:val="center"/>
              <w:rPr>
                <w:rFonts w:ascii="宋体" w:hAnsi="宋体" w:cs="宋体"/>
                <w:b/>
                <w:bCs/>
                <w:color w:val="000000"/>
                <w:sz w:val="22"/>
                <w:szCs w:val="18"/>
              </w:rPr>
            </w:pPr>
            <w:r>
              <w:rPr>
                <w:rFonts w:hint="eastAsia" w:ascii="宋体" w:hAnsi="宋体" w:cs="宋体"/>
                <w:b/>
                <w:bCs/>
                <w:color w:val="000000"/>
                <w:sz w:val="22"/>
                <w:szCs w:val="18"/>
              </w:rPr>
              <w:t>数量</w:t>
            </w:r>
          </w:p>
        </w:tc>
        <w:tc>
          <w:tcPr>
            <w:tcW w:w="1264" w:type="dxa"/>
            <w:noWrap w:val="0"/>
            <w:vAlign w:val="center"/>
          </w:tcPr>
          <w:p>
            <w:pPr>
              <w:spacing w:line="360" w:lineRule="auto"/>
              <w:ind w:right="-1"/>
              <w:jc w:val="center"/>
              <w:rPr>
                <w:rFonts w:ascii="宋体" w:hAnsi="宋体" w:cs="宋体"/>
                <w:b/>
                <w:bCs/>
                <w:color w:val="000000"/>
                <w:sz w:val="22"/>
                <w:szCs w:val="18"/>
              </w:rPr>
            </w:pPr>
            <w:r>
              <w:rPr>
                <w:rFonts w:hint="eastAsia" w:ascii="宋体" w:hAnsi="宋体" w:cs="宋体"/>
                <w:b/>
                <w:bCs/>
                <w:color w:val="000000"/>
                <w:sz w:val="22"/>
                <w:szCs w:val="18"/>
              </w:rPr>
              <w:t>质保年限</w:t>
            </w:r>
          </w:p>
        </w:tc>
        <w:tc>
          <w:tcPr>
            <w:tcW w:w="1244" w:type="dxa"/>
            <w:noWrap w:val="0"/>
            <w:vAlign w:val="center"/>
          </w:tcPr>
          <w:p>
            <w:pPr>
              <w:spacing w:line="360" w:lineRule="auto"/>
              <w:ind w:right="-1"/>
              <w:jc w:val="center"/>
              <w:rPr>
                <w:rFonts w:ascii="宋体" w:hAnsi="宋体" w:cs="宋体"/>
                <w:b/>
                <w:bCs/>
                <w:color w:val="000000"/>
                <w:sz w:val="22"/>
                <w:szCs w:val="18"/>
              </w:rPr>
            </w:pPr>
            <w:r>
              <w:rPr>
                <w:rFonts w:hint="eastAsia" w:ascii="宋体" w:hAnsi="宋体" w:cs="宋体"/>
                <w:b/>
                <w:bCs/>
                <w:color w:val="000000"/>
                <w:sz w:val="22"/>
                <w:szCs w:val="18"/>
              </w:rPr>
              <w:t>单价（元）</w:t>
            </w:r>
          </w:p>
        </w:tc>
        <w:tc>
          <w:tcPr>
            <w:tcW w:w="1244" w:type="dxa"/>
            <w:noWrap w:val="0"/>
            <w:vAlign w:val="center"/>
          </w:tcPr>
          <w:p>
            <w:pPr>
              <w:spacing w:line="360" w:lineRule="auto"/>
              <w:ind w:right="-1"/>
              <w:jc w:val="center"/>
              <w:rPr>
                <w:rFonts w:ascii="宋体" w:hAnsi="宋体" w:cs="宋体"/>
                <w:b/>
                <w:bCs/>
                <w:color w:val="000000"/>
                <w:sz w:val="22"/>
                <w:szCs w:val="18"/>
              </w:rPr>
            </w:pPr>
            <w:r>
              <w:rPr>
                <w:rFonts w:hint="eastAsia" w:ascii="宋体" w:hAnsi="宋体" w:cs="宋体"/>
                <w:b/>
                <w:bCs/>
                <w:color w:val="000000"/>
                <w:sz w:val="22"/>
                <w:szCs w:val="18"/>
              </w:rPr>
              <w:t>金额（元）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5" w:hRule="atLeast"/>
          <w:jc w:val="center"/>
        </w:trPr>
        <w:tc>
          <w:tcPr>
            <w:tcW w:w="791" w:type="dxa"/>
            <w:noWrap w:val="0"/>
            <w:vAlign w:val="center"/>
          </w:tcPr>
          <w:p>
            <w:pPr>
              <w:widowControl/>
              <w:jc w:val="center"/>
              <w:textAlignment w:val="center"/>
              <w:rPr>
                <w:rFonts w:ascii="宋体" w:hAnsi="宋体" w:cs="宋体"/>
                <w:color w:val="000000"/>
                <w:sz w:val="24"/>
                <w:szCs w:val="18"/>
              </w:rPr>
            </w:pPr>
          </w:p>
        </w:tc>
        <w:tc>
          <w:tcPr>
            <w:tcW w:w="1598" w:type="dxa"/>
            <w:noWrap w:val="0"/>
            <w:vAlign w:val="center"/>
          </w:tcPr>
          <w:p>
            <w:pPr>
              <w:widowControl/>
              <w:jc w:val="center"/>
              <w:textAlignment w:val="center"/>
              <w:rPr>
                <w:rFonts w:ascii="宋体" w:hAnsi="宋体" w:cs="宋体"/>
                <w:color w:val="000000"/>
                <w:sz w:val="24"/>
                <w:szCs w:val="18"/>
              </w:rPr>
            </w:pPr>
          </w:p>
        </w:tc>
        <w:tc>
          <w:tcPr>
            <w:tcW w:w="1111" w:type="dxa"/>
            <w:noWrap w:val="0"/>
            <w:vAlign w:val="center"/>
          </w:tcPr>
          <w:p>
            <w:pPr>
              <w:spacing w:line="360" w:lineRule="auto"/>
              <w:ind w:right="-1"/>
              <w:jc w:val="center"/>
              <w:rPr>
                <w:rFonts w:ascii="宋体" w:hAnsi="宋体" w:cs="宋体"/>
                <w:color w:val="000000"/>
                <w:sz w:val="24"/>
                <w:szCs w:val="18"/>
              </w:rPr>
            </w:pPr>
          </w:p>
        </w:tc>
        <w:tc>
          <w:tcPr>
            <w:tcW w:w="1170" w:type="dxa"/>
            <w:noWrap w:val="0"/>
            <w:vAlign w:val="center"/>
          </w:tcPr>
          <w:p>
            <w:pPr>
              <w:spacing w:line="360" w:lineRule="auto"/>
              <w:ind w:right="-1"/>
              <w:jc w:val="center"/>
              <w:rPr>
                <w:rFonts w:ascii="宋体" w:hAnsi="宋体" w:cs="宋体"/>
                <w:color w:val="000000"/>
                <w:sz w:val="24"/>
                <w:szCs w:val="18"/>
              </w:rPr>
            </w:pPr>
          </w:p>
        </w:tc>
        <w:tc>
          <w:tcPr>
            <w:tcW w:w="804" w:type="dxa"/>
            <w:noWrap w:val="0"/>
            <w:vAlign w:val="center"/>
          </w:tcPr>
          <w:p>
            <w:pPr>
              <w:spacing w:line="360" w:lineRule="auto"/>
              <w:ind w:right="-1"/>
              <w:jc w:val="center"/>
              <w:rPr>
                <w:rFonts w:ascii="宋体" w:hAnsi="宋体" w:cs="宋体"/>
                <w:color w:val="000000"/>
                <w:sz w:val="24"/>
                <w:szCs w:val="18"/>
              </w:rPr>
            </w:pPr>
          </w:p>
        </w:tc>
        <w:tc>
          <w:tcPr>
            <w:tcW w:w="877" w:type="dxa"/>
            <w:noWrap w:val="0"/>
            <w:vAlign w:val="center"/>
          </w:tcPr>
          <w:p>
            <w:pPr>
              <w:widowControl/>
              <w:jc w:val="center"/>
              <w:textAlignment w:val="center"/>
              <w:rPr>
                <w:rFonts w:ascii="宋体" w:hAnsi="宋体" w:cs="宋体"/>
                <w:color w:val="000000"/>
                <w:sz w:val="24"/>
                <w:szCs w:val="18"/>
              </w:rPr>
            </w:pPr>
          </w:p>
        </w:tc>
        <w:tc>
          <w:tcPr>
            <w:tcW w:w="1264" w:type="dxa"/>
            <w:noWrap w:val="0"/>
            <w:vAlign w:val="center"/>
          </w:tcPr>
          <w:p>
            <w:pPr>
              <w:spacing w:line="360" w:lineRule="auto"/>
              <w:ind w:right="-1"/>
              <w:jc w:val="center"/>
              <w:rPr>
                <w:rFonts w:ascii="宋体" w:hAnsi="宋体" w:cs="宋体"/>
                <w:color w:val="000000"/>
                <w:sz w:val="24"/>
                <w:szCs w:val="18"/>
              </w:rPr>
            </w:pPr>
          </w:p>
        </w:tc>
        <w:tc>
          <w:tcPr>
            <w:tcW w:w="1244" w:type="dxa"/>
            <w:noWrap w:val="0"/>
            <w:vAlign w:val="center"/>
          </w:tcPr>
          <w:p>
            <w:pPr>
              <w:spacing w:line="360" w:lineRule="auto"/>
              <w:ind w:right="-1"/>
              <w:jc w:val="center"/>
              <w:rPr>
                <w:rFonts w:ascii="宋体" w:hAnsi="宋体" w:cs="宋体"/>
                <w:color w:val="000000"/>
                <w:sz w:val="24"/>
                <w:szCs w:val="18"/>
              </w:rPr>
            </w:pPr>
          </w:p>
        </w:tc>
        <w:tc>
          <w:tcPr>
            <w:tcW w:w="1244" w:type="dxa"/>
            <w:noWrap w:val="0"/>
            <w:vAlign w:val="center"/>
          </w:tcPr>
          <w:p>
            <w:pPr>
              <w:spacing w:line="360" w:lineRule="auto"/>
              <w:ind w:right="-1"/>
              <w:jc w:val="center"/>
              <w:rPr>
                <w:rFonts w:ascii="宋体" w:hAnsi="宋体" w:cs="宋体"/>
                <w:color w:val="000000"/>
                <w:sz w:val="24"/>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5" w:hRule="atLeast"/>
          <w:jc w:val="center"/>
        </w:trPr>
        <w:tc>
          <w:tcPr>
            <w:tcW w:w="791" w:type="dxa"/>
            <w:noWrap w:val="0"/>
            <w:vAlign w:val="center"/>
          </w:tcPr>
          <w:p>
            <w:pPr>
              <w:widowControl/>
              <w:jc w:val="center"/>
              <w:textAlignment w:val="center"/>
              <w:rPr>
                <w:rFonts w:ascii="宋体" w:hAnsi="宋体" w:cs="宋体"/>
                <w:color w:val="000000"/>
                <w:sz w:val="24"/>
                <w:szCs w:val="18"/>
              </w:rPr>
            </w:pPr>
          </w:p>
        </w:tc>
        <w:tc>
          <w:tcPr>
            <w:tcW w:w="1598" w:type="dxa"/>
            <w:noWrap w:val="0"/>
            <w:vAlign w:val="center"/>
          </w:tcPr>
          <w:p>
            <w:pPr>
              <w:widowControl/>
              <w:jc w:val="center"/>
              <w:textAlignment w:val="center"/>
              <w:rPr>
                <w:rFonts w:ascii="宋体" w:hAnsi="宋体" w:cs="宋体"/>
                <w:color w:val="000000"/>
                <w:sz w:val="24"/>
                <w:szCs w:val="18"/>
              </w:rPr>
            </w:pPr>
          </w:p>
        </w:tc>
        <w:tc>
          <w:tcPr>
            <w:tcW w:w="1111" w:type="dxa"/>
            <w:noWrap w:val="0"/>
            <w:vAlign w:val="center"/>
          </w:tcPr>
          <w:p>
            <w:pPr>
              <w:spacing w:line="360" w:lineRule="auto"/>
              <w:ind w:right="-1"/>
              <w:jc w:val="center"/>
              <w:rPr>
                <w:rFonts w:ascii="宋体" w:hAnsi="宋体" w:cs="宋体"/>
                <w:color w:val="000000"/>
                <w:sz w:val="24"/>
                <w:szCs w:val="18"/>
              </w:rPr>
            </w:pPr>
          </w:p>
        </w:tc>
        <w:tc>
          <w:tcPr>
            <w:tcW w:w="1170" w:type="dxa"/>
            <w:noWrap w:val="0"/>
            <w:vAlign w:val="center"/>
          </w:tcPr>
          <w:p>
            <w:pPr>
              <w:spacing w:line="360" w:lineRule="auto"/>
              <w:ind w:right="-1"/>
              <w:jc w:val="center"/>
              <w:rPr>
                <w:rFonts w:ascii="宋体" w:hAnsi="宋体" w:cs="宋体"/>
                <w:color w:val="000000"/>
                <w:sz w:val="24"/>
                <w:szCs w:val="18"/>
              </w:rPr>
            </w:pPr>
          </w:p>
        </w:tc>
        <w:tc>
          <w:tcPr>
            <w:tcW w:w="804" w:type="dxa"/>
            <w:noWrap w:val="0"/>
            <w:vAlign w:val="center"/>
          </w:tcPr>
          <w:p>
            <w:pPr>
              <w:spacing w:line="360" w:lineRule="auto"/>
              <w:ind w:right="-1"/>
              <w:jc w:val="center"/>
              <w:rPr>
                <w:rFonts w:ascii="宋体" w:hAnsi="宋体" w:cs="宋体"/>
                <w:color w:val="000000"/>
                <w:sz w:val="24"/>
                <w:szCs w:val="18"/>
              </w:rPr>
            </w:pPr>
          </w:p>
        </w:tc>
        <w:tc>
          <w:tcPr>
            <w:tcW w:w="877" w:type="dxa"/>
            <w:noWrap w:val="0"/>
            <w:vAlign w:val="center"/>
          </w:tcPr>
          <w:p>
            <w:pPr>
              <w:widowControl/>
              <w:jc w:val="center"/>
              <w:textAlignment w:val="center"/>
              <w:rPr>
                <w:rFonts w:ascii="宋体" w:hAnsi="宋体" w:cs="宋体"/>
                <w:color w:val="000000"/>
                <w:sz w:val="24"/>
                <w:szCs w:val="18"/>
              </w:rPr>
            </w:pPr>
          </w:p>
        </w:tc>
        <w:tc>
          <w:tcPr>
            <w:tcW w:w="1264" w:type="dxa"/>
            <w:noWrap w:val="0"/>
            <w:vAlign w:val="center"/>
          </w:tcPr>
          <w:p>
            <w:pPr>
              <w:spacing w:line="360" w:lineRule="auto"/>
              <w:ind w:right="-1"/>
              <w:jc w:val="center"/>
              <w:rPr>
                <w:rFonts w:ascii="宋体" w:hAnsi="宋体" w:cs="宋体"/>
                <w:color w:val="000000"/>
                <w:sz w:val="24"/>
                <w:szCs w:val="18"/>
              </w:rPr>
            </w:pPr>
          </w:p>
        </w:tc>
        <w:tc>
          <w:tcPr>
            <w:tcW w:w="1244" w:type="dxa"/>
            <w:noWrap w:val="0"/>
            <w:vAlign w:val="center"/>
          </w:tcPr>
          <w:p>
            <w:pPr>
              <w:spacing w:line="360" w:lineRule="auto"/>
              <w:ind w:right="-1"/>
              <w:jc w:val="center"/>
              <w:rPr>
                <w:rFonts w:ascii="宋体" w:hAnsi="宋体" w:cs="宋体"/>
                <w:color w:val="000000"/>
                <w:sz w:val="24"/>
                <w:szCs w:val="18"/>
              </w:rPr>
            </w:pPr>
          </w:p>
        </w:tc>
        <w:tc>
          <w:tcPr>
            <w:tcW w:w="1244" w:type="dxa"/>
            <w:noWrap w:val="0"/>
            <w:vAlign w:val="center"/>
          </w:tcPr>
          <w:p>
            <w:pPr>
              <w:spacing w:line="360" w:lineRule="auto"/>
              <w:ind w:right="-1"/>
              <w:jc w:val="center"/>
              <w:rPr>
                <w:rFonts w:ascii="宋体" w:hAnsi="宋体" w:cs="宋体"/>
                <w:color w:val="000000"/>
                <w:sz w:val="24"/>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5" w:hRule="atLeast"/>
          <w:jc w:val="center"/>
        </w:trPr>
        <w:tc>
          <w:tcPr>
            <w:tcW w:w="791" w:type="dxa"/>
            <w:noWrap w:val="0"/>
            <w:vAlign w:val="center"/>
          </w:tcPr>
          <w:p>
            <w:pPr>
              <w:widowControl/>
              <w:jc w:val="center"/>
              <w:textAlignment w:val="center"/>
              <w:rPr>
                <w:rFonts w:ascii="宋体" w:hAnsi="宋体" w:cs="宋体"/>
                <w:color w:val="000000"/>
                <w:sz w:val="24"/>
                <w:szCs w:val="18"/>
              </w:rPr>
            </w:pPr>
          </w:p>
        </w:tc>
        <w:tc>
          <w:tcPr>
            <w:tcW w:w="1598" w:type="dxa"/>
            <w:noWrap w:val="0"/>
            <w:vAlign w:val="center"/>
          </w:tcPr>
          <w:p>
            <w:pPr>
              <w:widowControl/>
              <w:jc w:val="center"/>
              <w:textAlignment w:val="center"/>
              <w:rPr>
                <w:rFonts w:ascii="宋体" w:hAnsi="宋体" w:cs="宋体"/>
                <w:color w:val="000000"/>
                <w:sz w:val="24"/>
                <w:szCs w:val="18"/>
              </w:rPr>
            </w:pPr>
          </w:p>
        </w:tc>
        <w:tc>
          <w:tcPr>
            <w:tcW w:w="1111" w:type="dxa"/>
            <w:noWrap w:val="0"/>
            <w:vAlign w:val="center"/>
          </w:tcPr>
          <w:p>
            <w:pPr>
              <w:spacing w:line="360" w:lineRule="auto"/>
              <w:ind w:right="-1"/>
              <w:jc w:val="center"/>
              <w:rPr>
                <w:rFonts w:ascii="宋体" w:hAnsi="宋体" w:cs="宋体"/>
                <w:color w:val="000000"/>
                <w:sz w:val="24"/>
                <w:szCs w:val="18"/>
              </w:rPr>
            </w:pPr>
          </w:p>
        </w:tc>
        <w:tc>
          <w:tcPr>
            <w:tcW w:w="1170" w:type="dxa"/>
            <w:noWrap w:val="0"/>
            <w:vAlign w:val="center"/>
          </w:tcPr>
          <w:p>
            <w:pPr>
              <w:spacing w:line="360" w:lineRule="auto"/>
              <w:ind w:right="-1"/>
              <w:jc w:val="center"/>
              <w:rPr>
                <w:rFonts w:ascii="宋体" w:hAnsi="宋体" w:cs="宋体"/>
                <w:color w:val="000000"/>
                <w:sz w:val="24"/>
                <w:szCs w:val="18"/>
              </w:rPr>
            </w:pPr>
          </w:p>
        </w:tc>
        <w:tc>
          <w:tcPr>
            <w:tcW w:w="804" w:type="dxa"/>
            <w:noWrap w:val="0"/>
            <w:vAlign w:val="center"/>
          </w:tcPr>
          <w:p>
            <w:pPr>
              <w:spacing w:line="360" w:lineRule="auto"/>
              <w:ind w:right="-1"/>
              <w:jc w:val="center"/>
              <w:rPr>
                <w:rFonts w:ascii="宋体" w:hAnsi="宋体" w:cs="宋体"/>
                <w:color w:val="000000"/>
                <w:sz w:val="24"/>
                <w:szCs w:val="18"/>
              </w:rPr>
            </w:pPr>
          </w:p>
        </w:tc>
        <w:tc>
          <w:tcPr>
            <w:tcW w:w="877" w:type="dxa"/>
            <w:noWrap w:val="0"/>
            <w:vAlign w:val="center"/>
          </w:tcPr>
          <w:p>
            <w:pPr>
              <w:widowControl/>
              <w:jc w:val="center"/>
              <w:textAlignment w:val="center"/>
              <w:rPr>
                <w:rFonts w:ascii="宋体" w:hAnsi="宋体" w:cs="宋体"/>
                <w:color w:val="000000"/>
                <w:sz w:val="24"/>
                <w:szCs w:val="18"/>
              </w:rPr>
            </w:pPr>
          </w:p>
        </w:tc>
        <w:tc>
          <w:tcPr>
            <w:tcW w:w="1264" w:type="dxa"/>
            <w:noWrap w:val="0"/>
            <w:vAlign w:val="center"/>
          </w:tcPr>
          <w:p>
            <w:pPr>
              <w:spacing w:line="360" w:lineRule="auto"/>
              <w:ind w:right="-1"/>
              <w:jc w:val="center"/>
              <w:rPr>
                <w:rFonts w:ascii="宋体" w:hAnsi="宋体" w:cs="宋体"/>
                <w:color w:val="000000"/>
                <w:sz w:val="24"/>
                <w:szCs w:val="18"/>
              </w:rPr>
            </w:pPr>
          </w:p>
        </w:tc>
        <w:tc>
          <w:tcPr>
            <w:tcW w:w="1244" w:type="dxa"/>
            <w:noWrap w:val="0"/>
            <w:vAlign w:val="center"/>
          </w:tcPr>
          <w:p>
            <w:pPr>
              <w:spacing w:line="360" w:lineRule="auto"/>
              <w:ind w:right="-1"/>
              <w:jc w:val="center"/>
              <w:rPr>
                <w:rFonts w:ascii="宋体" w:hAnsi="宋体" w:cs="宋体"/>
                <w:color w:val="000000"/>
                <w:sz w:val="24"/>
                <w:szCs w:val="18"/>
              </w:rPr>
            </w:pPr>
          </w:p>
        </w:tc>
        <w:tc>
          <w:tcPr>
            <w:tcW w:w="1244" w:type="dxa"/>
            <w:noWrap w:val="0"/>
            <w:vAlign w:val="center"/>
          </w:tcPr>
          <w:p>
            <w:pPr>
              <w:spacing w:line="360" w:lineRule="auto"/>
              <w:ind w:right="-1"/>
              <w:jc w:val="center"/>
              <w:rPr>
                <w:rFonts w:ascii="宋体" w:hAnsi="宋体" w:cs="宋体"/>
                <w:color w:val="000000"/>
                <w:sz w:val="24"/>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58" w:hRule="atLeast"/>
          <w:jc w:val="center"/>
        </w:trPr>
        <w:tc>
          <w:tcPr>
            <w:tcW w:w="10103" w:type="dxa"/>
            <w:gridSpan w:val="9"/>
            <w:noWrap w:val="0"/>
            <w:vAlign w:val="center"/>
          </w:tcPr>
          <w:p>
            <w:pPr>
              <w:spacing w:line="360" w:lineRule="auto"/>
              <w:ind w:right="-1"/>
              <w:jc w:val="left"/>
              <w:rPr>
                <w:rFonts w:ascii="宋体" w:hAnsi="宋体" w:cs="宋体"/>
                <w:color w:val="000000"/>
                <w:sz w:val="24"/>
                <w:szCs w:val="18"/>
              </w:rPr>
            </w:pPr>
            <w:r>
              <w:rPr>
                <w:rFonts w:hint="eastAsia" w:ascii="宋体" w:hAnsi="宋体" w:cs="宋体"/>
                <w:sz w:val="22"/>
                <w:szCs w:val="21"/>
              </w:rPr>
              <w:t xml:space="preserve">人民币合计金额（大写）：                                    （小写）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8" w:hRule="atLeast"/>
          <w:jc w:val="center"/>
        </w:trPr>
        <w:tc>
          <w:tcPr>
            <w:tcW w:w="10103" w:type="dxa"/>
            <w:gridSpan w:val="9"/>
            <w:noWrap w:val="0"/>
            <w:vAlign w:val="center"/>
          </w:tcPr>
          <w:p>
            <w:pPr>
              <w:spacing w:line="360" w:lineRule="auto"/>
              <w:rPr>
                <w:rFonts w:ascii="宋体" w:hAnsi="宋体" w:cs="宋体"/>
                <w:sz w:val="22"/>
                <w:szCs w:val="21"/>
              </w:rPr>
            </w:pPr>
            <w:r>
              <w:rPr>
                <w:rFonts w:hint="eastAsia" w:ascii="宋体" w:hAnsi="宋体" w:cs="宋体"/>
                <w:b/>
                <w:bCs/>
                <w:sz w:val="22"/>
                <w:szCs w:val="21"/>
              </w:rPr>
              <w:t>说明：</w:t>
            </w:r>
            <w:r>
              <w:rPr>
                <w:rFonts w:hint="eastAsia" w:eastAsia="仿宋_GB2312"/>
                <w:sz w:val="24"/>
              </w:rPr>
              <w:t>合计金额包括货物价款、备件、专用工具、安装、调试、检验、技术培训及技术资料和包装、运输等全部费用，甲方不再支付任何费用。</w:t>
            </w:r>
          </w:p>
        </w:tc>
      </w:tr>
    </w:tbl>
    <w:p>
      <w:pPr>
        <w:spacing w:line="360" w:lineRule="auto"/>
        <w:ind w:right="-1" w:firstLine="482" w:firstLineChars="200"/>
        <w:outlineLvl w:val="0"/>
        <w:rPr>
          <w:rFonts w:ascii="宋体" w:hAnsi="宋体" w:cs="宋体"/>
          <w:b/>
          <w:bCs/>
          <w:sz w:val="24"/>
          <w:szCs w:val="18"/>
        </w:rPr>
      </w:pPr>
      <w:bookmarkStart w:id="14" w:name="_Toc24179"/>
      <w:r>
        <w:rPr>
          <w:rFonts w:hint="eastAsia" w:ascii="宋体" w:hAnsi="宋体" w:cs="宋体"/>
          <w:b/>
          <w:bCs/>
          <w:sz w:val="24"/>
          <w:szCs w:val="18"/>
        </w:rPr>
        <w:t>第二条 质量</w:t>
      </w:r>
      <w:bookmarkEnd w:id="13"/>
      <w:r>
        <w:rPr>
          <w:rFonts w:hint="eastAsia" w:ascii="宋体" w:hAnsi="宋体" w:cs="宋体"/>
          <w:b/>
          <w:bCs/>
          <w:sz w:val="24"/>
          <w:szCs w:val="18"/>
        </w:rPr>
        <w:t>保证</w:t>
      </w:r>
      <w:bookmarkEnd w:id="14"/>
    </w:p>
    <w:p>
      <w:pPr>
        <w:spacing w:line="360" w:lineRule="auto"/>
        <w:ind w:right="-1" w:firstLine="480" w:firstLineChars="200"/>
        <w:outlineLvl w:val="0"/>
        <w:rPr>
          <w:rFonts w:eastAsia="仿宋_GB2312"/>
          <w:sz w:val="24"/>
        </w:rPr>
      </w:pPr>
      <w:bookmarkStart w:id="15" w:name="_Toc27403"/>
      <w:r>
        <w:rPr>
          <w:rFonts w:hint="eastAsia" w:eastAsia="仿宋_GB2312"/>
          <w:sz w:val="24"/>
        </w:rPr>
        <w:t>2.1 乙方所提供的货物型号、技术规格、技术参数等质量，必须符合国家、行业现行的设计、安全、质量等相关标准规范要求，与</w:t>
      </w:r>
      <w:r>
        <w:rPr>
          <w:rFonts w:hint="eastAsia" w:eastAsia="仿宋_GB2312"/>
          <w:sz w:val="24"/>
          <w:lang w:val="en-US" w:eastAsia="zh-CN"/>
        </w:rPr>
        <w:t>竞争性谈判</w:t>
      </w:r>
      <w:r>
        <w:rPr>
          <w:rFonts w:hint="eastAsia" w:eastAsia="仿宋_GB2312"/>
          <w:sz w:val="24"/>
        </w:rPr>
        <w:t>文件、</w:t>
      </w:r>
      <w:r>
        <w:rPr>
          <w:rFonts w:hint="eastAsia" w:eastAsia="仿宋_GB2312"/>
          <w:sz w:val="24"/>
          <w:lang w:val="en-US" w:eastAsia="zh-CN"/>
        </w:rPr>
        <w:t>响应</w:t>
      </w:r>
      <w:r>
        <w:rPr>
          <w:rFonts w:hint="eastAsia" w:eastAsia="仿宋_GB2312"/>
          <w:sz w:val="24"/>
        </w:rPr>
        <w:t>文件和承诺相一致。</w:t>
      </w:r>
      <w:bookmarkEnd w:id="15"/>
      <w:r>
        <w:rPr>
          <w:rFonts w:hint="eastAsia" w:eastAsia="仿宋_GB2312"/>
          <w:sz w:val="24"/>
        </w:rPr>
        <w:t xml:space="preserve"> </w:t>
      </w:r>
    </w:p>
    <w:p>
      <w:pPr>
        <w:spacing w:line="360" w:lineRule="auto"/>
        <w:ind w:right="-1" w:firstLine="480" w:firstLineChars="200"/>
        <w:outlineLvl w:val="0"/>
        <w:rPr>
          <w:rFonts w:eastAsia="仿宋_GB2312"/>
          <w:sz w:val="24"/>
        </w:rPr>
      </w:pPr>
      <w:bookmarkStart w:id="16" w:name="_Toc22444"/>
      <w:r>
        <w:rPr>
          <w:rFonts w:hint="eastAsia" w:eastAsia="仿宋_GB2312"/>
          <w:sz w:val="24"/>
        </w:rPr>
        <w:t>2.2 乙方所提供的货物必须是全新、未使用的原装产品，且在正常安装、使用和保养条件下，其使用寿命期内各项指标均达到质量要求。</w:t>
      </w:r>
      <w:bookmarkEnd w:id="16"/>
    </w:p>
    <w:p>
      <w:pPr>
        <w:spacing w:line="360" w:lineRule="auto"/>
        <w:ind w:right="-1" w:firstLine="482" w:firstLineChars="200"/>
        <w:outlineLvl w:val="0"/>
        <w:rPr>
          <w:rFonts w:ascii="宋体" w:hAnsi="宋体" w:cs="宋体"/>
          <w:b/>
          <w:bCs/>
          <w:sz w:val="24"/>
          <w:szCs w:val="18"/>
        </w:rPr>
      </w:pPr>
      <w:bookmarkStart w:id="17" w:name="_Toc20728"/>
      <w:r>
        <w:rPr>
          <w:rFonts w:hint="eastAsia" w:ascii="宋体" w:hAnsi="宋体" w:cs="宋体"/>
          <w:b/>
          <w:bCs/>
          <w:sz w:val="24"/>
          <w:szCs w:val="18"/>
        </w:rPr>
        <w:t>第三条 知识版权</w:t>
      </w:r>
      <w:bookmarkEnd w:id="17"/>
    </w:p>
    <w:p>
      <w:pPr>
        <w:spacing w:line="360" w:lineRule="auto"/>
        <w:ind w:right="-1" w:firstLine="480" w:firstLineChars="200"/>
        <w:outlineLvl w:val="0"/>
        <w:rPr>
          <w:rFonts w:eastAsia="仿宋_GB2312"/>
          <w:sz w:val="24"/>
        </w:rPr>
      </w:pPr>
      <w:bookmarkStart w:id="18" w:name="_Toc1079"/>
      <w:r>
        <w:rPr>
          <w:rFonts w:hint="eastAsia" w:eastAsia="仿宋_GB2312"/>
          <w:sz w:val="24"/>
        </w:rPr>
        <w:t>乙方应保证所提供货物在使用时不会侵犯任何第三方的专利权、商标权、工业设计权或其他权利。</w:t>
      </w:r>
      <w:bookmarkEnd w:id="18"/>
    </w:p>
    <w:p>
      <w:pPr>
        <w:spacing w:line="360" w:lineRule="auto"/>
        <w:ind w:right="-1" w:firstLine="482" w:firstLineChars="200"/>
        <w:outlineLvl w:val="0"/>
        <w:rPr>
          <w:rFonts w:ascii="宋体" w:hAnsi="宋体" w:cs="宋体"/>
          <w:b/>
          <w:bCs/>
          <w:sz w:val="24"/>
          <w:szCs w:val="18"/>
        </w:rPr>
      </w:pPr>
      <w:bookmarkStart w:id="19" w:name="_Toc31532"/>
      <w:r>
        <w:rPr>
          <w:rFonts w:hint="eastAsia" w:ascii="宋体" w:hAnsi="宋体" w:cs="宋体"/>
          <w:b/>
          <w:bCs/>
          <w:sz w:val="24"/>
          <w:szCs w:val="18"/>
        </w:rPr>
        <w:t>第四条 包装和运输</w:t>
      </w:r>
      <w:bookmarkEnd w:id="19"/>
    </w:p>
    <w:p>
      <w:pPr>
        <w:spacing w:line="360" w:lineRule="auto"/>
        <w:ind w:right="-1" w:firstLine="480" w:firstLineChars="200"/>
        <w:outlineLvl w:val="0"/>
        <w:rPr>
          <w:rFonts w:eastAsia="仿宋_GB2312"/>
          <w:sz w:val="24"/>
        </w:rPr>
      </w:pPr>
      <w:bookmarkStart w:id="20" w:name="_Toc4726"/>
      <w:r>
        <w:rPr>
          <w:rFonts w:hint="eastAsia" w:eastAsia="仿宋_GB2312"/>
          <w:sz w:val="24"/>
        </w:rPr>
        <w:t>4.1 乙方采用包装方式必须符合包装和运输的有关标准，包装应为制造商出厂时的原包装（特殊约定除外），每一包装单元内应附详细的装箱单和质量合格证。</w:t>
      </w:r>
      <w:bookmarkEnd w:id="20"/>
    </w:p>
    <w:p>
      <w:pPr>
        <w:spacing w:line="360" w:lineRule="auto"/>
        <w:ind w:right="-1" w:firstLine="480" w:firstLineChars="200"/>
        <w:outlineLvl w:val="0"/>
        <w:rPr>
          <w:rFonts w:eastAsia="仿宋_GB2312"/>
          <w:sz w:val="24"/>
        </w:rPr>
      </w:pPr>
      <w:bookmarkStart w:id="21" w:name="_Toc29957"/>
      <w:r>
        <w:rPr>
          <w:rFonts w:hint="eastAsia" w:eastAsia="仿宋_GB2312"/>
          <w:sz w:val="24"/>
        </w:rPr>
        <w:t>4.2 运输方式及费用负担</w:t>
      </w:r>
      <w:bookmarkEnd w:id="21"/>
    </w:p>
    <w:p>
      <w:pPr>
        <w:spacing w:line="360" w:lineRule="auto"/>
        <w:ind w:right="-1" w:firstLine="480" w:firstLineChars="200"/>
        <w:outlineLvl w:val="0"/>
        <w:rPr>
          <w:rFonts w:eastAsia="仿宋_GB2312"/>
          <w:sz w:val="24"/>
        </w:rPr>
      </w:pPr>
      <w:bookmarkStart w:id="22" w:name="_Toc6403"/>
      <w:r>
        <w:rPr>
          <w:rFonts w:hint="eastAsia" w:eastAsia="仿宋_GB2312"/>
          <w:sz w:val="24"/>
        </w:rPr>
        <w:t>由乙方负责运输至交货地点或者甲方指定地点，运输费用及安全均由乙方负责承担。由乙方负责卸车及就位，费用及安全均由乙方负责承担。</w:t>
      </w:r>
      <w:bookmarkEnd w:id="22"/>
    </w:p>
    <w:p>
      <w:pPr>
        <w:spacing w:line="360" w:lineRule="auto"/>
        <w:ind w:right="-1" w:firstLine="482" w:firstLineChars="200"/>
        <w:outlineLvl w:val="0"/>
        <w:rPr>
          <w:rFonts w:ascii="宋体" w:hAnsi="宋体" w:cs="宋体"/>
          <w:b/>
          <w:bCs/>
          <w:sz w:val="24"/>
          <w:szCs w:val="18"/>
        </w:rPr>
      </w:pPr>
      <w:bookmarkStart w:id="23" w:name="_Toc15162"/>
      <w:r>
        <w:rPr>
          <w:rFonts w:hint="eastAsia" w:ascii="宋体" w:hAnsi="宋体" w:cs="宋体"/>
          <w:b/>
          <w:bCs/>
          <w:sz w:val="24"/>
          <w:szCs w:val="18"/>
        </w:rPr>
        <w:t>第五条 交付和验收</w:t>
      </w:r>
      <w:bookmarkEnd w:id="23"/>
    </w:p>
    <w:p>
      <w:pPr>
        <w:spacing w:line="360" w:lineRule="auto"/>
        <w:ind w:right="-1" w:firstLine="480" w:firstLineChars="200"/>
        <w:outlineLvl w:val="0"/>
        <w:rPr>
          <w:rFonts w:hint="eastAsia" w:eastAsia="仿宋_GB2312"/>
          <w:sz w:val="24"/>
          <w:highlight w:val="none"/>
        </w:rPr>
      </w:pPr>
      <w:bookmarkStart w:id="24" w:name="_Toc5747"/>
      <w:r>
        <w:rPr>
          <w:rFonts w:hint="eastAsia" w:eastAsia="仿宋_GB2312"/>
          <w:sz w:val="24"/>
          <w:highlight w:val="none"/>
        </w:rPr>
        <w:t xml:space="preserve">5.1 </w:t>
      </w:r>
      <w:r>
        <w:rPr>
          <w:rFonts w:hint="eastAsia" w:eastAsia="仿宋_GB2312"/>
          <w:b/>
          <w:bCs/>
          <w:sz w:val="24"/>
          <w:highlight w:val="none"/>
        </w:rPr>
        <w:t>交货时间</w:t>
      </w:r>
      <w:r>
        <w:rPr>
          <w:rFonts w:hint="eastAsia" w:eastAsia="仿宋_GB2312"/>
          <w:sz w:val="24"/>
          <w:highlight w:val="none"/>
        </w:rPr>
        <w:t>：</w:t>
      </w:r>
    </w:p>
    <w:p>
      <w:pPr>
        <w:spacing w:line="360" w:lineRule="auto"/>
        <w:ind w:right="-1" w:firstLine="480" w:firstLineChars="200"/>
        <w:outlineLvl w:val="0"/>
        <w:rPr>
          <w:rFonts w:hint="eastAsia" w:eastAsia="仿宋_GB2312"/>
          <w:sz w:val="24"/>
          <w:highlight w:val="none"/>
        </w:rPr>
      </w:pPr>
      <w:r>
        <w:rPr>
          <w:rFonts w:hint="eastAsia" w:eastAsia="仿宋_GB2312"/>
          <w:sz w:val="24"/>
          <w:highlight w:val="none"/>
        </w:rPr>
        <w:t>合同签订后</w:t>
      </w:r>
      <w:r>
        <w:rPr>
          <w:rFonts w:hint="eastAsia" w:eastAsia="仿宋_GB2312"/>
          <w:sz w:val="24"/>
          <w:highlight w:val="none"/>
          <w:lang w:val="en-US" w:eastAsia="zh-CN"/>
        </w:rPr>
        <w:t>30个日历日内</w:t>
      </w:r>
      <w:r>
        <w:rPr>
          <w:rFonts w:hint="eastAsia" w:eastAsia="仿宋_GB2312"/>
          <w:sz w:val="24"/>
          <w:highlight w:val="none"/>
        </w:rPr>
        <w:t>完成货物的配送、安装、调试工作</w:t>
      </w:r>
      <w:r>
        <w:rPr>
          <w:rFonts w:hint="eastAsia" w:eastAsia="仿宋_GB2312"/>
          <w:sz w:val="24"/>
          <w:highlight w:val="none"/>
          <w:lang w:eastAsia="zh-CN"/>
        </w:rPr>
        <w:t>。</w:t>
      </w:r>
    </w:p>
    <w:bookmarkEnd w:id="24"/>
    <w:p>
      <w:pPr>
        <w:spacing w:line="360" w:lineRule="auto"/>
        <w:ind w:right="-1" w:firstLine="480" w:firstLineChars="200"/>
        <w:outlineLvl w:val="0"/>
        <w:rPr>
          <w:rFonts w:hint="eastAsia" w:eastAsia="仿宋_GB2312"/>
          <w:sz w:val="24"/>
          <w:highlight w:val="none"/>
          <w:lang w:eastAsia="zh-CN"/>
        </w:rPr>
      </w:pPr>
      <w:bookmarkStart w:id="25" w:name="_Toc14811"/>
      <w:r>
        <w:rPr>
          <w:rFonts w:hint="eastAsia" w:eastAsia="仿宋_GB2312"/>
          <w:sz w:val="24"/>
          <w:highlight w:val="none"/>
        </w:rPr>
        <w:t>5.</w:t>
      </w:r>
      <w:r>
        <w:rPr>
          <w:rFonts w:hint="eastAsia" w:eastAsia="仿宋_GB2312"/>
          <w:sz w:val="24"/>
          <w:highlight w:val="none"/>
          <w:lang w:val="en-US" w:eastAsia="zh-CN"/>
        </w:rPr>
        <w:t>2</w:t>
      </w:r>
      <w:r>
        <w:rPr>
          <w:rFonts w:hint="eastAsia" w:eastAsia="仿宋_GB2312"/>
          <w:sz w:val="24"/>
          <w:highlight w:val="none"/>
        </w:rPr>
        <w:t xml:space="preserve"> </w:t>
      </w:r>
      <w:r>
        <w:rPr>
          <w:rFonts w:hint="eastAsia" w:eastAsia="仿宋_GB2312"/>
          <w:b/>
          <w:bCs/>
          <w:sz w:val="24"/>
          <w:highlight w:val="none"/>
        </w:rPr>
        <w:t>交货</w:t>
      </w:r>
      <w:r>
        <w:rPr>
          <w:rFonts w:hint="eastAsia" w:eastAsia="仿宋_GB2312"/>
          <w:b/>
          <w:bCs/>
          <w:sz w:val="24"/>
          <w:highlight w:val="none"/>
          <w:lang w:val="en-US" w:eastAsia="zh-CN"/>
        </w:rPr>
        <w:t>地点</w:t>
      </w:r>
      <w:r>
        <w:rPr>
          <w:rFonts w:hint="eastAsia" w:eastAsia="仿宋_GB2312"/>
          <w:sz w:val="24"/>
          <w:highlight w:val="none"/>
        </w:rPr>
        <w:t>：陕西省荣复军人第二医院</w:t>
      </w:r>
      <w:r>
        <w:rPr>
          <w:rFonts w:hint="eastAsia" w:eastAsia="仿宋_GB2312"/>
          <w:sz w:val="24"/>
          <w:highlight w:val="none"/>
          <w:lang w:val="en-US" w:eastAsia="zh-CN"/>
        </w:rPr>
        <w:t>指定地点</w:t>
      </w:r>
      <w:r>
        <w:rPr>
          <w:rFonts w:hint="eastAsia" w:eastAsia="仿宋_GB2312"/>
          <w:sz w:val="24"/>
          <w:highlight w:val="none"/>
          <w:lang w:eastAsia="zh-CN"/>
        </w:rPr>
        <w:t>。</w:t>
      </w:r>
      <w:bookmarkEnd w:id="25"/>
    </w:p>
    <w:p>
      <w:pPr>
        <w:spacing w:line="360" w:lineRule="auto"/>
        <w:ind w:right="-1" w:firstLine="480" w:firstLineChars="200"/>
        <w:outlineLvl w:val="0"/>
        <w:rPr>
          <w:rFonts w:eastAsia="仿宋_GB2312"/>
          <w:sz w:val="24"/>
        </w:rPr>
      </w:pPr>
      <w:bookmarkStart w:id="26" w:name="_Toc91"/>
      <w:r>
        <w:rPr>
          <w:rFonts w:hint="eastAsia" w:eastAsia="仿宋_GB2312"/>
          <w:sz w:val="24"/>
          <w:highlight w:val="none"/>
        </w:rPr>
        <w:t>5.</w:t>
      </w:r>
      <w:r>
        <w:rPr>
          <w:rFonts w:hint="eastAsia" w:eastAsia="仿宋_GB2312"/>
          <w:sz w:val="24"/>
          <w:highlight w:val="none"/>
          <w:lang w:val="en-US" w:eastAsia="zh-CN"/>
        </w:rPr>
        <w:t>3</w:t>
      </w:r>
      <w:r>
        <w:rPr>
          <w:rFonts w:hint="eastAsia" w:eastAsia="仿宋_GB2312"/>
          <w:sz w:val="24"/>
          <w:highlight w:val="none"/>
        </w:rPr>
        <w:t xml:space="preserve"> </w:t>
      </w:r>
      <w:r>
        <w:rPr>
          <w:rFonts w:hint="eastAsia" w:eastAsia="仿宋_GB2312"/>
          <w:b/>
          <w:bCs/>
          <w:sz w:val="24"/>
          <w:highlight w:val="none"/>
        </w:rPr>
        <w:t>指定履约人员</w:t>
      </w:r>
      <w:r>
        <w:rPr>
          <w:rFonts w:hint="eastAsia" w:eastAsia="仿宋_GB2312"/>
          <w:sz w:val="24"/>
          <w:highlight w:val="none"/>
        </w:rPr>
        <w:t>：甲方指定</w:t>
      </w:r>
      <w:r>
        <w:rPr>
          <w:rFonts w:hint="eastAsia" w:eastAsia="仿宋_GB2312"/>
          <w:sz w:val="24"/>
          <w:highlight w:val="none"/>
          <w:u w:val="single"/>
        </w:rPr>
        <w:t xml:space="preserve">        </w:t>
      </w:r>
      <w:r>
        <w:rPr>
          <w:rFonts w:hint="eastAsia" w:eastAsia="仿宋_GB2312"/>
          <w:sz w:val="24"/>
          <w:highlight w:val="none"/>
        </w:rPr>
        <w:t>为代表，组织甲方相关人员检验、接收货物，签收</w:t>
      </w:r>
      <w:r>
        <w:rPr>
          <w:rFonts w:hint="eastAsia" w:eastAsia="仿宋_GB2312"/>
          <w:sz w:val="24"/>
        </w:rPr>
        <w:t>（或送达）合同履行资料。乙方指定</w:t>
      </w:r>
      <w:r>
        <w:rPr>
          <w:rFonts w:hint="eastAsia" w:eastAsia="仿宋_GB2312"/>
          <w:sz w:val="24"/>
          <w:u w:val="single"/>
        </w:rPr>
        <w:t xml:space="preserve">       </w:t>
      </w:r>
      <w:r>
        <w:rPr>
          <w:rFonts w:hint="eastAsia" w:eastAsia="仿宋_GB2312"/>
          <w:sz w:val="24"/>
        </w:rPr>
        <w:t>代表乙方交付货物，签收（或送达）合同履行资料。上述指定人员如需变更，应以书面形式于变更之日通知对方。非指定人员签署的履行资料，在结算时甲方不予认可。</w:t>
      </w:r>
      <w:bookmarkEnd w:id="26"/>
    </w:p>
    <w:p>
      <w:pPr>
        <w:spacing w:line="360" w:lineRule="auto"/>
        <w:ind w:right="-1" w:firstLine="480" w:firstLineChars="200"/>
        <w:outlineLvl w:val="0"/>
        <w:rPr>
          <w:rFonts w:eastAsia="仿宋_GB2312"/>
          <w:sz w:val="24"/>
        </w:rPr>
      </w:pPr>
      <w:bookmarkStart w:id="27" w:name="_Toc27367"/>
      <w:r>
        <w:rPr>
          <w:rFonts w:hint="eastAsia" w:eastAsia="仿宋_GB2312"/>
          <w:sz w:val="24"/>
        </w:rPr>
        <w:t>5.</w:t>
      </w:r>
      <w:r>
        <w:rPr>
          <w:rFonts w:hint="eastAsia" w:eastAsia="仿宋_GB2312"/>
          <w:sz w:val="24"/>
          <w:lang w:val="en-US" w:eastAsia="zh-CN"/>
        </w:rPr>
        <w:t xml:space="preserve">4 </w:t>
      </w:r>
      <w:r>
        <w:rPr>
          <w:rFonts w:hint="eastAsia" w:eastAsia="仿宋_GB2312"/>
          <w:b/>
          <w:bCs/>
          <w:sz w:val="24"/>
        </w:rPr>
        <w:t>安装调试</w:t>
      </w:r>
      <w:r>
        <w:rPr>
          <w:rFonts w:hint="eastAsia" w:eastAsia="仿宋_GB2312"/>
          <w:sz w:val="24"/>
        </w:rPr>
        <w:t>：乙方负责在货物到达甲方交货地点或者指定地点7日内到甲方现场调试服务，遵守安全、文明规定，服从项目管理单位的管理，承担安全文明施工责任和成品保护责任。安装调试期间，若发生任何不安全事件(人员、设备、设施)，乙方负责承担。</w:t>
      </w:r>
      <w:bookmarkEnd w:id="27"/>
    </w:p>
    <w:p>
      <w:pPr>
        <w:spacing w:line="360" w:lineRule="auto"/>
        <w:ind w:right="-1" w:firstLine="480" w:firstLineChars="200"/>
        <w:outlineLvl w:val="0"/>
        <w:rPr>
          <w:rFonts w:eastAsia="仿宋_GB2312"/>
          <w:sz w:val="24"/>
        </w:rPr>
      </w:pPr>
      <w:bookmarkStart w:id="28" w:name="_Toc16525"/>
      <w:r>
        <w:rPr>
          <w:rFonts w:hint="eastAsia" w:eastAsia="仿宋_GB2312"/>
          <w:sz w:val="24"/>
        </w:rPr>
        <w:t>5.</w:t>
      </w:r>
      <w:r>
        <w:rPr>
          <w:rFonts w:hint="eastAsia" w:eastAsia="仿宋_GB2312"/>
          <w:sz w:val="24"/>
          <w:lang w:val="en-US" w:eastAsia="zh-CN"/>
        </w:rPr>
        <w:t>5</w:t>
      </w:r>
      <w:r>
        <w:rPr>
          <w:rFonts w:hint="eastAsia" w:eastAsia="仿宋_GB2312"/>
          <w:sz w:val="24"/>
        </w:rPr>
        <w:t xml:space="preserve"> </w:t>
      </w:r>
      <w:r>
        <w:rPr>
          <w:rFonts w:hint="eastAsia" w:eastAsia="仿宋_GB2312"/>
          <w:b/>
          <w:bCs/>
          <w:sz w:val="24"/>
        </w:rPr>
        <w:t>验收标准</w:t>
      </w:r>
      <w:r>
        <w:rPr>
          <w:rFonts w:hint="eastAsia" w:eastAsia="仿宋_GB2312"/>
          <w:sz w:val="24"/>
        </w:rPr>
        <w:t>：依照本合同约定的货物技术标准条款执行。货物的技术标准（或质量要求）：按照技术协议约定内容；技术协议没有约定的，按照国家标准执行；国家标准没有要求的，按照行业标准执行；行业标准没有要求的，按照行业惯例或行业习惯执行。</w:t>
      </w:r>
      <w:bookmarkEnd w:id="28"/>
    </w:p>
    <w:p>
      <w:pPr>
        <w:spacing w:line="360" w:lineRule="auto"/>
        <w:ind w:right="-1" w:firstLine="480" w:firstLineChars="200"/>
        <w:outlineLvl w:val="0"/>
        <w:rPr>
          <w:rFonts w:eastAsia="仿宋_GB2312"/>
          <w:sz w:val="24"/>
        </w:rPr>
      </w:pPr>
      <w:bookmarkStart w:id="29" w:name="_Toc20848"/>
      <w:r>
        <w:rPr>
          <w:rFonts w:hint="eastAsia" w:eastAsia="仿宋_GB2312"/>
          <w:sz w:val="24"/>
        </w:rPr>
        <w:t>5.</w:t>
      </w:r>
      <w:r>
        <w:rPr>
          <w:rFonts w:hint="eastAsia" w:eastAsia="仿宋_GB2312"/>
          <w:sz w:val="24"/>
          <w:lang w:val="en-US" w:eastAsia="zh-CN"/>
        </w:rPr>
        <w:t>5</w:t>
      </w:r>
      <w:r>
        <w:rPr>
          <w:rFonts w:hint="eastAsia" w:eastAsia="仿宋_GB2312"/>
          <w:sz w:val="24"/>
        </w:rPr>
        <w:t>.1 所有系统设备、材料到达安装调试现场 2个工作日内，甲方组织专业人员或部门对乙方交付的设备进行初步验收。系统设备、材料不符合相关国家、行业及约定标准或没有按规定提供约定的证明文件的，甲方拒绝接受。此项验收仅为货物初步验收，并不免除乙方承担的质量责任。未经甲方验收合格乙方擅自安装的，一切责任由乙方自行承担。</w:t>
      </w:r>
      <w:bookmarkEnd w:id="29"/>
    </w:p>
    <w:p>
      <w:pPr>
        <w:spacing w:line="360" w:lineRule="auto"/>
        <w:ind w:right="-1" w:firstLine="480" w:firstLineChars="200"/>
        <w:outlineLvl w:val="0"/>
        <w:rPr>
          <w:rFonts w:hint="eastAsia" w:eastAsia="仿宋_GB2312"/>
          <w:sz w:val="24"/>
        </w:rPr>
      </w:pPr>
      <w:bookmarkStart w:id="30" w:name="_Toc13364"/>
      <w:r>
        <w:rPr>
          <w:rFonts w:hint="eastAsia" w:eastAsia="仿宋_GB2312"/>
          <w:sz w:val="24"/>
        </w:rPr>
        <w:t>5.</w:t>
      </w:r>
      <w:r>
        <w:rPr>
          <w:rFonts w:hint="eastAsia" w:eastAsia="仿宋_GB2312"/>
          <w:sz w:val="24"/>
          <w:lang w:val="en-US" w:eastAsia="zh-CN"/>
        </w:rPr>
        <w:t>5</w:t>
      </w:r>
      <w:r>
        <w:rPr>
          <w:rFonts w:hint="eastAsia" w:eastAsia="仿宋_GB2312"/>
          <w:sz w:val="24"/>
        </w:rPr>
        <w:t>.2 乙方交付时应向甲方提交以下证明材料和文件：产品合格证、原厂证明、产品出厂检测报告、医疗器械注册证等质量证明文件。</w:t>
      </w:r>
      <w:bookmarkEnd w:id="30"/>
    </w:p>
    <w:p>
      <w:pPr>
        <w:spacing w:line="360" w:lineRule="auto"/>
        <w:ind w:right="-1" w:firstLine="480" w:firstLineChars="200"/>
        <w:outlineLvl w:val="0"/>
        <w:rPr>
          <w:rFonts w:eastAsia="仿宋_GB2312"/>
          <w:sz w:val="24"/>
        </w:rPr>
      </w:pPr>
      <w:bookmarkStart w:id="31" w:name="_Toc10959"/>
      <w:r>
        <w:rPr>
          <w:rFonts w:hint="eastAsia" w:eastAsia="仿宋_GB2312"/>
          <w:sz w:val="24"/>
        </w:rPr>
        <w:t>5.</w:t>
      </w:r>
      <w:r>
        <w:rPr>
          <w:rFonts w:hint="eastAsia" w:eastAsia="仿宋_GB2312"/>
          <w:sz w:val="24"/>
          <w:lang w:val="en-US" w:eastAsia="zh-CN"/>
        </w:rPr>
        <w:t>5</w:t>
      </w:r>
      <w:r>
        <w:rPr>
          <w:rFonts w:hint="eastAsia" w:eastAsia="仿宋_GB2312"/>
          <w:sz w:val="24"/>
        </w:rPr>
        <w:t>.3安装调试完成后，乙方通知甲方组织验收。验收合格后，甲乙双方签署货物验收单，验收时间以验收单上签署的时间为准，验收结果以该项目验收单结论为准。甲方对验收有异议的或者经整改仍验收不合格的，现场向乙方提出，乙方应自收到甲方书面异议后5个工作日内及时予以解决。</w:t>
      </w:r>
      <w:bookmarkEnd w:id="31"/>
    </w:p>
    <w:p>
      <w:pPr>
        <w:spacing w:line="360" w:lineRule="auto"/>
        <w:ind w:right="-1" w:firstLine="480" w:firstLineChars="200"/>
        <w:outlineLvl w:val="0"/>
        <w:rPr>
          <w:rFonts w:eastAsia="仿宋_GB2312"/>
          <w:sz w:val="24"/>
        </w:rPr>
      </w:pPr>
      <w:bookmarkStart w:id="32" w:name="_Toc3259"/>
      <w:r>
        <w:rPr>
          <w:rFonts w:hint="eastAsia" w:eastAsia="仿宋_GB2312"/>
          <w:sz w:val="24"/>
        </w:rPr>
        <w:t>5.</w:t>
      </w:r>
      <w:r>
        <w:rPr>
          <w:rFonts w:hint="eastAsia" w:eastAsia="仿宋_GB2312"/>
          <w:sz w:val="24"/>
          <w:lang w:val="en-US" w:eastAsia="zh-CN"/>
        </w:rPr>
        <w:t>6</w:t>
      </w:r>
      <w:r>
        <w:rPr>
          <w:rFonts w:hint="eastAsia" w:eastAsia="仿宋_GB2312"/>
          <w:sz w:val="24"/>
        </w:rPr>
        <w:t xml:space="preserve"> </w:t>
      </w:r>
      <w:r>
        <w:rPr>
          <w:rFonts w:hint="eastAsia" w:eastAsia="仿宋_GB2312"/>
          <w:b/>
          <w:bCs/>
          <w:sz w:val="24"/>
        </w:rPr>
        <w:t>技术培训</w:t>
      </w:r>
      <w:bookmarkEnd w:id="32"/>
    </w:p>
    <w:p>
      <w:pPr>
        <w:spacing w:line="360" w:lineRule="auto"/>
        <w:ind w:right="-1" w:firstLine="480" w:firstLineChars="200"/>
        <w:outlineLvl w:val="0"/>
        <w:rPr>
          <w:rFonts w:eastAsia="仿宋_GB2312"/>
          <w:sz w:val="24"/>
        </w:rPr>
      </w:pPr>
      <w:bookmarkStart w:id="33" w:name="_Toc28269"/>
      <w:r>
        <w:rPr>
          <w:rFonts w:hint="eastAsia" w:eastAsia="仿宋_GB2312"/>
          <w:sz w:val="24"/>
        </w:rPr>
        <w:t>乙方应在使用操作和维修技术方面及临床应用向甲方提供培训，直至正确使用、熟练操作。</w:t>
      </w:r>
      <w:bookmarkEnd w:id="33"/>
    </w:p>
    <w:p>
      <w:pPr>
        <w:spacing w:line="360" w:lineRule="auto"/>
        <w:ind w:right="-1" w:firstLine="482" w:firstLineChars="200"/>
        <w:outlineLvl w:val="0"/>
        <w:rPr>
          <w:rFonts w:ascii="宋体" w:hAnsi="宋体" w:cs="宋体"/>
          <w:b/>
          <w:bCs/>
          <w:sz w:val="24"/>
          <w:szCs w:val="18"/>
        </w:rPr>
      </w:pPr>
      <w:bookmarkStart w:id="34" w:name="_Toc26856"/>
      <w:r>
        <w:rPr>
          <w:rFonts w:hint="eastAsia" w:ascii="宋体" w:hAnsi="宋体" w:cs="宋体"/>
          <w:b/>
          <w:bCs/>
          <w:sz w:val="24"/>
          <w:szCs w:val="18"/>
        </w:rPr>
        <w:t>第六条 货款结算</w:t>
      </w:r>
      <w:bookmarkEnd w:id="34"/>
    </w:p>
    <w:p>
      <w:pPr>
        <w:spacing w:line="360" w:lineRule="auto"/>
        <w:ind w:right="-1" w:firstLine="480" w:firstLineChars="200"/>
        <w:outlineLvl w:val="0"/>
        <w:rPr>
          <w:rFonts w:eastAsia="仿宋_GB2312"/>
          <w:sz w:val="24"/>
        </w:rPr>
      </w:pPr>
      <w:bookmarkStart w:id="35" w:name="_Toc14578"/>
      <w:r>
        <w:rPr>
          <w:rFonts w:hint="eastAsia" w:eastAsia="仿宋_GB2312"/>
          <w:sz w:val="24"/>
        </w:rPr>
        <w:t>6.1 本合同以人民币付款。</w:t>
      </w:r>
      <w:bookmarkEnd w:id="35"/>
    </w:p>
    <w:p>
      <w:pPr>
        <w:spacing w:line="360" w:lineRule="auto"/>
        <w:ind w:right="-1" w:firstLine="480" w:firstLineChars="200"/>
        <w:outlineLvl w:val="0"/>
        <w:rPr>
          <w:rFonts w:eastAsia="仿宋_GB2312"/>
          <w:sz w:val="24"/>
        </w:rPr>
      </w:pPr>
      <w:bookmarkStart w:id="36" w:name="_Toc28629"/>
      <w:r>
        <w:rPr>
          <w:rFonts w:hint="eastAsia" w:eastAsia="仿宋_GB2312"/>
          <w:sz w:val="24"/>
        </w:rPr>
        <w:t>合同总价款：</w:t>
      </w:r>
      <w:r>
        <w:rPr>
          <w:rFonts w:hint="eastAsia" w:eastAsia="仿宋_GB2312"/>
          <w:sz w:val="24"/>
          <w:u w:val="single"/>
        </w:rPr>
        <w:t xml:space="preserve">         </w:t>
      </w:r>
      <w:r>
        <w:rPr>
          <w:rFonts w:hint="eastAsia" w:eastAsia="仿宋_GB2312"/>
          <w:sz w:val="24"/>
        </w:rPr>
        <w:t>元，大写</w:t>
      </w:r>
      <w:r>
        <w:rPr>
          <w:rFonts w:hint="eastAsia" w:eastAsia="仿宋_GB2312"/>
          <w:sz w:val="24"/>
          <w:u w:val="single"/>
        </w:rPr>
        <w:t xml:space="preserve">                     </w:t>
      </w:r>
      <w:r>
        <w:rPr>
          <w:rFonts w:hint="eastAsia" w:eastAsia="仿宋_GB2312"/>
          <w:sz w:val="24"/>
        </w:rPr>
        <w:t>，本合同执行期间，合同单价不变，该价格已经包含本合同第一条约定的所有费用。</w:t>
      </w:r>
      <w:bookmarkEnd w:id="36"/>
    </w:p>
    <w:p>
      <w:pPr>
        <w:spacing w:line="360" w:lineRule="auto"/>
        <w:ind w:right="-1" w:firstLine="480" w:firstLineChars="200"/>
        <w:outlineLvl w:val="0"/>
        <w:rPr>
          <w:rFonts w:eastAsia="仿宋_GB2312"/>
          <w:sz w:val="24"/>
        </w:rPr>
      </w:pPr>
      <w:bookmarkStart w:id="37" w:name="_Toc26074"/>
      <w:r>
        <w:rPr>
          <w:rFonts w:hint="eastAsia" w:eastAsia="仿宋_GB2312"/>
          <w:sz w:val="24"/>
        </w:rPr>
        <w:t>6.2 结算方式：银行转账。</w:t>
      </w:r>
      <w:bookmarkEnd w:id="37"/>
    </w:p>
    <w:p>
      <w:pPr>
        <w:spacing w:line="360" w:lineRule="auto"/>
        <w:ind w:right="-1" w:firstLine="480" w:firstLineChars="200"/>
        <w:outlineLvl w:val="0"/>
        <w:rPr>
          <w:rFonts w:hint="eastAsia" w:ascii="Times New Roman" w:hAnsi="Times New Roman" w:eastAsia="仿宋_GB2312" w:cs="Times New Roman"/>
          <w:sz w:val="24"/>
          <w:highlight w:val="none"/>
        </w:rPr>
      </w:pPr>
      <w:bookmarkStart w:id="38" w:name="_Toc17581"/>
      <w:r>
        <w:rPr>
          <w:rFonts w:hint="eastAsia" w:ascii="Times New Roman" w:hAnsi="Times New Roman" w:eastAsia="仿宋_GB2312" w:cs="Times New Roman"/>
          <w:sz w:val="24"/>
          <w:highlight w:val="none"/>
          <w:lang w:val="en-US" w:eastAsia="zh-CN"/>
        </w:rPr>
        <w:t>6.3</w:t>
      </w:r>
      <w:r>
        <w:rPr>
          <w:rFonts w:hint="eastAsia" w:ascii="Times New Roman" w:hAnsi="Times New Roman" w:eastAsia="仿宋_GB2312" w:cs="Times New Roman"/>
          <w:sz w:val="24"/>
          <w:highlight w:val="none"/>
        </w:rPr>
        <w:t>付款比例：</w:t>
      </w:r>
      <w:bookmarkEnd w:id="38"/>
    </w:p>
    <w:p>
      <w:pPr>
        <w:spacing w:line="360" w:lineRule="auto"/>
        <w:ind w:right="-1" w:firstLine="480" w:firstLineChars="200"/>
        <w:outlineLvl w:val="0"/>
        <w:rPr>
          <w:rFonts w:hint="eastAsia" w:ascii="Times New Roman" w:hAnsi="Times New Roman" w:eastAsia="仿宋_GB2312" w:cs="Times New Roman"/>
          <w:sz w:val="24"/>
          <w:highlight w:val="none"/>
        </w:rPr>
      </w:pPr>
      <w:bookmarkStart w:id="39" w:name="_Toc8535"/>
      <w:r>
        <w:rPr>
          <w:rFonts w:hint="eastAsia" w:eastAsia="仿宋_GB2312" w:cs="Times New Roman"/>
          <w:sz w:val="24"/>
          <w:highlight w:val="none"/>
          <w:lang w:val="en-US" w:eastAsia="zh-CN"/>
        </w:rPr>
        <w:t>货到并安装调试完毕由甲方验收。全部设备验收合格并经甲方签字确认之日起，达到付款条件起60日内，支付合同总金额的95.00%</w:t>
      </w:r>
      <w:bookmarkEnd w:id="39"/>
      <w:r>
        <w:rPr>
          <w:rFonts w:hint="eastAsia" w:eastAsia="仿宋_GB2312" w:cs="Times New Roman"/>
          <w:sz w:val="24"/>
          <w:highlight w:val="none"/>
          <w:lang w:eastAsia="zh-CN"/>
        </w:rPr>
        <w:t>，</w:t>
      </w:r>
      <w:r>
        <w:rPr>
          <w:rFonts w:hint="eastAsia" w:ascii="Times New Roman" w:hAnsi="Times New Roman" w:eastAsia="仿宋_GB2312" w:cs="Times New Roman"/>
          <w:sz w:val="24"/>
          <w:highlight w:val="none"/>
        </w:rPr>
        <w:t>质保期满后，达到付款条件起30日内，支付合同总金额的5.00%。合同条款履行完毕前，因财政资金执行进度要求甲方需提前支付合同价款的，乙方应向甲方指定账户支付相同金额的履约保证金。</w:t>
      </w:r>
    </w:p>
    <w:p>
      <w:pPr>
        <w:spacing w:line="360" w:lineRule="auto"/>
        <w:ind w:right="-1" w:firstLine="482" w:firstLineChars="200"/>
        <w:outlineLvl w:val="0"/>
        <w:rPr>
          <w:rFonts w:ascii="宋体" w:hAnsi="宋体" w:cs="宋体"/>
          <w:sz w:val="24"/>
          <w:szCs w:val="18"/>
          <w:highlight w:val="none"/>
        </w:rPr>
      </w:pPr>
      <w:bookmarkStart w:id="40" w:name="_Toc15730"/>
      <w:r>
        <w:rPr>
          <w:rFonts w:hint="eastAsia" w:ascii="宋体" w:hAnsi="宋体" w:cs="宋体"/>
          <w:b/>
          <w:bCs/>
          <w:sz w:val="24"/>
          <w:szCs w:val="18"/>
          <w:highlight w:val="none"/>
        </w:rPr>
        <w:t>第七条 售后服务</w:t>
      </w:r>
      <w:bookmarkEnd w:id="40"/>
    </w:p>
    <w:p>
      <w:pPr>
        <w:spacing w:line="360" w:lineRule="auto"/>
        <w:ind w:right="-1" w:firstLine="480" w:firstLineChars="200"/>
        <w:outlineLvl w:val="0"/>
        <w:rPr>
          <w:rFonts w:eastAsia="仿宋_GB2312"/>
          <w:sz w:val="24"/>
          <w:highlight w:val="none"/>
        </w:rPr>
      </w:pPr>
      <w:bookmarkStart w:id="41" w:name="_Toc12898"/>
      <w:r>
        <w:rPr>
          <w:rFonts w:hint="eastAsia" w:eastAsia="仿宋_GB2312"/>
          <w:sz w:val="24"/>
          <w:highlight w:val="none"/>
        </w:rPr>
        <w:t>7.1乙方应按国家相关法规及招标文件、</w:t>
      </w:r>
      <w:r>
        <w:rPr>
          <w:rFonts w:hint="eastAsia" w:eastAsia="仿宋_GB2312"/>
          <w:sz w:val="24"/>
          <w:highlight w:val="none"/>
          <w:lang w:val="en-US" w:eastAsia="zh-CN"/>
        </w:rPr>
        <w:t>响应</w:t>
      </w:r>
      <w:r>
        <w:rPr>
          <w:rFonts w:hint="eastAsia" w:eastAsia="仿宋_GB2312"/>
          <w:sz w:val="24"/>
          <w:highlight w:val="none"/>
        </w:rPr>
        <w:t>文件对售后服务的要求和响应提供服务，设备保修期为</w:t>
      </w:r>
      <w:r>
        <w:rPr>
          <w:rFonts w:hint="eastAsia" w:eastAsia="仿宋_GB2312"/>
          <w:sz w:val="24"/>
          <w:highlight w:val="none"/>
          <w:u w:val="single"/>
          <w:lang w:val="en-US" w:eastAsia="zh-CN"/>
        </w:rPr>
        <w:t>2</w:t>
      </w:r>
      <w:r>
        <w:rPr>
          <w:rFonts w:hint="eastAsia" w:eastAsia="仿宋_GB2312"/>
          <w:sz w:val="24"/>
          <w:highlight w:val="none"/>
        </w:rPr>
        <w:t>年</w:t>
      </w:r>
      <w:r>
        <w:rPr>
          <w:rFonts w:hint="eastAsia" w:eastAsia="仿宋_GB2312"/>
          <w:sz w:val="24"/>
          <w:highlight w:val="none"/>
          <w:lang w:eastAsia="zh-CN"/>
        </w:rPr>
        <w:t>，</w:t>
      </w:r>
      <w:r>
        <w:rPr>
          <w:rFonts w:hint="eastAsia" w:eastAsia="仿宋_GB2312"/>
          <w:sz w:val="24"/>
          <w:highlight w:val="none"/>
        </w:rPr>
        <w:t>数据库、软件终身免费升级到最新版本</w:t>
      </w:r>
      <w:r>
        <w:rPr>
          <w:rFonts w:hint="eastAsia" w:eastAsia="仿宋_GB2312"/>
          <w:sz w:val="24"/>
          <w:highlight w:val="none"/>
          <w:lang w:eastAsia="zh-CN"/>
        </w:rPr>
        <w:t>。</w:t>
      </w:r>
      <w:r>
        <w:rPr>
          <w:rFonts w:hint="eastAsia" w:eastAsia="仿宋_GB2312"/>
          <w:sz w:val="24"/>
          <w:highlight w:val="none"/>
        </w:rPr>
        <w:t>质保期，自甲乙双方签署货物验收单的次日起算。</w:t>
      </w:r>
      <w:bookmarkEnd w:id="41"/>
    </w:p>
    <w:p>
      <w:pPr>
        <w:spacing w:line="360" w:lineRule="auto"/>
        <w:ind w:right="-1" w:firstLine="480" w:firstLineChars="200"/>
        <w:outlineLvl w:val="0"/>
        <w:rPr>
          <w:rFonts w:eastAsia="仿宋_GB2312"/>
          <w:sz w:val="24"/>
        </w:rPr>
      </w:pPr>
      <w:bookmarkStart w:id="42" w:name="_Toc11404"/>
      <w:r>
        <w:rPr>
          <w:rFonts w:hint="eastAsia" w:eastAsia="仿宋_GB2312"/>
          <w:sz w:val="24"/>
          <w:highlight w:val="none"/>
        </w:rPr>
        <w:t>7.2 质保期内，乙方将定期派</w:t>
      </w:r>
      <w:r>
        <w:rPr>
          <w:rFonts w:hint="eastAsia" w:eastAsia="仿宋_GB2312"/>
          <w:sz w:val="24"/>
        </w:rPr>
        <w:t>员对甲方使用的货物进行检测，应保证货物处于正常使用状态；提供技术支持；进行系统免费升级；更换非人为因素损坏的零配件。</w:t>
      </w:r>
      <w:bookmarkEnd w:id="42"/>
    </w:p>
    <w:p>
      <w:pPr>
        <w:spacing w:line="360" w:lineRule="auto"/>
        <w:ind w:right="-1" w:firstLine="480" w:firstLineChars="200"/>
        <w:outlineLvl w:val="0"/>
        <w:rPr>
          <w:rFonts w:eastAsia="仿宋_GB2312"/>
          <w:sz w:val="24"/>
        </w:rPr>
      </w:pPr>
      <w:bookmarkStart w:id="43" w:name="_Toc18962"/>
      <w:r>
        <w:rPr>
          <w:rFonts w:hint="eastAsia" w:eastAsia="仿宋_GB2312"/>
          <w:sz w:val="24"/>
        </w:rPr>
        <w:t>7.3 质保期内，如出现5次（含）以上非人为因素引起的故障，影响甲方使用，乙方负责在</w:t>
      </w:r>
      <w:r>
        <w:rPr>
          <w:rFonts w:hint="eastAsia" w:eastAsia="仿宋_GB2312"/>
          <w:sz w:val="24"/>
          <w:u w:val="single"/>
        </w:rPr>
        <w:t>10</w:t>
      </w:r>
      <w:r>
        <w:rPr>
          <w:rFonts w:hint="eastAsia" w:eastAsia="仿宋_GB2312"/>
          <w:sz w:val="24"/>
        </w:rPr>
        <w:t>个工作日内免费更换相同新设备。</w:t>
      </w:r>
      <w:bookmarkEnd w:id="43"/>
    </w:p>
    <w:p>
      <w:pPr>
        <w:spacing w:line="360" w:lineRule="auto"/>
        <w:ind w:right="-1" w:firstLine="480" w:firstLineChars="200"/>
        <w:outlineLvl w:val="0"/>
        <w:rPr>
          <w:rFonts w:ascii="宋体" w:hAnsi="宋体" w:cs="宋体"/>
          <w:sz w:val="24"/>
          <w:szCs w:val="18"/>
          <w:u w:val="single"/>
        </w:rPr>
      </w:pPr>
      <w:bookmarkStart w:id="44" w:name="_Toc18592"/>
      <w:r>
        <w:rPr>
          <w:rFonts w:hint="eastAsia" w:eastAsia="仿宋_GB2312"/>
          <w:sz w:val="24"/>
        </w:rPr>
        <w:t>7.4 如因设备质量或原始标（警）示不清等原因，导致甲方损失，或造成甲方操作人员、第三方人员人身伤害，乙方应依法予以赔偿。</w:t>
      </w:r>
      <w:bookmarkEnd w:id="44"/>
      <w:r>
        <w:rPr>
          <w:rFonts w:hint="eastAsia" w:eastAsia="仿宋_GB2312"/>
          <w:sz w:val="24"/>
        </w:rPr>
        <w:t xml:space="preserve">   </w:t>
      </w:r>
      <w:r>
        <w:rPr>
          <w:rFonts w:hint="eastAsia" w:ascii="宋体" w:hAnsi="宋体" w:cs="宋体"/>
          <w:sz w:val="24"/>
          <w:szCs w:val="18"/>
        </w:rPr>
        <w:t xml:space="preserve">                 </w:t>
      </w:r>
    </w:p>
    <w:p>
      <w:pPr>
        <w:spacing w:line="360" w:lineRule="auto"/>
        <w:ind w:right="-1" w:firstLine="482" w:firstLineChars="200"/>
        <w:outlineLvl w:val="0"/>
        <w:rPr>
          <w:rFonts w:ascii="宋体" w:hAnsi="宋体" w:cs="宋体"/>
          <w:sz w:val="24"/>
          <w:szCs w:val="18"/>
        </w:rPr>
      </w:pPr>
      <w:bookmarkStart w:id="45" w:name="_Toc5635"/>
      <w:bookmarkStart w:id="46" w:name="_Toc341030123"/>
      <w:r>
        <w:rPr>
          <w:rFonts w:hint="eastAsia" w:ascii="宋体" w:hAnsi="宋体" w:cs="宋体"/>
          <w:b/>
          <w:bCs/>
          <w:sz w:val="24"/>
          <w:szCs w:val="18"/>
        </w:rPr>
        <w:t>第八条 合同的变更、终止与转让</w:t>
      </w:r>
      <w:bookmarkEnd w:id="45"/>
    </w:p>
    <w:p>
      <w:pPr>
        <w:spacing w:line="360" w:lineRule="auto"/>
        <w:ind w:right="-1" w:firstLine="480" w:firstLineChars="200"/>
        <w:outlineLvl w:val="0"/>
        <w:rPr>
          <w:rFonts w:eastAsia="仿宋_GB2312"/>
          <w:sz w:val="24"/>
        </w:rPr>
      </w:pPr>
      <w:bookmarkStart w:id="47" w:name="_Toc10082"/>
      <w:r>
        <w:rPr>
          <w:rFonts w:hint="eastAsia" w:eastAsia="仿宋_GB2312"/>
          <w:sz w:val="24"/>
        </w:rPr>
        <w:t>8.1 甲乙双方除非事先得到对方的书面同意或本合同另有约定，任何一方不得将合同项下的任何权利、义务、责任转让给任何第三方，不得擅自变更、中止或终止本合同。</w:t>
      </w:r>
      <w:bookmarkEnd w:id="47"/>
    </w:p>
    <w:p>
      <w:pPr>
        <w:spacing w:line="360" w:lineRule="auto"/>
        <w:ind w:right="-1" w:firstLine="480" w:firstLineChars="200"/>
        <w:outlineLvl w:val="0"/>
        <w:rPr>
          <w:rFonts w:eastAsia="仿宋_GB2312"/>
          <w:sz w:val="24"/>
        </w:rPr>
      </w:pPr>
      <w:bookmarkStart w:id="48" w:name="_Toc18590"/>
      <w:r>
        <w:rPr>
          <w:rFonts w:hint="eastAsia" w:eastAsia="仿宋_GB2312"/>
          <w:sz w:val="24"/>
        </w:rPr>
        <w:t>8.2 乙方逾期未完成约定义务超过</w:t>
      </w:r>
      <w:r>
        <w:rPr>
          <w:rFonts w:hint="eastAsia" w:eastAsia="仿宋_GB2312"/>
          <w:sz w:val="24"/>
          <w:u w:val="single"/>
        </w:rPr>
        <w:t xml:space="preserve"> 5 </w:t>
      </w:r>
      <w:r>
        <w:rPr>
          <w:rFonts w:hint="eastAsia" w:eastAsia="仿宋_GB2312"/>
          <w:sz w:val="24"/>
        </w:rPr>
        <w:t>个工作日，甲方有权单方解除本合同。</w:t>
      </w:r>
      <w:bookmarkEnd w:id="48"/>
    </w:p>
    <w:p>
      <w:pPr>
        <w:spacing w:line="360" w:lineRule="auto"/>
        <w:ind w:right="-1" w:firstLine="480" w:firstLineChars="200"/>
        <w:outlineLvl w:val="0"/>
        <w:rPr>
          <w:rFonts w:eastAsia="仿宋_GB2312"/>
          <w:sz w:val="24"/>
        </w:rPr>
      </w:pPr>
      <w:bookmarkStart w:id="49" w:name="_Toc24336"/>
      <w:r>
        <w:rPr>
          <w:rFonts w:hint="eastAsia" w:eastAsia="仿宋_GB2312"/>
          <w:sz w:val="24"/>
        </w:rPr>
        <w:t>8.3 乙方履行本合同约定义务时，未达到甲方要求，修改或整改超过</w:t>
      </w:r>
      <w:r>
        <w:rPr>
          <w:rFonts w:hint="eastAsia" w:eastAsia="仿宋_GB2312"/>
          <w:sz w:val="24"/>
          <w:u w:val="single"/>
        </w:rPr>
        <w:t xml:space="preserve"> 2 </w:t>
      </w:r>
      <w:r>
        <w:rPr>
          <w:rFonts w:hint="eastAsia" w:eastAsia="仿宋_GB2312"/>
          <w:sz w:val="24"/>
        </w:rPr>
        <w:t>次，仍然无法达到甲方要求，甲方有权单方解除本合同。</w:t>
      </w:r>
      <w:bookmarkEnd w:id="49"/>
    </w:p>
    <w:p>
      <w:pPr>
        <w:spacing w:line="360" w:lineRule="auto"/>
        <w:ind w:right="-1" w:firstLine="482" w:firstLineChars="200"/>
        <w:outlineLvl w:val="0"/>
        <w:rPr>
          <w:rFonts w:ascii="宋体" w:hAnsi="宋体" w:cs="宋体"/>
          <w:sz w:val="24"/>
          <w:szCs w:val="18"/>
        </w:rPr>
      </w:pPr>
      <w:bookmarkStart w:id="50" w:name="_Toc32440"/>
      <w:r>
        <w:rPr>
          <w:rFonts w:hint="eastAsia" w:ascii="宋体" w:hAnsi="宋体" w:cs="宋体"/>
          <w:b/>
          <w:bCs/>
          <w:sz w:val="24"/>
          <w:szCs w:val="18"/>
        </w:rPr>
        <w:t>第九条 违约责任</w:t>
      </w:r>
      <w:bookmarkEnd w:id="50"/>
    </w:p>
    <w:p>
      <w:pPr>
        <w:spacing w:line="360" w:lineRule="auto"/>
        <w:ind w:right="-1" w:firstLine="480" w:firstLineChars="200"/>
        <w:outlineLvl w:val="0"/>
        <w:rPr>
          <w:rFonts w:eastAsia="仿宋_GB2312"/>
          <w:sz w:val="24"/>
        </w:rPr>
      </w:pPr>
      <w:bookmarkStart w:id="51" w:name="_Toc17011"/>
      <w:r>
        <w:rPr>
          <w:rFonts w:hint="eastAsia" w:eastAsia="仿宋_GB2312"/>
          <w:sz w:val="24"/>
        </w:rPr>
        <w:t>9.1 甲方没有按本合同约定的时间和数额支付合同约定款项的，收到书面催付15日后按迟延支付金额的</w:t>
      </w:r>
      <w:r>
        <w:rPr>
          <w:rFonts w:hint="eastAsia" w:eastAsia="仿宋_GB2312"/>
          <w:sz w:val="24"/>
          <w:u w:val="single"/>
        </w:rPr>
        <w:t xml:space="preserve">1‰ </w:t>
      </w:r>
      <w:r>
        <w:rPr>
          <w:rFonts w:hint="eastAsia" w:eastAsia="仿宋_GB2312"/>
          <w:sz w:val="24"/>
        </w:rPr>
        <w:t>（日）的标准向乙方支付违约金。</w:t>
      </w:r>
      <w:bookmarkEnd w:id="51"/>
    </w:p>
    <w:p>
      <w:pPr>
        <w:spacing w:line="360" w:lineRule="auto"/>
        <w:ind w:right="-1" w:firstLine="480" w:firstLineChars="200"/>
        <w:outlineLvl w:val="0"/>
        <w:rPr>
          <w:rFonts w:eastAsia="仿宋_GB2312"/>
          <w:sz w:val="24"/>
        </w:rPr>
      </w:pPr>
      <w:bookmarkStart w:id="52" w:name="_Toc27674"/>
      <w:r>
        <w:rPr>
          <w:rFonts w:hint="eastAsia" w:eastAsia="仿宋_GB2312"/>
          <w:sz w:val="24"/>
        </w:rPr>
        <w:t>9.2 乙方逾期交付货物的，乙方应按逾期交货部分总价款每日1‰向甲方支付违约金，由甲方从待付价款中直接扣除；逾期超过约定日期15个工作日不能交货的，甲方可解除本合同。</w:t>
      </w:r>
      <w:bookmarkEnd w:id="52"/>
    </w:p>
    <w:p>
      <w:pPr>
        <w:spacing w:line="360" w:lineRule="auto"/>
        <w:ind w:right="-1" w:firstLine="480" w:firstLineChars="200"/>
        <w:outlineLvl w:val="0"/>
        <w:rPr>
          <w:rFonts w:eastAsia="仿宋_GB2312"/>
          <w:sz w:val="24"/>
        </w:rPr>
      </w:pPr>
      <w:bookmarkStart w:id="53" w:name="_Toc14797"/>
      <w:r>
        <w:rPr>
          <w:rFonts w:hint="eastAsia" w:eastAsia="仿宋_GB2312"/>
          <w:sz w:val="24"/>
        </w:rPr>
        <w:t>9.3 乙方因逾期交货或因其他违约行为导致甲方解除合同的，乙方应向甲方支付本合同约定总价款10%的违约金，如造成甲方损失超过违约金的，超出部分由乙方继续承担赔偿责任。</w:t>
      </w:r>
      <w:bookmarkEnd w:id="53"/>
    </w:p>
    <w:p>
      <w:pPr>
        <w:spacing w:line="360" w:lineRule="auto"/>
        <w:ind w:right="-1" w:firstLine="480" w:firstLineChars="200"/>
        <w:outlineLvl w:val="0"/>
        <w:rPr>
          <w:rFonts w:eastAsia="仿宋_GB2312"/>
          <w:sz w:val="24"/>
        </w:rPr>
      </w:pPr>
      <w:bookmarkStart w:id="54" w:name="_Toc13616"/>
      <w:r>
        <w:rPr>
          <w:rFonts w:hint="eastAsia" w:eastAsia="仿宋_GB2312"/>
          <w:sz w:val="24"/>
        </w:rPr>
        <w:t>9.4 乙方所交的货物品种、型号、规格、技术参数、质量不符合合同约定及招标文件规定的标准的，甲方有权拒收该货物，乙方应按本合同总价款的10%向甲方支付违约金。乙方愿意更换货物但逾期交货的，按乙方逾期交货处理。乙方拒绝更换货物的，甲方可以单方面解除合同。</w:t>
      </w:r>
      <w:bookmarkEnd w:id="54"/>
    </w:p>
    <w:p>
      <w:pPr>
        <w:spacing w:line="360" w:lineRule="auto"/>
        <w:ind w:right="-1" w:firstLine="480" w:firstLineChars="200"/>
        <w:outlineLvl w:val="0"/>
        <w:rPr>
          <w:rFonts w:eastAsia="仿宋_GB2312"/>
          <w:sz w:val="24"/>
        </w:rPr>
      </w:pPr>
      <w:bookmarkStart w:id="55" w:name="_Toc2112"/>
      <w:r>
        <w:rPr>
          <w:rFonts w:hint="eastAsia" w:eastAsia="仿宋_GB2312"/>
          <w:sz w:val="24"/>
        </w:rPr>
        <w:t>9.5 乙方提供的货物如侵犯了第三方合法权益而引发的任何纠纷或诉讼，均由乙方负责交涉并承担全部责任。</w:t>
      </w:r>
      <w:bookmarkEnd w:id="55"/>
    </w:p>
    <w:bookmarkEnd w:id="46"/>
    <w:p>
      <w:pPr>
        <w:spacing w:line="360" w:lineRule="auto"/>
        <w:ind w:firstLine="482" w:firstLineChars="200"/>
        <w:jc w:val="left"/>
        <w:rPr>
          <w:rFonts w:ascii="宋体" w:hAnsi="宋体" w:cs="宋体"/>
          <w:b/>
          <w:sz w:val="22"/>
        </w:rPr>
      </w:pPr>
      <w:r>
        <w:rPr>
          <w:rFonts w:hint="eastAsia" w:ascii="宋体" w:hAnsi="宋体" w:cs="宋体"/>
          <w:b/>
          <w:bCs/>
          <w:sz w:val="24"/>
          <w:szCs w:val="18"/>
        </w:rPr>
        <w:t>第十条</w:t>
      </w:r>
      <w:r>
        <w:rPr>
          <w:rFonts w:hint="eastAsia" w:ascii="宋体" w:hAnsi="宋体" w:cs="宋体"/>
          <w:sz w:val="24"/>
          <w:szCs w:val="18"/>
        </w:rPr>
        <w:t xml:space="preserve"> </w:t>
      </w:r>
      <w:r>
        <w:rPr>
          <w:rFonts w:hint="eastAsia" w:ascii="宋体" w:hAnsi="宋体" w:cs="宋体"/>
          <w:b/>
          <w:bCs/>
          <w:sz w:val="24"/>
          <w:szCs w:val="18"/>
        </w:rPr>
        <w:t>不可抗力</w:t>
      </w:r>
    </w:p>
    <w:p>
      <w:pPr>
        <w:spacing w:line="360" w:lineRule="auto"/>
        <w:ind w:right="-1" w:firstLine="480" w:firstLineChars="200"/>
        <w:outlineLvl w:val="0"/>
        <w:rPr>
          <w:rFonts w:eastAsia="仿宋_GB2312"/>
          <w:sz w:val="24"/>
        </w:rPr>
      </w:pPr>
      <w:bookmarkStart w:id="56" w:name="_Toc10069"/>
      <w:r>
        <w:rPr>
          <w:rFonts w:hint="eastAsia" w:eastAsia="仿宋_GB2312"/>
          <w:sz w:val="24"/>
        </w:rPr>
        <w:t>10.1 “不可抗力”是指所有超出本合同双方控制范围的事件，该事件应不可预见，或虽然可以预见，但通过合理努力无法阻止或避免其发生，且这类事件发生于本合同签字之后，并且阻止任何一方全部或部分履行本合同。</w:t>
      </w:r>
      <w:bookmarkEnd w:id="56"/>
    </w:p>
    <w:p>
      <w:pPr>
        <w:spacing w:line="360" w:lineRule="auto"/>
        <w:ind w:right="-1" w:firstLine="480" w:firstLineChars="200"/>
        <w:outlineLvl w:val="0"/>
        <w:rPr>
          <w:rFonts w:eastAsia="仿宋_GB2312"/>
          <w:sz w:val="24"/>
        </w:rPr>
      </w:pPr>
      <w:bookmarkStart w:id="57" w:name="_Toc2425"/>
      <w:r>
        <w:rPr>
          <w:rFonts w:hint="eastAsia" w:eastAsia="仿宋_GB2312"/>
          <w:sz w:val="24"/>
        </w:rPr>
        <w:t>10.2  由于不可抗力事件，致使任何一方不能履行其在本合同下的义务，该方不承担由此给另一方造成的损失；该方应及时通知另一方其不能履行或延迟履行合同义务的原因，并应尽快向另一方提供有关发生不可抗力的证明文件，按事故对本合同的影响程度，双方协商是否终止本合同，或部分免除本合同的义务。</w:t>
      </w:r>
      <w:bookmarkEnd w:id="57"/>
    </w:p>
    <w:p>
      <w:pPr>
        <w:spacing w:line="360" w:lineRule="auto"/>
        <w:ind w:firstLine="482" w:firstLineChars="200"/>
        <w:jc w:val="left"/>
        <w:rPr>
          <w:rFonts w:ascii="宋体" w:hAnsi="宋体" w:cs="宋体"/>
          <w:b/>
          <w:bCs/>
          <w:sz w:val="24"/>
          <w:szCs w:val="18"/>
        </w:rPr>
      </w:pPr>
      <w:r>
        <w:rPr>
          <w:rFonts w:hint="eastAsia" w:ascii="宋体" w:hAnsi="宋体" w:cs="宋体"/>
          <w:b/>
          <w:bCs/>
          <w:sz w:val="24"/>
          <w:szCs w:val="18"/>
        </w:rPr>
        <w:t>第十一条 争议解决办法</w:t>
      </w:r>
    </w:p>
    <w:p>
      <w:pPr>
        <w:spacing w:line="360" w:lineRule="auto"/>
        <w:ind w:right="-1" w:firstLine="480" w:firstLineChars="200"/>
        <w:outlineLvl w:val="0"/>
        <w:rPr>
          <w:rFonts w:eastAsia="仿宋_GB2312"/>
          <w:sz w:val="24"/>
        </w:rPr>
      </w:pPr>
      <w:bookmarkStart w:id="58" w:name="_Toc19539"/>
      <w:r>
        <w:rPr>
          <w:rFonts w:hint="eastAsia" w:eastAsia="仿宋_GB2312"/>
          <w:sz w:val="24"/>
        </w:rPr>
        <w:t>11.1 因货物质量问题发生争议，由质量技术监督部门或质量技术监督部门指定的质量鉴定机构进行质量鉴定。鉴定费用由乙方预付，货物符合标准的，鉴定费由甲方承担；货物不符合质量标准的，鉴定费由乙方承担。</w:t>
      </w:r>
      <w:bookmarkEnd w:id="58"/>
    </w:p>
    <w:p>
      <w:pPr>
        <w:spacing w:line="360" w:lineRule="auto"/>
        <w:ind w:right="-1" w:firstLine="480" w:firstLineChars="200"/>
        <w:outlineLvl w:val="0"/>
        <w:rPr>
          <w:rFonts w:eastAsia="仿宋_GB2312"/>
          <w:sz w:val="24"/>
        </w:rPr>
      </w:pPr>
      <w:bookmarkStart w:id="59" w:name="_Toc4514"/>
      <w:r>
        <w:rPr>
          <w:rFonts w:hint="eastAsia" w:eastAsia="仿宋_GB2312"/>
          <w:sz w:val="24"/>
        </w:rPr>
        <w:t>11.2 合同履行期间，若双方发生争议，可协商或由相关部门调解解决，协商或调解不成的，可以向甲方所在地的人民法院提起诉讼。</w:t>
      </w:r>
      <w:bookmarkEnd w:id="59"/>
    </w:p>
    <w:p>
      <w:pPr>
        <w:spacing w:line="360" w:lineRule="auto"/>
        <w:ind w:firstLine="482" w:firstLineChars="200"/>
        <w:jc w:val="left"/>
        <w:rPr>
          <w:rFonts w:ascii="宋体" w:hAnsi="宋体" w:cs="宋体"/>
          <w:b/>
          <w:bCs/>
          <w:sz w:val="24"/>
          <w:szCs w:val="18"/>
        </w:rPr>
      </w:pPr>
      <w:r>
        <w:rPr>
          <w:rFonts w:hint="eastAsia" w:ascii="宋体" w:hAnsi="宋体" w:cs="宋体"/>
          <w:b/>
          <w:bCs/>
          <w:sz w:val="24"/>
          <w:szCs w:val="18"/>
        </w:rPr>
        <w:t xml:space="preserve">第十二条  其他   </w:t>
      </w:r>
    </w:p>
    <w:p>
      <w:pPr>
        <w:spacing w:line="360" w:lineRule="auto"/>
        <w:ind w:right="-1" w:firstLine="480" w:firstLineChars="200"/>
        <w:outlineLvl w:val="0"/>
        <w:rPr>
          <w:rFonts w:eastAsia="仿宋_GB2312"/>
          <w:sz w:val="24"/>
        </w:rPr>
      </w:pPr>
      <w:bookmarkStart w:id="60" w:name="_Toc31503"/>
      <w:r>
        <w:rPr>
          <w:rFonts w:hint="eastAsia" w:eastAsia="仿宋_GB2312"/>
          <w:sz w:val="24"/>
        </w:rPr>
        <w:t>12.1 招投标文件、承诺书以及合同附件是本合同不可分割的组成部分，与本合同具有同等法律效力。</w:t>
      </w:r>
      <w:bookmarkEnd w:id="60"/>
    </w:p>
    <w:p>
      <w:pPr>
        <w:spacing w:line="360" w:lineRule="auto"/>
        <w:ind w:right="-1" w:firstLine="480" w:firstLineChars="200"/>
        <w:outlineLvl w:val="0"/>
        <w:rPr>
          <w:rFonts w:eastAsia="仿宋_GB2312"/>
          <w:sz w:val="24"/>
        </w:rPr>
      </w:pPr>
      <w:bookmarkStart w:id="61" w:name="_Toc10724"/>
      <w:r>
        <w:rPr>
          <w:rFonts w:hint="eastAsia" w:eastAsia="仿宋_GB2312"/>
          <w:sz w:val="24"/>
        </w:rPr>
        <w:t>12.2 本合同未尽事宜，由甲乙双方协商后产生书面文件，作为本合同的补充条款，具备与本合同同等法律效力。</w:t>
      </w:r>
      <w:bookmarkEnd w:id="61"/>
      <w:r>
        <w:rPr>
          <w:rFonts w:hint="eastAsia" w:eastAsia="仿宋_GB2312"/>
          <w:sz w:val="24"/>
        </w:rPr>
        <w:t xml:space="preserve"> </w:t>
      </w:r>
    </w:p>
    <w:p>
      <w:pPr>
        <w:spacing w:line="360" w:lineRule="auto"/>
        <w:ind w:right="-1" w:firstLine="480" w:firstLineChars="200"/>
        <w:outlineLvl w:val="0"/>
        <w:rPr>
          <w:rFonts w:eastAsia="仿宋_GB2312"/>
          <w:sz w:val="24"/>
        </w:rPr>
      </w:pPr>
      <w:bookmarkStart w:id="62" w:name="_Toc22146"/>
      <w:r>
        <w:rPr>
          <w:rFonts w:hint="eastAsia" w:eastAsia="仿宋_GB2312"/>
          <w:sz w:val="24"/>
        </w:rPr>
        <w:t>12.3 对本合同内容的任何修改和变更需要用书面形式，并经双方签字盖章确认后生效。</w:t>
      </w:r>
      <w:bookmarkEnd w:id="62"/>
    </w:p>
    <w:p>
      <w:pPr>
        <w:spacing w:line="360" w:lineRule="auto"/>
        <w:ind w:right="-1" w:firstLine="480" w:firstLineChars="200"/>
        <w:outlineLvl w:val="0"/>
        <w:rPr>
          <w:rFonts w:hint="eastAsia" w:eastAsia="仿宋_GB2312"/>
          <w:sz w:val="24"/>
        </w:rPr>
      </w:pPr>
      <w:bookmarkStart w:id="63" w:name="_Toc30212"/>
      <w:r>
        <w:rPr>
          <w:rFonts w:hint="eastAsia" w:eastAsia="仿宋_GB2312"/>
          <w:sz w:val="24"/>
        </w:rPr>
        <w:t>12.4 甲乙双方须共同遵守《医药购销廉洁协议书》的有关规定，诚信经营、合法经营。</w:t>
      </w:r>
      <w:bookmarkEnd w:id="63"/>
    </w:p>
    <w:p>
      <w:pPr>
        <w:spacing w:line="360" w:lineRule="auto"/>
        <w:ind w:right="-1" w:firstLine="480" w:firstLineChars="200"/>
        <w:outlineLvl w:val="0"/>
        <w:rPr>
          <w:rFonts w:eastAsia="仿宋_GB2312"/>
          <w:sz w:val="24"/>
        </w:rPr>
      </w:pPr>
      <w:bookmarkStart w:id="64" w:name="_Toc30047"/>
      <w:r>
        <w:rPr>
          <w:rFonts w:hint="eastAsia" w:eastAsia="仿宋_GB2312"/>
          <w:sz w:val="24"/>
        </w:rPr>
        <w:t>12.5 本合同一式五份，甲方肆份，乙方壹份。本合同自甲乙双方签字盖章后生效。</w:t>
      </w:r>
      <w:bookmarkEnd w:id="64"/>
    </w:p>
    <w:p>
      <w:pPr>
        <w:spacing w:line="360" w:lineRule="auto"/>
        <w:ind w:right="-1" w:firstLine="480" w:firstLineChars="200"/>
        <w:outlineLvl w:val="0"/>
        <w:rPr>
          <w:rFonts w:eastAsia="仿宋_GB2312"/>
          <w:sz w:val="24"/>
        </w:rPr>
      </w:pPr>
      <w:bookmarkStart w:id="65" w:name="_Toc30106"/>
      <w:bookmarkStart w:id="66" w:name="_Toc13278"/>
      <w:r>
        <w:rPr>
          <w:rFonts w:hint="eastAsia" w:eastAsia="仿宋_GB2312"/>
          <w:sz w:val="24"/>
        </w:rPr>
        <w:t>附件：</w:t>
      </w:r>
      <w:bookmarkEnd w:id="65"/>
      <w:bookmarkEnd w:id="66"/>
    </w:p>
    <w:p>
      <w:pPr>
        <w:spacing w:line="360" w:lineRule="auto"/>
        <w:ind w:right="-1" w:firstLine="480" w:firstLineChars="200"/>
        <w:outlineLvl w:val="0"/>
        <w:rPr>
          <w:rFonts w:eastAsia="仿宋_GB2312"/>
          <w:sz w:val="24"/>
        </w:rPr>
      </w:pPr>
      <w:bookmarkStart w:id="67" w:name="_Toc10253"/>
      <w:bookmarkStart w:id="68" w:name="_Toc32"/>
      <w:r>
        <w:rPr>
          <w:rFonts w:hint="eastAsia" w:eastAsia="仿宋_GB2312"/>
          <w:sz w:val="24"/>
        </w:rPr>
        <w:t>1.设备整套完整资质文件</w:t>
      </w:r>
      <w:bookmarkEnd w:id="67"/>
      <w:bookmarkEnd w:id="68"/>
    </w:p>
    <w:p>
      <w:pPr>
        <w:spacing w:line="360" w:lineRule="auto"/>
        <w:ind w:right="-1" w:firstLine="480" w:firstLineChars="200"/>
        <w:outlineLvl w:val="0"/>
        <w:rPr>
          <w:rFonts w:eastAsia="仿宋_GB2312"/>
          <w:sz w:val="24"/>
        </w:rPr>
      </w:pPr>
      <w:bookmarkStart w:id="69" w:name="_Toc3022"/>
      <w:bookmarkStart w:id="70" w:name="_Toc4974"/>
      <w:r>
        <w:rPr>
          <w:rFonts w:hint="eastAsia" w:eastAsia="仿宋_GB2312"/>
          <w:sz w:val="24"/>
        </w:rPr>
        <w:t>2.法定代表人授权书(含身份证正面扫描件)</w:t>
      </w:r>
      <w:bookmarkEnd w:id="69"/>
      <w:bookmarkEnd w:id="70"/>
    </w:p>
    <w:p>
      <w:pPr>
        <w:spacing w:line="360" w:lineRule="auto"/>
        <w:ind w:right="-1" w:firstLine="480" w:firstLineChars="200"/>
        <w:outlineLvl w:val="0"/>
        <w:rPr>
          <w:rFonts w:eastAsia="仿宋_GB2312"/>
          <w:sz w:val="24"/>
        </w:rPr>
      </w:pPr>
      <w:bookmarkStart w:id="71" w:name="_Toc16466"/>
      <w:bookmarkStart w:id="72" w:name="_Toc5843"/>
      <w:r>
        <w:rPr>
          <w:rFonts w:hint="eastAsia" w:eastAsia="仿宋_GB2312"/>
          <w:sz w:val="24"/>
        </w:rPr>
        <w:t>3.设备配置清单</w:t>
      </w:r>
      <w:bookmarkEnd w:id="71"/>
      <w:bookmarkEnd w:id="72"/>
    </w:p>
    <w:p>
      <w:pPr>
        <w:spacing w:line="360" w:lineRule="auto"/>
        <w:ind w:right="-1" w:firstLine="480" w:firstLineChars="200"/>
        <w:outlineLvl w:val="0"/>
        <w:rPr>
          <w:rFonts w:eastAsia="仿宋_GB2312"/>
          <w:sz w:val="24"/>
        </w:rPr>
      </w:pPr>
      <w:bookmarkStart w:id="73" w:name="_Toc24905"/>
      <w:bookmarkStart w:id="74" w:name="_Toc4858"/>
      <w:r>
        <w:rPr>
          <w:rFonts w:hint="eastAsia" w:eastAsia="仿宋_GB2312"/>
          <w:sz w:val="24"/>
        </w:rPr>
        <w:t>4.仪器设备技术参数响应偏离表</w:t>
      </w:r>
      <w:bookmarkEnd w:id="73"/>
      <w:bookmarkEnd w:id="74"/>
    </w:p>
    <w:p>
      <w:pPr>
        <w:spacing w:line="360" w:lineRule="auto"/>
        <w:ind w:right="-1" w:firstLine="480" w:firstLineChars="200"/>
        <w:outlineLvl w:val="0"/>
        <w:rPr>
          <w:rFonts w:eastAsia="仿宋_GB2312"/>
          <w:sz w:val="24"/>
        </w:rPr>
      </w:pPr>
      <w:bookmarkStart w:id="75" w:name="_Toc13137"/>
      <w:bookmarkStart w:id="76" w:name="_Toc18101"/>
      <w:r>
        <w:rPr>
          <w:rFonts w:hint="eastAsia" w:eastAsia="仿宋_GB2312"/>
          <w:sz w:val="24"/>
        </w:rPr>
        <w:t>5.售后服务承诺</w:t>
      </w:r>
      <w:bookmarkEnd w:id="75"/>
      <w:bookmarkEnd w:id="76"/>
    </w:p>
    <w:p>
      <w:pPr>
        <w:spacing w:line="360" w:lineRule="auto"/>
        <w:ind w:right="-1" w:firstLine="480" w:firstLineChars="200"/>
        <w:outlineLvl w:val="0"/>
        <w:rPr>
          <w:rFonts w:eastAsia="仿宋_GB2312"/>
          <w:sz w:val="24"/>
        </w:rPr>
      </w:pPr>
      <w:bookmarkStart w:id="77" w:name="_Toc3364"/>
      <w:bookmarkStart w:id="78" w:name="_Toc16737"/>
      <w:r>
        <w:rPr>
          <w:rFonts w:hint="eastAsia" w:eastAsia="仿宋_GB2312"/>
          <w:sz w:val="24"/>
        </w:rPr>
        <w:t>6.</w:t>
      </w:r>
      <w:r>
        <w:rPr>
          <w:rFonts w:hint="eastAsia" w:eastAsia="仿宋_GB2312"/>
          <w:sz w:val="24"/>
          <w:lang w:val="en-US" w:eastAsia="zh-CN"/>
        </w:rPr>
        <w:t>中标</w:t>
      </w:r>
      <w:r>
        <w:rPr>
          <w:rFonts w:hint="eastAsia" w:eastAsia="仿宋_GB2312"/>
          <w:sz w:val="24"/>
        </w:rPr>
        <w:t>通知书</w:t>
      </w:r>
      <w:bookmarkEnd w:id="77"/>
      <w:bookmarkEnd w:id="78"/>
    </w:p>
    <w:p>
      <w:pPr>
        <w:spacing w:line="360" w:lineRule="auto"/>
        <w:ind w:right="-1" w:firstLine="480" w:firstLineChars="200"/>
        <w:outlineLvl w:val="0"/>
        <w:rPr>
          <w:rFonts w:eastAsia="仿宋_GB2312"/>
          <w:sz w:val="24"/>
        </w:rPr>
      </w:pPr>
      <w:bookmarkStart w:id="79" w:name="_Toc9333"/>
      <w:bookmarkStart w:id="80" w:name="_Toc981"/>
      <w:r>
        <w:rPr>
          <w:rFonts w:hint="eastAsia" w:eastAsia="仿宋_GB2312"/>
          <w:sz w:val="24"/>
        </w:rPr>
        <w:t>7.医药购销廉洁协议书</w:t>
      </w:r>
      <w:bookmarkEnd w:id="79"/>
      <w:bookmarkEnd w:id="80"/>
    </w:p>
    <w:p>
      <w:pPr>
        <w:spacing w:line="360" w:lineRule="auto"/>
        <w:ind w:right="-1" w:firstLine="480" w:firstLineChars="200"/>
        <w:outlineLvl w:val="0"/>
        <w:rPr>
          <w:rFonts w:eastAsia="仿宋_GB2312"/>
          <w:sz w:val="24"/>
        </w:rPr>
      </w:pPr>
      <w:bookmarkStart w:id="81" w:name="_Toc30578"/>
      <w:r>
        <w:rPr>
          <w:rFonts w:hint="eastAsia" w:eastAsia="仿宋_GB2312"/>
          <w:sz w:val="24"/>
        </w:rPr>
        <w:t>8.政府采购项目货物验收入库报告单</w:t>
      </w:r>
      <w:bookmarkEnd w:id="81"/>
    </w:p>
    <w:tbl>
      <w:tblPr>
        <w:tblStyle w:val="5"/>
        <w:tblW w:w="102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49"/>
        <w:gridCol w:w="5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1" w:hRule="exact"/>
          <w:jc w:val="center"/>
        </w:trPr>
        <w:tc>
          <w:tcPr>
            <w:tcW w:w="5149" w:type="dxa"/>
            <w:noWrap w:val="0"/>
            <w:vAlign w:val="center"/>
          </w:tcPr>
          <w:p>
            <w:pPr>
              <w:snapToGrid w:val="0"/>
            </w:pPr>
            <w:r>
              <w:rPr>
                <w:rFonts w:hAnsi="宋体"/>
                <w:sz w:val="24"/>
              </w:rPr>
              <w:t>甲方（章）</w:t>
            </w:r>
          </w:p>
          <w:p>
            <w:pPr>
              <w:snapToGrid w:val="0"/>
            </w:pPr>
          </w:p>
          <w:p>
            <w:pPr>
              <w:snapToGrid w:val="0"/>
            </w:pPr>
            <w:r>
              <w:rPr>
                <w:sz w:val="24"/>
              </w:rPr>
              <w:t xml:space="preserve"> </w:t>
            </w:r>
          </w:p>
          <w:p>
            <w:pPr>
              <w:snapToGrid w:val="0"/>
              <w:ind w:firstLine="1080" w:firstLineChars="450"/>
              <w:jc w:val="right"/>
            </w:pPr>
            <w:r>
              <w:rPr>
                <w:rFonts w:hAnsi="宋体"/>
                <w:sz w:val="24"/>
              </w:rPr>
              <w:t>年</w:t>
            </w:r>
            <w:r>
              <w:rPr>
                <w:sz w:val="24"/>
              </w:rPr>
              <w:t xml:space="preserve">   </w:t>
            </w:r>
            <w:r>
              <w:rPr>
                <w:rFonts w:hAnsi="宋体"/>
                <w:sz w:val="24"/>
              </w:rPr>
              <w:t>月</w:t>
            </w:r>
            <w:r>
              <w:rPr>
                <w:sz w:val="24"/>
              </w:rPr>
              <w:t xml:space="preserve">   </w:t>
            </w:r>
            <w:r>
              <w:rPr>
                <w:rFonts w:hAnsi="宋体"/>
                <w:sz w:val="24"/>
              </w:rPr>
              <w:t>日</w:t>
            </w:r>
          </w:p>
        </w:tc>
        <w:tc>
          <w:tcPr>
            <w:tcW w:w="5150" w:type="dxa"/>
            <w:noWrap w:val="0"/>
            <w:vAlign w:val="center"/>
          </w:tcPr>
          <w:p>
            <w:pPr>
              <w:snapToGrid w:val="0"/>
            </w:pPr>
            <w:r>
              <w:rPr>
                <w:rFonts w:hAnsi="宋体"/>
                <w:sz w:val="24"/>
              </w:rPr>
              <w:t>乙方（章）</w:t>
            </w:r>
          </w:p>
          <w:p>
            <w:pPr>
              <w:snapToGrid w:val="0"/>
            </w:pPr>
          </w:p>
          <w:p>
            <w:pPr>
              <w:snapToGrid w:val="0"/>
            </w:pPr>
            <w:r>
              <w:rPr>
                <w:sz w:val="24"/>
              </w:rPr>
              <w:t xml:space="preserve">  </w:t>
            </w:r>
          </w:p>
          <w:p>
            <w:pPr>
              <w:snapToGrid w:val="0"/>
              <w:jc w:val="right"/>
            </w:pPr>
            <w:r>
              <w:rPr>
                <w:sz w:val="24"/>
              </w:rPr>
              <w:t xml:space="preserve"> </w:t>
            </w:r>
            <w:r>
              <w:rPr>
                <w:rFonts w:hAnsi="宋体"/>
                <w:sz w:val="24"/>
              </w:rPr>
              <w:t>年</w:t>
            </w:r>
            <w:r>
              <w:rPr>
                <w:sz w:val="24"/>
              </w:rPr>
              <w:t xml:space="preserve">   </w:t>
            </w:r>
            <w:r>
              <w:rPr>
                <w:rFonts w:hAnsi="宋体"/>
                <w:sz w:val="24"/>
              </w:rPr>
              <w:t>月</w:t>
            </w:r>
            <w:r>
              <w:rPr>
                <w:sz w:val="24"/>
              </w:rPr>
              <w:t xml:space="preserve">   </w:t>
            </w:r>
            <w:r>
              <w:rPr>
                <w:rFonts w:hAnsi="宋体"/>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5149" w:type="dxa"/>
            <w:noWrap w:val="0"/>
            <w:vAlign w:val="center"/>
          </w:tcPr>
          <w:p>
            <w:pPr>
              <w:snapToGrid w:val="0"/>
              <w:ind w:left="1200" w:hanging="1200" w:hangingChars="500"/>
              <w:rPr>
                <w:rFonts w:hAnsi="宋体"/>
              </w:rPr>
            </w:pPr>
            <w:r>
              <w:rPr>
                <w:rFonts w:hAnsi="宋体"/>
                <w:sz w:val="24"/>
              </w:rPr>
              <w:t>单位地址：</w:t>
            </w:r>
          </w:p>
        </w:tc>
        <w:tc>
          <w:tcPr>
            <w:tcW w:w="5150" w:type="dxa"/>
            <w:noWrap w:val="0"/>
            <w:vAlign w:val="center"/>
          </w:tcPr>
          <w:p>
            <w:pPr>
              <w:snapToGrid w:val="0"/>
            </w:pPr>
            <w:r>
              <w:rPr>
                <w:rFonts w:hAnsi="宋体"/>
                <w:sz w:val="24"/>
              </w:rPr>
              <w:t>单位地址：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5149" w:type="dxa"/>
            <w:noWrap w:val="0"/>
            <w:vAlign w:val="top"/>
          </w:tcPr>
          <w:p>
            <w:pPr>
              <w:snapToGrid w:val="0"/>
              <w:rPr>
                <w:rFonts w:hAnsi="宋体"/>
              </w:rPr>
            </w:pPr>
            <w:r>
              <w:rPr>
                <w:rFonts w:hAnsi="宋体"/>
                <w:sz w:val="24"/>
              </w:rPr>
              <w:t>法定代表人</w:t>
            </w:r>
            <w:r>
              <w:rPr>
                <w:rFonts w:hint="eastAsia" w:hAnsi="宋体"/>
                <w:sz w:val="24"/>
              </w:rPr>
              <w:t>（签字）</w:t>
            </w:r>
            <w:r>
              <w:rPr>
                <w:rFonts w:hAnsi="宋体"/>
                <w:sz w:val="24"/>
              </w:rPr>
              <w:t>：</w:t>
            </w:r>
          </w:p>
          <w:p>
            <w:pPr>
              <w:snapToGrid w:val="0"/>
            </w:pPr>
          </w:p>
        </w:tc>
        <w:tc>
          <w:tcPr>
            <w:tcW w:w="5150" w:type="dxa"/>
            <w:noWrap w:val="0"/>
            <w:vAlign w:val="top"/>
          </w:tcPr>
          <w:p>
            <w:pPr>
              <w:snapToGrid w:val="0"/>
              <w:rPr>
                <w:rFonts w:hAnsi="宋体"/>
              </w:rPr>
            </w:pPr>
            <w:r>
              <w:rPr>
                <w:rFonts w:hAnsi="宋体"/>
                <w:sz w:val="24"/>
              </w:rPr>
              <w:t>法定代表人</w:t>
            </w:r>
            <w:r>
              <w:rPr>
                <w:rFonts w:hint="eastAsia" w:hAnsi="宋体"/>
                <w:sz w:val="24"/>
              </w:rPr>
              <w:t>（签字）</w:t>
            </w:r>
            <w:r>
              <w:rPr>
                <w:rFonts w:hAnsi="宋体"/>
                <w:sz w:val="24"/>
              </w:rPr>
              <w:t>：</w:t>
            </w:r>
          </w:p>
          <w:p>
            <w:pPr>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5149" w:type="dxa"/>
            <w:noWrap w:val="0"/>
            <w:vAlign w:val="top"/>
          </w:tcPr>
          <w:p>
            <w:pPr>
              <w:snapToGrid w:val="0"/>
              <w:rPr>
                <w:rFonts w:hAnsi="宋体"/>
                <w:sz w:val="24"/>
              </w:rPr>
            </w:pPr>
            <w:r>
              <w:rPr>
                <w:rFonts w:hint="eastAsia" w:hAnsi="宋体"/>
                <w:sz w:val="24"/>
              </w:rPr>
              <w:t>授权代表（签字）：</w:t>
            </w:r>
          </w:p>
        </w:tc>
        <w:tc>
          <w:tcPr>
            <w:tcW w:w="5150" w:type="dxa"/>
            <w:noWrap w:val="0"/>
            <w:vAlign w:val="top"/>
          </w:tcPr>
          <w:p>
            <w:pPr>
              <w:snapToGrid w:val="0"/>
              <w:rPr>
                <w:rFonts w:hAnsi="宋体"/>
                <w:sz w:val="24"/>
              </w:rPr>
            </w:pPr>
            <w:r>
              <w:rPr>
                <w:rFonts w:hint="eastAsia" w:hAnsi="宋体"/>
                <w:sz w:val="24"/>
              </w:rPr>
              <w:t>授权代表（签字）：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5149" w:type="dxa"/>
            <w:noWrap w:val="0"/>
            <w:vAlign w:val="center"/>
          </w:tcPr>
          <w:p>
            <w:pPr>
              <w:snapToGrid w:val="0"/>
            </w:pPr>
            <w:r>
              <w:rPr>
                <w:rFonts w:hAnsi="宋体"/>
                <w:sz w:val="24"/>
              </w:rPr>
              <w:t>电话：</w:t>
            </w:r>
          </w:p>
        </w:tc>
        <w:tc>
          <w:tcPr>
            <w:tcW w:w="5150" w:type="dxa"/>
            <w:noWrap w:val="0"/>
            <w:vAlign w:val="center"/>
          </w:tcPr>
          <w:p>
            <w:pPr>
              <w:snapToGrid w:val="0"/>
            </w:pPr>
            <w:r>
              <w:rPr>
                <w:rFonts w:hAnsi="宋体"/>
                <w:sz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5149" w:type="dxa"/>
            <w:noWrap w:val="0"/>
            <w:vAlign w:val="center"/>
          </w:tcPr>
          <w:p>
            <w:pPr>
              <w:snapToGrid w:val="0"/>
            </w:pPr>
            <w:r>
              <w:rPr>
                <w:rFonts w:hAnsi="宋体"/>
                <w:sz w:val="24"/>
              </w:rPr>
              <w:t>开户银行：</w:t>
            </w:r>
          </w:p>
        </w:tc>
        <w:tc>
          <w:tcPr>
            <w:tcW w:w="5150" w:type="dxa"/>
            <w:noWrap w:val="0"/>
            <w:vAlign w:val="center"/>
          </w:tcPr>
          <w:p>
            <w:pPr>
              <w:snapToGrid w:val="0"/>
            </w:pPr>
            <w:r>
              <w:rPr>
                <w:rFonts w:hAnsi="宋体"/>
                <w:sz w:val="24"/>
              </w:rPr>
              <w:t>开户银行：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5149" w:type="dxa"/>
            <w:noWrap w:val="0"/>
            <w:vAlign w:val="center"/>
          </w:tcPr>
          <w:p>
            <w:pPr>
              <w:snapToGrid w:val="0"/>
            </w:pPr>
            <w:r>
              <w:rPr>
                <w:rFonts w:hAnsi="宋体"/>
                <w:sz w:val="24"/>
              </w:rPr>
              <w:t>账号：</w:t>
            </w:r>
          </w:p>
        </w:tc>
        <w:tc>
          <w:tcPr>
            <w:tcW w:w="5150" w:type="dxa"/>
            <w:noWrap w:val="0"/>
            <w:vAlign w:val="center"/>
          </w:tcPr>
          <w:p>
            <w:pPr>
              <w:snapToGrid w:val="0"/>
            </w:pPr>
            <w:r>
              <w:rPr>
                <w:rFonts w:hAnsi="宋体"/>
                <w:sz w:val="24"/>
              </w:rPr>
              <w:t>账号：</w:t>
            </w:r>
          </w:p>
        </w:tc>
      </w:tr>
    </w:tbl>
    <w:p>
      <w:pPr>
        <w:rPr>
          <w:b/>
          <w:sz w:val="28"/>
          <w:szCs w:val="28"/>
        </w:rPr>
      </w:pPr>
      <w:r>
        <w:rPr>
          <w:rFonts w:hint="eastAsia"/>
          <w:b/>
          <w:sz w:val="28"/>
          <w:szCs w:val="28"/>
        </w:rPr>
        <w:t>附件</w:t>
      </w:r>
    </w:p>
    <w:p>
      <w:pPr>
        <w:rPr>
          <w:rFonts w:ascii="宋体" w:hAnsi="宋体" w:cs="宋体"/>
          <w:b/>
          <w:bCs/>
          <w:sz w:val="24"/>
        </w:rPr>
      </w:pPr>
      <w:r>
        <w:rPr>
          <w:rFonts w:hint="eastAsia" w:ascii="宋体" w:hAnsi="宋体" w:cs="宋体"/>
          <w:b/>
          <w:bCs/>
          <w:sz w:val="24"/>
        </w:rPr>
        <w:t>一、设备整套完整资质文件</w:t>
      </w:r>
    </w:p>
    <w:p>
      <w:pPr>
        <w:rPr>
          <w:rFonts w:ascii="宋体" w:hAnsi="宋体" w:cs="宋体"/>
          <w:b/>
          <w:bCs/>
          <w:sz w:val="24"/>
        </w:rPr>
      </w:pPr>
    </w:p>
    <w:p>
      <w:pPr>
        <w:rPr>
          <w:rFonts w:ascii="宋体" w:hAnsi="宋体" w:cs="宋体"/>
          <w:b/>
          <w:bCs/>
          <w:sz w:val="24"/>
        </w:rPr>
      </w:pPr>
      <w:r>
        <w:rPr>
          <w:rFonts w:hint="eastAsia" w:ascii="宋体" w:hAnsi="宋体" w:cs="宋体"/>
          <w:b/>
          <w:bCs/>
          <w:sz w:val="24"/>
        </w:rPr>
        <w:t>二、法定代表人授权书</w:t>
      </w:r>
      <w:bookmarkStart w:id="87" w:name="_GoBack"/>
      <w:bookmarkEnd w:id="87"/>
    </w:p>
    <w:p>
      <w:pPr>
        <w:snapToGrid w:val="0"/>
        <w:spacing w:line="360" w:lineRule="auto"/>
        <w:jc w:val="center"/>
        <w:rPr>
          <w:rFonts w:ascii="宋体" w:hAnsi="宋体" w:cs="宋体"/>
          <w:b/>
          <w:bCs/>
          <w:sz w:val="24"/>
          <w:u w:val="single"/>
        </w:rPr>
      </w:pPr>
    </w:p>
    <w:p>
      <w:pPr>
        <w:snapToGrid w:val="0"/>
        <w:spacing w:line="360" w:lineRule="auto"/>
        <w:rPr>
          <w:rFonts w:ascii="宋体" w:hAnsi="宋体" w:cs="宋体"/>
          <w:b/>
          <w:bCs/>
          <w:sz w:val="24"/>
        </w:rPr>
      </w:pPr>
      <w:r>
        <w:rPr>
          <w:rFonts w:hint="eastAsia" w:ascii="宋体" w:hAnsi="宋体" w:cs="宋体"/>
          <w:b/>
          <w:bCs/>
          <w:sz w:val="24"/>
        </w:rPr>
        <w:t>致：陕西省荣复军人第二医院</w:t>
      </w:r>
    </w:p>
    <w:p>
      <w:pPr>
        <w:spacing w:line="360" w:lineRule="auto"/>
        <w:ind w:right="-1" w:firstLine="480" w:firstLineChars="200"/>
        <w:outlineLvl w:val="0"/>
        <w:rPr>
          <w:rFonts w:eastAsia="仿宋_GB2312"/>
          <w:sz w:val="24"/>
        </w:rPr>
      </w:pPr>
      <w:bookmarkStart w:id="82" w:name="_Toc995"/>
      <w:bookmarkStart w:id="83" w:name="_Toc10497"/>
      <w:r>
        <w:rPr>
          <w:rFonts w:hint="eastAsia" w:eastAsia="仿宋_GB2312"/>
          <w:sz w:val="24"/>
        </w:rPr>
        <w:t>本授权书声明：注册于</w:t>
      </w:r>
      <w:r>
        <w:rPr>
          <w:rFonts w:hint="eastAsia" w:eastAsia="仿宋_GB2312"/>
          <w:sz w:val="24"/>
          <w:u w:val="single"/>
        </w:rPr>
        <w:t xml:space="preserve">         </w:t>
      </w:r>
      <w:r>
        <w:rPr>
          <w:rFonts w:hint="eastAsia" w:eastAsia="仿宋_GB2312"/>
          <w:sz w:val="24"/>
        </w:rPr>
        <w:t>（国家或地区）的</w:t>
      </w:r>
      <w:bookmarkEnd w:id="82"/>
      <w:r>
        <w:rPr>
          <w:rFonts w:hint="eastAsia" w:eastAsia="仿宋_GB2312"/>
          <w:sz w:val="24"/>
          <w:u w:val="single"/>
        </w:rPr>
        <w:t xml:space="preserve">        </w:t>
      </w:r>
      <w:bookmarkStart w:id="84" w:name="_Toc1486"/>
      <w:r>
        <w:rPr>
          <w:rFonts w:hint="eastAsia" w:eastAsia="仿宋_GB2312"/>
          <w:sz w:val="24"/>
        </w:rPr>
        <w:t>（公司名称）的在下面签字的</w:t>
      </w:r>
      <w:r>
        <w:rPr>
          <w:rFonts w:hint="eastAsia" w:eastAsia="仿宋_GB2312"/>
          <w:sz w:val="24"/>
          <w:u w:val="single"/>
        </w:rPr>
        <w:t xml:space="preserve">                         </w:t>
      </w:r>
      <w:r>
        <w:rPr>
          <w:rFonts w:hint="eastAsia" w:eastAsia="仿宋_GB2312"/>
          <w:sz w:val="24"/>
        </w:rPr>
        <w:t>（法定代表人姓名、职务）代表本公司授权在下面签字的</w:t>
      </w:r>
      <w:r>
        <w:rPr>
          <w:rFonts w:hint="eastAsia" w:eastAsia="仿宋_GB2312"/>
          <w:sz w:val="24"/>
          <w:u w:val="single"/>
        </w:rPr>
        <w:t xml:space="preserve">                  </w:t>
      </w:r>
      <w:r>
        <w:rPr>
          <w:rFonts w:hint="eastAsia" w:eastAsia="仿宋_GB2312"/>
          <w:sz w:val="24"/>
        </w:rPr>
        <w:t>（被授权人的姓名、职务）为本公司的合法代表人，就</w:t>
      </w:r>
      <w:r>
        <w:rPr>
          <w:rFonts w:hint="eastAsia" w:eastAsia="仿宋_GB2312"/>
          <w:sz w:val="24"/>
          <w:u w:val="single"/>
        </w:rPr>
        <w:t>陕西省荣复军人第二医院医疗设备采购项目包X（项目编号：SCZD2023-ZB-1603-001）</w:t>
      </w:r>
      <w:r>
        <w:rPr>
          <w:rFonts w:hint="eastAsia" w:eastAsia="仿宋_GB2312"/>
          <w:sz w:val="24"/>
        </w:rPr>
        <w:t>的合同签订和执行，并以我方的名义处理一切与之有关的事宜,我方均予以承认。</w:t>
      </w:r>
      <w:bookmarkEnd w:id="83"/>
      <w:bookmarkEnd w:id="84"/>
    </w:p>
    <w:p>
      <w:pPr>
        <w:spacing w:line="360" w:lineRule="auto"/>
        <w:ind w:right="-1" w:firstLine="480" w:firstLineChars="200"/>
        <w:outlineLvl w:val="0"/>
        <w:rPr>
          <w:rFonts w:eastAsia="仿宋_GB2312"/>
          <w:sz w:val="24"/>
        </w:rPr>
      </w:pPr>
      <w:bookmarkStart w:id="85" w:name="_Toc29905"/>
      <w:bookmarkStart w:id="86" w:name="_Toc12506"/>
      <w:r>
        <w:rPr>
          <w:rFonts w:hint="eastAsia" w:eastAsia="仿宋_GB2312"/>
          <w:sz w:val="24"/>
        </w:rPr>
        <w:t>本授权书于</w:t>
      </w:r>
      <w:r>
        <w:rPr>
          <w:rFonts w:hint="eastAsia" w:eastAsia="仿宋_GB2312"/>
          <w:sz w:val="24"/>
          <w:u w:val="single"/>
        </w:rPr>
        <w:t xml:space="preserve">       </w:t>
      </w:r>
      <w:r>
        <w:rPr>
          <w:rFonts w:hint="eastAsia" w:eastAsia="仿宋_GB2312"/>
          <w:sz w:val="24"/>
        </w:rPr>
        <w:t>年</w:t>
      </w:r>
      <w:r>
        <w:rPr>
          <w:rFonts w:hint="eastAsia" w:eastAsia="仿宋_GB2312"/>
          <w:sz w:val="24"/>
          <w:u w:val="single"/>
        </w:rPr>
        <w:t xml:space="preserve">       </w:t>
      </w:r>
      <w:r>
        <w:rPr>
          <w:rFonts w:hint="eastAsia" w:eastAsia="仿宋_GB2312"/>
          <w:sz w:val="24"/>
        </w:rPr>
        <w:t>月</w:t>
      </w:r>
      <w:r>
        <w:rPr>
          <w:rFonts w:hint="eastAsia" w:eastAsia="仿宋_GB2312"/>
          <w:sz w:val="24"/>
          <w:u w:val="single"/>
        </w:rPr>
        <w:t xml:space="preserve">       </w:t>
      </w:r>
      <w:r>
        <w:rPr>
          <w:rFonts w:hint="eastAsia" w:eastAsia="仿宋_GB2312"/>
          <w:sz w:val="24"/>
        </w:rPr>
        <w:t>日签字生效，有效期至合同内容服务结束，特此声明。</w:t>
      </w:r>
      <w:bookmarkEnd w:id="85"/>
      <w:bookmarkEnd w:id="86"/>
    </w:p>
    <w:p>
      <w:pPr>
        <w:snapToGrid w:val="0"/>
        <w:spacing w:line="360" w:lineRule="auto"/>
        <w:rPr>
          <w:rFonts w:hint="eastAsia" w:ascii="宋体" w:hAnsi="宋体" w:cs="宋体"/>
          <w:sz w:val="24"/>
        </w:rPr>
      </w:pPr>
    </w:p>
    <w:p>
      <w:pPr>
        <w:snapToGrid w:val="0"/>
        <w:spacing w:line="360" w:lineRule="auto"/>
        <w:rPr>
          <w:rFonts w:ascii="宋体" w:hAnsi="宋体" w:cs="宋体"/>
          <w:sz w:val="24"/>
        </w:rPr>
      </w:pPr>
      <w:r>
        <w:rPr>
          <w:rFonts w:hint="eastAsia" w:ascii="宋体" w:hAnsi="宋体" w:cs="宋体"/>
          <w:sz w:val="24"/>
        </w:rPr>
        <w:t>供应商（盖章）：</w:t>
      </w:r>
    </w:p>
    <w:p>
      <w:pPr>
        <w:pStyle w:val="4"/>
      </w:pPr>
    </w:p>
    <w:p>
      <w:pPr>
        <w:snapToGrid w:val="0"/>
        <w:spacing w:line="360" w:lineRule="auto"/>
        <w:rPr>
          <w:rFonts w:ascii="宋体" w:hAnsi="宋体" w:cs="宋体"/>
          <w:sz w:val="24"/>
        </w:rPr>
      </w:pPr>
      <w:r>
        <w:rPr>
          <w:rFonts w:hint="eastAsia" w:ascii="宋体" w:hAnsi="宋体" w:cs="宋体"/>
          <w:sz w:val="24"/>
        </w:rPr>
        <w:t>法定代表人（签名或盖章）：                  被授权人（签名）：</w:t>
      </w:r>
    </w:p>
    <w:p>
      <w:pPr>
        <w:rPr>
          <w:rFonts w:ascii="宋体" w:hAnsi="宋体" w:cs="宋体"/>
          <w:sz w:val="24"/>
        </w:rPr>
      </w:pPr>
    </w:p>
    <w:p>
      <w:pPr>
        <w:rPr>
          <w:b/>
          <w:sz w:val="28"/>
          <w:szCs w:val="28"/>
        </w:rPr>
      </w:pPr>
      <w:r>
        <w:rPr>
          <w:rFonts w:hint="eastAsia" w:ascii="宋体" w:hAnsi="宋体" w:cs="宋体"/>
          <w:sz w:val="24"/>
        </w:rPr>
        <w:t>法定代表人身份证扫描件                     被授权人身份证扫描件</w:t>
      </w:r>
    </w:p>
    <w:p>
      <w:pPr>
        <w:rPr>
          <w:sz w:val="28"/>
          <w:szCs w:val="28"/>
        </w:rPr>
      </w:pPr>
    </w:p>
    <w:p>
      <w:pPr>
        <w:rPr>
          <w:rFonts w:ascii="宋体" w:hAnsi="宋体" w:cs="宋体"/>
          <w:b/>
          <w:bCs/>
          <w:sz w:val="24"/>
        </w:rPr>
      </w:pPr>
      <w:r>
        <w:rPr>
          <w:rFonts w:hint="eastAsia" w:ascii="宋体" w:hAnsi="宋体" w:cs="宋体"/>
          <w:b/>
          <w:bCs/>
          <w:sz w:val="24"/>
        </w:rPr>
        <w:t>三、设备配置清单</w:t>
      </w:r>
    </w:p>
    <w:p>
      <w:pPr>
        <w:rPr>
          <w:rFonts w:ascii="宋体" w:hAnsi="宋体" w:cs="宋体"/>
          <w:b/>
          <w:bCs/>
          <w:sz w:val="24"/>
        </w:rPr>
      </w:pPr>
    </w:p>
    <w:p>
      <w:pPr>
        <w:numPr>
          <w:ilvl w:val="0"/>
          <w:numId w:val="1"/>
        </w:numPr>
        <w:rPr>
          <w:rFonts w:ascii="宋体" w:hAnsi="宋体" w:cs="宋体"/>
          <w:b/>
          <w:bCs/>
          <w:sz w:val="24"/>
        </w:rPr>
      </w:pPr>
      <w:r>
        <w:rPr>
          <w:rFonts w:hint="eastAsia" w:ascii="宋体" w:hAnsi="宋体" w:cs="宋体"/>
          <w:b/>
          <w:bCs/>
          <w:sz w:val="24"/>
        </w:rPr>
        <w:t>设备技术参数响应偏离表</w:t>
      </w:r>
    </w:p>
    <w:p>
      <w:pPr>
        <w:rPr>
          <w:rFonts w:ascii="宋体" w:hAnsi="宋体" w:cs="宋体"/>
          <w:b/>
          <w:bCs/>
          <w:sz w:val="24"/>
        </w:rPr>
      </w:pPr>
    </w:p>
    <w:p>
      <w:pPr>
        <w:numPr>
          <w:ilvl w:val="0"/>
          <w:numId w:val="1"/>
        </w:numPr>
        <w:rPr>
          <w:rFonts w:ascii="宋体" w:hAnsi="宋体" w:cs="宋体"/>
          <w:b/>
          <w:bCs/>
          <w:sz w:val="24"/>
        </w:rPr>
      </w:pPr>
      <w:r>
        <w:rPr>
          <w:rFonts w:hint="eastAsia" w:ascii="宋体" w:hAnsi="宋体" w:cs="宋体"/>
          <w:b/>
          <w:bCs/>
          <w:sz w:val="24"/>
        </w:rPr>
        <w:t>售后服务承诺</w:t>
      </w:r>
    </w:p>
    <w:p>
      <w:pPr>
        <w:rPr>
          <w:rFonts w:ascii="宋体" w:hAnsi="宋体" w:cs="宋体"/>
          <w:b/>
          <w:bCs/>
          <w:sz w:val="24"/>
        </w:rPr>
      </w:pPr>
    </w:p>
    <w:p>
      <w:pPr>
        <w:numPr>
          <w:ilvl w:val="0"/>
          <w:numId w:val="1"/>
        </w:numPr>
        <w:rPr>
          <w:rFonts w:ascii="宋体" w:hAnsi="宋体" w:cs="宋体"/>
          <w:b/>
          <w:bCs/>
          <w:sz w:val="24"/>
        </w:rPr>
      </w:pPr>
      <w:r>
        <w:rPr>
          <w:rFonts w:hint="eastAsia" w:ascii="宋体" w:hAnsi="宋体" w:cs="宋体"/>
          <w:b/>
          <w:bCs/>
          <w:sz w:val="24"/>
          <w:lang w:val="en-US" w:eastAsia="zh-CN"/>
        </w:rPr>
        <w:t>中标</w:t>
      </w:r>
      <w:r>
        <w:rPr>
          <w:rFonts w:hint="eastAsia" w:ascii="宋体" w:hAnsi="宋体" w:cs="宋体"/>
          <w:b/>
          <w:bCs/>
          <w:sz w:val="24"/>
        </w:rPr>
        <w:t>通知书</w:t>
      </w:r>
    </w:p>
    <w:p>
      <w:pPr>
        <w:rPr>
          <w:rFonts w:hint="eastAsia"/>
        </w:rPr>
      </w:pPr>
    </w:p>
    <w:p>
      <w:pPr>
        <w:numPr>
          <w:ilvl w:val="0"/>
          <w:numId w:val="1"/>
        </w:numPr>
        <w:rPr>
          <w:rFonts w:ascii="宋体" w:hAnsi="宋体" w:cs="宋体"/>
          <w:b/>
          <w:bCs/>
          <w:sz w:val="24"/>
        </w:rPr>
      </w:pPr>
      <w:r>
        <w:rPr>
          <w:rFonts w:hint="eastAsia" w:ascii="宋体" w:hAnsi="宋体" w:cs="宋体"/>
          <w:b/>
          <w:bCs/>
          <w:sz w:val="24"/>
        </w:rPr>
        <w:t>医药购销廉洁协议书</w:t>
      </w:r>
    </w:p>
    <w:p>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ascii="宋体" w:hAnsi="宋体" w:cs="宋体"/>
          <w:b/>
          <w:bCs/>
          <w:sz w:val="32"/>
          <w:szCs w:val="32"/>
        </w:rPr>
      </w:pPr>
      <w:r>
        <w:rPr>
          <w:rFonts w:hint="eastAsia" w:ascii="宋体" w:hAnsi="宋体" w:cs="宋体"/>
          <w:b/>
          <w:bCs/>
          <w:sz w:val="32"/>
          <w:szCs w:val="32"/>
        </w:rPr>
        <w:t>医药购销廉洁协议书</w:t>
      </w:r>
    </w:p>
    <w:p>
      <w:pPr>
        <w:rPr>
          <w:rFonts w:hint="eastAsia" w:ascii="宋体" w:hAnsi="宋体" w:cs="宋体"/>
          <w:b/>
          <w:bCs/>
          <w:sz w:val="22"/>
          <w:szCs w:val="22"/>
        </w:rPr>
      </w:pPr>
      <w:r>
        <w:rPr>
          <w:rFonts w:hint="eastAsia" w:ascii="宋体" w:hAnsi="宋体" w:cs="宋体"/>
          <w:b/>
          <w:bCs/>
          <w:sz w:val="22"/>
          <w:szCs w:val="22"/>
        </w:rPr>
        <w:t>甲方（买方）：陕西省荣复军人第二医院</w:t>
      </w:r>
    </w:p>
    <w:p>
      <w:pPr>
        <w:rPr>
          <w:rFonts w:ascii="宋体" w:hAnsi="宋体" w:cs="宋体"/>
          <w:b/>
          <w:bCs/>
          <w:sz w:val="22"/>
          <w:szCs w:val="22"/>
        </w:rPr>
      </w:pPr>
      <w:r>
        <w:rPr>
          <w:rFonts w:hint="eastAsia" w:ascii="宋体" w:hAnsi="宋体" w:cs="宋体"/>
          <w:b/>
          <w:bCs/>
          <w:sz w:val="22"/>
          <w:szCs w:val="22"/>
        </w:rPr>
        <w:t>乙方（卖方）：</w:t>
      </w:r>
    </w:p>
    <w:p>
      <w:pPr>
        <w:spacing w:line="360" w:lineRule="auto"/>
        <w:ind w:firstLine="440" w:firstLineChars="200"/>
        <w:rPr>
          <w:rFonts w:ascii="宋体" w:hAnsi="宋体" w:cs="宋体"/>
          <w:sz w:val="22"/>
          <w:szCs w:val="22"/>
        </w:rPr>
      </w:pPr>
      <w:r>
        <w:rPr>
          <w:rFonts w:hint="eastAsia" w:ascii="宋体" w:hAnsi="宋体" w:cs="宋体"/>
          <w:sz w:val="22"/>
          <w:szCs w:val="22"/>
        </w:rPr>
        <w:t>为认真贯彻落实全国及全省卫生系统纪检监察暨纠风工作会议精神，进一步规范医疗购销行为，维护正常的医疗秩序和医疗产品经营秩序，建立健全防治商业贿赂长效机制，经甲乙双方协商，同意签订医疗购销廉洁协议书并予以共同遵守：</w:t>
      </w:r>
    </w:p>
    <w:p>
      <w:pPr>
        <w:numPr>
          <w:ilvl w:val="0"/>
          <w:numId w:val="2"/>
        </w:numPr>
        <w:spacing w:line="360" w:lineRule="auto"/>
        <w:ind w:firstLine="440" w:firstLineChars="200"/>
        <w:rPr>
          <w:rFonts w:ascii="宋体" w:hAnsi="宋体" w:cs="宋体"/>
          <w:sz w:val="22"/>
          <w:szCs w:val="22"/>
        </w:rPr>
      </w:pPr>
      <w:r>
        <w:rPr>
          <w:rFonts w:hint="eastAsia" w:ascii="宋体" w:hAnsi="宋体" w:cs="宋体"/>
          <w:sz w:val="22"/>
          <w:szCs w:val="22"/>
        </w:rPr>
        <w:t>乙方在销售活动中，要自觉遵守国家和地方的有关法律、法规，严格执行合同条款，不以次充好，不降低产品质量，做到诚信经营。</w:t>
      </w:r>
    </w:p>
    <w:p>
      <w:pPr>
        <w:numPr>
          <w:ilvl w:val="0"/>
          <w:numId w:val="2"/>
        </w:numPr>
        <w:spacing w:line="360" w:lineRule="auto"/>
        <w:ind w:firstLine="440" w:firstLineChars="200"/>
        <w:rPr>
          <w:rFonts w:ascii="宋体" w:hAnsi="宋体" w:cs="宋体"/>
          <w:sz w:val="22"/>
          <w:szCs w:val="22"/>
        </w:rPr>
      </w:pPr>
      <w:r>
        <w:rPr>
          <w:rFonts w:hint="eastAsia" w:ascii="宋体" w:hAnsi="宋体" w:cs="宋体"/>
          <w:sz w:val="22"/>
          <w:szCs w:val="22"/>
        </w:rPr>
        <w:t>甲方购进医疗设备、医用耗材等医疗产品，不得以任何方式向乙方索取回扣，或者索要、接受乙方产品发票价以外的赞助，不得要求乙方代支任何费用开支。</w:t>
      </w:r>
    </w:p>
    <w:p>
      <w:pPr>
        <w:numPr>
          <w:ilvl w:val="0"/>
          <w:numId w:val="2"/>
        </w:numPr>
        <w:spacing w:line="360" w:lineRule="auto"/>
        <w:ind w:firstLine="440" w:firstLineChars="200"/>
        <w:rPr>
          <w:rFonts w:ascii="宋体" w:hAnsi="宋体" w:cs="宋体"/>
          <w:sz w:val="22"/>
          <w:szCs w:val="22"/>
        </w:rPr>
      </w:pPr>
      <w:r>
        <w:rPr>
          <w:rFonts w:hint="eastAsia" w:ascii="宋体" w:hAnsi="宋体" w:cs="宋体"/>
          <w:sz w:val="22"/>
          <w:szCs w:val="22"/>
        </w:rPr>
        <w:t>甲方工作人员不得以暗示或任何其它形式索要回扣、提成、有价证券、现金和购物卡等。如甲方工作人员暗示或索要，乙方应予以拒绝，并有责任如实向甲方纪检监察部门反映情况。</w:t>
      </w:r>
    </w:p>
    <w:p>
      <w:pPr>
        <w:numPr>
          <w:ilvl w:val="0"/>
          <w:numId w:val="2"/>
        </w:numPr>
        <w:spacing w:line="360" w:lineRule="auto"/>
        <w:ind w:firstLine="440" w:firstLineChars="200"/>
        <w:rPr>
          <w:rFonts w:ascii="宋体" w:hAnsi="宋体" w:cs="宋体"/>
          <w:sz w:val="22"/>
          <w:szCs w:val="22"/>
        </w:rPr>
      </w:pPr>
      <w:r>
        <w:rPr>
          <w:rFonts w:hint="eastAsia" w:ascii="宋体" w:hAnsi="宋体" w:cs="宋体"/>
          <w:sz w:val="22"/>
          <w:szCs w:val="22"/>
        </w:rPr>
        <w:t>甲方工作人员不得替乙方非法统计医用耗材销售数量等有关信息。</w:t>
      </w:r>
    </w:p>
    <w:p>
      <w:pPr>
        <w:numPr>
          <w:ilvl w:val="0"/>
          <w:numId w:val="2"/>
        </w:numPr>
        <w:spacing w:line="360" w:lineRule="auto"/>
        <w:ind w:firstLine="440" w:firstLineChars="200"/>
        <w:rPr>
          <w:rFonts w:ascii="宋体" w:hAnsi="宋体" w:cs="宋体"/>
          <w:sz w:val="22"/>
          <w:szCs w:val="22"/>
        </w:rPr>
      </w:pPr>
      <w:r>
        <w:rPr>
          <w:rFonts w:hint="eastAsia" w:ascii="宋体" w:hAnsi="宋体" w:cs="宋体"/>
          <w:sz w:val="22"/>
          <w:szCs w:val="22"/>
        </w:rPr>
        <w:t>乙方不得暗中给予甲方回扣，不得以提成和赠送有价证券、现金、购物卡、宴请、娱乐或提供国内或境外学术活动等手段进行医疗设备或医用耗材促销活动。</w:t>
      </w:r>
    </w:p>
    <w:p>
      <w:pPr>
        <w:numPr>
          <w:ilvl w:val="0"/>
          <w:numId w:val="2"/>
        </w:numPr>
        <w:spacing w:line="360" w:lineRule="auto"/>
        <w:ind w:firstLine="440" w:firstLineChars="200"/>
        <w:rPr>
          <w:rFonts w:ascii="宋体" w:hAnsi="宋体" w:cs="宋体"/>
          <w:sz w:val="22"/>
          <w:szCs w:val="22"/>
        </w:rPr>
      </w:pPr>
      <w:r>
        <w:rPr>
          <w:rFonts w:hint="eastAsia" w:ascii="宋体" w:hAnsi="宋体" w:cs="宋体"/>
          <w:sz w:val="22"/>
          <w:szCs w:val="22"/>
        </w:rPr>
        <w:t>乙方洽谈业务，必须在工作时间到甲方指定科室联系商谈，不得到临床科室推销医疗产品，不得借故到甲方相关工作人员的家中访谈或向介绍人提供任何好处费。</w:t>
      </w:r>
    </w:p>
    <w:p>
      <w:pPr>
        <w:numPr>
          <w:ilvl w:val="0"/>
          <w:numId w:val="2"/>
        </w:numPr>
        <w:spacing w:line="360" w:lineRule="auto"/>
        <w:ind w:firstLine="440" w:firstLineChars="200"/>
        <w:rPr>
          <w:rFonts w:ascii="宋体" w:hAnsi="宋体" w:cs="宋体"/>
          <w:sz w:val="22"/>
          <w:szCs w:val="22"/>
        </w:rPr>
      </w:pPr>
      <w:r>
        <w:rPr>
          <w:rFonts w:hint="eastAsia" w:ascii="宋体" w:hAnsi="宋体" w:cs="宋体"/>
          <w:sz w:val="22"/>
          <w:szCs w:val="22"/>
        </w:rPr>
        <w:t>乙方如违反以上条款，一经发现，甲方有权终止购销合同，列入不良行为记录，并在单位内通报，如涉嫌违法犯罪的，移交司法机关处理。</w:t>
      </w:r>
    </w:p>
    <w:p>
      <w:pPr>
        <w:numPr>
          <w:ilvl w:val="0"/>
          <w:numId w:val="2"/>
        </w:numPr>
        <w:spacing w:line="360" w:lineRule="auto"/>
        <w:ind w:firstLine="440" w:firstLineChars="200"/>
        <w:rPr>
          <w:rFonts w:ascii="宋体" w:hAnsi="宋体" w:cs="宋体"/>
          <w:sz w:val="22"/>
          <w:szCs w:val="22"/>
        </w:rPr>
      </w:pPr>
      <w:r>
        <w:rPr>
          <w:rFonts w:hint="eastAsia" w:ascii="宋体" w:hAnsi="宋体" w:cs="宋体"/>
          <w:sz w:val="22"/>
          <w:szCs w:val="22"/>
        </w:rPr>
        <w:t>甲方工作人员如违反以上条款的，甲方按照国家有关法律、法规规定和有关廉政制度给予处理，如涉嫌违法犯罪的，移交司法机关处理。</w:t>
      </w:r>
    </w:p>
    <w:p>
      <w:pPr>
        <w:spacing w:line="360" w:lineRule="auto"/>
        <w:rPr>
          <w:rFonts w:ascii="宋体" w:hAnsi="宋体" w:cs="宋体"/>
          <w:sz w:val="22"/>
          <w:szCs w:val="22"/>
        </w:rPr>
      </w:pPr>
      <w:r>
        <w:rPr>
          <w:rFonts w:hint="eastAsia" w:ascii="宋体" w:hAnsi="宋体" w:cs="宋体"/>
          <w:sz w:val="22"/>
          <w:szCs w:val="22"/>
        </w:rPr>
        <w:t>本协议书为医疗产品购销合同的附件，与购销合同一并执行，具有同等法律效力。</w:t>
      </w:r>
    </w:p>
    <w:p>
      <w:pPr>
        <w:snapToGrid w:val="0"/>
        <w:spacing w:line="360" w:lineRule="auto"/>
        <w:rPr>
          <w:rFonts w:ascii="宋体" w:hAnsi="宋体" w:cs="宋体"/>
          <w:sz w:val="24"/>
        </w:rPr>
      </w:pPr>
    </w:p>
    <w:p>
      <w:pPr>
        <w:snapToGrid w:val="0"/>
        <w:spacing w:line="360" w:lineRule="auto"/>
        <w:rPr>
          <w:rFonts w:ascii="宋体" w:hAnsi="宋体" w:cs="宋体"/>
          <w:sz w:val="24"/>
        </w:rPr>
      </w:pPr>
    </w:p>
    <w:p>
      <w:pPr>
        <w:spacing w:line="360" w:lineRule="auto"/>
        <w:rPr>
          <w:rFonts w:ascii="宋体" w:hAnsi="宋体" w:cs="宋体"/>
          <w:b/>
          <w:bCs/>
          <w:sz w:val="24"/>
        </w:rPr>
      </w:pPr>
      <w:r>
        <w:br w:type="page"/>
      </w:r>
      <w:r>
        <w:rPr>
          <w:rFonts w:hint="eastAsia" w:ascii="宋体" w:hAnsi="宋体" w:cs="宋体"/>
          <w:b/>
          <w:bCs/>
          <w:sz w:val="24"/>
        </w:rPr>
        <w:t>政府采购项目货物验收入库报告单</w:t>
      </w:r>
    </w:p>
    <w:p>
      <w:pPr>
        <w:spacing w:line="360" w:lineRule="auto"/>
      </w:pPr>
    </w:p>
    <w:tbl>
      <w:tblPr>
        <w:tblStyle w:val="5"/>
        <w:tblW w:w="5000" w:type="pct"/>
        <w:tblInd w:w="0" w:type="dxa"/>
        <w:tblLayout w:type="autofit"/>
        <w:tblCellMar>
          <w:top w:w="0" w:type="dxa"/>
          <w:left w:w="108" w:type="dxa"/>
          <w:bottom w:w="0" w:type="dxa"/>
          <w:right w:w="108" w:type="dxa"/>
        </w:tblCellMar>
      </w:tblPr>
      <w:tblGrid>
        <w:gridCol w:w="1571"/>
        <w:gridCol w:w="2299"/>
        <w:gridCol w:w="2524"/>
        <w:gridCol w:w="2128"/>
      </w:tblGrid>
      <w:tr>
        <w:tblPrEx>
          <w:tblCellMar>
            <w:top w:w="0" w:type="dxa"/>
            <w:left w:w="108" w:type="dxa"/>
            <w:bottom w:w="0" w:type="dxa"/>
            <w:right w:w="108" w:type="dxa"/>
          </w:tblCellMar>
        </w:tblPrEx>
        <w:trPr>
          <w:trHeight w:val="900" w:hRule="atLeast"/>
        </w:trPr>
        <w:tc>
          <w:tcPr>
            <w:tcW w:w="5000" w:type="pct"/>
            <w:gridSpan w:val="4"/>
            <w:tcBorders>
              <w:top w:val="nil"/>
              <w:left w:val="nil"/>
              <w:bottom w:val="nil"/>
              <w:right w:val="nil"/>
            </w:tcBorders>
            <w:noWrap/>
            <w:vAlign w:val="center"/>
          </w:tcPr>
          <w:p>
            <w:pPr>
              <w:widowControl/>
              <w:jc w:val="center"/>
              <w:rPr>
                <w:b/>
                <w:bCs/>
                <w:kern w:val="0"/>
                <w:sz w:val="32"/>
                <w:szCs w:val="32"/>
              </w:rPr>
            </w:pPr>
            <w:r>
              <w:rPr>
                <w:rFonts w:eastAsia="方正小标宋简体"/>
                <w:kern w:val="0"/>
                <w:sz w:val="28"/>
                <w:szCs w:val="28"/>
              </w:rPr>
              <w:t>政</w:t>
            </w:r>
            <w:r>
              <w:rPr>
                <w:rFonts w:ascii="Times New Roman" w:hAnsi="Times New Roman" w:eastAsia="方正小标宋简体" w:cs="Times New Roman"/>
                <w:kern w:val="0"/>
                <w:sz w:val="28"/>
                <w:szCs w:val="28"/>
              </w:rPr>
              <w:t>府采购项目货物</w:t>
            </w:r>
            <w:r>
              <w:rPr>
                <w:rFonts w:eastAsia="方正小标宋简体"/>
                <w:kern w:val="0"/>
                <w:sz w:val="28"/>
                <w:szCs w:val="28"/>
              </w:rPr>
              <w:t>验收入库报告单</w:t>
            </w:r>
          </w:p>
        </w:tc>
      </w:tr>
      <w:tr>
        <w:tblPrEx>
          <w:tblCellMar>
            <w:top w:w="0" w:type="dxa"/>
            <w:left w:w="108" w:type="dxa"/>
            <w:bottom w:w="0" w:type="dxa"/>
            <w:right w:w="108" w:type="dxa"/>
          </w:tblCellMar>
        </w:tblPrEx>
        <w:trPr>
          <w:trHeight w:val="540" w:hRule="atLeast"/>
        </w:trPr>
        <w:tc>
          <w:tcPr>
            <w:tcW w:w="922" w:type="pct"/>
            <w:tcBorders>
              <w:top w:val="single" w:color="auto" w:sz="8" w:space="0"/>
              <w:left w:val="single" w:color="auto" w:sz="8" w:space="0"/>
              <w:bottom w:val="single" w:color="auto" w:sz="4" w:space="0"/>
              <w:right w:val="single" w:color="auto" w:sz="4" w:space="0"/>
            </w:tcBorders>
            <w:noWrap/>
            <w:vAlign w:val="center"/>
          </w:tcPr>
          <w:p>
            <w:pPr>
              <w:widowControl/>
              <w:jc w:val="center"/>
              <w:rPr>
                <w:rFonts w:eastAsia="仿宋_GB2312"/>
                <w:kern w:val="0"/>
                <w:sz w:val="24"/>
              </w:rPr>
            </w:pPr>
            <w:r>
              <w:rPr>
                <w:rFonts w:eastAsia="仿宋_GB2312"/>
                <w:kern w:val="0"/>
                <w:sz w:val="24"/>
              </w:rPr>
              <w:t>采购单位</w:t>
            </w:r>
          </w:p>
        </w:tc>
        <w:tc>
          <w:tcPr>
            <w:tcW w:w="4078" w:type="pct"/>
            <w:gridSpan w:val="3"/>
            <w:tcBorders>
              <w:top w:val="single" w:color="auto" w:sz="8" w:space="0"/>
              <w:left w:val="nil"/>
              <w:bottom w:val="single" w:color="auto" w:sz="4" w:space="0"/>
              <w:right w:val="single" w:color="000000" w:sz="8" w:space="0"/>
            </w:tcBorders>
            <w:noWrap/>
            <w:vAlign w:val="center"/>
          </w:tcPr>
          <w:p>
            <w:pPr>
              <w:widowControl/>
              <w:jc w:val="center"/>
              <w:rPr>
                <w:rFonts w:eastAsia="仿宋_GB2312"/>
                <w:kern w:val="0"/>
                <w:sz w:val="24"/>
              </w:rPr>
            </w:pPr>
            <w:r>
              <w:rPr>
                <w:rFonts w:eastAsia="仿宋_GB2312"/>
                <w:kern w:val="0"/>
                <w:sz w:val="24"/>
              </w:rPr>
              <w:t>　</w:t>
            </w:r>
          </w:p>
        </w:tc>
      </w:tr>
      <w:tr>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pPr>
              <w:widowControl/>
              <w:jc w:val="center"/>
              <w:rPr>
                <w:rFonts w:eastAsia="仿宋_GB2312"/>
                <w:kern w:val="0"/>
                <w:sz w:val="24"/>
              </w:rPr>
            </w:pPr>
            <w:r>
              <w:rPr>
                <w:rFonts w:eastAsia="仿宋_GB2312"/>
                <w:kern w:val="0"/>
                <w:sz w:val="24"/>
              </w:rPr>
              <w:t>采购项目</w:t>
            </w:r>
          </w:p>
        </w:tc>
        <w:tc>
          <w:tcPr>
            <w:tcW w:w="4078" w:type="pct"/>
            <w:gridSpan w:val="3"/>
            <w:tcBorders>
              <w:top w:val="single" w:color="auto" w:sz="4" w:space="0"/>
              <w:left w:val="nil"/>
              <w:bottom w:val="single" w:color="auto" w:sz="4" w:space="0"/>
              <w:right w:val="single" w:color="000000" w:sz="8" w:space="0"/>
            </w:tcBorders>
            <w:noWrap/>
            <w:vAlign w:val="center"/>
          </w:tcPr>
          <w:p>
            <w:pPr>
              <w:widowControl/>
              <w:jc w:val="center"/>
              <w:rPr>
                <w:rFonts w:eastAsia="仿宋_GB2312"/>
                <w:kern w:val="0"/>
                <w:sz w:val="24"/>
              </w:rPr>
            </w:pPr>
            <w:r>
              <w:rPr>
                <w:rFonts w:eastAsia="仿宋_GB2312"/>
                <w:kern w:val="0"/>
                <w:sz w:val="24"/>
              </w:rPr>
              <w:t>　</w:t>
            </w:r>
          </w:p>
        </w:tc>
      </w:tr>
      <w:tr>
        <w:tblPrEx>
          <w:tblCellMar>
            <w:top w:w="0" w:type="dxa"/>
            <w:left w:w="108" w:type="dxa"/>
            <w:bottom w:w="0" w:type="dxa"/>
            <w:right w:w="108" w:type="dxa"/>
          </w:tblCellMar>
        </w:tblPrEx>
        <w:trPr>
          <w:trHeight w:val="540" w:hRule="atLeast"/>
        </w:trPr>
        <w:tc>
          <w:tcPr>
            <w:tcW w:w="922" w:type="pct"/>
            <w:vMerge w:val="restart"/>
            <w:tcBorders>
              <w:top w:val="nil"/>
              <w:left w:val="single" w:color="auto" w:sz="8" w:space="0"/>
              <w:bottom w:val="single" w:color="auto" w:sz="4" w:space="0"/>
              <w:right w:val="single" w:color="auto" w:sz="4" w:space="0"/>
            </w:tcBorders>
            <w:noWrap/>
            <w:vAlign w:val="center"/>
          </w:tcPr>
          <w:p>
            <w:pPr>
              <w:widowControl/>
              <w:jc w:val="center"/>
              <w:rPr>
                <w:rFonts w:eastAsia="仿宋_GB2312"/>
                <w:kern w:val="0"/>
                <w:sz w:val="24"/>
              </w:rPr>
            </w:pPr>
            <w:r>
              <w:rPr>
                <w:rFonts w:eastAsia="仿宋_GB2312"/>
                <w:kern w:val="0"/>
                <w:sz w:val="24"/>
              </w:rPr>
              <w:t>项目编号</w:t>
            </w:r>
          </w:p>
        </w:tc>
        <w:tc>
          <w:tcPr>
            <w:tcW w:w="1349" w:type="pct"/>
            <w:vMerge w:val="restart"/>
            <w:tcBorders>
              <w:top w:val="nil"/>
              <w:left w:val="single" w:color="auto" w:sz="4" w:space="0"/>
              <w:bottom w:val="single" w:color="auto" w:sz="4" w:space="0"/>
              <w:right w:val="single" w:color="auto" w:sz="4" w:space="0"/>
            </w:tcBorders>
            <w:noWrap/>
            <w:vAlign w:val="center"/>
          </w:tcPr>
          <w:p>
            <w:pPr>
              <w:widowControl/>
              <w:jc w:val="center"/>
              <w:rPr>
                <w:rFonts w:eastAsia="仿宋_GB2312"/>
                <w:kern w:val="0"/>
                <w:sz w:val="24"/>
              </w:rPr>
            </w:pPr>
            <w:r>
              <w:rPr>
                <w:rFonts w:eastAsia="仿宋_GB2312"/>
                <w:kern w:val="0"/>
                <w:sz w:val="24"/>
              </w:rPr>
              <w:t>　</w:t>
            </w:r>
          </w:p>
        </w:tc>
        <w:tc>
          <w:tcPr>
            <w:tcW w:w="1481" w:type="pct"/>
            <w:tcBorders>
              <w:top w:val="nil"/>
              <w:left w:val="nil"/>
              <w:bottom w:val="single" w:color="auto" w:sz="4" w:space="0"/>
              <w:right w:val="single" w:color="auto" w:sz="4" w:space="0"/>
            </w:tcBorders>
            <w:noWrap/>
            <w:vAlign w:val="center"/>
          </w:tcPr>
          <w:p>
            <w:pPr>
              <w:widowControl/>
              <w:jc w:val="center"/>
              <w:rPr>
                <w:rFonts w:eastAsia="仿宋_GB2312"/>
                <w:kern w:val="0"/>
                <w:sz w:val="24"/>
              </w:rPr>
            </w:pPr>
            <w:r>
              <w:rPr>
                <w:rFonts w:eastAsia="仿宋_GB2312"/>
                <w:kern w:val="0"/>
                <w:sz w:val="24"/>
              </w:rPr>
              <w:t>合同金额</w:t>
            </w:r>
          </w:p>
        </w:tc>
        <w:tc>
          <w:tcPr>
            <w:tcW w:w="1248" w:type="pct"/>
            <w:tcBorders>
              <w:top w:val="nil"/>
              <w:left w:val="nil"/>
              <w:bottom w:val="single" w:color="auto" w:sz="4" w:space="0"/>
              <w:right w:val="single" w:color="auto" w:sz="8" w:space="0"/>
            </w:tcBorders>
            <w:noWrap/>
            <w:vAlign w:val="center"/>
          </w:tcPr>
          <w:p>
            <w:pPr>
              <w:widowControl/>
              <w:jc w:val="left"/>
              <w:rPr>
                <w:rFonts w:eastAsia="仿宋_GB2312"/>
                <w:kern w:val="0"/>
                <w:sz w:val="24"/>
              </w:rPr>
            </w:pPr>
            <w:r>
              <w:rPr>
                <w:rFonts w:eastAsia="仿宋_GB2312"/>
                <w:kern w:val="0"/>
                <w:sz w:val="24"/>
              </w:rPr>
              <w:t>¥:</w:t>
            </w:r>
          </w:p>
        </w:tc>
      </w:tr>
      <w:tr>
        <w:tblPrEx>
          <w:tblCellMar>
            <w:top w:w="0" w:type="dxa"/>
            <w:left w:w="108" w:type="dxa"/>
            <w:bottom w:w="0" w:type="dxa"/>
            <w:right w:w="108" w:type="dxa"/>
          </w:tblCellMar>
        </w:tblPrEx>
        <w:trPr>
          <w:trHeight w:val="540" w:hRule="atLeast"/>
        </w:trPr>
        <w:tc>
          <w:tcPr>
            <w:tcW w:w="922" w:type="pct"/>
            <w:vMerge w:val="continue"/>
            <w:tcBorders>
              <w:top w:val="nil"/>
              <w:left w:val="single" w:color="auto" w:sz="8" w:space="0"/>
              <w:bottom w:val="single" w:color="auto" w:sz="4" w:space="0"/>
              <w:right w:val="single" w:color="auto" w:sz="4" w:space="0"/>
            </w:tcBorders>
            <w:noWrap w:val="0"/>
            <w:vAlign w:val="center"/>
          </w:tcPr>
          <w:p>
            <w:pPr>
              <w:widowControl/>
              <w:jc w:val="left"/>
              <w:rPr>
                <w:rFonts w:eastAsia="仿宋_GB2312"/>
                <w:kern w:val="0"/>
                <w:sz w:val="24"/>
              </w:rPr>
            </w:pPr>
          </w:p>
        </w:tc>
        <w:tc>
          <w:tcPr>
            <w:tcW w:w="1349"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eastAsia="仿宋_GB2312"/>
                <w:kern w:val="0"/>
                <w:sz w:val="24"/>
              </w:rPr>
            </w:pPr>
          </w:p>
        </w:tc>
        <w:tc>
          <w:tcPr>
            <w:tcW w:w="1481" w:type="pct"/>
            <w:tcBorders>
              <w:top w:val="nil"/>
              <w:left w:val="nil"/>
              <w:bottom w:val="single" w:color="auto" w:sz="4" w:space="0"/>
              <w:right w:val="single" w:color="auto" w:sz="4" w:space="0"/>
            </w:tcBorders>
            <w:noWrap/>
            <w:vAlign w:val="center"/>
          </w:tcPr>
          <w:p>
            <w:pPr>
              <w:widowControl/>
              <w:jc w:val="center"/>
              <w:rPr>
                <w:rFonts w:eastAsia="仿宋_GB2312"/>
                <w:kern w:val="0"/>
                <w:sz w:val="24"/>
              </w:rPr>
            </w:pPr>
            <w:r>
              <w:rPr>
                <w:rFonts w:eastAsia="仿宋_GB2312"/>
                <w:kern w:val="0"/>
                <w:sz w:val="24"/>
              </w:rPr>
              <w:t>验收时间/地点</w:t>
            </w:r>
          </w:p>
        </w:tc>
        <w:tc>
          <w:tcPr>
            <w:tcW w:w="1248" w:type="pct"/>
            <w:tcBorders>
              <w:top w:val="nil"/>
              <w:left w:val="nil"/>
              <w:bottom w:val="single" w:color="auto" w:sz="4" w:space="0"/>
              <w:right w:val="single" w:color="auto" w:sz="8" w:space="0"/>
            </w:tcBorders>
            <w:noWrap/>
            <w:vAlign w:val="center"/>
          </w:tcPr>
          <w:p>
            <w:pPr>
              <w:widowControl/>
              <w:jc w:val="center"/>
              <w:rPr>
                <w:rFonts w:eastAsia="仿宋_GB2312"/>
                <w:kern w:val="0"/>
                <w:sz w:val="24"/>
              </w:rPr>
            </w:pPr>
            <w:r>
              <w:rPr>
                <w:rFonts w:eastAsia="仿宋_GB2312"/>
                <w:kern w:val="0"/>
                <w:sz w:val="24"/>
              </w:rPr>
              <w:t>　</w:t>
            </w:r>
          </w:p>
        </w:tc>
      </w:tr>
      <w:tr>
        <w:tblPrEx>
          <w:tblCellMar>
            <w:top w:w="0" w:type="dxa"/>
            <w:left w:w="108" w:type="dxa"/>
            <w:bottom w:w="0" w:type="dxa"/>
            <w:right w:w="108" w:type="dxa"/>
          </w:tblCellMar>
        </w:tblPrEx>
        <w:trPr>
          <w:trHeight w:val="471" w:hRule="atLeast"/>
        </w:trPr>
        <w:tc>
          <w:tcPr>
            <w:tcW w:w="922" w:type="pct"/>
            <w:tcBorders>
              <w:top w:val="nil"/>
              <w:left w:val="single" w:color="auto" w:sz="8" w:space="0"/>
              <w:bottom w:val="single" w:color="auto" w:sz="4" w:space="0"/>
              <w:right w:val="single" w:color="auto" w:sz="4" w:space="0"/>
            </w:tcBorders>
            <w:noWrap/>
            <w:vAlign w:val="center"/>
          </w:tcPr>
          <w:p>
            <w:pPr>
              <w:widowControl/>
              <w:jc w:val="center"/>
              <w:rPr>
                <w:rFonts w:eastAsia="仿宋_GB2312"/>
                <w:kern w:val="0"/>
                <w:sz w:val="24"/>
              </w:rPr>
            </w:pPr>
            <w:r>
              <w:rPr>
                <w:rFonts w:eastAsia="仿宋_GB2312"/>
                <w:kern w:val="0"/>
                <w:sz w:val="24"/>
              </w:rPr>
              <w:t>供货单位</w:t>
            </w:r>
          </w:p>
        </w:tc>
        <w:tc>
          <w:tcPr>
            <w:tcW w:w="4078" w:type="pct"/>
            <w:gridSpan w:val="3"/>
            <w:tcBorders>
              <w:top w:val="single" w:color="auto" w:sz="4" w:space="0"/>
              <w:left w:val="nil"/>
              <w:bottom w:val="single" w:color="auto" w:sz="4" w:space="0"/>
              <w:right w:val="single" w:color="000000" w:sz="8" w:space="0"/>
            </w:tcBorders>
            <w:noWrap/>
            <w:vAlign w:val="center"/>
          </w:tcPr>
          <w:p>
            <w:pPr>
              <w:widowControl/>
              <w:jc w:val="center"/>
              <w:rPr>
                <w:rFonts w:eastAsia="仿宋_GB2312"/>
                <w:kern w:val="0"/>
                <w:sz w:val="24"/>
              </w:rPr>
            </w:pPr>
            <w:r>
              <w:rPr>
                <w:rFonts w:eastAsia="仿宋_GB2312"/>
                <w:kern w:val="0"/>
                <w:sz w:val="24"/>
              </w:rPr>
              <w:t>　</w:t>
            </w:r>
          </w:p>
        </w:tc>
      </w:tr>
      <w:tr>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pPr>
              <w:widowControl/>
              <w:jc w:val="center"/>
              <w:rPr>
                <w:rFonts w:eastAsia="仿宋_GB2312"/>
                <w:kern w:val="0"/>
                <w:sz w:val="24"/>
              </w:rPr>
            </w:pPr>
            <w:r>
              <w:rPr>
                <w:rFonts w:eastAsia="仿宋_GB2312"/>
                <w:kern w:val="0"/>
                <w:sz w:val="24"/>
              </w:rPr>
              <w:t>开户行</w:t>
            </w:r>
          </w:p>
        </w:tc>
        <w:tc>
          <w:tcPr>
            <w:tcW w:w="1349" w:type="pct"/>
            <w:tcBorders>
              <w:top w:val="nil"/>
              <w:left w:val="nil"/>
              <w:bottom w:val="single" w:color="auto" w:sz="4" w:space="0"/>
              <w:right w:val="single" w:color="auto" w:sz="4" w:space="0"/>
            </w:tcBorders>
            <w:noWrap/>
            <w:vAlign w:val="center"/>
          </w:tcPr>
          <w:p>
            <w:pPr>
              <w:widowControl/>
              <w:jc w:val="center"/>
              <w:rPr>
                <w:rFonts w:eastAsia="仿宋_GB2312"/>
                <w:kern w:val="0"/>
                <w:sz w:val="24"/>
              </w:rPr>
            </w:pPr>
            <w:r>
              <w:rPr>
                <w:rFonts w:eastAsia="仿宋_GB2312"/>
                <w:kern w:val="0"/>
                <w:sz w:val="24"/>
              </w:rPr>
              <w:t>　</w:t>
            </w:r>
          </w:p>
        </w:tc>
        <w:tc>
          <w:tcPr>
            <w:tcW w:w="1481" w:type="pct"/>
            <w:tcBorders>
              <w:top w:val="nil"/>
              <w:left w:val="nil"/>
              <w:bottom w:val="single" w:color="auto" w:sz="4" w:space="0"/>
              <w:right w:val="single" w:color="auto" w:sz="4" w:space="0"/>
            </w:tcBorders>
            <w:noWrap/>
            <w:vAlign w:val="center"/>
          </w:tcPr>
          <w:p>
            <w:pPr>
              <w:widowControl/>
              <w:jc w:val="center"/>
              <w:rPr>
                <w:rFonts w:eastAsia="仿宋_GB2312"/>
                <w:kern w:val="0"/>
                <w:sz w:val="24"/>
              </w:rPr>
            </w:pPr>
            <w:r>
              <w:rPr>
                <w:rFonts w:eastAsia="仿宋_GB2312"/>
                <w:kern w:val="0"/>
                <w:sz w:val="24"/>
              </w:rPr>
              <w:t>账号</w:t>
            </w:r>
          </w:p>
        </w:tc>
        <w:tc>
          <w:tcPr>
            <w:tcW w:w="1248" w:type="pct"/>
            <w:tcBorders>
              <w:top w:val="nil"/>
              <w:left w:val="nil"/>
              <w:bottom w:val="single" w:color="auto" w:sz="4" w:space="0"/>
              <w:right w:val="single" w:color="auto" w:sz="8" w:space="0"/>
            </w:tcBorders>
            <w:noWrap/>
            <w:vAlign w:val="center"/>
          </w:tcPr>
          <w:p>
            <w:pPr>
              <w:widowControl/>
              <w:jc w:val="center"/>
              <w:rPr>
                <w:rFonts w:eastAsia="仿宋_GB2312"/>
                <w:kern w:val="0"/>
                <w:sz w:val="24"/>
              </w:rPr>
            </w:pPr>
            <w:r>
              <w:rPr>
                <w:rFonts w:eastAsia="仿宋_GB2312"/>
                <w:kern w:val="0"/>
                <w:sz w:val="24"/>
              </w:rPr>
              <w:t>　</w:t>
            </w:r>
          </w:p>
        </w:tc>
      </w:tr>
      <w:tr>
        <w:tblPrEx>
          <w:tblCellMar>
            <w:top w:w="0" w:type="dxa"/>
            <w:left w:w="108" w:type="dxa"/>
            <w:bottom w:w="0" w:type="dxa"/>
            <w:right w:w="108" w:type="dxa"/>
          </w:tblCellMar>
        </w:tblPrEx>
        <w:trPr>
          <w:trHeight w:val="540" w:hRule="atLeast"/>
        </w:trPr>
        <w:tc>
          <w:tcPr>
            <w:tcW w:w="922" w:type="pct"/>
            <w:tcBorders>
              <w:top w:val="nil"/>
              <w:left w:val="single" w:color="auto" w:sz="8" w:space="0"/>
              <w:bottom w:val="nil"/>
              <w:right w:val="single" w:color="auto" w:sz="4" w:space="0"/>
            </w:tcBorders>
            <w:noWrap/>
            <w:vAlign w:val="center"/>
          </w:tcPr>
          <w:p>
            <w:pPr>
              <w:widowControl/>
              <w:jc w:val="center"/>
              <w:rPr>
                <w:rFonts w:eastAsia="仿宋_GB2312"/>
                <w:kern w:val="0"/>
                <w:sz w:val="24"/>
              </w:rPr>
            </w:pPr>
            <w:r>
              <w:rPr>
                <w:rFonts w:eastAsia="仿宋_GB2312"/>
                <w:kern w:val="0"/>
                <w:sz w:val="24"/>
              </w:rPr>
              <w:t>联系人</w:t>
            </w:r>
          </w:p>
        </w:tc>
        <w:tc>
          <w:tcPr>
            <w:tcW w:w="1349" w:type="pct"/>
            <w:tcBorders>
              <w:top w:val="nil"/>
              <w:left w:val="nil"/>
              <w:bottom w:val="nil"/>
              <w:right w:val="single" w:color="auto" w:sz="4" w:space="0"/>
            </w:tcBorders>
            <w:noWrap/>
            <w:vAlign w:val="center"/>
          </w:tcPr>
          <w:p>
            <w:pPr>
              <w:widowControl/>
              <w:jc w:val="center"/>
              <w:rPr>
                <w:rFonts w:eastAsia="仿宋_GB2312"/>
                <w:kern w:val="0"/>
                <w:sz w:val="24"/>
              </w:rPr>
            </w:pPr>
            <w:r>
              <w:rPr>
                <w:rFonts w:eastAsia="仿宋_GB2312"/>
                <w:kern w:val="0"/>
                <w:sz w:val="24"/>
              </w:rPr>
              <w:t>　</w:t>
            </w:r>
          </w:p>
        </w:tc>
        <w:tc>
          <w:tcPr>
            <w:tcW w:w="1481" w:type="pct"/>
            <w:tcBorders>
              <w:top w:val="nil"/>
              <w:left w:val="nil"/>
              <w:bottom w:val="nil"/>
              <w:right w:val="single" w:color="auto" w:sz="4" w:space="0"/>
            </w:tcBorders>
            <w:noWrap/>
            <w:vAlign w:val="center"/>
          </w:tcPr>
          <w:p>
            <w:pPr>
              <w:widowControl/>
              <w:jc w:val="center"/>
              <w:rPr>
                <w:rFonts w:eastAsia="仿宋_GB2312"/>
                <w:kern w:val="0"/>
                <w:sz w:val="24"/>
              </w:rPr>
            </w:pPr>
            <w:r>
              <w:rPr>
                <w:rFonts w:eastAsia="仿宋_GB2312"/>
                <w:kern w:val="0"/>
                <w:sz w:val="24"/>
              </w:rPr>
              <w:t>电话</w:t>
            </w:r>
          </w:p>
        </w:tc>
        <w:tc>
          <w:tcPr>
            <w:tcW w:w="1248" w:type="pct"/>
            <w:tcBorders>
              <w:top w:val="nil"/>
              <w:left w:val="nil"/>
              <w:bottom w:val="nil"/>
              <w:right w:val="single" w:color="auto" w:sz="8" w:space="0"/>
            </w:tcBorders>
            <w:noWrap/>
            <w:vAlign w:val="center"/>
          </w:tcPr>
          <w:p>
            <w:pPr>
              <w:widowControl/>
              <w:jc w:val="center"/>
              <w:rPr>
                <w:rFonts w:eastAsia="仿宋_GB2312"/>
                <w:kern w:val="0"/>
                <w:sz w:val="24"/>
              </w:rPr>
            </w:pPr>
            <w:r>
              <w:rPr>
                <w:rFonts w:eastAsia="仿宋_GB2312"/>
                <w:kern w:val="0"/>
                <w:sz w:val="24"/>
              </w:rPr>
              <w:t>　</w:t>
            </w:r>
          </w:p>
        </w:tc>
      </w:tr>
      <w:tr>
        <w:tblPrEx>
          <w:tblCellMar>
            <w:top w:w="0" w:type="dxa"/>
            <w:left w:w="108" w:type="dxa"/>
            <w:bottom w:w="0" w:type="dxa"/>
            <w:right w:w="108" w:type="dxa"/>
          </w:tblCellMar>
        </w:tblPrEx>
        <w:trPr>
          <w:trHeight w:val="880" w:hRule="atLeast"/>
        </w:trPr>
        <w:tc>
          <w:tcPr>
            <w:tcW w:w="2271" w:type="pct"/>
            <w:gridSpan w:val="2"/>
            <w:tcBorders>
              <w:top w:val="single" w:color="auto" w:sz="4" w:space="0"/>
              <w:left w:val="single" w:color="auto" w:sz="8" w:space="0"/>
              <w:bottom w:val="nil"/>
              <w:right w:val="nil"/>
            </w:tcBorders>
            <w:noWrap w:val="0"/>
            <w:vAlign w:val="top"/>
          </w:tcPr>
          <w:p>
            <w:pPr>
              <w:widowControl/>
              <w:jc w:val="left"/>
              <w:rPr>
                <w:rFonts w:eastAsia="仿宋_GB2312"/>
                <w:kern w:val="0"/>
                <w:sz w:val="24"/>
              </w:rPr>
            </w:pPr>
            <w:r>
              <w:rPr>
                <w:rFonts w:eastAsia="仿宋_GB2312"/>
                <w:kern w:val="0"/>
                <w:sz w:val="24"/>
              </w:rPr>
              <w:t xml:space="preserve">  供货单位：（盖章）</w:t>
            </w:r>
          </w:p>
        </w:tc>
        <w:tc>
          <w:tcPr>
            <w:tcW w:w="2729" w:type="pct"/>
            <w:gridSpan w:val="2"/>
            <w:tcBorders>
              <w:top w:val="single" w:color="auto" w:sz="4" w:space="0"/>
              <w:left w:val="single" w:color="auto" w:sz="4" w:space="0"/>
              <w:bottom w:val="nil"/>
              <w:right w:val="single" w:color="000000" w:sz="8" w:space="0"/>
            </w:tcBorders>
            <w:noWrap w:val="0"/>
            <w:vAlign w:val="top"/>
          </w:tcPr>
          <w:p>
            <w:pPr>
              <w:widowControl/>
              <w:jc w:val="left"/>
              <w:rPr>
                <w:rFonts w:eastAsia="仿宋_GB2312"/>
                <w:kern w:val="0"/>
                <w:sz w:val="24"/>
              </w:rPr>
            </w:pPr>
            <w:r>
              <w:rPr>
                <w:rFonts w:eastAsia="仿宋_GB2312"/>
                <w:kern w:val="0"/>
                <w:sz w:val="24"/>
              </w:rPr>
              <w:t xml:space="preserve">   使用单位验收意见：（盖章）</w:t>
            </w:r>
          </w:p>
          <w:p>
            <w:pPr>
              <w:rPr>
                <w:rFonts w:eastAsia="仿宋_GB2312"/>
                <w:sz w:val="24"/>
              </w:rPr>
            </w:pPr>
          </w:p>
        </w:tc>
      </w:tr>
      <w:tr>
        <w:tblPrEx>
          <w:tblCellMar>
            <w:top w:w="0" w:type="dxa"/>
            <w:left w:w="108" w:type="dxa"/>
            <w:bottom w:w="0" w:type="dxa"/>
            <w:right w:w="108" w:type="dxa"/>
          </w:tblCellMar>
        </w:tblPrEx>
        <w:trPr>
          <w:trHeight w:val="480" w:hRule="atLeast"/>
        </w:trPr>
        <w:tc>
          <w:tcPr>
            <w:tcW w:w="922" w:type="pct"/>
            <w:tcBorders>
              <w:top w:val="nil"/>
              <w:left w:val="single" w:color="auto" w:sz="8" w:space="0"/>
              <w:bottom w:val="nil"/>
              <w:right w:val="nil"/>
            </w:tcBorders>
            <w:noWrap/>
            <w:vAlign w:val="center"/>
          </w:tcPr>
          <w:p>
            <w:pPr>
              <w:widowControl/>
              <w:jc w:val="center"/>
              <w:rPr>
                <w:rFonts w:eastAsia="仿宋_GB2312"/>
                <w:kern w:val="0"/>
                <w:sz w:val="24"/>
              </w:rPr>
            </w:pPr>
            <w:r>
              <w:rPr>
                <w:rFonts w:eastAsia="仿宋_GB2312"/>
                <w:kern w:val="0"/>
                <w:sz w:val="24"/>
              </w:rPr>
              <w:t xml:space="preserve"> 签字：</w:t>
            </w:r>
          </w:p>
        </w:tc>
        <w:tc>
          <w:tcPr>
            <w:tcW w:w="1349" w:type="pct"/>
            <w:tcBorders>
              <w:top w:val="nil"/>
              <w:left w:val="nil"/>
              <w:bottom w:val="nil"/>
              <w:right w:val="nil"/>
            </w:tcBorders>
            <w:noWrap/>
            <w:vAlign w:val="center"/>
          </w:tcPr>
          <w:p>
            <w:pPr>
              <w:widowControl/>
              <w:jc w:val="center"/>
              <w:rPr>
                <w:rFonts w:eastAsia="仿宋_GB2312"/>
                <w:kern w:val="0"/>
                <w:sz w:val="24"/>
              </w:rPr>
            </w:pPr>
          </w:p>
        </w:tc>
        <w:tc>
          <w:tcPr>
            <w:tcW w:w="1481" w:type="pct"/>
            <w:tcBorders>
              <w:top w:val="nil"/>
              <w:left w:val="single" w:color="auto" w:sz="4" w:space="0"/>
              <w:bottom w:val="nil"/>
              <w:right w:val="nil"/>
            </w:tcBorders>
            <w:noWrap/>
            <w:vAlign w:val="center"/>
          </w:tcPr>
          <w:p>
            <w:pPr>
              <w:widowControl/>
              <w:jc w:val="center"/>
              <w:rPr>
                <w:rFonts w:eastAsia="仿宋_GB2312"/>
                <w:kern w:val="0"/>
                <w:sz w:val="24"/>
              </w:rPr>
            </w:pPr>
            <w:r>
              <w:rPr>
                <w:rFonts w:eastAsia="仿宋_GB2312"/>
                <w:kern w:val="0"/>
                <w:sz w:val="24"/>
              </w:rPr>
              <w:t>签字：</w:t>
            </w:r>
          </w:p>
        </w:tc>
        <w:tc>
          <w:tcPr>
            <w:tcW w:w="1248" w:type="pct"/>
            <w:tcBorders>
              <w:top w:val="nil"/>
              <w:left w:val="nil"/>
              <w:bottom w:val="nil"/>
              <w:right w:val="single" w:color="auto" w:sz="8" w:space="0"/>
            </w:tcBorders>
            <w:noWrap w:val="0"/>
            <w:vAlign w:val="top"/>
          </w:tcPr>
          <w:p>
            <w:pPr>
              <w:widowControl/>
              <w:jc w:val="left"/>
              <w:rPr>
                <w:rFonts w:eastAsia="仿宋_GB2312"/>
                <w:kern w:val="0"/>
                <w:sz w:val="24"/>
              </w:rPr>
            </w:pPr>
            <w:r>
              <w:rPr>
                <w:rFonts w:eastAsia="仿宋_GB2312"/>
                <w:kern w:val="0"/>
                <w:sz w:val="24"/>
              </w:rPr>
              <w:t>　</w:t>
            </w:r>
          </w:p>
        </w:tc>
      </w:tr>
      <w:tr>
        <w:tblPrEx>
          <w:tblCellMar>
            <w:top w:w="0" w:type="dxa"/>
            <w:left w:w="108" w:type="dxa"/>
            <w:bottom w:w="0" w:type="dxa"/>
            <w:right w:w="108" w:type="dxa"/>
          </w:tblCellMar>
        </w:tblPrEx>
        <w:trPr>
          <w:trHeight w:val="78" w:hRule="atLeast"/>
        </w:trPr>
        <w:tc>
          <w:tcPr>
            <w:tcW w:w="922" w:type="pct"/>
            <w:tcBorders>
              <w:top w:val="nil"/>
              <w:left w:val="single" w:color="auto" w:sz="8" w:space="0"/>
              <w:bottom w:val="single" w:color="auto" w:sz="4" w:space="0"/>
              <w:right w:val="nil"/>
            </w:tcBorders>
            <w:noWrap/>
            <w:vAlign w:val="center"/>
          </w:tcPr>
          <w:p>
            <w:pPr>
              <w:widowControl/>
              <w:jc w:val="left"/>
              <w:rPr>
                <w:rFonts w:eastAsia="仿宋_GB2312"/>
                <w:kern w:val="0"/>
                <w:sz w:val="22"/>
                <w:szCs w:val="22"/>
              </w:rPr>
            </w:pPr>
            <w:r>
              <w:rPr>
                <w:rFonts w:eastAsia="仿宋_GB2312"/>
                <w:kern w:val="0"/>
                <w:sz w:val="22"/>
                <w:szCs w:val="22"/>
              </w:rPr>
              <w:t>　</w:t>
            </w:r>
          </w:p>
        </w:tc>
        <w:tc>
          <w:tcPr>
            <w:tcW w:w="1349" w:type="pct"/>
            <w:tcBorders>
              <w:top w:val="nil"/>
              <w:left w:val="nil"/>
              <w:bottom w:val="single" w:color="auto" w:sz="4" w:space="0"/>
              <w:right w:val="nil"/>
            </w:tcBorders>
            <w:noWrap w:val="0"/>
            <w:vAlign w:val="bottom"/>
          </w:tcPr>
          <w:p>
            <w:pPr>
              <w:widowControl/>
              <w:jc w:val="right"/>
              <w:rPr>
                <w:rFonts w:eastAsia="仿宋_GB2312"/>
                <w:kern w:val="0"/>
                <w:sz w:val="22"/>
                <w:szCs w:val="22"/>
              </w:rPr>
            </w:pPr>
            <w:r>
              <w:rPr>
                <w:rFonts w:eastAsia="仿宋_GB2312"/>
                <w:kern w:val="0"/>
                <w:sz w:val="22"/>
                <w:szCs w:val="22"/>
              </w:rPr>
              <w:t>年     月   日</w:t>
            </w:r>
          </w:p>
        </w:tc>
        <w:tc>
          <w:tcPr>
            <w:tcW w:w="1481" w:type="pct"/>
            <w:tcBorders>
              <w:top w:val="nil"/>
              <w:left w:val="single" w:color="auto" w:sz="4" w:space="0"/>
              <w:bottom w:val="single" w:color="auto" w:sz="4" w:space="0"/>
              <w:right w:val="nil"/>
            </w:tcBorders>
            <w:noWrap/>
            <w:vAlign w:val="center"/>
          </w:tcPr>
          <w:p>
            <w:pPr>
              <w:widowControl/>
              <w:jc w:val="left"/>
              <w:rPr>
                <w:rFonts w:eastAsia="仿宋_GB2312"/>
                <w:kern w:val="0"/>
                <w:sz w:val="22"/>
                <w:szCs w:val="22"/>
              </w:rPr>
            </w:pPr>
            <w:r>
              <w:rPr>
                <w:rFonts w:eastAsia="仿宋_GB2312"/>
                <w:kern w:val="0"/>
                <w:sz w:val="22"/>
                <w:szCs w:val="22"/>
              </w:rPr>
              <w:t>　</w:t>
            </w:r>
          </w:p>
        </w:tc>
        <w:tc>
          <w:tcPr>
            <w:tcW w:w="1248" w:type="pct"/>
            <w:tcBorders>
              <w:top w:val="nil"/>
              <w:left w:val="nil"/>
              <w:bottom w:val="single" w:color="auto" w:sz="4" w:space="0"/>
              <w:right w:val="single" w:color="auto" w:sz="8" w:space="0"/>
            </w:tcBorders>
            <w:noWrap w:val="0"/>
            <w:vAlign w:val="bottom"/>
          </w:tcPr>
          <w:p>
            <w:pPr>
              <w:widowControl/>
              <w:jc w:val="right"/>
              <w:rPr>
                <w:rFonts w:eastAsia="仿宋_GB2312"/>
                <w:kern w:val="0"/>
                <w:sz w:val="22"/>
                <w:szCs w:val="22"/>
              </w:rPr>
            </w:pPr>
            <w:r>
              <w:rPr>
                <w:rFonts w:eastAsia="仿宋_GB2312"/>
                <w:kern w:val="0"/>
                <w:sz w:val="22"/>
                <w:szCs w:val="22"/>
              </w:rPr>
              <w:t>年   月   日</w:t>
            </w:r>
          </w:p>
        </w:tc>
      </w:tr>
      <w:tr>
        <w:tblPrEx>
          <w:tblCellMar>
            <w:top w:w="0" w:type="dxa"/>
            <w:left w:w="108" w:type="dxa"/>
            <w:bottom w:w="0" w:type="dxa"/>
            <w:right w:w="108" w:type="dxa"/>
          </w:tblCellMar>
        </w:tblPrEx>
        <w:trPr>
          <w:trHeight w:val="603" w:hRule="atLeast"/>
        </w:trPr>
        <w:tc>
          <w:tcPr>
            <w:tcW w:w="5000" w:type="pct"/>
            <w:gridSpan w:val="4"/>
            <w:tcBorders>
              <w:top w:val="single" w:color="auto" w:sz="4" w:space="0"/>
              <w:left w:val="single" w:color="auto" w:sz="8" w:space="0"/>
              <w:bottom w:val="single" w:color="auto" w:sz="4" w:space="0"/>
              <w:right w:val="single" w:color="000000" w:sz="8" w:space="0"/>
            </w:tcBorders>
            <w:noWrap/>
            <w:vAlign w:val="center"/>
          </w:tcPr>
          <w:p>
            <w:pPr>
              <w:widowControl/>
              <w:jc w:val="center"/>
              <w:rPr>
                <w:rFonts w:eastAsia="仿宋_GB2312"/>
                <w:kern w:val="0"/>
                <w:sz w:val="22"/>
                <w:szCs w:val="22"/>
              </w:rPr>
            </w:pPr>
            <w:r>
              <w:rPr>
                <w:rFonts w:eastAsia="仿宋_GB2312"/>
                <w:kern w:val="0"/>
                <w:sz w:val="22"/>
                <w:szCs w:val="22"/>
              </w:rPr>
              <w:t>采购内容</w:t>
            </w:r>
          </w:p>
        </w:tc>
      </w:tr>
      <w:tr>
        <w:tblPrEx>
          <w:tblCellMar>
            <w:top w:w="0" w:type="dxa"/>
            <w:left w:w="108" w:type="dxa"/>
            <w:bottom w:w="0" w:type="dxa"/>
            <w:right w:w="108" w:type="dxa"/>
          </w:tblCellMar>
        </w:tblPrEx>
        <w:trPr>
          <w:trHeight w:val="1975" w:hRule="atLeast"/>
        </w:trPr>
        <w:tc>
          <w:tcPr>
            <w:tcW w:w="5000" w:type="pct"/>
            <w:gridSpan w:val="4"/>
            <w:tcBorders>
              <w:top w:val="single" w:color="auto" w:sz="4" w:space="0"/>
              <w:left w:val="single" w:color="auto" w:sz="8" w:space="0"/>
              <w:bottom w:val="single" w:color="auto" w:sz="8" w:space="0"/>
              <w:right w:val="single" w:color="000000" w:sz="8" w:space="0"/>
            </w:tcBorders>
            <w:noWrap w:val="0"/>
            <w:vAlign w:val="top"/>
          </w:tcPr>
          <w:p>
            <w:pPr>
              <w:widowControl/>
              <w:jc w:val="center"/>
              <w:rPr>
                <w:rFonts w:eastAsia="仿宋_GB2312"/>
                <w:kern w:val="0"/>
                <w:sz w:val="28"/>
                <w:szCs w:val="28"/>
              </w:rPr>
            </w:pPr>
            <w:r>
              <w:rPr>
                <w:rFonts w:eastAsia="仿宋_GB2312"/>
                <w:kern w:val="0"/>
                <w:sz w:val="28"/>
                <w:szCs w:val="28"/>
              </w:rPr>
              <w:t>采购内容请列明品目、规格、型号、数量、单价、总价</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2000000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966C3C"/>
    <w:multiLevelType w:val="singleLevel"/>
    <w:tmpl w:val="30966C3C"/>
    <w:lvl w:ilvl="0" w:tentative="0">
      <w:start w:val="4"/>
      <w:numFmt w:val="chineseCounting"/>
      <w:suff w:val="nothing"/>
      <w:lvlText w:val="%1、"/>
      <w:lvlJc w:val="left"/>
      <w:rPr>
        <w:rFonts w:hint="eastAsia"/>
      </w:rPr>
    </w:lvl>
  </w:abstractNum>
  <w:abstractNum w:abstractNumId="1">
    <w:nsid w:val="5440B547"/>
    <w:multiLevelType w:val="singleLevel"/>
    <w:tmpl w:val="5440B547"/>
    <w:lvl w:ilvl="0" w:tentative="0">
      <w:start w:val="1"/>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UwNzZjOGEzZmJlOGM3MDc3NDJiYWQwZjFhNjhhZjAifQ=="/>
  </w:docVars>
  <w:rsids>
    <w:rsidRoot w:val="6A526157"/>
    <w:rsid w:val="6A526157"/>
    <w:rsid w:val="76DA5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7"/>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lock Text"/>
    <w:basedOn w:val="1"/>
    <w:qFormat/>
    <w:uiPriority w:val="0"/>
    <w:pPr>
      <w:widowControl/>
      <w:ind w:left="720" w:right="-48" w:hanging="720"/>
    </w:pPr>
    <w:rPr>
      <w:kern w:val="0"/>
      <w:sz w:val="20"/>
      <w:szCs w:val="20"/>
    </w:rPr>
  </w:style>
  <w:style w:type="paragraph" w:styleId="4">
    <w:name w:val="Body Text"/>
    <w:basedOn w:val="1"/>
    <w:next w:val="1"/>
    <w:qFormat/>
    <w:uiPriority w:val="0"/>
    <w:pPr>
      <w:tabs>
        <w:tab w:val="left" w:pos="567"/>
      </w:tabs>
      <w:spacing w:before="120" w:line="22" w:lineRule="atLeast"/>
    </w:pPr>
    <w:rPr>
      <w:rFonts w:ascii="宋体" w:hAnsi="宋体"/>
      <w:sz w:val="24"/>
    </w:rPr>
  </w:style>
  <w:style w:type="character" w:customStyle="1" w:styleId="7">
    <w:name w:val="标题 1 Char"/>
    <w:link w:val="3"/>
    <w:qFormat/>
    <w:uiPriority w:val="0"/>
    <w:rPr>
      <w:rFonts w:ascii="宋体"/>
      <w:b/>
      <w:kern w:val="44"/>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2023-08-25T02:44:00Z</dcterms:created>
  <dc:creator>沉默</dc:creator>
  <cp:lastModifiedBy>沉默</cp:lastModifiedBy>
  <dcterms:modified xsi:type="dcterms:W3CDTF">2023-08-25T04:21:58Z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2BB604DC22864CA8B18D48FF818F5BB3_11</vt:lpwstr>
  </property>
</Properties>
</file>