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line="480" w:lineRule="auto"/>
        <w:rPr>
          <w:rFonts w:hint="eastAsia" w:cs="仿宋" w:asciiTheme="majorEastAsia" w:hAnsiTheme="majorEastAsia" w:eastAsiaTheme="majorEastAsia"/>
          <w:b/>
          <w:bCs/>
          <w:sz w:val="28"/>
          <w:szCs w:val="21"/>
        </w:rPr>
      </w:pPr>
    </w:p>
    <w:p>
      <w:pPr>
        <w:shd w:val="clear" w:color="auto" w:fill="FFFFFF"/>
        <w:snapToGrid w:val="0"/>
        <w:spacing w:line="480" w:lineRule="auto"/>
        <w:rPr>
          <w:rFonts w:hint="eastAsia" w:cs="仿宋_GB2312" w:asciiTheme="majorEastAsia" w:hAnsiTheme="majorEastAsia" w:eastAsiaTheme="majorEastAsia"/>
        </w:rPr>
      </w:pPr>
      <w:r>
        <w:rPr>
          <w:rFonts w:hint="eastAsia" w:cs="仿宋_GB2312" w:asciiTheme="majorEastAsia" w:hAnsiTheme="majorEastAsia" w:eastAsiaTheme="majorEastAsia"/>
          <w:b/>
          <w:bCs/>
        </w:rPr>
        <w:t>甲方：</w:t>
      </w:r>
      <w:r>
        <w:rPr>
          <w:rFonts w:hint="eastAsia" w:cs="仿宋_GB2312" w:asciiTheme="majorEastAsia" w:hAnsiTheme="majorEastAsia" w:eastAsiaTheme="majorEastAsia"/>
          <w:u w:val="single"/>
        </w:rPr>
        <w:t xml:space="preserve">   </w:t>
      </w:r>
      <w:r>
        <w:rPr>
          <w:rFonts w:hint="eastAsia" w:cs="仿宋_GB2312" w:asciiTheme="majorEastAsia" w:hAnsiTheme="majorEastAsia" w:eastAsiaTheme="majorEastAsia"/>
          <w:bCs/>
          <w:u w:val="single"/>
        </w:rPr>
        <w:t xml:space="preserve">                          </w:t>
      </w:r>
      <w:r>
        <w:rPr>
          <w:rFonts w:hint="eastAsia" w:cs="仿宋_GB2312" w:asciiTheme="majorEastAsia" w:hAnsiTheme="majorEastAsia" w:eastAsiaTheme="majorEastAsia"/>
          <w:u w:val="single"/>
        </w:rPr>
        <w:t xml:space="preserve">       </w:t>
      </w:r>
    </w:p>
    <w:p>
      <w:pPr>
        <w:shd w:val="clear" w:color="auto" w:fill="FFFFFF"/>
        <w:snapToGrid w:val="0"/>
        <w:spacing w:line="360" w:lineRule="auto"/>
        <w:rPr>
          <w:rFonts w:hint="eastAsia" w:cs="仿宋_GB2312" w:asciiTheme="majorEastAsia" w:hAnsiTheme="majorEastAsia" w:eastAsiaTheme="majorEastAsia"/>
        </w:rPr>
      </w:pPr>
      <w:r>
        <w:rPr>
          <w:rFonts w:hint="eastAsia" w:cs="仿宋_GB2312" w:asciiTheme="majorEastAsia" w:hAnsiTheme="majorEastAsia" w:eastAsiaTheme="majorEastAsia"/>
          <w:b/>
          <w:bCs/>
        </w:rPr>
        <w:t>乙方：</w:t>
      </w:r>
      <w:r>
        <w:rPr>
          <w:rFonts w:hint="eastAsia" w:cs="仿宋_GB2312" w:asciiTheme="majorEastAsia" w:hAnsiTheme="majorEastAsia" w:eastAsiaTheme="majorEastAsia"/>
          <w:u w:val="single"/>
        </w:rPr>
        <w:t xml:space="preserve">                                    </w:t>
      </w:r>
    </w:p>
    <w:p>
      <w:pPr>
        <w:shd w:val="clear" w:color="auto" w:fill="FFFFFF"/>
        <w:snapToGrid w:val="0"/>
        <w:spacing w:line="360" w:lineRule="auto"/>
        <w:ind w:firstLine="600" w:firstLineChars="250"/>
        <w:jc w:val="left"/>
        <w:rPr>
          <w:rFonts w:hint="eastAsia" w:cs="仿宋_GB2312" w:asciiTheme="majorEastAsia" w:hAnsiTheme="majorEastAsia" w:eastAsiaTheme="majorEastAsia"/>
        </w:rPr>
      </w:pPr>
      <w:r>
        <w:rPr>
          <w:rFonts w:hint="eastAsia" w:cs="仿宋_GB2312" w:asciiTheme="majorEastAsia" w:hAnsiTheme="majorEastAsia" w:eastAsiaTheme="majorEastAsia"/>
        </w:rPr>
        <w:t>依据《中华人民共和国民法典》及其他有关法律法规，遵循平等、自愿、公平和诚实信用的原则，甲、乙双方就</w:t>
      </w:r>
      <w:r>
        <w:rPr>
          <w:rFonts w:hint="eastAsia" w:cs="仿宋_GB2312" w:asciiTheme="majorEastAsia" w:hAnsiTheme="majorEastAsia" w:eastAsiaTheme="majorEastAsia"/>
          <w:u w:val="single"/>
        </w:rPr>
        <w:t xml:space="preserve">                              </w:t>
      </w:r>
      <w:r>
        <w:rPr>
          <w:rFonts w:hint="eastAsia" w:cs="仿宋_GB2312" w:asciiTheme="majorEastAsia" w:hAnsiTheme="majorEastAsia" w:eastAsiaTheme="majorEastAsia"/>
        </w:rPr>
        <w:t>相关事项达成一致意见，订立本合同。</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一、服务范围</w:t>
      </w:r>
    </w:p>
    <w:p>
      <w:pPr>
        <w:shd w:val="clear" w:color="auto" w:fill="FFFFFF"/>
        <w:snapToGrid w:val="0"/>
        <w:spacing w:line="360" w:lineRule="auto"/>
        <w:ind w:firstLine="480" w:firstLineChars="200"/>
        <w:rPr>
          <w:rFonts w:hint="eastAsia" w:cs="仿宋_GB2312" w:asciiTheme="majorEastAsia" w:hAnsiTheme="majorEastAsia" w:eastAsiaTheme="majorEastAsia"/>
          <w:u w:val="single"/>
        </w:rPr>
      </w:pPr>
      <w:r>
        <w:rPr>
          <w:rFonts w:hint="eastAsia" w:cs="仿宋_GB2312" w:asciiTheme="majorEastAsia" w:hAnsiTheme="majorEastAsia" w:eastAsiaTheme="majorEastAsia"/>
        </w:rPr>
        <w:t>本项目包括如下内容：</w:t>
      </w:r>
      <w:r>
        <w:rPr>
          <w:rFonts w:hint="eastAsia" w:cs="仿宋_GB2312" w:asciiTheme="majorEastAsia" w:hAnsiTheme="majorEastAsia" w:eastAsiaTheme="majorEastAsia"/>
          <w:u w:val="single"/>
        </w:rPr>
        <w:t xml:space="preserve">              </w:t>
      </w:r>
    </w:p>
    <w:p>
      <w:pPr>
        <w:spacing w:line="360" w:lineRule="auto"/>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二、项目租赁期限</w:t>
      </w:r>
    </w:p>
    <w:p>
      <w:pPr>
        <w:shd w:val="clear" w:color="auto" w:fill="FFFFFF"/>
        <w:snapToGrid w:val="0"/>
        <w:spacing w:line="360" w:lineRule="auto"/>
        <w:ind w:firstLine="480" w:firstLineChars="200"/>
        <w:rPr>
          <w:rFonts w:hint="eastAsia" w:cs="仿宋_GB2312" w:asciiTheme="majorEastAsia" w:hAnsiTheme="majorEastAsia" w:eastAsiaTheme="majorEastAsia"/>
          <w:highlight w:val="none"/>
        </w:rPr>
      </w:pPr>
      <w:r>
        <w:rPr>
          <w:rFonts w:hint="eastAsia" w:cs="仿宋_GB2312" w:asciiTheme="majorEastAsia" w:hAnsiTheme="majorEastAsia" w:eastAsiaTheme="majorEastAsia"/>
        </w:rPr>
        <w:t>本项目</w:t>
      </w:r>
      <w:r>
        <w:rPr>
          <w:rFonts w:hint="eastAsia" w:cs="仿宋_GB2312" w:asciiTheme="majorEastAsia" w:hAnsiTheme="majorEastAsia" w:eastAsiaTheme="majorEastAsia"/>
          <w:bCs/>
        </w:rPr>
        <w:t>租赁期限</w:t>
      </w:r>
      <w:r>
        <w:rPr>
          <w:rFonts w:hint="eastAsia" w:cs="仿宋_GB2312" w:asciiTheme="majorEastAsia" w:hAnsiTheme="majorEastAsia" w:eastAsiaTheme="majorEastAsia"/>
        </w:rPr>
        <w:t>为：</w:t>
      </w:r>
      <w:r>
        <w:rPr>
          <w:rFonts w:hint="eastAsia" w:cs="仿宋_GB2312" w:asciiTheme="majorEastAsia" w:hAnsiTheme="majorEastAsia" w:eastAsiaTheme="majorEastAsia"/>
          <w:highlight w:val="none"/>
          <w:lang w:val="en-US" w:eastAsia="zh-CN"/>
        </w:rPr>
        <w:t>365日</w:t>
      </w:r>
      <w:r>
        <w:rPr>
          <w:rFonts w:hint="eastAsia" w:cs="仿宋_GB2312" w:asciiTheme="majorEastAsia" w:hAnsiTheme="majorEastAsia" w:eastAsiaTheme="majorEastAsia"/>
          <w:highlight w:val="none"/>
        </w:rPr>
        <w:t>。</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三、合同文件及解释</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合同协议书</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成交通知书</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竞争性磋商文件及澄清补遗文件</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成交单位磋商响应文件</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技术标准、规范。</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其他合同文件</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四、合同价款、结算与支付</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1、本合同总价款</w:t>
      </w:r>
    </w:p>
    <w:p>
      <w:pPr>
        <w:shd w:val="clear" w:color="auto" w:fill="FFFFFF"/>
        <w:snapToGrid w:val="0"/>
        <w:spacing w:line="360" w:lineRule="auto"/>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本合同总价款为</w:t>
      </w:r>
      <w:r>
        <w:rPr>
          <w:rFonts w:hint="eastAsia" w:cs="仿宋_GB2312" w:asciiTheme="majorEastAsia" w:hAnsiTheme="majorEastAsia" w:eastAsiaTheme="majorEastAsia"/>
          <w:b/>
          <w:kern w:val="28"/>
          <w:u w:val="single"/>
        </w:rPr>
        <w:t>RMB            （人民币大写：         )</w:t>
      </w:r>
      <w:r>
        <w:rPr>
          <w:rFonts w:hint="eastAsia" w:cs="仿宋_GB2312" w:asciiTheme="majorEastAsia" w:hAnsiTheme="majorEastAsia" w:eastAsiaTheme="majorEastAsia"/>
          <w:kern w:val="28"/>
        </w:rPr>
        <w:t>该合同总价包括承接甲方项目所承担的全过程的一切费用</w:t>
      </w:r>
      <w:r>
        <w:rPr>
          <w:rFonts w:hint="eastAsia" w:cs="仿宋_GB2312" w:asciiTheme="majorEastAsia" w:hAnsiTheme="majorEastAsia" w:eastAsiaTheme="majorEastAsia"/>
        </w:rPr>
        <w:t>；</w:t>
      </w:r>
      <w:r>
        <w:rPr>
          <w:rFonts w:hint="eastAsia" w:cs="仿宋_GB2312" w:asciiTheme="majorEastAsia" w:hAnsiTheme="majorEastAsia" w:eastAsiaTheme="majorEastAsia"/>
          <w:kern w:val="28"/>
        </w:rPr>
        <w:t>合同</w:t>
      </w:r>
      <w:r>
        <w:rPr>
          <w:rFonts w:hint="eastAsia" w:cs="仿宋_GB2312" w:asciiTheme="majorEastAsia" w:hAnsiTheme="majorEastAsia" w:eastAsiaTheme="majorEastAsia"/>
        </w:rPr>
        <w:t>综合单价</w:t>
      </w:r>
      <w:r>
        <w:rPr>
          <w:rFonts w:hint="eastAsia" w:cs="仿宋_GB2312" w:asciiTheme="majorEastAsia" w:hAnsiTheme="majorEastAsia" w:eastAsiaTheme="majorEastAsia"/>
          <w:kern w:val="28"/>
        </w:rPr>
        <w:t>每平方米每月</w:t>
      </w:r>
      <w:r>
        <w:rPr>
          <w:rFonts w:cs="仿宋_GB2312" w:asciiTheme="majorEastAsia" w:hAnsiTheme="majorEastAsia" w:eastAsiaTheme="majorEastAsia"/>
          <w:kern w:val="28"/>
          <w:u w:val="single"/>
        </w:rPr>
        <w:t xml:space="preserve">   </w:t>
      </w:r>
      <w:r>
        <w:rPr>
          <w:rFonts w:hint="eastAsia" w:cs="仿宋_GB2312" w:asciiTheme="majorEastAsia" w:hAnsiTheme="majorEastAsia" w:eastAsiaTheme="majorEastAsia"/>
          <w:kern w:val="28"/>
          <w:u w:val="single"/>
        </w:rPr>
        <w:t xml:space="preserve">   </w:t>
      </w:r>
      <w:r>
        <w:rPr>
          <w:rFonts w:cs="仿宋_GB2312" w:asciiTheme="majorEastAsia" w:hAnsiTheme="majorEastAsia" w:eastAsiaTheme="majorEastAsia"/>
          <w:kern w:val="28"/>
          <w:u w:val="single"/>
        </w:rPr>
        <w:t xml:space="preserve"> </w:t>
      </w:r>
      <w:r>
        <w:rPr>
          <w:rFonts w:hint="eastAsia" w:cs="仿宋_GB2312" w:asciiTheme="majorEastAsia" w:hAnsiTheme="majorEastAsia" w:eastAsiaTheme="majorEastAsia"/>
          <w:kern w:val="28"/>
        </w:rPr>
        <w:t>元。</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0"/>
        <w:gridCol w:w="1350"/>
        <w:gridCol w:w="960"/>
        <w:gridCol w:w="765"/>
        <w:gridCol w:w="1005"/>
        <w:gridCol w:w="1515"/>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序号</w:t>
            </w:r>
          </w:p>
        </w:tc>
        <w:tc>
          <w:tcPr>
            <w:tcW w:w="1410"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服务名称</w:t>
            </w:r>
          </w:p>
        </w:tc>
        <w:tc>
          <w:tcPr>
            <w:tcW w:w="1350"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主要技术/服务指标</w:t>
            </w:r>
          </w:p>
        </w:tc>
        <w:tc>
          <w:tcPr>
            <w:tcW w:w="960"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单位</w:t>
            </w:r>
          </w:p>
        </w:tc>
        <w:tc>
          <w:tcPr>
            <w:tcW w:w="765"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数量</w:t>
            </w:r>
          </w:p>
        </w:tc>
        <w:tc>
          <w:tcPr>
            <w:tcW w:w="1005"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单价（元）</w:t>
            </w:r>
          </w:p>
        </w:tc>
        <w:tc>
          <w:tcPr>
            <w:tcW w:w="1515"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合价（元）</w:t>
            </w:r>
          </w:p>
        </w:tc>
        <w:tc>
          <w:tcPr>
            <w:tcW w:w="1345"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1</w:t>
            </w:r>
          </w:p>
        </w:tc>
        <w:tc>
          <w:tcPr>
            <w:tcW w:w="1410" w:type="dxa"/>
            <w:vAlign w:val="center"/>
          </w:tcPr>
          <w:p>
            <w:pPr>
              <w:spacing w:line="440" w:lineRule="exact"/>
              <w:jc w:val="center"/>
              <w:rPr>
                <w:rFonts w:hint="eastAsia" w:cs="仿宋_GB2312" w:asciiTheme="majorEastAsia" w:hAnsiTheme="majorEastAsia" w:eastAsiaTheme="majorEastAsia"/>
                <w:bCs/>
              </w:rPr>
            </w:pPr>
          </w:p>
        </w:tc>
        <w:tc>
          <w:tcPr>
            <w:tcW w:w="1350" w:type="dxa"/>
            <w:vAlign w:val="center"/>
          </w:tcPr>
          <w:p>
            <w:pPr>
              <w:spacing w:line="440" w:lineRule="exact"/>
              <w:jc w:val="center"/>
              <w:rPr>
                <w:rFonts w:hint="eastAsia" w:cs="仿宋_GB2312" w:asciiTheme="majorEastAsia" w:hAnsiTheme="majorEastAsia" w:eastAsiaTheme="majorEastAsia"/>
                <w:bCs/>
              </w:rPr>
            </w:pPr>
          </w:p>
        </w:tc>
        <w:tc>
          <w:tcPr>
            <w:tcW w:w="960" w:type="dxa"/>
            <w:vAlign w:val="center"/>
          </w:tcPr>
          <w:p>
            <w:pPr>
              <w:spacing w:line="440" w:lineRule="exact"/>
              <w:jc w:val="center"/>
              <w:rPr>
                <w:rFonts w:hint="eastAsia" w:cs="仿宋_GB2312" w:asciiTheme="majorEastAsia" w:hAnsiTheme="majorEastAsia" w:eastAsiaTheme="majorEastAsia"/>
                <w:bCs/>
              </w:rPr>
            </w:pPr>
          </w:p>
        </w:tc>
        <w:tc>
          <w:tcPr>
            <w:tcW w:w="765" w:type="dxa"/>
            <w:vAlign w:val="center"/>
          </w:tcPr>
          <w:p>
            <w:pPr>
              <w:spacing w:line="440" w:lineRule="exact"/>
              <w:jc w:val="center"/>
              <w:rPr>
                <w:rFonts w:hint="eastAsia" w:cs="仿宋_GB2312" w:asciiTheme="majorEastAsia" w:hAnsiTheme="majorEastAsia" w:eastAsiaTheme="majorEastAsia"/>
                <w:bCs/>
              </w:rPr>
            </w:pPr>
          </w:p>
        </w:tc>
        <w:tc>
          <w:tcPr>
            <w:tcW w:w="1005" w:type="dxa"/>
            <w:vAlign w:val="center"/>
          </w:tcPr>
          <w:p>
            <w:pPr>
              <w:spacing w:line="440" w:lineRule="exact"/>
              <w:jc w:val="center"/>
              <w:rPr>
                <w:rFonts w:hint="eastAsia" w:cs="仿宋_GB2312" w:asciiTheme="majorEastAsia" w:hAnsiTheme="majorEastAsia" w:eastAsiaTheme="majorEastAsia"/>
                <w:bCs/>
              </w:rPr>
            </w:pPr>
          </w:p>
        </w:tc>
        <w:tc>
          <w:tcPr>
            <w:tcW w:w="1515" w:type="dxa"/>
            <w:vAlign w:val="center"/>
          </w:tcPr>
          <w:p>
            <w:pPr>
              <w:spacing w:line="440" w:lineRule="exact"/>
              <w:jc w:val="center"/>
              <w:rPr>
                <w:rFonts w:hint="eastAsia" w:cs="仿宋_GB2312" w:asciiTheme="majorEastAsia" w:hAnsiTheme="majorEastAsia" w:eastAsiaTheme="majorEastAsia"/>
                <w:bCs/>
              </w:rPr>
            </w:pPr>
          </w:p>
        </w:tc>
        <w:tc>
          <w:tcPr>
            <w:tcW w:w="1345" w:type="dxa"/>
            <w:vAlign w:val="center"/>
          </w:tcPr>
          <w:p>
            <w:pPr>
              <w:spacing w:line="440" w:lineRule="exact"/>
              <w:jc w:val="center"/>
              <w:rPr>
                <w:rFonts w:hint="eastAsia" w:cs="仿宋_GB2312" w:asciiTheme="majorEastAsia" w:hAnsiTheme="majorEastAsia" w:eastAsiaTheme="maj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2</w:t>
            </w:r>
          </w:p>
        </w:tc>
        <w:tc>
          <w:tcPr>
            <w:tcW w:w="1410" w:type="dxa"/>
            <w:vAlign w:val="center"/>
          </w:tcPr>
          <w:p>
            <w:pPr>
              <w:spacing w:line="440" w:lineRule="exact"/>
              <w:jc w:val="center"/>
              <w:rPr>
                <w:rFonts w:hint="eastAsia" w:cs="仿宋_GB2312" w:asciiTheme="majorEastAsia" w:hAnsiTheme="majorEastAsia" w:eastAsiaTheme="majorEastAsia"/>
                <w:bCs/>
              </w:rPr>
            </w:pPr>
          </w:p>
        </w:tc>
        <w:tc>
          <w:tcPr>
            <w:tcW w:w="1350" w:type="dxa"/>
            <w:vAlign w:val="center"/>
          </w:tcPr>
          <w:p>
            <w:pPr>
              <w:spacing w:line="440" w:lineRule="exact"/>
              <w:jc w:val="center"/>
              <w:rPr>
                <w:rFonts w:hint="eastAsia" w:cs="仿宋_GB2312" w:asciiTheme="majorEastAsia" w:hAnsiTheme="majorEastAsia" w:eastAsiaTheme="majorEastAsia"/>
                <w:bCs/>
              </w:rPr>
            </w:pPr>
          </w:p>
        </w:tc>
        <w:tc>
          <w:tcPr>
            <w:tcW w:w="960" w:type="dxa"/>
            <w:vAlign w:val="center"/>
          </w:tcPr>
          <w:p>
            <w:pPr>
              <w:spacing w:line="440" w:lineRule="exact"/>
              <w:jc w:val="center"/>
              <w:rPr>
                <w:rFonts w:hint="eastAsia" w:cs="仿宋_GB2312" w:asciiTheme="majorEastAsia" w:hAnsiTheme="majorEastAsia" w:eastAsiaTheme="majorEastAsia"/>
                <w:bCs/>
              </w:rPr>
            </w:pPr>
          </w:p>
        </w:tc>
        <w:tc>
          <w:tcPr>
            <w:tcW w:w="765" w:type="dxa"/>
            <w:vAlign w:val="center"/>
          </w:tcPr>
          <w:p>
            <w:pPr>
              <w:spacing w:line="440" w:lineRule="exact"/>
              <w:jc w:val="center"/>
              <w:rPr>
                <w:rFonts w:hint="eastAsia" w:cs="仿宋_GB2312" w:asciiTheme="majorEastAsia" w:hAnsiTheme="majorEastAsia" w:eastAsiaTheme="majorEastAsia"/>
                <w:bCs/>
              </w:rPr>
            </w:pPr>
          </w:p>
        </w:tc>
        <w:tc>
          <w:tcPr>
            <w:tcW w:w="1005" w:type="dxa"/>
            <w:vAlign w:val="center"/>
          </w:tcPr>
          <w:p>
            <w:pPr>
              <w:spacing w:line="440" w:lineRule="exact"/>
              <w:jc w:val="center"/>
              <w:rPr>
                <w:rFonts w:hint="eastAsia" w:cs="仿宋_GB2312" w:asciiTheme="majorEastAsia" w:hAnsiTheme="majorEastAsia" w:eastAsiaTheme="majorEastAsia"/>
                <w:bCs/>
              </w:rPr>
            </w:pPr>
          </w:p>
        </w:tc>
        <w:tc>
          <w:tcPr>
            <w:tcW w:w="1515" w:type="dxa"/>
            <w:vAlign w:val="center"/>
          </w:tcPr>
          <w:p>
            <w:pPr>
              <w:spacing w:line="440" w:lineRule="exact"/>
              <w:jc w:val="center"/>
              <w:rPr>
                <w:rFonts w:hint="eastAsia" w:cs="仿宋_GB2312" w:asciiTheme="majorEastAsia" w:hAnsiTheme="majorEastAsia" w:eastAsiaTheme="majorEastAsia"/>
                <w:bCs/>
              </w:rPr>
            </w:pPr>
          </w:p>
        </w:tc>
        <w:tc>
          <w:tcPr>
            <w:tcW w:w="1345" w:type="dxa"/>
            <w:vAlign w:val="center"/>
          </w:tcPr>
          <w:p>
            <w:pPr>
              <w:spacing w:line="440" w:lineRule="exact"/>
              <w:jc w:val="center"/>
              <w:rPr>
                <w:rFonts w:hint="eastAsia" w:cs="仿宋_GB2312" w:asciiTheme="majorEastAsia" w:hAnsiTheme="majorEastAsia" w:eastAsiaTheme="maj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6" w:type="dxa"/>
            <w:gridSpan w:val="2"/>
            <w:vAlign w:val="center"/>
          </w:tcPr>
          <w:p>
            <w:pPr>
              <w:spacing w:line="440" w:lineRule="exact"/>
              <w:jc w:val="center"/>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合计金额（元）</w:t>
            </w:r>
          </w:p>
        </w:tc>
        <w:tc>
          <w:tcPr>
            <w:tcW w:w="1350"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大写</w:t>
            </w:r>
          </w:p>
        </w:tc>
        <w:tc>
          <w:tcPr>
            <w:tcW w:w="2730" w:type="dxa"/>
            <w:gridSpan w:val="3"/>
            <w:vAlign w:val="center"/>
          </w:tcPr>
          <w:p>
            <w:pPr>
              <w:spacing w:line="440" w:lineRule="exact"/>
              <w:jc w:val="center"/>
              <w:rPr>
                <w:rFonts w:hint="eastAsia" w:cs="仿宋_GB2312" w:asciiTheme="majorEastAsia" w:hAnsiTheme="majorEastAsia" w:eastAsiaTheme="majorEastAsia"/>
                <w:bCs/>
              </w:rPr>
            </w:pPr>
          </w:p>
        </w:tc>
        <w:tc>
          <w:tcPr>
            <w:tcW w:w="1515" w:type="dxa"/>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小写</w:t>
            </w:r>
          </w:p>
        </w:tc>
        <w:tc>
          <w:tcPr>
            <w:tcW w:w="1345" w:type="dxa"/>
            <w:vAlign w:val="center"/>
          </w:tcPr>
          <w:p>
            <w:pPr>
              <w:spacing w:line="440" w:lineRule="exact"/>
              <w:jc w:val="center"/>
              <w:rPr>
                <w:rFonts w:hint="eastAsia" w:cs="仿宋_GB2312" w:asciiTheme="majorEastAsia" w:hAnsiTheme="majorEastAsia" w:eastAsiaTheme="maj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2256" w:type="dxa"/>
            <w:gridSpan w:val="2"/>
            <w:vAlign w:val="center"/>
          </w:tcPr>
          <w:p>
            <w:pPr>
              <w:spacing w:line="360" w:lineRule="auto"/>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租赁期限</w:t>
            </w:r>
          </w:p>
        </w:tc>
        <w:tc>
          <w:tcPr>
            <w:tcW w:w="6940" w:type="dxa"/>
            <w:gridSpan w:val="6"/>
            <w:vAlign w:val="center"/>
          </w:tcPr>
          <w:p>
            <w:pPr>
              <w:spacing w:line="440" w:lineRule="exact"/>
              <w:jc w:val="center"/>
              <w:rPr>
                <w:rFonts w:hint="eastAsia" w:cs="仿宋_GB2312" w:asciiTheme="majorEastAsia" w:hAnsiTheme="majorEastAsia" w:eastAsiaTheme="maj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6" w:type="dxa"/>
            <w:gridSpan w:val="2"/>
            <w:vAlign w:val="center"/>
          </w:tcPr>
          <w:p>
            <w:pPr>
              <w:spacing w:line="440" w:lineRule="exact"/>
              <w:jc w:val="center"/>
              <w:rPr>
                <w:rFonts w:hint="eastAsia" w:cs="仿宋_GB2312" w:asciiTheme="majorEastAsia" w:hAnsiTheme="majorEastAsia" w:eastAsiaTheme="majorEastAsia"/>
                <w:bCs/>
              </w:rPr>
            </w:pPr>
            <w:r>
              <w:rPr>
                <w:rFonts w:hint="eastAsia" w:cs="仿宋_GB2312" w:asciiTheme="majorEastAsia" w:hAnsiTheme="majorEastAsia" w:eastAsiaTheme="majorEastAsia"/>
                <w:bCs/>
              </w:rPr>
              <w:t>其它</w:t>
            </w:r>
          </w:p>
        </w:tc>
        <w:tc>
          <w:tcPr>
            <w:tcW w:w="6940" w:type="dxa"/>
            <w:gridSpan w:val="6"/>
            <w:vAlign w:val="center"/>
          </w:tcPr>
          <w:p>
            <w:pPr>
              <w:spacing w:line="440" w:lineRule="exact"/>
              <w:jc w:val="center"/>
              <w:rPr>
                <w:rFonts w:hint="eastAsia" w:cs="仿宋_GB2312" w:asciiTheme="majorEastAsia" w:hAnsiTheme="majorEastAsia" w:eastAsiaTheme="majorEastAsia"/>
                <w:bCs/>
              </w:rPr>
            </w:pPr>
          </w:p>
        </w:tc>
      </w:tr>
    </w:tbl>
    <w:p>
      <w:pPr>
        <w:shd w:val="clear" w:color="auto" w:fill="FFFFFF"/>
        <w:snapToGrid w:val="0"/>
        <w:spacing w:line="360" w:lineRule="auto"/>
        <w:rPr>
          <w:rFonts w:hint="eastAsia" w:cs="仿宋_GB2312" w:asciiTheme="majorEastAsia" w:hAnsiTheme="majorEastAsia" w:eastAsiaTheme="majorEastAsia"/>
        </w:rPr>
      </w:pPr>
      <w:r>
        <w:rPr>
          <w:rFonts w:hint="eastAsia" w:cs="仿宋_GB2312" w:asciiTheme="majorEastAsia" w:hAnsiTheme="majorEastAsia" w:eastAsiaTheme="majorEastAsia"/>
          <w:kern w:val="28"/>
        </w:rPr>
        <w:t>2、付款方式:</w:t>
      </w:r>
      <w:r>
        <w:rPr>
          <w:rFonts w:hint="eastAsia" w:cs="仿宋_GB2312" w:asciiTheme="majorEastAsia" w:hAnsiTheme="majorEastAsia" w:eastAsiaTheme="majorEastAsia"/>
          <w:kern w:val="28"/>
          <w:u w:val="single"/>
        </w:rPr>
        <w:t xml:space="preserve">                   </w:t>
      </w:r>
      <w:r>
        <w:rPr>
          <w:rFonts w:hint="eastAsia" w:cs="仿宋_GB2312" w:asciiTheme="majorEastAsia" w:hAnsiTheme="majorEastAsia" w:eastAsiaTheme="majorEastAsia"/>
        </w:rPr>
        <w:t>。</w:t>
      </w:r>
    </w:p>
    <w:p>
      <w:pPr>
        <w:snapToGrid w:val="0"/>
        <w:spacing w:line="360" w:lineRule="auto"/>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3、结算：</w:t>
      </w:r>
    </w:p>
    <w:p>
      <w:pPr>
        <w:snapToGrid w:val="0"/>
        <w:spacing w:line="360" w:lineRule="auto"/>
        <w:rPr>
          <w:rFonts w:cs="仿宋_GB2312" w:asciiTheme="majorEastAsia" w:hAnsiTheme="majorEastAsia" w:eastAsiaTheme="majorEastAsia"/>
          <w:kern w:val="28"/>
        </w:rPr>
      </w:pPr>
      <w:r>
        <w:rPr>
          <w:rFonts w:hint="eastAsia" w:cs="仿宋_GB2312" w:asciiTheme="majorEastAsia" w:hAnsiTheme="majorEastAsia" w:eastAsiaTheme="majorEastAsia"/>
          <w:kern w:val="28"/>
        </w:rPr>
        <w:t>1).合同签订后，达到药监局认可，冷库具备搬迁条件后，达到付款条件起20日内，支付合同总金额的50.00%。</w:t>
      </w:r>
    </w:p>
    <w:p>
      <w:pPr>
        <w:shd w:val="clear" w:color="auto" w:fill="FFFFFF"/>
        <w:snapToGrid w:val="0"/>
        <w:spacing w:line="360" w:lineRule="auto"/>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2).第六个月底提出付款申请，达到付款条件20日内，支付合同总金额的50.00%。</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五、权利与义务</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（一）承租方的权利与义务</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rPr>
        <w:t>1</w:t>
      </w:r>
      <w:r>
        <w:rPr>
          <w:rFonts w:hint="eastAsia" w:cs="仿宋" w:asciiTheme="majorEastAsia" w:hAnsiTheme="majorEastAsia" w:eastAsiaTheme="majorEastAsia"/>
          <w:lang w:val="en-US" w:eastAsia="zh-CN"/>
        </w:rPr>
        <w:t>.</w:t>
      </w:r>
      <w:r>
        <w:rPr>
          <w:rFonts w:hint="eastAsia" w:cs="仿宋" w:asciiTheme="majorEastAsia" w:hAnsiTheme="majorEastAsia" w:eastAsiaTheme="majorEastAsia"/>
        </w:rPr>
        <w:t>按规定时间及时、足额缴纳房屋租金。</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lang w:val="en-US" w:eastAsia="zh-CN"/>
        </w:rPr>
        <w:t>2.</w:t>
      </w:r>
      <w:r>
        <w:rPr>
          <w:rFonts w:hint="eastAsia" w:cs="仿宋" w:asciiTheme="majorEastAsia" w:hAnsiTheme="majorEastAsia" w:eastAsiaTheme="majorEastAsia"/>
        </w:rPr>
        <w:t>不得在共用楼道内堆放物品或从事与租房用途无关的活动或任何非法活动。</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lang w:val="en-US" w:eastAsia="zh-CN"/>
        </w:rPr>
        <w:t>3.承租</w:t>
      </w:r>
      <w:r>
        <w:rPr>
          <w:rFonts w:hint="eastAsia" w:cs="仿宋" w:asciiTheme="majorEastAsia" w:hAnsiTheme="majorEastAsia" w:eastAsiaTheme="majorEastAsia"/>
        </w:rPr>
        <w:t>期满不可因拆除装修造成承租房屋及配套设施的损坏，否则应承担赔偿责任。</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lang w:val="en-US" w:eastAsia="zh-CN"/>
        </w:rPr>
        <w:t>4.</w:t>
      </w:r>
      <w:r>
        <w:rPr>
          <w:rFonts w:hint="eastAsia" w:cs="仿宋" w:asciiTheme="majorEastAsia" w:hAnsiTheme="majorEastAsia" w:eastAsiaTheme="majorEastAsia"/>
        </w:rPr>
        <w:t>因承租</w:t>
      </w:r>
      <w:r>
        <w:rPr>
          <w:rFonts w:hint="eastAsia" w:cs="仿宋" w:asciiTheme="majorEastAsia" w:hAnsiTheme="majorEastAsia" w:eastAsiaTheme="majorEastAsia"/>
          <w:lang w:eastAsia="zh-CN"/>
        </w:rPr>
        <w:t>方</w:t>
      </w:r>
      <w:r>
        <w:rPr>
          <w:rFonts w:hint="eastAsia" w:cs="仿宋" w:asciiTheme="majorEastAsia" w:hAnsiTheme="majorEastAsia" w:eastAsiaTheme="majorEastAsia"/>
        </w:rPr>
        <w:t>原因造成房屋和附属设施损坏的，承租</w:t>
      </w:r>
      <w:r>
        <w:rPr>
          <w:rFonts w:hint="eastAsia" w:cs="仿宋" w:asciiTheme="majorEastAsia" w:hAnsiTheme="majorEastAsia" w:eastAsiaTheme="majorEastAsia"/>
          <w:lang w:eastAsia="zh-CN"/>
        </w:rPr>
        <w:t>方</w:t>
      </w:r>
      <w:r>
        <w:rPr>
          <w:rFonts w:hint="eastAsia" w:cs="仿宋" w:asciiTheme="majorEastAsia" w:hAnsiTheme="majorEastAsia" w:eastAsiaTheme="majorEastAsia"/>
        </w:rPr>
        <w:t>应当立即以书面形式报租赁方，并应当根据承租方的要求进行维修或者赔偿。</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lang w:val="en-US" w:eastAsia="zh-CN"/>
        </w:rPr>
        <w:t>5.</w:t>
      </w:r>
      <w:r>
        <w:rPr>
          <w:rFonts w:hint="eastAsia" w:cs="仿宋" w:asciiTheme="majorEastAsia" w:hAnsiTheme="majorEastAsia" w:eastAsiaTheme="majorEastAsia"/>
        </w:rPr>
        <w:t>承租</w:t>
      </w:r>
      <w:r>
        <w:rPr>
          <w:rFonts w:hint="eastAsia" w:cs="仿宋" w:asciiTheme="majorEastAsia" w:hAnsiTheme="majorEastAsia" w:eastAsiaTheme="majorEastAsia"/>
          <w:lang w:eastAsia="zh-CN"/>
        </w:rPr>
        <w:t>方</w:t>
      </w:r>
      <w:r>
        <w:rPr>
          <w:rFonts w:hint="eastAsia" w:cs="仿宋" w:asciiTheme="majorEastAsia" w:hAnsiTheme="majorEastAsia" w:eastAsiaTheme="majorEastAsia"/>
        </w:rPr>
        <w:t>在房屋使用中，严格遵守国家、省、市安全生产的各项法律法规及规章制度，严格落实消防安全责任，服从消防安全管理，落实安全生产目标责任书。服从物业公司管理，遵守乙方、物业公司制定的各项规章制度。</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（二）租赁方的权利与义务</w:t>
      </w:r>
    </w:p>
    <w:p>
      <w:pPr>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rPr>
        <w:t>1.租赁方须保证该房屋权属真实无争议，且房屋财产的共有人对出售此房屋无异议。若发生与承租方有关的权属纠纷或债务纠纷，由租赁方负责解决并承担一切后果及违约责任。若租赁方房产不符合国家的政策法规及有关规定，承租方有权解除合同，租赁方承担</w:t>
      </w:r>
      <w:r>
        <w:rPr>
          <w:rFonts w:hint="eastAsia" w:cs="仿宋_GB2312" w:asciiTheme="majorEastAsia" w:hAnsiTheme="majorEastAsia" w:eastAsiaTheme="majorEastAsia"/>
          <w:lang w:eastAsia="zh-CN"/>
        </w:rPr>
        <w:t>全部</w:t>
      </w:r>
      <w:r>
        <w:rPr>
          <w:rFonts w:hint="eastAsia" w:cs="仿宋_GB2312" w:asciiTheme="majorEastAsia" w:hAnsiTheme="majorEastAsia" w:eastAsiaTheme="majorEastAsia"/>
        </w:rPr>
        <w:t>责任。 </w:t>
      </w:r>
    </w:p>
    <w:p>
      <w:pPr>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rPr>
        <w:t>2.交房时租赁方应保证配套设施的正常使用，并完整地交付给</w:t>
      </w:r>
      <w:r>
        <w:rPr>
          <w:rFonts w:hint="eastAsia" w:cs="仿宋" w:asciiTheme="majorEastAsia" w:hAnsiTheme="majorEastAsia" w:eastAsiaTheme="majorEastAsia"/>
        </w:rPr>
        <w:t>承租</w:t>
      </w:r>
      <w:r>
        <w:rPr>
          <w:rFonts w:hint="eastAsia" w:cs="仿宋" w:asciiTheme="majorEastAsia" w:hAnsiTheme="majorEastAsia" w:eastAsiaTheme="majorEastAsia"/>
          <w:lang w:eastAsia="zh-CN"/>
        </w:rPr>
        <w:t>方</w:t>
      </w:r>
      <w:r>
        <w:rPr>
          <w:rFonts w:hint="eastAsia" w:cs="仿宋_GB2312" w:asciiTheme="majorEastAsia" w:hAnsiTheme="majorEastAsia" w:eastAsiaTheme="majorEastAsia"/>
        </w:rPr>
        <w:t>。</w:t>
      </w:r>
    </w:p>
    <w:p>
      <w:pPr>
        <w:spacing w:line="360" w:lineRule="auto"/>
        <w:ind w:firstLine="480" w:firstLineChars="200"/>
        <w:rPr>
          <w:rFonts w:hint="eastAsia" w:cs="仿宋" w:asciiTheme="majorEastAsia" w:hAnsiTheme="majorEastAsia" w:eastAsiaTheme="majorEastAsia"/>
        </w:rPr>
      </w:pPr>
      <w:r>
        <w:rPr>
          <w:rFonts w:hint="eastAsia" w:cs="仿宋" w:asciiTheme="majorEastAsia" w:hAnsiTheme="majorEastAsia" w:eastAsiaTheme="majorEastAsia"/>
          <w:lang w:val="en-US" w:eastAsia="zh-CN"/>
        </w:rPr>
        <w:t>3.所有房屋的设施及水电、气、暖、物业费、通讯费等由租赁方负责。自交付的次日起，房屋及其配套设施物品损坏或所发生费用（除租期内出现房屋质量问题外）由租赁方自行承担。因上述事故给相邻各方造成的损失也应由租赁方负责，如地震、战争、恐怖袭击等不可抗力因素造成的后果双方均不承担责任。</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六、质量要求、技术标准</w:t>
      </w:r>
    </w:p>
    <w:p>
      <w:pPr>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rPr>
        <w:t>1、质量要求：严格执行国家及行业标准规范。</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七、服务要求:</w:t>
      </w:r>
      <w:r>
        <w:rPr>
          <w:rFonts w:hint="eastAsia" w:cs="仿宋_GB2312" w:asciiTheme="majorEastAsia" w:hAnsiTheme="majorEastAsia" w:eastAsiaTheme="majorEastAsia"/>
        </w:rPr>
        <w:t>根据采购人要求。</w:t>
      </w:r>
    </w:p>
    <w:p>
      <w:pPr>
        <w:spacing w:line="360" w:lineRule="auto"/>
        <w:ind w:left="-8"/>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八、服务地点:</w:t>
      </w:r>
      <w:r>
        <w:rPr>
          <w:rFonts w:hint="eastAsia" w:cs="仿宋_GB2312" w:asciiTheme="majorEastAsia" w:hAnsiTheme="majorEastAsia" w:eastAsiaTheme="majorEastAsia"/>
        </w:rPr>
        <w:t>采购人</w:t>
      </w:r>
      <w:r>
        <w:rPr>
          <w:rFonts w:hint="eastAsia" w:cs="仿宋_GB2312" w:asciiTheme="majorEastAsia" w:hAnsiTheme="majorEastAsia" w:eastAsiaTheme="majorEastAsia"/>
          <w:bCs/>
        </w:rPr>
        <w:t>指定地点。</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九、项目验收:</w:t>
      </w:r>
      <w:r>
        <w:rPr>
          <w:rFonts w:hint="eastAsia" w:cs="仿宋_GB2312" w:asciiTheme="majorEastAsia" w:hAnsiTheme="majorEastAsia" w:eastAsiaTheme="majorEastAsia"/>
          <w:kern w:val="28"/>
        </w:rPr>
        <w:t>经</w:t>
      </w:r>
      <w:r>
        <w:rPr>
          <w:rFonts w:hint="eastAsia" w:cs="仿宋_GB2312" w:asciiTheme="majorEastAsia" w:hAnsiTheme="majorEastAsia" w:eastAsiaTheme="majorEastAsia"/>
        </w:rPr>
        <w:t>采购人</w:t>
      </w:r>
      <w:r>
        <w:rPr>
          <w:rFonts w:hint="eastAsia" w:cs="仿宋_GB2312" w:asciiTheme="majorEastAsia" w:hAnsiTheme="majorEastAsia" w:eastAsiaTheme="majorEastAsia"/>
          <w:kern w:val="28"/>
        </w:rPr>
        <w:t>考评，达到药监局认可,考评合格后结算合同价款</w:t>
      </w:r>
      <w:r>
        <w:rPr>
          <w:rFonts w:hint="eastAsia" w:cs="仿宋_GB2312" w:asciiTheme="majorEastAsia" w:hAnsiTheme="majorEastAsia" w:eastAsiaTheme="majorEastAsia"/>
        </w:rPr>
        <w:t>。</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十、保密条款</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双方承诺，除非法律另有规定或双方一致同意，任何一方不得将本协议的内容向第三方透露，否则，应向对方承担相应的违约责任。</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本协议中，保密资料是指任何一方所有的与披露方现有的潜在的业务、运营或财务状况直接或间接有关的书面、演示、电子、或其他形式的资料（包括：</w:t>
      </w:r>
      <w:r>
        <w:rPr>
          <w:rFonts w:hint="eastAsia" w:cs="仿宋_GB2312" w:asciiTheme="majorEastAsia" w:hAnsiTheme="majorEastAsia" w:eastAsiaTheme="majorEastAsia"/>
          <w:kern w:val="28"/>
          <w:lang w:eastAsia="zh-CN"/>
        </w:rPr>
        <w:t>产品品类、规格、数量、入库量。出库量、</w:t>
      </w:r>
      <w:r>
        <w:rPr>
          <w:rFonts w:hint="eastAsia" w:cs="仿宋_GB2312" w:asciiTheme="majorEastAsia" w:hAnsiTheme="majorEastAsia" w:eastAsiaTheme="majorEastAsia"/>
          <w:kern w:val="28"/>
        </w:rPr>
        <w:t>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十一、违约责任</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1、如甲方未能按照合同约定支付款项，每延迟一天应承担当期应付款</w:t>
      </w:r>
      <w:r>
        <w:rPr>
          <w:rFonts w:hint="eastAsia" w:cs="仿宋_GB2312" w:asciiTheme="majorEastAsia" w:hAnsiTheme="majorEastAsia" w:eastAsiaTheme="majorEastAsia"/>
          <w:kern w:val="28"/>
          <w:lang w:val="en-US" w:eastAsia="zh-CN"/>
        </w:rPr>
        <w:t>1</w:t>
      </w:r>
      <w:r>
        <w:rPr>
          <w:rFonts w:hint="eastAsia" w:cs="仿宋_GB2312" w:asciiTheme="majorEastAsia" w:hAnsiTheme="majorEastAsia" w:eastAsiaTheme="majorEastAsia"/>
          <w:kern w:val="28"/>
        </w:rPr>
        <w:t>‰的违约金，违约金累计不超过当期应付款</w:t>
      </w:r>
      <w:r>
        <w:rPr>
          <w:rFonts w:hint="eastAsia" w:cs="仿宋_GB2312" w:asciiTheme="majorEastAsia" w:hAnsiTheme="majorEastAsia" w:eastAsiaTheme="majorEastAsia"/>
          <w:kern w:val="28"/>
          <w:lang w:val="en-US" w:eastAsia="zh-CN"/>
        </w:rPr>
        <w:t>30</w:t>
      </w:r>
      <w:r>
        <w:rPr>
          <w:rFonts w:hint="eastAsia" w:cs="仿宋_GB2312" w:asciiTheme="majorEastAsia" w:hAnsiTheme="majorEastAsia" w:eastAsiaTheme="majorEastAsia"/>
          <w:kern w:val="28"/>
        </w:rPr>
        <w:t>%。若违约金累计已达上限，而甲方仍未按合同约定支付款项的，乙方有权立即终止本合同，并停止系统运行，由此给乙方带来的直接损失及间接损失应由甲方进行赔付。</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2、乙方应按照合同规定的期限完成系统建设，每延迟一天应承担当期应付款</w:t>
      </w:r>
      <w:r>
        <w:rPr>
          <w:rFonts w:hint="eastAsia" w:cs="仿宋_GB2312" w:asciiTheme="majorEastAsia" w:hAnsiTheme="majorEastAsia" w:eastAsiaTheme="majorEastAsia"/>
          <w:kern w:val="28"/>
          <w:lang w:val="en-US" w:eastAsia="zh-CN"/>
        </w:rPr>
        <w:t>1</w:t>
      </w:r>
      <w:r>
        <w:rPr>
          <w:rFonts w:hint="eastAsia" w:cs="仿宋_GB2312" w:asciiTheme="majorEastAsia" w:hAnsiTheme="majorEastAsia" w:eastAsiaTheme="majorEastAsia"/>
          <w:kern w:val="28"/>
        </w:rPr>
        <w:t>‰的违约金，违约金累计不超过当期应付款</w:t>
      </w:r>
      <w:r>
        <w:rPr>
          <w:rFonts w:hint="eastAsia" w:cs="仿宋_GB2312" w:asciiTheme="majorEastAsia" w:hAnsiTheme="majorEastAsia" w:eastAsiaTheme="majorEastAsia"/>
          <w:kern w:val="28"/>
          <w:lang w:val="en-US" w:eastAsia="zh-CN"/>
        </w:rPr>
        <w:t>3</w:t>
      </w:r>
      <w:r>
        <w:rPr>
          <w:rFonts w:hint="eastAsia" w:cs="仿宋_GB2312" w:asciiTheme="majorEastAsia" w:hAnsiTheme="majorEastAsia" w:eastAsiaTheme="majorEastAsia"/>
          <w:kern w:val="28"/>
        </w:rPr>
        <w:t>0%。若违约金累计已达上限，乙方仍未履行，甲方有权解除合同。</w:t>
      </w:r>
    </w:p>
    <w:p>
      <w:pPr>
        <w:shd w:val="clear" w:color="auto" w:fill="FFFFFF"/>
        <w:snapToGrid w:val="0"/>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kern w:val="28"/>
        </w:rPr>
        <w:t>3</w:t>
      </w:r>
      <w:r>
        <w:rPr>
          <w:rFonts w:hint="eastAsia" w:cs="仿宋_GB2312" w:asciiTheme="majorEastAsia" w:hAnsiTheme="majorEastAsia" w:eastAsiaTheme="majorEastAsia"/>
        </w:rPr>
        <w:t xml:space="preserve">、甲、乙双方中任何一方违反本合同第十条保密条款的，应当向相对方支付合同总价款 </w:t>
      </w:r>
      <w:r>
        <w:rPr>
          <w:rFonts w:hint="eastAsia" w:cs="仿宋_GB2312" w:asciiTheme="majorEastAsia" w:hAnsiTheme="majorEastAsia" w:eastAsiaTheme="majorEastAsia"/>
          <w:u w:val="single"/>
          <w:lang w:val="en-US" w:eastAsia="zh-CN"/>
        </w:rPr>
        <w:t>30</w:t>
      </w:r>
      <w:r>
        <w:rPr>
          <w:rFonts w:hint="eastAsia" w:cs="仿宋_GB2312" w:asciiTheme="majorEastAsia" w:hAnsiTheme="majorEastAsia" w:eastAsiaTheme="majorEastAsia"/>
          <w:u w:val="single"/>
        </w:rPr>
        <w:t>%</w:t>
      </w:r>
      <w:r>
        <w:rPr>
          <w:rFonts w:hint="eastAsia" w:cs="仿宋_GB2312" w:asciiTheme="majorEastAsia" w:hAnsiTheme="majorEastAsia" w:eastAsiaTheme="majorEastAsia"/>
        </w:rPr>
        <w:t>的违约金。</w:t>
      </w:r>
    </w:p>
    <w:p>
      <w:pPr>
        <w:shd w:val="clear" w:color="auto" w:fill="FFFFFF"/>
        <w:snapToGrid w:val="0"/>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rPr>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Pr>
          <w:rFonts w:hint="eastAsia" w:cs="仿宋_GB2312" w:asciiTheme="majorEastAsia" w:hAnsiTheme="majorEastAsia" w:eastAsiaTheme="majorEastAsia"/>
          <w:u w:val="single"/>
        </w:rPr>
        <w:t>责</w:t>
      </w:r>
      <w:r>
        <w:rPr>
          <w:rFonts w:hint="eastAsia" w:cs="仿宋_GB2312" w:asciiTheme="majorEastAsia" w:hAnsiTheme="majorEastAsia" w:eastAsiaTheme="majorEastAsia"/>
        </w:rPr>
        <w:t xml:space="preserve">任，乙方还应向甲方承担合同总价款 </w:t>
      </w:r>
      <w:r>
        <w:rPr>
          <w:rFonts w:hint="eastAsia" w:cs="仿宋_GB2312" w:asciiTheme="majorEastAsia" w:hAnsiTheme="majorEastAsia" w:eastAsiaTheme="majorEastAsia"/>
          <w:u w:val="single"/>
          <w:lang w:val="en-US" w:eastAsia="zh-CN"/>
        </w:rPr>
        <w:t>30</w:t>
      </w:r>
      <w:bookmarkStart w:id="0" w:name="_GoBack"/>
      <w:bookmarkEnd w:id="0"/>
      <w:r>
        <w:rPr>
          <w:rFonts w:hint="eastAsia" w:cs="仿宋_GB2312" w:asciiTheme="majorEastAsia" w:hAnsiTheme="majorEastAsia" w:eastAsiaTheme="majorEastAsia"/>
          <w:u w:val="single"/>
        </w:rPr>
        <w:t xml:space="preserve"> %</w:t>
      </w:r>
      <w:r>
        <w:rPr>
          <w:rFonts w:hint="eastAsia" w:cs="仿宋_GB2312" w:asciiTheme="majorEastAsia" w:hAnsiTheme="majorEastAsia" w:eastAsiaTheme="majorEastAsia"/>
        </w:rPr>
        <w:t>的违约金，违约金不足以弥补给甲方造成的损失的，乙方还应当承担补足责任。</w:t>
      </w:r>
    </w:p>
    <w:p>
      <w:pPr>
        <w:shd w:val="clear" w:color="auto" w:fill="FFFFFF"/>
        <w:snapToGrid w:val="0"/>
        <w:spacing w:line="360" w:lineRule="auto"/>
        <w:ind w:firstLine="480" w:firstLineChars="200"/>
        <w:rPr>
          <w:rFonts w:hint="eastAsia" w:cs="仿宋_GB2312" w:asciiTheme="majorEastAsia" w:hAnsiTheme="majorEastAsia" w:eastAsiaTheme="majorEastAsia"/>
        </w:rPr>
      </w:pPr>
      <w:r>
        <w:rPr>
          <w:rFonts w:hint="eastAsia" w:cs="仿宋_GB2312" w:asciiTheme="majorEastAsia" w:hAnsiTheme="majorEastAsia" w:eastAsiaTheme="majorEastAsia"/>
        </w:rPr>
        <w:t>5、合同成立后，在任何一方无实质违约的情况下，未经相对方书面允许，任何一方不得单方撤销、中止、终止履行合同。</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十二、争议解决</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合同各方应本着诚信的态度及共同合作的精神，通过协商及谈判来努力解决由本合同而产生的或与本合同有关（包括本合同项下某一特定货物买卖合同）的任何争议及不同意见。协商、谈判不能解决的，任何一方</w:t>
      </w:r>
      <w:r>
        <w:rPr>
          <w:rFonts w:hint="eastAsia" w:cs="仿宋_GB2312" w:asciiTheme="majorEastAsia" w:hAnsiTheme="majorEastAsia" w:eastAsiaTheme="majorEastAsia"/>
        </w:rPr>
        <w:t>均有权向甲方所在地人民法院提起诉讼。</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十三、协议期限</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本协议从双方法定代表人或授权代表签字、盖章之日起生效。</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十四、不可抗力</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1、本合同项下的“不可抗力”是指不能预见，不能避免且不能克服的客观情况，使得本合同一方当事人无法履行合同义务，如战争、严重火灾、水灾、风灾和地震以及其他经三方同意属于不可抗力的事故。</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2、一方因不可抗力不能履行合同或不能完全履行合同的，根据不可抗力的影响，可以部分或全部地免除责任。由于不可抗力原因致使项目开发中断时，项目交付日期及付款日期相应顺延，各方不承担违约责任。</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3、如不可抗力时间延续90天以上的，各方通过协商达成在合理的时间内继续履行合同，或部分履行合同，或终止合同的履行。</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4、一方迟延履行后发生不可抗力的，不能免除责任。</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十五、通知和合同修改</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本合同一方给另一方的通知，都应以书面的形式（信函、传真）发送至对方，对本合同条款进行任何改动，均须由甲乙双方签署书面合同修改或经济签证，方为有效。</w:t>
      </w:r>
    </w:p>
    <w:p>
      <w:pPr>
        <w:shd w:val="clear" w:color="auto" w:fill="FFFFFF"/>
        <w:tabs>
          <w:tab w:val="left" w:pos="425"/>
        </w:tabs>
        <w:snapToGrid w:val="0"/>
        <w:spacing w:line="360" w:lineRule="auto"/>
        <w:textAlignment w:val="baseline"/>
        <w:rPr>
          <w:rFonts w:hint="eastAsia" w:cs="仿宋_GB2312" w:asciiTheme="majorEastAsia" w:hAnsiTheme="majorEastAsia" w:eastAsiaTheme="majorEastAsia"/>
          <w:b/>
          <w:bCs/>
        </w:rPr>
      </w:pPr>
      <w:r>
        <w:rPr>
          <w:rFonts w:hint="eastAsia" w:cs="仿宋_GB2312" w:asciiTheme="majorEastAsia" w:hAnsiTheme="majorEastAsia" w:eastAsiaTheme="majorEastAsia"/>
          <w:b/>
          <w:bCs/>
        </w:rPr>
        <w:t>十六、其他规定</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本协议的附件为本协议不可分割的部分，与本协议正文具有同等的法律效力。协议附件与本协议约定不一致的，以本协议的约定为准，除非双方一致同意并以书面形式表示以协议附件为准。</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本合同一式</w:t>
      </w:r>
      <w:r>
        <w:rPr>
          <w:rFonts w:hint="eastAsia" w:cs="仿宋_GB2312" w:asciiTheme="majorEastAsia" w:hAnsiTheme="majorEastAsia" w:eastAsiaTheme="majorEastAsia"/>
          <w:kern w:val="28"/>
          <w:u w:val="single"/>
        </w:rPr>
        <w:t xml:space="preserve">     </w:t>
      </w:r>
      <w:r>
        <w:rPr>
          <w:rFonts w:hint="eastAsia" w:cs="仿宋_GB2312" w:asciiTheme="majorEastAsia" w:hAnsiTheme="majorEastAsia" w:eastAsiaTheme="majorEastAsia"/>
          <w:kern w:val="28"/>
        </w:rPr>
        <w:t>份，具有同等效力。自双方授权代表签字、盖章之日起生效。</w:t>
      </w:r>
    </w:p>
    <w:p>
      <w:pPr>
        <w:shd w:val="clear" w:color="auto" w:fill="FFFFFF"/>
        <w:snapToGrid w:val="0"/>
        <w:spacing w:line="360" w:lineRule="auto"/>
        <w:ind w:firstLine="480" w:firstLineChars="200"/>
        <w:rPr>
          <w:rFonts w:hint="eastAsia" w:cs="仿宋_GB2312" w:asciiTheme="majorEastAsia" w:hAnsiTheme="majorEastAsia" w:eastAsiaTheme="majorEastAsia"/>
          <w:kern w:val="28"/>
        </w:rPr>
      </w:pPr>
      <w:r>
        <w:rPr>
          <w:rFonts w:hint="eastAsia" w:cs="仿宋_GB2312" w:asciiTheme="majorEastAsia" w:hAnsiTheme="majorEastAsia" w:eastAsiaTheme="majorEastAsia"/>
          <w:kern w:val="28"/>
        </w:rPr>
        <w:t>本合同的订立、履行、变更、终止、解释等均适用中华人民共和国法律。</w:t>
      </w:r>
    </w:p>
    <w:p>
      <w:pPr>
        <w:shd w:val="clear" w:color="auto" w:fill="FFFFFF"/>
        <w:snapToGrid w:val="0"/>
        <w:spacing w:line="360" w:lineRule="auto"/>
        <w:ind w:firstLine="480" w:firstLineChars="200"/>
        <w:rPr>
          <w:rFonts w:hint="eastAsia" w:cs="仿宋" w:asciiTheme="majorEastAsia" w:hAnsiTheme="majorEastAsia" w:eastAsiaTheme="majorEastAsia"/>
          <w:szCs w:val="24"/>
        </w:rPr>
      </w:pPr>
      <w:r>
        <w:rPr>
          <w:rFonts w:hint="eastAsia" w:cs="仿宋_GB2312" w:asciiTheme="majorEastAsia" w:hAnsiTheme="majorEastAsia" w:eastAsiaTheme="majorEastAsia"/>
          <w:kern w:val="28"/>
        </w:rPr>
        <w:t>本合同未尽事宜由双方共同协商，另行订立补充协议，补充协议与本协议具有同样的法律效力。如果本合同之附件与本合同规定不符, 以本合同规定为准。</w:t>
      </w:r>
      <w:r>
        <w:rPr>
          <w:rFonts w:hint="eastAsia" w:cs="仿宋" w:asciiTheme="majorEastAsia" w:hAnsiTheme="majorEastAsia" w:eastAsiaTheme="majorEastAsia"/>
          <w:b/>
          <w:szCs w:val="24"/>
        </w:rPr>
        <w:t>（以下无正文）</w:t>
      </w:r>
    </w:p>
    <w:p>
      <w:pPr>
        <w:tabs>
          <w:tab w:val="left" w:pos="2100"/>
          <w:tab w:val="left" w:pos="4200"/>
        </w:tabs>
        <w:spacing w:line="480" w:lineRule="auto"/>
        <w:ind w:left="-99" w:leftChars="-135" w:right="-578" w:rightChars="-241" w:hanging="225" w:hangingChars="94"/>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   甲方：                                    乙方：</w:t>
      </w:r>
    </w:p>
    <w:p>
      <w:pPr>
        <w:tabs>
          <w:tab w:val="left" w:pos="2100"/>
          <w:tab w:val="left" w:pos="4200"/>
        </w:tabs>
        <w:spacing w:line="480" w:lineRule="auto"/>
        <w:ind w:left="-84" w:leftChars="-35" w:right="-578" w:rightChars="-241" w:firstLine="803" w:firstLineChars="402"/>
        <w:rPr>
          <w:rFonts w:hint="eastAsia" w:cs="仿宋" w:asciiTheme="majorEastAsia" w:hAnsiTheme="majorEastAsia" w:eastAsiaTheme="majorEastAsia"/>
          <w:szCs w:val="24"/>
        </w:rPr>
      </w:pPr>
      <w:r>
        <w:rPr>
          <w:rFonts w:hint="eastAsia" w:cs="仿宋" w:asciiTheme="majorEastAsia" w:hAnsiTheme="majorEastAsia" w:eastAsiaTheme="majorEastAsia"/>
          <w:spacing w:val="-20"/>
          <w:szCs w:val="24"/>
        </w:rPr>
        <w:t xml:space="preserve">   </w:t>
      </w:r>
      <w:r>
        <w:rPr>
          <w:rFonts w:hint="eastAsia" w:cs="仿宋" w:asciiTheme="majorEastAsia" w:hAnsiTheme="majorEastAsia" w:eastAsiaTheme="majorEastAsia"/>
          <w:szCs w:val="24"/>
        </w:rPr>
        <w:t xml:space="preserve"> </w:t>
      </w:r>
    </w:p>
    <w:p>
      <w:pPr>
        <w:tabs>
          <w:tab w:val="left" w:pos="2100"/>
          <w:tab w:val="left" w:pos="4200"/>
        </w:tabs>
        <w:spacing w:line="480" w:lineRule="auto"/>
        <w:ind w:left="4320" w:right="-578" w:rightChars="-241" w:hanging="4320" w:hangingChars="1800"/>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                    （盖章）                        （盖章）</w:t>
      </w:r>
    </w:p>
    <w:p>
      <w:pPr>
        <w:tabs>
          <w:tab w:val="left" w:pos="2100"/>
          <w:tab w:val="left" w:pos="4200"/>
        </w:tabs>
        <w:spacing w:line="480" w:lineRule="auto"/>
        <w:ind w:right="-578" w:rightChars="-241"/>
        <w:rPr>
          <w:rFonts w:hint="eastAsia" w:cs="仿宋" w:asciiTheme="majorEastAsia" w:hAnsiTheme="majorEastAsia" w:eastAsiaTheme="majorEastAsia"/>
          <w:szCs w:val="24"/>
        </w:rPr>
      </w:pPr>
      <w:r>
        <w:rPr>
          <w:rFonts w:hint="eastAsia" w:cs="仿宋" w:asciiTheme="majorEastAsia" w:hAnsiTheme="majorEastAsia" w:eastAsiaTheme="majorEastAsia"/>
          <w:szCs w:val="24"/>
        </w:rPr>
        <w:t>法定代表人或委托代理人：                  法定代表人或委托代理人：</w:t>
      </w:r>
    </w:p>
    <w:p>
      <w:pPr>
        <w:tabs>
          <w:tab w:val="left" w:pos="2100"/>
          <w:tab w:val="left" w:pos="4200"/>
        </w:tabs>
        <w:spacing w:line="480" w:lineRule="auto"/>
        <w:ind w:left="-103" w:leftChars="-171" w:right="-578" w:rightChars="-241" w:hanging="307" w:hangingChars="128"/>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              （签字或盖章）                            （签字或盖章）                      </w:t>
      </w:r>
    </w:p>
    <w:p>
      <w:pPr>
        <w:tabs>
          <w:tab w:val="left" w:pos="2100"/>
          <w:tab w:val="left" w:pos="4200"/>
        </w:tabs>
        <w:spacing w:line="480" w:lineRule="auto"/>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地    址:                                 地    址： </w:t>
      </w:r>
    </w:p>
    <w:p>
      <w:pPr>
        <w:tabs>
          <w:tab w:val="left" w:pos="2100"/>
          <w:tab w:val="left" w:pos="4200"/>
        </w:tabs>
        <w:spacing w:line="480" w:lineRule="auto"/>
        <w:rPr>
          <w:rFonts w:hint="eastAsia" w:cs="仿宋" w:asciiTheme="majorEastAsia" w:hAnsiTheme="majorEastAsia" w:eastAsiaTheme="majorEastAsia"/>
          <w:szCs w:val="24"/>
        </w:rPr>
      </w:pPr>
      <w:r>
        <w:rPr>
          <w:rFonts w:hint="eastAsia" w:cs="仿宋" w:asciiTheme="majorEastAsia" w:hAnsiTheme="majorEastAsia" w:eastAsiaTheme="majorEastAsia"/>
          <w:szCs w:val="24"/>
        </w:rPr>
        <w:t>邮政编码：                                邮政编码：</w:t>
      </w:r>
    </w:p>
    <w:p>
      <w:pPr>
        <w:tabs>
          <w:tab w:val="left" w:pos="2100"/>
          <w:tab w:val="left" w:pos="4200"/>
        </w:tabs>
        <w:spacing w:line="480" w:lineRule="auto"/>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电    话：                                电    话： </w:t>
      </w:r>
    </w:p>
    <w:p>
      <w:pPr>
        <w:tabs>
          <w:tab w:val="left" w:pos="2100"/>
          <w:tab w:val="left" w:pos="4200"/>
        </w:tabs>
        <w:spacing w:line="480" w:lineRule="auto"/>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传    真：                                传    真： </w:t>
      </w:r>
    </w:p>
    <w:p>
      <w:pPr>
        <w:tabs>
          <w:tab w:val="left" w:pos="2100"/>
          <w:tab w:val="left" w:pos="4200"/>
        </w:tabs>
        <w:spacing w:line="480" w:lineRule="auto"/>
        <w:ind w:right="-578" w:rightChars="-241"/>
        <w:rPr>
          <w:rFonts w:hint="eastAsia" w:cs="仿宋" w:asciiTheme="majorEastAsia" w:hAnsiTheme="majorEastAsia" w:eastAsiaTheme="majorEastAsia"/>
          <w:szCs w:val="24"/>
        </w:rPr>
      </w:pPr>
      <w:r>
        <w:rPr>
          <w:rFonts w:hint="eastAsia" w:cs="仿宋" w:asciiTheme="majorEastAsia" w:hAnsiTheme="majorEastAsia" w:eastAsiaTheme="majorEastAsia"/>
          <w:szCs w:val="24"/>
        </w:rPr>
        <w:t xml:space="preserve">开户开户银行：  </w:t>
      </w:r>
      <w:r>
        <w:rPr>
          <w:rFonts w:hint="eastAsia" w:cs="仿宋" w:asciiTheme="majorEastAsia" w:hAnsiTheme="majorEastAsia" w:eastAsiaTheme="majorEastAsia"/>
          <w:szCs w:val="24"/>
        </w:rPr>
        <w:tab/>
      </w:r>
      <w:r>
        <w:rPr>
          <w:rFonts w:hint="eastAsia" w:cs="仿宋" w:asciiTheme="majorEastAsia" w:hAnsiTheme="majorEastAsia" w:eastAsiaTheme="majorEastAsia"/>
          <w:szCs w:val="24"/>
        </w:rPr>
        <w:t xml:space="preserve">                        开户单位：</w:t>
      </w:r>
      <w:r>
        <w:rPr>
          <w:rFonts w:hint="eastAsia" w:cs="仿宋" w:asciiTheme="majorEastAsia" w:hAnsiTheme="majorEastAsia" w:eastAsiaTheme="majorEastAsia"/>
          <w:spacing w:val="-20"/>
          <w:szCs w:val="24"/>
        </w:rPr>
        <w:t xml:space="preserve"> </w:t>
      </w:r>
    </w:p>
    <w:p>
      <w:pPr>
        <w:tabs>
          <w:tab w:val="left" w:pos="2100"/>
          <w:tab w:val="left" w:pos="4200"/>
        </w:tabs>
        <w:spacing w:line="480" w:lineRule="auto"/>
        <w:ind w:right="-578" w:rightChars="-241"/>
        <w:rPr>
          <w:rFonts w:hint="eastAsia" w:cs="仿宋" w:asciiTheme="majorEastAsia" w:hAnsiTheme="majorEastAsia" w:eastAsiaTheme="majorEastAsia"/>
          <w:szCs w:val="24"/>
        </w:rPr>
      </w:pPr>
      <w:r>
        <w:rPr>
          <w:rFonts w:hint="eastAsia" w:cs="仿宋" w:asciiTheme="majorEastAsia" w:hAnsiTheme="majorEastAsia" w:eastAsiaTheme="majorEastAsia"/>
          <w:szCs w:val="24"/>
        </w:rPr>
        <w:t>银行银行帐号：                            银行帐号：</w:t>
      </w:r>
    </w:p>
    <w:p>
      <w:pPr>
        <w:tabs>
          <w:tab w:val="left" w:pos="2100"/>
          <w:tab w:val="left" w:pos="4200"/>
        </w:tabs>
        <w:spacing w:line="480" w:lineRule="auto"/>
        <w:ind w:right="-578" w:rightChars="-241"/>
        <w:rPr>
          <w:rFonts w:hint="eastAsia" w:cs="仿宋" w:asciiTheme="majorEastAsia" w:hAnsiTheme="majorEastAsia" w:eastAsiaTheme="majorEastAsia"/>
          <w:szCs w:val="24"/>
        </w:rPr>
      </w:pPr>
      <w:r>
        <w:rPr>
          <w:rFonts w:hint="eastAsia" w:cs="仿宋" w:asciiTheme="majorEastAsia" w:hAnsiTheme="majorEastAsia" w:eastAsiaTheme="majorEastAsia"/>
          <w:szCs w:val="24"/>
        </w:rPr>
        <w:t>签约地点：                                签约地点：</w:t>
      </w:r>
    </w:p>
    <w:p>
      <w:pPr>
        <w:tabs>
          <w:tab w:val="left" w:pos="2100"/>
          <w:tab w:val="left" w:pos="4200"/>
        </w:tabs>
        <w:spacing w:line="480" w:lineRule="auto"/>
        <w:ind w:right="-578" w:rightChars="-241"/>
        <w:rPr>
          <w:rFonts w:hint="eastAsia" w:cs="仿宋" w:asciiTheme="majorEastAsia" w:hAnsiTheme="majorEastAsia" w:eastAsiaTheme="majorEastAsia"/>
          <w:szCs w:val="24"/>
        </w:rPr>
      </w:pPr>
      <w:r>
        <w:rPr>
          <w:rFonts w:hint="eastAsia" w:cs="仿宋" w:asciiTheme="majorEastAsia" w:hAnsiTheme="majorEastAsia" w:eastAsiaTheme="majorEastAsia"/>
          <w:szCs w:val="24"/>
        </w:rPr>
        <w:t>签约时间：2023年  月  日                 签约时间：2023年  月  日</w:t>
      </w:r>
    </w:p>
    <w:p>
      <w:pPr>
        <w:ind w:firstLine="420"/>
        <w:rPr>
          <w:rFonts w:asciiTheme="majorEastAsia" w:hAnsiTheme="majorEastAsia" w:eastAsiaTheme="major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000050000000002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6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iZWNiMmE2ZThlNzQxZWQ4MWY5Yzg4NzMyN2IwZTkifQ=="/>
  </w:docVars>
  <w:rsids>
    <w:rsidRoot w:val="006B23E6"/>
    <w:rsid w:val="00047424"/>
    <w:rsid w:val="000A407E"/>
    <w:rsid w:val="000E679E"/>
    <w:rsid w:val="005E6A2B"/>
    <w:rsid w:val="006B23E6"/>
    <w:rsid w:val="00760AEC"/>
    <w:rsid w:val="00B04D9C"/>
    <w:rsid w:val="00B63C71"/>
    <w:rsid w:val="00C97D15"/>
    <w:rsid w:val="00ED334A"/>
    <w:rsid w:val="00F66ECB"/>
    <w:rsid w:val="04981D34"/>
    <w:rsid w:val="1FBC4369"/>
    <w:rsid w:val="3D23341D"/>
    <w:rsid w:val="65E137EA"/>
    <w:rsid w:val="683411BF"/>
    <w:rsid w:val="6D4331E0"/>
    <w:rsid w:val="6FB645DF"/>
    <w:rsid w:val="9EDED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0" w:firstLineChars="0"/>
      <w:jc w:val="both"/>
    </w:pPr>
    <w:rPr>
      <w:rFonts w:ascii="宋体" w:hAnsi="Times New Roman" w:eastAsia="宋体" w:cs="Times New Roman"/>
      <w:sz w:val="24"/>
      <w:lang w:val="en-US" w:eastAsia="zh-CN" w:bidi="ar-SA"/>
    </w:rPr>
  </w:style>
  <w:style w:type="paragraph" w:styleId="3">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5"/>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6"/>
    <w:semiHidden/>
    <w:unhideWhenUsed/>
    <w:qFormat/>
    <w:uiPriority w:val="0"/>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unhideWhenUsed/>
    <w:qFormat/>
    <w:uiPriority w:val="99"/>
    <w:pPr>
      <w:spacing w:after="120"/>
    </w:pPr>
  </w:style>
  <w:style w:type="paragraph" w:styleId="6">
    <w:name w:val="annotation text"/>
    <w:basedOn w:val="1"/>
    <w:link w:val="17"/>
    <w:qFormat/>
    <w:uiPriority w:val="0"/>
    <w:pPr>
      <w:jc w:val="left"/>
    </w:pPr>
  </w:style>
  <w:style w:type="paragraph" w:styleId="7">
    <w:name w:val="toc 3"/>
    <w:basedOn w:val="1"/>
    <w:next w:val="1"/>
    <w:unhideWhenUsed/>
    <w:qFormat/>
    <w:uiPriority w:val="39"/>
    <w:pPr>
      <w:ind w:left="420"/>
      <w:jc w:val="left"/>
    </w:pPr>
    <w:rPr>
      <w:rFonts w:ascii="Calibri" w:hAnsi="Calibri"/>
      <w:i/>
      <w:iCs/>
      <w:sz w:val="20"/>
    </w:rPr>
  </w:style>
  <w:style w:type="paragraph" w:styleId="8">
    <w:name w:val="toc 1"/>
    <w:basedOn w:val="1"/>
    <w:next w:val="1"/>
    <w:unhideWhenUsed/>
    <w:qFormat/>
    <w:uiPriority w:val="39"/>
    <w:pPr>
      <w:tabs>
        <w:tab w:val="right" w:leader="dot" w:pos="8965"/>
      </w:tabs>
      <w:spacing w:before="120" w:after="120"/>
      <w:jc w:val="left"/>
    </w:pPr>
    <w:rPr>
      <w:rFonts w:hAnsi="宋体"/>
      <w:bCs/>
      <w:caps/>
      <w:sz w:val="28"/>
      <w:szCs w:val="28"/>
    </w:rPr>
  </w:style>
  <w:style w:type="paragraph" w:styleId="9">
    <w:name w:val="toc 2"/>
    <w:basedOn w:val="1"/>
    <w:next w:val="1"/>
    <w:unhideWhenUsed/>
    <w:qFormat/>
    <w:uiPriority w:val="39"/>
    <w:pPr>
      <w:ind w:left="210"/>
      <w:jc w:val="left"/>
    </w:pPr>
    <w:rPr>
      <w:rFonts w:ascii="Calibri" w:hAnsi="Calibri"/>
      <w:smallCaps/>
      <w:sz w:val="20"/>
    </w:rPr>
  </w:style>
  <w:style w:type="paragraph" w:styleId="10">
    <w:name w:val="Normal (Web)"/>
    <w:basedOn w:val="1"/>
    <w:semiHidden/>
    <w:unhideWhenUsed/>
    <w:qFormat/>
    <w:uiPriority w:val="99"/>
    <w:rPr>
      <w:rFonts w:ascii="Times New Roman"/>
      <w:szCs w:val="24"/>
    </w:rPr>
  </w:style>
  <w:style w:type="character" w:styleId="13">
    <w:name w:val="Strong"/>
    <w:basedOn w:val="12"/>
    <w:qFormat/>
    <w:uiPriority w:val="0"/>
    <w:rPr>
      <w:b/>
    </w:rPr>
  </w:style>
  <w:style w:type="character" w:customStyle="1" w:styleId="14">
    <w:name w:val="正文文本 Char"/>
    <w:basedOn w:val="12"/>
    <w:link w:val="2"/>
    <w:qFormat/>
    <w:uiPriority w:val="99"/>
    <w:rPr>
      <w:rFonts w:ascii="Times New Roman" w:hAnsi="Times New Roman" w:eastAsia="宋体"/>
      <w:szCs w:val="24"/>
    </w:rPr>
  </w:style>
  <w:style w:type="character" w:customStyle="1" w:styleId="15">
    <w:name w:val="标题 2 Char"/>
    <w:basedOn w:val="12"/>
    <w:link w:val="4"/>
    <w:semiHidden/>
    <w:qFormat/>
    <w:uiPriority w:val="0"/>
    <w:rPr>
      <w:rFonts w:asciiTheme="majorHAnsi" w:hAnsiTheme="majorHAnsi" w:eastAsiaTheme="majorEastAsia" w:cstheme="majorBidi"/>
      <w:b/>
      <w:bCs/>
      <w:kern w:val="2"/>
      <w:sz w:val="32"/>
      <w:szCs w:val="32"/>
    </w:rPr>
  </w:style>
  <w:style w:type="character" w:customStyle="1" w:styleId="16">
    <w:name w:val="标题 3 Char"/>
    <w:basedOn w:val="12"/>
    <w:link w:val="5"/>
    <w:semiHidden/>
    <w:qFormat/>
    <w:uiPriority w:val="0"/>
    <w:rPr>
      <w:b/>
      <w:bCs/>
      <w:kern w:val="2"/>
      <w:sz w:val="32"/>
      <w:szCs w:val="32"/>
    </w:rPr>
  </w:style>
  <w:style w:type="character" w:customStyle="1" w:styleId="17">
    <w:name w:val="批注文字 Char"/>
    <w:basedOn w:val="12"/>
    <w:link w:val="6"/>
    <w:qFormat/>
    <w:uiPriority w:val="0"/>
    <w:rPr>
      <w:rFonts w:ascii="Times New Roman" w:hAnsi="Times New Roman" w:eastAsia="宋体" w:cs="Times New Roman"/>
      <w:szCs w:val="24"/>
    </w:rPr>
  </w:style>
  <w:style w:type="paragraph" w:customStyle="1" w:styleId="18">
    <w:name w:val="专用标题2"/>
    <w:basedOn w:val="4"/>
    <w:next w:val="1"/>
    <w:qFormat/>
    <w:uiPriority w:val="0"/>
    <w:pPr>
      <w:keepNext w:val="0"/>
      <w:keepLines w:val="0"/>
      <w:tabs>
        <w:tab w:val="left" w:pos="993"/>
      </w:tabs>
      <w:spacing w:line="360" w:lineRule="auto"/>
    </w:pPr>
    <w:rPr>
      <w:rFonts w:ascii="宋体" w:hAnsi="宋体" w:eastAsia="宋体" w:cs="Times"/>
    </w:rPr>
  </w:style>
  <w:style w:type="paragraph" w:customStyle="1" w:styleId="19">
    <w:name w:val="列表段落1"/>
    <w:basedOn w:val="1"/>
    <w:uiPriority w:val="0"/>
    <w:pPr>
      <w:ind w:left="151"/>
    </w:pPr>
  </w:style>
  <w:style w:type="character" w:customStyle="1" w:styleId="20">
    <w:name w:val="标题 1 Char"/>
    <w:link w:val="3"/>
    <w:qFormat/>
    <w:uiPriority w:val="0"/>
    <w:rPr>
      <w:b/>
      <w:bCs/>
      <w:kern w:val="44"/>
      <w:sz w:val="44"/>
      <w:szCs w:val="44"/>
    </w:rPr>
  </w:style>
  <w:style w:type="paragraph" w:customStyle="1" w:styleId="21">
    <w:name w:val="TOC Heading"/>
    <w:basedOn w:val="3"/>
    <w:next w:val="1"/>
    <w:qFormat/>
    <w:uiPriority w:val="39"/>
    <w:pPr>
      <w:widowControl/>
      <w:spacing w:before="480" w:after="0" w:line="276" w:lineRule="auto"/>
      <w:jc w:val="left"/>
      <w:outlineLvl w:val="9"/>
    </w:pPr>
    <w:rPr>
      <w:rFonts w:ascii="Cambria" w:hAnsi="Cambria"/>
      <w:color w:val="365F91"/>
      <w:kern w:val="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531</Words>
  <Characters>3027</Characters>
  <Lines>25</Lines>
  <Paragraphs>7</Paragraphs>
  <TotalTime>12</TotalTime>
  <ScaleCrop>false</ScaleCrop>
  <LinksUpToDate>false</LinksUpToDate>
  <CharactersWithSpaces>3551</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2023-08-09T11:15:00Z</dcterms:created>
  <dc:creator>Administrator</dc:creator>
  <cp:lastModifiedBy>vous</cp:lastModifiedBy>
  <dcterms:modified xsi:type="dcterms:W3CDTF">2023-08-10T02:50:15Z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5666C33761F0487F9A92E4633A0F11ED_13</vt:lpwstr>
  </property>
</Properties>
</file>