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hd w:val="clear" w:color="auto" w:fill="FFFFFF"/>
        <w:spacing w:beforeAutospacing="0" w:afterAutospacing="0" w:line="450" w:lineRule="atLeast"/>
        <w:jc w:val="center"/>
        <w:rPr>
          <w:rFonts w:hint="default" w:cs="宋体"/>
          <w:sz w:val="39"/>
          <w:szCs w:val="39"/>
          <w:shd w:val="clear" w:color="auto" w:fill="FFFFFF"/>
        </w:rPr>
      </w:pPr>
      <w:bookmarkStart w:id="87" w:name="_GoBack"/>
      <w:bookmarkEnd w:id="87"/>
      <w:r>
        <w:rPr>
          <w:rFonts w:cs="宋体"/>
          <w:sz w:val="39"/>
          <w:szCs w:val="39"/>
          <w:shd w:val="clear" w:color="auto" w:fill="FFFFFF"/>
        </w:rPr>
        <w:t>第七章 拟签订合同文本</w:t>
      </w:r>
    </w:p>
    <w:p/>
    <w:p>
      <w:pPr>
        <w:autoSpaceDE w:val="0"/>
        <w:autoSpaceDN w:val="0"/>
        <w:adjustRightInd w:val="0"/>
        <w:spacing w:line="360" w:lineRule="auto"/>
        <w:jc w:val="center"/>
        <w:rPr>
          <w:b/>
          <w:bCs/>
          <w:color w:val="0000FF"/>
          <w:sz w:val="32"/>
          <w:szCs w:val="32"/>
        </w:rPr>
      </w:pPr>
      <w:r>
        <w:rPr>
          <w:rFonts w:hint="eastAsia"/>
          <w:b/>
          <w:bCs/>
          <w:color w:val="0000FF"/>
          <w:sz w:val="32"/>
          <w:szCs w:val="32"/>
        </w:rPr>
        <w:t>（合同条款及格式）</w:t>
      </w:r>
    </w:p>
    <w:p>
      <w:pPr>
        <w:autoSpaceDE w:val="0"/>
        <w:autoSpaceDN w:val="0"/>
        <w:adjustRightInd w:val="0"/>
        <w:spacing w:line="360" w:lineRule="auto"/>
        <w:ind w:firstLine="480" w:firstLineChars="200"/>
        <w:rPr>
          <w:color w:val="0000FF"/>
          <w:sz w:val="24"/>
        </w:rPr>
      </w:pPr>
    </w:p>
    <w:p>
      <w:pPr>
        <w:autoSpaceDE w:val="0"/>
        <w:autoSpaceDN w:val="0"/>
        <w:adjustRightInd w:val="0"/>
        <w:spacing w:line="360" w:lineRule="auto"/>
        <w:ind w:firstLine="480" w:firstLineChars="200"/>
        <w:rPr>
          <w:color w:val="0000FF"/>
          <w:sz w:val="24"/>
          <w:u w:val="single"/>
        </w:rPr>
      </w:pPr>
      <w:r>
        <w:rPr>
          <w:rFonts w:hint="eastAsia"/>
          <w:color w:val="0000FF"/>
          <w:sz w:val="24"/>
        </w:rPr>
        <w:t>甲方：</w:t>
      </w:r>
      <w:r>
        <w:rPr>
          <w:rFonts w:hint="eastAsia"/>
          <w:color w:val="0000FF"/>
          <w:sz w:val="24"/>
          <w:u w:val="single"/>
        </w:rPr>
        <w:t xml:space="preserve">   西安医学院   </w:t>
      </w:r>
    </w:p>
    <w:p>
      <w:pPr>
        <w:autoSpaceDE w:val="0"/>
        <w:autoSpaceDN w:val="0"/>
        <w:adjustRightInd w:val="0"/>
        <w:spacing w:line="360" w:lineRule="auto"/>
        <w:ind w:firstLine="480" w:firstLineChars="200"/>
        <w:rPr>
          <w:color w:val="0000FF"/>
          <w:sz w:val="24"/>
        </w:rPr>
      </w:pPr>
      <w:r>
        <w:rPr>
          <w:rFonts w:hint="eastAsia"/>
          <w:color w:val="0000FF"/>
          <w:sz w:val="24"/>
        </w:rPr>
        <w:t>乙方：</w:t>
      </w:r>
      <w:r>
        <w:rPr>
          <w:rFonts w:hint="eastAsia"/>
          <w:color w:val="0000FF"/>
          <w:sz w:val="24"/>
          <w:u w:val="single"/>
        </w:rPr>
        <w:t xml:space="preserve">                </w:t>
      </w:r>
    </w:p>
    <w:p>
      <w:pPr>
        <w:autoSpaceDE w:val="0"/>
        <w:autoSpaceDN w:val="0"/>
        <w:adjustRightInd w:val="0"/>
        <w:spacing w:line="460" w:lineRule="exact"/>
        <w:ind w:firstLine="480" w:firstLineChars="200"/>
        <w:rPr>
          <w:color w:val="0000FF"/>
          <w:sz w:val="24"/>
        </w:rPr>
      </w:pPr>
      <w:r>
        <w:rPr>
          <w:rFonts w:hint="eastAsia"/>
          <w:color w:val="0000FF"/>
          <w:sz w:val="24"/>
        </w:rPr>
        <w:t>依据</w:t>
      </w:r>
      <w:r>
        <w:rPr>
          <w:rFonts w:hint="eastAsia"/>
          <w:color w:val="0000FF"/>
          <w:spacing w:val="-4"/>
          <w:sz w:val="24"/>
        </w:rPr>
        <w:t>《中华人民共和国民法典》</w:t>
      </w:r>
      <w:r>
        <w:rPr>
          <w:rFonts w:hint="eastAsia"/>
          <w:color w:val="0000FF"/>
          <w:sz w:val="24"/>
        </w:rPr>
        <w:t>及其他相关法律、法规、遵循平等、自愿、公平、诚实信用的原则，双方就西安医学院教学常规实验设备采购项目协商一致，签订本合同。</w:t>
      </w:r>
    </w:p>
    <w:p>
      <w:pPr>
        <w:snapToGrid w:val="0"/>
        <w:spacing w:line="360" w:lineRule="auto"/>
        <w:rPr>
          <w:rFonts w:ascii="宋体" w:hAnsi="宋体" w:cs="宋体"/>
          <w:b/>
          <w:bCs/>
          <w:color w:val="0000FF"/>
          <w:sz w:val="24"/>
        </w:rPr>
      </w:pPr>
      <w:bookmarkStart w:id="0" w:name="_Toc466270646"/>
      <w:bookmarkStart w:id="1" w:name="_Toc467005975"/>
      <w:bookmarkStart w:id="2" w:name="_Toc467005725"/>
      <w:bookmarkStart w:id="3" w:name="_Toc465510854"/>
      <w:bookmarkStart w:id="4" w:name="_Toc465511112"/>
      <w:bookmarkStart w:id="5" w:name="_Toc465511157"/>
      <w:bookmarkStart w:id="6" w:name="_Toc476761649"/>
      <w:r>
        <w:rPr>
          <w:rFonts w:hint="eastAsia" w:ascii="宋体" w:hAnsi="宋体" w:cs="宋体"/>
          <w:b/>
          <w:bCs/>
          <w:color w:val="0000FF"/>
          <w:sz w:val="24"/>
        </w:rPr>
        <w:t>一、合同</w:t>
      </w:r>
      <w:bookmarkEnd w:id="0"/>
      <w:bookmarkEnd w:id="1"/>
      <w:bookmarkEnd w:id="2"/>
      <w:bookmarkEnd w:id="3"/>
      <w:bookmarkEnd w:id="4"/>
      <w:bookmarkEnd w:id="5"/>
      <w:bookmarkEnd w:id="6"/>
      <w:r>
        <w:rPr>
          <w:rFonts w:hint="eastAsia" w:ascii="宋体" w:hAnsi="宋体" w:cs="宋体"/>
          <w:b/>
          <w:bCs/>
          <w:color w:val="0000FF"/>
          <w:sz w:val="24"/>
        </w:rPr>
        <w:t>内容：</w:t>
      </w:r>
    </w:p>
    <w:p>
      <w:pPr>
        <w:shd w:val="clear" w:color="auto" w:fill="FFFFFF"/>
        <w:snapToGrid w:val="0"/>
        <w:spacing w:line="360" w:lineRule="auto"/>
        <w:ind w:firstLine="480" w:firstLineChars="200"/>
        <w:rPr>
          <w:rFonts w:ascii="宋体" w:hAnsi="宋体" w:cs="宋体"/>
          <w:color w:val="0000FF"/>
          <w:sz w:val="24"/>
        </w:rPr>
      </w:pPr>
      <w:bookmarkStart w:id="7" w:name="_Toc467005727"/>
      <w:bookmarkStart w:id="8" w:name="_Toc465510856"/>
      <w:bookmarkStart w:id="9" w:name="_Toc465511159"/>
      <w:bookmarkStart w:id="10" w:name="_Toc466270648"/>
      <w:bookmarkStart w:id="11" w:name="_Toc467005977"/>
      <w:bookmarkStart w:id="12" w:name="_Toc465511114"/>
      <w:bookmarkStart w:id="13" w:name="_Toc476761651"/>
      <w:r>
        <w:rPr>
          <w:rFonts w:hint="eastAsia" w:ascii="宋体" w:hAnsi="宋体" w:cs="宋体"/>
          <w:color w:val="0000FF"/>
          <w:sz w:val="24"/>
        </w:rPr>
        <w:t>乙方负责按照合同确定的设备名称、规格型号、数量、产地、配置内容及技术标准组织供货（具体采购项目见本合同），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pPr>
        <w:snapToGrid w:val="0"/>
        <w:spacing w:line="360" w:lineRule="auto"/>
        <w:rPr>
          <w:rFonts w:ascii="宋体" w:hAnsi="宋体" w:cs="宋体"/>
          <w:b/>
          <w:bCs/>
          <w:color w:val="0000FF"/>
          <w:sz w:val="24"/>
        </w:rPr>
      </w:pPr>
      <w:r>
        <w:rPr>
          <w:rFonts w:hint="eastAsia" w:ascii="宋体" w:hAnsi="宋体" w:cs="宋体"/>
          <w:b/>
          <w:bCs/>
          <w:color w:val="0000FF"/>
          <w:sz w:val="24"/>
        </w:rPr>
        <w:t>二、合同文件及解释</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本合同与下列文件一起构成合同文件：</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（1）本项目招标文件、技术标准、规范与本项目相关的补疑、答疑等文件；</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（2）本项目投标文件；</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（3）响应函；</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（4）双方另行签订的补充协议及其他合同文件。</w:t>
      </w:r>
    </w:p>
    <w:p>
      <w:pPr>
        <w:shd w:val="clear" w:color="auto" w:fill="FFFFFF"/>
        <w:snapToGrid w:val="0"/>
        <w:spacing w:line="360" w:lineRule="auto"/>
        <w:ind w:firstLine="480" w:firstLineChars="200"/>
        <w:rPr>
          <w:color w:val="0000FF"/>
        </w:rPr>
      </w:pPr>
      <w:r>
        <w:rPr>
          <w:rFonts w:hint="eastAsia" w:ascii="宋体" w:hAnsi="宋体" w:cs="宋体"/>
          <w:color w:val="0000FF"/>
          <w:kern w:val="28"/>
          <w:sz w:val="24"/>
        </w:rPr>
        <w:t>上述合同文件互相补充和解释。如果合同文件之间存在矛盾或不一致之处，以上述文件的时间排列顺序为准，双方另行签订的补充协议及其他合同文件有效力顺序约定的执行其约定。</w:t>
      </w:r>
    </w:p>
    <w:p>
      <w:pPr>
        <w:snapToGrid w:val="0"/>
        <w:spacing w:line="360" w:lineRule="auto"/>
        <w:rPr>
          <w:rFonts w:ascii="宋体" w:hAnsi="宋体" w:cs="宋体"/>
          <w:b/>
          <w:bCs/>
          <w:color w:val="0000FF"/>
          <w:sz w:val="24"/>
        </w:rPr>
      </w:pPr>
      <w:r>
        <w:rPr>
          <w:rFonts w:hint="eastAsia" w:ascii="宋体" w:hAnsi="宋体" w:cs="宋体"/>
          <w:b/>
          <w:bCs/>
          <w:color w:val="0000FF"/>
          <w:sz w:val="24"/>
        </w:rPr>
        <w:t>三、</w:t>
      </w:r>
      <w:bookmarkEnd w:id="7"/>
      <w:bookmarkEnd w:id="8"/>
      <w:bookmarkEnd w:id="9"/>
      <w:bookmarkEnd w:id="10"/>
      <w:bookmarkEnd w:id="11"/>
      <w:bookmarkEnd w:id="12"/>
      <w:bookmarkEnd w:id="13"/>
      <w:r>
        <w:rPr>
          <w:rFonts w:hint="eastAsia" w:ascii="宋体" w:hAnsi="宋体" w:cs="宋体"/>
          <w:b/>
          <w:bCs/>
          <w:color w:val="0000FF"/>
          <w:sz w:val="24"/>
        </w:rPr>
        <w:t>交货条件：</w:t>
      </w:r>
    </w:p>
    <w:p>
      <w:pPr>
        <w:shd w:val="clear" w:color="auto" w:fill="FFFFFF"/>
        <w:snapToGrid w:val="0"/>
        <w:spacing w:line="360" w:lineRule="auto"/>
        <w:ind w:firstLine="480" w:firstLineChars="200"/>
        <w:rPr>
          <w:rFonts w:ascii="宋体" w:hAnsi="宋体" w:cs="宋体"/>
          <w:color w:val="0000FF"/>
          <w:kern w:val="28"/>
          <w:sz w:val="24"/>
        </w:rPr>
      </w:pPr>
      <w:bookmarkStart w:id="14" w:name="_Toc465511115"/>
      <w:bookmarkStart w:id="15" w:name="_Toc467005978"/>
      <w:bookmarkStart w:id="16" w:name="_Toc466270649"/>
      <w:bookmarkStart w:id="17" w:name="_Toc465510857"/>
      <w:bookmarkStart w:id="18" w:name="_Toc476761652"/>
      <w:bookmarkStart w:id="19" w:name="_Toc465511160"/>
      <w:bookmarkStart w:id="20" w:name="_Toc467005728"/>
      <w:r>
        <w:rPr>
          <w:rFonts w:hint="eastAsia" w:ascii="宋体" w:hAnsi="宋体" w:cs="宋体"/>
          <w:color w:val="0000FF"/>
          <w:kern w:val="28"/>
          <w:sz w:val="24"/>
        </w:rPr>
        <w:t>（1）交货期（包含安装、调试）为：自合同签订之日后</w:t>
      </w:r>
      <w:r>
        <w:rPr>
          <w:rFonts w:hint="eastAsia" w:ascii="宋体" w:hAnsi="宋体" w:cs="宋体"/>
          <w:color w:val="0000FF"/>
          <w:kern w:val="28"/>
          <w:sz w:val="24"/>
          <w:u w:val="single"/>
        </w:rPr>
        <w:t xml:space="preserve">    </w:t>
      </w:r>
      <w:r>
        <w:rPr>
          <w:rFonts w:hint="eastAsia" w:ascii="宋体" w:hAnsi="宋体" w:cs="宋体"/>
          <w:color w:val="0000FF"/>
          <w:kern w:val="28"/>
          <w:sz w:val="24"/>
        </w:rPr>
        <w:t>日历天；</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（2）交货地点为：</w:t>
      </w:r>
      <w:r>
        <w:rPr>
          <w:rFonts w:hint="eastAsia" w:ascii="宋体" w:hAnsi="宋体" w:cs="宋体"/>
          <w:color w:val="0000FF"/>
          <w:kern w:val="28"/>
          <w:sz w:val="24"/>
          <w:u w:val="single"/>
        </w:rPr>
        <w:t xml:space="preserve">             </w:t>
      </w:r>
      <w:r>
        <w:rPr>
          <w:rFonts w:hint="eastAsia" w:ascii="宋体" w:hAnsi="宋体" w:cs="宋体"/>
          <w:color w:val="0000FF"/>
          <w:kern w:val="28"/>
          <w:sz w:val="24"/>
        </w:rPr>
        <w:t>；</w:t>
      </w:r>
    </w:p>
    <w:p>
      <w:pPr>
        <w:shd w:val="clear" w:color="auto" w:fill="FFFFFF"/>
        <w:snapToGrid w:val="0"/>
        <w:spacing w:line="360" w:lineRule="auto"/>
        <w:ind w:firstLine="480" w:firstLineChars="200"/>
        <w:rPr>
          <w:rFonts w:ascii="宋体" w:hAnsi="宋体" w:cs="宋体"/>
          <w:color w:val="0000FF"/>
          <w:sz w:val="24"/>
        </w:rPr>
      </w:pPr>
      <w:r>
        <w:rPr>
          <w:rFonts w:hint="eastAsia" w:ascii="宋体" w:hAnsi="宋体" w:cs="宋体"/>
          <w:color w:val="0000FF"/>
          <w:kern w:val="28"/>
          <w:sz w:val="24"/>
        </w:rPr>
        <w:t>（</w:t>
      </w:r>
      <w:r>
        <w:rPr>
          <w:rFonts w:hint="eastAsia" w:ascii="宋体" w:hAnsi="宋体" w:cs="宋体"/>
          <w:color w:val="0000FF"/>
          <w:sz w:val="24"/>
        </w:rPr>
        <w:t>3）质保期为：</w:t>
      </w:r>
      <w:r>
        <w:rPr>
          <w:rFonts w:hint="eastAsia" w:ascii="宋体" w:hAnsi="宋体" w:cs="宋体"/>
          <w:color w:val="0000FF"/>
          <w:sz w:val="24"/>
          <w:u w:val="single"/>
        </w:rPr>
        <w:t xml:space="preserve">     </w:t>
      </w:r>
      <w:r>
        <w:rPr>
          <w:rFonts w:hint="eastAsia" w:ascii="宋体" w:hAnsi="宋体" w:cs="宋体"/>
          <w:color w:val="0000FF"/>
          <w:sz w:val="24"/>
        </w:rPr>
        <w:t>年；</w:t>
      </w:r>
    </w:p>
    <w:p>
      <w:pPr>
        <w:shd w:val="clear" w:color="auto" w:fill="FFFFFF"/>
        <w:snapToGrid w:val="0"/>
        <w:spacing w:line="360" w:lineRule="auto"/>
        <w:ind w:firstLine="480" w:firstLineChars="200"/>
        <w:rPr>
          <w:rFonts w:ascii="宋体" w:hAnsi="宋体" w:cs="宋体"/>
          <w:color w:val="0000FF"/>
          <w:sz w:val="24"/>
        </w:rPr>
      </w:pPr>
      <w:r>
        <w:rPr>
          <w:rFonts w:hint="eastAsia" w:ascii="宋体" w:hAnsi="宋体" w:cs="宋体"/>
          <w:color w:val="0000FF"/>
          <w:sz w:val="24"/>
        </w:rPr>
        <w:t>（4）甲方验收日期：</w:t>
      </w:r>
    </w:p>
    <w:p>
      <w:pPr>
        <w:shd w:val="clear" w:color="auto" w:fill="FFFFFF"/>
        <w:snapToGrid w:val="0"/>
        <w:spacing w:line="360" w:lineRule="auto"/>
        <w:ind w:firstLine="480" w:firstLineChars="200"/>
        <w:rPr>
          <w:rFonts w:ascii="宋体" w:hAnsi="宋体" w:cs="宋体"/>
          <w:color w:val="0000FF"/>
          <w:sz w:val="24"/>
        </w:rPr>
      </w:pPr>
      <w:r>
        <w:rPr>
          <w:rFonts w:hint="eastAsia" w:ascii="宋体" w:hAnsi="宋体" w:cs="宋体"/>
          <w:color w:val="0000FF"/>
          <w:sz w:val="24"/>
        </w:rPr>
        <w:t>（5）甲方验收合格后视为交付。</w:t>
      </w:r>
    </w:p>
    <w:p>
      <w:pPr>
        <w:shd w:val="clear" w:color="auto" w:fill="FFFFFF"/>
        <w:snapToGrid w:val="0"/>
        <w:spacing w:line="360" w:lineRule="auto"/>
        <w:ind w:firstLine="480" w:firstLineChars="200"/>
        <w:rPr>
          <w:rFonts w:ascii="宋体" w:hAnsi="宋体" w:cs="宋体"/>
          <w:color w:val="0000FF"/>
          <w:sz w:val="24"/>
        </w:rPr>
      </w:pPr>
      <w:r>
        <w:rPr>
          <w:rFonts w:hint="eastAsia" w:ascii="宋体" w:hAnsi="宋体" w:cs="宋体"/>
          <w:color w:val="0000FF"/>
          <w:sz w:val="24"/>
        </w:rPr>
        <w:t>（6）到货检验：</w:t>
      </w:r>
    </w:p>
    <w:p>
      <w:pPr>
        <w:shd w:val="clear" w:color="auto" w:fill="FFFFFF"/>
        <w:snapToGrid w:val="0"/>
        <w:spacing w:line="360" w:lineRule="auto"/>
        <w:ind w:firstLine="240" w:firstLineChars="100"/>
        <w:rPr>
          <w:rFonts w:ascii="宋体" w:hAnsi="宋体" w:cs="宋体"/>
          <w:color w:val="0000FF"/>
          <w:sz w:val="24"/>
        </w:rPr>
      </w:pPr>
      <w:r>
        <w:rPr>
          <w:rFonts w:hint="eastAsia" w:ascii="宋体" w:hAnsi="宋体" w:cs="宋体"/>
          <w:color w:val="0000FF"/>
          <w:sz w:val="24"/>
        </w:rPr>
        <w:t xml:space="preserve">  1、货物到达现场后，乙方应在甲方人员在场情况下当面开箱，共同清点、检查外观，作出开箱记录，双方签字确认。</w:t>
      </w:r>
    </w:p>
    <w:p>
      <w:pPr>
        <w:shd w:val="clear" w:color="auto" w:fill="FFFFFF"/>
        <w:snapToGrid w:val="0"/>
        <w:spacing w:line="360" w:lineRule="auto"/>
        <w:ind w:firstLine="480" w:firstLineChars="200"/>
        <w:rPr>
          <w:rFonts w:ascii="宋体" w:hAnsi="宋体" w:cs="宋体"/>
          <w:color w:val="0000FF"/>
          <w:sz w:val="24"/>
        </w:rPr>
      </w:pPr>
      <w:r>
        <w:rPr>
          <w:rFonts w:hint="eastAsia" w:ascii="宋体" w:hAnsi="宋体" w:cs="宋体"/>
          <w:color w:val="0000FF"/>
          <w:sz w:val="24"/>
        </w:rPr>
        <w:t>2、乙方应保证货物到达甲方所在地完好无损，如有缺漏、损坏，由乙方负责调换、补齐或赔偿。</w:t>
      </w:r>
    </w:p>
    <w:p>
      <w:pPr>
        <w:shd w:val="clear" w:color="auto" w:fill="FFFFFF"/>
        <w:snapToGrid w:val="0"/>
        <w:spacing w:line="360" w:lineRule="auto"/>
        <w:ind w:firstLine="480" w:firstLineChars="200"/>
        <w:rPr>
          <w:rFonts w:ascii="宋体" w:hAnsi="宋体" w:cs="宋体"/>
          <w:color w:val="0000FF"/>
          <w:sz w:val="24"/>
        </w:rPr>
      </w:pPr>
      <w:r>
        <w:rPr>
          <w:rFonts w:hint="eastAsia" w:ascii="宋体" w:hAnsi="宋体" w:cs="宋体"/>
          <w:color w:val="0000FF"/>
          <w:sz w:val="24"/>
        </w:rPr>
        <w:t>3、乙方应提供完善的技术资料、装箱单和合格证等，并派遣专业技术人员进行现场安装调试。验收合格条件如下：</w:t>
      </w:r>
    </w:p>
    <w:p>
      <w:pPr>
        <w:shd w:val="clear" w:color="auto" w:fill="FFFFFF"/>
        <w:snapToGrid w:val="0"/>
        <w:spacing w:line="360" w:lineRule="auto"/>
        <w:ind w:firstLine="480" w:firstLineChars="200"/>
        <w:rPr>
          <w:rFonts w:ascii="宋体" w:hAnsi="宋体" w:cs="宋体"/>
          <w:color w:val="0000FF"/>
          <w:sz w:val="24"/>
        </w:rPr>
      </w:pPr>
      <w:r>
        <w:rPr>
          <w:rFonts w:hint="eastAsia" w:ascii="宋体" w:hAnsi="宋体" w:cs="宋体"/>
          <w:color w:val="0000FF"/>
          <w:sz w:val="24"/>
        </w:rPr>
        <w:t>（1）如为进口产品，必须是原装进口，不接受国内组装，符合进口产品的相关要求，在装机验收时，需提供报关单。</w:t>
      </w:r>
    </w:p>
    <w:p>
      <w:pPr>
        <w:pStyle w:val="6"/>
        <w:spacing w:line="360" w:lineRule="auto"/>
        <w:rPr>
          <w:rFonts w:ascii="宋体" w:hAnsi="宋体" w:cs="宋体"/>
          <w:color w:val="0000FF"/>
          <w:kern w:val="2"/>
          <w:sz w:val="24"/>
        </w:rPr>
      </w:pPr>
      <w:r>
        <w:rPr>
          <w:rFonts w:hint="eastAsia" w:ascii="宋体" w:hAnsi="宋体" w:cs="宋体"/>
          <w:color w:val="0000FF"/>
          <w:kern w:val="2"/>
          <w:sz w:val="24"/>
        </w:rPr>
        <w:t xml:space="preserve">    （2）设备技术参数与采购合同一致，性能指标达到规定的标准。</w:t>
      </w:r>
    </w:p>
    <w:p>
      <w:pPr>
        <w:pStyle w:val="6"/>
        <w:spacing w:line="360" w:lineRule="auto"/>
        <w:rPr>
          <w:rFonts w:ascii="宋体" w:hAnsi="宋体" w:cs="宋体"/>
          <w:color w:val="0000FF"/>
          <w:kern w:val="2"/>
          <w:sz w:val="24"/>
        </w:rPr>
      </w:pPr>
      <w:r>
        <w:rPr>
          <w:rFonts w:hint="eastAsia" w:ascii="宋体" w:hAnsi="宋体" w:cs="宋体"/>
          <w:color w:val="0000FF"/>
          <w:kern w:val="2"/>
          <w:sz w:val="24"/>
        </w:rPr>
        <w:t xml:space="preserve">    （3）货物技术资料、装箱单、合格证等资料齐全。</w:t>
      </w:r>
    </w:p>
    <w:p>
      <w:pPr>
        <w:pStyle w:val="6"/>
        <w:spacing w:line="360" w:lineRule="auto"/>
        <w:rPr>
          <w:rFonts w:ascii="宋体" w:hAnsi="宋体" w:cs="宋体"/>
          <w:color w:val="0000FF"/>
          <w:kern w:val="2"/>
          <w:sz w:val="24"/>
        </w:rPr>
      </w:pPr>
      <w:r>
        <w:rPr>
          <w:rFonts w:hint="eastAsia" w:ascii="宋体" w:hAnsi="宋体" w:cs="宋体"/>
          <w:color w:val="0000FF"/>
          <w:kern w:val="2"/>
          <w:sz w:val="24"/>
        </w:rPr>
        <w:t xml:space="preserve">    （4）在产品试运行期间所出现的问题得到解决，并运行正常。</w:t>
      </w:r>
    </w:p>
    <w:p>
      <w:pPr>
        <w:pStyle w:val="6"/>
        <w:spacing w:line="360" w:lineRule="auto"/>
        <w:rPr>
          <w:rFonts w:ascii="宋体" w:hAnsi="宋体" w:cs="宋体"/>
          <w:color w:val="0000FF"/>
          <w:kern w:val="2"/>
          <w:sz w:val="24"/>
        </w:rPr>
      </w:pPr>
      <w:r>
        <w:rPr>
          <w:rFonts w:hint="eastAsia" w:ascii="宋体" w:hAnsi="宋体" w:cs="宋体"/>
          <w:color w:val="0000FF"/>
          <w:kern w:val="2"/>
          <w:sz w:val="24"/>
        </w:rPr>
        <w:t xml:space="preserve">    （5）在规定时间内完成交货并验收，并经甲方确认。</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4、产品在安装调试并试运行符合要求后，甲方出具采购项目验收单，才视为验收合格。</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5、乙方提供的货物未达到文件规定要求，甲方可以要求退货或者乙方另行调换合格货物。因退换货产生的所有费用由乙方负责，对甲方造成损失的，由乙方承担一切责任，并赔偿所造成的损失。</w:t>
      </w:r>
    </w:p>
    <w:p>
      <w:pPr>
        <w:pStyle w:val="6"/>
        <w:spacing w:line="360" w:lineRule="auto"/>
        <w:rPr>
          <w:rFonts w:ascii="宋体" w:hAnsi="宋体" w:cs="宋体"/>
          <w:color w:val="0000FF"/>
          <w:kern w:val="2"/>
          <w:sz w:val="24"/>
        </w:rPr>
      </w:pPr>
      <w:r>
        <w:rPr>
          <w:rFonts w:hint="eastAsia" w:ascii="宋体" w:hAnsi="宋体" w:cs="宋体"/>
          <w:color w:val="0000FF"/>
          <w:kern w:val="2"/>
          <w:sz w:val="24"/>
        </w:rPr>
        <w:t xml:space="preserve">    6、大型或者复杂的政府采购项目，甲方应当邀请国家认可的质量检测机构参加验收工作。</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7、甲方需要制造商对乙方交付的产品（包括质量、技术参数等）进行确认的，制造商应予以配合，并出具书面意见。</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8、在设备安装调试完毕后，乙方向甲方须提供设备的维护手册、维修手册、备件清单、零部件、维修密码等维护维修必需的材料和信息。资料提交完整无误后，甲方进行项目验收。</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9、设备生产厂商须对甲方无任何条件的免费、及时、终身连续提供有效的所需登录信息和相关密码与口令（提供设备生产厂商承诺书1份，要求内容清晰明确、签章齐全）。</w:t>
      </w:r>
    </w:p>
    <w:p>
      <w:pPr>
        <w:pStyle w:val="6"/>
        <w:spacing w:line="360" w:lineRule="auto"/>
        <w:ind w:firstLine="480" w:firstLineChars="200"/>
        <w:rPr>
          <w:rFonts w:ascii="宋体" w:hAnsi="宋体" w:cs="宋体"/>
          <w:b/>
          <w:bCs/>
          <w:color w:val="0000FF"/>
          <w:kern w:val="2"/>
          <w:sz w:val="24"/>
        </w:rPr>
      </w:pPr>
      <w:r>
        <w:rPr>
          <w:rFonts w:hint="eastAsia" w:ascii="宋体" w:hAnsi="宋体" w:cs="宋体"/>
          <w:color w:val="0000FF"/>
          <w:kern w:val="2"/>
          <w:sz w:val="24"/>
        </w:rPr>
        <w:t>10、产品包装材料归甲方所有。</w:t>
      </w:r>
    </w:p>
    <w:p>
      <w:pPr>
        <w:pStyle w:val="6"/>
        <w:spacing w:line="360" w:lineRule="auto"/>
        <w:rPr>
          <w:rFonts w:ascii="宋体" w:hAnsi="宋体" w:cs="宋体"/>
          <w:b/>
          <w:bCs/>
          <w:color w:val="0000FF"/>
          <w:kern w:val="2"/>
          <w:sz w:val="24"/>
        </w:rPr>
      </w:pPr>
      <w:r>
        <w:rPr>
          <w:rFonts w:hint="eastAsia" w:ascii="宋体" w:hAnsi="宋体" w:cs="宋体"/>
          <w:b/>
          <w:bCs/>
          <w:color w:val="0000FF"/>
          <w:kern w:val="2"/>
          <w:sz w:val="24"/>
        </w:rPr>
        <w:t>四、包装运输</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（1）运杂费：一次包死，已包含在合同总价内，包括从产品供应地点到交货地点所包含的运输费、保险费、搬运费、其他税费等一切费用。</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 xml:space="preserve">（2）运输方式：自行选择  </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3）包装箱使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的规定。</w:t>
      </w:r>
    </w:p>
    <w:p>
      <w:pPr>
        <w:pStyle w:val="6"/>
        <w:spacing w:line="360" w:lineRule="auto"/>
        <w:rPr>
          <w:rFonts w:ascii="宋体" w:hAnsi="宋体" w:cs="宋体"/>
          <w:b/>
          <w:bCs/>
          <w:color w:val="0000FF"/>
          <w:kern w:val="2"/>
          <w:sz w:val="24"/>
        </w:rPr>
      </w:pPr>
      <w:r>
        <w:rPr>
          <w:rFonts w:hint="eastAsia" w:ascii="宋体" w:hAnsi="宋体" w:cs="宋体"/>
          <w:b/>
          <w:bCs/>
          <w:color w:val="0000FF"/>
          <w:kern w:val="2"/>
          <w:sz w:val="24"/>
        </w:rPr>
        <w:t>五、质量保证</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（1）乙方提供给甲方的产品必须是设计科学、技术成熟、工艺优良，是用优质材料制造的、先进的、原厂生产的未曾使用过的、全新的合格产品。</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（2）设计技术专利、外形专利、应用软件专利等均应符合我国有关法律及行业标准，凡因以上问题与第三方发生的任何纠纷均与甲方无关。</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（3）安全可靠。在正常使用下不应对操作者造成任何人身伤害，如因产品质量或标示不明确而对操作者造成损失的，甲方将保留依法索赔的权利。</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（4）有强制性安全标准的产品，乙方应提供该产品的制造许可证证明。</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（5）属于国家计量检测强检的产品，供货时提供本省法定计量检测机构出具的检测证书。</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（6）产品性能必须与其标示的技术指标项符合，甲方有权在产品的有效保质期内依据技术指标对该产品进行技术验收，其主要的技术参数达不到标准时，甲方有权无条件退货或依据有关法律索赔。</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（7）乙方所提供设备质保期：</w:t>
      </w:r>
      <w:r>
        <w:rPr>
          <w:rFonts w:hint="eastAsia" w:ascii="宋体" w:hAnsi="宋体" w:cs="宋体"/>
          <w:color w:val="0000FF"/>
          <w:kern w:val="2"/>
          <w:sz w:val="24"/>
          <w:u w:val="single"/>
        </w:rPr>
        <w:t xml:space="preserve">               </w:t>
      </w:r>
      <w:r>
        <w:rPr>
          <w:rFonts w:hint="eastAsia" w:ascii="宋体" w:hAnsi="宋体" w:cs="宋体"/>
          <w:color w:val="0000FF"/>
          <w:kern w:val="2"/>
          <w:sz w:val="24"/>
        </w:rPr>
        <w:t>。</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设备质保期按设备安装验收合格办理入库之日算起。质保期满后如需更换零部件，只收取零部件成本费，免人工服务费。</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（8）质保期外服务要求</w:t>
      </w:r>
    </w:p>
    <w:p>
      <w:pPr>
        <w:pStyle w:val="6"/>
        <w:spacing w:line="360" w:lineRule="auto"/>
        <w:ind w:firstLine="480" w:firstLineChars="200"/>
        <w:rPr>
          <w:rFonts w:ascii="宋体" w:hAnsi="宋体" w:cs="宋体"/>
          <w:color w:val="0000FF"/>
          <w:kern w:val="2"/>
          <w:sz w:val="24"/>
        </w:rPr>
      </w:pPr>
      <w:r>
        <w:rPr>
          <w:rFonts w:hint="eastAsia" w:ascii="宋体" w:hAnsi="宋体" w:cs="宋体"/>
          <w:color w:val="0000FF"/>
          <w:kern w:val="2"/>
          <w:sz w:val="24"/>
        </w:rPr>
        <w:t>1、质保期外仅收取配件费用；</w:t>
      </w:r>
    </w:p>
    <w:p>
      <w:pPr>
        <w:pStyle w:val="6"/>
        <w:spacing w:line="360" w:lineRule="auto"/>
        <w:ind w:firstLine="480" w:firstLineChars="200"/>
        <w:rPr>
          <w:rFonts w:ascii="宋体" w:hAnsi="宋体" w:cs="宋体"/>
          <w:color w:val="0000FF"/>
          <w:kern w:val="28"/>
          <w:sz w:val="24"/>
        </w:rPr>
      </w:pPr>
      <w:r>
        <w:rPr>
          <w:rFonts w:hint="eastAsia" w:ascii="宋体" w:hAnsi="宋体" w:cs="宋体"/>
          <w:color w:val="0000FF"/>
          <w:kern w:val="2"/>
          <w:sz w:val="24"/>
        </w:rPr>
        <w:t>2、免费维修及服务保证承诺：</w:t>
      </w:r>
      <w:bookmarkEnd w:id="14"/>
      <w:bookmarkEnd w:id="15"/>
      <w:bookmarkEnd w:id="16"/>
      <w:bookmarkEnd w:id="17"/>
      <w:bookmarkEnd w:id="18"/>
      <w:bookmarkEnd w:id="19"/>
      <w:bookmarkEnd w:id="20"/>
      <w:bookmarkStart w:id="21" w:name="_Toc465511161"/>
      <w:bookmarkStart w:id="22" w:name="_Toc465510858"/>
      <w:bookmarkStart w:id="23" w:name="_Toc468550422"/>
      <w:bookmarkStart w:id="24" w:name="_Toc466270650"/>
      <w:bookmarkStart w:id="25" w:name="_Toc465511116"/>
      <w:bookmarkStart w:id="26" w:name="_Toc476761653"/>
    </w:p>
    <w:p>
      <w:pPr>
        <w:snapToGrid w:val="0"/>
        <w:spacing w:line="360" w:lineRule="auto"/>
        <w:rPr>
          <w:rFonts w:ascii="宋体" w:hAnsi="宋体" w:cs="宋体"/>
          <w:b/>
          <w:bCs/>
          <w:color w:val="0000FF"/>
          <w:sz w:val="24"/>
        </w:rPr>
      </w:pPr>
      <w:r>
        <w:rPr>
          <w:rFonts w:hint="eastAsia" w:ascii="宋体" w:hAnsi="宋体" w:cs="宋体"/>
          <w:b/>
          <w:bCs/>
          <w:color w:val="0000FF"/>
          <w:sz w:val="24"/>
        </w:rPr>
        <w:t>六、合同价款、结算与支付</w:t>
      </w:r>
      <w:bookmarkEnd w:id="21"/>
      <w:bookmarkEnd w:id="22"/>
      <w:bookmarkEnd w:id="23"/>
      <w:bookmarkEnd w:id="24"/>
      <w:bookmarkEnd w:id="25"/>
      <w:bookmarkEnd w:id="26"/>
    </w:p>
    <w:p>
      <w:pPr>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1.总价款为：</w:t>
      </w:r>
    </w:p>
    <w:p>
      <w:pPr>
        <w:snapToGrid w:val="0"/>
        <w:spacing w:line="360" w:lineRule="auto"/>
        <w:ind w:firstLine="480" w:firstLineChars="200"/>
        <w:rPr>
          <w:rFonts w:ascii="宋体" w:hAnsi="宋体" w:cs="宋体"/>
          <w:color w:val="0000FF"/>
          <w:kern w:val="28"/>
          <w:sz w:val="24"/>
        </w:rPr>
      </w:pPr>
      <w:r>
        <w:rPr>
          <w:rFonts w:hint="eastAsia" w:ascii="宋体" w:hAnsi="宋体" w:cs="宋体"/>
          <w:bCs/>
          <w:color w:val="0000FF"/>
          <w:kern w:val="28"/>
          <w:sz w:val="24"/>
        </w:rPr>
        <w:t>大写人民币：</w:t>
      </w:r>
      <w:r>
        <w:rPr>
          <w:rFonts w:hint="eastAsia" w:ascii="宋体" w:hAnsi="宋体" w:cs="宋体"/>
          <w:bCs/>
          <w:color w:val="0000FF"/>
          <w:kern w:val="28"/>
          <w:sz w:val="24"/>
          <w:u w:val="single"/>
        </w:rPr>
        <w:t xml:space="preserve">                                     </w:t>
      </w:r>
      <w:r>
        <w:rPr>
          <w:rFonts w:hint="eastAsia" w:ascii="宋体" w:hAnsi="宋体" w:cs="宋体"/>
          <w:bCs/>
          <w:color w:val="0000FF"/>
          <w:kern w:val="28"/>
          <w:sz w:val="24"/>
        </w:rPr>
        <w:t xml:space="preserve">     </w:t>
      </w:r>
    </w:p>
    <w:p>
      <w:pPr>
        <w:snapToGrid w:val="0"/>
        <w:spacing w:line="360" w:lineRule="auto"/>
        <w:ind w:firstLine="480" w:firstLineChars="200"/>
        <w:rPr>
          <w:rFonts w:ascii="宋体" w:hAnsi="宋体" w:cs="宋体"/>
          <w:color w:val="0000FF"/>
          <w:kern w:val="28"/>
          <w:sz w:val="24"/>
        </w:rPr>
      </w:pPr>
      <w:r>
        <w:rPr>
          <w:rFonts w:hint="eastAsia" w:ascii="宋体" w:hAnsi="宋体" w:cs="宋体"/>
          <w:bCs/>
          <w:color w:val="0000FF"/>
          <w:kern w:val="28"/>
          <w:sz w:val="24"/>
        </w:rPr>
        <w:t xml:space="preserve">小写RMB </w:t>
      </w:r>
      <w:r>
        <w:rPr>
          <w:rFonts w:ascii="Arial" w:hAnsi="Arial" w:cs="Arial"/>
          <w:bCs/>
          <w:color w:val="0000FF"/>
          <w:kern w:val="28"/>
          <w:sz w:val="24"/>
        </w:rPr>
        <w:t>¥</w:t>
      </w:r>
      <w:r>
        <w:rPr>
          <w:rFonts w:hint="eastAsia" w:ascii="宋体" w:hAnsi="宋体" w:cs="宋体"/>
          <w:bCs/>
          <w:color w:val="0000FF"/>
          <w:kern w:val="28"/>
          <w:sz w:val="24"/>
        </w:rPr>
        <w:t>：</w:t>
      </w:r>
      <w:r>
        <w:rPr>
          <w:rFonts w:hint="eastAsia" w:ascii="宋体" w:hAnsi="宋体" w:cs="宋体"/>
          <w:bCs/>
          <w:color w:val="0000FF"/>
          <w:kern w:val="28"/>
          <w:sz w:val="24"/>
          <w:u w:val="single"/>
        </w:rPr>
        <w:t xml:space="preserve">                                      </w:t>
      </w:r>
      <w:r>
        <w:rPr>
          <w:rFonts w:hint="eastAsia" w:ascii="宋体" w:hAnsi="宋体" w:cs="宋体"/>
          <w:bCs/>
          <w:color w:val="0000FF"/>
          <w:kern w:val="28"/>
          <w:sz w:val="24"/>
        </w:rPr>
        <w:t xml:space="preserve">      </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投标报价应是完成招标内容所需的全部费用，包括但不限于产品的报价及所发生的：以本招标文件的内容和要求作为投标依据。</w:t>
      </w:r>
    </w:p>
    <w:p>
      <w:pPr>
        <w:shd w:val="clear" w:color="auto" w:fill="FFFFFF"/>
        <w:snapToGrid w:val="0"/>
        <w:spacing w:line="360" w:lineRule="auto"/>
        <w:ind w:firstLine="480" w:firstLineChars="200"/>
        <w:rPr>
          <w:rFonts w:ascii="宋体" w:hAnsi="宋体" w:cs="宋体"/>
          <w:color w:val="0000FF"/>
          <w:sz w:val="24"/>
        </w:rPr>
      </w:pPr>
      <w:r>
        <w:rPr>
          <w:rFonts w:hint="eastAsia" w:ascii="宋体" w:hAnsi="宋体" w:cs="宋体"/>
          <w:color w:val="0000FF"/>
          <w:kern w:val="28"/>
          <w:sz w:val="24"/>
        </w:rPr>
        <w:t>单价所反映的内容同上，综合考虑在单价中。</w:t>
      </w:r>
    </w:p>
    <w:p>
      <w:pPr>
        <w:snapToGrid w:val="0"/>
        <w:spacing w:line="360" w:lineRule="auto"/>
        <w:ind w:firstLine="482" w:firstLineChars="200"/>
        <w:rPr>
          <w:rFonts w:ascii="宋体" w:hAnsi="宋体" w:cs="宋体"/>
          <w:b/>
          <w:bCs/>
          <w:color w:val="0000FF"/>
          <w:kern w:val="0"/>
          <w:sz w:val="24"/>
        </w:rPr>
      </w:pPr>
      <w:r>
        <w:rPr>
          <w:rFonts w:hint="eastAsia" w:ascii="宋体" w:hAnsi="宋体" w:cs="宋体"/>
          <w:b/>
          <w:bCs/>
          <w:color w:val="0000FF"/>
          <w:kern w:val="0"/>
          <w:sz w:val="24"/>
        </w:rPr>
        <w:t>附件1：设备清单（可另付）</w:t>
      </w:r>
    </w:p>
    <w:tbl>
      <w:tblPr>
        <w:tblStyle w:val="7"/>
        <w:tblW w:w="9779" w:type="dxa"/>
        <w:tblInd w:w="-4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576"/>
        <w:gridCol w:w="1575"/>
        <w:gridCol w:w="1153"/>
        <w:gridCol w:w="762"/>
        <w:gridCol w:w="724"/>
        <w:gridCol w:w="1225"/>
        <w:gridCol w:w="1002"/>
        <w:gridCol w:w="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1046" w:type="dxa"/>
            <w:vAlign w:val="center"/>
          </w:tcPr>
          <w:p>
            <w:pPr>
              <w:snapToGrid w:val="0"/>
              <w:jc w:val="center"/>
              <w:rPr>
                <w:rFonts w:ascii="宋体" w:hAnsi="宋体" w:cs="宋体"/>
                <w:b/>
                <w:color w:val="0000FF"/>
                <w:sz w:val="24"/>
              </w:rPr>
            </w:pPr>
            <w:r>
              <w:rPr>
                <w:rFonts w:hint="eastAsia" w:ascii="宋体" w:hAnsi="宋体" w:cs="宋体"/>
                <w:b/>
                <w:color w:val="0000FF"/>
                <w:sz w:val="24"/>
              </w:rPr>
              <w:t>序号</w:t>
            </w:r>
          </w:p>
        </w:tc>
        <w:tc>
          <w:tcPr>
            <w:tcW w:w="1576" w:type="dxa"/>
            <w:vAlign w:val="center"/>
          </w:tcPr>
          <w:p>
            <w:pPr>
              <w:snapToGrid w:val="0"/>
              <w:jc w:val="center"/>
              <w:rPr>
                <w:rFonts w:ascii="宋体" w:hAnsi="宋体" w:cs="宋体"/>
                <w:b/>
                <w:color w:val="0000FF"/>
                <w:sz w:val="24"/>
              </w:rPr>
            </w:pPr>
            <w:r>
              <w:rPr>
                <w:rFonts w:hint="eastAsia" w:ascii="宋体" w:hAnsi="宋体" w:cs="宋体"/>
                <w:b/>
                <w:color w:val="0000FF"/>
                <w:sz w:val="24"/>
              </w:rPr>
              <w:t>产品名称</w:t>
            </w:r>
          </w:p>
        </w:tc>
        <w:tc>
          <w:tcPr>
            <w:tcW w:w="1575" w:type="dxa"/>
            <w:vAlign w:val="center"/>
          </w:tcPr>
          <w:p>
            <w:pPr>
              <w:snapToGrid w:val="0"/>
              <w:jc w:val="center"/>
              <w:rPr>
                <w:rFonts w:ascii="宋体" w:hAnsi="宋体" w:cs="宋体"/>
                <w:b/>
                <w:color w:val="0000FF"/>
                <w:sz w:val="24"/>
              </w:rPr>
            </w:pPr>
            <w:r>
              <w:rPr>
                <w:rFonts w:hint="eastAsia" w:ascii="宋体" w:hAnsi="宋体" w:cs="宋体"/>
                <w:b/>
                <w:color w:val="0000FF"/>
                <w:sz w:val="24"/>
              </w:rPr>
              <w:t>规格型号</w:t>
            </w:r>
          </w:p>
        </w:tc>
        <w:tc>
          <w:tcPr>
            <w:tcW w:w="1153" w:type="dxa"/>
            <w:vAlign w:val="center"/>
          </w:tcPr>
          <w:p>
            <w:pPr>
              <w:snapToGrid w:val="0"/>
              <w:jc w:val="center"/>
              <w:rPr>
                <w:rFonts w:ascii="宋体" w:hAnsi="宋体" w:cs="宋体"/>
                <w:b/>
                <w:color w:val="0000FF"/>
                <w:sz w:val="24"/>
              </w:rPr>
            </w:pPr>
            <w:r>
              <w:rPr>
                <w:rFonts w:hint="eastAsia" w:ascii="宋体" w:hAnsi="宋体" w:cs="宋体"/>
                <w:b/>
                <w:color w:val="0000FF"/>
                <w:sz w:val="24"/>
              </w:rPr>
              <w:t>品牌、</w:t>
            </w:r>
          </w:p>
          <w:p>
            <w:pPr>
              <w:snapToGrid w:val="0"/>
              <w:jc w:val="center"/>
              <w:rPr>
                <w:rFonts w:ascii="宋体" w:hAnsi="宋体" w:cs="宋体"/>
                <w:b/>
                <w:color w:val="0000FF"/>
                <w:sz w:val="24"/>
              </w:rPr>
            </w:pPr>
            <w:r>
              <w:rPr>
                <w:rFonts w:hint="eastAsia" w:ascii="宋体" w:hAnsi="宋体" w:cs="宋体"/>
                <w:b/>
                <w:color w:val="0000FF"/>
                <w:sz w:val="24"/>
              </w:rPr>
              <w:t>原产地</w:t>
            </w:r>
          </w:p>
        </w:tc>
        <w:tc>
          <w:tcPr>
            <w:tcW w:w="762" w:type="dxa"/>
            <w:vAlign w:val="center"/>
          </w:tcPr>
          <w:p>
            <w:pPr>
              <w:snapToGrid w:val="0"/>
              <w:jc w:val="center"/>
              <w:rPr>
                <w:rFonts w:ascii="宋体" w:hAnsi="宋体" w:cs="宋体"/>
                <w:b/>
                <w:color w:val="0000FF"/>
                <w:sz w:val="24"/>
              </w:rPr>
            </w:pPr>
            <w:r>
              <w:rPr>
                <w:rFonts w:hint="eastAsia" w:ascii="宋体" w:hAnsi="宋体" w:cs="宋体"/>
                <w:b/>
                <w:color w:val="0000FF"/>
                <w:sz w:val="24"/>
              </w:rPr>
              <w:t>单位</w:t>
            </w:r>
          </w:p>
        </w:tc>
        <w:tc>
          <w:tcPr>
            <w:tcW w:w="724" w:type="dxa"/>
            <w:vAlign w:val="center"/>
          </w:tcPr>
          <w:p>
            <w:pPr>
              <w:snapToGrid w:val="0"/>
              <w:jc w:val="center"/>
              <w:rPr>
                <w:rFonts w:ascii="宋体" w:hAnsi="宋体" w:cs="宋体"/>
                <w:b/>
                <w:color w:val="0000FF"/>
                <w:sz w:val="24"/>
              </w:rPr>
            </w:pPr>
            <w:r>
              <w:rPr>
                <w:rFonts w:hint="eastAsia" w:ascii="宋体" w:hAnsi="宋体" w:cs="宋体"/>
                <w:b/>
                <w:color w:val="0000FF"/>
                <w:sz w:val="24"/>
              </w:rPr>
              <w:t>数量</w:t>
            </w:r>
          </w:p>
        </w:tc>
        <w:tc>
          <w:tcPr>
            <w:tcW w:w="1225" w:type="dxa"/>
            <w:vAlign w:val="center"/>
          </w:tcPr>
          <w:p>
            <w:pPr>
              <w:snapToGrid w:val="0"/>
              <w:jc w:val="center"/>
              <w:rPr>
                <w:rFonts w:ascii="宋体" w:hAnsi="宋体" w:cs="宋体"/>
                <w:b/>
                <w:color w:val="0000FF"/>
                <w:sz w:val="24"/>
              </w:rPr>
            </w:pPr>
            <w:r>
              <w:rPr>
                <w:rFonts w:hint="eastAsia" w:ascii="宋体" w:hAnsi="宋体" w:cs="宋体"/>
                <w:b/>
                <w:color w:val="0000FF"/>
                <w:sz w:val="24"/>
              </w:rPr>
              <w:t>综合单价（元）</w:t>
            </w:r>
          </w:p>
        </w:tc>
        <w:tc>
          <w:tcPr>
            <w:tcW w:w="1002" w:type="dxa"/>
            <w:vAlign w:val="center"/>
          </w:tcPr>
          <w:p>
            <w:pPr>
              <w:snapToGrid w:val="0"/>
              <w:jc w:val="center"/>
              <w:rPr>
                <w:rFonts w:ascii="宋体" w:hAnsi="宋体" w:cs="宋体"/>
                <w:b/>
                <w:color w:val="0000FF"/>
                <w:sz w:val="24"/>
              </w:rPr>
            </w:pPr>
            <w:r>
              <w:rPr>
                <w:rFonts w:hint="eastAsia" w:ascii="宋体" w:hAnsi="宋体" w:cs="宋体"/>
                <w:b/>
                <w:color w:val="0000FF"/>
                <w:sz w:val="24"/>
              </w:rPr>
              <w:t>合价（元）</w:t>
            </w:r>
          </w:p>
        </w:tc>
        <w:tc>
          <w:tcPr>
            <w:tcW w:w="716" w:type="dxa"/>
            <w:vAlign w:val="center"/>
          </w:tcPr>
          <w:p>
            <w:pPr>
              <w:snapToGrid w:val="0"/>
              <w:jc w:val="center"/>
              <w:rPr>
                <w:rFonts w:ascii="宋体" w:hAnsi="宋体" w:cs="宋体"/>
                <w:b/>
                <w:color w:val="0000FF"/>
                <w:sz w:val="24"/>
              </w:rPr>
            </w:pPr>
            <w:r>
              <w:rPr>
                <w:rFonts w:hint="eastAsia" w:ascii="宋体" w:hAnsi="宋体" w:cs="宋体"/>
                <w:b/>
                <w:color w:val="0000FF"/>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046" w:type="dxa"/>
            <w:vAlign w:val="center"/>
          </w:tcPr>
          <w:p>
            <w:pPr>
              <w:snapToGrid w:val="0"/>
              <w:spacing w:line="360" w:lineRule="auto"/>
              <w:jc w:val="center"/>
              <w:rPr>
                <w:rFonts w:ascii="宋体" w:hAnsi="宋体" w:cs="宋体"/>
                <w:b/>
                <w:color w:val="0000FF"/>
                <w:sz w:val="24"/>
              </w:rPr>
            </w:pPr>
            <w:r>
              <w:rPr>
                <w:rFonts w:hint="eastAsia" w:ascii="宋体" w:hAnsi="宋体" w:cs="宋体"/>
                <w:b/>
                <w:color w:val="0000FF"/>
                <w:sz w:val="24"/>
              </w:rPr>
              <w:t>1</w:t>
            </w:r>
          </w:p>
        </w:tc>
        <w:tc>
          <w:tcPr>
            <w:tcW w:w="1576" w:type="dxa"/>
            <w:vAlign w:val="center"/>
          </w:tcPr>
          <w:p>
            <w:pPr>
              <w:snapToGrid w:val="0"/>
              <w:spacing w:line="360" w:lineRule="auto"/>
              <w:jc w:val="center"/>
              <w:rPr>
                <w:rFonts w:ascii="宋体" w:hAnsi="宋体" w:cs="宋体"/>
                <w:b/>
                <w:color w:val="0000FF"/>
                <w:sz w:val="24"/>
              </w:rPr>
            </w:pPr>
          </w:p>
        </w:tc>
        <w:tc>
          <w:tcPr>
            <w:tcW w:w="1575" w:type="dxa"/>
            <w:vAlign w:val="center"/>
          </w:tcPr>
          <w:p>
            <w:pPr>
              <w:snapToGrid w:val="0"/>
              <w:spacing w:line="360" w:lineRule="auto"/>
              <w:jc w:val="center"/>
              <w:rPr>
                <w:rFonts w:ascii="宋体" w:hAnsi="宋体" w:cs="宋体"/>
                <w:b/>
                <w:color w:val="0000FF"/>
                <w:sz w:val="24"/>
              </w:rPr>
            </w:pPr>
          </w:p>
        </w:tc>
        <w:tc>
          <w:tcPr>
            <w:tcW w:w="1153" w:type="dxa"/>
            <w:vAlign w:val="center"/>
          </w:tcPr>
          <w:p>
            <w:pPr>
              <w:snapToGrid w:val="0"/>
              <w:spacing w:line="360" w:lineRule="auto"/>
              <w:jc w:val="center"/>
              <w:rPr>
                <w:rFonts w:ascii="宋体" w:hAnsi="宋体" w:cs="宋体"/>
                <w:b/>
                <w:color w:val="0000FF"/>
                <w:sz w:val="24"/>
              </w:rPr>
            </w:pPr>
          </w:p>
        </w:tc>
        <w:tc>
          <w:tcPr>
            <w:tcW w:w="762" w:type="dxa"/>
            <w:vAlign w:val="center"/>
          </w:tcPr>
          <w:p>
            <w:pPr>
              <w:snapToGrid w:val="0"/>
              <w:spacing w:line="360" w:lineRule="auto"/>
              <w:ind w:left="-50" w:right="-50"/>
              <w:jc w:val="center"/>
              <w:rPr>
                <w:rFonts w:ascii="宋体" w:hAnsi="宋体" w:cs="宋体"/>
                <w:b/>
                <w:color w:val="0000FF"/>
                <w:sz w:val="24"/>
              </w:rPr>
            </w:pPr>
          </w:p>
        </w:tc>
        <w:tc>
          <w:tcPr>
            <w:tcW w:w="724" w:type="dxa"/>
            <w:vAlign w:val="center"/>
          </w:tcPr>
          <w:p>
            <w:pPr>
              <w:snapToGrid w:val="0"/>
              <w:spacing w:line="360" w:lineRule="auto"/>
              <w:ind w:left="-50" w:right="-50"/>
              <w:jc w:val="center"/>
              <w:rPr>
                <w:rFonts w:ascii="宋体" w:hAnsi="宋体" w:cs="宋体"/>
                <w:b/>
                <w:color w:val="0000FF"/>
                <w:sz w:val="24"/>
              </w:rPr>
            </w:pPr>
          </w:p>
        </w:tc>
        <w:tc>
          <w:tcPr>
            <w:tcW w:w="1225" w:type="dxa"/>
            <w:vAlign w:val="center"/>
          </w:tcPr>
          <w:p>
            <w:pPr>
              <w:snapToGrid w:val="0"/>
              <w:spacing w:line="360" w:lineRule="auto"/>
              <w:ind w:left="-50" w:right="-50"/>
              <w:jc w:val="center"/>
              <w:rPr>
                <w:rFonts w:ascii="宋体" w:hAnsi="宋体" w:cs="宋体"/>
                <w:b/>
                <w:color w:val="0000FF"/>
                <w:sz w:val="24"/>
              </w:rPr>
            </w:pPr>
          </w:p>
        </w:tc>
        <w:tc>
          <w:tcPr>
            <w:tcW w:w="1002" w:type="dxa"/>
            <w:vAlign w:val="center"/>
          </w:tcPr>
          <w:p>
            <w:pPr>
              <w:snapToGrid w:val="0"/>
              <w:spacing w:line="360" w:lineRule="auto"/>
              <w:ind w:left="-50" w:right="-50"/>
              <w:jc w:val="center"/>
              <w:rPr>
                <w:rFonts w:ascii="宋体" w:hAnsi="宋体" w:cs="宋体"/>
                <w:b/>
                <w:color w:val="0000FF"/>
                <w:sz w:val="24"/>
              </w:rPr>
            </w:pPr>
          </w:p>
        </w:tc>
        <w:tc>
          <w:tcPr>
            <w:tcW w:w="716" w:type="dxa"/>
            <w:vAlign w:val="center"/>
          </w:tcPr>
          <w:p>
            <w:pPr>
              <w:snapToGrid w:val="0"/>
              <w:spacing w:line="360" w:lineRule="auto"/>
              <w:jc w:val="center"/>
              <w:rPr>
                <w:rFonts w:ascii="宋体" w:hAnsi="宋体" w:cs="宋体"/>
                <w:b/>
                <w:color w:val="0000FF"/>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046" w:type="dxa"/>
            <w:vAlign w:val="center"/>
          </w:tcPr>
          <w:p>
            <w:pPr>
              <w:snapToGrid w:val="0"/>
              <w:spacing w:line="360" w:lineRule="auto"/>
              <w:jc w:val="center"/>
              <w:rPr>
                <w:rFonts w:ascii="宋体" w:hAnsi="宋体" w:cs="宋体"/>
                <w:b/>
                <w:color w:val="0000FF"/>
                <w:sz w:val="24"/>
              </w:rPr>
            </w:pPr>
            <w:r>
              <w:rPr>
                <w:rFonts w:hint="eastAsia" w:ascii="宋体" w:hAnsi="宋体" w:cs="宋体"/>
                <w:b/>
                <w:color w:val="0000FF"/>
                <w:sz w:val="24"/>
              </w:rPr>
              <w:t>2</w:t>
            </w:r>
          </w:p>
        </w:tc>
        <w:tc>
          <w:tcPr>
            <w:tcW w:w="1576" w:type="dxa"/>
            <w:vAlign w:val="center"/>
          </w:tcPr>
          <w:p>
            <w:pPr>
              <w:autoSpaceDE w:val="0"/>
              <w:autoSpaceDN w:val="0"/>
              <w:snapToGrid w:val="0"/>
              <w:spacing w:line="360" w:lineRule="auto"/>
              <w:rPr>
                <w:rFonts w:ascii="宋体" w:hAnsi="宋体" w:cs="宋体"/>
                <w:b/>
                <w:color w:val="0000FF"/>
                <w:sz w:val="24"/>
              </w:rPr>
            </w:pPr>
          </w:p>
        </w:tc>
        <w:tc>
          <w:tcPr>
            <w:tcW w:w="1575" w:type="dxa"/>
            <w:vAlign w:val="center"/>
          </w:tcPr>
          <w:p>
            <w:pPr>
              <w:autoSpaceDE w:val="0"/>
              <w:autoSpaceDN w:val="0"/>
              <w:snapToGrid w:val="0"/>
              <w:spacing w:line="360" w:lineRule="auto"/>
              <w:rPr>
                <w:rFonts w:ascii="宋体" w:hAnsi="宋体" w:cs="宋体"/>
                <w:b/>
                <w:color w:val="0000FF"/>
                <w:sz w:val="24"/>
              </w:rPr>
            </w:pPr>
          </w:p>
        </w:tc>
        <w:tc>
          <w:tcPr>
            <w:tcW w:w="1153" w:type="dxa"/>
            <w:vAlign w:val="center"/>
          </w:tcPr>
          <w:p>
            <w:pPr>
              <w:snapToGrid w:val="0"/>
              <w:spacing w:line="360" w:lineRule="auto"/>
              <w:jc w:val="center"/>
              <w:rPr>
                <w:rFonts w:ascii="宋体" w:hAnsi="宋体" w:cs="宋体"/>
                <w:b/>
                <w:color w:val="0000FF"/>
                <w:sz w:val="24"/>
              </w:rPr>
            </w:pPr>
          </w:p>
        </w:tc>
        <w:tc>
          <w:tcPr>
            <w:tcW w:w="762" w:type="dxa"/>
            <w:vAlign w:val="center"/>
          </w:tcPr>
          <w:p>
            <w:pPr>
              <w:snapToGrid w:val="0"/>
              <w:spacing w:line="360" w:lineRule="auto"/>
              <w:ind w:left="-50" w:right="-50"/>
              <w:jc w:val="center"/>
              <w:rPr>
                <w:rFonts w:ascii="宋体" w:hAnsi="宋体" w:cs="宋体"/>
                <w:b/>
                <w:color w:val="0000FF"/>
                <w:sz w:val="24"/>
              </w:rPr>
            </w:pPr>
          </w:p>
        </w:tc>
        <w:tc>
          <w:tcPr>
            <w:tcW w:w="724" w:type="dxa"/>
            <w:vAlign w:val="center"/>
          </w:tcPr>
          <w:p>
            <w:pPr>
              <w:snapToGrid w:val="0"/>
              <w:spacing w:line="360" w:lineRule="auto"/>
              <w:ind w:left="-50" w:right="-50"/>
              <w:jc w:val="center"/>
              <w:rPr>
                <w:rFonts w:ascii="宋体" w:hAnsi="宋体" w:cs="宋体"/>
                <w:b/>
                <w:color w:val="0000FF"/>
                <w:sz w:val="24"/>
              </w:rPr>
            </w:pPr>
          </w:p>
        </w:tc>
        <w:tc>
          <w:tcPr>
            <w:tcW w:w="1225" w:type="dxa"/>
            <w:vAlign w:val="center"/>
          </w:tcPr>
          <w:p>
            <w:pPr>
              <w:snapToGrid w:val="0"/>
              <w:spacing w:line="360" w:lineRule="auto"/>
              <w:ind w:left="-50" w:right="-50"/>
              <w:jc w:val="center"/>
              <w:rPr>
                <w:rFonts w:ascii="宋体" w:hAnsi="宋体" w:cs="宋体"/>
                <w:b/>
                <w:color w:val="0000FF"/>
                <w:sz w:val="24"/>
              </w:rPr>
            </w:pPr>
          </w:p>
        </w:tc>
        <w:tc>
          <w:tcPr>
            <w:tcW w:w="1002" w:type="dxa"/>
            <w:vAlign w:val="center"/>
          </w:tcPr>
          <w:p>
            <w:pPr>
              <w:snapToGrid w:val="0"/>
              <w:spacing w:line="360" w:lineRule="auto"/>
              <w:ind w:left="-50" w:right="-50"/>
              <w:jc w:val="center"/>
              <w:rPr>
                <w:rFonts w:ascii="宋体" w:hAnsi="宋体" w:cs="宋体"/>
                <w:b/>
                <w:color w:val="0000FF"/>
                <w:sz w:val="24"/>
              </w:rPr>
            </w:pPr>
          </w:p>
        </w:tc>
        <w:tc>
          <w:tcPr>
            <w:tcW w:w="716" w:type="dxa"/>
            <w:vAlign w:val="center"/>
          </w:tcPr>
          <w:p>
            <w:pPr>
              <w:snapToGrid w:val="0"/>
              <w:spacing w:line="360" w:lineRule="auto"/>
              <w:jc w:val="center"/>
              <w:rPr>
                <w:rFonts w:ascii="宋体" w:hAnsi="宋体" w:cs="宋体"/>
                <w:b/>
                <w:color w:val="0000FF"/>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046" w:type="dxa"/>
            <w:vAlign w:val="center"/>
          </w:tcPr>
          <w:p>
            <w:pPr>
              <w:snapToGrid w:val="0"/>
              <w:spacing w:line="360" w:lineRule="auto"/>
              <w:jc w:val="center"/>
              <w:rPr>
                <w:rFonts w:ascii="宋体" w:hAnsi="宋体" w:cs="宋体"/>
                <w:b/>
                <w:color w:val="0000FF"/>
                <w:sz w:val="24"/>
              </w:rPr>
            </w:pPr>
            <w:r>
              <w:rPr>
                <w:rFonts w:hint="eastAsia" w:ascii="宋体" w:hAnsi="宋体" w:cs="宋体"/>
                <w:b/>
                <w:color w:val="0000FF"/>
                <w:sz w:val="24"/>
              </w:rPr>
              <w:t>3</w:t>
            </w:r>
          </w:p>
        </w:tc>
        <w:tc>
          <w:tcPr>
            <w:tcW w:w="1576" w:type="dxa"/>
            <w:vAlign w:val="center"/>
          </w:tcPr>
          <w:p>
            <w:pPr>
              <w:autoSpaceDE w:val="0"/>
              <w:autoSpaceDN w:val="0"/>
              <w:snapToGrid w:val="0"/>
              <w:spacing w:line="360" w:lineRule="auto"/>
              <w:rPr>
                <w:rFonts w:ascii="宋体" w:hAnsi="宋体" w:cs="宋体"/>
                <w:b/>
                <w:color w:val="0000FF"/>
                <w:sz w:val="24"/>
              </w:rPr>
            </w:pPr>
          </w:p>
        </w:tc>
        <w:tc>
          <w:tcPr>
            <w:tcW w:w="1575" w:type="dxa"/>
            <w:vAlign w:val="center"/>
          </w:tcPr>
          <w:p>
            <w:pPr>
              <w:snapToGrid w:val="0"/>
              <w:spacing w:line="360" w:lineRule="auto"/>
              <w:ind w:left="-50" w:right="-50"/>
              <w:jc w:val="center"/>
              <w:rPr>
                <w:rFonts w:ascii="宋体" w:hAnsi="宋体" w:cs="宋体"/>
                <w:b/>
                <w:color w:val="0000FF"/>
                <w:sz w:val="24"/>
              </w:rPr>
            </w:pPr>
          </w:p>
        </w:tc>
        <w:tc>
          <w:tcPr>
            <w:tcW w:w="1153" w:type="dxa"/>
            <w:vAlign w:val="center"/>
          </w:tcPr>
          <w:p>
            <w:pPr>
              <w:snapToGrid w:val="0"/>
              <w:spacing w:line="360" w:lineRule="auto"/>
              <w:jc w:val="center"/>
              <w:rPr>
                <w:rFonts w:ascii="宋体" w:hAnsi="宋体" w:cs="宋体"/>
                <w:b/>
                <w:color w:val="0000FF"/>
                <w:sz w:val="24"/>
              </w:rPr>
            </w:pPr>
          </w:p>
        </w:tc>
        <w:tc>
          <w:tcPr>
            <w:tcW w:w="762" w:type="dxa"/>
            <w:vAlign w:val="center"/>
          </w:tcPr>
          <w:p>
            <w:pPr>
              <w:snapToGrid w:val="0"/>
              <w:spacing w:line="360" w:lineRule="auto"/>
              <w:ind w:left="-50" w:right="-50"/>
              <w:jc w:val="center"/>
              <w:rPr>
                <w:rFonts w:ascii="宋体" w:hAnsi="宋体" w:cs="宋体"/>
                <w:b/>
                <w:color w:val="0000FF"/>
                <w:sz w:val="24"/>
              </w:rPr>
            </w:pPr>
          </w:p>
        </w:tc>
        <w:tc>
          <w:tcPr>
            <w:tcW w:w="724" w:type="dxa"/>
            <w:vAlign w:val="center"/>
          </w:tcPr>
          <w:p>
            <w:pPr>
              <w:snapToGrid w:val="0"/>
              <w:spacing w:line="360" w:lineRule="auto"/>
              <w:ind w:left="-50" w:right="-50"/>
              <w:jc w:val="center"/>
              <w:rPr>
                <w:rFonts w:ascii="宋体" w:hAnsi="宋体" w:cs="宋体"/>
                <w:b/>
                <w:color w:val="0000FF"/>
                <w:sz w:val="24"/>
              </w:rPr>
            </w:pPr>
          </w:p>
        </w:tc>
        <w:tc>
          <w:tcPr>
            <w:tcW w:w="1225" w:type="dxa"/>
            <w:vAlign w:val="center"/>
          </w:tcPr>
          <w:p>
            <w:pPr>
              <w:snapToGrid w:val="0"/>
              <w:spacing w:line="360" w:lineRule="auto"/>
              <w:ind w:left="-50" w:right="-50"/>
              <w:jc w:val="center"/>
              <w:rPr>
                <w:rFonts w:ascii="宋体" w:hAnsi="宋体" w:cs="宋体"/>
                <w:b/>
                <w:color w:val="0000FF"/>
                <w:sz w:val="24"/>
              </w:rPr>
            </w:pPr>
          </w:p>
        </w:tc>
        <w:tc>
          <w:tcPr>
            <w:tcW w:w="1002" w:type="dxa"/>
            <w:vAlign w:val="center"/>
          </w:tcPr>
          <w:p>
            <w:pPr>
              <w:snapToGrid w:val="0"/>
              <w:spacing w:line="360" w:lineRule="auto"/>
              <w:ind w:left="-50" w:right="-50"/>
              <w:jc w:val="center"/>
              <w:rPr>
                <w:rFonts w:ascii="宋体" w:hAnsi="宋体" w:cs="宋体"/>
                <w:b/>
                <w:color w:val="0000FF"/>
                <w:sz w:val="24"/>
              </w:rPr>
            </w:pPr>
          </w:p>
        </w:tc>
        <w:tc>
          <w:tcPr>
            <w:tcW w:w="716" w:type="dxa"/>
            <w:vAlign w:val="center"/>
          </w:tcPr>
          <w:p>
            <w:pPr>
              <w:snapToGrid w:val="0"/>
              <w:spacing w:line="360" w:lineRule="auto"/>
              <w:jc w:val="center"/>
              <w:rPr>
                <w:rFonts w:ascii="宋体" w:hAnsi="宋体" w:cs="宋体"/>
                <w:b/>
                <w:color w:val="0000FF"/>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2622" w:type="dxa"/>
            <w:gridSpan w:val="2"/>
            <w:vAlign w:val="center"/>
          </w:tcPr>
          <w:p>
            <w:pPr>
              <w:snapToGrid w:val="0"/>
              <w:jc w:val="center"/>
              <w:rPr>
                <w:rFonts w:ascii="宋体" w:hAnsi="宋体" w:cs="宋体"/>
                <w:b/>
                <w:color w:val="0000FF"/>
                <w:sz w:val="24"/>
              </w:rPr>
            </w:pPr>
            <w:r>
              <w:rPr>
                <w:rFonts w:hint="eastAsia" w:ascii="宋体" w:hAnsi="宋体" w:cs="宋体"/>
                <w:b/>
                <w:color w:val="0000FF"/>
                <w:sz w:val="24"/>
              </w:rPr>
              <w:t>合计金额（元）</w:t>
            </w:r>
          </w:p>
        </w:tc>
        <w:tc>
          <w:tcPr>
            <w:tcW w:w="1575" w:type="dxa"/>
            <w:vAlign w:val="center"/>
          </w:tcPr>
          <w:p>
            <w:pPr>
              <w:snapToGrid w:val="0"/>
              <w:jc w:val="center"/>
              <w:rPr>
                <w:rFonts w:ascii="宋体" w:hAnsi="宋体" w:cs="宋体"/>
                <w:b/>
                <w:color w:val="0000FF"/>
                <w:sz w:val="24"/>
              </w:rPr>
            </w:pPr>
            <w:r>
              <w:rPr>
                <w:rFonts w:hint="eastAsia" w:ascii="宋体" w:hAnsi="宋体" w:cs="宋体"/>
                <w:b/>
                <w:color w:val="0000FF"/>
                <w:sz w:val="24"/>
              </w:rPr>
              <w:t>大写</w:t>
            </w:r>
          </w:p>
        </w:tc>
        <w:tc>
          <w:tcPr>
            <w:tcW w:w="2639" w:type="dxa"/>
            <w:gridSpan w:val="3"/>
            <w:vAlign w:val="center"/>
          </w:tcPr>
          <w:p>
            <w:pPr>
              <w:snapToGrid w:val="0"/>
              <w:jc w:val="center"/>
              <w:rPr>
                <w:rFonts w:ascii="宋体" w:hAnsi="宋体" w:cs="宋体"/>
                <w:b/>
                <w:color w:val="0000FF"/>
                <w:sz w:val="24"/>
              </w:rPr>
            </w:pPr>
          </w:p>
        </w:tc>
        <w:tc>
          <w:tcPr>
            <w:tcW w:w="1225" w:type="dxa"/>
            <w:vAlign w:val="center"/>
          </w:tcPr>
          <w:p>
            <w:pPr>
              <w:snapToGrid w:val="0"/>
              <w:jc w:val="center"/>
              <w:rPr>
                <w:rFonts w:ascii="宋体" w:hAnsi="宋体" w:cs="宋体"/>
                <w:b/>
                <w:color w:val="0000FF"/>
                <w:sz w:val="24"/>
              </w:rPr>
            </w:pPr>
            <w:r>
              <w:rPr>
                <w:rFonts w:hint="eastAsia" w:ascii="宋体" w:hAnsi="宋体" w:cs="宋体"/>
                <w:b/>
                <w:color w:val="0000FF"/>
                <w:sz w:val="24"/>
              </w:rPr>
              <w:t>小写</w:t>
            </w:r>
          </w:p>
        </w:tc>
        <w:tc>
          <w:tcPr>
            <w:tcW w:w="1718" w:type="dxa"/>
            <w:gridSpan w:val="2"/>
            <w:vAlign w:val="center"/>
          </w:tcPr>
          <w:p>
            <w:pPr>
              <w:snapToGrid w:val="0"/>
              <w:jc w:val="center"/>
              <w:rPr>
                <w:rFonts w:ascii="宋体" w:hAnsi="宋体" w:cs="宋体"/>
                <w:b/>
                <w:color w:val="0000FF"/>
                <w:sz w:val="24"/>
              </w:rPr>
            </w:pPr>
            <w:r>
              <w:rPr>
                <w:rFonts w:ascii="宋体" w:hAnsi="宋体" w:cs="宋体"/>
                <w:b/>
                <w:color w:val="0000FF"/>
                <w:sz w:val="24"/>
              </w:rPr>
              <w:t>¥</w:t>
            </w:r>
            <w:r>
              <w:rPr>
                <w:rFonts w:hint="eastAsia" w:ascii="宋体" w:hAnsi="宋体" w:cs="宋体"/>
                <w:b/>
                <w:color w:val="0000FF"/>
                <w:sz w:val="24"/>
              </w:rPr>
              <w:t xml:space="preserve"> 元</w:t>
            </w:r>
          </w:p>
        </w:tc>
      </w:tr>
    </w:tbl>
    <w:p>
      <w:pPr>
        <w:snapToGrid w:val="0"/>
        <w:spacing w:line="360" w:lineRule="auto"/>
        <w:ind w:firstLine="482" w:firstLineChars="200"/>
        <w:rPr>
          <w:rFonts w:ascii="宋体" w:hAnsi="宋体" w:cs="宋体"/>
          <w:b/>
          <w:bCs/>
          <w:color w:val="0000FF"/>
          <w:kern w:val="0"/>
          <w:sz w:val="24"/>
        </w:rPr>
      </w:pPr>
      <w:r>
        <w:rPr>
          <w:rFonts w:hint="eastAsia" w:ascii="宋体" w:hAnsi="宋体" w:cs="宋体"/>
          <w:b/>
          <w:bCs/>
          <w:color w:val="0000FF"/>
          <w:kern w:val="0"/>
          <w:sz w:val="24"/>
        </w:rPr>
        <w:t>附件2:质量保证承诺（签订合同时具体拟定）</w:t>
      </w:r>
    </w:p>
    <w:p>
      <w:pPr>
        <w:snapToGrid w:val="0"/>
        <w:spacing w:line="360" w:lineRule="auto"/>
        <w:ind w:firstLine="482" w:firstLineChars="200"/>
        <w:rPr>
          <w:rFonts w:ascii="宋体" w:hAnsi="宋体" w:cs="宋体"/>
          <w:b/>
          <w:bCs/>
          <w:color w:val="0000FF"/>
          <w:kern w:val="0"/>
          <w:sz w:val="24"/>
        </w:rPr>
      </w:pPr>
      <w:r>
        <w:rPr>
          <w:rFonts w:hint="eastAsia" w:ascii="宋体" w:hAnsi="宋体" w:cs="宋体"/>
          <w:b/>
          <w:bCs/>
          <w:color w:val="0000FF"/>
          <w:kern w:val="0"/>
          <w:sz w:val="24"/>
        </w:rPr>
        <w:t>附件3:售后服务方案（签订合同时具体拟定）</w:t>
      </w:r>
    </w:p>
    <w:p>
      <w:pPr>
        <w:shd w:val="clear" w:color="auto" w:fill="FFFFFF"/>
        <w:snapToGrid w:val="0"/>
        <w:spacing w:line="360" w:lineRule="auto"/>
        <w:ind w:left="360"/>
        <w:rPr>
          <w:rFonts w:ascii="宋体" w:hAnsi="宋体" w:cs="宋体"/>
          <w:color w:val="0000FF"/>
          <w:kern w:val="28"/>
          <w:sz w:val="24"/>
        </w:rPr>
      </w:pPr>
      <w:r>
        <w:rPr>
          <w:rFonts w:hint="eastAsia" w:ascii="宋体" w:hAnsi="宋体" w:cs="宋体"/>
          <w:color w:val="0000FF"/>
          <w:kern w:val="28"/>
          <w:sz w:val="24"/>
        </w:rPr>
        <w:t xml:space="preserve">2.支付方式: 合同款支付全部通过银行转账。  </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名     称：</w:t>
      </w:r>
      <w:r>
        <w:rPr>
          <w:rFonts w:hint="eastAsia" w:ascii="宋体" w:hAnsi="宋体" w:cs="宋体"/>
          <w:color w:val="0000FF"/>
          <w:kern w:val="28"/>
          <w:sz w:val="24"/>
          <w:u w:val="single"/>
        </w:rPr>
        <w:t xml:space="preserve">                          </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开  户 行：</w:t>
      </w:r>
      <w:r>
        <w:rPr>
          <w:rFonts w:hint="eastAsia" w:ascii="宋体" w:hAnsi="宋体" w:cs="宋体"/>
          <w:color w:val="0000FF"/>
          <w:kern w:val="28"/>
          <w:sz w:val="24"/>
          <w:u w:val="single"/>
        </w:rPr>
        <w:t xml:space="preserve">                          </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账     号：</w:t>
      </w:r>
      <w:r>
        <w:rPr>
          <w:rFonts w:hint="eastAsia" w:ascii="宋体" w:hAnsi="宋体" w:cs="宋体"/>
          <w:color w:val="0000FF"/>
          <w:kern w:val="28"/>
          <w:sz w:val="24"/>
          <w:u w:val="single"/>
        </w:rPr>
        <w:t xml:space="preserve">                          </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 xml:space="preserve">3.付款及结算方式:                                                   </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4.发票要求：每次付款时按照国家相关规定由乙方提供相应金额的正式增值税发票。不能提供的，甲方可解除合同并将追究其违约责任。</w:t>
      </w:r>
    </w:p>
    <w:p>
      <w:pPr>
        <w:snapToGrid w:val="0"/>
        <w:spacing w:line="360" w:lineRule="auto"/>
        <w:rPr>
          <w:rFonts w:ascii="宋体" w:hAnsi="宋体" w:cs="宋体"/>
          <w:b/>
          <w:bCs/>
          <w:color w:val="0000FF"/>
          <w:kern w:val="0"/>
          <w:sz w:val="24"/>
        </w:rPr>
      </w:pPr>
      <w:bookmarkStart w:id="27" w:name="_Toc466270651"/>
      <w:bookmarkStart w:id="28" w:name="_Toc465511117"/>
      <w:bookmarkStart w:id="29" w:name="_Toc465511162"/>
      <w:bookmarkStart w:id="30" w:name="_Toc465510859"/>
      <w:bookmarkStart w:id="31" w:name="_Toc476761654"/>
      <w:bookmarkStart w:id="32" w:name="_Toc468550423"/>
      <w:r>
        <w:rPr>
          <w:rFonts w:hint="eastAsia" w:ascii="宋体" w:hAnsi="宋体" w:cs="宋体"/>
          <w:b/>
          <w:bCs/>
          <w:color w:val="0000FF"/>
          <w:kern w:val="0"/>
          <w:sz w:val="24"/>
        </w:rPr>
        <w:t>七、权利与义务</w:t>
      </w:r>
      <w:bookmarkEnd w:id="27"/>
      <w:bookmarkEnd w:id="28"/>
      <w:bookmarkEnd w:id="29"/>
      <w:bookmarkEnd w:id="30"/>
      <w:bookmarkEnd w:id="31"/>
      <w:bookmarkEnd w:id="32"/>
      <w:bookmarkStart w:id="33" w:name="_Toc465510860"/>
      <w:bookmarkStart w:id="34" w:name="_Toc466270652"/>
      <w:bookmarkStart w:id="35" w:name="_Toc465511163"/>
      <w:bookmarkStart w:id="36" w:name="_Toc476761655"/>
      <w:bookmarkStart w:id="37" w:name="_Toc465511118"/>
      <w:bookmarkStart w:id="38" w:name="_Toc468550424"/>
    </w:p>
    <w:p>
      <w:pPr>
        <w:snapToGrid w:val="0"/>
        <w:spacing w:line="360" w:lineRule="auto"/>
        <w:ind w:firstLine="241" w:firstLineChars="100"/>
        <w:rPr>
          <w:rFonts w:ascii="宋体" w:hAnsi="宋体" w:cs="宋体"/>
          <w:b/>
          <w:bCs/>
          <w:color w:val="0000FF"/>
          <w:kern w:val="0"/>
          <w:sz w:val="24"/>
        </w:rPr>
      </w:pPr>
      <w:r>
        <w:rPr>
          <w:rFonts w:hint="eastAsia" w:ascii="宋体" w:hAnsi="宋体" w:cs="宋体"/>
          <w:b/>
          <w:bCs/>
          <w:color w:val="0000FF"/>
          <w:kern w:val="0"/>
          <w:sz w:val="24"/>
        </w:rPr>
        <w:t>（一）甲方的权利与义务</w:t>
      </w:r>
      <w:bookmarkEnd w:id="33"/>
      <w:bookmarkEnd w:id="34"/>
      <w:bookmarkEnd w:id="35"/>
      <w:bookmarkEnd w:id="36"/>
      <w:bookmarkEnd w:id="37"/>
      <w:bookmarkEnd w:id="38"/>
    </w:p>
    <w:p>
      <w:pPr>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0"/>
          <w:sz w:val="24"/>
        </w:rPr>
        <w:t>（1）甲方有权要求</w:t>
      </w:r>
      <w:r>
        <w:rPr>
          <w:rFonts w:hint="eastAsia" w:ascii="宋体" w:hAnsi="宋体" w:cs="宋体"/>
          <w:color w:val="0000FF"/>
          <w:kern w:val="28"/>
          <w:sz w:val="24"/>
        </w:rPr>
        <w:t>乙方供货的项目内容符合国家相关规范，符合国家验收标准，能够通过国家验收。</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（2）甲方有权要求乙方配合甲方完成所采购项目内容的预验收工作以及正式验收工作。</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（3）甲方有权要求乙方提供的产品所涉及的第三方权利进行免责。</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（4）甲方有义务保证按合同所规定的内容及时间支付乙方相关费用。</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（5）甲方项目负责人为</w:t>
      </w:r>
      <w:r>
        <w:rPr>
          <w:rFonts w:hint="eastAsia" w:ascii="宋体" w:hAnsi="宋体" w:cs="宋体"/>
          <w:color w:val="0000FF"/>
          <w:kern w:val="28"/>
          <w:sz w:val="24"/>
          <w:u w:val="single"/>
        </w:rPr>
        <w:t xml:space="preserve">         </w:t>
      </w:r>
      <w:r>
        <w:rPr>
          <w:rFonts w:hint="eastAsia" w:ascii="宋体" w:hAnsi="宋体" w:cs="宋体"/>
          <w:color w:val="0000FF"/>
          <w:kern w:val="28"/>
          <w:sz w:val="24"/>
        </w:rPr>
        <w:t>。</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（6）协调乙方供货时与其他单位的关系。</w:t>
      </w:r>
    </w:p>
    <w:p>
      <w:pPr>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（7）乙方不能按甲方要求及时供货，甲方有单方解除合同的权利。解除合同的同时，甲方有权利与评标报告中排名第二的投标人签订新的供货合同。</w:t>
      </w:r>
    </w:p>
    <w:p>
      <w:pPr>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（8）因乙方原因供货延误，给甲方造成损失或被第三方要求索赔的，乙方应全额承担。</w:t>
      </w:r>
      <w:bookmarkStart w:id="39" w:name="_Toc466270653"/>
      <w:bookmarkStart w:id="40" w:name="_Toc468550425"/>
      <w:bookmarkStart w:id="41" w:name="_Toc465511119"/>
      <w:bookmarkStart w:id="42" w:name="_Toc465511164"/>
      <w:bookmarkStart w:id="43" w:name="_Toc476761656"/>
      <w:bookmarkStart w:id="44" w:name="_Toc465510861"/>
    </w:p>
    <w:p>
      <w:pPr>
        <w:snapToGrid w:val="0"/>
        <w:spacing w:line="360" w:lineRule="auto"/>
        <w:ind w:firstLine="241" w:firstLineChars="100"/>
        <w:rPr>
          <w:rFonts w:ascii="宋体" w:hAnsi="宋体" w:cs="宋体"/>
          <w:b/>
          <w:bCs/>
          <w:color w:val="0000FF"/>
          <w:kern w:val="28"/>
          <w:sz w:val="24"/>
        </w:rPr>
      </w:pPr>
      <w:r>
        <w:rPr>
          <w:rFonts w:hint="eastAsia" w:ascii="宋体" w:hAnsi="宋体" w:cs="宋体"/>
          <w:b/>
          <w:bCs/>
          <w:color w:val="0000FF"/>
          <w:kern w:val="28"/>
          <w:sz w:val="24"/>
        </w:rPr>
        <w:t>（二）乙方的权利与义务</w:t>
      </w:r>
      <w:bookmarkEnd w:id="39"/>
      <w:bookmarkEnd w:id="40"/>
      <w:bookmarkEnd w:id="41"/>
      <w:bookmarkEnd w:id="42"/>
      <w:bookmarkEnd w:id="43"/>
      <w:bookmarkEnd w:id="44"/>
    </w:p>
    <w:p>
      <w:pPr>
        <w:snapToGrid w:val="0"/>
        <w:spacing w:line="360" w:lineRule="auto"/>
        <w:ind w:firstLine="480" w:firstLineChars="200"/>
        <w:rPr>
          <w:rFonts w:ascii="宋体" w:hAnsi="宋体" w:cs="宋体"/>
          <w:color w:val="0000FF"/>
          <w:sz w:val="24"/>
        </w:rPr>
      </w:pPr>
      <w:r>
        <w:rPr>
          <w:rFonts w:hint="eastAsia" w:ascii="宋体" w:hAnsi="宋体" w:cs="宋体"/>
          <w:color w:val="0000FF"/>
          <w:kern w:val="28"/>
          <w:sz w:val="24"/>
        </w:rPr>
        <w:t>（1）乙方应</w:t>
      </w:r>
      <w:r>
        <w:rPr>
          <w:rFonts w:hint="eastAsia" w:ascii="宋体" w:hAnsi="宋体" w:cs="宋体"/>
          <w:color w:val="0000FF"/>
          <w:sz w:val="24"/>
        </w:rPr>
        <w:t>按本合同的规定供货，并保证产品质量。</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（2）乙方有义务配合甲方参与项目的预验收、正式竣工验收工作，并确保所供货物符合本项目国家现行标准。</w:t>
      </w:r>
    </w:p>
    <w:p>
      <w:pPr>
        <w:shd w:val="clear" w:color="auto" w:fill="FFFFFF"/>
        <w:snapToGrid w:val="0"/>
        <w:spacing w:line="360" w:lineRule="auto"/>
        <w:ind w:firstLine="480" w:firstLineChars="200"/>
        <w:rPr>
          <w:rFonts w:ascii="宋体" w:hAnsi="宋体" w:cs="宋体"/>
          <w:color w:val="0000FF"/>
          <w:sz w:val="24"/>
        </w:rPr>
      </w:pPr>
      <w:r>
        <w:rPr>
          <w:rFonts w:hint="eastAsia" w:ascii="宋体" w:hAnsi="宋体" w:cs="宋体"/>
          <w:color w:val="0000FF"/>
          <w:kern w:val="28"/>
          <w:sz w:val="24"/>
        </w:rPr>
        <w:t>（3）乙方</w:t>
      </w:r>
      <w:r>
        <w:rPr>
          <w:rFonts w:hint="eastAsia" w:ascii="宋体" w:hAnsi="宋体" w:cs="宋体"/>
          <w:color w:val="0000FF"/>
          <w:sz w:val="24"/>
        </w:rPr>
        <w:t>项目负责人为</w:t>
      </w:r>
      <w:r>
        <w:rPr>
          <w:rFonts w:hint="eastAsia" w:ascii="宋体" w:hAnsi="宋体" w:cs="宋体"/>
          <w:color w:val="0000FF"/>
          <w:sz w:val="24"/>
          <w:u w:val="single"/>
        </w:rPr>
        <w:t xml:space="preserve">         </w:t>
      </w:r>
      <w:r>
        <w:rPr>
          <w:rFonts w:hint="eastAsia" w:ascii="宋体" w:hAnsi="宋体" w:cs="宋体"/>
          <w:color w:val="0000FF"/>
          <w:sz w:val="24"/>
        </w:rPr>
        <w:t>。</w:t>
      </w:r>
    </w:p>
    <w:p>
      <w:pPr>
        <w:pStyle w:val="13"/>
        <w:autoSpaceDN w:val="0"/>
        <w:snapToGrid w:val="0"/>
        <w:spacing w:line="360" w:lineRule="auto"/>
        <w:ind w:firstLine="480"/>
        <w:rPr>
          <w:rFonts w:ascii="宋体" w:hAnsi="宋体" w:cs="宋体"/>
          <w:color w:val="0000FF"/>
          <w:sz w:val="24"/>
          <w:szCs w:val="24"/>
        </w:rPr>
      </w:pPr>
      <w:r>
        <w:rPr>
          <w:rFonts w:hint="eastAsia" w:ascii="宋体" w:hAnsi="宋体" w:cs="宋体"/>
          <w:color w:val="0000FF"/>
          <w:sz w:val="24"/>
          <w:szCs w:val="24"/>
        </w:rPr>
        <w:t>（4）乙方产品进场时应充分了解甲方的现场各项管理标准文件，并在进场后全面服从甲方的管理制度、管理细则等。</w:t>
      </w:r>
    </w:p>
    <w:p>
      <w:pPr>
        <w:snapToGrid w:val="0"/>
        <w:spacing w:line="360" w:lineRule="auto"/>
        <w:ind w:firstLine="480" w:firstLineChars="200"/>
        <w:rPr>
          <w:rFonts w:ascii="宋体" w:hAnsi="宋体" w:cs="宋体"/>
          <w:color w:val="0000FF"/>
          <w:sz w:val="24"/>
        </w:rPr>
      </w:pPr>
      <w:r>
        <w:rPr>
          <w:rFonts w:hint="eastAsia" w:ascii="宋体" w:hAnsi="宋体" w:cs="宋体"/>
          <w:color w:val="0000FF"/>
          <w:sz w:val="24"/>
        </w:rPr>
        <w:t>（5）遵守产品安装作业的有关规定，做好作业现场安全管理；协助甲方做好作业现场的安全保卫、防火防盗工作，确保作业顺利进行；接受甲方现场管理人员的监督和检查，保证作业质量和安全文明作业。</w:t>
      </w:r>
    </w:p>
    <w:p>
      <w:pPr>
        <w:snapToGrid w:val="0"/>
        <w:spacing w:line="360" w:lineRule="auto"/>
        <w:ind w:firstLine="480" w:firstLineChars="200"/>
        <w:rPr>
          <w:rFonts w:ascii="宋体" w:hAnsi="宋体" w:cs="宋体"/>
          <w:color w:val="0000FF"/>
          <w:sz w:val="24"/>
        </w:rPr>
      </w:pPr>
      <w:r>
        <w:rPr>
          <w:rFonts w:hint="eastAsia" w:ascii="宋体" w:hAnsi="宋体" w:cs="宋体"/>
          <w:color w:val="0000FF"/>
          <w:sz w:val="24"/>
        </w:rPr>
        <w:t>（6）按甲方指定地点将货物码放整齐，及时清运过程中产生的垃圾，保持现场整洁。</w:t>
      </w:r>
    </w:p>
    <w:p>
      <w:pPr>
        <w:snapToGrid w:val="0"/>
        <w:spacing w:line="360" w:lineRule="auto"/>
        <w:ind w:firstLine="480" w:firstLineChars="200"/>
        <w:rPr>
          <w:rFonts w:ascii="宋体" w:hAnsi="宋体" w:cs="宋体"/>
          <w:color w:val="0000FF"/>
          <w:sz w:val="24"/>
        </w:rPr>
      </w:pPr>
      <w:r>
        <w:rPr>
          <w:rFonts w:hint="eastAsia" w:ascii="宋体" w:hAnsi="宋体" w:cs="宋体"/>
          <w:color w:val="0000FF"/>
          <w:sz w:val="24"/>
        </w:rPr>
        <w:t>（7）在货物验收时，向买方提供《货物合格证》、《货物使用说明书》等技术文件。</w:t>
      </w:r>
    </w:p>
    <w:p>
      <w:pPr>
        <w:snapToGrid w:val="0"/>
        <w:spacing w:line="360" w:lineRule="auto"/>
        <w:ind w:firstLine="480" w:firstLineChars="200"/>
        <w:rPr>
          <w:rFonts w:ascii="宋体" w:hAnsi="宋体" w:cs="宋体"/>
          <w:color w:val="0000FF"/>
          <w:sz w:val="24"/>
        </w:rPr>
      </w:pPr>
      <w:r>
        <w:rPr>
          <w:rFonts w:hint="eastAsia" w:ascii="宋体" w:hAnsi="宋体" w:cs="宋体"/>
          <w:color w:val="0000FF"/>
          <w:sz w:val="24"/>
        </w:rPr>
        <w:t>（8）项目中所涉及的所有相关政府部门审批手续全部由乙方协调办理，且支付相关费用，甲方不再办理其相关手续及支付相关费用。</w:t>
      </w:r>
    </w:p>
    <w:p>
      <w:pPr>
        <w:snapToGrid w:val="0"/>
        <w:spacing w:line="360" w:lineRule="auto"/>
        <w:ind w:firstLine="480" w:firstLineChars="200"/>
        <w:rPr>
          <w:rFonts w:ascii="宋体" w:hAnsi="宋体" w:cs="宋体"/>
          <w:color w:val="0000FF"/>
          <w:sz w:val="24"/>
        </w:rPr>
      </w:pPr>
      <w:r>
        <w:rPr>
          <w:rFonts w:hint="eastAsia" w:ascii="宋体" w:hAnsi="宋体" w:cs="宋体"/>
          <w:color w:val="0000FF"/>
          <w:sz w:val="24"/>
        </w:rPr>
        <w:t>（9）质保期内发生质量问题的，应当免费及时进行更换或维修。</w:t>
      </w:r>
    </w:p>
    <w:p>
      <w:pPr>
        <w:snapToGrid w:val="0"/>
        <w:spacing w:line="360" w:lineRule="auto"/>
        <w:rPr>
          <w:rFonts w:ascii="宋体" w:hAnsi="宋体" w:cs="宋体"/>
          <w:b/>
          <w:bCs/>
          <w:color w:val="0000FF"/>
          <w:sz w:val="24"/>
        </w:rPr>
      </w:pPr>
      <w:bookmarkStart w:id="45" w:name="_Toc465511124"/>
      <w:bookmarkStart w:id="46" w:name="_Toc476761661"/>
      <w:bookmarkStart w:id="47" w:name="_Toc465511169"/>
      <w:bookmarkStart w:id="48" w:name="_Toc466270658"/>
      <w:bookmarkStart w:id="49" w:name="_Toc465510866"/>
      <w:bookmarkStart w:id="50" w:name="_Toc468550430"/>
      <w:r>
        <w:rPr>
          <w:rFonts w:hint="eastAsia" w:ascii="宋体" w:hAnsi="宋体" w:cs="宋体"/>
          <w:b/>
          <w:bCs/>
          <w:color w:val="0000FF"/>
          <w:sz w:val="24"/>
        </w:rPr>
        <w:t>八、保密条款</w:t>
      </w:r>
      <w:bookmarkEnd w:id="45"/>
      <w:bookmarkEnd w:id="46"/>
      <w:bookmarkEnd w:id="47"/>
      <w:bookmarkEnd w:id="48"/>
      <w:bookmarkEnd w:id="49"/>
      <w:bookmarkEnd w:id="50"/>
    </w:p>
    <w:p>
      <w:pPr>
        <w:snapToGrid w:val="0"/>
        <w:spacing w:line="360" w:lineRule="auto"/>
        <w:ind w:firstLine="480" w:firstLineChars="200"/>
        <w:rPr>
          <w:rFonts w:ascii="宋体" w:hAnsi="宋体" w:cs="宋体"/>
          <w:color w:val="0000FF"/>
          <w:kern w:val="28"/>
          <w:sz w:val="24"/>
        </w:rPr>
      </w:pPr>
      <w:r>
        <w:rPr>
          <w:rFonts w:hint="eastAsia" w:ascii="宋体" w:hAnsi="宋体" w:cs="宋体"/>
          <w:color w:val="0000FF"/>
          <w:sz w:val="24"/>
        </w:rPr>
        <w:t>双方承诺，除非法律另有规定或双</w:t>
      </w:r>
      <w:r>
        <w:rPr>
          <w:rFonts w:hint="eastAsia" w:ascii="宋体" w:hAnsi="宋体" w:cs="宋体"/>
          <w:color w:val="0000FF"/>
          <w:kern w:val="28"/>
          <w:sz w:val="24"/>
        </w:rPr>
        <w:t>方一致同意，任何一方不得将本协议的内容向第三方透露，否则，应向对方承担相应的违约责任。</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1.双方同意在本协议期限内或之后：</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（1）只为本协议目的而使用属于对方的保密资料；</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（2）在未得到对方书面同意之前，不将对方的保密资料披露给第三方；</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（3）如果披露方要求，接受方应立即将任何被要求退还的保密资料退还给披露方。</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2.本协议中，保密资料是指任何一方所有的与披露方现有的潜在的业务、运营或财务状况直接或间接有关的书面、演示、电子、或其他形式的资料（包括：价格、市场营销计划、客户名单、相关数据等），但不包括以下资料：</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（1）为公众所知的；</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（2）接受方通过没有保密义务的独立渠道合法获得的资料；</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（3）接受方在本协议保密条款签订之前已经知道的资料；</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（4）因法律行为（包括诉讼、仲裁等行为）和执行国家政策的需要进行披露的资料。</w:t>
      </w:r>
    </w:p>
    <w:p>
      <w:pPr>
        <w:shd w:val="clear" w:color="auto" w:fill="FFFFFF"/>
        <w:snapToGrid w:val="0"/>
        <w:spacing w:line="360" w:lineRule="auto"/>
        <w:rPr>
          <w:rFonts w:ascii="宋体" w:hAnsi="宋体" w:cs="宋体"/>
          <w:b/>
          <w:bCs/>
          <w:color w:val="0000FF"/>
          <w:kern w:val="28"/>
          <w:sz w:val="24"/>
        </w:rPr>
      </w:pPr>
      <w:r>
        <w:rPr>
          <w:rFonts w:hint="eastAsia" w:ascii="宋体" w:hAnsi="宋体" w:cs="宋体"/>
          <w:b/>
          <w:bCs/>
          <w:color w:val="0000FF"/>
          <w:kern w:val="28"/>
          <w:sz w:val="24"/>
        </w:rPr>
        <w:t>九、其他特殊要求</w:t>
      </w:r>
    </w:p>
    <w:p>
      <w:pPr>
        <w:shd w:val="clear" w:color="auto" w:fill="FFFFFF"/>
        <w:snapToGrid w:val="0"/>
        <w:spacing w:line="360" w:lineRule="auto"/>
        <w:ind w:firstLine="482" w:firstLineChars="200"/>
        <w:rPr>
          <w:rFonts w:ascii="宋体" w:hAnsi="宋体" w:cs="宋体"/>
          <w:b/>
          <w:color w:val="0000FF"/>
          <w:sz w:val="24"/>
        </w:rPr>
      </w:pPr>
      <w:r>
        <w:rPr>
          <w:rFonts w:hint="eastAsia" w:ascii="宋体" w:hAnsi="宋体" w:cs="宋体"/>
          <w:b/>
          <w:color w:val="0000FF"/>
          <w:sz w:val="24"/>
        </w:rPr>
        <w:t>1.安装、调试及培训：</w:t>
      </w:r>
      <w:r>
        <w:rPr>
          <w:rFonts w:hint="eastAsia" w:ascii="宋体" w:hAnsi="宋体" w:cs="宋体"/>
          <w:b/>
          <w:color w:val="0000FF"/>
          <w:sz w:val="24"/>
          <w:u w:val="single"/>
        </w:rPr>
        <w:t xml:space="preserve">           </w:t>
      </w:r>
    </w:p>
    <w:p>
      <w:pPr>
        <w:shd w:val="clear" w:color="auto" w:fill="FFFFFF"/>
        <w:snapToGrid w:val="0"/>
        <w:spacing w:line="360" w:lineRule="auto"/>
        <w:ind w:firstLine="361" w:firstLineChars="150"/>
        <w:rPr>
          <w:rFonts w:ascii="宋体" w:hAnsi="宋体" w:cs="宋体"/>
          <w:b/>
          <w:color w:val="0000FF"/>
          <w:sz w:val="24"/>
        </w:rPr>
      </w:pPr>
      <w:r>
        <w:rPr>
          <w:rFonts w:hint="eastAsia" w:ascii="宋体" w:hAnsi="宋体" w:cs="宋体"/>
          <w:b/>
          <w:color w:val="0000FF"/>
          <w:sz w:val="24"/>
        </w:rPr>
        <w:t xml:space="preserve"> 2.设备质量要求： </w:t>
      </w:r>
      <w:r>
        <w:rPr>
          <w:rFonts w:hint="eastAsia" w:ascii="宋体" w:hAnsi="宋体" w:cs="宋体"/>
          <w:b/>
          <w:color w:val="0000FF"/>
          <w:sz w:val="24"/>
          <w:u w:val="single"/>
        </w:rPr>
        <w:t xml:space="preserve">              </w:t>
      </w:r>
    </w:p>
    <w:p>
      <w:pPr>
        <w:shd w:val="clear" w:color="auto" w:fill="FFFFFF"/>
        <w:snapToGrid w:val="0"/>
        <w:spacing w:line="360" w:lineRule="auto"/>
        <w:ind w:firstLine="482" w:firstLineChars="200"/>
        <w:rPr>
          <w:rFonts w:ascii="宋体" w:hAnsi="宋体" w:cs="宋体"/>
          <w:b/>
          <w:color w:val="0000FF"/>
          <w:sz w:val="24"/>
        </w:rPr>
      </w:pPr>
      <w:r>
        <w:rPr>
          <w:rFonts w:hint="eastAsia" w:ascii="宋体" w:hAnsi="宋体" w:cs="宋体"/>
          <w:b/>
          <w:color w:val="0000FF"/>
          <w:sz w:val="24"/>
        </w:rPr>
        <w:t>3.设备验收：</w:t>
      </w:r>
      <w:r>
        <w:rPr>
          <w:rFonts w:hint="eastAsia" w:ascii="宋体" w:hAnsi="宋体" w:cs="宋体"/>
          <w:b/>
          <w:color w:val="0000FF"/>
          <w:sz w:val="24"/>
          <w:u w:val="single"/>
        </w:rPr>
        <w:t xml:space="preserve">                   </w:t>
      </w:r>
    </w:p>
    <w:p>
      <w:pPr>
        <w:shd w:val="clear" w:color="auto" w:fill="FFFFFF"/>
        <w:snapToGrid w:val="0"/>
        <w:spacing w:line="360" w:lineRule="auto"/>
        <w:ind w:firstLine="361" w:firstLineChars="150"/>
        <w:rPr>
          <w:rFonts w:ascii="宋体" w:hAnsi="宋体" w:cs="宋体"/>
          <w:b/>
          <w:color w:val="0000FF"/>
          <w:sz w:val="24"/>
        </w:rPr>
      </w:pPr>
      <w:r>
        <w:rPr>
          <w:rFonts w:hint="eastAsia" w:ascii="宋体" w:hAnsi="宋体" w:cs="宋体"/>
          <w:b/>
          <w:color w:val="0000FF"/>
          <w:sz w:val="24"/>
        </w:rPr>
        <w:t xml:space="preserve"> 4.安全管理：</w:t>
      </w:r>
      <w:r>
        <w:rPr>
          <w:rFonts w:hint="eastAsia" w:ascii="宋体" w:hAnsi="宋体" w:cs="宋体"/>
          <w:b/>
          <w:color w:val="0000FF"/>
          <w:sz w:val="24"/>
          <w:u w:val="single"/>
        </w:rPr>
        <w:t xml:space="preserve">                   </w:t>
      </w:r>
    </w:p>
    <w:p>
      <w:pPr>
        <w:shd w:val="clear" w:color="auto" w:fill="FFFFFF"/>
        <w:snapToGrid w:val="0"/>
        <w:spacing w:line="360" w:lineRule="auto"/>
        <w:ind w:firstLine="482" w:firstLineChars="200"/>
        <w:rPr>
          <w:rFonts w:ascii="宋体" w:hAnsi="宋体" w:cs="宋体"/>
          <w:b/>
          <w:color w:val="0000FF"/>
          <w:sz w:val="24"/>
        </w:rPr>
      </w:pPr>
      <w:r>
        <w:rPr>
          <w:rFonts w:hint="eastAsia" w:ascii="宋体" w:hAnsi="宋体" w:cs="宋体"/>
          <w:b/>
          <w:color w:val="0000FF"/>
          <w:sz w:val="24"/>
        </w:rPr>
        <w:t>……</w:t>
      </w:r>
    </w:p>
    <w:p>
      <w:pPr>
        <w:autoSpaceDE w:val="0"/>
        <w:autoSpaceDN w:val="0"/>
        <w:snapToGrid w:val="0"/>
        <w:spacing w:line="360" w:lineRule="auto"/>
        <w:rPr>
          <w:rFonts w:ascii="宋体" w:hAnsi="宋体" w:cs="宋体"/>
          <w:b/>
          <w:bCs/>
          <w:color w:val="0000FF"/>
          <w:sz w:val="24"/>
        </w:rPr>
      </w:pPr>
      <w:bookmarkStart w:id="51" w:name="_Toc465511170"/>
      <w:bookmarkStart w:id="52" w:name="_Toc465511125"/>
      <w:bookmarkStart w:id="53" w:name="_Toc468550431"/>
      <w:bookmarkStart w:id="54" w:name="_Toc465510867"/>
      <w:bookmarkStart w:id="55" w:name="_Toc476761662"/>
      <w:bookmarkStart w:id="56" w:name="_Toc466270659"/>
      <w:r>
        <w:rPr>
          <w:rFonts w:hint="eastAsia" w:ascii="宋体" w:hAnsi="宋体" w:cs="宋体"/>
          <w:b/>
          <w:bCs/>
          <w:color w:val="0000FF"/>
          <w:sz w:val="24"/>
        </w:rPr>
        <w:t>十、违约责任</w:t>
      </w:r>
      <w:bookmarkEnd w:id="51"/>
      <w:bookmarkEnd w:id="52"/>
      <w:bookmarkEnd w:id="53"/>
      <w:bookmarkEnd w:id="54"/>
      <w:bookmarkEnd w:id="55"/>
      <w:bookmarkEnd w:id="56"/>
    </w:p>
    <w:p>
      <w:pPr>
        <w:autoSpaceDE w:val="0"/>
        <w:autoSpaceDN w:val="0"/>
        <w:snapToGrid w:val="0"/>
        <w:spacing w:line="360" w:lineRule="auto"/>
        <w:ind w:firstLine="480" w:firstLineChars="200"/>
        <w:rPr>
          <w:rFonts w:ascii="宋体" w:hAnsi="宋体" w:cs="宋体"/>
          <w:color w:val="0000FF"/>
          <w:sz w:val="24"/>
        </w:rPr>
      </w:pPr>
      <w:r>
        <w:rPr>
          <w:rFonts w:hint="eastAsia" w:ascii="宋体" w:hAnsi="宋体" w:cs="宋体"/>
          <w:color w:val="0000FF"/>
          <w:sz w:val="24"/>
        </w:rPr>
        <w:t>（1）交货期（含安装、调试）推迟的，每延迟1日，应按合同总价款的1%向甲方支付违约金，因不可抗力或经甲方同意除外。</w:t>
      </w:r>
    </w:p>
    <w:p>
      <w:pPr>
        <w:autoSpaceDE w:val="0"/>
        <w:autoSpaceDN w:val="0"/>
        <w:snapToGrid w:val="0"/>
        <w:spacing w:line="360" w:lineRule="auto"/>
        <w:ind w:firstLine="480" w:firstLineChars="200"/>
        <w:rPr>
          <w:rFonts w:ascii="宋体" w:hAnsi="宋体" w:cs="宋体"/>
          <w:color w:val="0000FF"/>
          <w:sz w:val="24"/>
        </w:rPr>
      </w:pPr>
      <w:r>
        <w:rPr>
          <w:rFonts w:hint="eastAsia" w:ascii="宋体" w:hAnsi="宋体" w:cs="宋体"/>
          <w:color w:val="0000FF"/>
          <w:sz w:val="24"/>
        </w:rPr>
        <w:t>（2）如乙方产品质量不符合国家标准或未达到本企业内控标准，甲方有权退货，并且乙方应承担甲方合同总价款的20％的违约金并赔偿其他损失。</w:t>
      </w:r>
    </w:p>
    <w:p>
      <w:pPr>
        <w:autoSpaceDE w:val="0"/>
        <w:autoSpaceDN w:val="0"/>
        <w:snapToGrid w:val="0"/>
        <w:spacing w:line="360" w:lineRule="auto"/>
        <w:ind w:firstLine="480" w:firstLineChars="200"/>
        <w:rPr>
          <w:rFonts w:ascii="宋体" w:hAnsi="宋体" w:cs="宋体"/>
          <w:color w:val="0000FF"/>
          <w:sz w:val="24"/>
        </w:rPr>
      </w:pPr>
      <w:r>
        <w:rPr>
          <w:rFonts w:hint="eastAsia" w:ascii="宋体" w:hAnsi="宋体" w:cs="宋体"/>
          <w:color w:val="0000FF"/>
          <w:sz w:val="24"/>
        </w:rPr>
        <w:t>（3）质保期内因产品质量问题，乙方未按合同规定及时进行维修、更换，甲方可自行组织人员进行维修、更换，因此造成的相关责任、费用由乙方承担。</w:t>
      </w:r>
    </w:p>
    <w:p>
      <w:pPr>
        <w:snapToGrid w:val="0"/>
        <w:spacing w:line="360" w:lineRule="auto"/>
        <w:ind w:firstLine="480" w:firstLineChars="200"/>
        <w:rPr>
          <w:rFonts w:ascii="宋体" w:hAnsi="宋体" w:cs="宋体"/>
          <w:color w:val="0000FF"/>
          <w:sz w:val="24"/>
        </w:rPr>
      </w:pPr>
      <w:r>
        <w:rPr>
          <w:rFonts w:hint="eastAsia" w:ascii="宋体" w:hAnsi="宋体" w:cs="宋体"/>
          <w:color w:val="0000FF"/>
          <w:sz w:val="24"/>
        </w:rPr>
        <w:t>（4）乙方对材料不按招标文件要求，擅自更换，除恢复原招标产品外，应承担更换部分价款50%的违约金。</w:t>
      </w:r>
    </w:p>
    <w:p>
      <w:pPr>
        <w:snapToGrid w:val="0"/>
        <w:spacing w:line="360" w:lineRule="auto"/>
        <w:ind w:firstLine="480" w:firstLineChars="200"/>
        <w:rPr>
          <w:rFonts w:ascii="宋体" w:hAnsi="宋体" w:cs="宋体"/>
          <w:color w:val="0000FF"/>
          <w:sz w:val="24"/>
        </w:rPr>
      </w:pPr>
      <w:r>
        <w:rPr>
          <w:rFonts w:hint="eastAsia" w:ascii="宋体" w:hAnsi="宋体" w:cs="宋体"/>
          <w:color w:val="0000FF"/>
          <w:sz w:val="24"/>
        </w:rPr>
        <w:t>（5）乙方如对材料以次充好，除全部按要求恢复外，应承担此部分价款50%的违约金。</w:t>
      </w:r>
    </w:p>
    <w:p>
      <w:pPr>
        <w:snapToGrid w:val="0"/>
        <w:spacing w:line="360" w:lineRule="auto"/>
        <w:ind w:firstLine="480" w:firstLineChars="200"/>
        <w:rPr>
          <w:rFonts w:ascii="宋体" w:hAnsi="宋体" w:cs="宋体"/>
          <w:color w:val="0000FF"/>
          <w:sz w:val="24"/>
        </w:rPr>
      </w:pPr>
      <w:r>
        <w:rPr>
          <w:rFonts w:hint="eastAsia" w:ascii="宋体" w:hAnsi="宋体" w:cs="宋体"/>
          <w:color w:val="0000FF"/>
          <w:sz w:val="24"/>
        </w:rPr>
        <w:t>（6）如由于产品质量原因，不能通过验收，乙方除按规定无偿更换外，应承担所涉及产品总价款的50％违约金。</w:t>
      </w:r>
    </w:p>
    <w:p>
      <w:pPr>
        <w:snapToGrid w:val="0"/>
        <w:spacing w:line="360" w:lineRule="auto"/>
        <w:ind w:firstLine="480" w:firstLineChars="200"/>
        <w:rPr>
          <w:rFonts w:ascii="宋体" w:hAnsi="宋体" w:cs="宋体"/>
          <w:color w:val="0000FF"/>
          <w:sz w:val="24"/>
        </w:rPr>
      </w:pPr>
      <w:r>
        <w:rPr>
          <w:rFonts w:hint="eastAsia" w:ascii="宋体" w:hAnsi="宋体" w:cs="宋体"/>
          <w:color w:val="0000FF"/>
          <w:sz w:val="24"/>
        </w:rPr>
        <w:t>（7）乙方负责现场作业人员及其他人员安全。如因乙方原因造成人员伤亡或财产损失，由乙方负责并承担一切赔偿责任。甲方有权追究乙方的违约责任。</w:t>
      </w:r>
    </w:p>
    <w:p>
      <w:pPr>
        <w:snapToGrid w:val="0"/>
        <w:spacing w:line="360" w:lineRule="auto"/>
        <w:rPr>
          <w:rFonts w:ascii="宋体" w:hAnsi="宋体" w:cs="宋体"/>
          <w:b/>
          <w:bCs/>
          <w:color w:val="0000FF"/>
          <w:sz w:val="24"/>
        </w:rPr>
      </w:pPr>
      <w:bookmarkStart w:id="57" w:name="_Toc465510868"/>
      <w:bookmarkStart w:id="58" w:name="_Toc465511126"/>
      <w:bookmarkStart w:id="59" w:name="_Toc466270660"/>
      <w:bookmarkStart w:id="60" w:name="_Toc476761663"/>
      <w:bookmarkStart w:id="61" w:name="_Toc465511171"/>
      <w:bookmarkStart w:id="62" w:name="_Toc468550432"/>
      <w:r>
        <w:rPr>
          <w:rFonts w:hint="eastAsia" w:ascii="宋体" w:hAnsi="宋体" w:cs="宋体"/>
          <w:b/>
          <w:bCs/>
          <w:color w:val="0000FF"/>
          <w:sz w:val="24"/>
        </w:rPr>
        <w:t>十一、争议解决</w:t>
      </w:r>
      <w:bookmarkEnd w:id="57"/>
      <w:bookmarkEnd w:id="58"/>
      <w:bookmarkEnd w:id="59"/>
      <w:bookmarkEnd w:id="60"/>
      <w:bookmarkEnd w:id="61"/>
      <w:bookmarkEnd w:id="62"/>
    </w:p>
    <w:p>
      <w:pPr>
        <w:snapToGrid w:val="0"/>
        <w:spacing w:line="360" w:lineRule="auto"/>
        <w:ind w:firstLine="480" w:firstLineChars="200"/>
        <w:rPr>
          <w:rFonts w:ascii="宋体" w:hAnsi="宋体" w:cs="宋体"/>
          <w:color w:val="0000FF"/>
          <w:sz w:val="24"/>
        </w:rPr>
      </w:pPr>
      <w:r>
        <w:rPr>
          <w:rFonts w:hint="eastAsia" w:ascii="宋体" w:hAnsi="宋体" w:cs="宋体"/>
          <w:color w:val="0000FF"/>
          <w:sz w:val="24"/>
        </w:rPr>
        <w:t>合同各方应本着诚信的态度及共同合作的精神，通过协商及谈判来努力解决由本合同而产生的或</w:t>
      </w:r>
      <w:r>
        <w:rPr>
          <w:rFonts w:hint="eastAsia" w:ascii="宋体" w:hAnsi="宋体" w:cs="宋体"/>
          <w:color w:val="0000FF"/>
          <w:kern w:val="28"/>
          <w:sz w:val="24"/>
        </w:rPr>
        <w:t>与本合同有关（包括本合同项下某一特定货物买卖合同）的任何争议及不同意见。协商、谈判不能解决的，如任何一方通过诉讼解决由</w:t>
      </w:r>
      <w:r>
        <w:rPr>
          <w:rFonts w:hint="eastAsia" w:ascii="宋体" w:hAnsi="宋体" w:cs="宋体"/>
          <w:color w:val="0000FF"/>
          <w:sz w:val="24"/>
        </w:rPr>
        <w:t>甲方所在地人民法院管辖。</w:t>
      </w:r>
    </w:p>
    <w:p>
      <w:pPr>
        <w:snapToGrid w:val="0"/>
        <w:spacing w:line="360" w:lineRule="auto"/>
        <w:rPr>
          <w:rFonts w:ascii="宋体" w:hAnsi="宋体" w:cs="宋体"/>
          <w:b/>
          <w:bCs/>
          <w:color w:val="0000FF"/>
          <w:sz w:val="24"/>
        </w:rPr>
      </w:pPr>
      <w:bookmarkStart w:id="63" w:name="_Toc466270661"/>
      <w:bookmarkStart w:id="64" w:name="_Toc476761664"/>
      <w:bookmarkStart w:id="65" w:name="_Toc465510869"/>
      <w:bookmarkStart w:id="66" w:name="_Toc468550433"/>
      <w:bookmarkStart w:id="67" w:name="_Toc465511172"/>
      <w:bookmarkStart w:id="68" w:name="_Toc465511127"/>
      <w:r>
        <w:rPr>
          <w:rFonts w:hint="eastAsia" w:ascii="宋体" w:hAnsi="宋体" w:cs="宋体"/>
          <w:b/>
          <w:bCs/>
          <w:color w:val="0000FF"/>
          <w:sz w:val="24"/>
        </w:rPr>
        <w:t>十二、协议期限</w:t>
      </w:r>
      <w:bookmarkEnd w:id="63"/>
      <w:bookmarkEnd w:id="64"/>
      <w:bookmarkEnd w:id="65"/>
      <w:bookmarkEnd w:id="66"/>
      <w:bookmarkEnd w:id="67"/>
      <w:bookmarkEnd w:id="68"/>
    </w:p>
    <w:p>
      <w:pPr>
        <w:snapToGrid w:val="0"/>
        <w:spacing w:line="360" w:lineRule="auto"/>
        <w:ind w:firstLine="480" w:firstLineChars="200"/>
        <w:rPr>
          <w:rFonts w:ascii="宋体" w:hAnsi="宋体" w:cs="宋体"/>
          <w:color w:val="0000FF"/>
          <w:sz w:val="24"/>
        </w:rPr>
      </w:pPr>
      <w:r>
        <w:rPr>
          <w:rFonts w:hint="eastAsia" w:ascii="宋体" w:hAnsi="宋体" w:cs="宋体"/>
          <w:color w:val="0000FF"/>
          <w:sz w:val="24"/>
        </w:rPr>
        <w:t>（1）</w:t>
      </w:r>
      <w:r>
        <w:rPr>
          <w:rFonts w:hint="eastAsia" w:ascii="宋体" w:hAnsi="宋体" w:cs="宋体"/>
          <w:color w:val="0000FF"/>
          <w:spacing w:val="10"/>
          <w:sz w:val="24"/>
        </w:rPr>
        <w:t>合同经</w:t>
      </w:r>
      <w:r>
        <w:rPr>
          <w:rFonts w:hint="eastAsia" w:ascii="宋体" w:hAnsi="宋体" w:cs="宋体"/>
          <w:color w:val="0000FF"/>
          <w:sz w:val="24"/>
        </w:rPr>
        <w:t>甲乙</w:t>
      </w:r>
      <w:r>
        <w:rPr>
          <w:rFonts w:hint="eastAsia" w:ascii="宋体" w:hAnsi="宋体" w:cs="宋体"/>
          <w:color w:val="0000FF"/>
          <w:spacing w:val="10"/>
          <w:sz w:val="24"/>
        </w:rPr>
        <w:t>双方法定代表人或者代表人签字并加盖公章(或合同章)即行生效。</w:t>
      </w:r>
    </w:p>
    <w:p>
      <w:pPr>
        <w:snapToGrid w:val="0"/>
        <w:spacing w:line="360" w:lineRule="auto"/>
        <w:ind w:firstLine="480" w:firstLineChars="200"/>
        <w:rPr>
          <w:rFonts w:ascii="宋体" w:hAnsi="宋体" w:cs="宋体"/>
          <w:color w:val="0000FF"/>
          <w:sz w:val="24"/>
        </w:rPr>
      </w:pPr>
      <w:r>
        <w:rPr>
          <w:rFonts w:hint="eastAsia" w:ascii="宋体" w:hAnsi="宋体" w:cs="宋体"/>
          <w:color w:val="0000FF"/>
          <w:sz w:val="24"/>
        </w:rPr>
        <w:t>（2）合同签订后双方即直接产生权利与义务的关系，合同执行过程中出现的问题应按照合同法等有关规定办理。</w:t>
      </w:r>
    </w:p>
    <w:p>
      <w:pPr>
        <w:snapToGrid w:val="0"/>
        <w:spacing w:line="360" w:lineRule="auto"/>
        <w:ind w:firstLine="480" w:firstLineChars="200"/>
        <w:rPr>
          <w:rFonts w:ascii="宋体" w:hAnsi="宋体" w:cs="宋体"/>
          <w:color w:val="0000FF"/>
          <w:sz w:val="24"/>
        </w:rPr>
      </w:pPr>
      <w:r>
        <w:rPr>
          <w:rFonts w:hint="eastAsia" w:ascii="宋体" w:hAnsi="宋体" w:cs="宋体"/>
          <w:color w:val="0000FF"/>
          <w:sz w:val="24"/>
        </w:rPr>
        <w:t>（3）合同在执行过程中出现的未尽事宜，双方在不违背本合同和招标文件的原则下协商解决，协商结果以“纪要”形式盖章记录在案，作为本合同的附件。</w:t>
      </w:r>
    </w:p>
    <w:p>
      <w:pPr>
        <w:snapToGrid w:val="0"/>
        <w:spacing w:line="360" w:lineRule="auto"/>
        <w:rPr>
          <w:rFonts w:ascii="宋体" w:hAnsi="宋体" w:cs="宋体"/>
          <w:b/>
          <w:bCs/>
          <w:color w:val="0000FF"/>
          <w:sz w:val="24"/>
        </w:rPr>
      </w:pPr>
      <w:bookmarkStart w:id="69" w:name="_Toc476761665"/>
      <w:bookmarkStart w:id="70" w:name="_Toc468550434"/>
      <w:bookmarkStart w:id="71" w:name="_Toc465511128"/>
      <w:bookmarkStart w:id="72" w:name="_Toc466270662"/>
      <w:bookmarkStart w:id="73" w:name="_Toc465511173"/>
      <w:bookmarkStart w:id="74" w:name="_Toc465510870"/>
      <w:r>
        <w:rPr>
          <w:rFonts w:hint="eastAsia" w:ascii="宋体" w:hAnsi="宋体" w:cs="宋体"/>
          <w:b/>
          <w:bCs/>
          <w:color w:val="0000FF"/>
          <w:sz w:val="24"/>
        </w:rPr>
        <w:t>十三、不可抗力</w:t>
      </w:r>
      <w:bookmarkEnd w:id="69"/>
      <w:bookmarkEnd w:id="70"/>
      <w:bookmarkEnd w:id="71"/>
      <w:bookmarkEnd w:id="72"/>
      <w:bookmarkEnd w:id="73"/>
      <w:bookmarkEnd w:id="74"/>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1）本合同项下的“不可抗力”是指不能预见，不能避免且、不能克服的客观情况，使得本合同一方当事人无法履行合同义务，如战争、严重火灾、水灾、风灾、疫情及地震属于不可抗力的事故，因乙方或第三方原因造成的火灾、水灾不属于不可抗力。</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（3）如不可抗力时间延续120天以上的，各方通过协商达成在合理的时间内继续履行合同，或部分履行合同，或终止合同的履行。</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（4）一方迟延履行后发生不可抗力的，不能免除责任。</w:t>
      </w:r>
    </w:p>
    <w:p>
      <w:pPr>
        <w:shd w:val="clear" w:color="auto" w:fill="FFFFFF"/>
        <w:snapToGrid w:val="0"/>
        <w:spacing w:line="360" w:lineRule="auto"/>
        <w:rPr>
          <w:rFonts w:ascii="宋体" w:hAnsi="宋体" w:cs="宋体"/>
          <w:b/>
          <w:bCs/>
          <w:color w:val="0000FF"/>
          <w:kern w:val="28"/>
          <w:sz w:val="24"/>
        </w:rPr>
      </w:pPr>
      <w:bookmarkStart w:id="75" w:name="_Toc466270663"/>
      <w:bookmarkStart w:id="76" w:name="_Toc465510871"/>
      <w:bookmarkStart w:id="77" w:name="_Toc476761666"/>
      <w:bookmarkStart w:id="78" w:name="_Toc465511129"/>
      <w:bookmarkStart w:id="79" w:name="_Toc465511174"/>
      <w:bookmarkStart w:id="80" w:name="_Toc468550435"/>
      <w:r>
        <w:rPr>
          <w:rFonts w:hint="eastAsia" w:ascii="宋体" w:hAnsi="宋体" w:cs="宋体"/>
          <w:b/>
          <w:bCs/>
          <w:color w:val="0000FF"/>
          <w:kern w:val="28"/>
          <w:sz w:val="24"/>
        </w:rPr>
        <w:t>十四、通知和合同修改</w:t>
      </w:r>
      <w:bookmarkEnd w:id="75"/>
      <w:bookmarkEnd w:id="76"/>
      <w:bookmarkEnd w:id="77"/>
      <w:bookmarkEnd w:id="78"/>
      <w:bookmarkEnd w:id="79"/>
      <w:bookmarkEnd w:id="80"/>
    </w:p>
    <w:p>
      <w:pPr>
        <w:shd w:val="clear" w:color="auto" w:fill="FFFFFF"/>
        <w:snapToGrid w:val="0"/>
        <w:spacing w:line="360" w:lineRule="auto"/>
        <w:ind w:firstLine="480" w:firstLineChars="200"/>
        <w:rPr>
          <w:rFonts w:ascii="宋体" w:hAnsi="宋体" w:cs="宋体"/>
          <w:b/>
          <w:bCs/>
          <w:color w:val="0000FF"/>
          <w:kern w:val="28"/>
          <w:sz w:val="24"/>
        </w:rPr>
      </w:pPr>
      <w:r>
        <w:rPr>
          <w:rFonts w:hint="eastAsia" w:ascii="宋体" w:hAnsi="宋体" w:cs="宋体"/>
          <w:color w:val="0000FF"/>
          <w:kern w:val="28"/>
          <w:sz w:val="24"/>
        </w:rPr>
        <w:t>本合同一方给另一方的通知，都应以书面的形式（信函、传真）发送至对方，对本合同条款进行任何改动，均须由甲乙双方签署书面合同修改签证，方为有效。</w:t>
      </w:r>
      <w:bookmarkStart w:id="81" w:name="_Toc476761667"/>
      <w:bookmarkStart w:id="82" w:name="_Toc465510872"/>
      <w:bookmarkStart w:id="83" w:name="_Toc465511130"/>
      <w:bookmarkStart w:id="84" w:name="_Toc465511175"/>
      <w:bookmarkStart w:id="85" w:name="_Toc466270664"/>
      <w:bookmarkStart w:id="86" w:name="_Toc468550436"/>
    </w:p>
    <w:p>
      <w:pPr>
        <w:shd w:val="clear" w:color="auto" w:fill="FFFFFF"/>
        <w:snapToGrid w:val="0"/>
        <w:spacing w:line="360" w:lineRule="auto"/>
        <w:rPr>
          <w:rFonts w:ascii="宋体" w:hAnsi="宋体" w:cs="宋体"/>
          <w:b/>
          <w:bCs/>
          <w:color w:val="0000FF"/>
          <w:kern w:val="28"/>
          <w:sz w:val="24"/>
        </w:rPr>
      </w:pPr>
      <w:r>
        <w:rPr>
          <w:rFonts w:hint="eastAsia" w:ascii="宋体" w:hAnsi="宋体" w:cs="宋体"/>
          <w:b/>
          <w:bCs/>
          <w:color w:val="0000FF"/>
          <w:kern w:val="28"/>
          <w:sz w:val="24"/>
        </w:rPr>
        <w:t>十五、其他规定</w:t>
      </w:r>
      <w:bookmarkEnd w:id="81"/>
      <w:bookmarkEnd w:id="82"/>
      <w:bookmarkEnd w:id="83"/>
      <w:bookmarkEnd w:id="84"/>
      <w:bookmarkEnd w:id="85"/>
      <w:bookmarkEnd w:id="86"/>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本协议的附件为本协议不可分割的部分，与本协议正文具有同等的法律效力。协议附件与本协议约定不一致的，以本协议的约定为准，除非双方一致同意并以书面形式表示以协议附件为准。</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本合同甲、乙双方均同意以上条款内容。</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本合同正本</w:t>
      </w:r>
      <w:r>
        <w:rPr>
          <w:rFonts w:hint="eastAsia" w:ascii="宋体" w:hAnsi="宋体" w:cs="宋体"/>
          <w:color w:val="0000FF"/>
          <w:kern w:val="28"/>
          <w:sz w:val="24"/>
          <w:u w:val="single"/>
        </w:rPr>
        <w:t xml:space="preserve">   </w:t>
      </w:r>
      <w:r>
        <w:rPr>
          <w:rFonts w:hint="eastAsia" w:ascii="宋体" w:hAnsi="宋体" w:cs="宋体"/>
          <w:color w:val="0000FF"/>
          <w:kern w:val="28"/>
          <w:sz w:val="24"/>
        </w:rPr>
        <w:t>份，副本</w:t>
      </w:r>
      <w:r>
        <w:rPr>
          <w:rFonts w:hint="eastAsia" w:ascii="宋体" w:hAnsi="宋体" w:cs="宋体"/>
          <w:color w:val="0000FF"/>
          <w:kern w:val="28"/>
          <w:sz w:val="24"/>
          <w:u w:val="single"/>
        </w:rPr>
        <w:t xml:space="preserve">    </w:t>
      </w:r>
      <w:r>
        <w:rPr>
          <w:rFonts w:hint="eastAsia" w:ascii="宋体" w:hAnsi="宋体" w:cs="宋体"/>
          <w:color w:val="0000FF"/>
          <w:kern w:val="28"/>
          <w:sz w:val="24"/>
        </w:rPr>
        <w:t>份，具有同等效力。自双方法定代表人或授权代表人签字、并加盖单位公章之日起生效。甲乙双方各持一份正本，副本按照甲方要求执行，第三方代理机构留存一份副本。</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本合同的订立、履行、变更、终止、解释等均适用中华人民共和国法律。</w:t>
      </w:r>
    </w:p>
    <w:p>
      <w:pPr>
        <w:shd w:val="clear" w:color="auto" w:fill="FFFFFF"/>
        <w:snapToGrid w:val="0"/>
        <w:spacing w:line="360" w:lineRule="auto"/>
        <w:ind w:firstLine="480" w:firstLineChars="200"/>
        <w:rPr>
          <w:rFonts w:ascii="宋体" w:hAnsi="宋体" w:cs="宋体"/>
          <w:color w:val="0000FF"/>
          <w:kern w:val="28"/>
          <w:sz w:val="24"/>
        </w:rPr>
      </w:pPr>
      <w:r>
        <w:rPr>
          <w:rFonts w:hint="eastAsia" w:ascii="宋体" w:hAnsi="宋体" w:cs="宋体"/>
          <w:color w:val="0000FF"/>
          <w:kern w:val="28"/>
          <w:sz w:val="24"/>
        </w:rPr>
        <w:t>本合同未尽事宜由双方共同协商，另行订立补充协议，补充协议与本协议具有同样的法律效力。如果本合同之附件与本合同规定不符, 以本合同规定为准。</w:t>
      </w:r>
    </w:p>
    <w:p>
      <w:pPr>
        <w:shd w:val="clear" w:color="auto" w:fill="FFFFFF"/>
        <w:snapToGrid w:val="0"/>
        <w:spacing w:line="360" w:lineRule="auto"/>
        <w:ind w:firstLine="200" w:firstLineChars="200"/>
        <w:rPr>
          <w:rFonts w:ascii="宋体" w:hAnsi="宋体" w:cs="宋体"/>
          <w:color w:val="0000FF"/>
          <w:kern w:val="28"/>
          <w:sz w:val="10"/>
          <w:szCs w:val="10"/>
        </w:rPr>
      </w:pPr>
    </w:p>
    <w:p>
      <w:pPr>
        <w:shd w:val="clear" w:color="auto" w:fill="FFFFFF"/>
        <w:snapToGrid w:val="0"/>
        <w:ind w:firstLine="480" w:firstLineChars="200"/>
        <w:rPr>
          <w:rFonts w:ascii="宋体" w:hAnsi="宋体" w:cs="宋体"/>
          <w:color w:val="0000FF"/>
          <w:sz w:val="24"/>
        </w:rPr>
      </w:pPr>
      <w:r>
        <w:rPr>
          <w:rFonts w:hint="eastAsia" w:ascii="宋体" w:hAnsi="宋体" w:cs="宋体"/>
          <w:color w:val="0000FF"/>
          <w:sz w:val="24"/>
        </w:rPr>
        <w:t>（以下无正文）</w:t>
      </w:r>
    </w:p>
    <w:p>
      <w:pPr>
        <w:shd w:val="clear" w:color="auto" w:fill="FFFFFF"/>
        <w:snapToGrid w:val="0"/>
        <w:spacing w:before="100" w:beforeAutospacing="1" w:after="100" w:afterAutospacing="1"/>
        <w:ind w:firstLine="720" w:firstLineChars="300"/>
        <w:rPr>
          <w:rFonts w:ascii="宋体" w:hAnsi="宋体" w:cs="宋体"/>
          <w:color w:val="0000FF"/>
          <w:sz w:val="24"/>
        </w:rPr>
      </w:pPr>
      <w:r>
        <w:rPr>
          <w:rFonts w:hint="eastAsia" w:ascii="宋体" w:hAnsi="宋体" w:cs="宋体"/>
          <w:color w:val="0000FF"/>
          <w:sz w:val="24"/>
        </w:rPr>
        <w:t>甲方：</w:t>
      </w:r>
      <w:r>
        <w:rPr>
          <w:rFonts w:hint="eastAsia" w:ascii="宋体" w:hAnsi="宋体" w:cs="宋体"/>
          <w:color w:val="0000FF"/>
          <w:sz w:val="24"/>
          <w:u w:val="single"/>
        </w:rPr>
        <w:t xml:space="preserve">               </w:t>
      </w:r>
      <w:r>
        <w:rPr>
          <w:rFonts w:hint="eastAsia" w:ascii="宋体" w:hAnsi="宋体" w:cs="宋体"/>
          <w:color w:val="0000FF"/>
          <w:sz w:val="24"/>
        </w:rPr>
        <w:t xml:space="preserve">           乙方：</w:t>
      </w:r>
      <w:r>
        <w:rPr>
          <w:rFonts w:hint="eastAsia" w:ascii="宋体" w:hAnsi="宋体" w:cs="宋体"/>
          <w:color w:val="0000FF"/>
          <w:sz w:val="24"/>
          <w:u w:val="single"/>
        </w:rPr>
        <w:t xml:space="preserve">               </w:t>
      </w:r>
      <w:r>
        <w:rPr>
          <w:rFonts w:hint="eastAsia" w:ascii="宋体" w:hAnsi="宋体" w:cs="宋体"/>
          <w:color w:val="0000FF"/>
          <w:sz w:val="24"/>
        </w:rPr>
        <w:t xml:space="preserve"> </w:t>
      </w:r>
    </w:p>
    <w:p>
      <w:pPr>
        <w:shd w:val="clear" w:color="auto" w:fill="FFFFFF"/>
        <w:snapToGrid w:val="0"/>
        <w:spacing w:before="100" w:beforeAutospacing="1" w:after="100" w:afterAutospacing="1"/>
        <w:ind w:firstLine="720" w:firstLineChars="300"/>
        <w:rPr>
          <w:rFonts w:ascii="宋体" w:hAnsi="宋体" w:cs="宋体"/>
          <w:color w:val="0000FF"/>
          <w:sz w:val="24"/>
          <w:u w:val="single"/>
        </w:rPr>
      </w:pPr>
      <w:r>
        <w:rPr>
          <w:rFonts w:hint="eastAsia" w:ascii="宋体" w:hAnsi="宋体" w:cs="宋体"/>
          <w:color w:val="0000FF"/>
          <w:sz w:val="24"/>
        </w:rPr>
        <w:t>法人代表或授权代表：</w:t>
      </w:r>
      <w:r>
        <w:rPr>
          <w:rFonts w:hint="eastAsia" w:ascii="宋体" w:hAnsi="宋体" w:cs="宋体"/>
          <w:color w:val="0000FF"/>
          <w:sz w:val="24"/>
          <w:u w:val="single"/>
        </w:rPr>
        <w:t xml:space="preserve">         </w:t>
      </w:r>
      <w:r>
        <w:rPr>
          <w:rFonts w:hint="eastAsia" w:ascii="宋体" w:hAnsi="宋体" w:cs="宋体"/>
          <w:color w:val="0000FF"/>
          <w:sz w:val="24"/>
        </w:rPr>
        <w:t xml:space="preserve">   法人代表或授权代表：</w:t>
      </w:r>
      <w:r>
        <w:rPr>
          <w:rFonts w:hint="eastAsia" w:ascii="宋体" w:hAnsi="宋体" w:cs="宋体"/>
          <w:color w:val="0000FF"/>
          <w:sz w:val="24"/>
          <w:u w:val="single"/>
        </w:rPr>
        <w:t xml:space="preserve">         </w:t>
      </w:r>
      <w:r>
        <w:rPr>
          <w:rFonts w:hint="eastAsia" w:ascii="宋体" w:hAnsi="宋体" w:cs="宋体"/>
          <w:color w:val="0000FF"/>
          <w:sz w:val="24"/>
        </w:rPr>
        <w:t xml:space="preserve">               </w:t>
      </w:r>
    </w:p>
    <w:p>
      <w:pPr>
        <w:shd w:val="clear" w:color="auto" w:fill="FFFFFF"/>
        <w:snapToGrid w:val="0"/>
        <w:spacing w:before="100" w:beforeAutospacing="1" w:after="100" w:afterAutospacing="1"/>
        <w:ind w:firstLine="720" w:firstLineChars="300"/>
        <w:rPr>
          <w:rFonts w:ascii="宋体" w:hAnsi="宋体" w:cs="宋体"/>
          <w:color w:val="0000FF"/>
          <w:sz w:val="24"/>
        </w:rPr>
      </w:pPr>
      <w:r>
        <w:rPr>
          <w:rFonts w:hint="eastAsia" w:ascii="宋体" w:hAnsi="宋体" w:cs="宋体"/>
          <w:color w:val="0000FF"/>
          <w:sz w:val="24"/>
        </w:rPr>
        <w:t>地址</w:t>
      </w:r>
      <w:r>
        <w:rPr>
          <w:rFonts w:hint="eastAsia" w:ascii="宋体" w:hAnsi="宋体" w:cs="宋体"/>
          <w:color w:val="0000FF"/>
          <w:sz w:val="24"/>
          <w:u w:val="single"/>
        </w:rPr>
        <w:t xml:space="preserve">：           </w:t>
      </w:r>
      <w:r>
        <w:rPr>
          <w:rFonts w:hint="eastAsia" w:ascii="宋体" w:hAnsi="宋体" w:cs="宋体"/>
          <w:color w:val="0000FF"/>
          <w:sz w:val="24"/>
        </w:rPr>
        <w:t xml:space="preserve">               地址</w:t>
      </w:r>
      <w:r>
        <w:rPr>
          <w:rFonts w:hint="eastAsia" w:ascii="宋体" w:hAnsi="宋体" w:cs="宋体"/>
          <w:color w:val="0000FF"/>
          <w:sz w:val="24"/>
          <w:u w:val="single"/>
        </w:rPr>
        <w:t xml:space="preserve">：            </w:t>
      </w:r>
      <w:r>
        <w:rPr>
          <w:rFonts w:hint="eastAsia" w:ascii="宋体" w:hAnsi="宋体" w:cs="宋体"/>
          <w:color w:val="0000FF"/>
          <w:sz w:val="24"/>
        </w:rPr>
        <w:t xml:space="preserve">    </w:t>
      </w:r>
    </w:p>
    <w:p>
      <w:pPr>
        <w:pStyle w:val="2"/>
        <w:ind w:firstLine="720" w:firstLineChars="300"/>
        <w:rPr>
          <w:rFonts w:ascii="宋体" w:hAnsi="宋体" w:cs="宋体"/>
          <w:color w:val="0000FF"/>
        </w:rPr>
      </w:pPr>
      <w:r>
        <w:rPr>
          <w:rFonts w:hint="eastAsia" w:ascii="宋体" w:hAnsi="宋体" w:cs="宋体"/>
          <w:color w:val="0000FF"/>
          <w:sz w:val="24"/>
        </w:rPr>
        <w:t>电话</w:t>
      </w:r>
      <w:r>
        <w:rPr>
          <w:rFonts w:hint="eastAsia" w:ascii="宋体" w:hAnsi="宋体" w:cs="宋体"/>
          <w:color w:val="0000FF"/>
          <w:sz w:val="24"/>
          <w:u w:val="single"/>
        </w:rPr>
        <w:t xml:space="preserve">：           </w:t>
      </w:r>
      <w:r>
        <w:rPr>
          <w:rFonts w:hint="eastAsia" w:ascii="宋体" w:hAnsi="宋体" w:cs="宋体"/>
          <w:color w:val="0000FF"/>
          <w:sz w:val="24"/>
        </w:rPr>
        <w:t xml:space="preserve">               电话</w:t>
      </w:r>
      <w:r>
        <w:rPr>
          <w:rFonts w:hint="eastAsia" w:ascii="宋体" w:hAnsi="宋体" w:cs="宋体"/>
          <w:color w:val="0000FF"/>
          <w:sz w:val="24"/>
          <w:u w:val="single"/>
        </w:rPr>
        <w:t xml:space="preserve">：            </w:t>
      </w:r>
      <w:r>
        <w:rPr>
          <w:rFonts w:hint="eastAsia" w:ascii="宋体" w:hAnsi="宋体" w:cs="宋体"/>
          <w:color w:val="0000FF"/>
          <w:sz w:val="24"/>
        </w:rPr>
        <w:t xml:space="preserve">    </w:t>
      </w:r>
    </w:p>
    <w:p>
      <w:pPr>
        <w:shd w:val="clear" w:color="auto" w:fill="FFFFFF"/>
        <w:snapToGrid w:val="0"/>
        <w:spacing w:before="100" w:beforeAutospacing="1" w:after="100" w:afterAutospacing="1"/>
        <w:ind w:firstLine="720" w:firstLineChars="300"/>
        <w:rPr>
          <w:color w:val="0000FF"/>
        </w:rPr>
      </w:pPr>
      <w:r>
        <w:rPr>
          <w:rFonts w:hint="eastAsia" w:ascii="宋体" w:hAnsi="宋体" w:cs="宋体"/>
          <w:color w:val="0000FF"/>
          <w:sz w:val="24"/>
        </w:rPr>
        <w:t>签订日期：   年    月    日     签订日期：   年    月    日</w:t>
      </w:r>
    </w:p>
    <w:p/>
    <w:sectPr>
      <w:footerReference r:id="rId3" w:type="default"/>
      <w:pgSz w:w="11906" w:h="16838"/>
      <w:pgMar w:top="1440" w:right="1304" w:bottom="1440"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26F"/>
    <w:rsid w:val="00476BB3"/>
    <w:rsid w:val="00737BDE"/>
    <w:rsid w:val="007B526F"/>
    <w:rsid w:val="7B1A7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9"/>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1"/>
    <w:link w:val="10"/>
    <w:qFormat/>
    <w:uiPriority w:val="0"/>
    <w:pPr>
      <w:spacing w:after="120"/>
    </w:pPr>
  </w:style>
  <w:style w:type="paragraph" w:styleId="4">
    <w:name w:val="annotation text"/>
    <w:basedOn w:val="1"/>
    <w:link w:val="11"/>
    <w:qFormat/>
    <w:uiPriority w:val="0"/>
    <w:pPr>
      <w:jc w:val="left"/>
    </w:pPr>
  </w:style>
  <w:style w:type="paragraph" w:styleId="5">
    <w:name w:val="Balloon Text"/>
    <w:basedOn w:val="1"/>
    <w:link w:val="14"/>
    <w:semiHidden/>
    <w:unhideWhenUsed/>
    <w:qFormat/>
    <w:uiPriority w:val="99"/>
    <w:rPr>
      <w:sz w:val="18"/>
      <w:szCs w:val="18"/>
    </w:rPr>
  </w:style>
  <w:style w:type="paragraph" w:styleId="6">
    <w:name w:val="footer"/>
    <w:basedOn w:val="1"/>
    <w:link w:val="12"/>
    <w:qFormat/>
    <w:uiPriority w:val="99"/>
    <w:pPr>
      <w:tabs>
        <w:tab w:val="center" w:pos="4153"/>
        <w:tab w:val="right" w:pos="8306"/>
      </w:tabs>
      <w:adjustRightInd w:val="0"/>
      <w:spacing w:line="240" w:lineRule="atLeast"/>
      <w:jc w:val="left"/>
      <w:textAlignment w:val="baseline"/>
    </w:pPr>
    <w:rPr>
      <w:kern w:val="0"/>
      <w:sz w:val="18"/>
    </w:rPr>
  </w:style>
  <w:style w:type="character" w:customStyle="1" w:styleId="9">
    <w:name w:val="标题 2 Char"/>
    <w:basedOn w:val="8"/>
    <w:link w:val="3"/>
    <w:semiHidden/>
    <w:uiPriority w:val="0"/>
    <w:rPr>
      <w:rFonts w:ascii="宋体" w:hAnsi="宋体" w:eastAsia="宋体" w:cs="Times New Roman"/>
      <w:b/>
      <w:bCs/>
      <w:kern w:val="0"/>
      <w:sz w:val="36"/>
      <w:szCs w:val="36"/>
    </w:rPr>
  </w:style>
  <w:style w:type="character" w:customStyle="1" w:styleId="10">
    <w:name w:val="正文文本 Char"/>
    <w:basedOn w:val="8"/>
    <w:link w:val="2"/>
    <w:uiPriority w:val="0"/>
    <w:rPr>
      <w:szCs w:val="24"/>
    </w:rPr>
  </w:style>
  <w:style w:type="character" w:customStyle="1" w:styleId="11">
    <w:name w:val="批注文字 Char"/>
    <w:basedOn w:val="8"/>
    <w:link w:val="4"/>
    <w:qFormat/>
    <w:uiPriority w:val="0"/>
    <w:rPr>
      <w:szCs w:val="24"/>
    </w:rPr>
  </w:style>
  <w:style w:type="character" w:customStyle="1" w:styleId="12">
    <w:name w:val="页脚 Char"/>
    <w:basedOn w:val="8"/>
    <w:link w:val="6"/>
    <w:qFormat/>
    <w:uiPriority w:val="99"/>
    <w:rPr>
      <w:kern w:val="0"/>
      <w:sz w:val="18"/>
      <w:szCs w:val="24"/>
    </w:rPr>
  </w:style>
  <w:style w:type="paragraph" w:customStyle="1" w:styleId="13">
    <w:name w:val="列出段落1"/>
    <w:basedOn w:val="1"/>
    <w:qFormat/>
    <w:uiPriority w:val="34"/>
    <w:pPr>
      <w:ind w:firstLine="420" w:firstLineChars="200"/>
    </w:pPr>
    <w:rPr>
      <w:rFonts w:ascii="Calibri" w:hAnsi="Calibri"/>
      <w:szCs w:val="22"/>
    </w:rPr>
  </w:style>
  <w:style w:type="character" w:customStyle="1" w:styleId="14">
    <w:name w:val="批注框文本 Char"/>
    <w:basedOn w:val="8"/>
    <w:link w:val="5"/>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826</Words>
  <Characters>4712</Characters>
  <Lines>39</Lines>
  <Paragraphs>11</Paragraphs>
  <TotalTime>0</TotalTime>
  <ScaleCrop>false</ScaleCrop>
  <LinksUpToDate>false</LinksUpToDate>
  <CharactersWithSpaces>5527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2023-09-05T06:53:00Z</dcterms:created>
  <dc:creator>苏朝旭</dc:creator>
  <cp:lastModifiedBy>♈️之✨媛</cp:lastModifiedBy>
  <dcterms:modified xsi:type="dcterms:W3CDTF">2023-09-05T07:00:01Z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CDDE8C2377F7416F920C20F3DCCF243A_13</vt:lpwstr>
  </property>
</Properties>
</file>