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ascii="宋体" w:hAnsi="宋体" w:eastAsia="宋体" w:cs="宋体"/>
          <w:b/>
          <w:sz w:val="32"/>
          <w:szCs w:val="32"/>
          <w:highlight w:val="none"/>
        </w:rPr>
      </w:pPr>
      <w:r>
        <w:rPr>
          <w:rFonts w:hint="eastAsia" w:ascii="宋体" w:hAnsi="宋体" w:eastAsia="宋体" w:cs="宋体"/>
          <w:b/>
          <w:sz w:val="32"/>
          <w:szCs w:val="32"/>
          <w:highlight w:val="none"/>
        </w:rPr>
        <w:t>政府采购项目</w:t>
      </w:r>
      <w:r>
        <w:rPr>
          <w:rFonts w:hint="eastAsia" w:ascii="宋体" w:hAnsi="宋体" w:eastAsia="宋体" w:cs="宋体"/>
          <w:b/>
          <w:bCs/>
          <w:sz w:val="28"/>
          <w:szCs w:val="28"/>
          <w:highlight w:val="none"/>
        </w:rPr>
        <w:t>（</w:t>
      </w:r>
      <w:r>
        <w:rPr>
          <w:rFonts w:hint="eastAsia" w:ascii="宋体" w:hAnsi="宋体" w:eastAsia="宋体" w:cs="宋体"/>
          <w:b/>
          <w:sz w:val="32"/>
          <w:szCs w:val="32"/>
          <w:highlight w:val="none"/>
        </w:rPr>
        <w:t xml:space="preserve">仅供参考）                  </w:t>
      </w:r>
    </w:p>
    <w:p>
      <w:pP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w:t>
      </w:r>
    </w:p>
    <w:p>
      <w:pPr>
        <w:jc w:val="center"/>
        <w:rPr>
          <w:rFonts w:hint="eastAsia" w:ascii="宋体" w:hAnsi="宋体" w:eastAsia="宋体" w:cs="宋体"/>
          <w:sz w:val="52"/>
          <w:szCs w:val="52"/>
          <w:highlight w:val="none"/>
        </w:rPr>
      </w:pPr>
    </w:p>
    <w:p>
      <w:pPr>
        <w:jc w:val="center"/>
        <w:rPr>
          <w:rFonts w:hint="eastAsia" w:ascii="宋体" w:hAnsi="宋体" w:eastAsia="宋体" w:cs="宋体"/>
          <w:sz w:val="52"/>
          <w:szCs w:val="52"/>
          <w:highlight w:val="none"/>
        </w:rPr>
      </w:pPr>
    </w:p>
    <w:p>
      <w:pPr>
        <w:jc w:val="center"/>
        <w:outlineLvl w:val="9"/>
        <w:rPr>
          <w:rFonts w:hint="eastAsia" w:ascii="宋体" w:hAnsi="宋体" w:eastAsia="宋体" w:cs="宋体"/>
          <w:b/>
          <w:snapToGrid w:val="0"/>
          <w:sz w:val="48"/>
          <w:szCs w:val="48"/>
          <w:highlight w:val="none"/>
          <w:u w:val="single"/>
        </w:rPr>
      </w:pPr>
      <w:r>
        <w:rPr>
          <w:rFonts w:hint="eastAsia" w:ascii="宋体" w:hAnsi="宋体" w:eastAsia="宋体" w:cs="宋体"/>
          <w:b/>
          <w:snapToGrid w:val="0"/>
          <w:sz w:val="48"/>
          <w:szCs w:val="48"/>
          <w:highlight w:val="none"/>
          <w:u w:val="single"/>
        </w:rPr>
        <w:t>(项目名称)</w:t>
      </w:r>
    </w:p>
    <w:p>
      <w:pPr>
        <w:jc w:val="center"/>
        <w:outlineLvl w:val="9"/>
        <w:rPr>
          <w:rFonts w:hint="eastAsia" w:ascii="宋体" w:hAnsi="宋体" w:eastAsia="宋体" w:cs="宋体"/>
          <w:b/>
          <w:sz w:val="72"/>
          <w:szCs w:val="72"/>
          <w:highlight w:val="none"/>
        </w:rPr>
      </w:pPr>
      <w:r>
        <w:rPr>
          <w:rFonts w:hint="eastAsia" w:ascii="宋体" w:hAnsi="宋体" w:eastAsia="宋体" w:cs="宋体"/>
          <w:b/>
          <w:sz w:val="72"/>
          <w:szCs w:val="72"/>
          <w:highlight w:val="none"/>
        </w:rPr>
        <w:t>服 务 合 同</w:t>
      </w:r>
    </w:p>
    <w:p>
      <w:pPr>
        <w:jc w:val="center"/>
        <w:outlineLvl w:val="9"/>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（项目编号：      </w:t>
      </w:r>
      <w:r>
        <w:rPr>
          <w:rFonts w:hint="eastAsia" w:ascii="宋体" w:hAnsi="宋体" w:eastAsia="宋体" w:cs="宋体"/>
          <w:sz w:val="28"/>
          <w:szCs w:val="28"/>
          <w:highlight w:val="none"/>
        </w:rPr>
        <w:t>）</w:t>
      </w:r>
    </w:p>
    <w:p>
      <w:pPr>
        <w:jc w:val="center"/>
        <w:rPr>
          <w:rFonts w:hint="eastAsia" w:ascii="宋体" w:hAnsi="宋体" w:eastAsia="宋体" w:cs="宋体"/>
          <w:sz w:val="30"/>
          <w:szCs w:val="30"/>
          <w:highlight w:val="none"/>
        </w:rPr>
      </w:pPr>
    </w:p>
    <w:p>
      <w:pPr>
        <w:jc w:val="center"/>
        <w:rPr>
          <w:rFonts w:hint="eastAsia" w:ascii="宋体" w:hAnsi="宋体" w:eastAsia="宋体" w:cs="宋体"/>
          <w:sz w:val="30"/>
          <w:szCs w:val="30"/>
          <w:highlight w:val="none"/>
        </w:rPr>
      </w:pPr>
    </w:p>
    <w:p>
      <w:pPr>
        <w:jc w:val="center"/>
        <w:rPr>
          <w:rFonts w:hint="eastAsia" w:ascii="宋体" w:hAnsi="宋体" w:eastAsia="宋体" w:cs="宋体"/>
          <w:sz w:val="30"/>
          <w:szCs w:val="30"/>
          <w:highlight w:val="none"/>
        </w:rPr>
      </w:pPr>
    </w:p>
    <w:p>
      <w:pPr>
        <w:jc w:val="center"/>
        <w:rPr>
          <w:rFonts w:hint="eastAsia" w:ascii="宋体" w:hAnsi="宋体" w:eastAsia="宋体" w:cs="宋体"/>
          <w:sz w:val="30"/>
          <w:szCs w:val="30"/>
          <w:highlight w:val="none"/>
        </w:rPr>
      </w:pPr>
    </w:p>
    <w:p>
      <w:pPr>
        <w:jc w:val="center"/>
        <w:rPr>
          <w:rFonts w:hint="eastAsia" w:ascii="宋体" w:hAnsi="宋体" w:eastAsia="宋体" w:cs="宋体"/>
          <w:sz w:val="30"/>
          <w:szCs w:val="30"/>
          <w:highlight w:val="none"/>
        </w:rPr>
      </w:pPr>
    </w:p>
    <w:p>
      <w:pPr>
        <w:ind w:firstLine="2080" w:firstLineChars="65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甲  方： </w:t>
      </w:r>
    </w:p>
    <w:p>
      <w:pPr>
        <w:tabs>
          <w:tab w:val="left" w:pos="480"/>
        </w:tabs>
        <w:ind w:firstLine="640" w:firstLineChars="20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pPr>
        <w:jc w:val="center"/>
        <w:rPr>
          <w:rFonts w:hint="eastAsia" w:ascii="宋体" w:hAnsi="宋体" w:eastAsia="宋体" w:cs="宋体"/>
          <w:sz w:val="30"/>
          <w:szCs w:val="30"/>
          <w:highlight w:val="none"/>
        </w:rPr>
      </w:pPr>
    </w:p>
    <w:p>
      <w:pPr>
        <w:jc w:val="center"/>
        <w:outlineLvl w:val="9"/>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t xml:space="preserve">  年  月</w:t>
      </w:r>
      <w:r>
        <w:rPr>
          <w:rFonts w:hint="eastAsia" w:ascii="宋体" w:hAnsi="宋体" w:eastAsia="宋体" w:cs="宋体"/>
          <w:sz w:val="32"/>
          <w:szCs w:val="32"/>
          <w:highlight w:val="none"/>
          <w:lang w:val="en-US" w:eastAsia="zh-CN"/>
        </w:rPr>
        <w:t xml:space="preserve">  日</w:t>
      </w:r>
    </w:p>
    <w:p>
      <w:pPr>
        <w:rPr>
          <w:rFonts w:hint="eastAsia" w:ascii="宋体" w:hAnsi="宋体" w:eastAsia="宋体" w:cs="宋体"/>
          <w:bCs/>
          <w:sz w:val="24"/>
          <w:highlight w:val="none"/>
        </w:rPr>
      </w:pPr>
      <w:r>
        <w:rPr>
          <w:rFonts w:hint="eastAsia" w:ascii="宋体" w:hAnsi="宋体" w:eastAsia="宋体" w:cs="宋体"/>
          <w:bCs/>
          <w:sz w:val="24"/>
          <w:highlight w:val="none"/>
        </w:rPr>
        <w:br w:type="page"/>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甲方（采购人）：</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乙方（供应商）： </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u w:val="single"/>
        </w:rPr>
        <w:t>（项目名称）(项目编号：</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rPr>
        <w:t>)</w:t>
      </w:r>
      <w:r>
        <w:rPr>
          <w:rFonts w:hint="eastAsia" w:ascii="宋体" w:hAnsi="宋体" w:eastAsia="宋体" w:cs="宋体"/>
          <w:bCs/>
          <w:sz w:val="24"/>
          <w:szCs w:val="24"/>
          <w:highlight w:val="none"/>
        </w:rPr>
        <w:t>在由</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组织</w:t>
      </w:r>
      <w:r>
        <w:rPr>
          <w:rFonts w:hint="eastAsia" w:ascii="宋体" w:hAnsi="宋体" w:eastAsia="宋体" w:cs="宋体"/>
          <w:bCs/>
          <w:sz w:val="24"/>
          <w:szCs w:val="24"/>
          <w:highlight w:val="none"/>
          <w:lang w:eastAsia="zh-CN"/>
        </w:rPr>
        <w:t>单一来源</w:t>
      </w:r>
      <w:r>
        <w:rPr>
          <w:rFonts w:hint="eastAsia" w:ascii="宋体" w:hAnsi="宋体" w:eastAsia="宋体" w:cs="宋体"/>
          <w:bCs/>
          <w:sz w:val="24"/>
          <w:szCs w:val="24"/>
          <w:highlight w:val="none"/>
        </w:rPr>
        <w:t>采购，</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(以下简称“甲方”)确定</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（以下简称“乙方”）为的中标供应商。</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依据《</w:t>
      </w:r>
      <w:r>
        <w:rPr>
          <w:rFonts w:hint="eastAsia" w:ascii="宋体" w:hAnsi="宋体" w:eastAsia="宋体" w:cs="宋体"/>
          <w:bCs/>
          <w:sz w:val="24"/>
          <w:szCs w:val="24"/>
          <w:highlight w:val="none"/>
          <w:lang w:eastAsia="zh-CN"/>
        </w:rPr>
        <w:t>民法典</w:t>
      </w:r>
      <w:r>
        <w:rPr>
          <w:rFonts w:hint="eastAsia" w:ascii="宋体" w:hAnsi="宋体" w:eastAsia="宋体" w:cs="宋体"/>
          <w:bCs/>
          <w:sz w:val="24"/>
          <w:szCs w:val="24"/>
          <w:highlight w:val="none"/>
        </w:rPr>
        <w:t>》和《中华人民共和国政府采购法》，经双方协商按下述条款和条件签署本合同。</w:t>
      </w:r>
    </w:p>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一、合同价款</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（二）合同总价是指为本次服务工作所需的全部费用。</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二、款项结算</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（一）合同款的支付：</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以双方实际签订合同约定为准</w:t>
      </w:r>
      <w:r>
        <w:rPr>
          <w:rFonts w:hint="eastAsia" w:ascii="宋体" w:hAnsi="宋体" w:eastAsia="宋体" w:cs="宋体"/>
          <w:bCs/>
          <w:sz w:val="24"/>
          <w:szCs w:val="24"/>
          <w:highlight w:val="none"/>
          <w:lang w:eastAsia="zh-CN"/>
        </w:rPr>
        <w:t>。）</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（二）支付方式：银行转账。</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（三）结算方式：由甲方负责结算，在付款前，乙方必须开具全额发票给甲方，否则，甲方有权拒绝付款，无需承担任何责任，且乙方不得以此为由拒绝履行协议义务。</w:t>
      </w:r>
    </w:p>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bCs/>
          <w:sz w:val="24"/>
          <w:szCs w:val="24"/>
          <w:highlight w:val="none"/>
        </w:rPr>
      </w:pPr>
      <w:r>
        <w:rPr>
          <w:rFonts w:hint="eastAsia" w:ascii="宋体" w:hAnsi="宋体" w:eastAsia="宋体" w:cs="宋体"/>
          <w:b/>
          <w:sz w:val="24"/>
          <w:szCs w:val="24"/>
          <w:highlight w:val="none"/>
        </w:rPr>
        <w:t>三、服务地点及服务期：</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w:t>
      </w:r>
      <w:r>
        <w:rPr>
          <w:rFonts w:hint="eastAsia" w:ascii="宋体" w:hAnsi="宋体" w:eastAsia="宋体" w:cs="宋体"/>
          <w:b/>
          <w:bCs w:val="0"/>
          <w:sz w:val="24"/>
          <w:szCs w:val="24"/>
          <w:highlight w:val="none"/>
        </w:rPr>
        <w:t>服务地点：</w:t>
      </w:r>
      <w:r>
        <w:rPr>
          <w:rFonts w:hint="eastAsia" w:ascii="宋体" w:hAnsi="宋体" w:eastAsia="宋体" w:cs="宋体"/>
          <w:bCs/>
          <w:sz w:val="24"/>
          <w:szCs w:val="24"/>
          <w:highlight w:val="none"/>
        </w:rPr>
        <w:t>采购人指定地点。</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Cs/>
          <w:sz w:val="24"/>
          <w:szCs w:val="24"/>
          <w:highlight w:val="none"/>
        </w:rPr>
        <w:t>（二）</w:t>
      </w:r>
      <w:r>
        <w:rPr>
          <w:rFonts w:hint="eastAsia" w:ascii="宋体" w:hAnsi="宋体" w:eastAsia="宋体" w:cs="宋体"/>
          <w:b/>
          <w:bCs/>
          <w:sz w:val="24"/>
          <w:szCs w:val="24"/>
          <w:highlight w:val="none"/>
          <w:lang w:eastAsia="zh-CN"/>
        </w:rPr>
        <w:t>服务期</w:t>
      </w:r>
      <w:r>
        <w:rPr>
          <w:rFonts w:hint="eastAsia" w:ascii="宋体" w:hAnsi="宋体" w:eastAsia="宋体" w:cs="宋体"/>
          <w:b/>
          <w:bCs/>
          <w:sz w:val="24"/>
          <w:szCs w:val="24"/>
          <w:highlight w:val="none"/>
        </w:rPr>
        <w:t>：</w:t>
      </w:r>
    </w:p>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四、验收时间及依据</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（一）单一来源谈判文件、单一来源谈判响应文件、澄清表（函）；</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（二）本合同及附件文本；</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（三）合同签订时国家及行业现行的标准和技术规范。</w:t>
      </w:r>
    </w:p>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bCs/>
          <w:sz w:val="24"/>
          <w:szCs w:val="24"/>
          <w:highlight w:val="none"/>
        </w:rPr>
      </w:pPr>
      <w:r>
        <w:rPr>
          <w:rFonts w:hint="eastAsia" w:ascii="宋体" w:hAnsi="宋体" w:eastAsia="宋体" w:cs="宋体"/>
          <w:b/>
          <w:bCs/>
          <w:sz w:val="24"/>
          <w:szCs w:val="24"/>
          <w:highlight w:val="none"/>
        </w:rPr>
        <w:t>五、供应商责任与义务</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（一）供应商满足采购人人数和服务质量要求，经采购人与成交供应商双方负责人确认，对达不到本项目招标要求所述条件要求的人员进行更换。</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投标报价应是投标单位正确、全面完成投标文件所述全部工作内容的全部报酬，不受市场价格变化等因素的影响，成交人不得以任何理由变更投标报价。所有根据合同或其它原因由投标单位支付的税金和其它应缴纳的费用，以及利润等都应包括在投标单位提交的投标报价中，投标单位不得要求采购人在报价之外支付其它任何费用。由于报价填报不完整、不清楚或存在其它任何失误，所导致的任何不利后果均应当由投标单位自行承担。</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（三）</w:t>
      </w:r>
      <w:r>
        <w:rPr>
          <w:rFonts w:hint="eastAsia" w:ascii="宋体" w:hAnsi="宋体" w:eastAsia="宋体" w:cs="宋体"/>
          <w:sz w:val="24"/>
          <w:highlight w:val="none"/>
        </w:rPr>
        <w:t>本合同规定的内容、时间向甲方交付项目成果，并对项目质量负责。</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eastAsia="zh-CN"/>
        </w:rPr>
        <w:t>四</w:t>
      </w:r>
      <w:r>
        <w:rPr>
          <w:rFonts w:hint="eastAsia" w:ascii="宋体" w:hAnsi="宋体" w:eastAsia="宋体" w:cs="宋体"/>
          <w:bCs/>
          <w:sz w:val="24"/>
          <w:szCs w:val="24"/>
          <w:highlight w:val="none"/>
        </w:rPr>
        <w:t>）合同有效期内，投标报价不因市场因素、政府政策调整、费率调整和税收变化等而作任何调整，投标单位应在投标时充分考虑到各种风险因素。</w:t>
      </w:r>
    </w:p>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bCs/>
          <w:sz w:val="24"/>
          <w:szCs w:val="24"/>
          <w:highlight w:val="none"/>
        </w:rPr>
      </w:pPr>
      <w:r>
        <w:rPr>
          <w:rFonts w:hint="eastAsia" w:ascii="宋体" w:hAnsi="宋体" w:eastAsia="宋体" w:cs="宋体"/>
          <w:b/>
          <w:bCs/>
          <w:sz w:val="24"/>
          <w:szCs w:val="24"/>
          <w:highlight w:val="none"/>
        </w:rPr>
        <w:t>六</w:t>
      </w:r>
      <w:r>
        <w:rPr>
          <w:rFonts w:hint="eastAsia" w:ascii="宋体" w:hAnsi="宋体" w:eastAsia="宋体" w:cs="宋体"/>
          <w:b/>
          <w:sz w:val="24"/>
          <w:szCs w:val="24"/>
          <w:highlight w:val="none"/>
        </w:rPr>
        <w:t>、违约责任</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（一）按《</w:t>
      </w:r>
      <w:r>
        <w:rPr>
          <w:rFonts w:hint="eastAsia" w:ascii="宋体" w:hAnsi="宋体" w:eastAsia="宋体" w:cs="宋体"/>
          <w:bCs/>
          <w:sz w:val="24"/>
          <w:szCs w:val="24"/>
          <w:highlight w:val="none"/>
          <w:lang w:eastAsia="zh-CN"/>
        </w:rPr>
        <w:t>民法典</w:t>
      </w:r>
      <w:r>
        <w:rPr>
          <w:rFonts w:hint="eastAsia" w:ascii="宋体" w:hAnsi="宋体" w:eastAsia="宋体" w:cs="宋体"/>
          <w:bCs/>
          <w:sz w:val="24"/>
          <w:szCs w:val="24"/>
          <w:highlight w:val="none"/>
        </w:rPr>
        <w:t>》中的相关条款执行。</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（二）未按合同要求提供服务或服务质量不能满足本次招标要求，采购人会同监督机构、采购代理机构有权终止合同和对中标供应商违约行为进行追究，同时按政府采购法的有关规定进行相应的处罚。</w:t>
      </w:r>
    </w:p>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七、其他事项</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（一）成交人不得转让、分包给其它单位或个人；</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（二）成交人的投标文件和承诺等内容将列入合同。</w:t>
      </w:r>
    </w:p>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八、合同争议解决的方式</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本合同在履行过程中发生的争议，由甲、乙双方当事人协商解决，协商不成的按下列第</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种方式解决：</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（一）提交</w:t>
      </w:r>
      <w:r>
        <w:rPr>
          <w:rFonts w:hint="eastAsia" w:ascii="宋体" w:hAnsi="宋体" w:eastAsia="宋体" w:cs="宋体"/>
          <w:bCs/>
          <w:sz w:val="24"/>
          <w:szCs w:val="24"/>
          <w:highlight w:val="none"/>
          <w:u w:val="single"/>
          <w:lang w:eastAsia="zh-CN"/>
        </w:rPr>
        <w:t>西安市</w:t>
      </w:r>
      <w:r>
        <w:rPr>
          <w:rFonts w:hint="eastAsia" w:ascii="宋体" w:hAnsi="宋体" w:eastAsia="宋体" w:cs="宋体"/>
          <w:bCs/>
          <w:sz w:val="24"/>
          <w:szCs w:val="24"/>
          <w:highlight w:val="none"/>
        </w:rPr>
        <w:t>仲裁委员会仲裁；</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（二）依法向甲方所在地人民法院起诉。</w:t>
      </w:r>
    </w:p>
    <w:p>
      <w:pPr>
        <w:keepNext w:val="0"/>
        <w:keepLines w:val="0"/>
        <w:pageBreakBefore w:val="0"/>
        <w:kinsoku/>
        <w:wordWrap/>
        <w:overflowPunct/>
        <w:topLinePunct w:val="0"/>
        <w:autoSpaceDE w:val="0"/>
        <w:autoSpaceDN w:val="0"/>
        <w:bidi w:val="0"/>
        <w:adjustRightInd w:val="0"/>
        <w:spacing w:line="432" w:lineRule="auto"/>
        <w:ind w:firstLine="482" w:firstLineChars="200"/>
        <w:textAlignment w:val="auto"/>
        <w:rPr>
          <w:rFonts w:hint="eastAsia" w:ascii="宋体" w:hAnsi="宋体" w:eastAsia="宋体" w:cs="宋体"/>
          <w:bCs/>
          <w:sz w:val="24"/>
          <w:szCs w:val="24"/>
          <w:highlight w:val="none"/>
        </w:rPr>
      </w:pPr>
      <w:r>
        <w:rPr>
          <w:rFonts w:hint="eastAsia" w:ascii="宋体" w:hAnsi="宋体" w:eastAsia="宋体" w:cs="宋体"/>
          <w:b/>
          <w:sz w:val="24"/>
          <w:szCs w:val="24"/>
          <w:highlight w:val="none"/>
        </w:rPr>
        <w:t>九、合同生效</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1、本合同经双方签字盖章后生效。</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2、本合同须经甲、乙双方的法定代表人（授权代理人）在合同书上签字并加盖本单位公章后正实生效。</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3、合同生效后，甲、乙双方须严格执行本合同条款的规定，全面履行合同，违者按《中华人民共和国</w:t>
      </w:r>
      <w:r>
        <w:rPr>
          <w:rFonts w:hint="eastAsia" w:ascii="宋体" w:hAnsi="宋体" w:eastAsia="宋体" w:cs="宋体"/>
          <w:bCs/>
          <w:sz w:val="24"/>
          <w:szCs w:val="24"/>
          <w:highlight w:val="none"/>
          <w:lang w:eastAsia="zh-CN"/>
        </w:rPr>
        <w:t>民法典</w:t>
      </w:r>
      <w:r>
        <w:rPr>
          <w:rFonts w:hint="eastAsia" w:ascii="宋体" w:hAnsi="宋体" w:eastAsia="宋体" w:cs="宋体"/>
          <w:bCs/>
          <w:sz w:val="24"/>
          <w:szCs w:val="24"/>
          <w:highlight w:val="none"/>
        </w:rPr>
        <w:t>》的有关规定承担相应责任。</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4、本合同一式</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份，甲乙双方各执</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份。</w:t>
      </w:r>
    </w:p>
    <w:p>
      <w:pPr>
        <w:keepNext w:val="0"/>
        <w:keepLines w:val="0"/>
        <w:pageBreakBefore w:val="0"/>
        <w:kinsoku/>
        <w:wordWrap/>
        <w:overflowPunct/>
        <w:topLinePunct w:val="0"/>
        <w:autoSpaceDE w:val="0"/>
        <w:autoSpaceDN w:val="0"/>
        <w:bidi w:val="0"/>
        <w:adjustRightInd w:val="0"/>
        <w:spacing w:line="432"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5、本合同如有未尽事宜，甲、乙双方协商解决。</w:t>
      </w:r>
    </w:p>
    <w:tbl>
      <w:tblPr>
        <w:tblStyle w:val="2"/>
        <w:tblW w:w="0" w:type="auto"/>
        <w:jc w:val="center"/>
        <w:tblLayout w:type="fixed"/>
        <w:tblCellMar>
          <w:top w:w="0" w:type="dxa"/>
          <w:left w:w="108" w:type="dxa"/>
          <w:bottom w:w="0" w:type="dxa"/>
          <w:right w:w="108" w:type="dxa"/>
        </w:tblCellMar>
      </w:tblPr>
      <w:tblGrid>
        <w:gridCol w:w="4201"/>
        <w:gridCol w:w="4202"/>
      </w:tblGrid>
      <w:tr>
        <w:tblPrEx>
          <w:tblCellMar>
            <w:top w:w="0" w:type="dxa"/>
            <w:left w:w="108" w:type="dxa"/>
            <w:bottom w:w="0" w:type="dxa"/>
            <w:right w:w="108" w:type="dxa"/>
          </w:tblCellMar>
        </w:tblPrEx>
        <w:trPr>
          <w:trHeight w:val="567" w:hRule="exact"/>
          <w:jc w:val="center"/>
        </w:trPr>
        <w:tc>
          <w:tcPr>
            <w:tcW w:w="4201"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甲  方</w:t>
            </w:r>
          </w:p>
        </w:tc>
        <w:tc>
          <w:tcPr>
            <w:tcW w:w="4202"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乙  方</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keepNext w:val="0"/>
              <w:keepLines w:val="0"/>
              <w:pageBreakBefore w:val="0"/>
              <w:kinsoku/>
              <w:wordWrap/>
              <w:overflowPunct/>
              <w:topLinePunct w:val="0"/>
              <w:autoSpaceDE w:val="0"/>
              <w:autoSpaceDN w:val="0"/>
              <w:bidi w:val="0"/>
              <w:adjustRightInd w:val="0"/>
              <w:spacing w:line="432" w:lineRule="auto"/>
              <w:ind w:firstLine="700" w:firstLineChars="350"/>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（盖章）</w:t>
            </w:r>
          </w:p>
        </w:tc>
        <w:tc>
          <w:tcPr>
            <w:tcW w:w="4202" w:type="dxa"/>
            <w:noWrap w:val="0"/>
            <w:vAlign w:val="center"/>
          </w:tcPr>
          <w:p>
            <w:pPr>
              <w:keepNext w:val="0"/>
              <w:keepLines w:val="0"/>
              <w:pageBreakBefore w:val="0"/>
              <w:kinsoku/>
              <w:wordWrap/>
              <w:overflowPunct/>
              <w:topLinePunct w:val="0"/>
              <w:autoSpaceDE w:val="0"/>
              <w:autoSpaceDN w:val="0"/>
              <w:bidi w:val="0"/>
              <w:adjustRightInd w:val="0"/>
              <w:spacing w:line="432" w:lineRule="auto"/>
              <w:ind w:firstLine="800" w:firstLineChars="400"/>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（盖章）</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 xml:space="preserve">地址： </w:t>
            </w:r>
          </w:p>
        </w:tc>
        <w:tc>
          <w:tcPr>
            <w:tcW w:w="4202"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地址：</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邮编：</w:t>
            </w:r>
          </w:p>
        </w:tc>
        <w:tc>
          <w:tcPr>
            <w:tcW w:w="4202"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邮编：</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 xml:space="preserve">法定代表人： </w:t>
            </w:r>
          </w:p>
        </w:tc>
        <w:tc>
          <w:tcPr>
            <w:tcW w:w="4202"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法定代表人：</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项目负责人：</w:t>
            </w:r>
          </w:p>
        </w:tc>
        <w:tc>
          <w:tcPr>
            <w:tcW w:w="4202"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项目负责人：</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电话：</w:t>
            </w:r>
          </w:p>
        </w:tc>
        <w:tc>
          <w:tcPr>
            <w:tcW w:w="4202" w:type="dxa"/>
            <w:noWrap w:val="0"/>
            <w:vAlign w:val="center"/>
          </w:tcPr>
          <w:p>
            <w:pPr>
              <w:keepNext w:val="0"/>
              <w:keepLines w:val="0"/>
              <w:pageBreakBefore w:val="0"/>
              <w:kinsoku/>
              <w:wordWrap/>
              <w:overflowPunct/>
              <w:topLinePunct w:val="0"/>
              <w:autoSpaceDE w:val="0"/>
              <w:autoSpaceDN w:val="0"/>
              <w:bidi w:val="0"/>
              <w:adjustRightInd w:val="0"/>
              <w:spacing w:line="432" w:lineRule="auto"/>
              <w:ind w:left="600" w:hanging="600" w:hangingChars="300"/>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电话：</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传真：</w:t>
            </w:r>
          </w:p>
        </w:tc>
        <w:tc>
          <w:tcPr>
            <w:tcW w:w="4202"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传真：</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开户银行：</w:t>
            </w:r>
          </w:p>
        </w:tc>
        <w:tc>
          <w:tcPr>
            <w:tcW w:w="4202"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开户银行：</w:t>
            </w:r>
          </w:p>
        </w:tc>
      </w:tr>
      <w:tr>
        <w:tblPrEx>
          <w:tblCellMar>
            <w:top w:w="0" w:type="dxa"/>
            <w:left w:w="108" w:type="dxa"/>
            <w:bottom w:w="0" w:type="dxa"/>
            <w:right w:w="108" w:type="dxa"/>
          </w:tblCellMar>
        </w:tblPrEx>
        <w:trPr>
          <w:trHeight w:val="567" w:hRule="exact"/>
          <w:jc w:val="center"/>
        </w:trPr>
        <w:tc>
          <w:tcPr>
            <w:tcW w:w="4201"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日期：</w:t>
            </w:r>
          </w:p>
        </w:tc>
        <w:tc>
          <w:tcPr>
            <w:tcW w:w="4202" w:type="dxa"/>
            <w:noWrap w:val="0"/>
            <w:vAlign w:val="center"/>
          </w:tcPr>
          <w:p>
            <w:pPr>
              <w:keepNext w:val="0"/>
              <w:keepLines w:val="0"/>
              <w:pageBreakBefore w:val="0"/>
              <w:kinsoku/>
              <w:wordWrap/>
              <w:overflowPunct/>
              <w:topLinePunct w:val="0"/>
              <w:autoSpaceDE w:val="0"/>
              <w:autoSpaceDN w:val="0"/>
              <w:bidi w:val="0"/>
              <w:adjustRightInd w:val="0"/>
              <w:spacing w:line="432" w:lineRule="auto"/>
              <w:textAlignment w:val="auto"/>
              <w:rPr>
                <w:rFonts w:hint="eastAsia" w:ascii="宋体" w:hAnsi="宋体" w:eastAsia="宋体" w:cs="宋体"/>
                <w:spacing w:val="-20"/>
                <w:kern w:val="0"/>
                <w:sz w:val="24"/>
                <w:szCs w:val="24"/>
                <w:highlight w:val="none"/>
              </w:rPr>
            </w:pPr>
            <w:r>
              <w:rPr>
                <w:rFonts w:hint="eastAsia" w:ascii="宋体" w:hAnsi="宋体" w:eastAsia="宋体" w:cs="宋体"/>
                <w:spacing w:val="-20"/>
                <w:kern w:val="0"/>
                <w:sz w:val="24"/>
                <w:szCs w:val="24"/>
                <w:highlight w:val="none"/>
              </w:rPr>
              <w:t>日期：</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xMjYxMTc2YmNmM2ZiYzM3MzRiYzBiMTAxOWMxMDcifQ=="/>
  </w:docVars>
  <w:rsids>
    <w:rsidRoot w:val="00000000"/>
    <w:rsid w:val="5A5D5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2023-09-21T07:35:46Z</dcterms:created>
  <dc:creator>lenovo</dc:creator>
  <cp:lastModifiedBy>文件请备份丢失不负责</cp:lastModifiedBy>
  <dcterms:modified xsi:type="dcterms:W3CDTF">2023-09-21T07:35:51Z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92CA69C7559D4F07B68DB117EBCAD804_12</vt:lpwstr>
  </property>
</Properties>
</file>