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EB7DB" w14:textId="77777777" w:rsidR="00345AC2" w:rsidRDefault="00345AC2" w:rsidP="00345AC2">
      <w:pPr>
        <w:pStyle w:val="a8"/>
        <w:spacing w:line="336" w:lineRule="auto"/>
        <w:ind w:firstLineChars="200" w:firstLine="560"/>
        <w:jc w:val="center"/>
        <w:rPr>
          <w:rFonts w:ascii="仿宋" w:hAnsi="仿宋" w:cs="MingLiU_HKSCS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实质性商务部分偏离表</w:t>
      </w:r>
    </w:p>
    <w:p w14:paraId="780016BC" w14:textId="77777777" w:rsidR="00345AC2" w:rsidRDefault="00345AC2" w:rsidP="00345AC2">
      <w:pPr>
        <w:pStyle w:val="a8"/>
        <w:spacing w:line="336" w:lineRule="auto"/>
        <w:ind w:firstLineChars="100" w:firstLine="280"/>
        <w:jc w:val="left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367523C2" w14:textId="77777777" w:rsidR="00345AC2" w:rsidRDefault="00345AC2" w:rsidP="00345AC2">
      <w:pPr>
        <w:pStyle w:val="a8"/>
        <w:spacing w:line="336" w:lineRule="auto"/>
        <w:ind w:firstLineChars="100" w:firstLine="280"/>
        <w:jc w:val="left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 xml:space="preserve">项目编号： </w:t>
      </w:r>
      <w:r>
        <w:rPr>
          <w:rFonts w:ascii="仿宋" w:hAnsi="仿宋"/>
          <w:sz w:val="28"/>
          <w:szCs w:val="28"/>
        </w:rPr>
        <w:t xml:space="preserve">                                 </w:t>
      </w:r>
    </w:p>
    <w:tbl>
      <w:tblPr>
        <w:tblW w:w="9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4"/>
        <w:gridCol w:w="3751"/>
        <w:gridCol w:w="2162"/>
        <w:gridCol w:w="1236"/>
        <w:gridCol w:w="1066"/>
      </w:tblGrid>
      <w:tr w:rsidR="00345AC2" w14:paraId="78C3CBEE" w14:textId="77777777" w:rsidTr="006B695C">
        <w:trPr>
          <w:jc w:val="center"/>
        </w:trPr>
        <w:tc>
          <w:tcPr>
            <w:tcW w:w="1064" w:type="dxa"/>
            <w:vAlign w:val="center"/>
          </w:tcPr>
          <w:p w14:paraId="46E98DE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3751" w:type="dxa"/>
            <w:vAlign w:val="center"/>
          </w:tcPr>
          <w:p w14:paraId="3C9D47BE" w14:textId="744ECF69" w:rsidR="00345AC2" w:rsidRDefault="00345AC2" w:rsidP="006B695C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招标文件的商务部分</w:t>
            </w:r>
          </w:p>
        </w:tc>
        <w:tc>
          <w:tcPr>
            <w:tcW w:w="2162" w:type="dxa"/>
            <w:vAlign w:val="center"/>
          </w:tcPr>
          <w:p w14:paraId="78D61A30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投标文件的</w:t>
            </w:r>
          </w:p>
          <w:p w14:paraId="48B79F4B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vAlign w:val="center"/>
          </w:tcPr>
          <w:p w14:paraId="4766E3D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偏离</w:t>
            </w:r>
          </w:p>
        </w:tc>
        <w:tc>
          <w:tcPr>
            <w:tcW w:w="1066" w:type="dxa"/>
            <w:vAlign w:val="center"/>
          </w:tcPr>
          <w:p w14:paraId="513EFEDA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说明</w:t>
            </w:r>
          </w:p>
        </w:tc>
      </w:tr>
      <w:tr w:rsidR="00345AC2" w14:paraId="05D0DCB8" w14:textId="77777777" w:rsidTr="006B695C">
        <w:trPr>
          <w:jc w:val="center"/>
        </w:trPr>
        <w:tc>
          <w:tcPr>
            <w:tcW w:w="1064" w:type="dxa"/>
            <w:vAlign w:val="center"/>
          </w:tcPr>
          <w:p w14:paraId="0A736865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751" w:type="dxa"/>
            <w:vAlign w:val="center"/>
          </w:tcPr>
          <w:p w14:paraId="087892C8" w14:textId="7372CFC3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项目交付的时间：</w:t>
            </w:r>
            <w:r w:rsidR="00587F17" w:rsidRPr="00587F17">
              <w:rPr>
                <w:rFonts w:ascii="仿宋" w:hAnsi="仿宋" w:cs="Courier New" w:hint="eastAsia"/>
                <w:sz w:val="24"/>
                <w:szCs w:val="24"/>
              </w:rPr>
              <w:t>采购人要求合同签订后即启动需求调研，自合同签订之日起240日内交付验收。其中需求调研说明书确认后60个日历日内安装部署实施完毕并启动试运行，试运行180日组织验收。</w:t>
            </w:r>
          </w:p>
        </w:tc>
        <w:tc>
          <w:tcPr>
            <w:tcW w:w="2162" w:type="dxa"/>
            <w:vAlign w:val="center"/>
          </w:tcPr>
          <w:p w14:paraId="14A3BCF4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68949C41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83B4B9F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344A228A" w14:textId="77777777" w:rsidTr="006B695C">
        <w:trPr>
          <w:jc w:val="center"/>
        </w:trPr>
        <w:tc>
          <w:tcPr>
            <w:tcW w:w="1064" w:type="dxa"/>
            <w:vAlign w:val="center"/>
          </w:tcPr>
          <w:p w14:paraId="38B03D0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2</w:t>
            </w:r>
          </w:p>
        </w:tc>
        <w:tc>
          <w:tcPr>
            <w:tcW w:w="3751" w:type="dxa"/>
            <w:vAlign w:val="center"/>
          </w:tcPr>
          <w:p w14:paraId="5C2252F7" w14:textId="4D152E81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项目交付的地点：西安石油大学指定地点</w:t>
            </w:r>
          </w:p>
        </w:tc>
        <w:tc>
          <w:tcPr>
            <w:tcW w:w="2162" w:type="dxa"/>
            <w:vAlign w:val="center"/>
          </w:tcPr>
          <w:p w14:paraId="2BD5BF9F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4225143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384AF6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4A513B92" w14:textId="77777777" w:rsidTr="006B695C">
        <w:trPr>
          <w:jc w:val="center"/>
        </w:trPr>
        <w:tc>
          <w:tcPr>
            <w:tcW w:w="1064" w:type="dxa"/>
            <w:vAlign w:val="center"/>
          </w:tcPr>
          <w:p w14:paraId="1B1BE858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3</w:t>
            </w:r>
          </w:p>
        </w:tc>
        <w:tc>
          <w:tcPr>
            <w:tcW w:w="3751" w:type="dxa"/>
            <w:vAlign w:val="center"/>
          </w:tcPr>
          <w:p w14:paraId="18AD3424" w14:textId="11B42991" w:rsidR="00345AC2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质保期：平台软件提供三年质保期。硬件设备验收合格之日起提供五年原厂质保和备件服务</w:t>
            </w:r>
          </w:p>
        </w:tc>
        <w:tc>
          <w:tcPr>
            <w:tcW w:w="2162" w:type="dxa"/>
            <w:vAlign w:val="center"/>
          </w:tcPr>
          <w:p w14:paraId="47B5F715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2AD4CEB3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410A7C59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345AC2" w14:paraId="68DBA74F" w14:textId="77777777" w:rsidTr="006B695C">
        <w:trPr>
          <w:jc w:val="center"/>
        </w:trPr>
        <w:tc>
          <w:tcPr>
            <w:tcW w:w="1064" w:type="dxa"/>
            <w:vAlign w:val="center"/>
          </w:tcPr>
          <w:p w14:paraId="296736B1" w14:textId="3974E995" w:rsidR="00345AC2" w:rsidRDefault="006B695C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4</w:t>
            </w:r>
          </w:p>
        </w:tc>
        <w:tc>
          <w:tcPr>
            <w:tcW w:w="3751" w:type="dxa"/>
            <w:vAlign w:val="center"/>
          </w:tcPr>
          <w:p w14:paraId="0919FD2E" w14:textId="2BB37B7F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采购资金的支付方式</w:t>
            </w:r>
          </w:p>
          <w:p w14:paraId="72885962" w14:textId="123F913D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1、结算单位：采购人结算，在付款前必须开具等额发票给采购人。</w:t>
            </w:r>
          </w:p>
          <w:p w14:paraId="0A878C29" w14:textId="017F7887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2、付款方式</w:t>
            </w:r>
          </w:p>
          <w:p w14:paraId="080BAF58" w14:textId="50C71BB9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（1）合同生效后10个工作日内，支付合同总价的40%作为预付款。</w:t>
            </w:r>
          </w:p>
          <w:p w14:paraId="4B6EDDEB" w14:textId="66792681" w:rsidR="006B695C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（2）所有服务提供完毕且经采购人验收合格后10个工作日内，支付合同总价的60%。</w:t>
            </w:r>
          </w:p>
          <w:p w14:paraId="77A9F84B" w14:textId="77444B5F" w:rsidR="00345AC2" w:rsidRPr="006B695C" w:rsidRDefault="006B695C" w:rsidP="006B695C">
            <w:pPr>
              <w:pStyle w:val="a8"/>
              <w:spacing w:line="336" w:lineRule="auto"/>
              <w:jc w:val="left"/>
              <w:rPr>
                <w:rFonts w:ascii="仿宋" w:hAnsi="仿宋" w:cs="Courier New"/>
                <w:sz w:val="24"/>
                <w:szCs w:val="24"/>
              </w:rPr>
            </w:pPr>
            <w:r w:rsidRPr="006B695C">
              <w:rPr>
                <w:rFonts w:ascii="仿宋" w:hAnsi="仿宋" w:cs="Courier New" w:hint="eastAsia"/>
                <w:sz w:val="24"/>
                <w:szCs w:val="24"/>
              </w:rPr>
              <w:t>（3）供应商应于采购人每次付款前向采购人开具等额增值税专用</w:t>
            </w:r>
            <w:r w:rsidRPr="006B695C">
              <w:rPr>
                <w:rFonts w:ascii="仿宋" w:hAnsi="仿宋" w:cs="Courier New" w:hint="eastAsia"/>
                <w:sz w:val="24"/>
                <w:szCs w:val="24"/>
              </w:rPr>
              <w:lastRenderedPageBreak/>
              <w:t>发票。因供应商迟延开票，采购人有权拒不付款且不承担任何责任。</w:t>
            </w:r>
          </w:p>
        </w:tc>
        <w:tc>
          <w:tcPr>
            <w:tcW w:w="2162" w:type="dxa"/>
            <w:vAlign w:val="center"/>
          </w:tcPr>
          <w:p w14:paraId="4EA746D6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14:paraId="025567AC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 w14:paraId="2176E27D" w14:textId="77777777" w:rsidR="00345AC2" w:rsidRDefault="00345AC2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246F233A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说明：</w:t>
      </w:r>
    </w:p>
    <w:p w14:paraId="56A7347F" w14:textId="4D754350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1、填写招标文件</w:t>
      </w:r>
      <w:r w:rsidR="003D77D5">
        <w:rPr>
          <w:rFonts w:ascii="仿宋" w:hAnsi="仿宋" w:hint="eastAsia"/>
          <w:sz w:val="28"/>
          <w:szCs w:val="28"/>
        </w:rPr>
        <w:t>中</w:t>
      </w:r>
      <w:r>
        <w:rPr>
          <w:rFonts w:ascii="仿宋" w:hAnsi="仿宋" w:hint="eastAsia"/>
          <w:sz w:val="28"/>
          <w:szCs w:val="28"/>
        </w:rPr>
        <w:t>标注★号的内容。</w:t>
      </w:r>
    </w:p>
    <w:p w14:paraId="6795D077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2、在偏离项，必须注明“正偏离”“负偏离”或“完全响应”，并予以说明。</w:t>
      </w:r>
    </w:p>
    <w:p w14:paraId="796B4762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239E78DC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4、未按★号的内容填写，视为“完全响应”。</w:t>
      </w:r>
    </w:p>
    <w:p w14:paraId="118F45F3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</w:p>
    <w:p w14:paraId="407B2D54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ascii="仿宋" w:hAnsi="仿宋" w:hint="eastAsia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ascii="仿宋" w:hAnsi="仿宋" w:hint="eastAsia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086D63E" w14:textId="77777777" w:rsidR="00345AC2" w:rsidRDefault="00345AC2" w:rsidP="00345AC2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 w:hint="eastAsia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日</w:t>
      </w:r>
    </w:p>
    <w:p w14:paraId="5919A9FF" w14:textId="77777777" w:rsidR="009A113B" w:rsidRPr="00345AC2" w:rsidRDefault="009A113B"/>
    <w:sectPr w:rsidR="009A113B" w:rsidRPr="00345A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D8F8" w14:textId="77777777" w:rsidR="007C4D34" w:rsidRDefault="007C4D34" w:rsidP="00345AC2">
      <w:pPr>
        <w:spacing w:line="240" w:lineRule="auto"/>
      </w:pPr>
      <w:r>
        <w:separator/>
      </w:r>
    </w:p>
  </w:endnote>
  <w:endnote w:type="continuationSeparator" w:id="0">
    <w:p w14:paraId="22C44F6E" w14:textId="77777777" w:rsidR="007C4D34" w:rsidRDefault="007C4D34" w:rsidP="00345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A1996" w14:textId="77777777" w:rsidR="007C4D34" w:rsidRDefault="007C4D34" w:rsidP="00345AC2">
      <w:pPr>
        <w:spacing w:line="240" w:lineRule="auto"/>
      </w:pPr>
      <w:r>
        <w:separator/>
      </w:r>
    </w:p>
  </w:footnote>
  <w:footnote w:type="continuationSeparator" w:id="0">
    <w:p w14:paraId="09FC9553" w14:textId="77777777" w:rsidR="007C4D34" w:rsidRDefault="007C4D34" w:rsidP="00345AC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3B"/>
    <w:rsid w:val="0019776C"/>
    <w:rsid w:val="00345AC2"/>
    <w:rsid w:val="003D77D5"/>
    <w:rsid w:val="00587F17"/>
    <w:rsid w:val="006B695C"/>
    <w:rsid w:val="007C4D34"/>
    <w:rsid w:val="009A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E2FA0"/>
  <w15:chartTrackingRefBased/>
  <w15:docId w15:val="{DEC9D7C1-2466-4C4D-82A5-5AF0CB57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45AC2"/>
    <w:pPr>
      <w:widowControl w:val="0"/>
      <w:spacing w:line="324" w:lineRule="auto"/>
      <w:jc w:val="both"/>
    </w:pPr>
    <w:rPr>
      <w:rFonts w:ascii="Times New Roman" w:eastAsia="仿宋" w:hAnsi="Times New Roman" w:cs="Times New Roman"/>
      <w:sz w:val="32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345A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345AC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45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345AC2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345AC2"/>
    <w:rPr>
      <w:rFonts w:ascii="宋体" w:hAnsi="Courier New"/>
      <w:szCs w:val="21"/>
    </w:rPr>
  </w:style>
  <w:style w:type="character" w:customStyle="1" w:styleId="a9">
    <w:name w:val="纯文本 字符"/>
    <w:basedOn w:val="a1"/>
    <w:link w:val="a8"/>
    <w:uiPriority w:val="99"/>
    <w:rsid w:val="00345AC2"/>
    <w:rPr>
      <w:rFonts w:ascii="宋体" w:eastAsia="仿宋" w:hAnsi="Courier New" w:cs="Times New Roman"/>
      <w:sz w:val="32"/>
      <w:szCs w:val="21"/>
      <w14:ligatures w14:val="none"/>
    </w:rPr>
  </w:style>
  <w:style w:type="paragraph" w:styleId="a0">
    <w:name w:val="Body Text"/>
    <w:basedOn w:val="a"/>
    <w:link w:val="aa"/>
    <w:uiPriority w:val="99"/>
    <w:semiHidden/>
    <w:unhideWhenUsed/>
    <w:rsid w:val="00345AC2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345AC2"/>
    <w:rPr>
      <w:rFonts w:ascii="Times New Roman" w:eastAsia="仿宋" w:hAnsi="Times New Roman" w:cs="Times New Roman"/>
      <w:sz w:val="32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11</cp:revision>
  <dcterms:created xsi:type="dcterms:W3CDTF">2023-07-24T02:52:00Z</dcterms:created>
  <dcterms:modified xsi:type="dcterms:W3CDTF">2023-09-12T06:21:00Z</dcterms:modified>
</cp:coreProperties>
</file>