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000000"/>
          <w:sz w:val="36"/>
          <w:szCs w:val="36"/>
          <w:lang w:val="en-US" w:eastAsia="zh-CN"/>
        </w:rPr>
      </w:pPr>
    </w:p>
    <w:p>
      <w:pPr>
        <w:jc w:val="center"/>
        <w:rPr>
          <w:rFonts w:hint="eastAsia" w:ascii="宋体" w:hAnsi="宋体" w:eastAsia="宋体" w:cs="宋体"/>
          <w:b/>
          <w:bCs/>
          <w:color w:val="000000"/>
          <w:sz w:val="36"/>
          <w:szCs w:val="36"/>
          <w:lang w:eastAsia="zh-CN"/>
        </w:rPr>
      </w:pPr>
      <w:r>
        <w:rPr>
          <w:rFonts w:hint="eastAsia" w:ascii="宋体" w:hAnsi="宋体" w:eastAsia="宋体" w:cs="宋体"/>
          <w:b/>
          <w:bCs/>
          <w:color w:val="000000"/>
          <w:sz w:val="36"/>
          <w:szCs w:val="36"/>
          <w:lang w:val="en-US" w:eastAsia="zh-CN"/>
        </w:rPr>
        <w:t>项目名称</w:t>
      </w:r>
    </w:p>
    <w:p>
      <w:pPr>
        <w:jc w:val="center"/>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p>
    <w:p>
      <w:pPr>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采购合同</w:t>
      </w: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sz w:val="24"/>
          <w:szCs w:val="24"/>
        </w:rPr>
      </w:pPr>
    </w:p>
    <w:p>
      <w:pPr>
        <w:jc w:val="center"/>
        <w:rPr>
          <w:rFonts w:hint="eastAsia" w:ascii="宋体" w:hAnsi="宋体" w:eastAsia="宋体" w:cs="宋体"/>
          <w:b/>
          <w:sz w:val="24"/>
          <w:szCs w:val="24"/>
        </w:rPr>
      </w:pPr>
      <w:r>
        <w:rPr>
          <w:rFonts w:hint="eastAsia" w:ascii="宋体" w:hAnsi="宋体" w:eastAsia="宋体" w:cs="宋体"/>
          <w:b/>
          <w:sz w:val="24"/>
          <w:szCs w:val="24"/>
        </w:rPr>
        <w:t>（示范文本）</w:t>
      </w:r>
    </w:p>
    <w:p>
      <w:pPr>
        <w:widowControl/>
        <w:numPr>
          <w:ilvl w:val="0"/>
          <w:numId w:val="1"/>
        </w:numPr>
        <w:jc w:val="center"/>
        <w:outlineLvl w:val="1"/>
        <w:rPr>
          <w:rFonts w:hint="eastAsia" w:ascii="楷体" w:hAnsi="楷体" w:eastAsia="楷体" w:cs="楷体"/>
          <w:b/>
          <w:bCs/>
          <w:color w:val="auto"/>
          <w:sz w:val="32"/>
          <w:szCs w:val="32"/>
        </w:rPr>
      </w:pPr>
      <w:r>
        <w:rPr>
          <w:rFonts w:hint="eastAsia" w:ascii="宋体" w:hAnsi="宋体" w:eastAsia="宋体" w:cs="宋体"/>
          <w:bCs/>
          <w:sz w:val="24"/>
          <w:szCs w:val="24"/>
        </w:rPr>
        <w:br w:type="page"/>
      </w:r>
      <w:r>
        <w:rPr>
          <w:rFonts w:hint="eastAsia" w:ascii="楷体" w:hAnsi="楷体" w:eastAsia="楷体" w:cs="楷体"/>
          <w:b/>
          <w:bCs/>
          <w:color w:val="auto"/>
          <w:sz w:val="32"/>
          <w:szCs w:val="32"/>
        </w:rPr>
        <w:t>合同协议书</w:t>
      </w:r>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(本合同模板仅供参考，合同具体条款由采购人与中标单位自行协商，最终合同以采购人给出的合同定稿为准。)</w:t>
      </w:r>
      <w:bookmarkStart w:id="910" w:name="_GoBack"/>
      <w:bookmarkEnd w:id="910"/>
    </w:p>
    <w:p>
      <w:pPr>
        <w:pStyle w:val="3"/>
        <w:rPr>
          <w:rFonts w:hint="eastAsia"/>
          <w:color w:val="auto"/>
        </w:rPr>
      </w:pPr>
    </w:p>
    <w:p>
      <w:pPr>
        <w:spacing w:line="440" w:lineRule="exact"/>
        <w:rPr>
          <w:rFonts w:hint="eastAsia" w:ascii="楷体" w:hAnsi="楷体" w:eastAsia="楷体" w:cs="楷体"/>
          <w:b/>
          <w:color w:val="auto"/>
          <w:sz w:val="24"/>
          <w:u w:val="single"/>
        </w:rPr>
      </w:pPr>
      <w:r>
        <w:rPr>
          <w:rFonts w:hint="eastAsia" w:ascii="楷体" w:hAnsi="楷体" w:eastAsia="楷体" w:cs="楷体"/>
          <w:b/>
          <w:color w:val="auto"/>
          <w:sz w:val="24"/>
        </w:rPr>
        <w:t>发包人（全称）：</w:t>
      </w:r>
      <w:r>
        <w:rPr>
          <w:rFonts w:hint="eastAsia" w:ascii="楷体" w:hAnsi="楷体" w:eastAsia="楷体" w:cs="楷体"/>
          <w:b/>
          <w:color w:val="auto"/>
          <w:sz w:val="24"/>
          <w:u w:val="single"/>
          <w:lang w:eastAsia="zh-CN"/>
        </w:rPr>
        <w:t>陕西省总工会</w:t>
      </w:r>
    </w:p>
    <w:p>
      <w:pPr>
        <w:spacing w:line="440" w:lineRule="exact"/>
        <w:rPr>
          <w:rFonts w:ascii="楷体" w:hAnsi="楷体" w:eastAsia="楷体" w:cs="楷体"/>
          <w:b/>
          <w:color w:val="auto"/>
          <w:sz w:val="24"/>
          <w:u w:val="single"/>
        </w:rPr>
      </w:pPr>
      <w:r>
        <w:rPr>
          <w:rFonts w:hint="eastAsia" w:ascii="楷体" w:hAnsi="楷体" w:eastAsia="楷体" w:cs="楷体"/>
          <w:b/>
          <w:color w:val="auto"/>
          <w:sz w:val="24"/>
        </w:rPr>
        <w:t>承包人（全称）：</w:t>
      </w:r>
      <w:r>
        <w:rPr>
          <w:rFonts w:hint="eastAsia" w:ascii="楷体" w:hAnsi="楷体" w:eastAsia="楷体" w:cs="楷体"/>
          <w:b/>
          <w:color w:val="auto"/>
          <w:sz w:val="24"/>
          <w:u w:val="single"/>
        </w:rPr>
        <w:t xml:space="preserve">                            </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根据《中华人民共和国合同法》、《中华人民共和国建筑法》及有关法律规定，遵循平等、自愿、公平和诚实信用的原则，双方就</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省总机关家属院移交前设施设备修缮项目</w:t>
      </w:r>
      <w:r>
        <w:rPr>
          <w:rFonts w:hint="eastAsia" w:ascii="楷体" w:hAnsi="楷体" w:eastAsia="楷体" w:cs="楷体"/>
          <w:color w:val="auto"/>
          <w:sz w:val="24"/>
        </w:rPr>
        <w:t>施工及有关事项协商一致，共同达成如下协议：</w:t>
      </w:r>
    </w:p>
    <w:p>
      <w:pPr>
        <w:pStyle w:val="9"/>
        <w:numPr>
          <w:ilvl w:val="3"/>
          <w:numId w:val="0"/>
        </w:numPr>
        <w:spacing w:before="120" w:after="120" w:line="440" w:lineRule="exact"/>
        <w:rPr>
          <w:rFonts w:hint="eastAsia" w:ascii="楷体" w:hAnsi="楷体" w:eastAsia="楷体" w:cs="楷体"/>
          <w:bCs w:val="0"/>
          <w:color w:val="auto"/>
          <w:sz w:val="24"/>
          <w:szCs w:val="24"/>
        </w:rPr>
      </w:pPr>
      <w:bookmarkStart w:id="0" w:name="_Toc21624"/>
      <w:r>
        <w:rPr>
          <w:rFonts w:hint="eastAsia" w:ascii="楷体" w:hAnsi="楷体" w:eastAsia="楷体" w:cs="楷体"/>
          <w:bCs w:val="0"/>
          <w:color w:val="auto"/>
          <w:sz w:val="24"/>
          <w:szCs w:val="24"/>
        </w:rPr>
        <w:t>一、工程概况</w:t>
      </w:r>
      <w:bookmarkEnd w:id="0"/>
    </w:p>
    <w:p>
      <w:pPr>
        <w:spacing w:line="360" w:lineRule="auto"/>
        <w:ind w:firstLine="480" w:firstLineChars="200"/>
        <w:jc w:val="left"/>
        <w:rPr>
          <w:rFonts w:hint="eastAsia" w:ascii="楷体" w:hAnsi="楷体" w:eastAsia="楷体" w:cs="楷体"/>
          <w:b/>
          <w:color w:val="auto"/>
          <w:sz w:val="24"/>
          <w:lang w:eastAsia="zh-CN"/>
        </w:rPr>
      </w:pPr>
      <w:r>
        <w:rPr>
          <w:rFonts w:hint="eastAsia" w:ascii="楷体" w:hAnsi="楷体" w:eastAsia="楷体" w:cs="楷体"/>
          <w:bCs/>
          <w:color w:val="auto"/>
          <w:sz w:val="24"/>
        </w:rPr>
        <w:t>1.工程名称</w:t>
      </w:r>
      <w:r>
        <w:rPr>
          <w:rFonts w:hint="eastAsia" w:ascii="楷体" w:hAnsi="楷体" w:eastAsia="楷体" w:cs="楷体"/>
          <w:color w:val="auto"/>
          <w:sz w:val="24"/>
        </w:rPr>
        <w:t>：</w:t>
      </w:r>
      <w:r>
        <w:rPr>
          <w:rFonts w:hint="eastAsia" w:ascii="楷体" w:hAnsi="楷体" w:eastAsia="楷体" w:cs="楷体"/>
          <w:color w:val="auto"/>
          <w:sz w:val="24"/>
          <w:u w:val="single"/>
          <w:lang w:eastAsia="zh-CN"/>
        </w:rPr>
        <w:t>省总机关家属院移交前设施设备修缮项目</w:t>
      </w:r>
    </w:p>
    <w:p>
      <w:pPr>
        <w:spacing w:line="440" w:lineRule="exact"/>
        <w:ind w:firstLine="470" w:firstLineChars="196"/>
        <w:rPr>
          <w:rFonts w:hint="eastAsia" w:ascii="楷体" w:hAnsi="楷体" w:eastAsia="楷体" w:cs="楷体"/>
          <w:b/>
          <w:bCs/>
          <w:color w:val="auto"/>
          <w:sz w:val="24"/>
        </w:rPr>
      </w:pPr>
      <w:r>
        <w:rPr>
          <w:rFonts w:hint="eastAsia" w:ascii="楷体" w:hAnsi="楷体" w:eastAsia="楷体" w:cs="楷体"/>
          <w:bCs/>
          <w:color w:val="auto"/>
          <w:sz w:val="24"/>
        </w:rPr>
        <w:t>2.工程地点：</w:t>
      </w:r>
      <w:r>
        <w:rPr>
          <w:rFonts w:hint="eastAsia" w:ascii="楷体" w:hAnsi="楷体" w:eastAsia="楷体" w:cs="楷体"/>
          <w:bCs/>
          <w:color w:val="auto"/>
          <w:sz w:val="24"/>
          <w:u w:val="single"/>
          <w:lang w:val="en-US" w:eastAsia="zh-CN"/>
        </w:rPr>
        <w:t>采购人指点地点</w:t>
      </w:r>
      <w:r>
        <w:rPr>
          <w:rFonts w:hint="eastAsia" w:ascii="楷体" w:hAnsi="楷体" w:eastAsia="楷体" w:cs="楷体"/>
          <w:b/>
          <w:bCs/>
          <w:color w:val="auto"/>
          <w:sz w:val="24"/>
        </w:rPr>
        <w:t>。</w:t>
      </w:r>
    </w:p>
    <w:p>
      <w:pPr>
        <w:spacing w:line="440" w:lineRule="exact"/>
        <w:ind w:firstLine="470" w:firstLineChars="196"/>
        <w:rPr>
          <w:rFonts w:hint="eastAsia" w:ascii="楷体" w:hAnsi="楷体" w:eastAsia="楷体" w:cs="楷体"/>
          <w:bCs/>
          <w:color w:val="auto"/>
          <w:sz w:val="24"/>
        </w:rPr>
      </w:pPr>
      <w:r>
        <w:rPr>
          <w:rFonts w:hint="eastAsia" w:ascii="楷体" w:hAnsi="楷体" w:eastAsia="楷体" w:cs="楷体"/>
          <w:bCs/>
          <w:color w:val="auto"/>
          <w:sz w:val="24"/>
        </w:rPr>
        <w:t>4.资金来源：</w:t>
      </w:r>
      <w:r>
        <w:rPr>
          <w:rFonts w:hint="eastAsia" w:ascii="楷体" w:hAnsi="楷体" w:eastAsia="楷体" w:cs="楷体"/>
          <w:b w:val="0"/>
          <w:bCs/>
          <w:color w:val="auto"/>
          <w:sz w:val="24"/>
          <w:u w:val="single"/>
          <w:lang w:eastAsia="zh-CN"/>
        </w:rPr>
        <w:t>其他资金</w:t>
      </w:r>
      <w:r>
        <w:rPr>
          <w:rFonts w:hint="eastAsia" w:ascii="楷体" w:hAnsi="楷体" w:eastAsia="楷体" w:cs="楷体"/>
          <w:b w:val="0"/>
          <w:bCs/>
          <w:color w:val="auto"/>
          <w:sz w:val="24"/>
          <w:u w:val="single"/>
        </w:rPr>
        <w:t xml:space="preserve">    </w:t>
      </w:r>
      <w:r>
        <w:rPr>
          <w:rFonts w:hint="eastAsia" w:ascii="楷体" w:hAnsi="楷体" w:eastAsia="楷体" w:cs="楷体"/>
          <w:b/>
          <w:color w:val="auto"/>
          <w:sz w:val="24"/>
          <w:u w:val="single"/>
        </w:rPr>
        <w:t xml:space="preserve">     </w:t>
      </w:r>
      <w:r>
        <w:rPr>
          <w:rFonts w:hint="eastAsia" w:ascii="楷体" w:hAnsi="楷体" w:eastAsia="楷体" w:cs="楷体"/>
          <w:bCs/>
          <w:color w:val="auto"/>
          <w:sz w:val="24"/>
        </w:rPr>
        <w:t>。</w:t>
      </w:r>
    </w:p>
    <w:p>
      <w:pPr>
        <w:spacing w:line="440" w:lineRule="exact"/>
        <w:ind w:firstLine="470" w:firstLineChars="196"/>
        <w:rPr>
          <w:rFonts w:hint="eastAsia" w:ascii="楷体" w:hAnsi="楷体" w:eastAsia="楷体" w:cs="楷体"/>
          <w:bCs/>
          <w:color w:val="auto"/>
          <w:sz w:val="24"/>
          <w:u w:val="single"/>
          <w:lang w:val="en-US" w:eastAsia="zh-CN"/>
        </w:rPr>
      </w:pPr>
      <w:r>
        <w:rPr>
          <w:rFonts w:hint="eastAsia" w:ascii="楷体" w:hAnsi="楷体" w:eastAsia="楷体" w:cs="楷体"/>
          <w:bCs/>
          <w:color w:val="auto"/>
          <w:sz w:val="24"/>
        </w:rPr>
        <w:t>5.工程内容：</w:t>
      </w:r>
      <w:r>
        <w:rPr>
          <w:rFonts w:hint="eastAsia" w:ascii="楷体" w:hAnsi="楷体" w:eastAsia="楷体" w:cs="楷体"/>
          <w:bCs/>
          <w:color w:val="auto"/>
          <w:sz w:val="24"/>
          <w:u w:val="single"/>
          <w:lang w:val="en-US" w:eastAsia="zh-CN"/>
        </w:rPr>
        <w:t>西北一路家属院1、2号楼及老干楼下水管道更换；解家村家属院南、北楼上下水及暖气管道更换；高新家属院3号楼屋面暖气上盘修缮；家属院监控设备维修。</w:t>
      </w:r>
    </w:p>
    <w:p>
      <w:pPr>
        <w:spacing w:line="440" w:lineRule="exact"/>
        <w:ind w:firstLine="470" w:firstLineChars="196"/>
        <w:rPr>
          <w:rFonts w:hint="eastAsia" w:ascii="楷体" w:hAnsi="楷体" w:eastAsia="楷体" w:cs="楷体"/>
          <w:b w:val="0"/>
          <w:bCs/>
          <w:color w:val="auto"/>
          <w:sz w:val="24"/>
        </w:rPr>
      </w:pPr>
      <w:r>
        <w:rPr>
          <w:rFonts w:hint="eastAsia" w:ascii="楷体" w:hAnsi="楷体" w:eastAsia="楷体" w:cs="楷体"/>
          <w:bCs/>
          <w:color w:val="auto"/>
          <w:sz w:val="24"/>
        </w:rPr>
        <w:t>6.工程承包范围：</w:t>
      </w:r>
      <w:r>
        <w:rPr>
          <w:rFonts w:hint="eastAsia" w:ascii="楷体" w:hAnsi="楷体" w:eastAsia="楷体" w:cs="楷体"/>
          <w:b w:val="0"/>
          <w:bCs/>
          <w:color w:val="auto"/>
          <w:sz w:val="24"/>
          <w:u w:val="single"/>
        </w:rPr>
        <w:t xml:space="preserve"> </w:t>
      </w:r>
      <w:r>
        <w:rPr>
          <w:rFonts w:hint="eastAsia" w:ascii="楷体" w:hAnsi="楷体" w:eastAsia="楷体" w:cs="楷体"/>
          <w:b w:val="0"/>
          <w:bCs/>
          <w:color w:val="auto"/>
          <w:sz w:val="24"/>
          <w:u w:val="single"/>
          <w:lang w:val="en-US" w:eastAsia="zh-CN"/>
        </w:rPr>
        <w:t>采购文件和工程量清单包含的所有内容</w:t>
      </w:r>
    </w:p>
    <w:p>
      <w:pPr>
        <w:pStyle w:val="9"/>
        <w:numPr>
          <w:ilvl w:val="3"/>
          <w:numId w:val="0"/>
        </w:numPr>
        <w:spacing w:before="120" w:after="120" w:line="440" w:lineRule="exact"/>
        <w:rPr>
          <w:rFonts w:hint="eastAsia" w:ascii="楷体" w:hAnsi="楷体" w:eastAsia="楷体" w:cs="楷体"/>
          <w:color w:val="auto"/>
          <w:sz w:val="24"/>
          <w:szCs w:val="24"/>
        </w:rPr>
      </w:pPr>
      <w:bookmarkStart w:id="1" w:name="_Toc10550"/>
      <w:r>
        <w:rPr>
          <w:rFonts w:hint="eastAsia" w:ascii="楷体" w:hAnsi="楷体" w:eastAsia="楷体" w:cs="楷体"/>
          <w:color w:val="auto"/>
          <w:sz w:val="24"/>
          <w:szCs w:val="24"/>
        </w:rPr>
        <w:t>二、合同工期</w:t>
      </w:r>
      <w:bookmarkEnd w:id="1"/>
    </w:p>
    <w:p>
      <w:pPr>
        <w:spacing w:line="440" w:lineRule="exact"/>
        <w:ind w:firstLine="459"/>
        <w:rPr>
          <w:rFonts w:hint="eastAsia" w:ascii="楷体" w:hAnsi="楷体" w:eastAsia="楷体" w:cs="楷体"/>
          <w:color w:val="auto"/>
          <w:sz w:val="24"/>
        </w:rPr>
      </w:pPr>
      <w:r>
        <w:rPr>
          <w:rFonts w:hint="eastAsia" w:ascii="楷体" w:hAnsi="楷体" w:eastAsia="楷体" w:cs="楷体"/>
          <w:color w:val="auto"/>
          <w:sz w:val="24"/>
        </w:rPr>
        <w:t>计划开工日期：</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440" w:lineRule="exact"/>
        <w:ind w:firstLine="459"/>
        <w:rPr>
          <w:rFonts w:hint="eastAsia" w:ascii="楷体" w:hAnsi="楷体" w:eastAsia="楷体" w:cs="楷体"/>
          <w:color w:val="auto"/>
          <w:sz w:val="24"/>
        </w:rPr>
      </w:pPr>
      <w:r>
        <w:rPr>
          <w:rFonts w:hint="eastAsia" w:ascii="楷体" w:hAnsi="楷体" w:eastAsia="楷体" w:cs="楷体"/>
          <w:color w:val="auto"/>
          <w:sz w:val="24"/>
        </w:rPr>
        <w:t>计划竣工日期：</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440" w:lineRule="exact"/>
        <w:ind w:firstLine="459"/>
        <w:rPr>
          <w:rFonts w:hint="eastAsia" w:ascii="楷体" w:hAnsi="楷体" w:eastAsia="楷体" w:cs="楷体"/>
          <w:color w:val="auto"/>
          <w:sz w:val="24"/>
        </w:rPr>
      </w:pPr>
      <w:r>
        <w:rPr>
          <w:rFonts w:hint="eastAsia" w:ascii="楷体" w:hAnsi="楷体" w:eastAsia="楷体" w:cs="楷体"/>
          <w:color w:val="auto"/>
          <w:sz w:val="24"/>
        </w:rPr>
        <w:t>工期总日历天数：</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val="en-US" w:eastAsia="zh-CN"/>
        </w:rPr>
        <w:t xml:space="preserve">  </w:t>
      </w:r>
      <w:r>
        <w:rPr>
          <w:rFonts w:hint="eastAsia" w:ascii="楷体" w:hAnsi="楷体" w:eastAsia="楷体" w:cs="楷体"/>
          <w:color w:val="auto"/>
          <w:sz w:val="24"/>
        </w:rPr>
        <w:t>天。工期总日历天数与根据前述计划开竣工日期计算的工期天数不一致的，以工期总日历天数为准。</w:t>
      </w:r>
    </w:p>
    <w:p>
      <w:pPr>
        <w:pStyle w:val="9"/>
        <w:numPr>
          <w:ilvl w:val="3"/>
          <w:numId w:val="0"/>
        </w:numPr>
        <w:spacing w:before="120" w:after="120" w:line="440" w:lineRule="exact"/>
        <w:rPr>
          <w:rFonts w:hint="eastAsia" w:ascii="楷体" w:hAnsi="楷体" w:eastAsia="楷体" w:cs="楷体"/>
          <w:color w:val="auto"/>
          <w:sz w:val="24"/>
          <w:szCs w:val="24"/>
        </w:rPr>
      </w:pPr>
      <w:bookmarkStart w:id="2" w:name="_Toc26761"/>
      <w:r>
        <w:rPr>
          <w:rFonts w:hint="eastAsia" w:ascii="楷体" w:hAnsi="楷体" w:eastAsia="楷体" w:cs="楷体"/>
          <w:color w:val="auto"/>
          <w:sz w:val="24"/>
          <w:szCs w:val="24"/>
        </w:rPr>
        <w:t>三、质量标准</w:t>
      </w:r>
      <w:bookmarkEnd w:id="2"/>
    </w:p>
    <w:p>
      <w:pPr>
        <w:spacing w:line="440" w:lineRule="exact"/>
        <w:ind w:firstLine="459"/>
        <w:rPr>
          <w:rFonts w:hint="eastAsia" w:ascii="楷体" w:hAnsi="楷体" w:eastAsia="楷体" w:cs="楷体"/>
          <w:color w:val="auto"/>
          <w:sz w:val="24"/>
        </w:rPr>
      </w:pPr>
      <w:r>
        <w:rPr>
          <w:rFonts w:hint="eastAsia" w:ascii="楷体" w:hAnsi="楷体" w:eastAsia="楷体" w:cs="楷体"/>
          <w:color w:val="auto"/>
          <w:sz w:val="24"/>
        </w:rPr>
        <w:t>工程质量符合</w:t>
      </w:r>
      <w:r>
        <w:rPr>
          <w:rFonts w:hint="eastAsia" w:ascii="楷体" w:hAnsi="楷体" w:eastAsia="楷体" w:cs="楷体"/>
          <w:color w:val="auto"/>
          <w:sz w:val="24"/>
          <w:u w:val="single"/>
        </w:rPr>
        <w:t xml:space="preserve"> </w:t>
      </w:r>
      <w:r>
        <w:rPr>
          <w:rFonts w:hint="eastAsia" w:ascii="楷体" w:hAnsi="楷体" w:eastAsia="楷体" w:cs="楷体"/>
          <w:b/>
          <w:bCs/>
          <w:color w:val="auto"/>
          <w:sz w:val="24"/>
          <w:u w:val="single"/>
        </w:rPr>
        <w:t>合格</w:t>
      </w:r>
      <w:r>
        <w:rPr>
          <w:rFonts w:hint="eastAsia" w:ascii="楷体" w:hAnsi="楷体" w:eastAsia="楷体" w:cs="楷体"/>
          <w:color w:val="auto"/>
          <w:sz w:val="24"/>
          <w:u w:val="single"/>
        </w:rPr>
        <w:t xml:space="preserve"> </w:t>
      </w:r>
      <w:r>
        <w:rPr>
          <w:rFonts w:hint="eastAsia" w:ascii="楷体" w:hAnsi="楷体" w:eastAsia="楷体" w:cs="楷体"/>
          <w:color w:val="auto"/>
          <w:sz w:val="24"/>
        </w:rPr>
        <w:t>标准。</w:t>
      </w:r>
    </w:p>
    <w:p>
      <w:pPr>
        <w:pStyle w:val="9"/>
        <w:numPr>
          <w:ilvl w:val="3"/>
          <w:numId w:val="0"/>
        </w:numPr>
        <w:spacing w:before="120" w:after="120" w:line="440" w:lineRule="exact"/>
        <w:rPr>
          <w:rFonts w:hint="eastAsia" w:ascii="楷体" w:hAnsi="楷体" w:eastAsia="楷体" w:cs="楷体"/>
          <w:color w:val="auto"/>
          <w:sz w:val="24"/>
          <w:szCs w:val="24"/>
          <w:lang w:eastAsia="zh-CN"/>
        </w:rPr>
      </w:pPr>
      <w:bookmarkStart w:id="3" w:name="_Toc30748"/>
      <w:r>
        <w:rPr>
          <w:rFonts w:hint="eastAsia" w:ascii="楷体" w:hAnsi="楷体" w:eastAsia="楷体" w:cs="楷体"/>
          <w:color w:val="auto"/>
          <w:sz w:val="24"/>
          <w:szCs w:val="24"/>
        </w:rPr>
        <w:t>四、签约合同价与合同价格形式</w:t>
      </w:r>
      <w:bookmarkEnd w:id="3"/>
      <w:r>
        <w:rPr>
          <w:rFonts w:hint="eastAsia" w:ascii="楷体" w:hAnsi="楷体" w:eastAsia="楷体" w:cs="楷体"/>
          <w:color w:val="auto"/>
          <w:sz w:val="24"/>
          <w:szCs w:val="24"/>
          <w:lang w:eastAsia="zh-CN"/>
        </w:rPr>
        <w:t xml:space="preserve">   </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1.签约合同价为：</w:t>
      </w:r>
    </w:p>
    <w:p>
      <w:pPr>
        <w:spacing w:line="440" w:lineRule="exact"/>
        <w:ind w:firstLine="600" w:firstLineChars="250"/>
        <w:rPr>
          <w:rFonts w:hint="eastAsia" w:ascii="楷体" w:hAnsi="楷体" w:eastAsia="楷体" w:cs="楷体"/>
          <w:color w:val="auto"/>
          <w:sz w:val="24"/>
        </w:rPr>
      </w:pPr>
      <w:r>
        <w:rPr>
          <w:rFonts w:hint="eastAsia" w:ascii="楷体" w:hAnsi="楷体" w:eastAsia="楷体" w:cs="楷体"/>
          <w:color w:val="auto"/>
          <w:sz w:val="24"/>
        </w:rPr>
        <w:t>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其中：</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（1）安全文明施工费：</w:t>
      </w:r>
    </w:p>
    <w:p>
      <w:pPr>
        <w:spacing w:line="440" w:lineRule="exact"/>
        <w:ind w:firstLine="1080" w:firstLineChars="450"/>
        <w:rPr>
          <w:rFonts w:hint="eastAsia" w:ascii="楷体" w:hAnsi="楷体" w:eastAsia="楷体" w:cs="楷体"/>
          <w:color w:val="auto"/>
          <w:sz w:val="24"/>
        </w:rPr>
      </w:pPr>
      <w:r>
        <w:rPr>
          <w:rFonts w:hint="eastAsia" w:ascii="楷体" w:hAnsi="楷体" w:eastAsia="楷体" w:cs="楷体"/>
          <w:color w:val="auto"/>
          <w:sz w:val="24"/>
        </w:rPr>
        <w:t>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（2）材料和工程设备暂估价金额：</w:t>
      </w:r>
    </w:p>
    <w:p>
      <w:pPr>
        <w:spacing w:line="440" w:lineRule="exact"/>
        <w:ind w:firstLine="1080" w:firstLineChars="450"/>
        <w:rPr>
          <w:rFonts w:hint="eastAsia" w:ascii="楷体" w:hAnsi="楷体" w:eastAsia="楷体" w:cs="楷体"/>
          <w:color w:val="auto"/>
          <w:sz w:val="24"/>
        </w:rPr>
      </w:pPr>
      <w:r>
        <w:rPr>
          <w:rFonts w:hint="eastAsia" w:ascii="楷体" w:hAnsi="楷体" w:eastAsia="楷体" w:cs="楷体"/>
          <w:color w:val="auto"/>
          <w:sz w:val="24"/>
        </w:rPr>
        <w:t>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（3）专业工程暂估价金额：</w:t>
      </w:r>
    </w:p>
    <w:p>
      <w:pPr>
        <w:spacing w:line="440" w:lineRule="exact"/>
        <w:ind w:firstLine="1080" w:firstLineChars="450"/>
        <w:rPr>
          <w:rFonts w:hint="eastAsia" w:ascii="楷体" w:hAnsi="楷体" w:eastAsia="楷体" w:cs="楷体"/>
          <w:color w:val="auto"/>
          <w:sz w:val="24"/>
        </w:rPr>
      </w:pPr>
      <w:r>
        <w:rPr>
          <w:rFonts w:hint="eastAsia" w:ascii="楷体" w:hAnsi="楷体" w:eastAsia="楷体" w:cs="楷体"/>
          <w:color w:val="auto"/>
          <w:sz w:val="24"/>
        </w:rPr>
        <w:t>人民币（大写）</w:t>
      </w:r>
      <w:r>
        <w:rPr>
          <w:rFonts w:hint="eastAsia" w:ascii="楷体" w:hAnsi="楷体" w:eastAsia="楷体" w:cs="楷体"/>
          <w:color w:val="auto"/>
          <w:sz w:val="24"/>
          <w:u w:val="single"/>
        </w:rPr>
        <w:t xml:space="preserve">    /    </w:t>
      </w: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  </w:t>
      </w:r>
      <w:r>
        <w:rPr>
          <w:rFonts w:hint="eastAsia" w:ascii="楷体" w:hAnsi="楷体" w:eastAsia="楷体" w:cs="楷体"/>
          <w:color w:val="auto"/>
          <w:sz w:val="24"/>
        </w:rPr>
        <w:t>元)；</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（4）暂列金额：</w:t>
      </w:r>
    </w:p>
    <w:p>
      <w:pPr>
        <w:spacing w:line="440" w:lineRule="exact"/>
        <w:ind w:firstLine="1080" w:firstLineChars="450"/>
        <w:rPr>
          <w:rFonts w:hint="eastAsia" w:ascii="楷体" w:hAnsi="楷体" w:eastAsia="楷体" w:cs="楷体"/>
          <w:color w:val="auto"/>
          <w:sz w:val="24"/>
        </w:rPr>
      </w:pPr>
      <w:r>
        <w:rPr>
          <w:rFonts w:hint="eastAsia" w:ascii="楷体" w:hAnsi="楷体" w:eastAsia="楷体" w:cs="楷体"/>
          <w:color w:val="auto"/>
          <w:sz w:val="24"/>
        </w:rPr>
        <w:t>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2.合同价格形式：</w:t>
      </w:r>
      <w:r>
        <w:rPr>
          <w:rFonts w:hint="eastAsia" w:ascii="楷体" w:hAnsi="楷体" w:eastAsia="楷体" w:cs="楷体"/>
          <w:color w:val="auto"/>
          <w:sz w:val="24"/>
          <w:u w:val="single"/>
        </w:rPr>
        <w:t xml:space="preserve">           </w:t>
      </w:r>
      <w:r>
        <w:rPr>
          <w:rFonts w:hint="eastAsia" w:ascii="楷体" w:hAnsi="楷体" w:eastAsia="楷体" w:cs="楷体"/>
          <w:b/>
          <w:bCs/>
          <w:color w:val="auto"/>
          <w:sz w:val="24"/>
          <w:u w:val="single"/>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pStyle w:val="9"/>
        <w:numPr>
          <w:ilvl w:val="3"/>
          <w:numId w:val="0"/>
        </w:numPr>
        <w:spacing w:before="120" w:after="120" w:line="440" w:lineRule="exact"/>
        <w:rPr>
          <w:rFonts w:hint="eastAsia" w:ascii="楷体" w:hAnsi="楷体" w:eastAsia="楷体" w:cs="楷体"/>
          <w:color w:val="auto"/>
          <w:sz w:val="24"/>
          <w:szCs w:val="24"/>
        </w:rPr>
      </w:pPr>
      <w:bookmarkStart w:id="4" w:name="_Toc3630"/>
      <w:r>
        <w:rPr>
          <w:rFonts w:hint="eastAsia" w:ascii="楷体" w:hAnsi="楷体" w:eastAsia="楷体" w:cs="楷体"/>
          <w:color w:val="auto"/>
          <w:sz w:val="24"/>
          <w:szCs w:val="24"/>
        </w:rPr>
        <w:t>五、项目经理</w:t>
      </w:r>
      <w:bookmarkEnd w:id="4"/>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承包人项目经理：</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pStyle w:val="9"/>
        <w:numPr>
          <w:ilvl w:val="3"/>
          <w:numId w:val="0"/>
        </w:numPr>
        <w:spacing w:before="120" w:after="120" w:line="440" w:lineRule="exact"/>
        <w:rPr>
          <w:rFonts w:hint="eastAsia" w:ascii="楷体" w:hAnsi="楷体" w:eastAsia="楷体" w:cs="楷体"/>
          <w:color w:val="auto"/>
          <w:sz w:val="24"/>
          <w:szCs w:val="24"/>
        </w:rPr>
      </w:pPr>
      <w:bookmarkStart w:id="5" w:name="_Toc13640"/>
      <w:r>
        <w:rPr>
          <w:rFonts w:hint="eastAsia" w:ascii="楷体" w:hAnsi="楷体" w:eastAsia="楷体" w:cs="楷体"/>
          <w:color w:val="auto"/>
          <w:sz w:val="24"/>
          <w:szCs w:val="24"/>
        </w:rPr>
        <w:t>六、合同文件构成</w:t>
      </w:r>
      <w:bookmarkEnd w:id="5"/>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本协议书与下列文件一起构成合同文件：</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（1）中标通知书（如果有）；</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 xml:space="preserve">（2）投标函及其附录（如果有）； </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（3）专用合同条款及其附件；</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（4）通用合同条款；</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（5）技术标准和要求；</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（6）图纸；</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（7）已标价工程量清单或预算书；</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（8）其他合同文件。</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在合同订立及履行过程中形成的与合同有关的文件均构成合同文件组成部分。</w:t>
      </w:r>
    </w:p>
    <w:p>
      <w:pPr>
        <w:autoSpaceDE w:val="0"/>
        <w:autoSpaceDN w:val="0"/>
        <w:adjustRightInd w:val="0"/>
        <w:spacing w:line="440" w:lineRule="exact"/>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上述各项合同文件包括合同当事人就该项合同文件所作出的补充和修改，属于同一类内容的文件，应以最新签署的为准。专用合同条款及其附件须经合同当事人签字或盖章。</w:t>
      </w:r>
    </w:p>
    <w:p>
      <w:pPr>
        <w:pStyle w:val="9"/>
        <w:numPr>
          <w:ilvl w:val="3"/>
          <w:numId w:val="0"/>
        </w:numPr>
        <w:spacing w:before="120" w:after="120" w:line="440" w:lineRule="exact"/>
        <w:rPr>
          <w:rFonts w:hint="eastAsia" w:ascii="楷体" w:hAnsi="楷体" w:eastAsia="楷体" w:cs="楷体"/>
          <w:color w:val="auto"/>
          <w:sz w:val="24"/>
          <w:szCs w:val="24"/>
        </w:rPr>
      </w:pPr>
      <w:bookmarkStart w:id="6" w:name="_Toc7416"/>
      <w:r>
        <w:rPr>
          <w:rFonts w:hint="eastAsia" w:ascii="楷体" w:hAnsi="楷体" w:eastAsia="楷体" w:cs="楷体"/>
          <w:color w:val="auto"/>
          <w:sz w:val="24"/>
          <w:szCs w:val="24"/>
        </w:rPr>
        <w:t>七、承诺</w:t>
      </w:r>
      <w:bookmarkEnd w:id="6"/>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1.发包人承诺按照法律规定履行项目审批手续、筹集工程建设资金并按照合同约定的期限和方式支付合同价款。</w:t>
      </w:r>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2.承包人承诺按照法律规定及合同约定组织完成工程施工，确保工程质量和安全，不进行转包及违法分包，并在缺陷责任期及保修期内承担相应的工程维修责任。</w:t>
      </w:r>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3.发包人和承包人通过招投标形式签订合同的，双方理解并承诺不再就同一工程另行签订与合同实质性内容相背离的协议。</w:t>
      </w:r>
    </w:p>
    <w:p>
      <w:pPr>
        <w:pStyle w:val="9"/>
        <w:numPr>
          <w:ilvl w:val="3"/>
          <w:numId w:val="0"/>
        </w:numPr>
        <w:spacing w:before="120" w:after="120" w:line="440" w:lineRule="exact"/>
        <w:rPr>
          <w:rFonts w:hint="eastAsia" w:ascii="楷体" w:hAnsi="楷体" w:eastAsia="楷体" w:cs="楷体"/>
          <w:color w:val="auto"/>
          <w:sz w:val="24"/>
          <w:szCs w:val="24"/>
        </w:rPr>
      </w:pPr>
      <w:bookmarkStart w:id="7" w:name="_Toc17444"/>
      <w:r>
        <w:rPr>
          <w:rFonts w:hint="eastAsia" w:ascii="楷体" w:hAnsi="楷体" w:eastAsia="楷体" w:cs="楷体"/>
          <w:color w:val="auto"/>
          <w:sz w:val="24"/>
          <w:szCs w:val="24"/>
        </w:rPr>
        <w:t>八、词语含义</w:t>
      </w:r>
      <w:bookmarkEnd w:id="7"/>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本协议书中词语含义与第二部分通用合同条款中赋予的含义相同。</w:t>
      </w:r>
    </w:p>
    <w:p>
      <w:pPr>
        <w:pStyle w:val="9"/>
        <w:numPr>
          <w:ilvl w:val="3"/>
          <w:numId w:val="0"/>
        </w:numPr>
        <w:spacing w:before="120" w:after="120" w:line="440" w:lineRule="exact"/>
        <w:rPr>
          <w:rFonts w:hint="eastAsia" w:ascii="楷体" w:hAnsi="楷体" w:eastAsia="楷体" w:cs="楷体"/>
          <w:color w:val="auto"/>
          <w:sz w:val="24"/>
          <w:szCs w:val="24"/>
        </w:rPr>
      </w:pPr>
      <w:bookmarkStart w:id="8" w:name="_Toc5207"/>
      <w:r>
        <w:rPr>
          <w:rFonts w:hint="eastAsia" w:ascii="楷体" w:hAnsi="楷体" w:eastAsia="楷体" w:cs="楷体"/>
          <w:color w:val="auto"/>
          <w:sz w:val="24"/>
          <w:szCs w:val="24"/>
        </w:rPr>
        <w:t>九、签订时间</w:t>
      </w:r>
      <w:bookmarkEnd w:id="8"/>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本合同于</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年</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月</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日签订。</w:t>
      </w:r>
    </w:p>
    <w:p>
      <w:pPr>
        <w:pStyle w:val="9"/>
        <w:numPr>
          <w:ilvl w:val="3"/>
          <w:numId w:val="0"/>
        </w:numPr>
        <w:spacing w:before="120" w:after="120" w:line="440" w:lineRule="exact"/>
        <w:rPr>
          <w:rFonts w:hint="eastAsia" w:ascii="楷体" w:hAnsi="楷体" w:eastAsia="楷体" w:cs="楷体"/>
          <w:color w:val="auto"/>
          <w:sz w:val="24"/>
          <w:szCs w:val="24"/>
        </w:rPr>
      </w:pPr>
      <w:bookmarkStart w:id="9" w:name="_Toc28999"/>
      <w:r>
        <w:rPr>
          <w:rFonts w:hint="eastAsia" w:ascii="楷体" w:hAnsi="楷体" w:eastAsia="楷体" w:cs="楷体"/>
          <w:color w:val="auto"/>
          <w:sz w:val="24"/>
          <w:szCs w:val="24"/>
        </w:rPr>
        <w:t>十、签订地点</w:t>
      </w:r>
      <w:bookmarkEnd w:id="9"/>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本合同在</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签订。</w:t>
      </w:r>
    </w:p>
    <w:p>
      <w:pPr>
        <w:pStyle w:val="9"/>
        <w:numPr>
          <w:ilvl w:val="3"/>
          <w:numId w:val="0"/>
        </w:numPr>
        <w:spacing w:before="120" w:after="120" w:line="440" w:lineRule="exact"/>
        <w:rPr>
          <w:rFonts w:hint="eastAsia" w:ascii="楷体" w:hAnsi="楷体" w:eastAsia="楷体" w:cs="楷体"/>
          <w:bCs w:val="0"/>
          <w:color w:val="auto"/>
          <w:sz w:val="24"/>
          <w:szCs w:val="24"/>
        </w:rPr>
      </w:pPr>
      <w:bookmarkStart w:id="10" w:name="_Toc21968"/>
      <w:r>
        <w:rPr>
          <w:rFonts w:hint="eastAsia" w:ascii="楷体" w:hAnsi="楷体" w:eastAsia="楷体" w:cs="楷体"/>
          <w:bCs w:val="0"/>
          <w:color w:val="auto"/>
          <w:sz w:val="24"/>
          <w:szCs w:val="24"/>
        </w:rPr>
        <w:t>十一、补充协议</w:t>
      </w:r>
      <w:bookmarkEnd w:id="10"/>
    </w:p>
    <w:p>
      <w:pPr>
        <w:spacing w:line="440" w:lineRule="exact"/>
        <w:ind w:firstLine="480" w:firstLineChars="200"/>
        <w:rPr>
          <w:rFonts w:hint="eastAsia" w:ascii="楷体" w:hAnsi="楷体" w:eastAsia="楷体" w:cs="楷体"/>
          <w:b/>
          <w:bCs/>
          <w:color w:val="auto"/>
          <w:sz w:val="24"/>
        </w:rPr>
      </w:pPr>
      <w:r>
        <w:rPr>
          <w:rFonts w:hint="eastAsia" w:ascii="楷体" w:hAnsi="楷体" w:eastAsia="楷体" w:cs="楷体"/>
          <w:bCs/>
          <w:color w:val="auto"/>
          <w:sz w:val="24"/>
        </w:rPr>
        <w:t>合同未尽事宜，合同当事人另行签订补充协议，补充协议是合同的组成部分。</w:t>
      </w:r>
    </w:p>
    <w:p>
      <w:pPr>
        <w:pStyle w:val="9"/>
        <w:numPr>
          <w:ilvl w:val="3"/>
          <w:numId w:val="0"/>
        </w:numPr>
        <w:spacing w:before="120" w:after="120" w:line="440" w:lineRule="exact"/>
        <w:rPr>
          <w:rFonts w:hint="eastAsia" w:ascii="楷体" w:hAnsi="楷体" w:eastAsia="楷体" w:cs="楷体"/>
          <w:bCs w:val="0"/>
          <w:color w:val="auto"/>
          <w:sz w:val="24"/>
          <w:szCs w:val="24"/>
        </w:rPr>
      </w:pPr>
      <w:bookmarkStart w:id="11" w:name="_Toc19039"/>
      <w:r>
        <w:rPr>
          <w:rFonts w:hint="eastAsia" w:ascii="楷体" w:hAnsi="楷体" w:eastAsia="楷体" w:cs="楷体"/>
          <w:bCs w:val="0"/>
          <w:color w:val="auto"/>
          <w:sz w:val="24"/>
          <w:szCs w:val="24"/>
        </w:rPr>
        <w:t>十二、合同生效</w:t>
      </w:r>
      <w:bookmarkEnd w:id="11"/>
    </w:p>
    <w:p>
      <w:pPr>
        <w:spacing w:line="440" w:lineRule="exact"/>
        <w:ind w:firstLine="480" w:firstLineChars="200"/>
        <w:rPr>
          <w:rFonts w:hint="eastAsia" w:ascii="楷体" w:hAnsi="楷体" w:eastAsia="楷体" w:cs="楷体"/>
          <w:bCs/>
          <w:color w:val="auto"/>
          <w:sz w:val="24"/>
        </w:rPr>
      </w:pPr>
      <w:r>
        <w:rPr>
          <w:rFonts w:hint="eastAsia" w:ascii="楷体" w:hAnsi="楷体" w:eastAsia="楷体" w:cs="楷体"/>
          <w:bCs/>
          <w:color w:val="auto"/>
          <w:sz w:val="24"/>
        </w:rPr>
        <w:t>本合同自</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生效。</w:t>
      </w:r>
    </w:p>
    <w:p>
      <w:pPr>
        <w:pStyle w:val="9"/>
        <w:numPr>
          <w:ilvl w:val="3"/>
          <w:numId w:val="0"/>
        </w:numPr>
        <w:spacing w:before="120" w:after="120" w:line="440" w:lineRule="exact"/>
        <w:rPr>
          <w:rFonts w:hint="eastAsia" w:ascii="楷体" w:hAnsi="楷体" w:eastAsia="楷体" w:cs="楷体"/>
          <w:bCs w:val="0"/>
          <w:color w:val="auto"/>
          <w:sz w:val="24"/>
          <w:szCs w:val="24"/>
        </w:rPr>
      </w:pPr>
      <w:bookmarkStart w:id="12" w:name="_Toc2466"/>
      <w:r>
        <w:rPr>
          <w:rFonts w:hint="eastAsia" w:ascii="楷体" w:hAnsi="楷体" w:eastAsia="楷体" w:cs="楷体"/>
          <w:bCs w:val="0"/>
          <w:color w:val="auto"/>
          <w:sz w:val="24"/>
          <w:szCs w:val="24"/>
        </w:rPr>
        <w:t>十三、合同份数</w:t>
      </w:r>
      <w:bookmarkEnd w:id="12"/>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bCs/>
          <w:color w:val="auto"/>
          <w:sz w:val="24"/>
        </w:rPr>
        <w:t>本合同一式</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份，均具有同等法律效力，发包人执</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份，承包人执</w:t>
      </w:r>
      <w:r>
        <w:rPr>
          <w:rFonts w:hint="eastAsia" w:ascii="楷体" w:hAnsi="楷体" w:eastAsia="楷体" w:cs="楷体"/>
          <w:bCs/>
          <w:color w:val="auto"/>
          <w:sz w:val="24"/>
          <w:u w:val="single"/>
        </w:rPr>
        <w:t xml:space="preserve">    </w:t>
      </w:r>
      <w:r>
        <w:rPr>
          <w:rFonts w:hint="eastAsia" w:ascii="楷体" w:hAnsi="楷体" w:eastAsia="楷体" w:cs="楷体"/>
          <w:bCs/>
          <w:color w:val="auto"/>
          <w:sz w:val="24"/>
        </w:rPr>
        <w:t>份。</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发包人：  (公章)                   承包人：  (公章)</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法定代表人或其委托代理人：         法定代表人或其委托代理人：</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（签字）                                （签字）</w:t>
      </w:r>
    </w:p>
    <w:p>
      <w:pPr>
        <w:tabs>
          <w:tab w:val="left" w:pos="4410"/>
        </w:tabs>
        <w:spacing w:line="440" w:lineRule="exact"/>
        <w:rPr>
          <w:rFonts w:hint="eastAsia" w:ascii="楷体" w:hAnsi="楷体" w:eastAsia="楷体" w:cs="楷体"/>
          <w:color w:val="auto"/>
          <w:sz w:val="24"/>
        </w:rPr>
      </w:pPr>
      <w:r>
        <w:rPr>
          <w:rFonts w:hint="eastAsia" w:ascii="楷体" w:hAnsi="楷体" w:eastAsia="楷体" w:cs="楷体"/>
          <w:color w:val="auto"/>
          <w:sz w:val="24"/>
        </w:rPr>
        <w:t>组织机构代码：</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组织机构代码：</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地  址：</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邮政编码：</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邮政编码：</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法定代表人：</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法定代表人：</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委托代理人：</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委托代理人：</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电  话：</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电  话：</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传  真：</w:t>
      </w:r>
      <w:r>
        <w:rPr>
          <w:rFonts w:hint="eastAsia" w:ascii="楷体" w:hAnsi="楷体" w:eastAsia="楷体" w:cs="楷体"/>
          <w:color w:val="auto"/>
          <w:sz w:val="24"/>
          <w:u w:val="single"/>
        </w:rPr>
        <w:t xml:space="preserve">                         </w:t>
      </w:r>
      <w:r>
        <w:rPr>
          <w:rFonts w:hint="eastAsia" w:ascii="楷体" w:hAnsi="楷体" w:eastAsia="楷体" w:cs="楷体"/>
          <w:color w:val="auto"/>
          <w:sz w:val="24"/>
        </w:rPr>
        <w:t>传  真：</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color w:val="auto"/>
          <w:sz w:val="24"/>
          <w:u w:val="single"/>
        </w:rPr>
        <w:t xml:space="preserve">                       </w:t>
      </w:r>
      <w:r>
        <w:rPr>
          <w:rFonts w:hint="eastAsia" w:ascii="楷体" w:hAnsi="楷体" w:eastAsia="楷体" w:cs="楷体"/>
          <w:color w:val="auto"/>
          <w:sz w:val="24"/>
        </w:rPr>
        <w:t>电子信箱：</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开户银行：</w:t>
      </w:r>
      <w:r>
        <w:rPr>
          <w:rFonts w:hint="eastAsia" w:ascii="楷体" w:hAnsi="楷体" w:eastAsia="楷体" w:cs="楷体"/>
          <w:color w:val="auto"/>
          <w:sz w:val="24"/>
          <w:u w:val="single"/>
        </w:rPr>
        <w:t xml:space="preserve">                       </w:t>
      </w:r>
      <w:r>
        <w:rPr>
          <w:rFonts w:hint="eastAsia" w:ascii="楷体" w:hAnsi="楷体" w:eastAsia="楷体" w:cs="楷体"/>
          <w:color w:val="auto"/>
          <w:sz w:val="24"/>
        </w:rPr>
        <w:t>开户银行：</w:t>
      </w:r>
      <w:r>
        <w:rPr>
          <w:rFonts w:hint="eastAsia" w:ascii="楷体" w:hAnsi="楷体" w:eastAsia="楷体" w:cs="楷体"/>
          <w:color w:val="auto"/>
          <w:sz w:val="24"/>
          <w:u w:val="single"/>
        </w:rPr>
        <w:t xml:space="preserve">                          </w:t>
      </w:r>
    </w:p>
    <w:p>
      <w:pPr>
        <w:widowControl/>
        <w:spacing w:line="440" w:lineRule="exact"/>
        <w:jc w:val="left"/>
        <w:rPr>
          <w:rFonts w:hint="eastAsia" w:ascii="楷体" w:hAnsi="楷体" w:eastAsia="楷体" w:cs="楷体"/>
          <w:color w:val="auto"/>
          <w:sz w:val="24"/>
          <w:u w:val="single"/>
        </w:rPr>
      </w:pPr>
      <w:r>
        <w:rPr>
          <w:rFonts w:hint="eastAsia" w:ascii="楷体" w:hAnsi="楷体" w:eastAsia="楷体" w:cs="楷体"/>
          <w:color w:val="auto"/>
          <w:sz w:val="24"/>
        </w:rPr>
        <w:t>账  号：</w:t>
      </w:r>
      <w:r>
        <w:rPr>
          <w:rFonts w:hint="eastAsia" w:ascii="楷体" w:hAnsi="楷体" w:eastAsia="楷体" w:cs="楷体"/>
          <w:color w:val="auto"/>
          <w:sz w:val="24"/>
          <w:u w:val="single"/>
        </w:rPr>
        <w:t xml:space="preserve">                         </w:t>
      </w:r>
      <w:r>
        <w:rPr>
          <w:rFonts w:hint="eastAsia" w:ascii="楷体" w:hAnsi="楷体" w:eastAsia="楷体" w:cs="楷体"/>
          <w:color w:val="auto"/>
          <w:sz w:val="24"/>
        </w:rPr>
        <w:t>账  号：</w:t>
      </w:r>
      <w:r>
        <w:rPr>
          <w:rFonts w:hint="eastAsia" w:ascii="楷体" w:hAnsi="楷体" w:eastAsia="楷体" w:cs="楷体"/>
          <w:color w:val="auto"/>
          <w:sz w:val="24"/>
          <w:u w:val="single"/>
        </w:rPr>
        <w:t xml:space="preserve">                            </w:t>
      </w:r>
      <w:bookmarkStart w:id="13" w:name="_Toc2977"/>
      <w:bookmarkStart w:id="14" w:name="_Toc18524"/>
      <w:bookmarkStart w:id="15" w:name="_Toc10931"/>
    </w:p>
    <w:p>
      <w:pPr>
        <w:widowControl/>
        <w:spacing w:line="440" w:lineRule="exact"/>
        <w:jc w:val="center"/>
        <w:outlineLvl w:val="1"/>
        <w:rPr>
          <w:rFonts w:hint="eastAsia" w:ascii="楷体" w:hAnsi="楷体" w:eastAsia="楷体" w:cs="楷体"/>
          <w:b/>
          <w:bCs/>
          <w:color w:val="auto"/>
          <w:sz w:val="24"/>
        </w:rPr>
      </w:pPr>
      <w:r>
        <w:rPr>
          <w:rFonts w:hint="eastAsia" w:ascii="楷体" w:hAnsi="楷体" w:eastAsia="楷体" w:cs="楷体"/>
          <w:b/>
          <w:bCs/>
          <w:color w:val="auto"/>
          <w:sz w:val="24"/>
        </w:rPr>
        <w:br w:type="page"/>
      </w:r>
      <w:r>
        <w:rPr>
          <w:rFonts w:hint="eastAsia" w:ascii="楷体" w:hAnsi="楷体" w:eastAsia="楷体" w:cs="楷体"/>
          <w:b/>
          <w:bCs/>
          <w:color w:val="auto"/>
          <w:sz w:val="32"/>
          <w:szCs w:val="32"/>
        </w:rPr>
        <w:t>第二部分  通用合同条款</w:t>
      </w:r>
      <w:bookmarkEnd w:id="13"/>
      <w:bookmarkEnd w:id="14"/>
      <w:bookmarkEnd w:id="15"/>
    </w:p>
    <w:p>
      <w:pPr>
        <w:widowControl/>
        <w:spacing w:line="360" w:lineRule="auto"/>
        <w:ind w:firstLine="480" w:firstLineChars="200"/>
        <w:jc w:val="left"/>
        <w:rPr>
          <w:rFonts w:hint="eastAsia" w:ascii="楷体" w:hAnsi="楷体" w:eastAsia="楷体" w:cs="楷体"/>
          <w:color w:val="auto"/>
          <w:sz w:val="24"/>
        </w:rPr>
      </w:pPr>
    </w:p>
    <w:p>
      <w:pPr>
        <w:widowControl/>
        <w:spacing w:line="360" w:lineRule="auto"/>
        <w:ind w:firstLine="480" w:firstLineChars="200"/>
        <w:jc w:val="center"/>
        <w:rPr>
          <w:rFonts w:hint="eastAsia" w:ascii="楷体" w:hAnsi="楷体" w:eastAsia="楷体" w:cs="楷体"/>
          <w:color w:val="auto"/>
          <w:sz w:val="24"/>
        </w:rPr>
      </w:pPr>
    </w:p>
    <w:p>
      <w:pPr>
        <w:widowControl/>
        <w:spacing w:line="360" w:lineRule="auto"/>
        <w:ind w:firstLine="480" w:firstLineChars="200"/>
        <w:jc w:val="center"/>
        <w:rPr>
          <w:rFonts w:hint="eastAsia" w:ascii="楷体" w:hAnsi="楷体" w:eastAsia="楷体" w:cs="楷体"/>
          <w:color w:val="auto"/>
          <w:sz w:val="24"/>
        </w:rPr>
      </w:pPr>
      <w:r>
        <w:rPr>
          <w:rFonts w:hint="eastAsia" w:ascii="楷体" w:hAnsi="楷体" w:eastAsia="楷体" w:cs="楷体"/>
          <w:color w:val="auto"/>
          <w:sz w:val="24"/>
        </w:rPr>
        <w:t>略</w:t>
      </w:r>
    </w:p>
    <w:p>
      <w:pPr>
        <w:widowControl/>
        <w:spacing w:line="360" w:lineRule="auto"/>
        <w:ind w:firstLine="480" w:firstLineChars="200"/>
        <w:jc w:val="left"/>
        <w:rPr>
          <w:rFonts w:hint="eastAsia" w:ascii="楷体" w:hAnsi="楷体" w:eastAsia="楷体" w:cs="楷体"/>
          <w:color w:val="auto"/>
          <w:sz w:val="24"/>
        </w:rPr>
      </w:pPr>
    </w:p>
    <w:p>
      <w:pPr>
        <w:widowControl/>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（采用住房城乡建设部、国家工商行政管理总局制定的建设工程施工合同示范文本（GF—2017—0201））</w:t>
      </w:r>
    </w:p>
    <w:p>
      <w:pPr>
        <w:widowControl/>
        <w:spacing w:line="400" w:lineRule="exact"/>
        <w:ind w:firstLine="480" w:firstLineChars="200"/>
        <w:rPr>
          <w:rFonts w:hint="eastAsia" w:ascii="楷体" w:hAnsi="楷体" w:eastAsia="楷体" w:cs="楷体"/>
          <w:color w:val="auto"/>
          <w:kern w:val="0"/>
          <w:sz w:val="24"/>
        </w:rPr>
      </w:pPr>
    </w:p>
    <w:p>
      <w:pPr>
        <w:pStyle w:val="3"/>
        <w:rPr>
          <w:rFonts w:hint="eastAsia" w:ascii="楷体" w:hAnsi="楷体" w:eastAsia="楷体" w:cs="楷体"/>
          <w:color w:val="auto"/>
        </w:rPr>
      </w:pPr>
    </w:p>
    <w:p>
      <w:pPr>
        <w:pStyle w:val="3"/>
        <w:rPr>
          <w:rFonts w:hint="eastAsia" w:ascii="楷体" w:hAnsi="楷体" w:eastAsia="楷体" w:cs="楷体"/>
          <w:color w:val="auto"/>
        </w:rPr>
      </w:pPr>
    </w:p>
    <w:p>
      <w:pPr>
        <w:pStyle w:val="3"/>
        <w:rPr>
          <w:rFonts w:hint="eastAsia" w:ascii="楷体" w:hAnsi="楷体" w:eastAsia="楷体" w:cs="楷体"/>
          <w:color w:val="auto"/>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rPr>
          <w:rFonts w:hint="eastAsia"/>
        </w:rPr>
      </w:pPr>
    </w:p>
    <w:p>
      <w:pPr>
        <w:rPr>
          <w:rFonts w:hint="eastAsia" w:ascii="楷体" w:hAnsi="楷体" w:eastAsia="楷体" w:cs="楷体"/>
          <w:color w:val="auto"/>
          <w:sz w:val="24"/>
        </w:rPr>
      </w:pPr>
    </w:p>
    <w:p>
      <w:pPr>
        <w:pStyle w:val="3"/>
        <w:rPr>
          <w:rFonts w:hint="eastAsia" w:ascii="楷体" w:hAnsi="楷体" w:eastAsia="楷体" w:cs="楷体"/>
          <w:color w:val="auto"/>
        </w:rPr>
      </w:pPr>
    </w:p>
    <w:p>
      <w:pPr>
        <w:pStyle w:val="3"/>
        <w:rPr>
          <w:rFonts w:hint="eastAsia" w:ascii="楷体" w:hAnsi="楷体" w:eastAsia="楷体" w:cs="楷体"/>
          <w:color w:val="auto"/>
        </w:rPr>
      </w:pPr>
    </w:p>
    <w:p>
      <w:pPr>
        <w:pStyle w:val="3"/>
        <w:rPr>
          <w:rFonts w:hint="eastAsia" w:ascii="楷体" w:hAnsi="楷体" w:eastAsia="楷体" w:cs="楷体"/>
          <w:color w:val="auto"/>
        </w:rPr>
      </w:pPr>
    </w:p>
    <w:p>
      <w:pPr>
        <w:pStyle w:val="3"/>
        <w:rPr>
          <w:rFonts w:hint="eastAsia" w:ascii="楷体" w:hAnsi="楷体" w:eastAsia="楷体" w:cs="楷体"/>
          <w:b/>
          <w:bCs/>
          <w:color w:val="auto"/>
          <w:sz w:val="32"/>
          <w:szCs w:val="32"/>
        </w:rPr>
      </w:pPr>
    </w:p>
    <w:p>
      <w:pPr>
        <w:rPr>
          <w:rFonts w:hint="eastAsia" w:ascii="楷体" w:hAnsi="楷体" w:eastAsia="楷体" w:cs="楷体"/>
          <w:b/>
          <w:bCs/>
          <w:color w:val="auto"/>
          <w:sz w:val="32"/>
          <w:szCs w:val="32"/>
        </w:rPr>
      </w:pPr>
    </w:p>
    <w:p>
      <w:pPr>
        <w:pStyle w:val="3"/>
        <w:rPr>
          <w:rFonts w:hint="eastAsia" w:ascii="楷体" w:hAnsi="楷体" w:eastAsia="楷体" w:cs="楷体"/>
          <w:b/>
          <w:bCs/>
          <w:color w:val="auto"/>
          <w:sz w:val="32"/>
          <w:szCs w:val="32"/>
        </w:rPr>
      </w:pPr>
    </w:p>
    <w:p>
      <w:pPr>
        <w:rPr>
          <w:rFonts w:hint="eastAsia" w:ascii="楷体" w:hAnsi="楷体" w:eastAsia="楷体" w:cs="楷体"/>
          <w:b/>
          <w:bCs/>
          <w:color w:val="auto"/>
          <w:sz w:val="32"/>
          <w:szCs w:val="32"/>
        </w:rPr>
      </w:pPr>
    </w:p>
    <w:p>
      <w:pPr>
        <w:pStyle w:val="3"/>
        <w:rPr>
          <w:rFonts w:hint="eastAsia"/>
          <w:color w:val="auto"/>
        </w:rPr>
      </w:pPr>
    </w:p>
    <w:p>
      <w:pPr>
        <w:widowControl/>
        <w:spacing w:line="440" w:lineRule="exact"/>
        <w:jc w:val="center"/>
        <w:outlineLvl w:val="1"/>
        <w:rPr>
          <w:rFonts w:hint="eastAsia" w:ascii="楷体" w:hAnsi="楷体" w:eastAsia="楷体" w:cs="楷体"/>
          <w:b/>
          <w:bCs/>
          <w:color w:val="auto"/>
          <w:sz w:val="32"/>
          <w:szCs w:val="32"/>
        </w:rPr>
      </w:pPr>
      <w:bookmarkStart w:id="16" w:name="_Toc29855"/>
      <w:bookmarkStart w:id="17" w:name="_Toc25184"/>
      <w:bookmarkStart w:id="18" w:name="_Toc14395"/>
      <w:bookmarkStart w:id="19" w:name="_Toc8574"/>
      <w:r>
        <w:rPr>
          <w:rFonts w:hint="eastAsia" w:ascii="楷体" w:hAnsi="楷体" w:eastAsia="楷体" w:cs="楷体"/>
          <w:b/>
          <w:bCs/>
          <w:color w:val="auto"/>
          <w:sz w:val="32"/>
          <w:szCs w:val="32"/>
        </w:rPr>
        <w:t>第三部分  专用合同条款</w:t>
      </w:r>
      <w:bookmarkEnd w:id="16"/>
      <w:bookmarkEnd w:id="17"/>
      <w:bookmarkEnd w:id="18"/>
      <w:bookmarkEnd w:id="19"/>
    </w:p>
    <w:p>
      <w:pPr>
        <w:numPr>
          <w:ilvl w:val="3"/>
          <w:numId w:val="0"/>
        </w:numPr>
        <w:spacing w:before="120" w:after="120" w:line="360" w:lineRule="auto"/>
        <w:rPr>
          <w:rFonts w:hint="eastAsia" w:ascii="楷体" w:hAnsi="楷体" w:eastAsia="楷体" w:cs="楷体"/>
          <w:color w:val="auto"/>
          <w:sz w:val="24"/>
        </w:rPr>
      </w:pPr>
      <w:bookmarkStart w:id="20" w:name="_Toc30101"/>
      <w:r>
        <w:rPr>
          <w:rFonts w:hint="eastAsia" w:ascii="楷体" w:hAnsi="楷体" w:eastAsia="楷体" w:cs="楷体"/>
          <w:color w:val="auto"/>
          <w:sz w:val="24"/>
        </w:rPr>
        <w:t>1</w:t>
      </w:r>
      <w:bookmarkStart w:id="21" w:name="_Toc296944495"/>
      <w:bookmarkStart w:id="22" w:name="_Toc296347155"/>
      <w:bookmarkStart w:id="23" w:name="_Toc292559866"/>
      <w:bookmarkStart w:id="24" w:name="_Toc296346657"/>
      <w:bookmarkStart w:id="25" w:name="_Toc292559361"/>
      <w:bookmarkStart w:id="26" w:name="_Toc297120456"/>
      <w:bookmarkStart w:id="27" w:name="_Toc296890984"/>
      <w:bookmarkStart w:id="28" w:name="_Toc297048342"/>
      <w:bookmarkStart w:id="29" w:name="_Toc296891196"/>
      <w:bookmarkStart w:id="30" w:name="_Toc296503156"/>
      <w:r>
        <w:rPr>
          <w:rFonts w:hint="eastAsia" w:ascii="楷体" w:hAnsi="楷体" w:eastAsia="楷体" w:cs="楷体"/>
          <w:color w:val="auto"/>
          <w:sz w:val="24"/>
        </w:rPr>
        <w:t>. 一般约定</w:t>
      </w:r>
      <w:bookmarkEnd w:id="20"/>
    </w:p>
    <w:bookmarkEnd w:id="21"/>
    <w:bookmarkEnd w:id="22"/>
    <w:bookmarkEnd w:id="23"/>
    <w:bookmarkEnd w:id="24"/>
    <w:bookmarkEnd w:id="25"/>
    <w:bookmarkEnd w:id="26"/>
    <w:bookmarkEnd w:id="27"/>
    <w:bookmarkEnd w:id="28"/>
    <w:bookmarkEnd w:id="29"/>
    <w:bookmarkEnd w:id="30"/>
    <w:p>
      <w:pPr>
        <w:spacing w:line="360" w:lineRule="auto"/>
        <w:ind w:firstLine="480" w:firstLineChars="200"/>
        <w:rPr>
          <w:rFonts w:hint="eastAsia" w:ascii="楷体" w:hAnsi="楷体" w:eastAsia="楷体" w:cs="楷体"/>
          <w:color w:val="auto"/>
          <w:sz w:val="24"/>
        </w:rPr>
      </w:pPr>
      <w:bookmarkStart w:id="31" w:name="_Toc5755"/>
      <w:r>
        <w:rPr>
          <w:rFonts w:hint="eastAsia" w:ascii="楷体" w:hAnsi="楷体" w:eastAsia="楷体" w:cs="楷体"/>
          <w:color w:val="auto"/>
          <w:sz w:val="24"/>
        </w:rPr>
        <w:t>1.1 词语定义</w:t>
      </w:r>
      <w:bookmarkEnd w:id="31"/>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1.1.1合同</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1.1.1.10其他合同文件包括：</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1.1.2 合同当事人及其他相关方</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1.1.2.4监理人：</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名    称：</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资质类别和等级：</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联系电话：</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通信地址：</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1.1.2.5 设计人：</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名    称：</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资质类别和等级：</w:t>
      </w:r>
      <w:r>
        <w:rPr>
          <w:rFonts w:hint="eastAsia" w:ascii="楷体" w:hAnsi="楷体" w:eastAsia="楷体" w:cs="楷体"/>
          <w:b/>
          <w:color w:val="auto"/>
          <w:sz w:val="24"/>
          <w:u w:val="single"/>
        </w:rPr>
        <w:t xml:space="preserve">   </w:t>
      </w:r>
      <w:r>
        <w:rPr>
          <w:rFonts w:hint="eastAsia" w:ascii="楷体" w:hAnsi="楷体" w:eastAsia="楷体" w:cs="楷体"/>
          <w:b/>
          <w:bCs/>
          <w:color w:val="auto"/>
          <w:sz w:val="24"/>
          <w:u w:val="single"/>
        </w:rPr>
        <w:t xml:space="preserve">                    </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联系电话：</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b/>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通信地址：</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1.1.3 工程和设备</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1.1.3.7 作为施工现场组成部分的其他场所包括：</w:t>
      </w:r>
      <w:r>
        <w:rPr>
          <w:rFonts w:hint="eastAsia" w:ascii="楷体" w:hAnsi="楷体" w:eastAsia="楷体" w:cs="楷体"/>
          <w:b/>
          <w:color w:val="auto"/>
          <w:sz w:val="24"/>
          <w:u w:val="single"/>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1.1.3.9 永久占地包括：</w:t>
      </w:r>
      <w:r>
        <w:rPr>
          <w:rFonts w:hint="eastAsia" w:ascii="楷体" w:hAnsi="楷体" w:eastAsia="楷体" w:cs="楷体"/>
          <w:color w:val="auto"/>
          <w:sz w:val="24"/>
          <w:u w:val="single"/>
        </w:rPr>
        <w:t xml:space="preserve">      </w:t>
      </w:r>
      <w:r>
        <w:rPr>
          <w:rFonts w:hint="eastAsia" w:ascii="楷体" w:hAnsi="楷体" w:eastAsia="楷体" w:cs="楷体"/>
          <w:b/>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kern w:val="0"/>
          <w:sz w:val="24"/>
        </w:rPr>
        <w:t>1.1.3.10 临时占地包括：</w:t>
      </w:r>
      <w:r>
        <w:rPr>
          <w:rFonts w:hint="eastAsia" w:ascii="楷体" w:hAnsi="楷体" w:eastAsia="楷体" w:cs="楷体"/>
          <w:color w:val="auto"/>
          <w:sz w:val="24"/>
          <w:u w:val="single"/>
        </w:rPr>
        <w:t xml:space="preserve">      </w:t>
      </w:r>
      <w:r>
        <w:rPr>
          <w:rFonts w:hint="eastAsia" w:ascii="楷体" w:hAnsi="楷体" w:eastAsia="楷体" w:cs="楷体"/>
          <w:b/>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 xml:space="preserve">1.3法律 </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适用于合同的其他规范性文件：</w:t>
      </w:r>
      <w:r>
        <w:rPr>
          <w:rFonts w:hint="eastAsia" w:ascii="楷体" w:hAnsi="楷体" w:eastAsia="楷体" w:cs="楷体"/>
          <w:color w:val="auto"/>
          <w:sz w:val="24"/>
          <w:u w:val="single"/>
        </w:rPr>
        <w:t>《中华人民共和国建筑法》、《中华人民共和国</w:t>
      </w:r>
      <w:r>
        <w:rPr>
          <w:rFonts w:hint="eastAsia" w:ascii="楷体" w:hAnsi="楷体" w:eastAsia="楷体" w:cs="楷体"/>
          <w:color w:val="auto"/>
          <w:sz w:val="24"/>
          <w:u w:val="single"/>
          <w:lang w:eastAsia="zh-CN"/>
        </w:rPr>
        <w:t>民法典</w:t>
      </w:r>
      <w:r>
        <w:rPr>
          <w:rFonts w:hint="eastAsia" w:ascii="楷体" w:hAnsi="楷体" w:eastAsia="楷体" w:cs="楷体"/>
          <w:color w:val="auto"/>
          <w:sz w:val="24"/>
          <w:u w:val="single"/>
        </w:rPr>
        <w:t>》、《中华人民共和国招标投标法》、《建设工程质量管理条例》《建筑工程质量保修办法》等及其他有关法律，行政规则。</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1.4 标准和规范</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1.4.1适用于工程的标准规范包括：</w:t>
      </w:r>
      <w:r>
        <w:rPr>
          <w:rFonts w:hint="eastAsia" w:ascii="楷体" w:hAnsi="楷体" w:eastAsia="楷体" w:cs="楷体"/>
          <w:color w:val="auto"/>
          <w:sz w:val="24"/>
          <w:u w:val="single"/>
        </w:rPr>
        <w:t>按照国家、省、市或行业的现行工程建设标准、规范的要求。</w:t>
      </w:r>
      <w:bookmarkStart w:id="32" w:name="_Toc9229"/>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1.4.2 发包人提供国外标准、规范的名称：</w:t>
      </w:r>
      <w:bookmarkEnd w:id="32"/>
      <w:r>
        <w:rPr>
          <w:rFonts w:hint="eastAsia" w:ascii="楷体" w:hAnsi="楷体" w:eastAsia="楷体" w:cs="楷体"/>
          <w:color w:val="auto"/>
          <w:kern w:val="0"/>
          <w:sz w:val="24"/>
          <w:u w:val="single"/>
        </w:rPr>
        <w:t xml:space="preserve">无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发包人提供国外标准、规范的份数：</w:t>
      </w:r>
      <w:r>
        <w:rPr>
          <w:rFonts w:hint="eastAsia" w:ascii="楷体" w:hAnsi="楷体" w:eastAsia="楷体" w:cs="楷体"/>
          <w:color w:val="auto"/>
          <w:kern w:val="0"/>
          <w:sz w:val="24"/>
          <w:u w:val="single"/>
        </w:rPr>
        <w:t xml:space="preserve">   /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发包人提供国外标准、规范的名称：</w:t>
      </w:r>
      <w:r>
        <w:rPr>
          <w:rFonts w:hint="eastAsia" w:ascii="楷体" w:hAnsi="楷体" w:eastAsia="楷体" w:cs="楷体"/>
          <w:color w:val="auto"/>
          <w:kern w:val="0"/>
          <w:sz w:val="24"/>
          <w:u w:val="single"/>
        </w:rPr>
        <w:t xml:space="preserve">   /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1.4.3发包人对工程的技术标准和功能要求的特殊要求：</w:t>
      </w:r>
      <w:r>
        <w:rPr>
          <w:rFonts w:hint="eastAsia" w:ascii="楷体" w:hAnsi="楷体" w:eastAsia="楷体" w:cs="楷体"/>
          <w:color w:val="auto"/>
          <w:sz w:val="24"/>
          <w:u w:val="single"/>
        </w:rPr>
        <w:t xml:space="preserve">   /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33" w:name="_Toc265"/>
      <w:bookmarkStart w:id="34" w:name="_Toc607"/>
      <w:bookmarkStart w:id="35" w:name="_Toc13382"/>
      <w:bookmarkStart w:id="36" w:name="_Toc906"/>
      <w:bookmarkStart w:id="37" w:name="_Toc22317"/>
      <w:bookmarkStart w:id="38" w:name="_Toc21856"/>
      <w:bookmarkStart w:id="39" w:name="_Toc10533"/>
      <w:bookmarkStart w:id="40" w:name="_Toc7626"/>
      <w:r>
        <w:rPr>
          <w:rFonts w:hint="eastAsia" w:ascii="楷体" w:hAnsi="楷体" w:eastAsia="楷体" w:cs="楷体"/>
          <w:color w:val="auto"/>
          <w:sz w:val="24"/>
        </w:rPr>
        <w:t>1.5 合同文件的优先顺序</w:t>
      </w:r>
      <w:bookmarkEnd w:id="33"/>
      <w:bookmarkEnd w:id="34"/>
      <w:bookmarkEnd w:id="35"/>
      <w:bookmarkEnd w:id="36"/>
      <w:bookmarkEnd w:id="37"/>
      <w:bookmarkEnd w:id="38"/>
      <w:bookmarkEnd w:id="39"/>
      <w:bookmarkEnd w:id="40"/>
    </w:p>
    <w:p>
      <w:pPr>
        <w:spacing w:after="120" w:line="360" w:lineRule="auto"/>
        <w:ind w:firstLine="480" w:firstLineChars="200"/>
        <w:rPr>
          <w:rFonts w:hint="eastAsia" w:ascii="楷体" w:hAnsi="楷体" w:eastAsia="楷体" w:cs="楷体"/>
          <w:color w:val="auto"/>
          <w:sz w:val="24"/>
        </w:rPr>
      </w:pPr>
      <w:bookmarkStart w:id="41" w:name="_Toc14684"/>
      <w:bookmarkStart w:id="42" w:name="_Toc5032"/>
      <w:bookmarkStart w:id="43" w:name="_Toc21705"/>
      <w:bookmarkStart w:id="44" w:name="_Toc2675"/>
      <w:bookmarkStart w:id="45" w:name="_Toc11242"/>
      <w:bookmarkStart w:id="46" w:name="_Toc27870"/>
      <w:bookmarkStart w:id="47" w:name="_Toc27939"/>
      <w:r>
        <w:rPr>
          <w:rFonts w:hint="eastAsia" w:ascii="楷体" w:hAnsi="楷体" w:eastAsia="楷体" w:cs="楷体"/>
          <w:color w:val="auto"/>
          <w:sz w:val="24"/>
        </w:rPr>
        <w:t>合同文件组成及优先顺序为：</w:t>
      </w:r>
      <w:r>
        <w:rPr>
          <w:rFonts w:hint="eastAsia" w:ascii="楷体" w:hAnsi="楷体" w:eastAsia="楷体" w:cs="楷体"/>
          <w:color w:val="auto"/>
          <w:kern w:val="0"/>
          <w:sz w:val="24"/>
          <w:u w:val="single"/>
        </w:rPr>
        <w:t>①合同协议书②中标通知书③投标书及其附件④本合同专用条款⑤本合同通用条款⑥标准规范及其有关文件⑦图纸⑧招标文件及补遗文件⑨工程量清单⑩工程报价单或预算书</w:t>
      </w:r>
      <w:r>
        <w:rPr>
          <w:rFonts w:hint="eastAsia" w:ascii="楷体" w:hAnsi="楷体" w:eastAsia="楷体" w:cs="楷体"/>
          <w:color w:val="auto"/>
          <w:sz w:val="24"/>
        </w:rPr>
        <w:t>。</w:t>
      </w:r>
      <w:bookmarkEnd w:id="41"/>
      <w:bookmarkEnd w:id="42"/>
      <w:bookmarkEnd w:id="43"/>
      <w:bookmarkEnd w:id="44"/>
      <w:bookmarkEnd w:id="45"/>
      <w:bookmarkEnd w:id="46"/>
      <w:bookmarkEnd w:id="47"/>
    </w:p>
    <w:p>
      <w:pPr>
        <w:spacing w:after="120" w:line="360" w:lineRule="auto"/>
        <w:ind w:firstLine="480" w:firstLineChars="200"/>
        <w:rPr>
          <w:rFonts w:hint="eastAsia" w:ascii="楷体" w:hAnsi="楷体" w:eastAsia="楷体" w:cs="楷体"/>
          <w:color w:val="auto"/>
          <w:sz w:val="24"/>
        </w:rPr>
      </w:pPr>
      <w:bookmarkStart w:id="48" w:name="_Toc5311"/>
      <w:bookmarkStart w:id="49" w:name="_Toc7100"/>
      <w:bookmarkStart w:id="50" w:name="_Toc22176"/>
      <w:bookmarkStart w:id="51" w:name="_Toc22684"/>
      <w:bookmarkStart w:id="52" w:name="_Toc13364"/>
      <w:bookmarkStart w:id="53" w:name="_Toc26694"/>
      <w:bookmarkStart w:id="54" w:name="_Toc24784"/>
      <w:bookmarkStart w:id="55" w:name="_Toc10619"/>
      <w:r>
        <w:rPr>
          <w:rFonts w:hint="eastAsia" w:ascii="楷体" w:hAnsi="楷体" w:eastAsia="楷体" w:cs="楷体"/>
          <w:color w:val="auto"/>
          <w:sz w:val="24"/>
        </w:rPr>
        <w:t>1.6 图纸和承包人文件</w:t>
      </w:r>
      <w:bookmarkEnd w:id="48"/>
      <w:bookmarkEnd w:id="49"/>
      <w:bookmarkEnd w:id="50"/>
      <w:bookmarkEnd w:id="51"/>
      <w:bookmarkEnd w:id="52"/>
      <w:bookmarkEnd w:id="53"/>
      <w:bookmarkEnd w:id="54"/>
      <w:bookmarkEnd w:id="55"/>
      <w:r>
        <w:rPr>
          <w:rFonts w:hint="eastAsia" w:ascii="楷体" w:hAnsi="楷体" w:eastAsia="楷体" w:cs="楷体"/>
          <w:color w:val="auto"/>
          <w:sz w:val="24"/>
        </w:rPr>
        <w:t xml:space="preserve">   </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1.6.1 图纸的提供</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发包人向承包人提供图纸的期限：</w:t>
      </w:r>
      <w:r>
        <w:rPr>
          <w:rFonts w:hint="eastAsia" w:ascii="楷体" w:hAnsi="楷体" w:eastAsia="楷体" w:cs="楷体"/>
          <w:color w:val="auto"/>
          <w:sz w:val="24"/>
          <w:u w:val="single"/>
        </w:rPr>
        <w:t xml:space="preserve"> 开工前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发包人向承包人提供图纸的数量：</w:t>
      </w:r>
      <w:r>
        <w:rPr>
          <w:rFonts w:hint="eastAsia" w:ascii="楷体" w:hAnsi="楷体" w:eastAsia="楷体" w:cs="楷体"/>
          <w:color w:val="auto"/>
          <w:sz w:val="24"/>
          <w:u w:val="single"/>
        </w:rPr>
        <w:t xml:space="preserve">   4套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发包人向承包人提供图纸的内容：</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1.6.4 承包人文件</w:t>
      </w:r>
    </w:p>
    <w:p>
      <w:pPr>
        <w:spacing w:line="360" w:lineRule="auto"/>
        <w:ind w:left="682" w:leftChars="284"/>
        <w:jc w:val="left"/>
        <w:rPr>
          <w:rFonts w:hint="eastAsia" w:ascii="楷体" w:hAnsi="楷体" w:eastAsia="楷体" w:cs="楷体"/>
          <w:color w:val="auto"/>
          <w:sz w:val="24"/>
        </w:rPr>
      </w:pPr>
      <w:r>
        <w:rPr>
          <w:rFonts w:hint="eastAsia" w:ascii="楷体" w:hAnsi="楷体" w:eastAsia="楷体" w:cs="楷体"/>
          <w:color w:val="auto"/>
          <w:sz w:val="24"/>
        </w:rPr>
        <w:t>需要由承包人提供的文件，包括：</w:t>
      </w:r>
      <w:r>
        <w:rPr>
          <w:rFonts w:hint="eastAsia" w:ascii="楷体" w:hAnsi="楷体" w:eastAsia="楷体" w:cs="楷体"/>
          <w:color w:val="auto"/>
          <w:sz w:val="24"/>
          <w:u w:val="single"/>
        </w:rPr>
        <w:t xml:space="preserve">  双方协商约定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承包人提供的文件的期限为：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承包人提供的文件的数量为：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承包人提供的文件的形式为：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发包人审批承包人文件的期限：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1.6.5 现场图纸准备</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关于现场图纸准备的约定：</w:t>
      </w:r>
      <w:r>
        <w:rPr>
          <w:rFonts w:hint="eastAsia" w:ascii="楷体" w:hAnsi="楷体" w:eastAsia="楷体" w:cs="楷体"/>
          <w:color w:val="auto"/>
          <w:sz w:val="24"/>
          <w:u w:val="single"/>
        </w:rPr>
        <w:t xml:space="preserve">   执行通用合同条款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56" w:name="_Toc16443"/>
      <w:bookmarkStart w:id="57" w:name="_Toc11246"/>
      <w:bookmarkStart w:id="58" w:name="_Toc27219"/>
      <w:bookmarkStart w:id="59" w:name="_Toc12791"/>
      <w:bookmarkStart w:id="60" w:name="_Toc1558"/>
      <w:bookmarkStart w:id="61" w:name="_Toc30348"/>
      <w:bookmarkStart w:id="62" w:name="_Toc11842"/>
      <w:bookmarkStart w:id="63" w:name="_Toc2140"/>
      <w:r>
        <w:rPr>
          <w:rFonts w:hint="eastAsia" w:ascii="楷体" w:hAnsi="楷体" w:eastAsia="楷体" w:cs="楷体"/>
          <w:color w:val="auto"/>
          <w:sz w:val="24"/>
        </w:rPr>
        <w:t>1.7 联络</w:t>
      </w:r>
      <w:bookmarkEnd w:id="56"/>
      <w:bookmarkEnd w:id="57"/>
      <w:bookmarkEnd w:id="58"/>
      <w:bookmarkEnd w:id="59"/>
      <w:bookmarkEnd w:id="60"/>
      <w:bookmarkEnd w:id="61"/>
      <w:bookmarkEnd w:id="62"/>
      <w:bookmarkEnd w:id="63"/>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1.7.1发包人和承包人应当在</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天内将与合同有关的通知、批准、证明、证书、指示、指令、要求、请求、同意、意见、确定和决定等书面函件送达对方当事人。</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1.7.2 发包人接收文件的地点：</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发包人指定的接收人为：</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承包人接收文件的地点：</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承包人指定的接收人为：</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监理人接收文件的地点：</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监理人指定的接收人为：</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sz w:val="24"/>
        </w:rPr>
      </w:pPr>
      <w:bookmarkStart w:id="64" w:name="_Toc4862"/>
      <w:r>
        <w:rPr>
          <w:rFonts w:hint="eastAsia" w:ascii="楷体" w:hAnsi="楷体" w:eastAsia="楷体" w:cs="楷体"/>
          <w:color w:val="auto"/>
          <w:sz w:val="24"/>
        </w:rPr>
        <w:t>1.10 交通运输</w:t>
      </w:r>
      <w:bookmarkEnd w:id="64"/>
      <w:bookmarkStart w:id="65" w:name="_Toc22115"/>
    </w:p>
    <w:p>
      <w:pPr>
        <w:spacing w:after="120" w:line="360" w:lineRule="auto"/>
        <w:ind w:firstLine="480" w:firstLineChars="200"/>
        <w:rPr>
          <w:rFonts w:hint="eastAsia" w:ascii="楷体" w:hAnsi="楷体" w:eastAsia="楷体" w:cs="楷体"/>
          <w:color w:val="auto"/>
          <w:sz w:val="24"/>
        </w:rPr>
      </w:pPr>
      <w:bookmarkStart w:id="66" w:name="_Toc5220"/>
      <w:bookmarkStart w:id="67" w:name="_Toc32510"/>
      <w:bookmarkStart w:id="68" w:name="_Toc10330"/>
      <w:bookmarkStart w:id="69" w:name="_Toc22416"/>
      <w:bookmarkStart w:id="70" w:name="_Toc12120"/>
      <w:bookmarkStart w:id="71" w:name="_Toc29416"/>
      <w:bookmarkStart w:id="72" w:name="_Toc25941"/>
      <w:r>
        <w:rPr>
          <w:rFonts w:hint="eastAsia" w:ascii="楷体" w:hAnsi="楷体" w:eastAsia="楷体" w:cs="楷体"/>
          <w:color w:val="auto"/>
          <w:sz w:val="24"/>
        </w:rPr>
        <w:t>1</w:t>
      </w:r>
      <w:bookmarkStart w:id="73" w:name="_Toc303539100"/>
      <w:bookmarkStart w:id="74" w:name="_Toc318581155"/>
      <w:bookmarkStart w:id="75" w:name="_Toc304295521"/>
      <w:bookmarkStart w:id="76" w:name="_Toc312677986"/>
      <w:bookmarkStart w:id="77" w:name="_Toc300934943"/>
      <w:r>
        <w:rPr>
          <w:rFonts w:hint="eastAsia" w:ascii="楷体" w:hAnsi="楷体" w:eastAsia="楷体" w:cs="楷体"/>
          <w:color w:val="auto"/>
          <w:sz w:val="24"/>
        </w:rPr>
        <w:t>.10.1 出入现场的权利</w:t>
      </w:r>
      <w:bookmarkEnd w:id="65"/>
      <w:bookmarkEnd w:id="66"/>
      <w:bookmarkEnd w:id="67"/>
      <w:bookmarkEnd w:id="68"/>
      <w:bookmarkEnd w:id="69"/>
      <w:bookmarkEnd w:id="70"/>
      <w:bookmarkEnd w:id="71"/>
      <w:bookmarkEnd w:id="72"/>
    </w:p>
    <w:p>
      <w:pPr>
        <w:spacing w:line="360" w:lineRule="auto"/>
        <w:ind w:firstLine="480" w:firstLineChars="200"/>
        <w:rPr>
          <w:rFonts w:hint="eastAsia" w:ascii="楷体" w:hAnsi="楷体" w:eastAsia="楷体" w:cs="楷体"/>
          <w:color w:val="auto"/>
          <w:sz w:val="24"/>
        </w:rPr>
      </w:pPr>
      <w:bookmarkStart w:id="78" w:name="_Toc27947"/>
      <w:bookmarkStart w:id="79" w:name="_Toc6581"/>
      <w:bookmarkStart w:id="80" w:name="_Toc31749"/>
      <w:bookmarkStart w:id="81" w:name="_Toc22513"/>
      <w:bookmarkStart w:id="82" w:name="_Toc8588"/>
      <w:bookmarkStart w:id="83" w:name="_Toc4438"/>
      <w:bookmarkStart w:id="84" w:name="_Toc8199"/>
      <w:r>
        <w:rPr>
          <w:rFonts w:hint="eastAsia" w:ascii="楷体" w:hAnsi="楷体" w:eastAsia="楷体" w:cs="楷体"/>
          <w:color w:val="auto"/>
          <w:sz w:val="24"/>
        </w:rPr>
        <w:t>关于出入现场的权利的约定：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78"/>
      <w:bookmarkEnd w:id="79"/>
      <w:bookmarkEnd w:id="80"/>
      <w:bookmarkEnd w:id="81"/>
      <w:bookmarkEnd w:id="82"/>
      <w:bookmarkEnd w:id="83"/>
      <w:bookmarkEnd w:id="84"/>
    </w:p>
    <w:bookmarkEnd w:id="73"/>
    <w:bookmarkEnd w:id="74"/>
    <w:bookmarkEnd w:id="75"/>
    <w:bookmarkEnd w:id="76"/>
    <w:bookmarkEnd w:id="77"/>
    <w:p>
      <w:pPr>
        <w:spacing w:line="360" w:lineRule="auto"/>
        <w:ind w:firstLine="480" w:firstLineChars="200"/>
        <w:jc w:val="left"/>
        <w:rPr>
          <w:rFonts w:hint="eastAsia" w:ascii="楷体" w:hAnsi="楷体" w:eastAsia="楷体" w:cs="楷体"/>
          <w:color w:val="auto"/>
          <w:sz w:val="24"/>
        </w:rPr>
      </w:pPr>
      <w:bookmarkStart w:id="85" w:name="_Toc282"/>
      <w:bookmarkStart w:id="86" w:name="_Toc4937"/>
      <w:bookmarkStart w:id="87" w:name="_Toc24929"/>
      <w:bookmarkStart w:id="88" w:name="_Toc11174"/>
      <w:bookmarkStart w:id="89" w:name="_Toc14369"/>
      <w:bookmarkStart w:id="90" w:name="_Toc2813"/>
      <w:bookmarkStart w:id="91" w:name="_Toc5878"/>
      <w:bookmarkStart w:id="92" w:name="_Toc12945"/>
      <w:r>
        <w:rPr>
          <w:rFonts w:hint="eastAsia" w:ascii="楷体" w:hAnsi="楷体" w:eastAsia="楷体" w:cs="楷体"/>
          <w:color w:val="auto"/>
          <w:sz w:val="24"/>
        </w:rPr>
        <w:t>1</w:t>
      </w:r>
      <w:bookmarkStart w:id="93" w:name="_Toc300934944"/>
      <w:bookmarkStart w:id="94" w:name="_Toc303539101"/>
      <w:bookmarkStart w:id="95" w:name="_Toc312677987"/>
      <w:bookmarkStart w:id="96" w:name="_Toc318581156"/>
      <w:bookmarkStart w:id="97" w:name="_Toc304295522"/>
      <w:r>
        <w:rPr>
          <w:rFonts w:hint="eastAsia" w:ascii="楷体" w:hAnsi="楷体" w:eastAsia="楷体" w:cs="楷体"/>
          <w:color w:val="auto"/>
          <w:sz w:val="24"/>
        </w:rPr>
        <w:t>.10.3 场内交通</w:t>
      </w:r>
      <w:bookmarkEnd w:id="85"/>
      <w:bookmarkEnd w:id="86"/>
      <w:bookmarkEnd w:id="87"/>
      <w:bookmarkEnd w:id="88"/>
      <w:bookmarkEnd w:id="89"/>
      <w:bookmarkEnd w:id="90"/>
      <w:bookmarkEnd w:id="91"/>
      <w:bookmarkEnd w:id="92"/>
    </w:p>
    <w:p>
      <w:pPr>
        <w:spacing w:line="360" w:lineRule="auto"/>
        <w:ind w:firstLine="480" w:firstLineChars="200"/>
        <w:jc w:val="left"/>
        <w:rPr>
          <w:rFonts w:hint="eastAsia" w:ascii="楷体" w:hAnsi="楷体" w:eastAsia="楷体" w:cs="楷体"/>
          <w:color w:val="auto"/>
          <w:sz w:val="24"/>
        </w:rPr>
      </w:pPr>
      <w:bookmarkStart w:id="98" w:name="_Toc15007"/>
      <w:bookmarkStart w:id="99" w:name="_Toc26889"/>
      <w:bookmarkStart w:id="100" w:name="_Toc12428"/>
      <w:bookmarkStart w:id="101" w:name="_Toc5516"/>
      <w:bookmarkStart w:id="102" w:name="_Toc18009"/>
      <w:bookmarkStart w:id="103" w:name="_Toc32153"/>
      <w:bookmarkStart w:id="104" w:name="_Toc12458"/>
      <w:r>
        <w:rPr>
          <w:rFonts w:hint="eastAsia" w:ascii="楷体" w:hAnsi="楷体" w:eastAsia="楷体" w:cs="楷体"/>
          <w:color w:val="auto"/>
          <w:kern w:val="0"/>
          <w:sz w:val="24"/>
        </w:rPr>
        <w:t>关于场外交通和场内交通的边界的约定：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98"/>
      <w:bookmarkEnd w:id="99"/>
      <w:bookmarkEnd w:id="100"/>
      <w:bookmarkEnd w:id="101"/>
      <w:bookmarkEnd w:id="102"/>
      <w:bookmarkEnd w:id="103"/>
      <w:bookmarkEnd w:id="104"/>
    </w:p>
    <w:p>
      <w:pPr>
        <w:spacing w:line="360" w:lineRule="auto"/>
        <w:ind w:firstLine="480" w:firstLineChars="200"/>
        <w:jc w:val="left"/>
        <w:rPr>
          <w:rFonts w:hint="eastAsia" w:ascii="楷体" w:hAnsi="楷体" w:eastAsia="楷体" w:cs="楷体"/>
          <w:color w:val="auto"/>
          <w:sz w:val="24"/>
        </w:rPr>
      </w:pPr>
      <w:bookmarkStart w:id="105" w:name="_Toc12469"/>
      <w:bookmarkStart w:id="106" w:name="_Toc13676"/>
      <w:bookmarkStart w:id="107" w:name="_Toc15664"/>
      <w:bookmarkStart w:id="108" w:name="_Toc29183"/>
      <w:bookmarkStart w:id="109" w:name="_Toc4435"/>
      <w:bookmarkStart w:id="110" w:name="_Toc29737"/>
      <w:bookmarkStart w:id="111" w:name="_Toc17271"/>
      <w:r>
        <w:rPr>
          <w:rFonts w:hint="eastAsia" w:ascii="楷体" w:hAnsi="楷体" w:eastAsia="楷体" w:cs="楷体"/>
          <w:color w:val="auto"/>
          <w:sz w:val="24"/>
        </w:rPr>
        <w:t>关于发包人向承包人免费提供满足工程施工需要的场内道路和交通设施的约定：</w:t>
      </w:r>
      <w:bookmarkEnd w:id="105"/>
      <w:bookmarkEnd w:id="106"/>
      <w:bookmarkEnd w:id="107"/>
      <w:bookmarkEnd w:id="108"/>
      <w:bookmarkEnd w:id="109"/>
      <w:bookmarkEnd w:id="110"/>
      <w:bookmarkEnd w:id="111"/>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bookmarkStart w:id="112" w:name="_Toc30555"/>
      <w:bookmarkStart w:id="113" w:name="_Toc18787"/>
      <w:bookmarkStart w:id="114" w:name="_Toc1570"/>
      <w:bookmarkStart w:id="115" w:name="_Toc26324"/>
      <w:bookmarkStart w:id="116" w:name="_Toc21288"/>
      <w:bookmarkStart w:id="117" w:name="_Toc14275"/>
      <w:bookmarkStart w:id="118" w:name="_Toc31730"/>
      <w:r>
        <w:rPr>
          <w:rFonts w:hint="eastAsia" w:ascii="楷体" w:hAnsi="楷体" w:eastAsia="楷体" w:cs="楷体"/>
          <w:color w:val="auto"/>
          <w:sz w:val="24"/>
        </w:rPr>
        <w:t>。</w:t>
      </w:r>
      <w:bookmarkEnd w:id="93"/>
      <w:bookmarkEnd w:id="94"/>
      <w:bookmarkEnd w:id="95"/>
      <w:bookmarkEnd w:id="96"/>
      <w:bookmarkEnd w:id="97"/>
      <w:bookmarkEnd w:id="112"/>
      <w:bookmarkEnd w:id="113"/>
      <w:bookmarkEnd w:id="114"/>
      <w:bookmarkEnd w:id="115"/>
      <w:bookmarkEnd w:id="116"/>
      <w:bookmarkEnd w:id="117"/>
      <w:bookmarkEnd w:id="118"/>
      <w:r>
        <w:rPr>
          <w:rFonts w:hint="eastAsia" w:ascii="楷体" w:hAnsi="楷体" w:eastAsia="楷体" w:cs="楷体"/>
          <w:color w:val="auto"/>
          <w:sz w:val="24"/>
        </w:rPr>
        <w:t xml:space="preserve">  </w:t>
      </w:r>
      <w:bookmarkStart w:id="119" w:name="_Toc318581157"/>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1.10.4超大件和超重件的运输</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运输超大件或超重件所需的道路和桥梁临时加固改造费用和其他有关费用由</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承担。</w:t>
      </w:r>
    </w:p>
    <w:bookmarkEnd w:id="119"/>
    <w:p>
      <w:pPr>
        <w:spacing w:line="360" w:lineRule="auto"/>
        <w:ind w:firstLine="480" w:firstLineChars="200"/>
        <w:rPr>
          <w:rFonts w:hint="eastAsia" w:ascii="楷体" w:hAnsi="楷体" w:eastAsia="楷体" w:cs="楷体"/>
          <w:color w:val="auto"/>
          <w:sz w:val="24"/>
        </w:rPr>
      </w:pPr>
      <w:bookmarkStart w:id="120" w:name="_Toc14949"/>
      <w:r>
        <w:rPr>
          <w:rFonts w:hint="eastAsia" w:ascii="楷体" w:hAnsi="楷体" w:eastAsia="楷体" w:cs="楷体"/>
          <w:color w:val="auto"/>
          <w:sz w:val="24"/>
        </w:rPr>
        <w:t>1.11 知识产权</w:t>
      </w:r>
      <w:bookmarkEnd w:id="120"/>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1.11.1关于发包人提供给承包人的图纸、发包人为实施工程自行编制或委托编制的技术规范以及反映发包人关于合同要求或其他类似性质的文件的著作权的归属：</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p>
    <w:p>
      <w:pPr>
        <w:spacing w:line="360" w:lineRule="auto"/>
        <w:ind w:left="682" w:leftChars="284"/>
        <w:rPr>
          <w:rFonts w:hint="eastAsia" w:ascii="楷体" w:hAnsi="楷体" w:eastAsia="楷体" w:cs="楷体"/>
          <w:color w:val="auto"/>
          <w:sz w:val="24"/>
        </w:rPr>
      </w:pPr>
      <w:r>
        <w:rPr>
          <w:rFonts w:hint="eastAsia" w:ascii="楷体" w:hAnsi="楷体" w:eastAsia="楷体" w:cs="楷体"/>
          <w:color w:val="auto"/>
          <w:sz w:val="24"/>
        </w:rPr>
        <w:t>关于发包人提供的上述文件的使用限制的要求：</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left="682" w:leftChars="284"/>
        <w:rPr>
          <w:rFonts w:hint="eastAsia" w:ascii="楷体" w:hAnsi="楷体" w:eastAsia="楷体" w:cs="楷体"/>
          <w:color w:val="auto"/>
          <w:sz w:val="24"/>
        </w:rPr>
      </w:pPr>
      <w:bookmarkStart w:id="121" w:name="_Toc26003"/>
      <w:bookmarkStart w:id="122" w:name="_Toc14546"/>
      <w:bookmarkStart w:id="123" w:name="_Toc14571"/>
      <w:bookmarkStart w:id="124" w:name="_Toc17450"/>
      <w:bookmarkStart w:id="125" w:name="_Toc15670"/>
      <w:bookmarkStart w:id="126" w:name="_Toc20559"/>
      <w:bookmarkStart w:id="127" w:name="_Toc29363"/>
      <w:bookmarkStart w:id="128" w:name="_Toc27807"/>
      <w:r>
        <w:rPr>
          <w:rFonts w:hint="eastAsia" w:ascii="楷体" w:hAnsi="楷体" w:eastAsia="楷体" w:cs="楷体"/>
          <w:color w:val="auto"/>
          <w:sz w:val="24"/>
        </w:rPr>
        <w:t>1.11.2 关于承包人为实施工程所编制文件的著作权的归属：</w:t>
      </w:r>
      <w:bookmarkEnd w:id="121"/>
      <w:bookmarkEnd w:id="122"/>
      <w:bookmarkEnd w:id="123"/>
      <w:bookmarkEnd w:id="124"/>
      <w:bookmarkEnd w:id="125"/>
      <w:bookmarkEnd w:id="126"/>
      <w:bookmarkEnd w:id="127"/>
      <w:bookmarkEnd w:id="128"/>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关于承包人提供的上述文件的使用限制的要求：</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kern w:val="0"/>
          <w:sz w:val="24"/>
        </w:rPr>
      </w:pPr>
      <w:bookmarkStart w:id="129" w:name="_Toc14394"/>
      <w:bookmarkStart w:id="130" w:name="_Toc16092"/>
      <w:bookmarkStart w:id="131" w:name="_Toc26579"/>
      <w:bookmarkStart w:id="132" w:name="_Toc7750"/>
      <w:bookmarkStart w:id="133" w:name="_Toc7927"/>
      <w:bookmarkStart w:id="134" w:name="_Toc8248"/>
      <w:bookmarkStart w:id="135" w:name="_Toc28768"/>
      <w:bookmarkStart w:id="136" w:name="_Toc10697"/>
      <w:r>
        <w:rPr>
          <w:rFonts w:hint="eastAsia" w:ascii="楷体" w:hAnsi="楷体" w:eastAsia="楷体" w:cs="楷体"/>
          <w:color w:val="auto"/>
          <w:sz w:val="24"/>
        </w:rPr>
        <w:t>1.11.4 承包人在施工过程中所采用的专利、专有技术、技术秘密的使用费的承担方式：</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bookmarkEnd w:id="129"/>
      <w:bookmarkEnd w:id="130"/>
      <w:bookmarkEnd w:id="131"/>
      <w:bookmarkEnd w:id="132"/>
      <w:bookmarkEnd w:id="133"/>
      <w:bookmarkEnd w:id="134"/>
      <w:bookmarkEnd w:id="135"/>
      <w:bookmarkEnd w:id="136"/>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1.13工程量清单错误的修正</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出现工程量清单错误时，是否调整合同价格：</w:t>
      </w: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允许调整合同价格的工程量偏差范围：</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kern w:val="0"/>
          <w:sz w:val="24"/>
        </w:rPr>
        <w:t>。</w:t>
      </w:r>
    </w:p>
    <w:p>
      <w:pPr>
        <w:numPr>
          <w:ilvl w:val="3"/>
          <w:numId w:val="0"/>
        </w:numPr>
        <w:spacing w:before="120" w:after="120" w:line="360" w:lineRule="auto"/>
        <w:rPr>
          <w:rFonts w:hint="eastAsia" w:ascii="楷体" w:hAnsi="楷体" w:eastAsia="楷体" w:cs="楷体"/>
          <w:color w:val="auto"/>
          <w:sz w:val="24"/>
        </w:rPr>
      </w:pPr>
      <w:bookmarkStart w:id="137" w:name="_Toc24804"/>
      <w:r>
        <w:rPr>
          <w:rFonts w:hint="eastAsia" w:ascii="楷体" w:hAnsi="楷体" w:eastAsia="楷体" w:cs="楷体"/>
          <w:color w:val="auto"/>
          <w:sz w:val="24"/>
        </w:rPr>
        <w:t>2</w:t>
      </w:r>
      <w:bookmarkStart w:id="138" w:name="_Toc296891197"/>
      <w:bookmarkStart w:id="139" w:name="_Toc296944496"/>
      <w:bookmarkStart w:id="140" w:name="_Toc296346658"/>
      <w:bookmarkStart w:id="141" w:name="_Toc297048343"/>
      <w:bookmarkStart w:id="142" w:name="_Toc296890985"/>
      <w:bookmarkStart w:id="143" w:name="_Toc292559867"/>
      <w:bookmarkStart w:id="144" w:name="_Toc292559362"/>
      <w:bookmarkStart w:id="145" w:name="_Toc296503157"/>
      <w:bookmarkStart w:id="146" w:name="_Toc297120457"/>
      <w:bookmarkStart w:id="147" w:name="_Toc296347156"/>
      <w:r>
        <w:rPr>
          <w:rFonts w:hint="eastAsia" w:ascii="楷体" w:hAnsi="楷体" w:eastAsia="楷体" w:cs="楷体"/>
          <w:color w:val="auto"/>
          <w:sz w:val="24"/>
        </w:rPr>
        <w:t>. 发包人</w:t>
      </w:r>
      <w:bookmarkEnd w:id="137"/>
    </w:p>
    <w:bookmarkEnd w:id="138"/>
    <w:bookmarkEnd w:id="139"/>
    <w:bookmarkEnd w:id="140"/>
    <w:bookmarkEnd w:id="141"/>
    <w:bookmarkEnd w:id="142"/>
    <w:bookmarkEnd w:id="143"/>
    <w:bookmarkEnd w:id="144"/>
    <w:bookmarkEnd w:id="145"/>
    <w:bookmarkEnd w:id="146"/>
    <w:bookmarkEnd w:id="147"/>
    <w:p>
      <w:pPr>
        <w:spacing w:after="120" w:line="360" w:lineRule="auto"/>
        <w:ind w:firstLine="480" w:firstLineChars="200"/>
        <w:rPr>
          <w:rFonts w:hint="eastAsia" w:ascii="楷体" w:hAnsi="楷体" w:eastAsia="楷体" w:cs="楷体"/>
          <w:color w:val="auto"/>
          <w:sz w:val="24"/>
        </w:rPr>
      </w:pPr>
      <w:bookmarkStart w:id="148" w:name="_Toc248"/>
      <w:bookmarkStart w:id="149" w:name="_Toc2621"/>
      <w:bookmarkStart w:id="150" w:name="_Toc24466"/>
      <w:bookmarkStart w:id="151" w:name="_Toc27607"/>
      <w:bookmarkStart w:id="152" w:name="_Toc28155"/>
      <w:bookmarkStart w:id="153" w:name="_Toc18187"/>
      <w:bookmarkStart w:id="154" w:name="_Toc23402"/>
      <w:bookmarkStart w:id="155" w:name="_Toc29057"/>
      <w:r>
        <w:rPr>
          <w:rFonts w:hint="eastAsia" w:ascii="楷体" w:hAnsi="楷体" w:eastAsia="楷体" w:cs="楷体"/>
          <w:color w:val="auto"/>
          <w:sz w:val="24"/>
        </w:rPr>
        <w:t>2.2 发包人代表</w:t>
      </w:r>
      <w:bookmarkEnd w:id="148"/>
      <w:bookmarkEnd w:id="149"/>
      <w:bookmarkEnd w:id="150"/>
      <w:bookmarkEnd w:id="151"/>
      <w:bookmarkEnd w:id="152"/>
      <w:bookmarkEnd w:id="153"/>
      <w:bookmarkEnd w:id="154"/>
      <w:bookmarkEnd w:id="155"/>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发包人代表：</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姓    名：</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身份证号：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职    务：</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联系电话：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通信地址：</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b/>
          <w:color w:val="auto"/>
          <w:sz w:val="24"/>
        </w:rPr>
      </w:pPr>
      <w:r>
        <w:rPr>
          <w:rFonts w:hint="eastAsia" w:ascii="楷体" w:hAnsi="楷体" w:eastAsia="楷体" w:cs="楷体"/>
          <w:color w:val="auto"/>
          <w:sz w:val="24"/>
        </w:rPr>
        <w:t>发包人对发包人代表的授权范围如下：</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156" w:name="_Toc2425"/>
      <w:bookmarkStart w:id="157" w:name="_Toc28479"/>
      <w:bookmarkStart w:id="158" w:name="_Toc26235"/>
      <w:bookmarkStart w:id="159" w:name="_Toc16144"/>
      <w:bookmarkStart w:id="160" w:name="_Toc22908"/>
      <w:bookmarkStart w:id="161" w:name="_Toc30914"/>
      <w:bookmarkStart w:id="162" w:name="_Toc6391"/>
      <w:bookmarkStart w:id="163" w:name="_Toc18861"/>
      <w:r>
        <w:rPr>
          <w:rFonts w:hint="eastAsia" w:ascii="楷体" w:hAnsi="楷体" w:eastAsia="楷体" w:cs="楷体"/>
          <w:color w:val="auto"/>
          <w:sz w:val="24"/>
        </w:rPr>
        <w:t>2.4 施工现场、施工条件和基础资料的提供</w:t>
      </w:r>
      <w:bookmarkEnd w:id="156"/>
      <w:bookmarkEnd w:id="157"/>
      <w:bookmarkEnd w:id="158"/>
      <w:bookmarkEnd w:id="159"/>
      <w:bookmarkEnd w:id="160"/>
      <w:bookmarkEnd w:id="161"/>
      <w:bookmarkEnd w:id="162"/>
      <w:bookmarkEnd w:id="163"/>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2.4.1 提供施工现场</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关于发包人移交施工现场的期限要求：</w:t>
      </w:r>
      <w:r>
        <w:rPr>
          <w:rFonts w:hint="eastAsia" w:ascii="楷体" w:hAnsi="楷体" w:eastAsia="楷体" w:cs="楷体"/>
          <w:color w:val="auto"/>
          <w:sz w:val="24"/>
          <w:u w:val="single"/>
        </w:rPr>
        <w:t xml:space="preserve"> 开工日期7天前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2.4.2 提供施工条件</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关于发包人应负责提供施工所需要的条件，包括：</w:t>
      </w:r>
      <w:r>
        <w:rPr>
          <w:rFonts w:hint="eastAsia" w:ascii="楷体" w:hAnsi="楷体" w:eastAsia="楷体" w:cs="楷体"/>
          <w:color w:val="auto"/>
          <w:sz w:val="24"/>
          <w:u w:val="single"/>
        </w:rPr>
        <w:t xml:space="preserve">     以双方协商为准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164" w:name="_Toc26388"/>
      <w:bookmarkStart w:id="165" w:name="_Toc2049"/>
      <w:bookmarkStart w:id="166" w:name="_Toc32559"/>
      <w:bookmarkStart w:id="167" w:name="_Toc29913"/>
      <w:bookmarkStart w:id="168" w:name="_Toc3739"/>
      <w:bookmarkStart w:id="169" w:name="_Toc23859"/>
      <w:bookmarkStart w:id="170" w:name="_Toc20436"/>
      <w:bookmarkStart w:id="171" w:name="_Toc1088"/>
      <w:r>
        <w:rPr>
          <w:rFonts w:hint="eastAsia" w:ascii="楷体" w:hAnsi="楷体" w:eastAsia="楷体" w:cs="楷体"/>
          <w:color w:val="auto"/>
          <w:sz w:val="24"/>
        </w:rPr>
        <w:t>2.5 资金来源证明及支付担保</w:t>
      </w:r>
      <w:bookmarkEnd w:id="164"/>
      <w:bookmarkEnd w:id="165"/>
      <w:bookmarkEnd w:id="166"/>
      <w:bookmarkEnd w:id="167"/>
      <w:bookmarkEnd w:id="168"/>
      <w:bookmarkEnd w:id="169"/>
      <w:bookmarkEnd w:id="170"/>
      <w:bookmarkEnd w:id="171"/>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发包人提供资金来源证明的期限要求：</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发包人是否提供支付担保：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发包人提供支付担保的形式：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numPr>
          <w:ilvl w:val="3"/>
          <w:numId w:val="0"/>
        </w:numPr>
        <w:spacing w:before="120" w:after="120" w:line="360" w:lineRule="auto"/>
        <w:rPr>
          <w:rFonts w:hint="eastAsia" w:ascii="楷体" w:hAnsi="楷体" w:eastAsia="楷体" w:cs="楷体"/>
          <w:color w:val="auto"/>
          <w:sz w:val="24"/>
        </w:rPr>
      </w:pPr>
      <w:bookmarkStart w:id="172" w:name="_Toc9922"/>
      <w:r>
        <w:rPr>
          <w:rFonts w:hint="eastAsia" w:ascii="楷体" w:hAnsi="楷体" w:eastAsia="楷体" w:cs="楷体"/>
          <w:color w:val="auto"/>
          <w:sz w:val="24"/>
        </w:rPr>
        <w:t>3</w:t>
      </w:r>
      <w:bookmarkStart w:id="173" w:name="_Toc292559868"/>
      <w:bookmarkStart w:id="174" w:name="_Toc296891198"/>
      <w:bookmarkStart w:id="175" w:name="_Toc292559363"/>
      <w:bookmarkStart w:id="176" w:name="_Toc297120458"/>
      <w:bookmarkStart w:id="177" w:name="_Toc297048344"/>
      <w:bookmarkStart w:id="178" w:name="_Toc296503158"/>
      <w:bookmarkStart w:id="179" w:name="_Toc296347157"/>
      <w:bookmarkStart w:id="180" w:name="_Toc296346659"/>
      <w:bookmarkStart w:id="181" w:name="_Toc296890986"/>
      <w:bookmarkStart w:id="182" w:name="_Toc296944497"/>
      <w:r>
        <w:rPr>
          <w:rFonts w:hint="eastAsia" w:ascii="楷体" w:hAnsi="楷体" w:eastAsia="楷体" w:cs="楷体"/>
          <w:color w:val="auto"/>
          <w:sz w:val="24"/>
        </w:rPr>
        <w:t>. 承包人</w:t>
      </w:r>
      <w:bookmarkEnd w:id="172"/>
    </w:p>
    <w:bookmarkEnd w:id="173"/>
    <w:bookmarkEnd w:id="174"/>
    <w:bookmarkEnd w:id="175"/>
    <w:bookmarkEnd w:id="176"/>
    <w:bookmarkEnd w:id="177"/>
    <w:bookmarkEnd w:id="178"/>
    <w:bookmarkEnd w:id="179"/>
    <w:bookmarkEnd w:id="180"/>
    <w:bookmarkEnd w:id="181"/>
    <w:bookmarkEnd w:id="18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3.1 承包人的一般义务</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kern w:val="0"/>
          <w:sz w:val="24"/>
        </w:rPr>
        <w:t>（9）</w:t>
      </w:r>
      <w:r>
        <w:rPr>
          <w:rFonts w:hint="eastAsia" w:ascii="楷体" w:hAnsi="楷体" w:eastAsia="楷体" w:cs="楷体"/>
          <w:color w:val="auto"/>
          <w:sz w:val="24"/>
        </w:rPr>
        <w:t>承包人提交的竣工资料的内容：</w:t>
      </w:r>
      <w:r>
        <w:rPr>
          <w:rFonts w:hint="eastAsia" w:ascii="楷体" w:hAnsi="楷体" w:eastAsia="楷体" w:cs="楷体"/>
          <w:color w:val="auto"/>
          <w:sz w:val="24"/>
          <w:u w:val="single"/>
        </w:rPr>
        <w:t>竣工验收报告，竣工图纸等资料</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承包人需要提交的竣工资料套数：</w:t>
      </w:r>
      <w:r>
        <w:rPr>
          <w:rFonts w:hint="eastAsia" w:ascii="楷体" w:hAnsi="楷体" w:eastAsia="楷体" w:cs="楷体"/>
          <w:color w:val="auto"/>
          <w:sz w:val="24"/>
          <w:u w:val="single"/>
        </w:rPr>
        <w:t xml:space="preserve">        按发包人要求               </w:t>
      </w:r>
      <w:r>
        <w:rPr>
          <w:rFonts w:hint="eastAsia" w:ascii="楷体" w:hAnsi="楷体" w:eastAsia="楷体" w:cs="楷体"/>
          <w:color w:val="auto"/>
          <w:sz w:val="24"/>
        </w:rPr>
        <w:t>。</w:t>
      </w:r>
    </w:p>
    <w:p>
      <w:pPr>
        <w:spacing w:line="360" w:lineRule="auto"/>
        <w:ind w:left="730" w:leftChars="304"/>
        <w:jc w:val="left"/>
        <w:rPr>
          <w:rFonts w:hint="eastAsia" w:ascii="楷体" w:hAnsi="楷体" w:eastAsia="楷体" w:cs="楷体"/>
          <w:color w:val="auto"/>
          <w:sz w:val="24"/>
        </w:rPr>
      </w:pPr>
      <w:r>
        <w:rPr>
          <w:rFonts w:hint="eastAsia" w:ascii="楷体" w:hAnsi="楷体" w:eastAsia="楷体" w:cs="楷体"/>
          <w:color w:val="auto"/>
          <w:sz w:val="24"/>
        </w:rPr>
        <w:t>承包人提交的竣工资料的费用承担：</w:t>
      </w:r>
      <w:r>
        <w:rPr>
          <w:rFonts w:hint="eastAsia" w:ascii="楷体" w:hAnsi="楷体" w:eastAsia="楷体" w:cs="楷体"/>
          <w:color w:val="auto"/>
          <w:sz w:val="24"/>
          <w:u w:val="single"/>
        </w:rPr>
        <w:t xml:space="preserve">       按发包人要求              </w:t>
      </w:r>
      <w:r>
        <w:rPr>
          <w:rFonts w:hint="eastAsia" w:ascii="楷体" w:hAnsi="楷体" w:eastAsia="楷体" w:cs="楷体"/>
          <w:color w:val="auto"/>
          <w:sz w:val="24"/>
        </w:rPr>
        <w:t>。</w:t>
      </w:r>
    </w:p>
    <w:p>
      <w:pPr>
        <w:spacing w:line="360" w:lineRule="auto"/>
        <w:ind w:left="730" w:leftChars="304"/>
        <w:jc w:val="left"/>
        <w:rPr>
          <w:rFonts w:hint="eastAsia" w:ascii="楷体" w:hAnsi="楷体" w:eastAsia="楷体" w:cs="楷体"/>
          <w:color w:val="auto"/>
          <w:sz w:val="24"/>
        </w:rPr>
      </w:pPr>
      <w:r>
        <w:rPr>
          <w:rFonts w:hint="eastAsia" w:ascii="楷体" w:hAnsi="楷体" w:eastAsia="楷体" w:cs="楷体"/>
          <w:color w:val="auto"/>
          <w:sz w:val="24"/>
        </w:rPr>
        <w:t>承包人提交的竣工资料移交时间：</w:t>
      </w:r>
      <w:r>
        <w:rPr>
          <w:rFonts w:hint="eastAsia" w:ascii="楷体" w:hAnsi="楷体" w:eastAsia="楷体" w:cs="楷体"/>
          <w:color w:val="auto"/>
          <w:sz w:val="24"/>
          <w:u w:val="single"/>
        </w:rPr>
        <w:t xml:space="preserve">        按发包人要求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承包人提交的竣工资料形式要求：</w:t>
      </w:r>
      <w:r>
        <w:rPr>
          <w:rFonts w:hint="eastAsia" w:ascii="楷体" w:hAnsi="楷体" w:eastAsia="楷体" w:cs="楷体"/>
          <w:color w:val="auto"/>
          <w:sz w:val="24"/>
          <w:u w:val="single"/>
        </w:rPr>
        <w:t xml:space="preserve">         按发包人要求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kern w:val="0"/>
          <w:sz w:val="24"/>
        </w:rPr>
        <w:t>（10）承包人应履行的其他义务：</w:t>
      </w:r>
      <w:r>
        <w:rPr>
          <w:rFonts w:hint="eastAsia" w:ascii="楷体" w:hAnsi="楷体" w:eastAsia="楷体" w:cs="楷体"/>
          <w:color w:val="auto"/>
          <w:sz w:val="24"/>
          <w:u w:val="single"/>
        </w:rPr>
        <w:t xml:space="preserve"> 1、执行通用条款；2、各项验收和工程 </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u w:val="single"/>
        </w:rPr>
        <w:t>质量备案及工程档案验收的办理；4、对工程提供配合及相应的管理包含但不限于质量监督检查、进度安排、安全、资料管理、竣工验收，并协调施工中的各种情况；5、招标文件规定的其他责任。</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3.2 项目经理</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kern w:val="0"/>
          <w:sz w:val="24"/>
        </w:rPr>
        <w:t xml:space="preserve">3.2.1 </w:t>
      </w:r>
      <w:r>
        <w:rPr>
          <w:rFonts w:hint="eastAsia" w:ascii="楷体" w:hAnsi="楷体" w:eastAsia="楷体" w:cs="楷体"/>
          <w:color w:val="auto"/>
          <w:sz w:val="24"/>
        </w:rPr>
        <w:t>项目经理：</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姓    名：</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身份证号：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建造师执业资格等级：</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建造师注册证书号：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建造师执业印章号：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安全生产考核合格证书号：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联系电话：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通信地址：</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承包人对项目经理的授权范围如下：</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kern w:val="0"/>
          <w:sz w:val="24"/>
        </w:rPr>
        <w:t>关于项目经理每月在施工现场的时间要求：</w:t>
      </w:r>
      <w:r>
        <w:rPr>
          <w:rFonts w:hint="eastAsia" w:ascii="楷体" w:hAnsi="楷体" w:eastAsia="楷体" w:cs="楷体"/>
          <w:color w:val="auto"/>
          <w:sz w:val="24"/>
          <w:u w:val="single"/>
        </w:rPr>
        <w:t xml:space="preserve"> 每周不少于 5 天，且每月不少 </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u w:val="single"/>
        </w:rPr>
        <w:t>于 22 天，国家法定节假日期间的休假需事先通知监理人，并经发包人同意。</w:t>
      </w:r>
    </w:p>
    <w:p>
      <w:pPr>
        <w:spacing w:line="360" w:lineRule="auto"/>
        <w:ind w:firstLine="480" w:firstLineChars="200"/>
        <w:rPr>
          <w:rFonts w:hint="eastAsia" w:ascii="楷体" w:hAnsi="楷体" w:eastAsia="楷体" w:cs="楷体"/>
          <w:color w:val="auto"/>
          <w:kern w:val="0"/>
          <w:sz w:val="24"/>
        </w:rPr>
      </w:pPr>
      <w:r>
        <w:rPr>
          <w:rFonts w:hint="eastAsia" w:ascii="楷体" w:hAnsi="楷体" w:eastAsia="楷体" w:cs="楷体"/>
          <w:color w:val="auto"/>
          <w:kern w:val="0"/>
          <w:sz w:val="24"/>
        </w:rPr>
        <w:t>承包人未提交劳动合同，以及没有为项目经理缴纳社会保险证明的违约责任：</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u w:val="single"/>
        </w:rPr>
        <w:t xml:space="preserve">在向监理人提交开工报审表的同时提供劳动合同、社会保险证明，否则每缺少一项，承包人应向发包人支付违约金 0.5 万元，每项每拖延一天承包人应向发包人 </w:t>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u w:val="single"/>
        </w:rPr>
        <w:t xml:space="preserve">支付违约金 500 元，任何一项拖延期限超过 30 天的，且发包人有权提出更换项 </w:t>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u w:val="single"/>
        </w:rPr>
        <w:t>目经理，视为承包人擅自更换项目经理，承包人并承担 3.2.3 条规定的违约责任。</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kern w:val="0"/>
          <w:sz w:val="24"/>
        </w:rPr>
        <w:t>项目经理未经批准，擅自离开施工现场的违约责任：</w:t>
      </w:r>
      <w:r>
        <w:rPr>
          <w:rFonts w:hint="eastAsia" w:ascii="楷体" w:hAnsi="楷体" w:eastAsia="楷体" w:cs="楷体"/>
          <w:color w:val="auto"/>
          <w:sz w:val="24"/>
          <w:u w:val="single"/>
        </w:rPr>
        <w:t xml:space="preserve"> 属于国家法定工作日的， 离开施工现场 1 天的，承包人应向发包人支付违约金 1000 元，连续数天的，逐天加倍处罚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3.2.3 承包人擅自更换项目经理的违约责任：</w:t>
      </w:r>
      <w:r>
        <w:rPr>
          <w:rFonts w:hint="eastAsia" w:ascii="楷体" w:hAnsi="楷体" w:eastAsia="楷体" w:cs="楷体"/>
          <w:color w:val="auto"/>
          <w:sz w:val="24"/>
          <w:u w:val="single"/>
        </w:rPr>
        <w:t xml:space="preserve"> 若承包人擅自更换项目经理，将对承包人处以 1 万元的违约金，同时要求承包人更换后的项目经理资质等级、业绩不低于原项目经理，否则解除施工合同。</w:t>
      </w:r>
    </w:p>
    <w:p>
      <w:pPr>
        <w:spacing w:line="360" w:lineRule="auto"/>
        <w:ind w:firstLine="480"/>
        <w:rPr>
          <w:rFonts w:hint="eastAsia" w:ascii="楷体" w:hAnsi="楷体" w:eastAsia="楷体" w:cs="楷体"/>
          <w:color w:val="auto"/>
          <w:sz w:val="24"/>
        </w:rPr>
      </w:pPr>
      <w:bookmarkStart w:id="183" w:name="_Toc30431"/>
      <w:bookmarkStart w:id="184" w:name="_Toc23713"/>
      <w:bookmarkStart w:id="185" w:name="_Toc14858"/>
      <w:bookmarkStart w:id="186" w:name="_Toc20430"/>
      <w:bookmarkStart w:id="187" w:name="_Toc31006"/>
      <w:bookmarkStart w:id="188" w:name="_Toc27832"/>
      <w:bookmarkStart w:id="189" w:name="_Toc21195"/>
      <w:bookmarkStart w:id="190" w:name="_Toc2234"/>
      <w:r>
        <w:rPr>
          <w:rFonts w:hint="eastAsia" w:ascii="楷体" w:hAnsi="楷体" w:eastAsia="楷体" w:cs="楷体"/>
          <w:color w:val="auto"/>
          <w:sz w:val="24"/>
        </w:rPr>
        <w:t>3.2.4 承包人无正当理由拒绝更换项目经理的违约责任：</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183"/>
      <w:bookmarkEnd w:id="184"/>
      <w:bookmarkEnd w:id="185"/>
      <w:bookmarkEnd w:id="186"/>
      <w:bookmarkEnd w:id="187"/>
      <w:bookmarkEnd w:id="188"/>
      <w:bookmarkEnd w:id="189"/>
      <w:bookmarkEnd w:id="190"/>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3.3 承包人人员</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3.3.1 承包人提交项目管理机构及施工现场管理人员安排报告的期限：</w:t>
      </w:r>
      <w:r>
        <w:rPr>
          <w:rFonts w:hint="eastAsia" w:ascii="楷体" w:hAnsi="楷体" w:eastAsia="楷体" w:cs="楷体"/>
          <w:color w:val="auto"/>
          <w:sz w:val="24"/>
          <w:u w:val="single"/>
        </w:rPr>
        <w:t>7日内</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3.3.3 承包人无正当理由拒绝撤换主要施工管理人员的违约责任：</w:t>
      </w:r>
      <w:r>
        <w:rPr>
          <w:rFonts w:hint="eastAsia" w:ascii="楷体" w:hAnsi="楷体" w:eastAsia="楷体" w:cs="楷体"/>
          <w:color w:val="auto"/>
          <w:sz w:val="24"/>
          <w:u w:val="single"/>
        </w:rPr>
        <w:t xml:space="preserve">  承包人 </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u w:val="single"/>
        </w:rPr>
        <w:t xml:space="preserve">需承担违约金：对技术负责人、安全负责人、生产负责人、质量负责人、安全员 </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u w:val="single"/>
        </w:rPr>
        <w:t xml:space="preserve">主要施工岗位支付违约金 0.5 万元，其他管理岗位支付违约金 0.2 万元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u w:val="single"/>
        </w:rPr>
      </w:pPr>
      <w:r>
        <w:rPr>
          <w:rFonts w:hint="eastAsia" w:ascii="楷体" w:hAnsi="楷体" w:eastAsia="楷体" w:cs="楷体"/>
          <w:color w:val="auto"/>
          <w:sz w:val="24"/>
        </w:rPr>
        <w:t>3.3.4 承包人主要施工管理人员离开施工现场的批准要求：</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3.3.5承包人擅自更换主要施工管理人员的违约责任：</w:t>
      </w:r>
      <w:r>
        <w:rPr>
          <w:rFonts w:hint="eastAsia" w:ascii="楷体" w:hAnsi="楷体" w:eastAsia="楷体" w:cs="楷体"/>
          <w:color w:val="auto"/>
          <w:sz w:val="24"/>
          <w:u w:val="single"/>
        </w:rPr>
        <w:t xml:space="preserve"> 对技术负责人、安全负责人、生产负责人、质量负责人、安全员主要施工管理岗位支付违约金 0.5 万元，其他管理岗位支付违约金 0.2 万元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承包人主要施工管理人员擅自离开施工现场的违约责任：</w:t>
      </w:r>
      <w:r>
        <w:rPr>
          <w:rFonts w:hint="eastAsia" w:ascii="楷体" w:hAnsi="楷体" w:eastAsia="楷体" w:cs="楷体"/>
          <w:color w:val="auto"/>
          <w:sz w:val="24"/>
          <w:u w:val="single"/>
        </w:rPr>
        <w:t xml:space="preserve">属于国家法定工作日的，离开施工现场 1 天的支付违约金 500 元，连续数天的，逐天加倍支付违约金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w:t>
      </w:r>
      <w:bookmarkStart w:id="191" w:name="_Toc296347158"/>
      <w:bookmarkStart w:id="192" w:name="_Toc312677988"/>
      <w:bookmarkStart w:id="193" w:name="_Toc296891199"/>
      <w:bookmarkStart w:id="194" w:name="_Toc296346660"/>
      <w:bookmarkStart w:id="195" w:name="_Toc296890987"/>
      <w:bookmarkStart w:id="196" w:name="_Toc297216151"/>
      <w:bookmarkStart w:id="197" w:name="_Toc300934945"/>
      <w:bookmarkStart w:id="198" w:name="_Toc304295523"/>
      <w:bookmarkStart w:id="199" w:name="_Toc297048345"/>
      <w:bookmarkStart w:id="200" w:name="_Toc303539102"/>
      <w:bookmarkStart w:id="201" w:name="_Toc296944498"/>
      <w:bookmarkStart w:id="202" w:name="_Toc296503159"/>
      <w:bookmarkStart w:id="203" w:name="_Toc297120459"/>
      <w:bookmarkStart w:id="204" w:name="_Toc292559869"/>
      <w:bookmarkStart w:id="205" w:name="_Toc297123492"/>
      <w:bookmarkStart w:id="206" w:name="_Toc292559364"/>
      <w:r>
        <w:rPr>
          <w:rFonts w:hint="eastAsia" w:ascii="楷体" w:hAnsi="楷体" w:eastAsia="楷体" w:cs="楷体"/>
          <w:color w:val="auto"/>
          <w:sz w:val="24"/>
        </w:rPr>
        <w:t>.5 分包</w:t>
      </w:r>
    </w:p>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w:t>
      </w:r>
      <w:bookmarkStart w:id="207" w:name="_Toc297120460"/>
      <w:bookmarkStart w:id="208" w:name="_Toc296890988"/>
      <w:bookmarkStart w:id="209" w:name="_Toc296346661"/>
      <w:bookmarkStart w:id="210" w:name="_Toc318581158"/>
      <w:bookmarkStart w:id="211" w:name="_Toc297048346"/>
      <w:bookmarkStart w:id="212" w:name="_Toc300934946"/>
      <w:bookmarkStart w:id="213" w:name="_Toc292559365"/>
      <w:bookmarkStart w:id="214" w:name="_Toc312677989"/>
      <w:bookmarkStart w:id="215" w:name="_Toc296347159"/>
      <w:bookmarkStart w:id="216" w:name="_Toc292559870"/>
      <w:bookmarkStart w:id="217" w:name="_Toc296503160"/>
      <w:bookmarkStart w:id="218" w:name="_Toc297123493"/>
      <w:bookmarkStart w:id="219" w:name="_Toc296944499"/>
      <w:bookmarkStart w:id="220" w:name="_Toc303539103"/>
      <w:bookmarkStart w:id="221" w:name="_Toc304295524"/>
      <w:bookmarkStart w:id="222" w:name="_Toc297216152"/>
      <w:bookmarkStart w:id="223" w:name="_Toc296891200"/>
      <w:r>
        <w:rPr>
          <w:rFonts w:hint="eastAsia" w:ascii="楷体" w:hAnsi="楷体" w:eastAsia="楷体" w:cs="楷体"/>
          <w:color w:val="auto"/>
          <w:sz w:val="24"/>
        </w:rPr>
        <w:t>.5.1 分包的一般约定</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禁止分包的工程包括：</w:t>
      </w:r>
      <w:r>
        <w:rPr>
          <w:rFonts w:hint="eastAsia" w:ascii="楷体" w:hAnsi="楷体" w:eastAsia="楷体" w:cs="楷体"/>
          <w:color w:val="auto"/>
          <w:sz w:val="24"/>
          <w:u w:val="single"/>
        </w:rPr>
        <w:t xml:space="preserve">法律法规禁止分包的工程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主体结构、关键性工作的范围：</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w:t>
      </w:r>
      <w:bookmarkStart w:id="224" w:name="_Toc318581159"/>
      <w:bookmarkStart w:id="225" w:name="_Toc312677990"/>
      <w:r>
        <w:rPr>
          <w:rFonts w:hint="eastAsia" w:ascii="楷体" w:hAnsi="楷体" w:eastAsia="楷体" w:cs="楷体"/>
          <w:color w:val="auto"/>
          <w:sz w:val="24"/>
        </w:rPr>
        <w:t>.5.2分包的确定</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允许分包的专业工程包括：</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其他关于分包的约定：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3.5.4 分包合同价款</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关于分包合同价款支付的约定：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224"/>
    <w:bookmarkEnd w:id="225"/>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3.6 工程照管与成品、半成品保护</w:t>
      </w:r>
    </w:p>
    <w:p>
      <w:pPr>
        <w:spacing w:before="120" w:after="120" w:line="360" w:lineRule="auto"/>
        <w:ind w:firstLine="480" w:firstLineChars="200"/>
        <w:rPr>
          <w:rFonts w:hint="eastAsia" w:ascii="楷体" w:hAnsi="楷体" w:eastAsia="楷体" w:cs="楷体"/>
          <w:color w:val="auto"/>
          <w:kern w:val="0"/>
          <w:sz w:val="24"/>
          <w:u w:val="single"/>
        </w:rPr>
      </w:pPr>
      <w:r>
        <w:rPr>
          <w:rFonts w:hint="eastAsia" w:ascii="楷体" w:hAnsi="楷体" w:eastAsia="楷体" w:cs="楷体"/>
          <w:color w:val="auto"/>
          <w:kern w:val="0"/>
          <w:sz w:val="24"/>
        </w:rPr>
        <w:t>承包人负责照管工程及工程相关的材料、工程设备的起始时间：</w:t>
      </w:r>
      <w:r>
        <w:rPr>
          <w:rFonts w:hint="eastAsia" w:ascii="楷体" w:hAnsi="楷体" w:eastAsia="楷体" w:cs="楷体"/>
          <w:color w:val="auto"/>
          <w:kern w:val="0"/>
          <w:sz w:val="24"/>
          <w:u w:val="single"/>
        </w:rPr>
        <w:t xml:space="preserve"> 进场之日起</w:t>
      </w:r>
      <w:r>
        <w:rPr>
          <w:rFonts w:hint="eastAsia" w:ascii="楷体" w:hAnsi="楷体" w:eastAsia="楷体" w:cs="楷体"/>
          <w:color w:val="auto"/>
          <w:kern w:val="0"/>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3.7 履约担保</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承包人是否提供履约担保：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承包人提供履约担保的形式、金额及期限的：</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numPr>
          <w:ilvl w:val="3"/>
          <w:numId w:val="0"/>
        </w:numPr>
        <w:spacing w:before="120" w:after="120" w:line="360" w:lineRule="auto"/>
        <w:rPr>
          <w:rFonts w:hint="eastAsia" w:ascii="楷体" w:hAnsi="楷体" w:eastAsia="楷体" w:cs="楷体"/>
          <w:color w:val="auto"/>
          <w:sz w:val="24"/>
        </w:rPr>
      </w:pPr>
      <w:bookmarkStart w:id="226" w:name="_Toc20269"/>
      <w:r>
        <w:rPr>
          <w:rFonts w:hint="eastAsia" w:ascii="楷体" w:hAnsi="楷体" w:eastAsia="楷体" w:cs="楷体"/>
          <w:color w:val="auto"/>
          <w:sz w:val="24"/>
        </w:rPr>
        <w:t>4</w:t>
      </w:r>
      <w:bookmarkStart w:id="227" w:name="_Toc292559871"/>
      <w:bookmarkStart w:id="228" w:name="_Toc297048348"/>
      <w:bookmarkStart w:id="229" w:name="_Toc267251413"/>
      <w:bookmarkStart w:id="230" w:name="_Toc296944501"/>
      <w:bookmarkStart w:id="231" w:name="_Toc296890990"/>
      <w:bookmarkStart w:id="232" w:name="_Toc296347161"/>
      <w:bookmarkStart w:id="233" w:name="_Toc296891202"/>
      <w:bookmarkStart w:id="234" w:name="_Toc296346663"/>
      <w:bookmarkStart w:id="235" w:name="_Toc296503162"/>
      <w:bookmarkStart w:id="236" w:name="_Toc297120462"/>
      <w:bookmarkStart w:id="237" w:name="_Toc292559366"/>
      <w:r>
        <w:rPr>
          <w:rFonts w:hint="eastAsia" w:ascii="楷体" w:hAnsi="楷体" w:eastAsia="楷体" w:cs="楷体"/>
          <w:color w:val="auto"/>
          <w:sz w:val="24"/>
        </w:rPr>
        <w:t>. 监</w:t>
      </w:r>
      <w:bookmarkEnd w:id="227"/>
      <w:bookmarkEnd w:id="228"/>
      <w:bookmarkEnd w:id="229"/>
      <w:bookmarkEnd w:id="230"/>
      <w:bookmarkEnd w:id="231"/>
      <w:bookmarkEnd w:id="232"/>
      <w:bookmarkEnd w:id="233"/>
      <w:bookmarkEnd w:id="234"/>
      <w:bookmarkEnd w:id="235"/>
      <w:bookmarkEnd w:id="236"/>
      <w:bookmarkEnd w:id="237"/>
      <w:r>
        <w:rPr>
          <w:rFonts w:hint="eastAsia" w:ascii="楷体" w:hAnsi="楷体" w:eastAsia="楷体" w:cs="楷体"/>
          <w:color w:val="auto"/>
          <w:sz w:val="24"/>
        </w:rPr>
        <w:t>理人</w:t>
      </w:r>
      <w:bookmarkEnd w:id="226"/>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4.1监理人的一般规定</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关于监理人的监理内容：</w:t>
      </w:r>
      <w:r>
        <w:rPr>
          <w:rFonts w:hint="eastAsia" w:ascii="楷体" w:hAnsi="楷体" w:eastAsia="楷体" w:cs="楷体"/>
          <w:color w:val="auto"/>
          <w:sz w:val="24"/>
          <w:u w:val="single"/>
        </w:rPr>
        <w:t xml:space="preserve">      执行本项目监理合同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关于监理人的监理权限：</w:t>
      </w:r>
      <w:r>
        <w:rPr>
          <w:rFonts w:hint="eastAsia" w:ascii="楷体" w:hAnsi="楷体" w:eastAsia="楷体" w:cs="楷体"/>
          <w:color w:val="auto"/>
          <w:sz w:val="24"/>
          <w:u w:val="single"/>
        </w:rPr>
        <w:t xml:space="preserve">       执行本项目监理合同  </w:t>
      </w:r>
      <w:r>
        <w:rPr>
          <w:rFonts w:hint="eastAsia" w:ascii="楷体" w:hAnsi="楷体" w:eastAsia="楷体" w:cs="楷体"/>
          <w:color w:val="auto"/>
          <w:sz w:val="24"/>
          <w:u w:val="single"/>
          <w:lang w:val="en-US" w:eastAsia="zh-CN"/>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关于监理人在施工现场的办公场所、生活场所的提供和费用承担的约定：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4.2 监理人员</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总监理工程师：</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姓    名：</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职    务：</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监理工程师执业资格证书号：</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联系电话：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电子信箱：</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通信地址：</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关于监理人的其他约定：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4.4 商定或确定</w:t>
      </w:r>
    </w:p>
    <w:p>
      <w:pPr>
        <w:spacing w:line="360" w:lineRule="auto"/>
        <w:ind w:firstLine="480" w:firstLineChars="200"/>
        <w:rPr>
          <w:rFonts w:hint="eastAsia" w:ascii="楷体" w:hAnsi="楷体" w:eastAsia="楷体" w:cs="楷体"/>
          <w:color w:val="auto"/>
          <w:sz w:val="24"/>
        </w:rPr>
      </w:pPr>
      <w:bookmarkStart w:id="238" w:name="_Toc267251418"/>
      <w:r>
        <w:rPr>
          <w:rFonts w:hint="eastAsia" w:ascii="楷体" w:hAnsi="楷体" w:eastAsia="楷体" w:cs="楷体"/>
          <w:color w:val="auto"/>
          <w:sz w:val="24"/>
        </w:rPr>
        <w:t>在发包人和承包人不能通过协商达成一致意见时，发包人授权监理人对以下事项进行确定：</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（2）</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（3）</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numPr>
          <w:ilvl w:val="3"/>
          <w:numId w:val="0"/>
        </w:numPr>
        <w:spacing w:before="120" w:after="120" w:line="360" w:lineRule="auto"/>
        <w:rPr>
          <w:rFonts w:hint="eastAsia" w:ascii="楷体" w:hAnsi="楷体" w:eastAsia="楷体" w:cs="楷体"/>
          <w:color w:val="auto"/>
          <w:sz w:val="24"/>
        </w:rPr>
      </w:pPr>
      <w:bookmarkStart w:id="239" w:name="_Toc15811"/>
      <w:r>
        <w:rPr>
          <w:rFonts w:hint="eastAsia" w:ascii="楷体" w:hAnsi="楷体" w:eastAsia="楷体" w:cs="楷体"/>
          <w:color w:val="auto"/>
          <w:sz w:val="24"/>
        </w:rPr>
        <w:t>5</w:t>
      </w:r>
      <w:bookmarkEnd w:id="238"/>
      <w:bookmarkStart w:id="240" w:name="_Toc296890991"/>
      <w:bookmarkStart w:id="241" w:name="_Toc296944502"/>
      <w:bookmarkStart w:id="242" w:name="_Toc296891203"/>
      <w:bookmarkStart w:id="243" w:name="_Toc296347162"/>
      <w:bookmarkStart w:id="244" w:name="_Toc296346664"/>
      <w:bookmarkStart w:id="245" w:name="_Toc292559367"/>
      <w:bookmarkStart w:id="246" w:name="_Toc297048349"/>
      <w:bookmarkStart w:id="247" w:name="_Toc297120463"/>
      <w:bookmarkStart w:id="248" w:name="_Toc296503163"/>
      <w:bookmarkStart w:id="249" w:name="_Toc292559872"/>
      <w:r>
        <w:rPr>
          <w:rFonts w:hint="eastAsia" w:ascii="楷体" w:hAnsi="楷体" w:eastAsia="楷体" w:cs="楷体"/>
          <w:color w:val="auto"/>
          <w:sz w:val="24"/>
        </w:rPr>
        <w:t>. 工程质量</w:t>
      </w:r>
      <w:bookmarkEnd w:id="239"/>
    </w:p>
    <w:p>
      <w:pPr>
        <w:spacing w:after="120" w:line="360" w:lineRule="auto"/>
        <w:ind w:firstLine="480" w:firstLineChars="200"/>
        <w:rPr>
          <w:rFonts w:hint="eastAsia" w:ascii="楷体" w:hAnsi="楷体" w:eastAsia="楷体" w:cs="楷体"/>
          <w:color w:val="auto"/>
          <w:sz w:val="24"/>
        </w:rPr>
      </w:pPr>
      <w:bookmarkStart w:id="250" w:name="_Toc4413"/>
      <w:bookmarkStart w:id="251" w:name="_Toc14117"/>
      <w:bookmarkStart w:id="252" w:name="_Toc1814"/>
      <w:bookmarkStart w:id="253" w:name="_Toc10006"/>
      <w:bookmarkStart w:id="254" w:name="_Toc5035"/>
      <w:bookmarkStart w:id="255" w:name="_Toc29618"/>
      <w:bookmarkStart w:id="256" w:name="_Toc8931"/>
      <w:bookmarkStart w:id="257" w:name="_Toc22323"/>
      <w:r>
        <w:rPr>
          <w:rFonts w:hint="eastAsia" w:ascii="楷体" w:hAnsi="楷体" w:eastAsia="楷体" w:cs="楷体"/>
          <w:color w:val="auto"/>
          <w:sz w:val="24"/>
        </w:rPr>
        <w:t>5.1 质量要求</w:t>
      </w:r>
      <w:bookmarkEnd w:id="250"/>
      <w:bookmarkEnd w:id="251"/>
      <w:bookmarkEnd w:id="252"/>
      <w:bookmarkEnd w:id="253"/>
      <w:bookmarkEnd w:id="254"/>
      <w:bookmarkEnd w:id="255"/>
      <w:bookmarkEnd w:id="256"/>
      <w:bookmarkEnd w:id="257"/>
    </w:p>
    <w:p>
      <w:pPr>
        <w:spacing w:after="120" w:line="360" w:lineRule="auto"/>
        <w:ind w:firstLine="480" w:firstLineChars="200"/>
        <w:rPr>
          <w:rFonts w:hint="eastAsia" w:ascii="楷体" w:hAnsi="楷体" w:eastAsia="楷体" w:cs="楷体"/>
          <w:color w:val="auto"/>
          <w:sz w:val="24"/>
        </w:rPr>
      </w:pPr>
      <w:bookmarkStart w:id="258" w:name="_Toc14397"/>
      <w:bookmarkStart w:id="259" w:name="_Toc29853"/>
      <w:bookmarkStart w:id="260" w:name="_Toc30264"/>
      <w:bookmarkStart w:id="261" w:name="_Toc25483"/>
      <w:bookmarkStart w:id="262" w:name="_Toc28746"/>
      <w:bookmarkStart w:id="263" w:name="_Toc4009"/>
      <w:bookmarkStart w:id="264" w:name="_Toc4347"/>
      <w:r>
        <w:rPr>
          <w:rFonts w:hint="eastAsia" w:ascii="楷体" w:hAnsi="楷体" w:eastAsia="楷体" w:cs="楷体"/>
          <w:color w:val="auto"/>
          <w:sz w:val="24"/>
        </w:rPr>
        <w:t>5</w:t>
      </w:r>
      <w:bookmarkStart w:id="265" w:name="_Toc303539106"/>
      <w:bookmarkStart w:id="266" w:name="_Toc304295527"/>
      <w:bookmarkStart w:id="267" w:name="_Toc297216155"/>
      <w:bookmarkStart w:id="268" w:name="_Toc318581164"/>
      <w:bookmarkStart w:id="269" w:name="_Toc312677997"/>
      <w:bookmarkStart w:id="270" w:name="_Toc297123496"/>
      <w:bookmarkStart w:id="271" w:name="_Toc300934949"/>
      <w:r>
        <w:rPr>
          <w:rFonts w:hint="eastAsia" w:ascii="楷体" w:hAnsi="楷体" w:eastAsia="楷体" w:cs="楷体"/>
          <w:color w:val="auto"/>
          <w:sz w:val="24"/>
        </w:rPr>
        <w:t>.1.1 特殊质量标准和要求：</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258"/>
      <w:bookmarkEnd w:id="259"/>
      <w:bookmarkEnd w:id="260"/>
      <w:bookmarkEnd w:id="261"/>
      <w:bookmarkEnd w:id="262"/>
      <w:bookmarkEnd w:id="263"/>
      <w:bookmarkEnd w:id="264"/>
    </w:p>
    <w:p>
      <w:pPr>
        <w:spacing w:after="120" w:line="360" w:lineRule="auto"/>
        <w:ind w:firstLine="480" w:firstLineChars="200"/>
        <w:rPr>
          <w:rFonts w:hint="eastAsia" w:ascii="楷体" w:hAnsi="楷体" w:eastAsia="楷体" w:cs="楷体"/>
          <w:color w:val="auto"/>
          <w:sz w:val="24"/>
        </w:rPr>
      </w:pPr>
      <w:bookmarkStart w:id="272" w:name="_Toc26479"/>
      <w:bookmarkStart w:id="273" w:name="_Toc6619"/>
      <w:bookmarkStart w:id="274" w:name="_Toc8848"/>
      <w:bookmarkStart w:id="275" w:name="_Toc6940"/>
      <w:bookmarkStart w:id="276" w:name="_Toc13893"/>
      <w:bookmarkStart w:id="277" w:name="_Toc27765"/>
      <w:bookmarkStart w:id="278" w:name="_Toc148"/>
      <w:r>
        <w:rPr>
          <w:rFonts w:hint="eastAsia" w:ascii="楷体" w:hAnsi="楷体" w:eastAsia="楷体" w:cs="楷体"/>
          <w:color w:val="auto"/>
          <w:sz w:val="24"/>
        </w:rPr>
        <w:t>关于工程奖项的约定：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272"/>
      <w:bookmarkEnd w:id="273"/>
      <w:bookmarkEnd w:id="274"/>
      <w:bookmarkEnd w:id="275"/>
      <w:bookmarkEnd w:id="276"/>
      <w:bookmarkEnd w:id="277"/>
      <w:bookmarkEnd w:id="278"/>
    </w:p>
    <w:p>
      <w:pPr>
        <w:spacing w:after="120" w:line="360" w:lineRule="auto"/>
        <w:ind w:firstLine="480" w:firstLineChars="200"/>
        <w:rPr>
          <w:rFonts w:hint="eastAsia" w:ascii="楷体" w:hAnsi="楷体" w:eastAsia="楷体" w:cs="楷体"/>
          <w:color w:val="auto"/>
          <w:sz w:val="24"/>
        </w:rPr>
      </w:pPr>
      <w:bookmarkStart w:id="279" w:name="_Toc7465"/>
      <w:bookmarkStart w:id="280" w:name="_Toc22055"/>
      <w:bookmarkStart w:id="281" w:name="_Toc8906"/>
      <w:bookmarkStart w:id="282" w:name="_Toc14862"/>
      <w:bookmarkStart w:id="283" w:name="_Toc32096"/>
      <w:bookmarkStart w:id="284" w:name="_Toc781"/>
      <w:bookmarkStart w:id="285" w:name="_Toc25976"/>
      <w:bookmarkStart w:id="286" w:name="_Toc23217"/>
      <w:r>
        <w:rPr>
          <w:rFonts w:hint="eastAsia" w:ascii="楷体" w:hAnsi="楷体" w:eastAsia="楷体" w:cs="楷体"/>
          <w:color w:val="auto"/>
          <w:sz w:val="24"/>
        </w:rPr>
        <w:t>5.3 隐蔽工程检查</w:t>
      </w:r>
      <w:bookmarkEnd w:id="279"/>
      <w:bookmarkEnd w:id="280"/>
      <w:bookmarkEnd w:id="281"/>
      <w:bookmarkEnd w:id="282"/>
      <w:bookmarkEnd w:id="283"/>
      <w:bookmarkEnd w:id="284"/>
      <w:bookmarkEnd w:id="285"/>
      <w:bookmarkEnd w:id="286"/>
    </w:p>
    <w:p>
      <w:pPr>
        <w:spacing w:after="120" w:line="360" w:lineRule="auto"/>
        <w:ind w:firstLine="480" w:firstLineChars="200"/>
        <w:rPr>
          <w:rFonts w:hint="eastAsia" w:ascii="楷体" w:hAnsi="楷体" w:eastAsia="楷体" w:cs="楷体"/>
          <w:color w:val="auto"/>
          <w:sz w:val="24"/>
        </w:rPr>
      </w:pPr>
      <w:bookmarkStart w:id="287" w:name="_Toc14391"/>
      <w:bookmarkStart w:id="288" w:name="_Toc25977"/>
      <w:bookmarkStart w:id="289" w:name="_Toc1061"/>
      <w:bookmarkStart w:id="290" w:name="_Toc30092"/>
      <w:bookmarkStart w:id="291" w:name="_Toc15678"/>
      <w:bookmarkStart w:id="292" w:name="_Toc22790"/>
      <w:bookmarkStart w:id="293" w:name="_Toc5993"/>
      <w:r>
        <w:rPr>
          <w:rFonts w:hint="eastAsia" w:ascii="楷体" w:hAnsi="楷体" w:eastAsia="楷体" w:cs="楷体"/>
          <w:color w:val="auto"/>
          <w:sz w:val="24"/>
        </w:rPr>
        <w:t>5.3.2承包人提前通知监理人隐蔽工程检查的期限的约定：</w:t>
      </w:r>
      <w:r>
        <w:rPr>
          <w:rFonts w:hint="eastAsia" w:ascii="楷体" w:hAnsi="楷体" w:eastAsia="楷体" w:cs="楷体"/>
          <w:color w:val="auto"/>
          <w:sz w:val="24"/>
          <w:u w:val="single"/>
        </w:rPr>
        <w:t xml:space="preserve"> 执行通用合同条款</w:t>
      </w:r>
      <w:bookmarkEnd w:id="287"/>
      <w:bookmarkEnd w:id="288"/>
      <w:bookmarkEnd w:id="289"/>
      <w:bookmarkEnd w:id="290"/>
      <w:bookmarkEnd w:id="291"/>
      <w:bookmarkEnd w:id="292"/>
      <w:bookmarkEnd w:id="293"/>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监理人不能按时进行检查时，应提前</w:t>
      </w:r>
      <w:r>
        <w:rPr>
          <w:rFonts w:hint="eastAsia" w:ascii="楷体" w:hAnsi="楷体" w:eastAsia="楷体" w:cs="楷体"/>
          <w:color w:val="auto"/>
          <w:sz w:val="24"/>
          <w:u w:val="single"/>
        </w:rPr>
        <w:t xml:space="preserve">  24   </w:t>
      </w:r>
      <w:r>
        <w:rPr>
          <w:rFonts w:hint="eastAsia" w:ascii="楷体" w:hAnsi="楷体" w:eastAsia="楷体" w:cs="楷体"/>
          <w:color w:val="auto"/>
          <w:sz w:val="24"/>
        </w:rPr>
        <w:t>小时提交书面延期要求。</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关于延期最长不得超过：</w:t>
      </w:r>
      <w:r>
        <w:rPr>
          <w:rFonts w:hint="eastAsia" w:ascii="楷体" w:hAnsi="楷体" w:eastAsia="楷体" w:cs="楷体"/>
          <w:color w:val="auto"/>
          <w:sz w:val="24"/>
          <w:u w:val="single"/>
        </w:rPr>
        <w:t xml:space="preserve">  48     </w:t>
      </w:r>
      <w:r>
        <w:rPr>
          <w:rFonts w:hint="eastAsia" w:ascii="楷体" w:hAnsi="楷体" w:eastAsia="楷体" w:cs="楷体"/>
          <w:color w:val="auto"/>
          <w:sz w:val="24"/>
        </w:rPr>
        <w:t>小时。</w:t>
      </w:r>
    </w:p>
    <w:p>
      <w:pPr>
        <w:numPr>
          <w:ilvl w:val="3"/>
          <w:numId w:val="0"/>
        </w:numPr>
        <w:spacing w:before="120" w:after="120" w:line="360" w:lineRule="auto"/>
        <w:rPr>
          <w:rFonts w:hint="eastAsia" w:ascii="楷体" w:hAnsi="楷体" w:eastAsia="楷体" w:cs="楷体"/>
          <w:color w:val="auto"/>
          <w:sz w:val="24"/>
        </w:rPr>
      </w:pPr>
      <w:bookmarkStart w:id="294" w:name="_Toc24529"/>
      <w:r>
        <w:rPr>
          <w:rFonts w:hint="eastAsia" w:ascii="楷体" w:hAnsi="楷体" w:eastAsia="楷体" w:cs="楷体"/>
          <w:color w:val="auto"/>
          <w:sz w:val="24"/>
        </w:rPr>
        <w:t>6. 安全文明施工与环境保护</w:t>
      </w:r>
      <w:bookmarkEnd w:id="294"/>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6.1安全文明施工</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6.1.1 项目安全生产的达标目标及相应事项的约定：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6.1.4 关于治安保卫的特别约定：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关于编制施工场地治安管理计划的约定：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6.1.5 文明施工</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合同当事人对文明施工的要求：</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6.1.6 关于安全文明施工费支付比例和支付期限的约定：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265"/>
    <w:bookmarkEnd w:id="266"/>
    <w:bookmarkEnd w:id="267"/>
    <w:bookmarkEnd w:id="268"/>
    <w:bookmarkEnd w:id="269"/>
    <w:bookmarkEnd w:id="270"/>
    <w:bookmarkEnd w:id="271"/>
    <w:p>
      <w:pPr>
        <w:numPr>
          <w:ilvl w:val="3"/>
          <w:numId w:val="0"/>
        </w:numPr>
        <w:spacing w:before="120" w:after="120" w:line="360" w:lineRule="auto"/>
        <w:rPr>
          <w:rFonts w:hint="eastAsia" w:ascii="楷体" w:hAnsi="楷体" w:eastAsia="楷体" w:cs="楷体"/>
          <w:color w:val="auto"/>
          <w:sz w:val="24"/>
        </w:rPr>
      </w:pPr>
      <w:bookmarkStart w:id="295" w:name="_Toc1765"/>
      <w:r>
        <w:rPr>
          <w:rFonts w:hint="eastAsia" w:ascii="楷体" w:hAnsi="楷体" w:eastAsia="楷体" w:cs="楷体"/>
          <w:color w:val="auto"/>
          <w:sz w:val="24"/>
        </w:rPr>
        <w:t>7. 工期和进度</w:t>
      </w:r>
      <w:bookmarkEnd w:id="295"/>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7.1 施工组织设计</w:t>
      </w:r>
    </w:p>
    <w:p>
      <w:pPr>
        <w:autoSpaceDE w:val="0"/>
        <w:autoSpaceDN w:val="0"/>
        <w:adjustRightInd w:val="0"/>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sz w:val="24"/>
        </w:rPr>
        <w:t>7.1.1 合</w:t>
      </w:r>
      <w:r>
        <w:rPr>
          <w:rFonts w:hint="eastAsia" w:ascii="楷体" w:hAnsi="楷体" w:eastAsia="楷体" w:cs="楷体"/>
          <w:color w:val="auto"/>
          <w:kern w:val="0"/>
          <w:sz w:val="24"/>
        </w:rPr>
        <w:t>同当事人约定的施工组织设计应包括的其他内容：</w:t>
      </w:r>
      <w:r>
        <w:rPr>
          <w:rFonts w:hint="eastAsia" w:ascii="楷体" w:hAnsi="楷体" w:eastAsia="楷体" w:cs="楷体"/>
          <w:color w:val="auto"/>
          <w:kern w:val="0"/>
          <w:sz w:val="24"/>
          <w:u w:val="single"/>
        </w:rPr>
        <w:t>绿色施工方案。</w:t>
      </w:r>
    </w:p>
    <w:p>
      <w:pPr>
        <w:autoSpaceDE w:val="0"/>
        <w:autoSpaceDN w:val="0"/>
        <w:adjustRightInd w:val="0"/>
        <w:spacing w:line="360" w:lineRule="auto"/>
        <w:jc w:val="left"/>
        <w:rPr>
          <w:rFonts w:hint="eastAsia" w:ascii="楷体" w:hAnsi="楷体" w:eastAsia="楷体" w:cs="楷体"/>
          <w:color w:val="auto"/>
          <w:kern w:val="0"/>
          <w:sz w:val="24"/>
        </w:rPr>
      </w:pP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sz w:val="24"/>
        </w:rPr>
        <w:t xml:space="preserve">7.1.2 </w:t>
      </w:r>
      <w:r>
        <w:rPr>
          <w:rFonts w:hint="eastAsia" w:ascii="楷体" w:hAnsi="楷体" w:eastAsia="楷体" w:cs="楷体"/>
          <w:color w:val="auto"/>
          <w:kern w:val="0"/>
          <w:sz w:val="24"/>
        </w:rPr>
        <w:t>施工组织设计的提交和修改</w:t>
      </w:r>
    </w:p>
    <w:p>
      <w:pPr>
        <w:autoSpaceDE w:val="0"/>
        <w:autoSpaceDN w:val="0"/>
        <w:adjustRightInd w:val="0"/>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kern w:val="0"/>
          <w:sz w:val="24"/>
        </w:rPr>
        <w:t>承包人提交详细施工组织设计的期限的约定：</w:t>
      </w:r>
      <w:r>
        <w:rPr>
          <w:rFonts w:hint="eastAsia" w:ascii="楷体" w:hAnsi="楷体" w:eastAsia="楷体" w:cs="楷体"/>
          <w:color w:val="auto"/>
          <w:sz w:val="24"/>
          <w:u w:val="single"/>
        </w:rPr>
        <w:t>合同签订后 14 天内。</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发包人和监理人在收到详细的施工组织设计后确认或提出修改意见的期限：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w:t>
      </w:r>
      <w:bookmarkStart w:id="296" w:name="_Toc300934966"/>
      <w:bookmarkStart w:id="297" w:name="_Toc304295541"/>
      <w:bookmarkStart w:id="298" w:name="_Toc297216173"/>
      <w:bookmarkStart w:id="299" w:name="_Toc303539123"/>
      <w:bookmarkStart w:id="300" w:name="_Toc312678005"/>
      <w:bookmarkStart w:id="301" w:name="_Toc297123514"/>
      <w:bookmarkStart w:id="302" w:name="_Toc312677479"/>
      <w:r>
        <w:rPr>
          <w:rFonts w:hint="eastAsia" w:ascii="楷体" w:hAnsi="楷体" w:eastAsia="楷体" w:cs="楷体"/>
          <w:color w:val="auto"/>
          <w:sz w:val="24"/>
        </w:rPr>
        <w:t>.2 施工进度计划</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7.2.2 施工进度计划的修订</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发包人和监理人在收到修订的施工进度计划后确认或提出修改意见的期限：</w:t>
      </w:r>
      <w:r>
        <w:rPr>
          <w:rFonts w:hint="eastAsia" w:ascii="楷体" w:hAnsi="楷体" w:eastAsia="楷体" w:cs="楷体"/>
          <w:color w:val="auto"/>
          <w:sz w:val="24"/>
          <w:u w:val="single"/>
        </w:rPr>
        <w:t xml:space="preserve"> 7天内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7.3 开工</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7.3.1 开工准备</w:t>
      </w:r>
    </w:p>
    <w:p>
      <w:pPr>
        <w:spacing w:line="360" w:lineRule="auto"/>
        <w:ind w:firstLine="645"/>
        <w:jc w:val="left"/>
        <w:rPr>
          <w:rFonts w:hint="eastAsia" w:ascii="楷体" w:hAnsi="楷体" w:eastAsia="楷体" w:cs="楷体"/>
          <w:color w:val="auto"/>
          <w:sz w:val="24"/>
          <w:u w:val="single"/>
        </w:rPr>
      </w:pPr>
      <w:r>
        <w:rPr>
          <w:rFonts w:hint="eastAsia" w:ascii="楷体" w:hAnsi="楷体" w:eastAsia="楷体" w:cs="楷体"/>
          <w:color w:val="auto"/>
          <w:sz w:val="24"/>
        </w:rPr>
        <w:t>关于承包人提交</w:t>
      </w:r>
      <w:r>
        <w:rPr>
          <w:rFonts w:hint="eastAsia" w:ascii="楷体" w:hAnsi="楷体" w:eastAsia="楷体" w:cs="楷体"/>
          <w:color w:val="auto"/>
          <w:kern w:val="0"/>
          <w:sz w:val="24"/>
        </w:rPr>
        <w:t>工程开工报审表的期限：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645"/>
        <w:jc w:val="left"/>
        <w:rPr>
          <w:rFonts w:hint="eastAsia" w:ascii="楷体" w:hAnsi="楷体" w:eastAsia="楷体" w:cs="楷体"/>
          <w:color w:val="auto"/>
          <w:sz w:val="24"/>
        </w:rPr>
      </w:pPr>
      <w:r>
        <w:rPr>
          <w:rFonts w:hint="eastAsia" w:ascii="楷体" w:hAnsi="楷体" w:eastAsia="楷体" w:cs="楷体"/>
          <w:color w:val="auto"/>
          <w:sz w:val="24"/>
        </w:rPr>
        <w:t>关于发包人应完成的其他开工准备工作及期限：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关于承包人应完成的其他开工准备工作及期限：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7.3.2开工通知</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因发包人原因造成监理人未能在计划开工日期之日起</w:t>
      </w:r>
      <w:r>
        <w:rPr>
          <w:rFonts w:hint="eastAsia" w:ascii="楷体" w:hAnsi="楷体" w:eastAsia="楷体" w:cs="楷体"/>
          <w:color w:val="auto"/>
          <w:sz w:val="24"/>
          <w:u w:val="single"/>
        </w:rPr>
        <w:t xml:space="preserve"> 90    </w:t>
      </w:r>
      <w:r>
        <w:rPr>
          <w:rFonts w:hint="eastAsia" w:ascii="楷体" w:hAnsi="楷体" w:eastAsia="楷体" w:cs="楷体"/>
          <w:color w:val="auto"/>
          <w:sz w:val="24"/>
        </w:rPr>
        <w:t>天内发出开工通知的，承包人有权提出价格调整要求，或者解除合同。</w:t>
      </w:r>
    </w:p>
    <w:bookmarkEnd w:id="296"/>
    <w:bookmarkEnd w:id="297"/>
    <w:bookmarkEnd w:id="298"/>
    <w:bookmarkEnd w:id="299"/>
    <w:bookmarkEnd w:id="300"/>
    <w:bookmarkEnd w:id="301"/>
    <w:bookmarkEnd w:id="30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7.4 测量放线</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7.4.1发包人通过监理人向承包人提供测量基准点、基准线和水准点及其书面资料的期限：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w:t>
      </w:r>
      <w:bookmarkStart w:id="303" w:name="_Toc303539125"/>
      <w:bookmarkStart w:id="304" w:name="_Toc297123516"/>
      <w:bookmarkStart w:id="305" w:name="_Toc304295546"/>
      <w:bookmarkStart w:id="306" w:name="_Toc312678010"/>
      <w:bookmarkStart w:id="307" w:name="_Toc312677484"/>
      <w:bookmarkStart w:id="308" w:name="_Toc300934968"/>
      <w:bookmarkStart w:id="309" w:name="_Toc297216175"/>
      <w:r>
        <w:rPr>
          <w:rFonts w:hint="eastAsia" w:ascii="楷体" w:hAnsi="楷体" w:eastAsia="楷体" w:cs="楷体"/>
          <w:color w:val="auto"/>
          <w:sz w:val="24"/>
        </w:rPr>
        <w:t>.5 工期延误</w:t>
      </w:r>
    </w:p>
    <w:bookmarkEnd w:id="303"/>
    <w:bookmarkEnd w:id="304"/>
    <w:bookmarkEnd w:id="305"/>
    <w:bookmarkEnd w:id="306"/>
    <w:bookmarkEnd w:id="307"/>
    <w:bookmarkEnd w:id="308"/>
    <w:bookmarkEnd w:id="309"/>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7.5.1 因发包人原因导致工期延误</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（7）因发包人原因导致工期延误的其他情形：</w:t>
      </w:r>
      <w:r>
        <w:rPr>
          <w:rFonts w:hint="eastAsia" w:ascii="楷体" w:hAnsi="楷体" w:eastAsia="楷体" w:cs="楷体"/>
          <w:color w:val="auto"/>
          <w:sz w:val="24"/>
          <w:u w:val="single"/>
        </w:rPr>
        <w:t xml:space="preserve"> 1）重大设计变更而影响施工 进度关键线路的；2）不可抗力，此延误工期须在发生后 7 天内办理延期申请，逾期不予认可</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w:t>
      </w:r>
      <w:bookmarkStart w:id="310" w:name="_Toc312677486"/>
      <w:bookmarkStart w:id="311" w:name="_Toc318581169"/>
      <w:bookmarkStart w:id="312" w:name="_Toc312678012"/>
      <w:bookmarkStart w:id="313" w:name="_Toc297216177"/>
      <w:bookmarkStart w:id="314" w:name="_Toc297123518"/>
      <w:bookmarkStart w:id="315" w:name="_Toc303539127"/>
      <w:bookmarkStart w:id="316" w:name="_Toc300934970"/>
      <w:bookmarkStart w:id="317" w:name="_Toc304295548"/>
      <w:r>
        <w:rPr>
          <w:rFonts w:hint="eastAsia" w:ascii="楷体" w:hAnsi="楷体" w:eastAsia="楷体" w:cs="楷体"/>
          <w:color w:val="auto"/>
          <w:sz w:val="24"/>
        </w:rPr>
        <w:t>.5.2 因承包人原因导致工期延误</w:t>
      </w:r>
    </w:p>
    <w:bookmarkEnd w:id="310"/>
    <w:bookmarkEnd w:id="311"/>
    <w:bookmarkEnd w:id="312"/>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因</w:t>
      </w:r>
      <w:bookmarkStart w:id="318" w:name="_Toc312678013"/>
      <w:bookmarkStart w:id="319" w:name="_Toc312677487"/>
      <w:bookmarkStart w:id="320" w:name="_Toc318581170"/>
      <w:r>
        <w:rPr>
          <w:rFonts w:hint="eastAsia" w:ascii="楷体" w:hAnsi="楷体" w:eastAsia="楷体" w:cs="楷体"/>
          <w:color w:val="auto"/>
          <w:sz w:val="24"/>
        </w:rPr>
        <w:t>承包人原因造成工期延误，逾期竣工违约金的计算方法为：</w:t>
      </w:r>
      <w:r>
        <w:rPr>
          <w:rFonts w:hint="eastAsia" w:ascii="楷体" w:hAnsi="楷体" w:eastAsia="楷体" w:cs="楷体"/>
          <w:color w:val="auto"/>
          <w:sz w:val="24"/>
          <w:u w:val="single"/>
        </w:rPr>
        <w:t xml:space="preserve">逾期按 2000元/天支付违约金           </w:t>
      </w:r>
      <w:r>
        <w:rPr>
          <w:rFonts w:hint="eastAsia" w:ascii="楷体" w:hAnsi="楷体" w:eastAsia="楷体" w:cs="楷体"/>
          <w:color w:val="auto"/>
          <w:sz w:val="24"/>
        </w:rPr>
        <w:t>。</w:t>
      </w:r>
      <w:bookmarkEnd w:id="313"/>
      <w:bookmarkEnd w:id="314"/>
      <w:bookmarkEnd w:id="315"/>
      <w:bookmarkEnd w:id="316"/>
      <w:bookmarkEnd w:id="317"/>
      <w:bookmarkEnd w:id="318"/>
      <w:bookmarkEnd w:id="319"/>
    </w:p>
    <w:bookmarkEnd w:id="320"/>
    <w:p>
      <w:pPr>
        <w:widowControl/>
        <w:jc w:val="left"/>
        <w:rPr>
          <w:rFonts w:hint="eastAsia" w:ascii="楷体" w:hAnsi="楷体" w:eastAsia="楷体" w:cs="楷体"/>
          <w:color w:val="auto"/>
          <w:sz w:val="24"/>
          <w:u w:val="single"/>
        </w:rPr>
      </w:pPr>
      <w:r>
        <w:rPr>
          <w:rFonts w:hint="eastAsia" w:ascii="楷体" w:hAnsi="楷体" w:eastAsia="楷体" w:cs="楷体"/>
          <w:color w:val="auto"/>
          <w:sz w:val="24"/>
        </w:rPr>
        <w:t>因承包人原因造成工期延误，逾</w:t>
      </w:r>
      <w:bookmarkStart w:id="321" w:name="_Toc312678014"/>
      <w:bookmarkStart w:id="322" w:name="_Toc318581171"/>
      <w:r>
        <w:rPr>
          <w:rFonts w:hint="eastAsia" w:ascii="楷体" w:hAnsi="楷体" w:eastAsia="楷体" w:cs="楷体"/>
          <w:color w:val="auto"/>
          <w:sz w:val="24"/>
        </w:rPr>
        <w:t>期竣工违约金的上限：</w:t>
      </w:r>
      <w:r>
        <w:rPr>
          <w:rFonts w:hint="eastAsia" w:ascii="楷体" w:hAnsi="楷体" w:eastAsia="楷体" w:cs="楷体"/>
          <w:color w:val="auto"/>
          <w:sz w:val="24"/>
          <w:u w:val="single"/>
        </w:rPr>
        <w:t>合同总金额的1%</w:t>
      </w:r>
    </w:p>
    <w:bookmarkEnd w:id="321"/>
    <w:bookmarkEnd w:id="32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w:t>
      </w:r>
      <w:bookmarkStart w:id="323" w:name="_Toc297216178"/>
      <w:bookmarkStart w:id="324" w:name="_Toc312678015"/>
      <w:bookmarkStart w:id="325" w:name="_Toc304295549"/>
      <w:bookmarkStart w:id="326" w:name="_Toc303539128"/>
      <w:bookmarkStart w:id="327" w:name="_Toc300934971"/>
      <w:bookmarkStart w:id="328" w:name="_Toc297123519"/>
      <w:r>
        <w:rPr>
          <w:rFonts w:hint="eastAsia" w:ascii="楷体" w:hAnsi="楷体" w:eastAsia="楷体" w:cs="楷体"/>
          <w:color w:val="auto"/>
          <w:sz w:val="24"/>
        </w:rPr>
        <w:t>.6 不</w:t>
      </w:r>
      <w:bookmarkEnd w:id="323"/>
      <w:bookmarkEnd w:id="324"/>
      <w:bookmarkEnd w:id="325"/>
      <w:bookmarkEnd w:id="326"/>
      <w:bookmarkEnd w:id="327"/>
      <w:bookmarkEnd w:id="328"/>
      <w:r>
        <w:rPr>
          <w:rFonts w:hint="eastAsia" w:ascii="楷体" w:hAnsi="楷体" w:eastAsia="楷体" w:cs="楷体"/>
          <w:color w:val="auto"/>
          <w:sz w:val="24"/>
        </w:rPr>
        <w:t>利物质条件</w:t>
      </w:r>
    </w:p>
    <w:p>
      <w:pPr>
        <w:spacing w:line="360" w:lineRule="auto"/>
        <w:ind w:firstLine="480" w:firstLineChars="200"/>
        <w:jc w:val="left"/>
        <w:rPr>
          <w:rFonts w:hint="eastAsia" w:ascii="楷体" w:hAnsi="楷体" w:eastAsia="楷体" w:cs="楷体"/>
          <w:color w:val="auto"/>
          <w:sz w:val="24"/>
          <w:u w:val="single"/>
        </w:rPr>
      </w:pPr>
      <w:bookmarkStart w:id="329" w:name="_Toc304295550"/>
      <w:bookmarkStart w:id="330" w:name="_Toc300934972"/>
      <w:bookmarkStart w:id="331" w:name="_Toc297216179"/>
      <w:bookmarkStart w:id="332" w:name="_Toc318581172"/>
      <w:bookmarkStart w:id="333" w:name="_Toc297123520"/>
      <w:bookmarkStart w:id="334" w:name="_Toc303539129"/>
      <w:bookmarkStart w:id="335" w:name="_Toc312678016"/>
      <w:r>
        <w:rPr>
          <w:rFonts w:hint="eastAsia" w:ascii="楷体" w:hAnsi="楷体" w:eastAsia="楷体" w:cs="楷体"/>
          <w:color w:val="auto"/>
          <w:sz w:val="24"/>
        </w:rPr>
        <w:t>不利物质条件的其他情形和有关约定：</w:t>
      </w:r>
      <w:r>
        <w:rPr>
          <w:rFonts w:hint="eastAsia" w:ascii="楷体" w:hAnsi="楷体" w:eastAsia="楷体" w:cs="楷体"/>
          <w:color w:val="auto"/>
          <w:sz w:val="24"/>
          <w:u w:val="single"/>
        </w:rPr>
        <w:t xml:space="preserve"> 由承包人提出，发包人确认。</w:t>
      </w:r>
    </w:p>
    <w:bookmarkEnd w:id="329"/>
    <w:bookmarkEnd w:id="330"/>
    <w:bookmarkEnd w:id="331"/>
    <w:bookmarkEnd w:id="332"/>
    <w:bookmarkEnd w:id="333"/>
    <w:bookmarkEnd w:id="334"/>
    <w:bookmarkEnd w:id="335"/>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7</w:t>
      </w:r>
      <w:bookmarkStart w:id="336" w:name="_Toc300934973"/>
      <w:bookmarkStart w:id="337" w:name="_Toc297216180"/>
      <w:bookmarkStart w:id="338" w:name="_Toc297123521"/>
      <w:bookmarkStart w:id="339" w:name="_Toc303539130"/>
      <w:bookmarkStart w:id="340" w:name="_Toc304295551"/>
      <w:bookmarkStart w:id="341" w:name="_Toc312678017"/>
      <w:r>
        <w:rPr>
          <w:rFonts w:hint="eastAsia" w:ascii="楷体" w:hAnsi="楷体" w:eastAsia="楷体" w:cs="楷体"/>
          <w:color w:val="auto"/>
          <w:sz w:val="24"/>
        </w:rPr>
        <w:t>.7异常恶劣的气候条件</w:t>
      </w:r>
    </w:p>
    <w:bookmarkEnd w:id="336"/>
    <w:bookmarkEnd w:id="337"/>
    <w:bookmarkEnd w:id="338"/>
    <w:bookmarkEnd w:id="339"/>
    <w:bookmarkEnd w:id="340"/>
    <w:bookmarkEnd w:id="341"/>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发包人和承包人同意以下情形视为异常恶劣的气候条件：</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w:t>
      </w:r>
      <w:r>
        <w:rPr>
          <w:rFonts w:hint="eastAsia" w:ascii="楷体" w:hAnsi="楷体" w:eastAsia="楷体" w:cs="楷体"/>
          <w:color w:val="auto"/>
          <w:sz w:val="24"/>
          <w:u w:val="single"/>
        </w:rPr>
        <w:t xml:space="preserve">5 级以上大风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w:t>
      </w:r>
      <w:r>
        <w:rPr>
          <w:rFonts w:hint="eastAsia" w:ascii="楷体" w:hAnsi="楷体" w:eastAsia="楷体" w:cs="楷体"/>
          <w:color w:val="auto"/>
          <w:sz w:val="24"/>
          <w:u w:val="single"/>
        </w:rPr>
        <w:t xml:space="preserve">24 小时内降雨量将达 50 毫米以上，或者已达 50毫米以上且降雨可能持续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w:t>
      </w:r>
      <w:r>
        <w:rPr>
          <w:rFonts w:hint="eastAsia" w:ascii="楷体" w:hAnsi="楷体" w:eastAsia="楷体" w:cs="楷体"/>
          <w:color w:val="auto"/>
          <w:sz w:val="24"/>
          <w:u w:val="single"/>
        </w:rPr>
        <w:t xml:space="preserve">       雾霾红色预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342" w:name="_Toc20311"/>
      <w:bookmarkStart w:id="343" w:name="_Toc2827"/>
      <w:bookmarkStart w:id="344" w:name="_Toc28132"/>
      <w:bookmarkStart w:id="345" w:name="_Toc15423"/>
      <w:bookmarkStart w:id="346" w:name="_Toc13441"/>
      <w:bookmarkStart w:id="347" w:name="_Toc27165"/>
      <w:bookmarkStart w:id="348" w:name="_Toc25466"/>
      <w:r>
        <w:rPr>
          <w:rFonts w:hint="eastAsia" w:ascii="楷体" w:hAnsi="楷体" w:eastAsia="楷体" w:cs="楷体"/>
          <w:color w:val="auto"/>
          <w:sz w:val="24"/>
        </w:rPr>
        <w:t>7.9 提前竣工的奖励</w:t>
      </w:r>
      <w:bookmarkEnd w:id="342"/>
      <w:bookmarkEnd w:id="343"/>
      <w:bookmarkEnd w:id="344"/>
      <w:bookmarkEnd w:id="345"/>
      <w:bookmarkEnd w:id="346"/>
      <w:bookmarkEnd w:id="347"/>
      <w:bookmarkEnd w:id="348"/>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7.9.2提前竣工的奖励：</w:t>
      </w:r>
      <w:r>
        <w:rPr>
          <w:rFonts w:hint="eastAsia" w:ascii="楷体" w:hAnsi="楷体" w:eastAsia="楷体" w:cs="楷体"/>
          <w:color w:val="auto"/>
          <w:sz w:val="24"/>
          <w:u w:val="single"/>
        </w:rPr>
        <w:t xml:space="preserve">        无                        </w:t>
      </w:r>
      <w:r>
        <w:rPr>
          <w:rFonts w:hint="eastAsia" w:ascii="楷体" w:hAnsi="楷体" w:eastAsia="楷体" w:cs="楷体"/>
          <w:color w:val="auto"/>
          <w:sz w:val="24"/>
        </w:rPr>
        <w:t>。</w:t>
      </w:r>
    </w:p>
    <w:p>
      <w:pPr>
        <w:numPr>
          <w:ilvl w:val="3"/>
          <w:numId w:val="0"/>
        </w:numPr>
        <w:spacing w:before="120" w:after="120" w:line="360" w:lineRule="auto"/>
        <w:rPr>
          <w:rFonts w:hint="eastAsia" w:ascii="楷体" w:hAnsi="楷体" w:eastAsia="楷体" w:cs="楷体"/>
          <w:color w:val="auto"/>
          <w:sz w:val="24"/>
        </w:rPr>
      </w:pPr>
      <w:bookmarkStart w:id="349" w:name="_Toc13865"/>
      <w:r>
        <w:rPr>
          <w:rFonts w:hint="eastAsia" w:ascii="楷体" w:hAnsi="楷体" w:eastAsia="楷体" w:cs="楷体"/>
          <w:color w:val="auto"/>
          <w:sz w:val="24"/>
        </w:rPr>
        <w:t>8. 材料与设备</w:t>
      </w:r>
      <w:bookmarkEnd w:id="349"/>
    </w:p>
    <w:bookmarkEnd w:id="240"/>
    <w:bookmarkEnd w:id="241"/>
    <w:bookmarkEnd w:id="242"/>
    <w:bookmarkEnd w:id="243"/>
    <w:bookmarkEnd w:id="244"/>
    <w:bookmarkEnd w:id="245"/>
    <w:bookmarkEnd w:id="246"/>
    <w:bookmarkEnd w:id="247"/>
    <w:bookmarkEnd w:id="248"/>
    <w:bookmarkEnd w:id="249"/>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8</w:t>
      </w:r>
      <w:bookmarkStart w:id="350" w:name="_Toc296347166"/>
      <w:bookmarkStart w:id="351" w:name="_Toc312678019"/>
      <w:bookmarkStart w:id="352" w:name="_Toc303539136"/>
      <w:bookmarkStart w:id="353" w:name="_Toc296944506"/>
      <w:bookmarkStart w:id="354" w:name="_Toc296503167"/>
      <w:bookmarkStart w:id="355" w:name="_Toc300934979"/>
      <w:bookmarkStart w:id="356" w:name="_Toc297123527"/>
      <w:bookmarkStart w:id="357" w:name="_Toc292559372"/>
      <w:bookmarkStart w:id="358" w:name="_Toc297216186"/>
      <w:bookmarkStart w:id="359" w:name="_Toc296346668"/>
      <w:bookmarkStart w:id="360" w:name="_Toc296890995"/>
      <w:bookmarkStart w:id="361" w:name="_Toc296891207"/>
      <w:bookmarkStart w:id="362" w:name="_Toc297120467"/>
      <w:bookmarkStart w:id="363" w:name="_Toc297048353"/>
      <w:bookmarkStart w:id="364" w:name="_Toc304295556"/>
      <w:bookmarkStart w:id="365" w:name="_Toc312677493"/>
      <w:bookmarkStart w:id="366" w:name="_Toc292559877"/>
      <w:bookmarkStart w:id="367" w:name="_Toc280868654"/>
      <w:bookmarkStart w:id="368" w:name="_Toc280868656"/>
      <w:bookmarkStart w:id="369" w:name="_Toc280868655"/>
      <w:bookmarkStart w:id="370" w:name="_Toc267251424"/>
      <w:r>
        <w:rPr>
          <w:rFonts w:hint="eastAsia" w:ascii="楷体" w:hAnsi="楷体" w:eastAsia="楷体" w:cs="楷体"/>
          <w:color w:val="auto"/>
          <w:sz w:val="24"/>
        </w:rPr>
        <w:t>.4材料与工程设备的保管与使用</w:t>
      </w:r>
    </w:p>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8</w:t>
      </w:r>
      <w:bookmarkStart w:id="371" w:name="_Toc292559373"/>
      <w:bookmarkStart w:id="372" w:name="_Toc292559878"/>
      <w:bookmarkStart w:id="373" w:name="_Toc318581173"/>
      <w:bookmarkStart w:id="374" w:name="_Toc296891208"/>
      <w:bookmarkStart w:id="375" w:name="_Toc300934980"/>
      <w:bookmarkStart w:id="376" w:name="_Toc296503168"/>
      <w:bookmarkStart w:id="377" w:name="_Toc297216187"/>
      <w:bookmarkStart w:id="378" w:name="_Toc304295557"/>
      <w:bookmarkStart w:id="379" w:name="_Toc312678020"/>
      <w:bookmarkStart w:id="380" w:name="_Toc303539137"/>
      <w:bookmarkStart w:id="381" w:name="_Toc297048354"/>
      <w:bookmarkStart w:id="382" w:name="_Toc297120468"/>
      <w:bookmarkStart w:id="383" w:name="_Toc296346669"/>
      <w:bookmarkStart w:id="384" w:name="_Toc296944507"/>
      <w:bookmarkStart w:id="385" w:name="_Toc296890996"/>
      <w:bookmarkStart w:id="386" w:name="_Toc312677494"/>
      <w:bookmarkStart w:id="387" w:name="_Toc296347167"/>
      <w:bookmarkStart w:id="388" w:name="_Toc297123528"/>
      <w:r>
        <w:rPr>
          <w:rFonts w:hint="eastAsia" w:ascii="楷体" w:hAnsi="楷体" w:eastAsia="楷体" w:cs="楷体"/>
          <w:color w:val="auto"/>
          <w:sz w:val="24"/>
        </w:rPr>
        <w:t>.4.1发包人供应的材料设备的保管费用的承担：</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bookmarkEnd w:id="371"/>
      <w:bookmarkEnd w:id="372"/>
    </w:p>
    <w:p>
      <w:pPr>
        <w:spacing w:after="120" w:line="360" w:lineRule="auto"/>
        <w:ind w:firstLine="480" w:firstLineChars="200"/>
        <w:rPr>
          <w:rFonts w:hint="eastAsia" w:ascii="楷体" w:hAnsi="楷体" w:eastAsia="楷体" w:cs="楷体"/>
          <w:color w:val="auto"/>
          <w:sz w:val="24"/>
        </w:rPr>
      </w:pPr>
      <w:bookmarkStart w:id="389" w:name="_Toc17967"/>
      <w:bookmarkStart w:id="390" w:name="_Toc29661"/>
      <w:bookmarkStart w:id="391" w:name="_Toc2931"/>
      <w:bookmarkStart w:id="392" w:name="_Toc15135"/>
      <w:bookmarkStart w:id="393" w:name="_Toc20245"/>
      <w:bookmarkStart w:id="394" w:name="_Toc3216"/>
      <w:bookmarkStart w:id="395" w:name="_Toc10548"/>
      <w:bookmarkStart w:id="396" w:name="_Toc24768"/>
      <w:r>
        <w:rPr>
          <w:rFonts w:hint="eastAsia" w:ascii="楷体" w:hAnsi="楷体" w:eastAsia="楷体" w:cs="楷体"/>
          <w:color w:val="auto"/>
          <w:sz w:val="24"/>
        </w:rPr>
        <w:t>8.6 样品</w:t>
      </w:r>
      <w:bookmarkEnd w:id="389"/>
      <w:bookmarkEnd w:id="390"/>
      <w:bookmarkEnd w:id="391"/>
      <w:bookmarkEnd w:id="392"/>
      <w:bookmarkEnd w:id="393"/>
      <w:bookmarkEnd w:id="394"/>
      <w:bookmarkEnd w:id="395"/>
      <w:bookmarkEnd w:id="396"/>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8.6.1   样品的报送与封存</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需要承包人报送样品的材料或工程设备，样品的种类、名称、规格、数量要求：</w:t>
      </w:r>
    </w:p>
    <w:p>
      <w:pPr>
        <w:autoSpaceDE w:val="0"/>
        <w:autoSpaceDN w:val="0"/>
        <w:adjustRightInd w:val="0"/>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397" w:name="_Toc9578"/>
      <w:bookmarkStart w:id="398" w:name="_Toc5863"/>
      <w:bookmarkStart w:id="399" w:name="_Toc1472"/>
      <w:bookmarkStart w:id="400" w:name="_Toc13854"/>
      <w:bookmarkStart w:id="401" w:name="_Toc12594"/>
      <w:bookmarkStart w:id="402" w:name="_Toc3163"/>
      <w:bookmarkStart w:id="403" w:name="_Toc17175"/>
      <w:bookmarkStart w:id="404" w:name="_Toc15173"/>
      <w:r>
        <w:rPr>
          <w:rFonts w:hint="eastAsia" w:ascii="楷体" w:hAnsi="楷体" w:eastAsia="楷体" w:cs="楷体"/>
          <w:color w:val="auto"/>
          <w:sz w:val="24"/>
        </w:rPr>
        <w:t>8.8 施工设备和临时设施</w:t>
      </w:r>
      <w:bookmarkEnd w:id="397"/>
      <w:bookmarkEnd w:id="398"/>
      <w:bookmarkEnd w:id="399"/>
      <w:bookmarkEnd w:id="400"/>
      <w:bookmarkEnd w:id="401"/>
      <w:bookmarkEnd w:id="402"/>
      <w:bookmarkEnd w:id="403"/>
      <w:bookmarkEnd w:id="404"/>
    </w:p>
    <w:p>
      <w:pPr>
        <w:autoSpaceDE w:val="0"/>
        <w:autoSpaceDN w:val="0"/>
        <w:adjustRightInd w:val="0"/>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8.8.1 承包人提供的施工设备和临时设施</w:t>
      </w:r>
    </w:p>
    <w:p>
      <w:pPr>
        <w:autoSpaceDE w:val="0"/>
        <w:autoSpaceDN w:val="0"/>
        <w:adjustRightInd w:val="0"/>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关于修建临时设施费用承担的约定：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Pr>
        <w:numPr>
          <w:ilvl w:val="3"/>
          <w:numId w:val="0"/>
        </w:numPr>
        <w:spacing w:before="120" w:after="120" w:line="360" w:lineRule="auto"/>
        <w:rPr>
          <w:rFonts w:hint="eastAsia" w:ascii="楷体" w:hAnsi="楷体" w:eastAsia="楷体" w:cs="楷体"/>
          <w:color w:val="auto"/>
          <w:sz w:val="24"/>
        </w:rPr>
      </w:pPr>
      <w:bookmarkStart w:id="405" w:name="_Toc18558"/>
      <w:r>
        <w:rPr>
          <w:rFonts w:hint="eastAsia" w:ascii="楷体" w:hAnsi="楷体" w:eastAsia="楷体" w:cs="楷体"/>
          <w:color w:val="auto"/>
          <w:sz w:val="24"/>
        </w:rPr>
        <w:t>9</w:t>
      </w:r>
      <w:bookmarkEnd w:id="368"/>
      <w:bookmarkEnd w:id="369"/>
      <w:bookmarkEnd w:id="370"/>
      <w:bookmarkStart w:id="406" w:name="_Toc303539139"/>
      <w:bookmarkStart w:id="407" w:name="_Toc300934982"/>
      <w:bookmarkStart w:id="408" w:name="_Toc304295559"/>
      <w:bookmarkStart w:id="409" w:name="_Toc312677495"/>
      <w:bookmarkStart w:id="410" w:name="_Toc297216192"/>
      <w:bookmarkStart w:id="411" w:name="_Toc312678021"/>
      <w:bookmarkStart w:id="412" w:name="_Toc297123533"/>
      <w:bookmarkStart w:id="413" w:name="_Toc267251428"/>
      <w:bookmarkStart w:id="414" w:name="_Toc292559883"/>
      <w:bookmarkStart w:id="415" w:name="_Toc297048359"/>
      <w:bookmarkStart w:id="416" w:name="_Toc267251427"/>
      <w:bookmarkStart w:id="417" w:name="_Toc296346674"/>
      <w:bookmarkStart w:id="418" w:name="_Toc296503173"/>
      <w:bookmarkStart w:id="419" w:name="_Toc296891213"/>
      <w:bookmarkStart w:id="420" w:name="_Toc297120473"/>
      <w:bookmarkStart w:id="421" w:name="_Toc296891001"/>
      <w:bookmarkStart w:id="422" w:name="_Toc296944512"/>
      <w:bookmarkStart w:id="423" w:name="_Toc292559378"/>
      <w:bookmarkStart w:id="424" w:name="_Toc296347172"/>
      <w:r>
        <w:rPr>
          <w:rFonts w:hint="eastAsia" w:ascii="楷体" w:hAnsi="楷体" w:eastAsia="楷体" w:cs="楷体"/>
          <w:color w:val="auto"/>
          <w:sz w:val="24"/>
        </w:rPr>
        <w:t>. 试验与检验</w:t>
      </w:r>
      <w:bookmarkEnd w:id="405"/>
    </w:p>
    <w:bookmarkEnd w:id="406"/>
    <w:bookmarkEnd w:id="407"/>
    <w:bookmarkEnd w:id="408"/>
    <w:bookmarkEnd w:id="409"/>
    <w:bookmarkEnd w:id="410"/>
    <w:bookmarkEnd w:id="411"/>
    <w:bookmarkEnd w:id="41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9</w:t>
      </w:r>
      <w:bookmarkStart w:id="425" w:name="_Toc304295560"/>
      <w:bookmarkStart w:id="426" w:name="_Toc312678022"/>
      <w:bookmarkStart w:id="427" w:name="_Toc300934983"/>
      <w:bookmarkStart w:id="428" w:name="_Toc297216193"/>
      <w:bookmarkStart w:id="429" w:name="_Toc297123534"/>
      <w:bookmarkStart w:id="430" w:name="_Toc303539140"/>
      <w:bookmarkStart w:id="431" w:name="_Toc312677496"/>
      <w:r>
        <w:rPr>
          <w:rFonts w:hint="eastAsia" w:ascii="楷体" w:hAnsi="楷体" w:eastAsia="楷体" w:cs="楷体"/>
          <w:color w:val="auto"/>
          <w:sz w:val="24"/>
        </w:rPr>
        <w:t>.1试验设备与试验人员</w:t>
      </w:r>
    </w:p>
    <w:bookmarkEnd w:id="425"/>
    <w:bookmarkEnd w:id="426"/>
    <w:bookmarkEnd w:id="427"/>
    <w:bookmarkEnd w:id="428"/>
    <w:bookmarkEnd w:id="429"/>
    <w:bookmarkEnd w:id="430"/>
    <w:bookmarkEnd w:id="431"/>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9</w:t>
      </w:r>
      <w:bookmarkStart w:id="432" w:name="_Toc303539141"/>
      <w:bookmarkStart w:id="433" w:name="_Toc297123535"/>
      <w:bookmarkStart w:id="434" w:name="_Toc297216194"/>
      <w:bookmarkStart w:id="435" w:name="_Toc312678023"/>
      <w:bookmarkStart w:id="436" w:name="_Toc304295561"/>
      <w:bookmarkStart w:id="437" w:name="_Toc300934984"/>
      <w:bookmarkStart w:id="438" w:name="_Toc312677497"/>
      <w:bookmarkStart w:id="439" w:name="_Toc318581174"/>
      <w:r>
        <w:rPr>
          <w:rFonts w:hint="eastAsia" w:ascii="楷体" w:hAnsi="楷体" w:eastAsia="楷体" w:cs="楷体"/>
          <w:color w:val="auto"/>
          <w:sz w:val="24"/>
        </w:rPr>
        <w:t>.1.2 试验设备</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施工现场需要配置的试验场所：</w:t>
      </w:r>
      <w:bookmarkEnd w:id="432"/>
      <w:bookmarkEnd w:id="433"/>
      <w:bookmarkEnd w:id="434"/>
      <w:bookmarkEnd w:id="435"/>
      <w:bookmarkEnd w:id="436"/>
      <w:bookmarkEnd w:id="437"/>
      <w:bookmarkEnd w:id="438"/>
      <w:bookmarkStart w:id="440" w:name="_Toc312678024"/>
      <w:bookmarkStart w:id="441" w:name="_Toc297123536"/>
      <w:bookmarkStart w:id="442" w:name="_Toc304295562"/>
      <w:bookmarkStart w:id="443" w:name="_Toc303539142"/>
      <w:bookmarkStart w:id="444" w:name="_Toc300934985"/>
      <w:bookmarkStart w:id="445" w:name="_Toc312677498"/>
      <w:bookmarkStart w:id="446" w:name="_Toc297216195"/>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施工现场需要配备的试验设备：</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施工现场需要具备的其他试验条件：</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447" w:name="_Toc30499"/>
      <w:bookmarkStart w:id="448" w:name="_Toc27999"/>
      <w:bookmarkStart w:id="449" w:name="_Toc6222"/>
      <w:bookmarkStart w:id="450" w:name="_Toc13278"/>
      <w:bookmarkStart w:id="451" w:name="_Toc21489"/>
      <w:bookmarkStart w:id="452" w:name="_Toc3709"/>
      <w:bookmarkStart w:id="453" w:name="_Toc7338"/>
      <w:bookmarkStart w:id="454" w:name="_Toc27666"/>
      <w:r>
        <w:rPr>
          <w:rFonts w:hint="eastAsia" w:ascii="楷体" w:hAnsi="楷体" w:eastAsia="楷体" w:cs="楷体"/>
          <w:color w:val="auto"/>
          <w:sz w:val="24"/>
        </w:rPr>
        <w:t>9.4 现场工艺试验</w:t>
      </w:r>
      <w:bookmarkEnd w:id="447"/>
      <w:bookmarkEnd w:id="448"/>
      <w:bookmarkEnd w:id="449"/>
      <w:bookmarkEnd w:id="450"/>
      <w:bookmarkEnd w:id="451"/>
      <w:bookmarkEnd w:id="452"/>
      <w:bookmarkEnd w:id="453"/>
      <w:bookmarkEnd w:id="454"/>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现场工艺试验的有关约定：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439"/>
    <w:bookmarkEnd w:id="440"/>
    <w:bookmarkEnd w:id="441"/>
    <w:bookmarkEnd w:id="442"/>
    <w:bookmarkEnd w:id="443"/>
    <w:bookmarkEnd w:id="444"/>
    <w:bookmarkEnd w:id="445"/>
    <w:bookmarkEnd w:id="446"/>
    <w:p>
      <w:pPr>
        <w:numPr>
          <w:ilvl w:val="3"/>
          <w:numId w:val="0"/>
        </w:numPr>
        <w:spacing w:before="120" w:after="120" w:line="360" w:lineRule="auto"/>
        <w:rPr>
          <w:rFonts w:hint="eastAsia" w:ascii="楷体" w:hAnsi="楷体" w:eastAsia="楷体" w:cs="楷体"/>
          <w:color w:val="auto"/>
          <w:sz w:val="24"/>
        </w:rPr>
      </w:pPr>
      <w:bookmarkStart w:id="455" w:name="_Toc16374"/>
      <w:r>
        <w:rPr>
          <w:rFonts w:hint="eastAsia" w:ascii="楷体" w:hAnsi="楷体" w:eastAsia="楷体" w:cs="楷体"/>
          <w:color w:val="auto"/>
          <w:sz w:val="24"/>
        </w:rPr>
        <w:t>1</w:t>
      </w:r>
      <w:bookmarkEnd w:id="413"/>
      <w:bookmarkEnd w:id="414"/>
      <w:bookmarkEnd w:id="415"/>
      <w:bookmarkEnd w:id="416"/>
      <w:bookmarkEnd w:id="417"/>
      <w:bookmarkEnd w:id="418"/>
      <w:bookmarkEnd w:id="419"/>
      <w:bookmarkEnd w:id="420"/>
      <w:bookmarkEnd w:id="421"/>
      <w:bookmarkEnd w:id="422"/>
      <w:bookmarkEnd w:id="423"/>
      <w:bookmarkEnd w:id="424"/>
      <w:bookmarkStart w:id="456" w:name="_Toc296944532"/>
      <w:bookmarkStart w:id="457" w:name="_Toc296891233"/>
      <w:bookmarkStart w:id="458" w:name="_Toc297123540"/>
      <w:bookmarkStart w:id="459" w:name="_Toc297048379"/>
      <w:bookmarkStart w:id="460" w:name="_Toc297120493"/>
      <w:bookmarkStart w:id="461" w:name="_Toc292559398"/>
      <w:bookmarkStart w:id="462" w:name="_Toc304295566"/>
      <w:bookmarkStart w:id="463" w:name="_Toc296346694"/>
      <w:bookmarkStart w:id="464" w:name="_Toc303539146"/>
      <w:bookmarkStart w:id="465" w:name="_Toc296503193"/>
      <w:bookmarkStart w:id="466" w:name="_Toc296891021"/>
      <w:bookmarkStart w:id="467" w:name="_Toc296347192"/>
      <w:bookmarkStart w:id="468" w:name="_Toc297216199"/>
      <w:bookmarkStart w:id="469" w:name="_Toc292559903"/>
      <w:bookmarkStart w:id="470" w:name="_Toc300934989"/>
      <w:bookmarkStart w:id="471" w:name="_Toc312677499"/>
      <w:bookmarkStart w:id="472" w:name="_Toc312678025"/>
      <w:bookmarkStart w:id="473" w:name="_Toc267251441"/>
      <w:bookmarkStart w:id="474" w:name="_Toc267251435"/>
      <w:bookmarkStart w:id="475" w:name="_Toc267251439"/>
      <w:bookmarkStart w:id="476" w:name="_Toc267251437"/>
      <w:bookmarkStart w:id="477" w:name="_Toc267251433"/>
      <w:bookmarkStart w:id="478" w:name="_Toc267251440"/>
      <w:bookmarkStart w:id="479" w:name="_Toc267251442"/>
      <w:r>
        <w:rPr>
          <w:rFonts w:hint="eastAsia" w:ascii="楷体" w:hAnsi="楷体" w:eastAsia="楷体" w:cs="楷体"/>
          <w:color w:val="auto"/>
          <w:sz w:val="24"/>
        </w:rPr>
        <w:t>0. 变更</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bookmarkEnd w:id="471"/>
    <w:bookmarkEnd w:id="47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w:t>
      </w:r>
      <w:bookmarkStart w:id="480" w:name="_Toc304295567"/>
      <w:bookmarkStart w:id="481" w:name="_Toc296346695"/>
      <w:bookmarkStart w:id="482" w:name="_Toc296891234"/>
      <w:bookmarkStart w:id="483" w:name="_Toc303539147"/>
      <w:bookmarkStart w:id="484" w:name="_Toc297216200"/>
      <w:bookmarkStart w:id="485" w:name="_Toc296347193"/>
      <w:bookmarkStart w:id="486" w:name="_Toc297048380"/>
      <w:bookmarkStart w:id="487" w:name="_Toc292559399"/>
      <w:bookmarkStart w:id="488" w:name="_Toc297123541"/>
      <w:bookmarkStart w:id="489" w:name="_Toc296503194"/>
      <w:bookmarkStart w:id="490" w:name="_Toc312677500"/>
      <w:bookmarkStart w:id="491" w:name="_Toc296891022"/>
      <w:bookmarkStart w:id="492" w:name="_Toc312678026"/>
      <w:bookmarkStart w:id="493" w:name="_Toc297120494"/>
      <w:bookmarkStart w:id="494" w:name="_Toc296944533"/>
      <w:bookmarkStart w:id="495" w:name="_Toc292559904"/>
      <w:bookmarkStart w:id="496" w:name="_Toc300934990"/>
      <w:r>
        <w:rPr>
          <w:rFonts w:hint="eastAsia" w:ascii="楷体" w:hAnsi="楷体" w:eastAsia="楷体" w:cs="楷体"/>
          <w:color w:val="auto"/>
          <w:sz w:val="24"/>
        </w:rPr>
        <w:t>0.1变更的范围</w:t>
      </w:r>
    </w:p>
    <w:p>
      <w:pPr>
        <w:spacing w:line="360" w:lineRule="auto"/>
        <w:ind w:firstLine="600"/>
        <w:jc w:val="left"/>
        <w:rPr>
          <w:rFonts w:hint="eastAsia" w:ascii="楷体" w:hAnsi="楷体" w:eastAsia="楷体" w:cs="楷体"/>
          <w:color w:val="auto"/>
          <w:sz w:val="24"/>
        </w:rPr>
      </w:pPr>
      <w:r>
        <w:rPr>
          <w:rFonts w:hint="eastAsia" w:ascii="楷体" w:hAnsi="楷体" w:eastAsia="楷体" w:cs="楷体"/>
          <w:color w:val="auto"/>
          <w:sz w:val="24"/>
        </w:rPr>
        <w:t>关于变更的范围的约定：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497" w:name="_Toc12913"/>
      <w:bookmarkStart w:id="498" w:name="_Toc28629"/>
      <w:bookmarkStart w:id="499" w:name="_Toc1594"/>
      <w:bookmarkStart w:id="500" w:name="_Toc26201"/>
      <w:bookmarkStart w:id="501" w:name="_Toc16327"/>
      <w:bookmarkStart w:id="502" w:name="_Toc17190"/>
      <w:bookmarkStart w:id="503" w:name="_Toc3416"/>
      <w:bookmarkStart w:id="504" w:name="_Toc9976"/>
      <w:r>
        <w:rPr>
          <w:rFonts w:hint="eastAsia" w:ascii="楷体" w:hAnsi="楷体" w:eastAsia="楷体" w:cs="楷体"/>
          <w:color w:val="auto"/>
          <w:sz w:val="24"/>
        </w:rPr>
        <w:t>10.4 变更估价</w:t>
      </w:r>
      <w:bookmarkEnd w:id="497"/>
      <w:bookmarkEnd w:id="498"/>
      <w:bookmarkEnd w:id="499"/>
      <w:bookmarkEnd w:id="500"/>
      <w:bookmarkEnd w:id="501"/>
      <w:bookmarkEnd w:id="502"/>
      <w:bookmarkEnd w:id="503"/>
      <w:bookmarkEnd w:id="504"/>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10.4.1 变更估价原则</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 xml:space="preserve">关于变更估价的约定: </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Start w:id="505" w:name="_Toc296944536"/>
      <w:bookmarkStart w:id="506" w:name="_Toc296346698"/>
      <w:bookmarkStart w:id="507" w:name="_Toc296347196"/>
      <w:bookmarkStart w:id="508" w:name="_Toc292559907"/>
      <w:bookmarkStart w:id="509" w:name="_Toc296891237"/>
      <w:bookmarkStart w:id="510" w:name="_Toc297048383"/>
      <w:bookmarkStart w:id="511" w:name="_Toc300934993"/>
      <w:bookmarkStart w:id="512" w:name="_Toc297120497"/>
      <w:bookmarkStart w:id="513" w:name="_Toc303539150"/>
      <w:bookmarkStart w:id="514" w:name="_Toc296891025"/>
      <w:bookmarkStart w:id="515" w:name="_Toc296503197"/>
      <w:bookmarkStart w:id="516" w:name="_Toc297123544"/>
      <w:bookmarkStart w:id="517" w:name="_Toc297216203"/>
      <w:bookmarkStart w:id="518" w:name="_Toc292559402"/>
      <w:bookmarkStart w:id="519" w:name="_Toc312677503"/>
      <w:bookmarkStart w:id="520" w:name="_Toc312678029"/>
      <w:bookmarkStart w:id="521" w:name="_Toc304295570"/>
      <w:r>
        <w:rPr>
          <w:rFonts w:hint="eastAsia" w:ascii="楷体" w:hAnsi="楷体" w:eastAsia="楷体" w:cs="楷体"/>
          <w:color w:val="auto"/>
          <w:sz w:val="24"/>
        </w:rPr>
        <w:t>0.5承</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Start w:id="522" w:name="_Toc296891031"/>
      <w:bookmarkStart w:id="523" w:name="_Toc297048389"/>
      <w:bookmarkStart w:id="524" w:name="_Toc296503203"/>
      <w:bookmarkStart w:id="525" w:name="_Toc297120503"/>
      <w:bookmarkStart w:id="526" w:name="_Toc296347202"/>
      <w:bookmarkStart w:id="527" w:name="_Toc303539151"/>
      <w:bookmarkStart w:id="528" w:name="_Toc296346704"/>
      <w:bookmarkStart w:id="529" w:name="_Toc297123545"/>
      <w:bookmarkStart w:id="530" w:name="_Toc297216204"/>
      <w:bookmarkStart w:id="531" w:name="_Toc296891243"/>
      <w:bookmarkStart w:id="532" w:name="_Toc300934994"/>
      <w:bookmarkStart w:id="533" w:name="_Toc292559913"/>
      <w:bookmarkStart w:id="534" w:name="_Toc296944542"/>
      <w:bookmarkStart w:id="535" w:name="_Toc292559408"/>
      <w:r>
        <w:rPr>
          <w:rFonts w:hint="eastAsia" w:ascii="楷体" w:hAnsi="楷体" w:eastAsia="楷体" w:cs="楷体"/>
          <w:color w:val="auto"/>
          <w:sz w:val="24"/>
        </w:rPr>
        <w:t>包人的合理化建议</w:t>
      </w:r>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监理人审查承包人合理化建议的期限：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发包人审批承包人合理化建议的期限：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承</w:t>
      </w:r>
      <w:bookmarkStart w:id="536" w:name="_Toc297216205"/>
      <w:bookmarkStart w:id="537" w:name="_Toc296891244"/>
      <w:bookmarkStart w:id="538" w:name="_Toc300934995"/>
      <w:bookmarkStart w:id="539" w:name="_Toc297048390"/>
      <w:bookmarkStart w:id="540" w:name="_Toc312677504"/>
      <w:bookmarkStart w:id="541" w:name="_Toc312678030"/>
      <w:bookmarkStart w:id="542" w:name="_Toc304295571"/>
      <w:bookmarkStart w:id="543" w:name="_Toc296347203"/>
      <w:bookmarkStart w:id="544" w:name="_Toc296503204"/>
      <w:bookmarkStart w:id="545" w:name="_Toc292559914"/>
      <w:bookmarkStart w:id="546" w:name="_Toc303539152"/>
      <w:bookmarkStart w:id="547" w:name="_Toc296891032"/>
      <w:bookmarkStart w:id="548" w:name="_Toc297120504"/>
      <w:bookmarkStart w:id="549" w:name="_Toc297123546"/>
      <w:bookmarkStart w:id="550" w:name="_Toc318581175"/>
      <w:bookmarkStart w:id="551" w:name="_Toc296346705"/>
      <w:bookmarkStart w:id="552" w:name="_Toc292559409"/>
      <w:bookmarkStart w:id="553" w:name="_Toc296944543"/>
      <w:r>
        <w:rPr>
          <w:rFonts w:hint="eastAsia" w:ascii="楷体" w:hAnsi="楷体" w:eastAsia="楷体" w:cs="楷体"/>
          <w:color w:val="auto"/>
          <w:sz w:val="24"/>
        </w:rPr>
        <w:t>包人提出的合理化建议降低了合同价格或者提高了工程经济效益的奖励的方法和金额为：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Pr>
        <w:spacing w:after="120" w:line="360" w:lineRule="auto"/>
        <w:ind w:firstLine="480" w:firstLineChars="200"/>
        <w:rPr>
          <w:rFonts w:hint="eastAsia" w:ascii="楷体" w:hAnsi="楷体" w:eastAsia="楷体" w:cs="楷体"/>
          <w:color w:val="auto"/>
          <w:sz w:val="24"/>
        </w:rPr>
      </w:pPr>
      <w:bookmarkStart w:id="554" w:name="_Toc11233"/>
      <w:bookmarkStart w:id="555" w:name="_Toc31278"/>
      <w:bookmarkStart w:id="556" w:name="_Toc3503"/>
      <w:bookmarkStart w:id="557" w:name="_Toc13909"/>
      <w:bookmarkStart w:id="558" w:name="_Toc11825"/>
      <w:bookmarkStart w:id="559" w:name="_Toc26905"/>
      <w:bookmarkStart w:id="560" w:name="_Toc29201"/>
      <w:bookmarkStart w:id="561" w:name="_Toc22788"/>
      <w:r>
        <w:rPr>
          <w:rFonts w:hint="eastAsia" w:ascii="楷体" w:hAnsi="楷体" w:eastAsia="楷体" w:cs="楷体"/>
          <w:color w:val="auto"/>
          <w:sz w:val="24"/>
        </w:rPr>
        <w:t>1</w:t>
      </w:r>
      <w:bookmarkStart w:id="562" w:name="_Toc296347198"/>
      <w:bookmarkStart w:id="563" w:name="_Toc297120499"/>
      <w:bookmarkStart w:id="564" w:name="_Toc296891239"/>
      <w:bookmarkStart w:id="565" w:name="_Toc304295574"/>
      <w:bookmarkStart w:id="566" w:name="_Toc303539154"/>
      <w:bookmarkStart w:id="567" w:name="_Toc292559909"/>
      <w:bookmarkStart w:id="568" w:name="_Toc296503199"/>
      <w:bookmarkStart w:id="569" w:name="_Toc297123548"/>
      <w:bookmarkStart w:id="570" w:name="_Toc292559404"/>
      <w:bookmarkStart w:id="571" w:name="_Toc297216207"/>
      <w:bookmarkStart w:id="572" w:name="_Toc300934997"/>
      <w:bookmarkStart w:id="573" w:name="_Toc297048385"/>
      <w:bookmarkStart w:id="574" w:name="_Toc312678033"/>
      <w:bookmarkStart w:id="575" w:name="_Toc296944538"/>
      <w:bookmarkStart w:id="576" w:name="_Toc296891027"/>
      <w:bookmarkStart w:id="577" w:name="_Toc312677507"/>
      <w:bookmarkStart w:id="578" w:name="_Toc296346700"/>
      <w:r>
        <w:rPr>
          <w:rFonts w:hint="eastAsia" w:ascii="楷体" w:hAnsi="楷体" w:eastAsia="楷体" w:cs="楷体"/>
          <w:color w:val="auto"/>
          <w:sz w:val="24"/>
        </w:rPr>
        <w:t>0.7 暂估价</w:t>
      </w:r>
      <w:bookmarkEnd w:id="554"/>
      <w:bookmarkEnd w:id="555"/>
      <w:bookmarkEnd w:id="556"/>
      <w:bookmarkEnd w:id="557"/>
      <w:bookmarkEnd w:id="558"/>
      <w:bookmarkEnd w:id="559"/>
      <w:bookmarkEnd w:id="560"/>
      <w:bookmarkEnd w:id="561"/>
    </w:p>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kern w:val="0"/>
          <w:sz w:val="24"/>
        </w:rPr>
        <w:t>暂</w:t>
      </w:r>
      <w:bookmarkStart w:id="579" w:name="_Toc312677508"/>
      <w:bookmarkStart w:id="580" w:name="_Toc312678034"/>
      <w:bookmarkStart w:id="581" w:name="_Toc318581176"/>
      <w:r>
        <w:rPr>
          <w:rFonts w:hint="eastAsia" w:ascii="楷体" w:hAnsi="楷体" w:eastAsia="楷体" w:cs="楷体"/>
          <w:color w:val="auto"/>
          <w:kern w:val="0"/>
          <w:sz w:val="24"/>
        </w:rPr>
        <w:t>估价材料和工程设备的明细详见附件11：《</w:t>
      </w:r>
      <w:r>
        <w:rPr>
          <w:rFonts w:hint="eastAsia" w:ascii="楷体" w:hAnsi="楷体" w:eastAsia="楷体" w:cs="楷体"/>
          <w:color w:val="auto"/>
          <w:sz w:val="24"/>
        </w:rPr>
        <w:t>暂估价一览表》</w:t>
      </w:r>
      <w:r>
        <w:rPr>
          <w:rFonts w:hint="eastAsia" w:ascii="楷体" w:hAnsi="楷体" w:eastAsia="楷体" w:cs="楷体"/>
          <w:color w:val="auto"/>
          <w:kern w:val="0"/>
          <w:sz w:val="24"/>
        </w:rPr>
        <w:t>。</w:t>
      </w:r>
    </w:p>
    <w:bookmarkEnd w:id="579"/>
    <w:bookmarkEnd w:id="580"/>
    <w:bookmarkEnd w:id="581"/>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w:t>
      </w:r>
      <w:bookmarkStart w:id="582" w:name="_Toc312677509"/>
      <w:bookmarkStart w:id="583" w:name="_Toc312678035"/>
      <w:bookmarkStart w:id="584" w:name="_Toc318581177"/>
      <w:r>
        <w:rPr>
          <w:rFonts w:hint="eastAsia" w:ascii="楷体" w:hAnsi="楷体" w:eastAsia="楷体" w:cs="楷体"/>
          <w:color w:val="auto"/>
          <w:sz w:val="24"/>
        </w:rPr>
        <w:t>0.7.1 依法必须招标的暂估价项目</w:t>
      </w:r>
    </w:p>
    <w:bookmarkEnd w:id="582"/>
    <w:bookmarkEnd w:id="583"/>
    <w:bookmarkEnd w:id="584"/>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对于依法必须招标的暂估价项目的确认和批准采取第</w:t>
      </w:r>
      <w:r>
        <w:rPr>
          <w:rFonts w:hint="eastAsia" w:ascii="楷体" w:hAnsi="楷体" w:eastAsia="楷体" w:cs="楷体"/>
          <w:color w:val="auto"/>
          <w:sz w:val="24"/>
          <w:u w:val="single"/>
        </w:rPr>
        <w:t xml:space="preserve">  1  </w:t>
      </w:r>
      <w:r>
        <w:rPr>
          <w:rFonts w:hint="eastAsia" w:ascii="楷体" w:hAnsi="楷体" w:eastAsia="楷体" w:cs="楷体"/>
          <w:color w:val="auto"/>
          <w:sz w:val="24"/>
        </w:rPr>
        <w:t>种方式确定。</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10.7.2 不属于依法必须招标的暂估价项目</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对于不属于依法必须招标的暂估价项目的确认和批准采取第</w:t>
      </w:r>
      <w:r>
        <w:rPr>
          <w:rFonts w:hint="eastAsia" w:ascii="楷体" w:hAnsi="楷体" w:eastAsia="楷体" w:cs="楷体"/>
          <w:color w:val="auto"/>
          <w:sz w:val="24"/>
          <w:u w:val="single"/>
        </w:rPr>
        <w:t xml:space="preserve"> 1  </w:t>
      </w:r>
      <w:r>
        <w:rPr>
          <w:rFonts w:hint="eastAsia" w:ascii="楷体" w:hAnsi="楷体" w:eastAsia="楷体" w:cs="楷体"/>
          <w:color w:val="auto"/>
          <w:sz w:val="24"/>
        </w:rPr>
        <w:t xml:space="preserve"> 种方式确定。</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sz w:val="24"/>
        </w:rPr>
        <w:t>第3种方式：</w:t>
      </w:r>
      <w:r>
        <w:rPr>
          <w:rFonts w:hint="eastAsia" w:ascii="楷体" w:hAnsi="楷体" w:eastAsia="楷体" w:cs="楷体"/>
          <w:color w:val="auto"/>
          <w:kern w:val="0"/>
          <w:sz w:val="24"/>
        </w:rPr>
        <w:t>承包人直接实施的暂估价项目</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承包人直接实施的暂估价项目的约定：</w:t>
      </w:r>
      <w:r>
        <w:rPr>
          <w:rFonts w:hint="eastAsia" w:ascii="楷体" w:hAnsi="楷体" w:eastAsia="楷体" w:cs="楷体"/>
          <w:color w:val="auto"/>
          <w:sz w:val="24"/>
          <w:u w:val="single"/>
        </w:rPr>
        <w:t>承包人具备实施暂估价项目的资格和条件的，经发包人和承包人协商一致后，可由承包人自行实施暂估价项目，合同当事人可以在专用合同条款约定具体事项</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10.8 暂列金额</w:t>
      </w:r>
    </w:p>
    <w:p>
      <w:pPr>
        <w:autoSpaceDE w:val="0"/>
        <w:autoSpaceDN w:val="0"/>
        <w:adjustRightInd w:val="0"/>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kern w:val="0"/>
          <w:sz w:val="24"/>
        </w:rPr>
        <w:t>合同当事人关于暂列金额使用的约定：</w:t>
      </w:r>
      <w:r>
        <w:rPr>
          <w:rFonts w:hint="eastAsia" w:ascii="楷体" w:hAnsi="楷体" w:eastAsia="楷体" w:cs="楷体"/>
          <w:color w:val="auto"/>
          <w:sz w:val="24"/>
          <w:u w:val="single"/>
        </w:rPr>
        <w:t>暂列金额是发包人为工程实施过程中的不可预见的变更和索赔、调价、材料采购等所设，不应视为承包人所有，当工程发生以上事项时，依据合同相关条款据实结算</w:t>
      </w:r>
    </w:p>
    <w:p>
      <w:pPr>
        <w:numPr>
          <w:ilvl w:val="3"/>
          <w:numId w:val="0"/>
        </w:numPr>
        <w:spacing w:before="120" w:after="120" w:line="360" w:lineRule="auto"/>
        <w:rPr>
          <w:rFonts w:hint="eastAsia" w:ascii="楷体" w:hAnsi="楷体" w:eastAsia="楷体" w:cs="楷体"/>
          <w:color w:val="auto"/>
          <w:sz w:val="24"/>
        </w:rPr>
      </w:pPr>
      <w:bookmarkStart w:id="585" w:name="_Toc27516"/>
      <w:r>
        <w:rPr>
          <w:rFonts w:hint="eastAsia" w:ascii="楷体" w:hAnsi="楷体" w:eastAsia="楷体" w:cs="楷体"/>
          <w:color w:val="auto"/>
          <w:sz w:val="24"/>
        </w:rPr>
        <w:t>11. 价格调整</w:t>
      </w:r>
      <w:bookmarkEnd w:id="585"/>
    </w:p>
    <w:p>
      <w:pPr>
        <w:spacing w:after="120" w:line="360" w:lineRule="auto"/>
        <w:ind w:firstLine="480" w:firstLineChars="200"/>
        <w:rPr>
          <w:rFonts w:hint="eastAsia" w:ascii="楷体" w:hAnsi="楷体" w:eastAsia="楷体" w:cs="楷体"/>
          <w:color w:val="auto"/>
          <w:sz w:val="24"/>
        </w:rPr>
      </w:pPr>
      <w:bookmarkStart w:id="586" w:name="_Toc296944540"/>
      <w:bookmarkStart w:id="587" w:name="_Toc296347200"/>
      <w:bookmarkStart w:id="588" w:name="_Toc297216209"/>
      <w:bookmarkStart w:id="589" w:name="_Toc292559406"/>
      <w:bookmarkStart w:id="590" w:name="_Toc303539157"/>
      <w:bookmarkStart w:id="591" w:name="_Toc296891029"/>
      <w:bookmarkStart w:id="592" w:name="_Toc292559911"/>
      <w:bookmarkStart w:id="593" w:name="_Toc296891241"/>
      <w:bookmarkStart w:id="594" w:name="_Toc296503201"/>
      <w:bookmarkStart w:id="595" w:name="_Toc297120501"/>
      <w:bookmarkStart w:id="596" w:name="_Toc312678039"/>
      <w:bookmarkStart w:id="597" w:name="_Toc297123550"/>
      <w:bookmarkStart w:id="598" w:name="_Toc297048387"/>
      <w:bookmarkStart w:id="599" w:name="_Toc304295577"/>
      <w:bookmarkStart w:id="600" w:name="_Toc296346702"/>
      <w:bookmarkStart w:id="601" w:name="_Toc300935000"/>
      <w:r>
        <w:rPr>
          <w:rFonts w:hint="eastAsia" w:ascii="楷体" w:hAnsi="楷体" w:eastAsia="楷体" w:cs="楷体"/>
          <w:color w:val="auto"/>
          <w:sz w:val="24"/>
        </w:rPr>
        <w:t>11.1 市场价格波动引起的调整</w:t>
      </w:r>
    </w:p>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kern w:val="0"/>
          <w:sz w:val="24"/>
        </w:rPr>
        <w:t>市场价格波动是否调整合同价格的约定：</w:t>
      </w:r>
      <w:r>
        <w:rPr>
          <w:rFonts w:hint="eastAsia" w:ascii="楷体" w:hAnsi="楷体" w:eastAsia="楷体" w:cs="楷体"/>
          <w:color w:val="auto"/>
          <w:sz w:val="24"/>
          <w:u w:val="single"/>
        </w:rPr>
        <w:t>钢材、商砼、</w:t>
      </w:r>
      <w:r>
        <w:rPr>
          <w:rFonts w:hint="eastAsia" w:ascii="楷体" w:hAnsi="楷体" w:eastAsia="楷体" w:cs="楷体"/>
          <w:color w:val="auto"/>
          <w:sz w:val="24"/>
          <w:u w:val="single"/>
          <w:lang w:eastAsia="zh-CN"/>
        </w:rPr>
        <w:t>管材、</w:t>
      </w:r>
      <w:r>
        <w:rPr>
          <w:rFonts w:hint="eastAsia" w:ascii="楷体" w:hAnsi="楷体" w:eastAsia="楷体" w:cs="楷体"/>
          <w:color w:val="auto"/>
          <w:sz w:val="24"/>
          <w:u w:val="single"/>
        </w:rPr>
        <w:t>地材执行价格调整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因市场价格波动调整合同价格，采用以下第</w:t>
      </w:r>
      <w:r>
        <w:rPr>
          <w:rFonts w:hint="eastAsia" w:ascii="楷体" w:hAnsi="楷体" w:eastAsia="楷体" w:cs="楷体"/>
          <w:color w:val="auto"/>
          <w:sz w:val="24"/>
          <w:u w:val="single"/>
        </w:rPr>
        <w:t xml:space="preserve"> 2  </w:t>
      </w:r>
      <w:r>
        <w:rPr>
          <w:rFonts w:hint="eastAsia" w:ascii="楷体" w:hAnsi="楷体" w:eastAsia="楷体" w:cs="楷体"/>
          <w:color w:val="auto"/>
          <w:sz w:val="24"/>
        </w:rPr>
        <w:t>种方式对合同价格进行调整：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第1种方式：采用价格指数进行价格调整。</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关于各可调因子、定值和变值权重，以及基本价格指数及其来源的约定：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第2种方式：采用造价信息进行价格调整。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（2）关于基准价格的约定：</w:t>
      </w:r>
      <w:r>
        <w:rPr>
          <w:rFonts w:hint="eastAsia" w:ascii="楷体" w:hAnsi="楷体" w:eastAsia="楷体" w:cs="楷体"/>
          <w:color w:val="auto"/>
          <w:sz w:val="24"/>
          <w:u w:val="single"/>
        </w:rPr>
        <w:t xml:space="preserve">     执行通用合同条款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专用合同条款①承包人在已标价工程量清单或预算书中载明的材料单价低于基准价格的：专用合同条款合同履行期间材料单价涨幅以基准价格为基础超过</w:t>
      </w:r>
      <w:r>
        <w:rPr>
          <w:rFonts w:hint="eastAsia" w:ascii="楷体" w:hAnsi="楷体" w:eastAsia="楷体" w:cs="楷体"/>
          <w:color w:val="auto"/>
          <w:sz w:val="24"/>
          <w:u w:val="single"/>
        </w:rPr>
        <w:t xml:space="preserve"> ±5  </w:t>
      </w:r>
      <w:r>
        <w:rPr>
          <w:rFonts w:hint="eastAsia" w:ascii="楷体" w:hAnsi="楷体" w:eastAsia="楷体" w:cs="楷体"/>
          <w:color w:val="auto"/>
          <w:sz w:val="24"/>
        </w:rPr>
        <w:t>%时，或材料单价跌幅以已标价工程量清单或预算书中载明材料单价为基础超过</w:t>
      </w:r>
      <w:r>
        <w:rPr>
          <w:rFonts w:hint="eastAsia" w:ascii="楷体" w:hAnsi="楷体" w:eastAsia="楷体" w:cs="楷体"/>
          <w:color w:val="auto"/>
          <w:sz w:val="24"/>
          <w:u w:val="single"/>
        </w:rPr>
        <w:t xml:space="preserve"> ±5  </w:t>
      </w:r>
      <w:r>
        <w:rPr>
          <w:rFonts w:hint="eastAsia" w:ascii="楷体" w:hAnsi="楷体" w:eastAsia="楷体" w:cs="楷体"/>
          <w:color w:val="auto"/>
          <w:sz w:val="24"/>
        </w:rPr>
        <w:t>%时，其超过部分据实调整。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②承包人在已标价工程量清单或预算书中载明的材料单价高于基准价格的：专用合同条款合同履行期间材料单价跌幅以基准价格为基础超过</w:t>
      </w:r>
      <w:r>
        <w:rPr>
          <w:rFonts w:hint="eastAsia" w:ascii="楷体" w:hAnsi="楷体" w:eastAsia="楷体" w:cs="楷体"/>
          <w:color w:val="auto"/>
          <w:sz w:val="24"/>
          <w:u w:val="single"/>
        </w:rPr>
        <w:t xml:space="preserve"> ±5  </w:t>
      </w:r>
      <w:r>
        <w:rPr>
          <w:rFonts w:hint="eastAsia" w:ascii="楷体" w:hAnsi="楷体" w:eastAsia="楷体" w:cs="楷体"/>
          <w:color w:val="auto"/>
          <w:sz w:val="24"/>
        </w:rPr>
        <w:t>%时，材料单价涨幅以已标价工程量清单或预算书中载明材料单价为基础超过</w:t>
      </w:r>
      <w:r>
        <w:rPr>
          <w:rFonts w:hint="eastAsia" w:ascii="楷体" w:hAnsi="楷体" w:eastAsia="楷体" w:cs="楷体"/>
          <w:color w:val="auto"/>
          <w:sz w:val="24"/>
          <w:u w:val="single"/>
        </w:rPr>
        <w:t xml:space="preserve"> ±5  </w:t>
      </w:r>
      <w:r>
        <w:rPr>
          <w:rFonts w:hint="eastAsia" w:ascii="楷体" w:hAnsi="楷体" w:eastAsia="楷体" w:cs="楷体"/>
          <w:color w:val="auto"/>
          <w:sz w:val="24"/>
        </w:rPr>
        <w:t>%时，其超过部分据实调整。</w:t>
      </w:r>
    </w:p>
    <w:p>
      <w:pPr>
        <w:spacing w:line="360" w:lineRule="auto"/>
        <w:ind w:firstLine="645"/>
        <w:jc w:val="left"/>
        <w:rPr>
          <w:rFonts w:hint="eastAsia" w:ascii="楷体" w:hAnsi="楷体" w:eastAsia="楷体" w:cs="楷体"/>
          <w:color w:val="auto"/>
          <w:sz w:val="24"/>
        </w:rPr>
      </w:pPr>
      <w:r>
        <w:rPr>
          <w:rFonts w:hint="eastAsia" w:ascii="楷体" w:hAnsi="楷体" w:eastAsia="楷体" w:cs="楷体"/>
          <w:color w:val="auto"/>
          <w:sz w:val="24"/>
        </w:rPr>
        <w:t>③承包人在已标价工程量清单或预算书中载明的材料单价等于基准单价的：专用合同条款合同履行期间材料单价涨跌幅以基准单价为基础超过±</w:t>
      </w:r>
      <w:r>
        <w:rPr>
          <w:rFonts w:hint="eastAsia" w:ascii="楷体" w:hAnsi="楷体" w:eastAsia="楷体" w:cs="楷体"/>
          <w:color w:val="auto"/>
          <w:sz w:val="24"/>
          <w:u w:val="single"/>
        </w:rPr>
        <w:t xml:space="preserve"> 5  </w:t>
      </w:r>
      <w:r>
        <w:rPr>
          <w:rFonts w:hint="eastAsia" w:ascii="楷体" w:hAnsi="楷体" w:eastAsia="楷体" w:cs="楷体"/>
          <w:color w:val="auto"/>
          <w:sz w:val="24"/>
        </w:rPr>
        <w:t>%时，其超过部分据实调整。</w:t>
      </w:r>
    </w:p>
    <w:p>
      <w:pPr>
        <w:spacing w:line="360" w:lineRule="auto"/>
        <w:ind w:firstLine="645"/>
        <w:jc w:val="left"/>
        <w:rPr>
          <w:rFonts w:hint="eastAsia" w:ascii="楷体" w:hAnsi="楷体" w:eastAsia="楷体" w:cs="楷体"/>
          <w:color w:val="auto"/>
          <w:sz w:val="24"/>
        </w:rPr>
      </w:pPr>
      <w:r>
        <w:rPr>
          <w:rFonts w:hint="eastAsia" w:ascii="楷体" w:hAnsi="楷体" w:eastAsia="楷体" w:cs="楷体"/>
          <w:color w:val="auto"/>
          <w:sz w:val="24"/>
        </w:rPr>
        <w:t>第3种方式：其他价格调整方式：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473"/>
    <w:bookmarkEnd w:id="474"/>
    <w:bookmarkEnd w:id="475"/>
    <w:bookmarkEnd w:id="476"/>
    <w:bookmarkEnd w:id="477"/>
    <w:bookmarkEnd w:id="478"/>
    <w:p>
      <w:pPr>
        <w:numPr>
          <w:ilvl w:val="3"/>
          <w:numId w:val="0"/>
        </w:numPr>
        <w:spacing w:before="120" w:after="120" w:line="360" w:lineRule="auto"/>
        <w:rPr>
          <w:rFonts w:hint="eastAsia" w:ascii="楷体" w:hAnsi="楷体" w:eastAsia="楷体" w:cs="楷体"/>
          <w:color w:val="auto"/>
          <w:sz w:val="24"/>
        </w:rPr>
      </w:pPr>
      <w:bookmarkStart w:id="602" w:name="_Toc292559915"/>
      <w:bookmarkStart w:id="603" w:name="_Toc296891033"/>
      <w:bookmarkStart w:id="604" w:name="_Toc296503205"/>
      <w:bookmarkStart w:id="605" w:name="_Toc296347204"/>
      <w:bookmarkStart w:id="606" w:name="_Toc296346706"/>
      <w:bookmarkStart w:id="607" w:name="_Toc297048391"/>
      <w:bookmarkStart w:id="608" w:name="_Toc297120505"/>
      <w:bookmarkStart w:id="609" w:name="_Toc296944544"/>
      <w:bookmarkStart w:id="610" w:name="_Toc292559410"/>
      <w:bookmarkStart w:id="611" w:name="_Toc296891245"/>
      <w:bookmarkStart w:id="612" w:name="_Toc25515"/>
      <w:bookmarkStart w:id="613" w:name="_Toc303539159"/>
      <w:bookmarkStart w:id="614" w:name="_Toc297216211"/>
      <w:bookmarkStart w:id="615" w:name="_Toc312678040"/>
      <w:bookmarkStart w:id="616" w:name="_Toc297123552"/>
      <w:bookmarkStart w:id="617" w:name="_Toc304295579"/>
      <w:bookmarkStart w:id="618" w:name="_Toc300935002"/>
      <w:r>
        <w:rPr>
          <w:rFonts w:hint="eastAsia" w:ascii="楷体" w:hAnsi="楷体" w:eastAsia="楷体" w:cs="楷体"/>
          <w:color w:val="auto"/>
          <w:sz w:val="24"/>
        </w:rPr>
        <w:t xml:space="preserve">12. </w:t>
      </w:r>
      <w:bookmarkEnd w:id="602"/>
      <w:bookmarkEnd w:id="603"/>
      <w:bookmarkEnd w:id="604"/>
      <w:bookmarkEnd w:id="605"/>
      <w:bookmarkEnd w:id="606"/>
      <w:bookmarkEnd w:id="607"/>
      <w:bookmarkEnd w:id="608"/>
      <w:bookmarkEnd w:id="609"/>
      <w:bookmarkEnd w:id="610"/>
      <w:bookmarkEnd w:id="611"/>
      <w:r>
        <w:rPr>
          <w:rFonts w:hint="eastAsia" w:ascii="楷体" w:hAnsi="楷体" w:eastAsia="楷体" w:cs="楷体"/>
          <w:color w:val="auto"/>
          <w:sz w:val="24"/>
        </w:rPr>
        <w:t>合同价格、计量与支付</w:t>
      </w:r>
      <w:bookmarkEnd w:id="612"/>
    </w:p>
    <w:bookmarkEnd w:id="613"/>
    <w:bookmarkEnd w:id="614"/>
    <w:bookmarkEnd w:id="615"/>
    <w:bookmarkEnd w:id="616"/>
    <w:bookmarkEnd w:id="617"/>
    <w:bookmarkEnd w:id="618"/>
    <w:p>
      <w:pPr>
        <w:spacing w:after="120" w:line="360" w:lineRule="auto"/>
        <w:ind w:firstLine="480" w:firstLineChars="200"/>
        <w:rPr>
          <w:rFonts w:hint="eastAsia" w:ascii="楷体" w:hAnsi="楷体" w:eastAsia="宋体" w:cs="楷体"/>
          <w:color w:val="auto"/>
          <w:sz w:val="24"/>
          <w:lang w:eastAsia="zh-CN"/>
        </w:rPr>
      </w:pPr>
      <w:bookmarkStart w:id="619" w:name="_Toc267251461"/>
      <w:bookmarkStart w:id="620" w:name="_Toc292559411"/>
      <w:bookmarkStart w:id="621" w:name="_Toc292559916"/>
      <w:bookmarkStart w:id="622" w:name="_Toc296944545"/>
      <w:bookmarkStart w:id="623" w:name="_Toc296503206"/>
      <w:bookmarkStart w:id="624" w:name="_Toc297120506"/>
      <w:bookmarkStart w:id="625" w:name="_Toc296347205"/>
      <w:bookmarkStart w:id="626" w:name="_Toc296891246"/>
      <w:bookmarkStart w:id="627" w:name="_Toc297048392"/>
      <w:bookmarkStart w:id="628" w:name="_Toc296891034"/>
      <w:bookmarkStart w:id="629" w:name="_Toc296346707"/>
      <w:bookmarkStart w:id="630" w:name="_Toc297216212"/>
      <w:bookmarkStart w:id="631" w:name="_Toc297123553"/>
      <w:bookmarkStart w:id="632" w:name="_Toc303539160"/>
      <w:bookmarkStart w:id="633" w:name="_Toc300935003"/>
      <w:bookmarkStart w:id="634" w:name="_Toc304295580"/>
      <w:bookmarkStart w:id="635" w:name="_Toc312678041"/>
      <w:r>
        <w:rPr>
          <w:rFonts w:hint="eastAsia" w:ascii="楷体" w:hAnsi="楷体" w:eastAsia="楷体" w:cs="楷体"/>
          <w:color w:val="auto"/>
          <w:sz w:val="24"/>
        </w:rPr>
        <w:t>12.1 合</w:t>
      </w:r>
      <w:bookmarkEnd w:id="619"/>
      <w:bookmarkEnd w:id="620"/>
      <w:bookmarkEnd w:id="621"/>
      <w:r>
        <w:rPr>
          <w:rFonts w:hint="eastAsia" w:ascii="楷体" w:hAnsi="楷体" w:eastAsia="楷体" w:cs="楷体"/>
          <w:color w:val="auto"/>
          <w:sz w:val="24"/>
        </w:rPr>
        <w:t>同价</w:t>
      </w:r>
      <w:bookmarkEnd w:id="622"/>
      <w:bookmarkEnd w:id="623"/>
      <w:bookmarkEnd w:id="624"/>
      <w:bookmarkEnd w:id="625"/>
      <w:bookmarkEnd w:id="626"/>
      <w:bookmarkEnd w:id="627"/>
      <w:bookmarkEnd w:id="628"/>
      <w:bookmarkEnd w:id="629"/>
      <w:r>
        <w:rPr>
          <w:rFonts w:hint="eastAsia" w:ascii="楷体" w:hAnsi="楷体" w:eastAsia="楷体" w:cs="楷体"/>
          <w:color w:val="auto"/>
          <w:sz w:val="24"/>
        </w:rPr>
        <w:t>格形式</w:t>
      </w:r>
      <w:r>
        <w:rPr>
          <w:rFonts w:hint="eastAsia"/>
          <w:color w:val="auto"/>
          <w:lang w:eastAsia="zh-CN"/>
        </w:rPr>
        <w:t>：</w:t>
      </w:r>
      <w:r>
        <w:rPr>
          <w:rFonts w:hint="eastAsia" w:ascii="楷体" w:hAnsi="楷体" w:eastAsia="楷体" w:cs="楷体"/>
          <w:color w:val="auto"/>
          <w:sz w:val="24"/>
          <w:lang w:val="en-US" w:eastAsia="zh-CN"/>
        </w:rPr>
        <w:t>单价合同</w:t>
      </w:r>
    </w:p>
    <w:bookmarkEnd w:id="630"/>
    <w:bookmarkEnd w:id="631"/>
    <w:bookmarkEnd w:id="632"/>
    <w:bookmarkEnd w:id="633"/>
    <w:bookmarkEnd w:id="634"/>
    <w:bookmarkEnd w:id="635"/>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1、单价合同。</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综合单价包含的风险范围：</w:t>
      </w:r>
      <w:r>
        <w:rPr>
          <w:rFonts w:hint="eastAsia" w:ascii="楷体" w:hAnsi="楷体" w:eastAsia="楷体" w:cs="楷体"/>
          <w:color w:val="auto"/>
          <w:sz w:val="24"/>
          <w:u w:val="single"/>
        </w:rPr>
        <w:t xml:space="preserve"> 除非合同文件中另有约定，工程量清单中的各项价格为固定单价或合价；所谓固定单价或合价应为各项单价或合价不因材料、机械、工程设备、施工设备和临时的费用、费率等形成各项单价或合价的任何价格要素的波动而调整，也不因本合同履约期内有关工作条件、工作时间或人工工资标准和其它与本工程雇佣劳动力相关的税费、政府收费或其它在本工程中使用的材料、货物、机械、工程设备、施工设备价格或费用的变化或货币的贬升值而调整，合同条件约定除外</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风险费用的计算方法：</w:t>
      </w:r>
      <w:r>
        <w:rPr>
          <w:rFonts w:hint="eastAsia" w:ascii="楷体" w:hAnsi="楷体" w:eastAsia="楷体" w:cs="楷体"/>
          <w:color w:val="auto"/>
          <w:sz w:val="24"/>
          <w:u w:val="single"/>
        </w:rPr>
        <w:t xml:space="preserve"> 应由承包人承担的风险费用已由承包人根据自身经 验作了充分估计并已计入合同协议确定的合同价款中，风险费用未单独计列的，应认为已经包含在合同价款中</w:t>
      </w:r>
      <w:r>
        <w:rPr>
          <w:rFonts w:hint="eastAsia" w:ascii="楷体" w:hAnsi="楷体" w:eastAsia="楷体" w:cs="楷体"/>
          <w:color w:val="auto"/>
          <w:sz w:val="24"/>
          <w:u w:val="single"/>
          <w:lang w:val="en-US" w:eastAsia="zh-CN"/>
        </w:rPr>
        <w:t>,如因国家政策性调整，按政府调价文件执行。</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风险范围以外合同价格的调整方法：</w:t>
      </w:r>
      <w:r>
        <w:rPr>
          <w:rFonts w:hint="eastAsia" w:ascii="楷体" w:hAnsi="楷体" w:eastAsia="楷体" w:cs="楷体"/>
          <w:color w:val="auto"/>
          <w:sz w:val="24"/>
          <w:u w:val="single"/>
        </w:rPr>
        <w:t xml:space="preserve">  发包人、承包人双方认可，有原设计单位正式出具的设计变更；发包人签字认可的工程签证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2、总价合同。</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总价包含的风险范围：</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风险费用的计算方法：</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风险范围以外合同价格的调整方法：</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3、其他价格方式：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636" w:name="_Toc303539161"/>
      <w:bookmarkStart w:id="637" w:name="_Toc304295581"/>
      <w:bookmarkStart w:id="638" w:name="_Toc300935004"/>
      <w:bookmarkStart w:id="639" w:name="_Toc297216213"/>
      <w:bookmarkStart w:id="640" w:name="_Toc297123554"/>
      <w:bookmarkStart w:id="641" w:name="_Toc312678042"/>
      <w:bookmarkStart w:id="642" w:name="_Toc292559412"/>
      <w:bookmarkStart w:id="643" w:name="_Toc296891247"/>
      <w:bookmarkStart w:id="644" w:name="_Toc296503207"/>
      <w:bookmarkStart w:id="645" w:name="_Toc297048393"/>
      <w:bookmarkStart w:id="646" w:name="_Toc296347206"/>
      <w:bookmarkStart w:id="647" w:name="_Toc297120507"/>
      <w:bookmarkStart w:id="648" w:name="_Toc292559917"/>
      <w:bookmarkStart w:id="649" w:name="_Toc296944546"/>
      <w:bookmarkStart w:id="650" w:name="_Toc296891035"/>
      <w:bookmarkStart w:id="651" w:name="_Toc296346708"/>
      <w:r>
        <w:rPr>
          <w:rFonts w:hint="eastAsia" w:ascii="楷体" w:hAnsi="楷体" w:eastAsia="楷体" w:cs="楷体"/>
          <w:color w:val="auto"/>
          <w:sz w:val="24"/>
        </w:rPr>
        <w:t>12.2 预付款</w:t>
      </w:r>
    </w:p>
    <w:bookmarkEnd w:id="636"/>
    <w:bookmarkEnd w:id="637"/>
    <w:bookmarkEnd w:id="638"/>
    <w:bookmarkEnd w:id="639"/>
    <w:bookmarkEnd w:id="640"/>
    <w:bookmarkEnd w:id="641"/>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12.2.1 预付款的支付</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预付款支付比例或金额：</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预付款支付期限：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预付款扣回的方式：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12.2.2 预付款担保</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承包人提交预付款担保的期限：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预付款担保的形式为：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642"/>
    <w:bookmarkEnd w:id="643"/>
    <w:bookmarkEnd w:id="644"/>
    <w:bookmarkEnd w:id="645"/>
    <w:bookmarkEnd w:id="646"/>
    <w:bookmarkEnd w:id="647"/>
    <w:bookmarkEnd w:id="648"/>
    <w:bookmarkEnd w:id="649"/>
    <w:bookmarkEnd w:id="650"/>
    <w:bookmarkEnd w:id="651"/>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12.3 计量</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12.3.1 计量原则</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工程量计算规则：</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12.3.2 计量周期</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关于计量周期的约定：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12.3.3 单价合同的计量</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关于单价合同计量的约定：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12.3.4 总价合同的计量</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关于总价合同计量的约定：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12.3.5总价合同采用支付分解表计量支付的，是否适用第</w:t>
      </w:r>
      <w:r>
        <w:rPr>
          <w:rFonts w:hint="eastAsia" w:ascii="楷体" w:hAnsi="楷体" w:eastAsia="楷体" w:cs="楷体"/>
          <w:color w:val="auto"/>
          <w:kern w:val="0"/>
          <w:sz w:val="24"/>
        </w:rPr>
        <w:t xml:space="preserve">12.3.4 </w:t>
      </w:r>
      <w:r>
        <w:rPr>
          <w:rFonts w:hint="eastAsia" w:ascii="楷体" w:hAnsi="楷体" w:eastAsia="楷体" w:cs="楷体"/>
          <w:color w:val="auto"/>
          <w:sz w:val="24"/>
        </w:rPr>
        <w:t>项</w:t>
      </w:r>
      <w:r>
        <w:rPr>
          <w:rFonts w:hint="eastAsia" w:ascii="楷体" w:hAnsi="楷体" w:eastAsia="楷体" w:cs="楷体"/>
          <w:color w:val="auto"/>
          <w:kern w:val="0"/>
          <w:sz w:val="24"/>
        </w:rPr>
        <w:t>〔总价合同的计量〕</w:t>
      </w:r>
      <w:r>
        <w:rPr>
          <w:rFonts w:hint="eastAsia" w:ascii="楷体" w:hAnsi="楷体" w:eastAsia="楷体" w:cs="楷体"/>
          <w:color w:val="auto"/>
          <w:sz w:val="24"/>
        </w:rPr>
        <w:t>约定进行计量：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12.3.6 其他价格形式合同的计量</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其他价格形式的计量方式和程序：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12.4 工程进度款支付</w:t>
      </w:r>
    </w:p>
    <w:p>
      <w:pPr>
        <w:spacing w:line="360" w:lineRule="auto"/>
        <w:ind w:firstLine="480" w:firstLineChars="200"/>
        <w:jc w:val="left"/>
        <w:rPr>
          <w:rFonts w:hint="eastAsia" w:ascii="楷体" w:hAnsi="楷体" w:eastAsia="楷体" w:cs="楷体"/>
          <w:color w:val="auto"/>
          <w:sz w:val="24"/>
        </w:rPr>
      </w:pPr>
      <w:bookmarkStart w:id="652" w:name="_Toc297120511"/>
      <w:bookmarkStart w:id="653" w:name="_Toc297216215"/>
      <w:bookmarkStart w:id="654" w:name="_Toc300935006"/>
      <w:bookmarkStart w:id="655" w:name="_Toc296944550"/>
      <w:bookmarkStart w:id="656" w:name="_Toc296503211"/>
      <w:bookmarkStart w:id="657" w:name="_Toc292559921"/>
      <w:bookmarkStart w:id="658" w:name="_Toc303539163"/>
      <w:bookmarkStart w:id="659" w:name="_Toc296346712"/>
      <w:bookmarkStart w:id="660" w:name="_Toc296891039"/>
      <w:bookmarkStart w:id="661" w:name="_Toc297048397"/>
      <w:bookmarkStart w:id="662" w:name="_Toc297123556"/>
      <w:bookmarkStart w:id="663" w:name="_Toc296891251"/>
      <w:bookmarkStart w:id="664" w:name="_Toc296347210"/>
      <w:bookmarkStart w:id="665" w:name="_Toc292559416"/>
      <w:r>
        <w:rPr>
          <w:rFonts w:hint="eastAsia" w:ascii="楷体" w:hAnsi="楷体" w:eastAsia="楷体" w:cs="楷体"/>
          <w:color w:val="auto"/>
          <w:sz w:val="24"/>
        </w:rPr>
        <w:t>12.4.1 付款周期</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关于付款周期的约定：</w:t>
      </w:r>
      <w:r>
        <w:rPr>
          <w:rFonts w:hint="eastAsia" w:ascii="楷体" w:hAnsi="楷体" w:eastAsia="楷体" w:cs="楷体"/>
          <w:color w:val="auto"/>
          <w:sz w:val="24"/>
          <w:u w:val="single"/>
        </w:rPr>
        <w:t xml:space="preserve"> 以甲乙双方合同约定</w:t>
      </w:r>
      <w:r>
        <w:rPr>
          <w:rFonts w:hint="eastAsia" w:ascii="楷体" w:hAnsi="楷体" w:eastAsia="楷体" w:cs="楷体"/>
          <w:color w:val="auto"/>
          <w:sz w:val="24"/>
          <w:u w:val="single"/>
          <w:lang w:eastAsia="zh-CN"/>
        </w:rPr>
        <w:t>为</w:t>
      </w:r>
      <w:r>
        <w:rPr>
          <w:rFonts w:hint="eastAsia" w:ascii="楷体" w:hAnsi="楷体" w:eastAsia="楷体" w:cs="楷体"/>
          <w:color w:val="auto"/>
          <w:sz w:val="24"/>
          <w:u w:val="single"/>
        </w:rPr>
        <w:t xml:space="preserve">准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12.4.2 进度付款申请单的编制</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关于进度付款申请单编制的约定：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Pr>
          <w:rFonts w:hint="eastAsia" w:ascii="楷体" w:hAnsi="楷体" w:eastAsia="楷体" w:cs="楷体"/>
          <w:color w:val="auto"/>
          <w:sz w:val="24"/>
        </w:rPr>
        <w:t>2.4.3 进度付款申请单的提交</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（1）单价合同进度付款申请单提交的约定：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（2）总价合同进度付款申请单提交的约定：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（3）其他价格形式合同进度付款申请单提交的约定：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12.4.4 进度款审核和支付</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（1）监理人审查并报送发包人的期限：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发包人完成审批并签发进度款支付证书的期限：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（2）发包人支付进度款的期限：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600" w:firstLineChars="250"/>
        <w:jc w:val="left"/>
        <w:rPr>
          <w:rFonts w:hint="eastAsia" w:ascii="楷体" w:hAnsi="楷体" w:eastAsia="楷体" w:cs="楷体"/>
          <w:color w:val="auto"/>
          <w:sz w:val="24"/>
        </w:rPr>
      </w:pPr>
      <w:r>
        <w:rPr>
          <w:rFonts w:hint="eastAsia" w:ascii="楷体" w:hAnsi="楷体" w:eastAsia="楷体" w:cs="楷体"/>
          <w:color w:val="auto"/>
          <w:sz w:val="24"/>
        </w:rPr>
        <w:t>发包人逾期支付进度款的违约金的计算方式：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600" w:firstLineChars="250"/>
        <w:jc w:val="left"/>
        <w:rPr>
          <w:rFonts w:hint="eastAsia" w:ascii="楷体" w:hAnsi="楷体" w:eastAsia="楷体" w:cs="楷体"/>
          <w:color w:val="auto"/>
          <w:sz w:val="24"/>
        </w:rPr>
      </w:pPr>
      <w:r>
        <w:rPr>
          <w:rFonts w:hint="eastAsia" w:ascii="楷体" w:hAnsi="楷体" w:eastAsia="楷体" w:cs="楷体"/>
          <w:color w:val="auto"/>
          <w:sz w:val="24"/>
        </w:rPr>
        <w:t>12.4.6 支付分解表的编制</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2、总价合同支付分解表的编制与审批：</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3、单价合同的总价项目支付分解表的编制与审批：</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479"/>
    <w:p>
      <w:pPr>
        <w:numPr>
          <w:ilvl w:val="3"/>
          <w:numId w:val="0"/>
        </w:numPr>
        <w:spacing w:before="120" w:after="120" w:line="360" w:lineRule="auto"/>
        <w:rPr>
          <w:rFonts w:hint="eastAsia" w:ascii="楷体" w:hAnsi="楷体" w:eastAsia="楷体" w:cs="楷体"/>
          <w:color w:val="auto"/>
          <w:sz w:val="24"/>
        </w:rPr>
      </w:pPr>
      <w:bookmarkStart w:id="666" w:name="_Toc12318"/>
      <w:bookmarkStart w:id="667" w:name="_Toc296347218"/>
      <w:bookmarkStart w:id="668" w:name="_Toc297048405"/>
      <w:bookmarkStart w:id="669" w:name="_Toc297120519"/>
      <w:bookmarkStart w:id="670" w:name="_Toc296346720"/>
      <w:bookmarkStart w:id="671" w:name="_Toc296891259"/>
      <w:bookmarkStart w:id="672" w:name="_Toc292559929"/>
      <w:bookmarkStart w:id="673" w:name="_Toc304295593"/>
      <w:bookmarkStart w:id="674" w:name="_Toc296503219"/>
      <w:bookmarkStart w:id="675" w:name="_Toc303539172"/>
      <w:bookmarkStart w:id="676" w:name="_Toc297123564"/>
      <w:bookmarkStart w:id="677" w:name="_Toc292559424"/>
      <w:bookmarkStart w:id="678" w:name="_Toc296891047"/>
      <w:bookmarkStart w:id="679" w:name="_Toc297216223"/>
      <w:bookmarkStart w:id="680" w:name="_Toc312678053"/>
      <w:bookmarkStart w:id="681" w:name="_Toc296944558"/>
      <w:bookmarkStart w:id="682" w:name="_Toc300935015"/>
      <w:r>
        <w:rPr>
          <w:rFonts w:hint="eastAsia" w:ascii="楷体" w:hAnsi="楷体" w:eastAsia="楷体" w:cs="楷体"/>
          <w:color w:val="auto"/>
          <w:sz w:val="24"/>
        </w:rPr>
        <w:t>13. 验收和工程试车</w:t>
      </w:r>
      <w:bookmarkEnd w:id="666"/>
    </w:p>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13.1 分部分项工程验收</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13.1.2监理人不能按时进行验收时，应提前</w:t>
      </w:r>
      <w:r>
        <w:rPr>
          <w:rFonts w:hint="eastAsia" w:ascii="楷体" w:hAnsi="楷体" w:eastAsia="楷体" w:cs="楷体"/>
          <w:color w:val="auto"/>
          <w:sz w:val="24"/>
          <w:u w:val="single"/>
        </w:rPr>
        <w:t xml:space="preserve">   24  </w:t>
      </w:r>
      <w:r>
        <w:rPr>
          <w:rFonts w:hint="eastAsia" w:ascii="楷体" w:hAnsi="楷体" w:eastAsia="楷体" w:cs="楷体"/>
          <w:color w:val="auto"/>
          <w:sz w:val="24"/>
        </w:rPr>
        <w:t>小时提交书面延期要求。</w:t>
      </w:r>
    </w:p>
    <w:p>
      <w:pPr>
        <w:spacing w:line="360" w:lineRule="auto"/>
        <w:ind w:firstLine="480" w:firstLineChars="200"/>
        <w:jc w:val="left"/>
        <w:rPr>
          <w:rFonts w:hint="eastAsia" w:ascii="楷体" w:hAnsi="楷体" w:eastAsia="楷体" w:cs="楷体"/>
          <w:b/>
          <w:color w:val="auto"/>
          <w:sz w:val="24"/>
        </w:rPr>
      </w:pPr>
      <w:r>
        <w:rPr>
          <w:rFonts w:hint="eastAsia" w:ascii="楷体" w:hAnsi="楷体" w:eastAsia="楷体" w:cs="楷体"/>
          <w:color w:val="auto"/>
          <w:sz w:val="24"/>
        </w:rPr>
        <w:t>关于延期最长不得超过：</w:t>
      </w:r>
      <w:r>
        <w:rPr>
          <w:rFonts w:hint="eastAsia" w:ascii="楷体" w:hAnsi="楷体" w:eastAsia="楷体" w:cs="楷体"/>
          <w:color w:val="auto"/>
          <w:sz w:val="24"/>
          <w:u w:val="single"/>
        </w:rPr>
        <w:t xml:space="preserve">    48   </w:t>
      </w:r>
      <w:r>
        <w:rPr>
          <w:rFonts w:hint="eastAsia" w:ascii="楷体" w:hAnsi="楷体" w:eastAsia="楷体" w:cs="楷体"/>
          <w:color w:val="auto"/>
          <w:sz w:val="24"/>
        </w:rPr>
        <w:t>小时。</w:t>
      </w:r>
    </w:p>
    <w:p>
      <w:pPr>
        <w:spacing w:after="120" w:line="360" w:lineRule="auto"/>
        <w:ind w:firstLine="480" w:firstLineChars="200"/>
        <w:rPr>
          <w:rFonts w:hint="eastAsia" w:ascii="楷体" w:hAnsi="楷体" w:eastAsia="楷体" w:cs="楷体"/>
          <w:color w:val="auto"/>
          <w:sz w:val="24"/>
        </w:rPr>
      </w:pPr>
      <w:bookmarkStart w:id="683" w:name="_Toc304295596"/>
      <w:bookmarkStart w:id="684" w:name="_Toc312678056"/>
      <w:bookmarkStart w:id="685" w:name="_Toc296891051"/>
      <w:bookmarkStart w:id="686" w:name="_Toc296346724"/>
      <w:bookmarkStart w:id="687" w:name="_Toc297048409"/>
      <w:bookmarkStart w:id="688" w:name="_Toc297216224"/>
      <w:bookmarkStart w:id="689" w:name="_Toc296503223"/>
      <w:bookmarkStart w:id="690" w:name="_Toc296944562"/>
      <w:bookmarkStart w:id="691" w:name="_Toc296347222"/>
      <w:bookmarkStart w:id="692" w:name="_Toc296891263"/>
      <w:bookmarkStart w:id="693" w:name="_Toc297123565"/>
      <w:bookmarkStart w:id="694" w:name="_Toc300935016"/>
      <w:bookmarkStart w:id="695" w:name="_Toc297120523"/>
      <w:bookmarkStart w:id="696" w:name="_Toc292559933"/>
      <w:bookmarkStart w:id="697" w:name="_Toc303539173"/>
      <w:bookmarkStart w:id="698" w:name="_Toc292559428"/>
      <w:bookmarkStart w:id="699" w:name="_Toc267251475"/>
      <w:bookmarkStart w:id="700" w:name="_Toc267251474"/>
      <w:bookmarkStart w:id="701" w:name="_Toc267251471"/>
      <w:bookmarkStart w:id="702" w:name="_Toc267251473"/>
      <w:bookmarkStart w:id="703" w:name="_Toc267251472"/>
      <w:bookmarkStart w:id="704" w:name="_Toc267251476"/>
      <w:bookmarkStart w:id="705" w:name="_Toc267251470"/>
      <w:r>
        <w:rPr>
          <w:rFonts w:hint="eastAsia" w:ascii="楷体" w:hAnsi="楷体" w:eastAsia="楷体" w:cs="楷体"/>
          <w:color w:val="auto"/>
          <w:sz w:val="24"/>
        </w:rPr>
        <w:t>13.2 竣工验收</w:t>
      </w:r>
    </w:p>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Pr>
        <w:spacing w:line="360" w:lineRule="auto"/>
        <w:ind w:firstLine="480" w:firstLineChars="200"/>
        <w:jc w:val="left"/>
        <w:rPr>
          <w:rFonts w:hint="eastAsia" w:ascii="楷体" w:hAnsi="楷体" w:eastAsia="楷体" w:cs="楷体"/>
          <w:color w:val="auto"/>
          <w:sz w:val="24"/>
        </w:rPr>
      </w:pPr>
      <w:bookmarkStart w:id="706" w:name="_Toc280868704"/>
      <w:bookmarkStart w:id="707" w:name="_Toc280868705"/>
      <w:bookmarkStart w:id="708" w:name="_Toc280868706"/>
      <w:bookmarkStart w:id="709" w:name="_Toc280868707"/>
      <w:bookmarkStart w:id="710" w:name="_Toc280868708"/>
      <w:bookmarkStart w:id="711" w:name="_Toc280868709"/>
      <w:r>
        <w:rPr>
          <w:rFonts w:hint="eastAsia" w:ascii="楷体" w:hAnsi="楷体" w:eastAsia="楷体" w:cs="楷体"/>
          <w:color w:val="auto"/>
          <w:sz w:val="24"/>
        </w:rPr>
        <w:t>13.2.2竣工验收程序</w:t>
      </w:r>
      <w:bookmarkEnd w:id="706"/>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kern w:val="0"/>
          <w:sz w:val="24"/>
        </w:rPr>
        <w:t>关于竣工验收程序的约定：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发包人不按照本项约定组织竣工验收、颁发工程接收证书的违约金的计算方法：</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707"/>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13.2.5移交、接收全部与部分工程</w:t>
      </w:r>
    </w:p>
    <w:bookmarkEnd w:id="708"/>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承包人向发包人移交工程的期限：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kern w:val="0"/>
          <w:sz w:val="24"/>
        </w:rPr>
        <w:t>发包人未按本合同约定接收全部或部分工程的，违约金的计算方法为：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709"/>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承包人未按时移交工程的，违约金的计算方法为：</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13.3 工程试车</w:t>
      </w:r>
    </w:p>
    <w:bookmarkEnd w:id="710"/>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13.3.1 试车程序</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工程试车内容：</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（1）单机无负荷试车费用由</w:t>
      </w:r>
      <w:r>
        <w:rPr>
          <w:rFonts w:hint="eastAsia" w:ascii="楷体" w:hAnsi="楷体" w:eastAsia="楷体" w:cs="楷体"/>
          <w:color w:val="auto"/>
          <w:sz w:val="24"/>
          <w:u w:val="single"/>
        </w:rPr>
        <w:t xml:space="preserve">       承包人          </w:t>
      </w:r>
      <w:r>
        <w:rPr>
          <w:rFonts w:hint="eastAsia" w:ascii="楷体" w:hAnsi="楷体" w:eastAsia="楷体" w:cs="楷体"/>
          <w:color w:val="auto"/>
          <w:kern w:val="0"/>
          <w:sz w:val="24"/>
        </w:rPr>
        <w:t>承担；</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（2）无负荷联动试车费用由</w:t>
      </w:r>
      <w:r>
        <w:rPr>
          <w:rFonts w:hint="eastAsia" w:ascii="楷体" w:hAnsi="楷体" w:eastAsia="楷体" w:cs="楷体"/>
          <w:color w:val="auto"/>
          <w:sz w:val="24"/>
          <w:u w:val="single"/>
        </w:rPr>
        <w:t xml:space="preserve">          承包人            </w:t>
      </w:r>
      <w:r>
        <w:rPr>
          <w:rFonts w:hint="eastAsia" w:ascii="楷体" w:hAnsi="楷体" w:eastAsia="楷体" w:cs="楷体"/>
          <w:color w:val="auto"/>
          <w:kern w:val="0"/>
          <w:sz w:val="24"/>
        </w:rPr>
        <w:t>承担。</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13.3.3 投料试车</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关于投料试车相关事项的约定：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712" w:name="_Toc29114"/>
      <w:bookmarkStart w:id="713" w:name="_Toc22625"/>
      <w:bookmarkStart w:id="714" w:name="_Toc25539"/>
      <w:bookmarkStart w:id="715" w:name="_Toc8923"/>
      <w:bookmarkStart w:id="716" w:name="_Toc25370"/>
      <w:bookmarkStart w:id="717" w:name="_Toc18780"/>
      <w:bookmarkStart w:id="718" w:name="_Toc7215"/>
      <w:bookmarkStart w:id="719" w:name="_Toc28640"/>
      <w:r>
        <w:rPr>
          <w:rFonts w:hint="eastAsia" w:ascii="楷体" w:hAnsi="楷体" w:eastAsia="楷体" w:cs="楷体"/>
          <w:color w:val="auto"/>
          <w:sz w:val="24"/>
        </w:rPr>
        <w:t>13.6 竣工退场</w:t>
      </w:r>
      <w:bookmarkEnd w:id="712"/>
      <w:bookmarkEnd w:id="713"/>
      <w:bookmarkEnd w:id="714"/>
      <w:bookmarkEnd w:id="715"/>
      <w:bookmarkEnd w:id="716"/>
      <w:bookmarkEnd w:id="717"/>
      <w:bookmarkEnd w:id="718"/>
      <w:bookmarkEnd w:id="719"/>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13.6.1 竣工退场</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承包人完成竣工退场的期限：</w:t>
      </w:r>
      <w:r>
        <w:rPr>
          <w:rFonts w:hint="eastAsia" w:ascii="楷体" w:hAnsi="楷体" w:eastAsia="楷体" w:cs="楷体"/>
          <w:color w:val="auto"/>
          <w:sz w:val="24"/>
          <w:u w:val="single"/>
        </w:rPr>
        <w:t xml:space="preserve">            30 天内                </w:t>
      </w:r>
      <w:r>
        <w:rPr>
          <w:rFonts w:hint="eastAsia" w:ascii="楷体" w:hAnsi="楷体" w:eastAsia="楷体" w:cs="楷体"/>
          <w:color w:val="auto"/>
          <w:kern w:val="0"/>
          <w:sz w:val="24"/>
        </w:rPr>
        <w:t>。</w:t>
      </w:r>
    </w:p>
    <w:p>
      <w:pPr>
        <w:numPr>
          <w:ilvl w:val="3"/>
          <w:numId w:val="0"/>
        </w:numPr>
        <w:spacing w:before="120" w:after="120" w:line="360" w:lineRule="auto"/>
        <w:rPr>
          <w:rFonts w:hint="eastAsia" w:ascii="楷体" w:hAnsi="楷体" w:eastAsia="楷体" w:cs="楷体"/>
          <w:color w:val="auto"/>
          <w:sz w:val="24"/>
        </w:rPr>
      </w:pPr>
      <w:bookmarkStart w:id="720" w:name="_Toc21097"/>
      <w:r>
        <w:rPr>
          <w:rFonts w:hint="eastAsia" w:ascii="楷体" w:hAnsi="楷体" w:eastAsia="楷体" w:cs="楷体"/>
          <w:color w:val="auto"/>
          <w:sz w:val="24"/>
        </w:rPr>
        <w:t>14. 竣工结算</w:t>
      </w:r>
      <w:bookmarkEnd w:id="720"/>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14.1 竣工结算申请</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承包人提交竣工结算申请单的期限：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竣工结算申请单应包括的内容：</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721" w:name="_Toc30680"/>
      <w:bookmarkStart w:id="722" w:name="_Toc10720"/>
      <w:bookmarkStart w:id="723" w:name="_Toc8876"/>
      <w:bookmarkStart w:id="724" w:name="_Toc13415"/>
      <w:bookmarkStart w:id="725" w:name="_Toc8593"/>
      <w:bookmarkStart w:id="726" w:name="_Toc3753"/>
      <w:bookmarkStart w:id="727" w:name="_Toc28615"/>
      <w:bookmarkStart w:id="728" w:name="_Toc26470"/>
      <w:r>
        <w:rPr>
          <w:rFonts w:hint="eastAsia" w:ascii="楷体" w:hAnsi="楷体" w:eastAsia="楷体" w:cs="楷体"/>
          <w:color w:val="auto"/>
          <w:sz w:val="24"/>
        </w:rPr>
        <w:t>14.2 竣工结算审核</w:t>
      </w:r>
      <w:bookmarkEnd w:id="721"/>
      <w:bookmarkEnd w:id="722"/>
      <w:bookmarkEnd w:id="723"/>
      <w:bookmarkEnd w:id="724"/>
      <w:bookmarkEnd w:id="725"/>
      <w:bookmarkEnd w:id="726"/>
      <w:bookmarkEnd w:id="727"/>
      <w:bookmarkEnd w:id="728"/>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发包人审批竣工付款申请单的期限：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发包人完成竣工付款的期限：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关于竣工付款证书异议部分复核的方式和程序：</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14.4 最终结清</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14.4.1 最终结清申请单</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承包人提交最终结清申请单的份数：</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kern w:val="0"/>
          <w:sz w:val="24"/>
        </w:rPr>
        <w:t>承包人提交最终结算申请单的期限：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14.4.2 最终结清证书和支付</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（1）发包人完成最终结清申请单的审批并颁发最终结清证书的期限：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（2）发包人完成支付的期限：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bookmarkEnd w:id="699"/>
    <w:bookmarkEnd w:id="700"/>
    <w:bookmarkEnd w:id="701"/>
    <w:bookmarkEnd w:id="702"/>
    <w:bookmarkEnd w:id="703"/>
    <w:bookmarkEnd w:id="704"/>
    <w:bookmarkEnd w:id="705"/>
    <w:bookmarkEnd w:id="711"/>
    <w:p>
      <w:pPr>
        <w:numPr>
          <w:ilvl w:val="3"/>
          <w:numId w:val="0"/>
        </w:numPr>
        <w:spacing w:before="120" w:after="120" w:line="360" w:lineRule="auto"/>
        <w:rPr>
          <w:rFonts w:hint="eastAsia" w:ascii="楷体" w:hAnsi="楷体" w:eastAsia="楷体" w:cs="楷体"/>
          <w:color w:val="auto"/>
          <w:sz w:val="24"/>
        </w:rPr>
      </w:pPr>
      <w:bookmarkStart w:id="729" w:name="_Toc25755"/>
      <w:bookmarkStart w:id="730" w:name="_Toc267251483"/>
      <w:bookmarkStart w:id="731" w:name="_Toc267251484"/>
      <w:bookmarkStart w:id="732" w:name="_Toc267251482"/>
      <w:bookmarkStart w:id="733" w:name="_Toc267251485"/>
      <w:bookmarkStart w:id="734" w:name="_Toc267251490"/>
      <w:bookmarkStart w:id="735" w:name="_Toc267251489"/>
      <w:bookmarkStart w:id="736" w:name="_Toc267251486"/>
      <w:bookmarkStart w:id="737" w:name="_Toc267251488"/>
      <w:bookmarkStart w:id="738" w:name="_Toc267251491"/>
      <w:bookmarkStart w:id="739" w:name="_Toc267251495"/>
      <w:bookmarkStart w:id="740" w:name="_Toc267251502"/>
      <w:bookmarkStart w:id="741" w:name="_Toc267251497"/>
      <w:bookmarkStart w:id="742" w:name="_Toc267251494"/>
      <w:bookmarkStart w:id="743" w:name="_Toc267251501"/>
      <w:bookmarkStart w:id="744" w:name="_Toc267251499"/>
      <w:bookmarkStart w:id="745" w:name="_Toc267251498"/>
      <w:bookmarkStart w:id="746" w:name="_Toc267251492"/>
      <w:bookmarkStart w:id="747" w:name="_Toc267251496"/>
      <w:bookmarkStart w:id="748" w:name="_Toc267251493"/>
      <w:bookmarkStart w:id="749" w:name="_Toc267251503"/>
      <w:bookmarkStart w:id="750" w:name="_Toc267251506"/>
      <w:bookmarkStart w:id="751" w:name="_Toc267251504"/>
      <w:bookmarkStart w:id="752" w:name="_Toc267251507"/>
      <w:bookmarkStart w:id="753" w:name="_Toc267251508"/>
      <w:bookmarkStart w:id="754" w:name="_Toc267251510"/>
      <w:bookmarkStart w:id="755" w:name="_Toc267251509"/>
      <w:bookmarkStart w:id="756" w:name="_Toc267251513"/>
      <w:bookmarkStart w:id="757" w:name="_Toc267251515"/>
      <w:bookmarkStart w:id="758" w:name="_Toc267251514"/>
      <w:bookmarkStart w:id="759" w:name="_Toc267251511"/>
      <w:r>
        <w:rPr>
          <w:rFonts w:hint="eastAsia" w:ascii="楷体" w:hAnsi="楷体" w:eastAsia="楷体" w:cs="楷体"/>
          <w:color w:val="auto"/>
          <w:sz w:val="24"/>
        </w:rPr>
        <w:t>15. 缺陷责任期与保修</w:t>
      </w:r>
      <w:bookmarkEnd w:id="729"/>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15.2缺陷责任期</w:t>
      </w:r>
      <w:bookmarkEnd w:id="730"/>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缺陷责任期的具体期限：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760" w:name="_Toc11947"/>
      <w:bookmarkStart w:id="761" w:name="_Toc25526"/>
      <w:bookmarkStart w:id="762" w:name="_Toc4046"/>
      <w:bookmarkStart w:id="763" w:name="_Toc24799"/>
      <w:bookmarkStart w:id="764" w:name="_Toc25829"/>
      <w:bookmarkStart w:id="765" w:name="_Toc24517"/>
      <w:bookmarkStart w:id="766" w:name="_Toc1424"/>
      <w:r>
        <w:rPr>
          <w:rFonts w:hint="eastAsia" w:ascii="楷体" w:hAnsi="楷体" w:eastAsia="楷体" w:cs="楷体"/>
          <w:color w:val="auto"/>
          <w:sz w:val="24"/>
        </w:rPr>
        <w:t>15.3 质量保证金</w:t>
      </w:r>
      <w:bookmarkEnd w:id="760"/>
      <w:bookmarkEnd w:id="761"/>
      <w:bookmarkEnd w:id="762"/>
      <w:bookmarkEnd w:id="763"/>
      <w:bookmarkEnd w:id="764"/>
      <w:bookmarkEnd w:id="765"/>
      <w:bookmarkEnd w:id="766"/>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关于是否扣留质量保证金的约定：</w:t>
      </w:r>
      <w:r>
        <w:rPr>
          <w:rFonts w:hint="eastAsia" w:ascii="楷体" w:hAnsi="楷体" w:eastAsia="楷体" w:cs="楷体"/>
          <w:color w:val="auto"/>
          <w:sz w:val="24"/>
          <w:u w:val="single"/>
        </w:rPr>
        <w:t xml:space="preserve">        扣留          </w:t>
      </w:r>
      <w:r>
        <w:rPr>
          <w:rFonts w:hint="eastAsia" w:ascii="楷体" w:hAnsi="楷体" w:eastAsia="楷体" w:cs="楷体"/>
          <w:color w:val="auto"/>
          <w:sz w:val="24"/>
        </w:rPr>
        <w:t>。在工程项目竣工前，承包人按专用合同条款第3.7条提供履约担保的，发包人不得同时预留工程质量保证金。</w:t>
      </w:r>
    </w:p>
    <w:p>
      <w:pPr>
        <w:spacing w:line="360" w:lineRule="auto"/>
        <w:ind w:firstLine="480" w:firstLineChars="200"/>
        <w:jc w:val="left"/>
        <w:rPr>
          <w:rFonts w:hint="eastAsia" w:ascii="楷体" w:hAnsi="楷体" w:eastAsia="楷体" w:cs="楷体"/>
          <w:color w:val="auto"/>
          <w:sz w:val="24"/>
        </w:rPr>
      </w:pPr>
      <w:bookmarkStart w:id="767" w:name="_Toc14213"/>
      <w:bookmarkStart w:id="768" w:name="_Toc1878"/>
      <w:bookmarkStart w:id="769" w:name="_Toc6411"/>
      <w:bookmarkStart w:id="770" w:name="_Toc26328"/>
      <w:bookmarkStart w:id="771" w:name="_Toc14181"/>
      <w:bookmarkStart w:id="772" w:name="_Toc20656"/>
      <w:r>
        <w:rPr>
          <w:rFonts w:hint="eastAsia" w:ascii="楷体" w:hAnsi="楷体" w:eastAsia="楷体" w:cs="楷体"/>
          <w:color w:val="auto"/>
          <w:sz w:val="24"/>
        </w:rPr>
        <w:t>15.3.1 承包人提供质量保证金的方式</w:t>
      </w:r>
      <w:bookmarkEnd w:id="767"/>
      <w:bookmarkEnd w:id="768"/>
      <w:bookmarkEnd w:id="769"/>
      <w:bookmarkEnd w:id="770"/>
      <w:bookmarkEnd w:id="771"/>
      <w:bookmarkEnd w:id="772"/>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质量保证金采用以下第</w:t>
      </w:r>
      <w:r>
        <w:rPr>
          <w:rFonts w:hint="eastAsia" w:ascii="楷体" w:hAnsi="楷体" w:eastAsia="楷体" w:cs="楷体"/>
          <w:color w:val="auto"/>
          <w:sz w:val="24"/>
          <w:u w:val="single"/>
        </w:rPr>
        <w:t xml:space="preserve"> 2    </w:t>
      </w:r>
      <w:r>
        <w:rPr>
          <w:rFonts w:hint="eastAsia" w:ascii="楷体" w:hAnsi="楷体" w:eastAsia="楷体" w:cs="楷体"/>
          <w:color w:val="auto"/>
          <w:sz w:val="24"/>
        </w:rPr>
        <w:t>种方式：</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（1）质量保证金保函，保证金额为：</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 xml:space="preserve">； </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（2）</w:t>
      </w:r>
      <w:r>
        <w:rPr>
          <w:rFonts w:hint="eastAsia" w:ascii="楷体" w:hAnsi="楷体" w:eastAsia="楷体" w:cs="楷体"/>
          <w:color w:val="auto"/>
          <w:kern w:val="0"/>
          <w:sz w:val="24"/>
          <w:u w:val="single"/>
        </w:rPr>
        <w:t xml:space="preserve">   3 </w:t>
      </w:r>
      <w:r>
        <w:rPr>
          <w:rFonts w:hint="eastAsia" w:ascii="楷体" w:hAnsi="楷体" w:eastAsia="楷体" w:cs="楷体"/>
          <w:color w:val="auto"/>
          <w:kern w:val="0"/>
          <w:sz w:val="24"/>
        </w:rPr>
        <w:t>%的工程款；</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（3）其他方式:</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sz w:val="24"/>
        </w:rPr>
      </w:pPr>
      <w:bookmarkStart w:id="773" w:name="_Toc29985"/>
      <w:bookmarkStart w:id="774" w:name="_Toc1874"/>
      <w:bookmarkStart w:id="775" w:name="_Toc29417"/>
      <w:bookmarkStart w:id="776" w:name="_Toc30361"/>
      <w:bookmarkStart w:id="777" w:name="_Toc28785"/>
      <w:bookmarkStart w:id="778" w:name="_Toc31283"/>
      <w:bookmarkStart w:id="779" w:name="_Toc26372"/>
      <w:r>
        <w:rPr>
          <w:rFonts w:hint="eastAsia" w:ascii="楷体" w:hAnsi="楷体" w:eastAsia="楷体" w:cs="楷体"/>
          <w:color w:val="auto"/>
          <w:sz w:val="24"/>
        </w:rPr>
        <w:t>15.3.2 质量保证金的扣留</w:t>
      </w:r>
      <w:bookmarkEnd w:id="773"/>
      <w:bookmarkEnd w:id="774"/>
      <w:bookmarkEnd w:id="775"/>
      <w:bookmarkEnd w:id="776"/>
      <w:bookmarkEnd w:id="777"/>
      <w:bookmarkEnd w:id="778"/>
      <w:bookmarkEnd w:id="779"/>
      <w:r>
        <w:rPr>
          <w:rFonts w:hint="eastAsia" w:ascii="楷体" w:hAnsi="楷体" w:eastAsia="楷体" w:cs="楷体"/>
          <w:color w:val="auto"/>
          <w:sz w:val="24"/>
        </w:rPr>
        <w:t xml:space="preserve"> </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质量保证金的扣留采取以下第</w:t>
      </w:r>
      <w:r>
        <w:rPr>
          <w:rFonts w:hint="eastAsia" w:ascii="楷体" w:hAnsi="楷体" w:eastAsia="楷体" w:cs="楷体"/>
          <w:color w:val="auto"/>
          <w:sz w:val="24"/>
          <w:u w:val="single"/>
        </w:rPr>
        <w:t xml:space="preserve"> 2    </w:t>
      </w:r>
      <w:r>
        <w:rPr>
          <w:rFonts w:hint="eastAsia" w:ascii="楷体" w:hAnsi="楷体" w:eastAsia="楷体" w:cs="楷体"/>
          <w:color w:val="auto"/>
          <w:sz w:val="24"/>
        </w:rPr>
        <w:t>种方式：</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（1）在支付工程进度款时逐次扣留，在此情形下，质量保证金的计算基数不包括预付款的支付、扣回以及价格调整的金额；</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bookmarkStart w:id="780" w:name="_Toc21347"/>
      <w:bookmarkStart w:id="781" w:name="_Toc15758"/>
      <w:bookmarkStart w:id="782" w:name="_Toc12885"/>
      <w:bookmarkStart w:id="783" w:name="_Toc20407"/>
      <w:bookmarkStart w:id="784" w:name="_Toc30777"/>
      <w:bookmarkStart w:id="785" w:name="_Toc17354"/>
      <w:bookmarkStart w:id="786" w:name="_Toc14399"/>
      <w:r>
        <w:rPr>
          <w:rFonts w:hint="eastAsia" w:ascii="楷体" w:hAnsi="楷体" w:eastAsia="楷体" w:cs="楷体"/>
          <w:color w:val="auto"/>
          <w:kern w:val="0"/>
          <w:sz w:val="24"/>
        </w:rPr>
        <w:t>（2）工程竣工结算时一次性扣留质量保证金；</w:t>
      </w:r>
      <w:bookmarkEnd w:id="780"/>
      <w:bookmarkEnd w:id="781"/>
      <w:bookmarkEnd w:id="782"/>
      <w:bookmarkEnd w:id="783"/>
      <w:bookmarkEnd w:id="784"/>
      <w:bookmarkEnd w:id="785"/>
      <w:bookmarkEnd w:id="786"/>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（3）其他扣留方式:</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autoSpaceDE w:val="0"/>
        <w:autoSpaceDN w:val="0"/>
        <w:adjustRightInd w:val="0"/>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关于质量保证金的补充约定：</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bookmarkEnd w:id="731"/>
    <w:bookmarkEnd w:id="732"/>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15.4保修</w:t>
      </w:r>
    </w:p>
    <w:bookmarkEnd w:id="733"/>
    <w:p>
      <w:pPr>
        <w:spacing w:line="360" w:lineRule="auto"/>
        <w:ind w:firstLine="468" w:firstLineChars="195"/>
        <w:jc w:val="left"/>
        <w:rPr>
          <w:rFonts w:hint="eastAsia" w:ascii="楷体" w:hAnsi="楷体" w:eastAsia="楷体" w:cs="楷体"/>
          <w:color w:val="auto"/>
          <w:sz w:val="24"/>
        </w:rPr>
      </w:pPr>
      <w:r>
        <w:rPr>
          <w:rFonts w:hint="eastAsia" w:ascii="楷体" w:hAnsi="楷体" w:eastAsia="楷体" w:cs="楷体"/>
          <w:color w:val="auto"/>
          <w:sz w:val="24"/>
        </w:rPr>
        <w:t>15.4.1 保修责任</w:t>
      </w:r>
    </w:p>
    <w:p>
      <w:pPr>
        <w:spacing w:line="360" w:lineRule="auto"/>
        <w:ind w:firstLine="468" w:firstLineChars="195"/>
        <w:jc w:val="left"/>
        <w:rPr>
          <w:rFonts w:hint="eastAsia" w:ascii="楷体" w:hAnsi="楷体" w:eastAsia="楷体" w:cs="楷体"/>
          <w:color w:val="auto"/>
          <w:kern w:val="0"/>
          <w:sz w:val="24"/>
        </w:rPr>
      </w:pPr>
      <w:r>
        <w:rPr>
          <w:rFonts w:hint="eastAsia" w:ascii="楷体" w:hAnsi="楷体" w:eastAsia="楷体" w:cs="楷体"/>
          <w:color w:val="auto"/>
          <w:sz w:val="24"/>
        </w:rPr>
        <w:t>工程保修期为：</w:t>
      </w:r>
      <w:r>
        <w:rPr>
          <w:rFonts w:hint="eastAsia" w:ascii="楷体" w:hAnsi="楷体" w:eastAsia="楷体" w:cs="楷体"/>
          <w:color w:val="auto"/>
          <w:kern w:val="0"/>
          <w:sz w:val="24"/>
          <w:u w:val="single"/>
        </w:rPr>
        <w:t xml:space="preserve">                见工程质量保修书                     </w:t>
      </w:r>
      <w:r>
        <w:rPr>
          <w:rFonts w:hint="eastAsia" w:ascii="楷体" w:hAnsi="楷体" w:eastAsia="楷体" w:cs="楷体"/>
          <w:color w:val="auto"/>
          <w:kern w:val="0"/>
          <w:sz w:val="24"/>
        </w:rPr>
        <w:t>。</w:t>
      </w:r>
    </w:p>
    <w:p>
      <w:pPr>
        <w:spacing w:line="360" w:lineRule="auto"/>
        <w:ind w:firstLine="468" w:firstLineChars="195"/>
        <w:jc w:val="left"/>
        <w:rPr>
          <w:rFonts w:hint="eastAsia" w:ascii="楷体" w:hAnsi="楷体" w:eastAsia="楷体" w:cs="楷体"/>
          <w:color w:val="auto"/>
          <w:sz w:val="24"/>
        </w:rPr>
      </w:pPr>
      <w:r>
        <w:rPr>
          <w:rFonts w:hint="eastAsia" w:ascii="楷体" w:hAnsi="楷体" w:eastAsia="楷体" w:cs="楷体"/>
          <w:color w:val="auto"/>
          <w:sz w:val="24"/>
        </w:rPr>
        <w:t>15.4.3 修复通知</w:t>
      </w:r>
    </w:p>
    <w:p>
      <w:pPr>
        <w:spacing w:line="360" w:lineRule="auto"/>
        <w:ind w:firstLine="468" w:firstLineChars="195"/>
        <w:jc w:val="left"/>
        <w:rPr>
          <w:rFonts w:hint="eastAsia" w:ascii="楷体" w:hAnsi="楷体" w:eastAsia="楷体" w:cs="楷体"/>
          <w:color w:val="auto"/>
          <w:kern w:val="0"/>
          <w:sz w:val="24"/>
          <w:u w:val="single"/>
        </w:rPr>
      </w:pPr>
      <w:r>
        <w:rPr>
          <w:rFonts w:hint="eastAsia" w:ascii="楷体" w:hAnsi="楷体" w:eastAsia="楷体" w:cs="楷体"/>
          <w:color w:val="auto"/>
          <w:kern w:val="0"/>
          <w:sz w:val="24"/>
        </w:rPr>
        <w:t>承包人收到保修通知并到达工程现场的合理时间：</w:t>
      </w:r>
      <w:r>
        <w:rPr>
          <w:rFonts w:hint="eastAsia" w:ascii="楷体" w:hAnsi="楷体" w:eastAsia="楷体" w:cs="楷体"/>
          <w:color w:val="auto"/>
          <w:kern w:val="0"/>
          <w:sz w:val="24"/>
          <w:u w:val="single"/>
        </w:rPr>
        <w:t>见工程质量保修书</w:t>
      </w:r>
    </w:p>
    <w:bookmarkEnd w:id="734"/>
    <w:bookmarkEnd w:id="735"/>
    <w:bookmarkEnd w:id="736"/>
    <w:bookmarkEnd w:id="737"/>
    <w:p>
      <w:pPr>
        <w:numPr>
          <w:ilvl w:val="3"/>
          <w:numId w:val="0"/>
        </w:numPr>
        <w:spacing w:before="120" w:after="120" w:line="360" w:lineRule="auto"/>
        <w:rPr>
          <w:rFonts w:hint="eastAsia" w:ascii="楷体" w:hAnsi="楷体" w:eastAsia="楷体" w:cs="楷体"/>
          <w:color w:val="auto"/>
          <w:sz w:val="24"/>
        </w:rPr>
      </w:pPr>
      <w:bookmarkStart w:id="787" w:name="_Toc18810"/>
      <w:bookmarkStart w:id="788" w:name="_Toc280868717"/>
      <w:bookmarkStart w:id="789" w:name="_Toc280868718"/>
      <w:r>
        <w:rPr>
          <w:rFonts w:hint="eastAsia" w:ascii="楷体" w:hAnsi="楷体" w:eastAsia="楷体" w:cs="楷体"/>
          <w:color w:val="auto"/>
          <w:sz w:val="24"/>
        </w:rPr>
        <w:t>16. 违约</w:t>
      </w:r>
      <w:bookmarkEnd w:id="787"/>
    </w:p>
    <w:p>
      <w:pPr>
        <w:spacing w:after="120" w:line="360" w:lineRule="auto"/>
        <w:ind w:firstLine="480" w:firstLineChars="200"/>
        <w:rPr>
          <w:rFonts w:hint="eastAsia" w:ascii="楷体" w:hAnsi="楷体" w:eastAsia="楷体" w:cs="楷体"/>
          <w:color w:val="auto"/>
          <w:sz w:val="24"/>
        </w:rPr>
      </w:pPr>
      <w:bookmarkStart w:id="790" w:name="_Toc586"/>
      <w:bookmarkStart w:id="791" w:name="_Toc19862"/>
      <w:bookmarkStart w:id="792" w:name="_Toc22858"/>
      <w:bookmarkStart w:id="793" w:name="_Toc12817"/>
      <w:bookmarkStart w:id="794" w:name="_Toc6859"/>
      <w:bookmarkStart w:id="795" w:name="_Toc16423"/>
      <w:bookmarkStart w:id="796" w:name="_Toc20324"/>
      <w:r>
        <w:rPr>
          <w:rFonts w:hint="eastAsia" w:ascii="楷体" w:hAnsi="楷体" w:eastAsia="楷体" w:cs="楷体"/>
          <w:color w:val="auto"/>
          <w:sz w:val="24"/>
        </w:rPr>
        <w:t>16.1 发包人违约</w:t>
      </w:r>
      <w:bookmarkEnd w:id="790"/>
      <w:bookmarkEnd w:id="791"/>
      <w:bookmarkEnd w:id="792"/>
      <w:bookmarkEnd w:id="793"/>
      <w:bookmarkEnd w:id="794"/>
      <w:bookmarkEnd w:id="795"/>
      <w:bookmarkEnd w:id="796"/>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16.1.1发包人违约的情形</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发包人违约的其他情形：</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spacing w:line="360" w:lineRule="auto"/>
        <w:ind w:left="1267" w:leftChars="228" w:hanging="720" w:hangingChars="300"/>
        <w:jc w:val="left"/>
        <w:rPr>
          <w:rFonts w:hint="eastAsia" w:ascii="楷体" w:hAnsi="楷体" w:eastAsia="楷体" w:cs="楷体"/>
          <w:color w:val="auto"/>
          <w:kern w:val="0"/>
          <w:sz w:val="24"/>
        </w:rPr>
      </w:pPr>
      <w:r>
        <w:rPr>
          <w:rFonts w:hint="eastAsia" w:ascii="楷体" w:hAnsi="楷体" w:eastAsia="楷体" w:cs="楷体"/>
          <w:color w:val="auto"/>
          <w:kern w:val="0"/>
          <w:sz w:val="24"/>
        </w:rPr>
        <w:t>16.1.2 发包人违约的责任</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发包人违约责任的承担方式和计算方法：</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rPr>
        <w:t>（1）因发包人原因未能在计划开工日期前7天内下达开工通知的违约责任：</w:t>
      </w:r>
      <w:r>
        <w:rPr>
          <w:rFonts w:hint="eastAsia" w:ascii="楷体" w:hAnsi="楷体" w:eastAsia="楷体" w:cs="楷体"/>
          <w:color w:val="auto"/>
          <w:kern w:val="0"/>
          <w:sz w:val="24"/>
          <w:u w:val="single"/>
        </w:rPr>
        <w:t xml:space="preserve">                      顺延工期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（2）因发包人原因未能按合同约定支付合同价款的违约责任：</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（3）发包人违反第10.1款〔变更的范围〕第（2）项约定，自行实施被取消的工作或转由他人实施的违约责任：</w:t>
      </w:r>
      <w:r>
        <w:rPr>
          <w:rFonts w:hint="eastAsia" w:ascii="楷体" w:hAnsi="楷体" w:eastAsia="楷体" w:cs="楷体"/>
          <w:color w:val="auto"/>
          <w:kern w:val="0"/>
          <w:sz w:val="24"/>
          <w:u w:val="single"/>
        </w:rPr>
        <w:t xml:space="preserve">  执行通用条款，并且发包人提供的材料、工程设备的规格或质量不符合合同约定的，由发包人负责更换；发包人提供的材料、工程设备的数量不符合合同约定的，数量不足的由发包人在双方约定时间内补齐，数量超出的，由承包人退回发包人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rPr>
        <w:t>（4）发包人提供的材料、工程设备的规格、数量或质量不符合合同约定，或因发包人原因导致交货日期延误或交货地点变更等情况的违约责任：</w:t>
      </w:r>
      <w:r>
        <w:rPr>
          <w:rFonts w:hint="eastAsia" w:ascii="楷体" w:hAnsi="楷体" w:eastAsia="楷体" w:cs="楷体"/>
          <w:color w:val="auto"/>
          <w:kern w:val="0"/>
          <w:sz w:val="24"/>
          <w:u w:val="single"/>
        </w:rPr>
        <w:t>若影响工期的，工期予以顺延。</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（5）因发包人违反合同约定造成暂停施工的违约责任：</w:t>
      </w:r>
      <w:r>
        <w:rPr>
          <w:rFonts w:hint="eastAsia" w:ascii="楷体" w:hAnsi="楷体" w:eastAsia="楷体" w:cs="楷体"/>
          <w:color w:val="auto"/>
          <w:kern w:val="0"/>
          <w:sz w:val="24"/>
          <w:u w:val="single"/>
        </w:rPr>
        <w:t xml:space="preserve">  顺延工期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（6）发包人无正当理由没有在约定期限内发出复工指示，导致承包人无法复工的违约责任：</w:t>
      </w:r>
      <w:r>
        <w:rPr>
          <w:rFonts w:hint="eastAsia" w:ascii="楷体" w:hAnsi="楷体" w:eastAsia="楷体" w:cs="楷体"/>
          <w:color w:val="auto"/>
          <w:kern w:val="0"/>
          <w:sz w:val="24"/>
          <w:u w:val="single"/>
        </w:rPr>
        <w:t xml:space="preserve">            顺延工期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（7）其他：</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16.1.3 因发包人违约解除合同</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承包人按16.1.1项〔发包人违约的情形〕约定暂停施工满</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天后发包人仍不纠正其违约行为并致使合同目的不能实现的，承包人有权解除合同。</w:t>
      </w:r>
    </w:p>
    <w:p>
      <w:pPr>
        <w:spacing w:after="120" w:line="360" w:lineRule="auto"/>
        <w:ind w:firstLine="480" w:firstLineChars="200"/>
        <w:rPr>
          <w:rFonts w:hint="eastAsia" w:ascii="楷体" w:hAnsi="楷体" w:eastAsia="楷体" w:cs="楷体"/>
          <w:color w:val="auto"/>
          <w:sz w:val="24"/>
        </w:rPr>
      </w:pPr>
      <w:bookmarkStart w:id="797" w:name="_Toc11204"/>
      <w:bookmarkStart w:id="798" w:name="_Toc24957"/>
      <w:bookmarkStart w:id="799" w:name="_Toc31084"/>
      <w:bookmarkStart w:id="800" w:name="_Toc1520"/>
      <w:bookmarkStart w:id="801" w:name="_Toc17293"/>
      <w:bookmarkStart w:id="802" w:name="_Toc15750"/>
      <w:bookmarkStart w:id="803" w:name="_Toc18167"/>
      <w:r>
        <w:rPr>
          <w:rFonts w:hint="eastAsia" w:ascii="楷体" w:hAnsi="楷体" w:eastAsia="楷体" w:cs="楷体"/>
          <w:color w:val="auto"/>
          <w:sz w:val="24"/>
        </w:rPr>
        <w:t>16.2 承包人违约</w:t>
      </w:r>
      <w:bookmarkEnd w:id="797"/>
      <w:bookmarkEnd w:id="798"/>
      <w:bookmarkEnd w:id="799"/>
      <w:bookmarkEnd w:id="800"/>
      <w:bookmarkEnd w:id="801"/>
      <w:bookmarkEnd w:id="802"/>
      <w:bookmarkEnd w:id="803"/>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16.2.1 承包人违约的情形</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rPr>
        <w:t>承包人违约的其他情形：</w:t>
      </w:r>
      <w:r>
        <w:rPr>
          <w:rFonts w:hint="eastAsia" w:ascii="楷体" w:hAnsi="楷体" w:eastAsia="楷体" w:cs="楷体"/>
          <w:color w:val="auto"/>
          <w:kern w:val="0"/>
          <w:sz w:val="24"/>
          <w:u w:val="single"/>
        </w:rPr>
        <w:t xml:space="preserve"> 1）未经发包人许可，擅自采购暂定材料设备表以 外设备及材料的或未经准用批准使用的；2）未经发包人许可，擅自施工发包人分包专业工程的；3）任何原因的农民工闹事，每次向发包方支付 1 万元违约金； 4）合同补充条款规定的其他情形；5）承包人不得以变更或签证价格未确定为理由而拒绝施工；6）承包人不得以发包方暂时（2 月内）的工程款支付不及时而影响工期，发包方不予追加工期；7）承包人的工程资料必须与工程进度同步。</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16.2.2承包人违约的责任</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rPr>
        <w:t>承包人违约责任的承担方式和计算方法：</w:t>
      </w:r>
      <w:r>
        <w:rPr>
          <w:rFonts w:hint="eastAsia" w:ascii="楷体" w:hAnsi="楷体" w:eastAsia="楷体" w:cs="楷体"/>
          <w:color w:val="auto"/>
          <w:kern w:val="0"/>
          <w:sz w:val="24"/>
          <w:u w:val="single"/>
        </w:rPr>
        <w:t xml:space="preserve">   承包人出现 16.2.1 条中 1、2 条 </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u w:val="single"/>
        </w:rPr>
        <w:t>描述的违约情况时，每发现一次向发包方支付违约金 1 万元。承包人出现 16.2.1 条中 5、7 条描述的违约情况时，每发现一次向发包方支付违约金 1000 元。</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16.2.3 因承包人违约解除合同</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关于承包人违约解除合同的特别约定：</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rPr>
        <w:t>。</w:t>
      </w:r>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kern w:val="0"/>
          <w:sz w:val="24"/>
        </w:rPr>
        <w:t>发包人继续使用承包人在施工现场的材料、设备、临时工程、承包人文件和由承包人或以其名义编制的其他文件的费用承担方式：</w:t>
      </w:r>
      <w:r>
        <w:rPr>
          <w:rFonts w:hint="eastAsia" w:ascii="楷体" w:hAnsi="楷体" w:eastAsia="楷体" w:cs="楷体"/>
          <w:color w:val="auto"/>
          <w:kern w:val="0"/>
          <w:sz w:val="24"/>
          <w:u w:val="single"/>
        </w:rPr>
        <w:t>工程材料设备由发包人按照承包人的采购价使用，但不得高于承包人投标报价中的材料单价；临时工程、承包人文件和由承包人或以其名义编制的其他文件的由发包人免费使用，施工设备由承包人负责拆除及退场并承担费用</w:t>
      </w:r>
      <w:r>
        <w:rPr>
          <w:rFonts w:hint="eastAsia" w:ascii="楷体" w:hAnsi="楷体" w:eastAsia="楷体" w:cs="楷体"/>
          <w:color w:val="auto"/>
          <w:kern w:val="0"/>
          <w:sz w:val="24"/>
        </w:rPr>
        <w:t>。</w:t>
      </w:r>
    </w:p>
    <w:p>
      <w:pPr>
        <w:numPr>
          <w:ilvl w:val="3"/>
          <w:numId w:val="0"/>
        </w:numPr>
        <w:spacing w:before="120" w:after="120" w:line="360" w:lineRule="auto"/>
        <w:rPr>
          <w:rFonts w:hint="eastAsia" w:ascii="楷体" w:hAnsi="楷体" w:eastAsia="楷体" w:cs="楷体"/>
          <w:color w:val="auto"/>
          <w:sz w:val="24"/>
        </w:rPr>
      </w:pPr>
      <w:bookmarkStart w:id="804" w:name="_Toc29924"/>
      <w:r>
        <w:rPr>
          <w:rFonts w:hint="eastAsia" w:ascii="楷体" w:hAnsi="楷体" w:eastAsia="楷体" w:cs="楷体"/>
          <w:color w:val="auto"/>
          <w:sz w:val="24"/>
        </w:rPr>
        <w:t>17. 不可抗力</w:t>
      </w:r>
      <w:bookmarkEnd w:id="804"/>
      <w:r>
        <w:rPr>
          <w:rFonts w:hint="eastAsia" w:ascii="楷体" w:hAnsi="楷体" w:eastAsia="楷体" w:cs="楷体"/>
          <w:color w:val="auto"/>
          <w:sz w:val="24"/>
        </w:rPr>
        <w:t xml:space="preserve"> </w:t>
      </w:r>
      <w:bookmarkEnd w:id="788"/>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17.1 不可抗力的确认</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sz w:val="24"/>
        </w:rPr>
        <w:t>除通用合同条款约定的不可抗力事件之外，视为不可抗力的其他情形：</w:t>
      </w:r>
      <w:r>
        <w:rPr>
          <w:rFonts w:hint="eastAsia" w:ascii="楷体" w:hAnsi="楷体" w:eastAsia="楷体" w:cs="楷体"/>
          <w:color w:val="auto"/>
          <w:kern w:val="0"/>
          <w:sz w:val="24"/>
          <w:u w:val="single"/>
        </w:rPr>
        <w:t xml:space="preserve">  洪 </w:t>
      </w:r>
    </w:p>
    <w:p>
      <w:pPr>
        <w:spacing w:line="360" w:lineRule="auto"/>
        <w:ind w:firstLine="480" w:firstLineChars="200"/>
        <w:jc w:val="left"/>
        <w:rPr>
          <w:rFonts w:hint="eastAsia" w:ascii="楷体" w:hAnsi="楷体" w:eastAsia="楷体" w:cs="楷体"/>
          <w:color w:val="auto"/>
          <w:kern w:val="0"/>
          <w:sz w:val="24"/>
          <w:u w:val="single"/>
        </w:rPr>
      </w:pPr>
      <w:r>
        <w:rPr>
          <w:rFonts w:hint="eastAsia" w:ascii="楷体" w:hAnsi="楷体" w:eastAsia="楷体" w:cs="楷体"/>
          <w:color w:val="auto"/>
          <w:kern w:val="0"/>
          <w:sz w:val="24"/>
          <w:u w:val="single"/>
        </w:rPr>
        <w:t>58水、工程场地 50km 范围内五级以上地震以及战争、动乱、空中飞行物体坠落或 其它非发包人、承包人责任造成的爆炸、火灾等。</w:t>
      </w:r>
    </w:p>
    <w:p>
      <w:pPr>
        <w:spacing w:after="120" w:line="360" w:lineRule="auto"/>
        <w:ind w:firstLine="480" w:firstLineChars="200"/>
        <w:rPr>
          <w:rFonts w:hint="eastAsia" w:ascii="楷体" w:hAnsi="楷体" w:eastAsia="楷体" w:cs="楷体"/>
          <w:color w:val="auto"/>
          <w:sz w:val="24"/>
        </w:rPr>
      </w:pPr>
      <w:bookmarkStart w:id="805" w:name="_Toc3686"/>
      <w:bookmarkStart w:id="806" w:name="_Toc1347"/>
      <w:bookmarkStart w:id="807" w:name="_Toc18692"/>
      <w:bookmarkStart w:id="808" w:name="_Toc1083"/>
      <w:bookmarkStart w:id="809" w:name="_Toc25211"/>
      <w:bookmarkStart w:id="810" w:name="_Toc4919"/>
      <w:bookmarkStart w:id="811" w:name="_Toc7023"/>
      <w:r>
        <w:rPr>
          <w:rFonts w:hint="eastAsia" w:ascii="楷体" w:hAnsi="楷体" w:eastAsia="楷体" w:cs="楷体"/>
          <w:color w:val="auto"/>
          <w:sz w:val="24"/>
        </w:rPr>
        <w:t>17.4 因不可抗力解除合同</w:t>
      </w:r>
      <w:bookmarkEnd w:id="805"/>
      <w:bookmarkEnd w:id="806"/>
      <w:bookmarkEnd w:id="807"/>
      <w:bookmarkEnd w:id="808"/>
      <w:bookmarkEnd w:id="809"/>
      <w:bookmarkEnd w:id="810"/>
      <w:bookmarkEnd w:id="811"/>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合同解除后，发包人应在商定或确定发包人应支付款项后</w:t>
      </w:r>
      <w:r>
        <w:rPr>
          <w:rFonts w:hint="eastAsia" w:ascii="楷体" w:hAnsi="楷体" w:eastAsia="楷体" w:cs="楷体"/>
          <w:color w:val="auto"/>
          <w:sz w:val="24"/>
          <w:u w:val="single"/>
        </w:rPr>
        <w:t xml:space="preserve">  28  </w:t>
      </w:r>
      <w:r>
        <w:rPr>
          <w:rFonts w:hint="eastAsia" w:ascii="楷体" w:hAnsi="楷体" w:eastAsia="楷体" w:cs="楷体"/>
          <w:color w:val="auto"/>
          <w:sz w:val="24"/>
        </w:rPr>
        <w:t>天内完成款项的支付。</w:t>
      </w:r>
    </w:p>
    <w:p>
      <w:pPr>
        <w:numPr>
          <w:ilvl w:val="3"/>
          <w:numId w:val="0"/>
        </w:numPr>
        <w:spacing w:before="120" w:after="120" w:line="360" w:lineRule="auto"/>
        <w:rPr>
          <w:rFonts w:hint="eastAsia" w:ascii="楷体" w:hAnsi="楷体" w:eastAsia="楷体" w:cs="楷体"/>
          <w:color w:val="auto"/>
          <w:sz w:val="24"/>
        </w:rPr>
      </w:pPr>
      <w:bookmarkStart w:id="812" w:name="_Toc9645"/>
      <w:r>
        <w:rPr>
          <w:rFonts w:hint="eastAsia" w:ascii="楷体" w:hAnsi="楷体" w:eastAsia="楷体" w:cs="楷体"/>
          <w:color w:val="auto"/>
          <w:sz w:val="24"/>
        </w:rPr>
        <w:t>18. 保险</w:t>
      </w:r>
      <w:bookmarkEnd w:id="812"/>
    </w:p>
    <w:bookmarkEnd w:id="789"/>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18.1 工程保险</w:t>
      </w:r>
    </w:p>
    <w:p>
      <w:pPr>
        <w:spacing w:line="360" w:lineRule="auto"/>
        <w:ind w:firstLine="480" w:firstLineChars="200"/>
        <w:jc w:val="left"/>
        <w:rPr>
          <w:rFonts w:hint="default" w:ascii="楷体" w:hAnsi="楷体" w:eastAsia="楷体" w:cs="楷体"/>
          <w:color w:val="auto"/>
          <w:kern w:val="0"/>
          <w:sz w:val="24"/>
          <w:u w:val="single"/>
          <w:lang w:val="en-US"/>
        </w:rPr>
      </w:pPr>
      <w:r>
        <w:rPr>
          <w:rFonts w:hint="eastAsia" w:ascii="楷体" w:hAnsi="楷体" w:eastAsia="楷体" w:cs="楷体"/>
          <w:color w:val="auto"/>
          <w:sz w:val="24"/>
        </w:rPr>
        <w:t>关于工程保险的特别约定：</w:t>
      </w:r>
      <w:r>
        <w:rPr>
          <w:rFonts w:hint="eastAsia" w:ascii="楷体" w:hAnsi="楷体" w:eastAsia="楷体" w:cs="楷体"/>
          <w:color w:val="auto"/>
          <w:kern w:val="0"/>
          <w:sz w:val="24"/>
          <w:u w:val="single"/>
        </w:rPr>
        <w:t xml:space="preserve">  </w:t>
      </w:r>
      <w:r>
        <w:rPr>
          <w:rFonts w:hint="eastAsia" w:ascii="楷体" w:hAnsi="楷体" w:eastAsia="楷体" w:cs="楷体"/>
          <w:color w:val="auto"/>
          <w:kern w:val="0"/>
          <w:sz w:val="24"/>
          <w:u w:val="single"/>
          <w:lang w:val="en-US" w:eastAsia="zh-CN"/>
        </w:rPr>
        <w:t xml:space="preserve">               </w:t>
      </w:r>
    </w:p>
    <w:p>
      <w:pPr>
        <w:spacing w:after="120" w:line="360" w:lineRule="auto"/>
        <w:ind w:firstLine="480" w:firstLineChars="200"/>
        <w:rPr>
          <w:rFonts w:hint="eastAsia" w:ascii="楷体" w:hAnsi="楷体" w:eastAsia="楷体" w:cs="楷体"/>
          <w:color w:val="auto"/>
          <w:sz w:val="24"/>
        </w:rPr>
      </w:pPr>
      <w:bookmarkStart w:id="813" w:name="_Toc30804"/>
      <w:bookmarkStart w:id="814" w:name="_Toc23619"/>
      <w:bookmarkStart w:id="815" w:name="_Toc12555"/>
      <w:bookmarkStart w:id="816" w:name="_Toc6269"/>
      <w:bookmarkStart w:id="817" w:name="_Toc22724"/>
      <w:bookmarkStart w:id="818" w:name="_Toc24037"/>
      <w:bookmarkStart w:id="819" w:name="_Toc11140"/>
      <w:r>
        <w:rPr>
          <w:rFonts w:hint="eastAsia" w:ascii="楷体" w:hAnsi="楷体" w:eastAsia="楷体" w:cs="楷体"/>
          <w:color w:val="auto"/>
          <w:sz w:val="24"/>
        </w:rPr>
        <w:t>18.3 其他保险</w:t>
      </w:r>
      <w:bookmarkEnd w:id="813"/>
      <w:bookmarkEnd w:id="814"/>
      <w:bookmarkEnd w:id="815"/>
      <w:bookmarkEnd w:id="816"/>
      <w:bookmarkEnd w:id="817"/>
      <w:bookmarkEnd w:id="818"/>
      <w:bookmarkEnd w:id="819"/>
    </w:p>
    <w:p>
      <w:pPr>
        <w:spacing w:line="360" w:lineRule="auto"/>
        <w:ind w:firstLine="480" w:firstLineChars="200"/>
        <w:jc w:val="left"/>
        <w:rPr>
          <w:rFonts w:hint="eastAsia" w:ascii="楷体" w:hAnsi="楷体" w:eastAsia="楷体" w:cs="楷体"/>
          <w:color w:val="auto"/>
          <w:kern w:val="0"/>
          <w:sz w:val="24"/>
        </w:rPr>
      </w:pPr>
      <w:r>
        <w:rPr>
          <w:rFonts w:hint="eastAsia" w:ascii="楷体" w:hAnsi="楷体" w:eastAsia="楷体" w:cs="楷体"/>
          <w:color w:val="auto"/>
          <w:sz w:val="24"/>
        </w:rPr>
        <w:t>关于其他保险的约定：</w:t>
      </w:r>
      <w:r>
        <w:rPr>
          <w:rFonts w:hint="eastAsia" w:ascii="楷体" w:hAnsi="楷体" w:eastAsia="楷体" w:cs="楷体"/>
          <w:color w:val="auto"/>
          <w:kern w:val="0"/>
          <w:sz w:val="24"/>
          <w:u w:val="single"/>
        </w:rPr>
        <w:t xml:space="preserve">  由承包人承担施工现场的全部人员办理意外伤害保险 并支付保险费用，以上全部人员包括发包人和承包人员工以及为履行合同聘请的第三方人员                           </w:t>
      </w:r>
      <w:r>
        <w:rPr>
          <w:rFonts w:hint="eastAsia" w:ascii="楷体" w:hAnsi="楷体" w:eastAsia="楷体" w:cs="楷体"/>
          <w:color w:val="auto"/>
          <w:kern w:val="0"/>
          <w:sz w:val="24"/>
        </w:rPr>
        <w:t>。</w:t>
      </w:r>
    </w:p>
    <w:p>
      <w:pPr>
        <w:spacing w:line="360" w:lineRule="auto"/>
        <w:jc w:val="left"/>
        <w:rPr>
          <w:rFonts w:ascii="楷体" w:hAnsi="楷体" w:eastAsia="楷体" w:cs="楷体"/>
          <w:color w:val="auto"/>
          <w:sz w:val="24"/>
          <w:u w:val="single"/>
        </w:rPr>
      </w:pPr>
      <w:r>
        <w:rPr>
          <w:rFonts w:hint="eastAsia" w:ascii="楷体" w:hAnsi="楷体" w:eastAsia="楷体" w:cs="楷体"/>
          <w:color w:val="auto"/>
          <w:sz w:val="24"/>
        </w:rPr>
        <w:t>承包人是否应为其施工设备等办理财产保险：</w:t>
      </w:r>
      <w:r>
        <w:rPr>
          <w:rFonts w:hint="eastAsia" w:ascii="楷体" w:hAnsi="楷体" w:eastAsia="楷体" w:cs="楷体"/>
          <w:color w:val="auto"/>
          <w:sz w:val="24"/>
          <w:u w:val="single"/>
        </w:rPr>
        <w:t xml:space="preserve">    办理        。</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18.7 通知义务</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kern w:val="0"/>
          <w:sz w:val="24"/>
        </w:rPr>
        <w:t>关于变更保险合同时的通知义务的约定：</w:t>
      </w:r>
      <w:r>
        <w:rPr>
          <w:rFonts w:hint="eastAsia" w:ascii="楷体" w:hAnsi="楷体" w:eastAsia="楷体" w:cs="楷体"/>
          <w:color w:val="auto"/>
          <w:sz w:val="24"/>
          <w:u w:val="single"/>
        </w:rPr>
        <w:t xml:space="preserve">    执行通用合同条款</w:t>
      </w:r>
      <w:r>
        <w:rPr>
          <w:rFonts w:hint="eastAsia" w:ascii="楷体" w:hAnsi="楷体" w:eastAsia="楷体" w:cs="楷体"/>
          <w:color w:val="auto"/>
          <w:sz w:val="24"/>
        </w:rPr>
        <w:t>。</w:t>
      </w:r>
    </w:p>
    <w:bookmarkEnd w:id="738"/>
    <w:bookmarkEnd w:id="739"/>
    <w:bookmarkEnd w:id="740"/>
    <w:bookmarkEnd w:id="741"/>
    <w:bookmarkEnd w:id="742"/>
    <w:bookmarkEnd w:id="743"/>
    <w:bookmarkEnd w:id="744"/>
    <w:bookmarkEnd w:id="745"/>
    <w:bookmarkEnd w:id="746"/>
    <w:bookmarkEnd w:id="747"/>
    <w:bookmarkEnd w:id="748"/>
    <w:bookmarkEnd w:id="749"/>
    <w:p>
      <w:pPr>
        <w:numPr>
          <w:ilvl w:val="3"/>
          <w:numId w:val="0"/>
        </w:numPr>
        <w:spacing w:before="120" w:after="120" w:line="360" w:lineRule="auto"/>
        <w:rPr>
          <w:rFonts w:hint="eastAsia" w:ascii="楷体" w:hAnsi="楷体" w:eastAsia="楷体" w:cs="楷体"/>
          <w:color w:val="auto"/>
          <w:sz w:val="24"/>
        </w:rPr>
      </w:pPr>
      <w:bookmarkStart w:id="820" w:name="_Toc25998"/>
      <w:r>
        <w:rPr>
          <w:rFonts w:hint="eastAsia" w:ascii="楷体" w:hAnsi="楷体" w:eastAsia="楷体" w:cs="楷体"/>
          <w:color w:val="auto"/>
          <w:sz w:val="24"/>
        </w:rPr>
        <w:t>20. 争议解决</w:t>
      </w:r>
      <w:bookmarkEnd w:id="820"/>
    </w:p>
    <w:bookmarkEnd w:id="750"/>
    <w:bookmarkEnd w:id="751"/>
    <w:p>
      <w:pPr>
        <w:spacing w:after="120" w:line="360" w:lineRule="auto"/>
        <w:ind w:firstLine="480" w:firstLineChars="200"/>
        <w:rPr>
          <w:rFonts w:hint="eastAsia" w:ascii="楷体" w:hAnsi="楷体" w:eastAsia="楷体" w:cs="楷体"/>
          <w:color w:val="auto"/>
          <w:sz w:val="24"/>
        </w:rPr>
      </w:pPr>
      <w:bookmarkStart w:id="821" w:name="_Toc15975"/>
      <w:bookmarkStart w:id="822" w:name="_Toc21986"/>
      <w:bookmarkStart w:id="823" w:name="_Toc32414"/>
      <w:bookmarkStart w:id="824" w:name="_Toc19318"/>
      <w:bookmarkStart w:id="825" w:name="_Toc13499"/>
      <w:bookmarkStart w:id="826" w:name="_Toc17235"/>
      <w:bookmarkStart w:id="827" w:name="_Toc12003"/>
      <w:r>
        <w:rPr>
          <w:rFonts w:hint="eastAsia" w:ascii="楷体" w:hAnsi="楷体" w:eastAsia="楷体" w:cs="楷体"/>
          <w:color w:val="auto"/>
          <w:sz w:val="24"/>
        </w:rPr>
        <w:t>20.3 争</w:t>
      </w:r>
      <w:bookmarkEnd w:id="752"/>
      <w:r>
        <w:rPr>
          <w:rFonts w:hint="eastAsia" w:ascii="楷体" w:hAnsi="楷体" w:eastAsia="楷体" w:cs="楷体"/>
          <w:color w:val="auto"/>
          <w:sz w:val="24"/>
        </w:rPr>
        <w:t>议评审</w:t>
      </w:r>
      <w:bookmarkEnd w:id="821"/>
      <w:bookmarkEnd w:id="822"/>
      <w:bookmarkEnd w:id="823"/>
      <w:bookmarkEnd w:id="824"/>
      <w:bookmarkEnd w:id="825"/>
      <w:bookmarkEnd w:id="826"/>
      <w:bookmarkEnd w:id="827"/>
    </w:p>
    <w:p>
      <w:pPr>
        <w:spacing w:after="120" w:line="360" w:lineRule="auto"/>
        <w:ind w:firstLine="480" w:firstLineChars="200"/>
        <w:rPr>
          <w:rFonts w:hint="eastAsia" w:ascii="楷体" w:hAnsi="楷体" w:eastAsia="楷体" w:cs="楷体"/>
          <w:color w:val="auto"/>
          <w:sz w:val="24"/>
        </w:rPr>
      </w:pPr>
      <w:bookmarkStart w:id="828" w:name="_Toc7734"/>
      <w:bookmarkStart w:id="829" w:name="_Toc7962"/>
      <w:bookmarkStart w:id="830" w:name="_Toc13328"/>
      <w:bookmarkStart w:id="831" w:name="_Toc9071"/>
      <w:bookmarkStart w:id="832" w:name="_Toc25256"/>
      <w:bookmarkStart w:id="833" w:name="_Toc7629"/>
      <w:r>
        <w:rPr>
          <w:rFonts w:hint="eastAsia" w:ascii="楷体" w:hAnsi="楷体" w:eastAsia="楷体" w:cs="楷体"/>
          <w:color w:val="auto"/>
          <w:sz w:val="24"/>
        </w:rPr>
        <w:t>合同当事人是否同意将工程争议提交争议评审小组决定：</w:t>
      </w:r>
      <w:r>
        <w:rPr>
          <w:rFonts w:hint="eastAsia" w:ascii="楷体" w:hAnsi="楷体" w:eastAsia="楷体" w:cs="楷体"/>
          <w:color w:val="auto"/>
          <w:sz w:val="24"/>
          <w:u w:val="single"/>
        </w:rPr>
        <w:t xml:space="preserve"> 本项目争议按照合同通用条款中和解、调解、仲裁或诉讼的方式解决，不进行争议评审   </w:t>
      </w:r>
      <w:r>
        <w:rPr>
          <w:rFonts w:hint="eastAsia" w:ascii="楷体" w:hAnsi="楷体" w:eastAsia="楷体" w:cs="楷体"/>
          <w:color w:val="auto"/>
          <w:sz w:val="24"/>
        </w:rPr>
        <w:t>。</w:t>
      </w:r>
      <w:bookmarkEnd w:id="828"/>
      <w:bookmarkEnd w:id="829"/>
      <w:bookmarkEnd w:id="830"/>
      <w:bookmarkEnd w:id="831"/>
      <w:bookmarkEnd w:id="832"/>
      <w:bookmarkEnd w:id="833"/>
    </w:p>
    <w:p>
      <w:pPr>
        <w:spacing w:line="360" w:lineRule="auto"/>
        <w:ind w:firstLine="480" w:firstLineChars="200"/>
        <w:jc w:val="left"/>
        <w:rPr>
          <w:rFonts w:hint="eastAsia" w:ascii="楷体" w:hAnsi="楷体" w:eastAsia="楷体" w:cs="楷体"/>
          <w:color w:val="auto"/>
          <w:sz w:val="24"/>
        </w:rPr>
      </w:pPr>
      <w:bookmarkStart w:id="834" w:name="_Toc2000"/>
      <w:bookmarkStart w:id="835" w:name="_Toc9035"/>
      <w:bookmarkStart w:id="836" w:name="_Toc18598"/>
      <w:bookmarkStart w:id="837" w:name="_Toc23308"/>
      <w:bookmarkStart w:id="838" w:name="_Toc10704"/>
      <w:bookmarkStart w:id="839" w:name="_Toc11895"/>
      <w:bookmarkStart w:id="840" w:name="_Toc22727"/>
      <w:r>
        <w:rPr>
          <w:rFonts w:hint="eastAsia" w:ascii="楷体" w:hAnsi="楷体" w:eastAsia="楷体" w:cs="楷体"/>
          <w:color w:val="auto"/>
          <w:sz w:val="24"/>
        </w:rPr>
        <w:t>20.3.1 争议评审小组的确定</w:t>
      </w:r>
      <w:bookmarkEnd w:id="834"/>
      <w:bookmarkEnd w:id="835"/>
      <w:bookmarkEnd w:id="836"/>
      <w:bookmarkEnd w:id="837"/>
      <w:bookmarkEnd w:id="838"/>
      <w:bookmarkEnd w:id="839"/>
      <w:bookmarkEnd w:id="840"/>
    </w:p>
    <w:p>
      <w:pPr>
        <w:spacing w:line="360" w:lineRule="auto"/>
        <w:ind w:firstLine="480" w:firstLineChars="200"/>
        <w:jc w:val="left"/>
        <w:rPr>
          <w:rFonts w:hint="eastAsia" w:ascii="楷体" w:hAnsi="楷体" w:eastAsia="楷体" w:cs="楷体"/>
          <w:color w:val="auto"/>
          <w:sz w:val="24"/>
          <w:u w:val="single"/>
        </w:rPr>
      </w:pPr>
      <w:r>
        <w:rPr>
          <w:rFonts w:hint="eastAsia" w:ascii="楷体" w:hAnsi="楷体" w:eastAsia="楷体" w:cs="楷体"/>
          <w:color w:val="auto"/>
          <w:sz w:val="24"/>
        </w:rPr>
        <w:t>争议评审小组成员的确定：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选定争议评审员的期限：</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争议评审小组成员的报酬承担方式：</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其他事项的约定：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autoSpaceDE w:val="0"/>
        <w:autoSpaceDN w:val="0"/>
        <w:adjustRightInd w:val="0"/>
        <w:spacing w:line="360" w:lineRule="auto"/>
        <w:ind w:firstLine="480" w:firstLineChars="200"/>
        <w:jc w:val="left"/>
        <w:rPr>
          <w:rFonts w:hint="eastAsia" w:ascii="楷体" w:hAnsi="楷体" w:eastAsia="楷体" w:cs="楷体"/>
          <w:color w:val="auto"/>
          <w:kern w:val="0"/>
          <w:sz w:val="24"/>
        </w:rPr>
      </w:pPr>
      <w:bookmarkStart w:id="841" w:name="_Toc31683"/>
      <w:bookmarkStart w:id="842" w:name="_Toc29794"/>
      <w:bookmarkStart w:id="843" w:name="_Toc25208"/>
      <w:bookmarkStart w:id="844" w:name="_Toc4967"/>
      <w:bookmarkStart w:id="845" w:name="_Toc202"/>
      <w:bookmarkStart w:id="846" w:name="_Toc4687"/>
      <w:bookmarkStart w:id="847" w:name="_Toc1254"/>
      <w:r>
        <w:rPr>
          <w:rFonts w:hint="eastAsia" w:ascii="楷体" w:hAnsi="楷体" w:eastAsia="楷体" w:cs="楷体"/>
          <w:color w:val="auto"/>
          <w:kern w:val="0"/>
          <w:sz w:val="24"/>
        </w:rPr>
        <w:t>20.3.2 争议评审小组的决定</w:t>
      </w:r>
      <w:bookmarkEnd w:id="841"/>
      <w:bookmarkEnd w:id="842"/>
      <w:bookmarkEnd w:id="843"/>
      <w:bookmarkEnd w:id="844"/>
      <w:bookmarkEnd w:id="845"/>
      <w:bookmarkEnd w:id="846"/>
      <w:bookmarkEnd w:id="847"/>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合同当事人关于本项的约定：</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after="120" w:line="360" w:lineRule="auto"/>
        <w:ind w:firstLine="480" w:firstLineChars="200"/>
        <w:rPr>
          <w:rFonts w:hint="eastAsia" w:ascii="楷体" w:hAnsi="楷体" w:eastAsia="楷体" w:cs="楷体"/>
          <w:color w:val="auto"/>
          <w:sz w:val="24"/>
        </w:rPr>
      </w:pPr>
      <w:bookmarkStart w:id="848" w:name="_Toc22999"/>
      <w:bookmarkStart w:id="849" w:name="_Toc18498"/>
      <w:bookmarkStart w:id="850" w:name="_Toc13697"/>
      <w:bookmarkStart w:id="851" w:name="_Toc10240"/>
      <w:bookmarkStart w:id="852" w:name="_Toc12635"/>
      <w:bookmarkStart w:id="853" w:name="_Toc23321"/>
      <w:bookmarkStart w:id="854" w:name="_Toc32479"/>
      <w:r>
        <w:rPr>
          <w:rFonts w:hint="eastAsia" w:ascii="楷体" w:hAnsi="楷体" w:eastAsia="楷体" w:cs="楷体"/>
          <w:color w:val="auto"/>
          <w:sz w:val="24"/>
        </w:rPr>
        <w:t>20.4仲裁或诉讼</w:t>
      </w:r>
      <w:bookmarkEnd w:id="753"/>
      <w:bookmarkEnd w:id="848"/>
      <w:bookmarkEnd w:id="849"/>
      <w:bookmarkEnd w:id="850"/>
      <w:bookmarkEnd w:id="851"/>
      <w:bookmarkEnd w:id="852"/>
      <w:bookmarkEnd w:id="853"/>
      <w:bookmarkEnd w:id="854"/>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因合同及合同有关事项发生的争议，按下列第</w:t>
      </w:r>
      <w:r>
        <w:rPr>
          <w:rFonts w:hint="eastAsia" w:ascii="楷体" w:hAnsi="楷体" w:eastAsia="楷体" w:cs="楷体"/>
          <w:color w:val="auto"/>
          <w:sz w:val="24"/>
          <w:u w:val="single"/>
        </w:rPr>
        <w:t xml:space="preserve">  2   </w:t>
      </w:r>
      <w:r>
        <w:rPr>
          <w:rFonts w:hint="eastAsia" w:ascii="楷体" w:hAnsi="楷体" w:eastAsia="楷体" w:cs="楷体"/>
          <w:color w:val="auto"/>
          <w:sz w:val="24"/>
        </w:rPr>
        <w:t>种方式解决：</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（1）向</w:t>
      </w:r>
      <w:r>
        <w:rPr>
          <w:rFonts w:hint="eastAsia" w:ascii="楷体" w:hAnsi="楷体" w:eastAsia="楷体" w:cs="楷体"/>
          <w:color w:val="auto"/>
          <w:sz w:val="24"/>
          <w:u w:val="single"/>
        </w:rPr>
        <w:t xml:space="preserve">                     </w:t>
      </w:r>
      <w:r>
        <w:rPr>
          <w:rFonts w:hint="eastAsia" w:ascii="楷体" w:hAnsi="楷体" w:eastAsia="楷体" w:cs="楷体"/>
          <w:color w:val="auto"/>
          <w:sz w:val="24"/>
        </w:rPr>
        <w:t>仲裁委员会申请仲裁；</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（2）向</w:t>
      </w:r>
      <w:r>
        <w:rPr>
          <w:rFonts w:hint="eastAsia" w:ascii="楷体" w:hAnsi="楷体" w:eastAsia="楷体" w:cs="楷体"/>
          <w:color w:val="auto"/>
          <w:sz w:val="24"/>
          <w:u w:val="single"/>
        </w:rPr>
        <w:t xml:space="preserve">        项目所在地             </w:t>
      </w:r>
      <w:r>
        <w:rPr>
          <w:rFonts w:hint="eastAsia" w:ascii="楷体" w:hAnsi="楷体" w:eastAsia="楷体" w:cs="楷体"/>
          <w:color w:val="auto"/>
          <w:sz w:val="24"/>
        </w:rPr>
        <w:t>人民法院起诉。</w:t>
      </w:r>
      <w:bookmarkEnd w:id="754"/>
      <w:bookmarkEnd w:id="755"/>
      <w:bookmarkEnd w:id="756"/>
      <w:bookmarkEnd w:id="757"/>
      <w:bookmarkEnd w:id="758"/>
      <w:bookmarkEnd w:id="759"/>
    </w:p>
    <w:p>
      <w:pPr>
        <w:rPr>
          <w:rFonts w:hint="eastAsia" w:ascii="楷体" w:hAnsi="楷体" w:eastAsia="楷体" w:cs="楷体"/>
          <w:b/>
          <w:color w:val="auto"/>
          <w:sz w:val="24"/>
        </w:rPr>
      </w:pPr>
      <w:r>
        <w:rPr>
          <w:rFonts w:hint="eastAsia" w:ascii="楷体" w:hAnsi="楷体" w:eastAsia="楷体" w:cs="楷体"/>
          <w:b/>
          <w:color w:val="auto"/>
          <w:sz w:val="24"/>
        </w:rPr>
        <w:br w:type="page"/>
      </w:r>
    </w:p>
    <w:p>
      <w:pPr>
        <w:spacing w:line="360" w:lineRule="auto"/>
        <w:jc w:val="left"/>
        <w:rPr>
          <w:rFonts w:hint="eastAsia" w:ascii="楷体" w:hAnsi="楷体" w:eastAsia="楷体" w:cs="楷体"/>
          <w:b/>
          <w:color w:val="auto"/>
          <w:sz w:val="24"/>
        </w:rPr>
      </w:pPr>
      <w:bookmarkStart w:id="855" w:name="_Toc351203652"/>
      <w:r>
        <w:rPr>
          <w:rFonts w:hint="eastAsia" w:ascii="楷体" w:hAnsi="楷体" w:eastAsia="楷体" w:cs="楷体"/>
          <w:b/>
          <w:color w:val="auto"/>
          <w:sz w:val="24"/>
        </w:rPr>
        <w:t>附件</w:t>
      </w:r>
      <w:bookmarkEnd w:id="855"/>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协议书附件：</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附件1：承包人承揽工程项目一览表</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专用合同条款附件：</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附件2：发包人供应材料设备一览表</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附件3：工程质量保修书</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附件4：主要建设工程文件目录</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附件5：承包人用于本工程施工的机械设备表</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附件6：承包人主要施工管理人员表</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附件7：分包人主要施工管理人员表</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附件8：履约担保格式</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附件9：预付款担保格式</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附件10：支付担保格式</w:t>
      </w:r>
    </w:p>
    <w:p>
      <w:pPr>
        <w:spacing w:line="360" w:lineRule="auto"/>
        <w:jc w:val="left"/>
        <w:rPr>
          <w:rFonts w:hint="eastAsia" w:ascii="楷体" w:hAnsi="楷体" w:eastAsia="楷体" w:cs="楷体"/>
          <w:color w:val="auto"/>
          <w:sz w:val="24"/>
        </w:rPr>
        <w:sectPr>
          <w:pgSz w:w="11906" w:h="16838"/>
          <w:pgMar w:top="1418" w:right="1555" w:bottom="1418" w:left="1531" w:header="851" w:footer="992" w:gutter="0"/>
          <w:pgNumType w:fmt="decimal"/>
          <w:cols w:space="720" w:num="1"/>
          <w:titlePg/>
          <w:docGrid w:type="lines" w:linePitch="312" w:charSpace="0"/>
        </w:sectPr>
      </w:pPr>
      <w:r>
        <w:rPr>
          <w:rFonts w:hint="eastAsia" w:ascii="楷体" w:hAnsi="楷体" w:eastAsia="楷体" w:cs="楷体"/>
          <w:color w:val="auto"/>
          <w:sz w:val="24"/>
        </w:rPr>
        <w:t>附件11：暂估价一览表</w:t>
      </w:r>
    </w:p>
    <w:p>
      <w:pPr>
        <w:spacing w:before="156" w:beforeLines="50" w:after="156" w:afterLines="50" w:line="440" w:lineRule="exact"/>
        <w:jc w:val="left"/>
        <w:rPr>
          <w:rFonts w:hint="eastAsia" w:ascii="楷体" w:hAnsi="楷体" w:eastAsia="楷体" w:cs="楷体"/>
          <w:color w:val="auto"/>
          <w:sz w:val="24"/>
        </w:rPr>
      </w:pPr>
      <w:r>
        <w:rPr>
          <w:rFonts w:hint="eastAsia" w:ascii="楷体" w:hAnsi="楷体" w:eastAsia="楷体" w:cs="楷体"/>
          <w:color w:val="auto"/>
          <w:sz w:val="24"/>
        </w:rPr>
        <w:t>附件1：</w:t>
      </w:r>
    </w:p>
    <w:p>
      <w:pPr>
        <w:spacing w:before="156" w:beforeLines="50" w:after="156"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承包人承揽工程项目一览表</w:t>
      </w:r>
    </w:p>
    <w:tbl>
      <w:tblPr>
        <w:tblStyle w:val="13"/>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单位工程名称</w:t>
            </w:r>
          </w:p>
        </w:tc>
        <w:tc>
          <w:tcPr>
            <w:tcW w:w="1843"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建设规模</w:t>
            </w:r>
          </w:p>
        </w:tc>
        <w:tc>
          <w:tcPr>
            <w:tcW w:w="1417"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建筑面积(平方米)</w:t>
            </w:r>
          </w:p>
        </w:tc>
        <w:tc>
          <w:tcPr>
            <w:tcW w:w="241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结构形式</w:t>
            </w:r>
          </w:p>
        </w:tc>
        <w:tc>
          <w:tcPr>
            <w:tcW w:w="85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层数</w:t>
            </w:r>
          </w:p>
        </w:tc>
        <w:tc>
          <w:tcPr>
            <w:tcW w:w="156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生产能力</w:t>
            </w:r>
          </w:p>
        </w:tc>
        <w:tc>
          <w:tcPr>
            <w:tcW w:w="2126"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设备安装内容</w:t>
            </w:r>
          </w:p>
        </w:tc>
        <w:tc>
          <w:tcPr>
            <w:tcW w:w="1417"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合同价格（元）</w:t>
            </w:r>
          </w:p>
        </w:tc>
        <w:tc>
          <w:tcPr>
            <w:tcW w:w="85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开工日期</w:t>
            </w:r>
          </w:p>
        </w:tc>
        <w:tc>
          <w:tcPr>
            <w:tcW w:w="85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843"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241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56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2126"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84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41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56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12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84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41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56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12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3"/>
              <w:keepNext/>
              <w:spacing w:line="440" w:lineRule="exact"/>
              <w:ind w:left="63" w:right="63"/>
              <w:rPr>
                <w:rFonts w:hint="eastAsia" w:ascii="楷体" w:hAnsi="楷体" w:eastAsia="楷体" w:cs="楷体"/>
                <w:color w:val="auto"/>
              </w:rPr>
            </w:pPr>
          </w:p>
        </w:tc>
        <w:tc>
          <w:tcPr>
            <w:tcW w:w="1843"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2410"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560" w:type="dxa"/>
            <w:noWrap w:val="0"/>
            <w:vAlign w:val="center"/>
          </w:tcPr>
          <w:p>
            <w:pPr>
              <w:pStyle w:val="3"/>
              <w:keepNext/>
              <w:spacing w:line="440" w:lineRule="exact"/>
              <w:ind w:left="63" w:right="63"/>
              <w:rPr>
                <w:rFonts w:hint="eastAsia" w:ascii="楷体" w:hAnsi="楷体" w:eastAsia="楷体" w:cs="楷体"/>
                <w:color w:val="auto"/>
              </w:rPr>
            </w:pPr>
          </w:p>
        </w:tc>
        <w:tc>
          <w:tcPr>
            <w:tcW w:w="2126"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84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41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56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12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3"/>
              <w:keepNext/>
              <w:spacing w:line="440" w:lineRule="exact"/>
              <w:ind w:left="63" w:right="63"/>
              <w:rPr>
                <w:rFonts w:hint="eastAsia" w:ascii="楷体" w:hAnsi="楷体" w:eastAsia="楷体" w:cs="楷体"/>
                <w:color w:val="auto"/>
              </w:rPr>
            </w:pPr>
          </w:p>
        </w:tc>
        <w:tc>
          <w:tcPr>
            <w:tcW w:w="1843"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2410"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560" w:type="dxa"/>
            <w:noWrap w:val="0"/>
            <w:vAlign w:val="center"/>
          </w:tcPr>
          <w:p>
            <w:pPr>
              <w:pStyle w:val="3"/>
              <w:keepNext/>
              <w:spacing w:line="440" w:lineRule="exact"/>
              <w:ind w:left="63" w:right="63"/>
              <w:rPr>
                <w:rFonts w:hint="eastAsia" w:ascii="楷体" w:hAnsi="楷体" w:eastAsia="楷体" w:cs="楷体"/>
                <w:color w:val="auto"/>
              </w:rPr>
            </w:pPr>
          </w:p>
        </w:tc>
        <w:tc>
          <w:tcPr>
            <w:tcW w:w="2126"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3"/>
              <w:keepNext/>
              <w:spacing w:line="440" w:lineRule="exact"/>
              <w:ind w:left="63" w:right="63"/>
              <w:rPr>
                <w:rFonts w:hint="eastAsia" w:ascii="楷体" w:hAnsi="楷体" w:eastAsia="楷体" w:cs="楷体"/>
                <w:color w:val="auto"/>
              </w:rPr>
            </w:pPr>
          </w:p>
        </w:tc>
        <w:tc>
          <w:tcPr>
            <w:tcW w:w="1843"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2410"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560" w:type="dxa"/>
            <w:noWrap w:val="0"/>
            <w:vAlign w:val="center"/>
          </w:tcPr>
          <w:p>
            <w:pPr>
              <w:pStyle w:val="3"/>
              <w:keepNext/>
              <w:spacing w:line="440" w:lineRule="exact"/>
              <w:ind w:left="63" w:right="63"/>
              <w:rPr>
                <w:rFonts w:hint="eastAsia" w:ascii="楷体" w:hAnsi="楷体" w:eastAsia="楷体" w:cs="楷体"/>
                <w:color w:val="auto"/>
              </w:rPr>
            </w:pPr>
          </w:p>
        </w:tc>
        <w:tc>
          <w:tcPr>
            <w:tcW w:w="2126"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84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41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56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212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pPr>
              <w:pStyle w:val="3"/>
              <w:keepNext/>
              <w:spacing w:line="440" w:lineRule="exact"/>
              <w:ind w:left="63" w:right="63"/>
              <w:rPr>
                <w:rFonts w:hint="eastAsia" w:ascii="楷体" w:hAnsi="楷体" w:eastAsia="楷体" w:cs="楷体"/>
                <w:color w:val="auto"/>
              </w:rPr>
            </w:pPr>
          </w:p>
        </w:tc>
        <w:tc>
          <w:tcPr>
            <w:tcW w:w="1843"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2410"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560" w:type="dxa"/>
            <w:noWrap w:val="0"/>
            <w:vAlign w:val="center"/>
          </w:tcPr>
          <w:p>
            <w:pPr>
              <w:pStyle w:val="3"/>
              <w:keepNext/>
              <w:spacing w:line="440" w:lineRule="exact"/>
              <w:ind w:left="63" w:right="63"/>
              <w:rPr>
                <w:rFonts w:hint="eastAsia" w:ascii="楷体" w:hAnsi="楷体" w:eastAsia="楷体" w:cs="楷体"/>
                <w:color w:val="auto"/>
              </w:rPr>
            </w:pPr>
          </w:p>
        </w:tc>
        <w:tc>
          <w:tcPr>
            <w:tcW w:w="2126" w:type="dxa"/>
            <w:noWrap w:val="0"/>
            <w:vAlign w:val="center"/>
          </w:tcPr>
          <w:p>
            <w:pPr>
              <w:pStyle w:val="3"/>
              <w:keepNext/>
              <w:spacing w:line="440" w:lineRule="exact"/>
              <w:ind w:left="63" w:right="63"/>
              <w:rPr>
                <w:rFonts w:hint="eastAsia" w:ascii="楷体" w:hAnsi="楷体" w:eastAsia="楷体" w:cs="楷体"/>
                <w:color w:val="auto"/>
              </w:rPr>
            </w:pPr>
          </w:p>
        </w:tc>
        <w:tc>
          <w:tcPr>
            <w:tcW w:w="1417"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r>
    </w:tbl>
    <w:p>
      <w:pPr>
        <w:spacing w:line="440" w:lineRule="exact"/>
        <w:rPr>
          <w:rFonts w:hint="eastAsia" w:ascii="楷体" w:hAnsi="楷体" w:eastAsia="楷体" w:cs="楷体"/>
          <w:b/>
          <w:color w:val="auto"/>
          <w:sz w:val="24"/>
        </w:rPr>
        <w:sectPr>
          <w:pgSz w:w="16838" w:h="11906" w:orient="landscape"/>
          <w:pgMar w:top="1554" w:right="1418" w:bottom="1531" w:left="1418" w:header="851" w:footer="992" w:gutter="0"/>
          <w:pgNumType w:fmt="decimal"/>
          <w:cols w:space="720" w:num="1"/>
          <w:titlePg/>
          <w:docGrid w:type="linesAndChars" w:linePitch="312" w:charSpace="0"/>
        </w:sectPr>
      </w:pPr>
    </w:p>
    <w:p>
      <w:pPr>
        <w:spacing w:line="440" w:lineRule="exact"/>
        <w:rPr>
          <w:rFonts w:hint="eastAsia" w:ascii="楷体" w:hAnsi="楷体" w:eastAsia="楷体" w:cs="楷体"/>
          <w:color w:val="auto"/>
          <w:sz w:val="24"/>
        </w:rPr>
      </w:pPr>
      <w:r>
        <w:rPr>
          <w:rFonts w:hint="eastAsia" w:ascii="楷体" w:hAnsi="楷体" w:eastAsia="楷体" w:cs="楷体"/>
          <w:color w:val="auto"/>
          <w:sz w:val="24"/>
        </w:rPr>
        <w:t>附</w:t>
      </w:r>
      <w:bookmarkStart w:id="856" w:name="_Toc267261692"/>
      <w:bookmarkStart w:id="857" w:name="_Toc296503225"/>
      <w:bookmarkStart w:id="858" w:name="_Toc296891265"/>
      <w:bookmarkStart w:id="859" w:name="_Toc296944564"/>
      <w:bookmarkStart w:id="860" w:name="_Toc296346726"/>
      <w:bookmarkStart w:id="861" w:name="_Toc296891053"/>
      <w:bookmarkStart w:id="862" w:name="_Toc296347224"/>
      <w:r>
        <w:rPr>
          <w:rFonts w:hint="eastAsia" w:ascii="楷体" w:hAnsi="楷体" w:eastAsia="楷体" w:cs="楷体"/>
          <w:color w:val="auto"/>
          <w:sz w:val="24"/>
        </w:rPr>
        <w:t>件2：</w:t>
      </w:r>
    </w:p>
    <w:bookmarkEnd w:id="856"/>
    <w:bookmarkEnd w:id="857"/>
    <w:bookmarkEnd w:id="858"/>
    <w:bookmarkEnd w:id="859"/>
    <w:bookmarkEnd w:id="860"/>
    <w:bookmarkEnd w:id="861"/>
    <w:bookmarkEnd w:id="862"/>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发包人供应材料设备一览表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序号</w:t>
            </w:r>
          </w:p>
        </w:tc>
        <w:tc>
          <w:tcPr>
            <w:tcW w:w="1276"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 xml:space="preserve">  材料、</w:t>
            </w:r>
          </w:p>
          <w:p>
            <w:pPr>
              <w:pStyle w:val="3"/>
              <w:keepNext/>
              <w:spacing w:line="440" w:lineRule="exact"/>
              <w:ind w:right="63"/>
              <w:rPr>
                <w:rFonts w:hint="eastAsia" w:ascii="楷体" w:hAnsi="楷体" w:eastAsia="楷体" w:cs="楷体"/>
                <w:color w:val="auto"/>
              </w:rPr>
            </w:pPr>
            <w:r>
              <w:rPr>
                <w:rFonts w:hint="eastAsia" w:ascii="楷体" w:hAnsi="楷体" w:eastAsia="楷体" w:cs="楷体"/>
                <w:color w:val="auto"/>
              </w:rPr>
              <w:t>设备品种</w:t>
            </w:r>
          </w:p>
        </w:tc>
        <w:tc>
          <w:tcPr>
            <w:tcW w:w="1418"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规格型号</w:t>
            </w:r>
          </w:p>
        </w:tc>
        <w:tc>
          <w:tcPr>
            <w:tcW w:w="94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单位</w:t>
            </w:r>
          </w:p>
        </w:tc>
        <w:tc>
          <w:tcPr>
            <w:tcW w:w="85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数量</w:t>
            </w:r>
          </w:p>
        </w:tc>
        <w:tc>
          <w:tcPr>
            <w:tcW w:w="1044"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单价（元）</w:t>
            </w:r>
          </w:p>
        </w:tc>
        <w:tc>
          <w:tcPr>
            <w:tcW w:w="992"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质量等级</w:t>
            </w:r>
          </w:p>
        </w:tc>
        <w:tc>
          <w:tcPr>
            <w:tcW w:w="85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供应时间</w:t>
            </w:r>
          </w:p>
        </w:tc>
        <w:tc>
          <w:tcPr>
            <w:tcW w:w="1487"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送达地点</w:t>
            </w:r>
          </w:p>
        </w:tc>
        <w:tc>
          <w:tcPr>
            <w:tcW w:w="992"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276"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94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044"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992"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87"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992"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27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94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044"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992"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8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992"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940"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044"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c>
          <w:tcPr>
            <w:tcW w:w="851" w:type="dxa"/>
            <w:noWrap w:val="0"/>
            <w:vAlign w:val="center"/>
          </w:tcPr>
          <w:p>
            <w:pPr>
              <w:pStyle w:val="3"/>
              <w:keepNext/>
              <w:spacing w:line="440" w:lineRule="exact"/>
              <w:ind w:left="63" w:right="63"/>
              <w:rPr>
                <w:rFonts w:hint="eastAsia" w:ascii="楷体" w:hAnsi="楷体" w:eastAsia="楷体" w:cs="楷体"/>
                <w:color w:val="auto"/>
              </w:rPr>
            </w:pPr>
          </w:p>
        </w:tc>
        <w:tc>
          <w:tcPr>
            <w:tcW w:w="1487" w:type="dxa"/>
            <w:noWrap w:val="0"/>
            <w:vAlign w:val="center"/>
          </w:tcPr>
          <w:p>
            <w:pPr>
              <w:pStyle w:val="3"/>
              <w:keepNext/>
              <w:spacing w:line="440" w:lineRule="exact"/>
              <w:ind w:left="63" w:right="63"/>
              <w:rPr>
                <w:rFonts w:hint="eastAsia" w:ascii="楷体" w:hAnsi="楷体" w:eastAsia="楷体" w:cs="楷体"/>
                <w:color w:val="auto"/>
              </w:rPr>
            </w:pPr>
          </w:p>
        </w:tc>
        <w:tc>
          <w:tcPr>
            <w:tcW w:w="99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pPr>
              <w:jc w:val="center"/>
              <w:rPr>
                <w:rFonts w:hint="eastAsia" w:ascii="楷体" w:hAnsi="楷体" w:eastAsia="楷体" w:cs="楷体"/>
                <w:color w:val="auto"/>
                <w:sz w:val="24"/>
              </w:rPr>
            </w:pPr>
          </w:p>
        </w:tc>
        <w:tc>
          <w:tcPr>
            <w:tcW w:w="1276" w:type="dxa"/>
            <w:noWrap w:val="0"/>
            <w:vAlign w:val="center"/>
          </w:tcPr>
          <w:p>
            <w:pPr>
              <w:jc w:val="center"/>
              <w:rPr>
                <w:rFonts w:hint="eastAsia" w:ascii="楷体" w:hAnsi="楷体" w:eastAsia="楷体" w:cs="楷体"/>
                <w:color w:val="auto"/>
                <w:sz w:val="24"/>
              </w:rPr>
            </w:pPr>
          </w:p>
        </w:tc>
        <w:tc>
          <w:tcPr>
            <w:tcW w:w="1418" w:type="dxa"/>
            <w:noWrap w:val="0"/>
            <w:vAlign w:val="center"/>
          </w:tcPr>
          <w:p>
            <w:pPr>
              <w:jc w:val="center"/>
              <w:rPr>
                <w:rFonts w:hint="eastAsia" w:ascii="楷体" w:hAnsi="楷体" w:eastAsia="楷体" w:cs="楷体"/>
                <w:color w:val="auto"/>
                <w:sz w:val="24"/>
              </w:rPr>
            </w:pPr>
          </w:p>
        </w:tc>
        <w:tc>
          <w:tcPr>
            <w:tcW w:w="940"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044"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c>
          <w:tcPr>
            <w:tcW w:w="851" w:type="dxa"/>
            <w:noWrap w:val="0"/>
            <w:vAlign w:val="center"/>
          </w:tcPr>
          <w:p>
            <w:pPr>
              <w:jc w:val="center"/>
              <w:rPr>
                <w:rFonts w:hint="eastAsia" w:ascii="楷体" w:hAnsi="楷体" w:eastAsia="楷体" w:cs="楷体"/>
                <w:color w:val="auto"/>
                <w:sz w:val="24"/>
              </w:rPr>
            </w:pPr>
          </w:p>
        </w:tc>
        <w:tc>
          <w:tcPr>
            <w:tcW w:w="1487" w:type="dxa"/>
            <w:noWrap w:val="0"/>
            <w:vAlign w:val="center"/>
          </w:tcPr>
          <w:p>
            <w:pPr>
              <w:jc w:val="center"/>
              <w:rPr>
                <w:rFonts w:hint="eastAsia" w:ascii="楷体" w:hAnsi="楷体" w:eastAsia="楷体" w:cs="楷体"/>
                <w:color w:val="auto"/>
                <w:sz w:val="24"/>
              </w:rPr>
            </w:pPr>
          </w:p>
        </w:tc>
        <w:tc>
          <w:tcPr>
            <w:tcW w:w="992" w:type="dxa"/>
            <w:noWrap w:val="0"/>
            <w:vAlign w:val="center"/>
          </w:tcPr>
          <w:p>
            <w:pPr>
              <w:jc w:val="center"/>
              <w:rPr>
                <w:rFonts w:hint="eastAsia" w:ascii="楷体" w:hAnsi="楷体" w:eastAsia="楷体" w:cs="楷体"/>
                <w:color w:val="auto"/>
                <w:sz w:val="24"/>
              </w:rPr>
            </w:pPr>
          </w:p>
        </w:tc>
      </w:tr>
    </w:tbl>
    <w:p>
      <w:pPr>
        <w:spacing w:line="440" w:lineRule="exact"/>
        <w:rPr>
          <w:rFonts w:hint="eastAsia" w:ascii="楷体" w:hAnsi="楷体" w:eastAsia="楷体" w:cs="楷体"/>
          <w:color w:val="auto"/>
          <w:sz w:val="24"/>
        </w:rPr>
      </w:pPr>
    </w:p>
    <w:p>
      <w:pPr>
        <w:spacing w:line="440" w:lineRule="exact"/>
        <w:rPr>
          <w:rFonts w:hint="eastAsia" w:ascii="楷体" w:hAnsi="楷体" w:eastAsia="楷体" w:cs="楷体"/>
          <w:color w:val="auto"/>
          <w:sz w:val="24"/>
        </w:rPr>
      </w:pPr>
      <w:r>
        <w:rPr>
          <w:rFonts w:hint="eastAsia" w:ascii="楷体" w:hAnsi="楷体" w:eastAsia="楷体" w:cs="楷体"/>
          <w:color w:val="auto"/>
          <w:sz w:val="24"/>
        </w:rPr>
        <w:t>附</w:t>
      </w:r>
      <w:bookmarkStart w:id="863" w:name="_Toc296891054"/>
      <w:bookmarkStart w:id="864" w:name="_Toc296503226"/>
      <w:bookmarkStart w:id="865" w:name="_Toc296346727"/>
      <w:bookmarkStart w:id="866" w:name="_Toc296891266"/>
      <w:bookmarkStart w:id="867" w:name="_Toc296347225"/>
      <w:bookmarkStart w:id="868" w:name="_Toc267261693"/>
      <w:bookmarkStart w:id="869" w:name="_Toc296944565"/>
      <w:r>
        <w:rPr>
          <w:rFonts w:hint="eastAsia" w:ascii="楷体" w:hAnsi="楷体" w:eastAsia="楷体" w:cs="楷体"/>
          <w:color w:val="auto"/>
          <w:sz w:val="24"/>
        </w:rPr>
        <w:t>件3：</w:t>
      </w:r>
      <w:bookmarkEnd w:id="863"/>
      <w:bookmarkEnd w:id="864"/>
      <w:bookmarkEnd w:id="865"/>
      <w:bookmarkEnd w:id="866"/>
      <w:bookmarkEnd w:id="867"/>
      <w:bookmarkEnd w:id="868"/>
      <w:bookmarkEnd w:id="869"/>
      <w:r>
        <w:rPr>
          <w:rFonts w:hint="eastAsia" w:ascii="楷体" w:hAnsi="楷体" w:eastAsia="楷体" w:cs="楷体"/>
          <w:color w:val="auto"/>
          <w:sz w:val="24"/>
        </w:rPr>
        <w:t xml:space="preserve">    </w:t>
      </w:r>
    </w:p>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工程质量保修书</w:t>
      </w:r>
    </w:p>
    <w:p>
      <w:pPr>
        <w:spacing w:line="440" w:lineRule="exact"/>
        <w:ind w:firstLine="480" w:firstLineChars="200"/>
        <w:rPr>
          <w:rFonts w:hint="eastAsia" w:ascii="楷体" w:hAnsi="楷体" w:eastAsia="楷体" w:cs="楷体"/>
          <w:color w:val="auto"/>
          <w:sz w:val="24"/>
        </w:rPr>
      </w:pPr>
      <w:r>
        <w:rPr>
          <w:rFonts w:hint="eastAsia" w:ascii="楷体" w:hAnsi="楷体" w:eastAsia="楷体" w:cs="楷体"/>
          <w:color w:val="auto"/>
          <w:sz w:val="24"/>
        </w:rPr>
        <w:t>发包人（全称）：</w:t>
      </w:r>
      <w:r>
        <w:rPr>
          <w:rFonts w:hint="eastAsia" w:ascii="楷体" w:hAnsi="楷体" w:eastAsia="楷体" w:cs="楷体"/>
          <w:color w:val="auto"/>
          <w:sz w:val="24"/>
          <w:u w:val="single"/>
          <w:lang w:eastAsia="zh-CN"/>
        </w:rPr>
        <w:t xml:space="preserve"> 陕西省总工会</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t>　　承包人（全称）：</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w:t>
      </w:r>
    </w:p>
    <w:p>
      <w:pPr>
        <w:spacing w:line="440" w:lineRule="exact"/>
        <w:rPr>
          <w:rFonts w:hint="eastAsia" w:ascii="楷体" w:hAnsi="楷体" w:eastAsia="楷体" w:cs="楷体"/>
          <w:color w:val="auto"/>
          <w:sz w:val="24"/>
        </w:rPr>
      </w:pPr>
    </w:p>
    <w:p>
      <w:pPr>
        <w:spacing w:line="360" w:lineRule="auto"/>
        <w:rPr>
          <w:rFonts w:hint="eastAsia" w:ascii="楷体" w:hAnsi="楷体" w:eastAsia="楷体" w:cs="楷体"/>
          <w:color w:val="auto"/>
          <w:sz w:val="24"/>
        </w:rPr>
      </w:pPr>
      <w:r>
        <w:rPr>
          <w:rFonts w:hint="eastAsia" w:ascii="楷体" w:hAnsi="楷体" w:eastAsia="楷体" w:cs="楷体"/>
          <w:color w:val="auto"/>
          <w:sz w:val="24"/>
        </w:rPr>
        <w:t>　　发包人和承包人根据《中华人民共和国建筑法》和《建设工程质量管理条例》，经协商一致就</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省总机关家属院移交前设施设备修缮项目</w:t>
      </w:r>
      <w:r>
        <w:rPr>
          <w:rFonts w:hint="eastAsia" w:ascii="楷体" w:hAnsi="楷体" w:eastAsia="楷体" w:cs="楷体"/>
          <w:color w:val="auto"/>
          <w:sz w:val="24"/>
        </w:rPr>
        <w:t>（工程全称）签订工程质量保修书。</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一、工程质量保修范围和内容</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承包人在质量保修期内，按照有关法律规定和合同约定，承担工程质量保修责任。</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承包人承包范围内的全部工程内容。                                                                         </w:t>
      </w:r>
      <w:r>
        <w:rPr>
          <w:rFonts w:hint="eastAsia" w:ascii="楷体" w:hAnsi="楷体" w:eastAsia="楷体" w:cs="楷体"/>
          <w:b/>
          <w:color w:val="auto"/>
          <w:sz w:val="24"/>
        </w:rPr>
        <w:t>　　</w:t>
      </w:r>
      <w:r>
        <w:rPr>
          <w:rFonts w:hint="eastAsia" w:ascii="楷体" w:hAnsi="楷体" w:eastAsia="楷体" w:cs="楷体"/>
          <w:color w:val="auto"/>
          <w:sz w:val="24"/>
        </w:rPr>
        <w:t>二、质量保修期</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根据《建设工程质量管理条例》及有关规定，工程的质量保修期如下：</w:t>
      </w:r>
    </w:p>
    <w:p>
      <w:pPr>
        <w:ind w:firstLine="480" w:firstLineChars="200"/>
        <w:rPr>
          <w:rFonts w:hint="eastAsia" w:ascii="楷体" w:hAnsi="楷体" w:eastAsia="楷体" w:cs="楷体"/>
          <w:color w:val="auto"/>
          <w:sz w:val="24"/>
        </w:rPr>
      </w:pPr>
      <w:r>
        <w:rPr>
          <w:rFonts w:hint="eastAsia" w:ascii="楷体" w:hAnsi="楷体" w:eastAsia="楷体" w:cs="楷体"/>
          <w:color w:val="auto"/>
          <w:sz w:val="24"/>
        </w:rPr>
        <w:t>1．地基基础工程和主体结构工程为设计文件规定的工程合理使用年限；</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2．屋面防水工程、有防水要求的卫生间、房间和外墙面的防渗为</w:t>
      </w:r>
      <w:r>
        <w:rPr>
          <w:rFonts w:hint="eastAsia" w:ascii="楷体" w:hAnsi="楷体" w:eastAsia="楷体" w:cs="楷体"/>
          <w:color w:val="auto"/>
          <w:sz w:val="24"/>
          <w:u w:val="single"/>
        </w:rPr>
        <w:t xml:space="preserve">     5   </w:t>
      </w:r>
      <w:r>
        <w:rPr>
          <w:rFonts w:hint="eastAsia" w:ascii="楷体" w:hAnsi="楷体" w:eastAsia="楷体" w:cs="楷体"/>
          <w:color w:val="auto"/>
          <w:sz w:val="24"/>
        </w:rPr>
        <w:t>年；</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3．装修工程为</w:t>
      </w:r>
      <w:r>
        <w:rPr>
          <w:rFonts w:hint="eastAsia" w:ascii="楷体" w:hAnsi="楷体" w:eastAsia="楷体" w:cs="楷体"/>
          <w:color w:val="auto"/>
          <w:sz w:val="24"/>
          <w:u w:val="single"/>
        </w:rPr>
        <w:t xml:space="preserve">     5    </w:t>
      </w:r>
      <w:r>
        <w:rPr>
          <w:rFonts w:hint="eastAsia" w:ascii="楷体" w:hAnsi="楷体" w:eastAsia="楷体" w:cs="楷体"/>
          <w:color w:val="auto"/>
          <w:sz w:val="24"/>
        </w:rPr>
        <w:t>年；</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4．电气管线、给排水管道、设备安装工程为</w:t>
      </w:r>
      <w:r>
        <w:rPr>
          <w:rFonts w:hint="eastAsia" w:ascii="楷体" w:hAnsi="楷体" w:eastAsia="楷体" w:cs="楷体"/>
          <w:color w:val="auto"/>
          <w:sz w:val="24"/>
          <w:u w:val="single"/>
        </w:rPr>
        <w:t xml:space="preserve">   2      </w:t>
      </w:r>
      <w:r>
        <w:rPr>
          <w:rFonts w:hint="eastAsia" w:ascii="楷体" w:hAnsi="楷体" w:eastAsia="楷体" w:cs="楷体"/>
          <w:color w:val="auto"/>
          <w:sz w:val="24"/>
        </w:rPr>
        <w:t>年；</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5．供热与供冷系统为</w:t>
      </w:r>
      <w:r>
        <w:rPr>
          <w:rFonts w:hint="eastAsia" w:ascii="楷体" w:hAnsi="楷体" w:eastAsia="楷体" w:cs="楷体"/>
          <w:color w:val="auto"/>
          <w:sz w:val="24"/>
          <w:u w:val="single"/>
        </w:rPr>
        <w:t xml:space="preserve">    2     </w:t>
      </w:r>
      <w:r>
        <w:rPr>
          <w:rFonts w:hint="eastAsia" w:ascii="楷体" w:hAnsi="楷体" w:eastAsia="楷体" w:cs="楷体"/>
          <w:color w:val="auto"/>
          <w:sz w:val="24"/>
        </w:rPr>
        <w:t>个采暖期、供冷期；</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6．住宅小区内的给排水设施、道路等配套工程为</w:t>
      </w:r>
      <w:r>
        <w:rPr>
          <w:rFonts w:hint="eastAsia" w:ascii="楷体" w:hAnsi="楷体" w:eastAsia="楷体" w:cs="楷体"/>
          <w:color w:val="auto"/>
          <w:sz w:val="24"/>
          <w:u w:val="single"/>
        </w:rPr>
        <w:t xml:space="preserve">     2    </w:t>
      </w:r>
      <w:r>
        <w:rPr>
          <w:rFonts w:hint="eastAsia" w:ascii="楷体" w:hAnsi="楷体" w:eastAsia="楷体" w:cs="楷体"/>
          <w:color w:val="auto"/>
          <w:sz w:val="24"/>
        </w:rPr>
        <w:t>年；</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7．其他项目保修期限约定如下：</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质量保修期自工程竣工验收合格之日起计算。</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三、缺陷责任期</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工程缺陷责任期为</w:t>
      </w:r>
      <w:r>
        <w:rPr>
          <w:rFonts w:hint="eastAsia" w:ascii="楷体" w:hAnsi="楷体" w:eastAsia="楷体" w:cs="楷体"/>
          <w:color w:val="auto"/>
          <w:sz w:val="24"/>
          <w:u w:val="single"/>
        </w:rPr>
        <w:t xml:space="preserve">    24     </w:t>
      </w:r>
      <w:r>
        <w:rPr>
          <w:rFonts w:hint="eastAsia" w:ascii="楷体" w:hAnsi="楷体" w:eastAsia="楷体" w:cs="楷体"/>
          <w:color w:val="auto"/>
          <w:sz w:val="24"/>
        </w:rPr>
        <w:t>个月，缺陷责任期自工程通过竣工验收之日起计算。单位工程先于全部工程进行验收，单位工程缺陷责任期自单位工程验收合格之日起算。</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缺陷责任期终止后，发包人应退还剩余的质量保证金。</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xml:space="preserve">    四、质量保修责任</w:t>
      </w:r>
    </w:p>
    <w:p>
      <w:pPr>
        <w:spacing w:line="360" w:lineRule="auto"/>
        <w:ind w:left="120" w:leftChars="50" w:firstLine="491" w:firstLineChars="205"/>
        <w:rPr>
          <w:rFonts w:hint="eastAsia" w:ascii="楷体" w:hAnsi="楷体" w:eastAsia="楷体" w:cs="楷体"/>
          <w:color w:val="auto"/>
          <w:sz w:val="24"/>
        </w:rPr>
      </w:pPr>
      <w:r>
        <w:rPr>
          <w:rFonts w:hint="eastAsia" w:ascii="楷体" w:hAnsi="楷体" w:eastAsia="楷体" w:cs="楷体"/>
          <w:color w:val="auto"/>
          <w:sz w:val="24"/>
        </w:rPr>
        <w:t>1．属于保修范围、内容的项目，承包人应当在接到保修通知之日起7天内派人保修。承包人不在约定期限内派人保修的，发包人可以委托他人修理。</w:t>
      </w:r>
    </w:p>
    <w:p>
      <w:pPr>
        <w:spacing w:line="360" w:lineRule="auto"/>
        <w:ind w:left="120" w:leftChars="50" w:firstLine="491" w:firstLineChars="205"/>
        <w:rPr>
          <w:rFonts w:hint="eastAsia" w:ascii="楷体" w:hAnsi="楷体" w:eastAsia="楷体" w:cs="楷体"/>
          <w:color w:val="auto"/>
          <w:sz w:val="24"/>
        </w:rPr>
      </w:pPr>
      <w:r>
        <w:rPr>
          <w:rFonts w:hint="eastAsia" w:ascii="楷体" w:hAnsi="楷体" w:eastAsia="楷体" w:cs="楷体"/>
          <w:color w:val="auto"/>
          <w:sz w:val="24"/>
        </w:rPr>
        <w:t>2．发生紧急事故需抢修的，承包人在接到事故通知后，应当立即到达事故现场抢修。</w:t>
      </w:r>
    </w:p>
    <w:p>
      <w:pPr>
        <w:spacing w:line="360" w:lineRule="auto"/>
        <w:ind w:left="120" w:leftChars="50" w:firstLine="491" w:firstLineChars="205"/>
        <w:rPr>
          <w:rFonts w:hint="eastAsia" w:ascii="楷体" w:hAnsi="楷体" w:eastAsia="楷体" w:cs="楷体"/>
          <w:color w:val="auto"/>
          <w:sz w:val="24"/>
        </w:rPr>
      </w:pPr>
      <w:r>
        <w:rPr>
          <w:rFonts w:hint="eastAsia" w:ascii="楷体" w:hAnsi="楷体" w:eastAsia="楷体" w:cs="楷体"/>
          <w:color w:val="auto"/>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80" w:leftChars="200" w:firstLine="120" w:firstLineChars="50"/>
        <w:rPr>
          <w:rFonts w:hint="eastAsia" w:ascii="楷体" w:hAnsi="楷体" w:eastAsia="楷体" w:cs="楷体"/>
          <w:color w:val="auto"/>
          <w:sz w:val="24"/>
        </w:rPr>
      </w:pPr>
      <w:r>
        <w:rPr>
          <w:rFonts w:hint="eastAsia" w:ascii="楷体" w:hAnsi="楷体" w:eastAsia="楷体" w:cs="楷体"/>
          <w:color w:val="auto"/>
          <w:sz w:val="24"/>
        </w:rPr>
        <w:t>4．质量保修完成后，由发包人组织验收。</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五、保修费用</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保修费用由造成质量缺陷的责任方承担。</w:t>
      </w:r>
    </w:p>
    <w:p>
      <w:pPr>
        <w:spacing w:line="360" w:lineRule="auto"/>
        <w:ind w:firstLine="600"/>
        <w:jc w:val="left"/>
        <w:rPr>
          <w:rFonts w:hint="eastAsia" w:ascii="楷体" w:hAnsi="楷体" w:eastAsia="楷体" w:cs="楷体"/>
          <w:color w:val="auto"/>
          <w:sz w:val="24"/>
          <w:u w:val="single"/>
        </w:rPr>
      </w:pPr>
      <w:r>
        <w:rPr>
          <w:rFonts w:hint="eastAsia" w:ascii="楷体" w:hAnsi="楷体" w:eastAsia="楷体" w:cs="楷体"/>
          <w:b/>
          <w:color w:val="auto"/>
          <w:sz w:val="24"/>
        </w:rPr>
        <w:t>六</w:t>
      </w:r>
      <w:r>
        <w:rPr>
          <w:rFonts w:hint="eastAsia" w:ascii="楷体" w:hAnsi="楷体" w:eastAsia="楷体" w:cs="楷体"/>
          <w:color w:val="auto"/>
          <w:sz w:val="24"/>
        </w:rPr>
        <w:t>、双方约定的其他工程质量保修事项：</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56" w:firstLineChars="190"/>
        <w:rPr>
          <w:rFonts w:hint="eastAsia" w:ascii="楷体" w:hAnsi="楷体" w:eastAsia="楷体" w:cs="楷体"/>
          <w:color w:val="auto"/>
          <w:sz w:val="24"/>
        </w:rPr>
      </w:pPr>
      <w:r>
        <w:rPr>
          <w:rFonts w:hint="eastAsia" w:ascii="楷体" w:hAnsi="楷体" w:eastAsia="楷体" w:cs="楷体"/>
          <w:color w:val="auto"/>
          <w:sz w:val="24"/>
        </w:rPr>
        <w:t>工程质量保修书由发包人、承包人在工程竣工验收前共同签署，作为施工合同附件，其有效期限至保修期满。</w:t>
      </w:r>
    </w:p>
    <w:p>
      <w:pPr>
        <w:spacing w:line="360" w:lineRule="auto"/>
        <w:ind w:firstLine="420"/>
        <w:rPr>
          <w:rFonts w:hint="eastAsia" w:ascii="楷体" w:hAnsi="楷体" w:eastAsia="楷体" w:cs="楷体"/>
          <w:color w:val="auto"/>
          <w:sz w:val="24"/>
        </w:rPr>
      </w:pPr>
    </w:p>
    <w:p>
      <w:pPr>
        <w:spacing w:line="360" w:lineRule="auto"/>
        <w:rPr>
          <w:rFonts w:hint="eastAsia" w:ascii="楷体" w:hAnsi="楷体" w:eastAsia="楷体" w:cs="楷体"/>
          <w:color w:val="auto"/>
          <w:sz w:val="24"/>
        </w:rPr>
      </w:pPr>
      <w:r>
        <w:rPr>
          <w:rFonts w:hint="eastAsia" w:ascii="楷体" w:hAnsi="楷体" w:eastAsia="楷体" w:cs="楷体"/>
          <w:color w:val="auto"/>
          <w:sz w:val="24"/>
        </w:rPr>
        <w:t>发包人(公章)：</w:t>
      </w:r>
      <w:r>
        <w:rPr>
          <w:rFonts w:hint="eastAsia" w:ascii="楷体" w:hAnsi="楷体" w:eastAsia="楷体" w:cs="楷体"/>
          <w:color w:val="auto"/>
          <w:sz w:val="24"/>
          <w:u w:val="single"/>
        </w:rPr>
        <w:t xml:space="preserve">        </w:t>
      </w:r>
      <w:r>
        <w:rPr>
          <w:rFonts w:hint="eastAsia" w:ascii="楷体" w:hAnsi="楷体" w:eastAsia="楷体" w:cs="楷体"/>
          <w:color w:val="auto"/>
          <w:sz w:val="24"/>
        </w:rPr>
        <w:t xml:space="preserve"> 承包人(公章)：</w:t>
      </w:r>
      <w:r>
        <w:rPr>
          <w:rFonts w:hint="eastAsia" w:ascii="楷体" w:hAnsi="楷体" w:eastAsia="楷体" w:cs="楷体"/>
          <w:color w:val="auto"/>
          <w:sz w:val="24"/>
          <w:u w:val="single"/>
        </w:rPr>
        <w:t xml:space="preserve">          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    </w:t>
      </w:r>
      <w:r>
        <w:rPr>
          <w:rFonts w:hint="eastAsia" w:ascii="楷体" w:hAnsi="楷体" w:eastAsia="楷体" w:cs="楷体"/>
          <w:color w:val="auto"/>
          <w:sz w:val="24"/>
        </w:rPr>
        <w:t xml:space="preserve"> 地  址：</w:t>
      </w:r>
      <w:r>
        <w:rPr>
          <w:rFonts w:hint="eastAsia" w:ascii="楷体" w:hAnsi="楷体" w:eastAsia="楷体" w:cs="楷体"/>
          <w:color w:val="auto"/>
          <w:sz w:val="24"/>
          <w:u w:val="single"/>
        </w:rPr>
        <w:t xml:space="preserve"> 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法定代表人(签字)：</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法定代表人(签字)：</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委托代理人(签字)：</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委托代理人(签字)：</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电  话：</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电  话：</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传  真：</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传  真：</w:t>
      </w:r>
      <w:r>
        <w:rPr>
          <w:rFonts w:hint="eastAsia" w:ascii="楷体" w:hAnsi="楷体" w:eastAsia="楷体" w:cs="楷体"/>
          <w:color w:val="auto"/>
          <w:sz w:val="24"/>
          <w:u w:val="single"/>
        </w:rPr>
        <w:t xml:space="preserve">  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开户银行：</w:t>
      </w:r>
      <w:r>
        <w:rPr>
          <w:rFonts w:hint="eastAsia" w:ascii="楷体" w:hAnsi="楷体" w:eastAsia="楷体" w:cs="楷体"/>
          <w:color w:val="auto"/>
          <w:sz w:val="24"/>
          <w:u w:val="single"/>
        </w:rPr>
        <w:t xml:space="preserve">   </w:t>
      </w:r>
      <w:r>
        <w:rPr>
          <w:rFonts w:hint="eastAsia" w:ascii="楷体" w:hAnsi="楷体" w:eastAsia="楷体" w:cs="楷体"/>
          <w:color w:val="auto"/>
          <w:sz w:val="24"/>
        </w:rPr>
        <w:t xml:space="preserve"> 开户银行：</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账  号：</w:t>
      </w:r>
      <w:r>
        <w:rPr>
          <w:rFonts w:hint="eastAsia" w:ascii="楷体" w:hAnsi="楷体" w:eastAsia="楷体" w:cs="楷体"/>
          <w:color w:val="auto"/>
          <w:sz w:val="24"/>
          <w:u w:val="single"/>
        </w:rPr>
        <w:t xml:space="preserve">       </w:t>
      </w:r>
      <w:r>
        <w:rPr>
          <w:rFonts w:hint="eastAsia" w:ascii="楷体" w:hAnsi="楷体" w:eastAsia="楷体" w:cs="楷体"/>
          <w:color w:val="auto"/>
          <w:sz w:val="24"/>
        </w:rPr>
        <w:t xml:space="preserve">  账  号：</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邮政编码：</w:t>
      </w:r>
      <w:r>
        <w:rPr>
          <w:rFonts w:hint="eastAsia" w:ascii="楷体" w:hAnsi="楷体" w:eastAsia="楷体" w:cs="楷体"/>
          <w:color w:val="auto"/>
          <w:sz w:val="24"/>
          <w:u w:val="single"/>
        </w:rPr>
        <w:t xml:space="preserve">     </w:t>
      </w:r>
      <w:r>
        <w:rPr>
          <w:rFonts w:hint="eastAsia" w:ascii="楷体" w:hAnsi="楷体" w:eastAsia="楷体" w:cs="楷体"/>
          <w:color w:val="auto"/>
          <w:sz w:val="24"/>
        </w:rPr>
        <w:t xml:space="preserve"> 邮政编码：</w:t>
      </w:r>
      <w:r>
        <w:rPr>
          <w:rFonts w:hint="eastAsia" w:ascii="楷体" w:hAnsi="楷体" w:eastAsia="楷体" w:cs="楷体"/>
          <w:color w:val="auto"/>
          <w:sz w:val="24"/>
          <w:u w:val="single"/>
        </w:rPr>
        <w:t xml:space="preserve">   </w:t>
      </w:r>
    </w:p>
    <w:p>
      <w:pPr>
        <w:spacing w:line="440" w:lineRule="exact"/>
        <w:rPr>
          <w:rFonts w:hint="eastAsia" w:ascii="楷体" w:hAnsi="楷体" w:eastAsia="楷体" w:cs="楷体"/>
          <w:color w:val="auto"/>
          <w:sz w:val="24"/>
        </w:rPr>
      </w:pPr>
      <w:r>
        <w:rPr>
          <w:rFonts w:hint="eastAsia" w:ascii="楷体" w:hAnsi="楷体" w:eastAsia="楷体" w:cs="楷体"/>
          <w:b/>
          <w:color w:val="auto"/>
          <w:sz w:val="24"/>
        </w:rPr>
        <w:br w:type="page"/>
      </w:r>
      <w:r>
        <w:rPr>
          <w:rFonts w:hint="eastAsia" w:ascii="楷体" w:hAnsi="楷体" w:eastAsia="楷体" w:cs="楷体"/>
          <w:color w:val="auto"/>
          <w:sz w:val="24"/>
        </w:rPr>
        <w:t>附件4：</w:t>
      </w:r>
    </w:p>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主要建设工程文件目录</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文件名称</w:t>
            </w:r>
          </w:p>
        </w:tc>
        <w:tc>
          <w:tcPr>
            <w:tcW w:w="1276"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套数</w:t>
            </w:r>
          </w:p>
        </w:tc>
        <w:tc>
          <w:tcPr>
            <w:tcW w:w="145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费用（元）</w:t>
            </w:r>
          </w:p>
        </w:tc>
        <w:tc>
          <w:tcPr>
            <w:tcW w:w="1243"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质量</w:t>
            </w:r>
          </w:p>
        </w:tc>
        <w:tc>
          <w:tcPr>
            <w:tcW w:w="1450" w:type="dxa"/>
            <w:tcBorders>
              <w:top w:val="single" w:color="auto" w:sz="12" w:space="0"/>
              <w:bottom w:val="double" w:color="auto" w:sz="6" w:space="0"/>
            </w:tcBorders>
            <w:noWrap w:val="0"/>
            <w:vAlign w:val="top"/>
          </w:tcPr>
          <w:p>
            <w:pPr>
              <w:spacing w:line="440" w:lineRule="exact"/>
              <w:jc w:val="center"/>
              <w:rPr>
                <w:rFonts w:hint="eastAsia" w:ascii="楷体" w:hAnsi="楷体" w:eastAsia="楷体" w:cs="楷体"/>
                <w:color w:val="auto"/>
                <w:sz w:val="24"/>
              </w:rPr>
            </w:pPr>
            <w:r>
              <w:rPr>
                <w:rFonts w:hint="eastAsia" w:ascii="楷体" w:hAnsi="楷体" w:eastAsia="楷体" w:cs="楷体"/>
                <w:color w:val="auto"/>
                <w:sz w:val="24"/>
              </w:rPr>
              <w:t>移交时间</w:t>
            </w:r>
          </w:p>
        </w:tc>
        <w:tc>
          <w:tcPr>
            <w:tcW w:w="1667" w:type="dxa"/>
            <w:tcBorders>
              <w:top w:val="single" w:color="auto" w:sz="12" w:space="0"/>
              <w:bottom w:val="double" w:color="auto" w:sz="6" w:space="0"/>
            </w:tcBorders>
            <w:noWrap w:val="0"/>
            <w:vAlign w:val="top"/>
          </w:tcPr>
          <w:p>
            <w:pPr>
              <w:spacing w:line="440" w:lineRule="exact"/>
              <w:jc w:val="center"/>
              <w:rPr>
                <w:rFonts w:hint="eastAsia" w:ascii="楷体" w:hAnsi="楷体" w:eastAsia="楷体" w:cs="楷体"/>
                <w:color w:val="auto"/>
                <w:sz w:val="24"/>
              </w:rPr>
            </w:pPr>
            <w:r>
              <w:rPr>
                <w:rFonts w:hint="eastAsia" w:ascii="楷体" w:hAnsi="楷体" w:eastAsia="楷体" w:cs="楷体"/>
                <w:color w:val="auto"/>
                <w:sz w:val="24"/>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276"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5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243"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5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667"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276"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243"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667"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pPr>
              <w:pStyle w:val="3"/>
              <w:keepNext/>
              <w:spacing w:line="440" w:lineRule="exact"/>
              <w:ind w:left="63" w:right="63"/>
              <w:rPr>
                <w:rFonts w:hint="eastAsia" w:ascii="楷体" w:hAnsi="楷体" w:eastAsia="楷体" w:cs="楷体"/>
                <w:color w:val="auto"/>
              </w:rPr>
            </w:pPr>
          </w:p>
        </w:tc>
        <w:tc>
          <w:tcPr>
            <w:tcW w:w="1276"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243" w:type="dxa"/>
            <w:noWrap w:val="0"/>
            <w:vAlign w:val="center"/>
          </w:tcPr>
          <w:p>
            <w:pPr>
              <w:pStyle w:val="3"/>
              <w:keepNext/>
              <w:spacing w:line="440" w:lineRule="exact"/>
              <w:ind w:left="63" w:right="63"/>
              <w:rPr>
                <w:rFonts w:hint="eastAsia" w:ascii="楷体" w:hAnsi="楷体" w:eastAsia="楷体" w:cs="楷体"/>
                <w:color w:val="auto"/>
              </w:rPr>
            </w:pPr>
          </w:p>
        </w:tc>
        <w:tc>
          <w:tcPr>
            <w:tcW w:w="1450" w:type="dxa"/>
            <w:noWrap w:val="0"/>
            <w:vAlign w:val="center"/>
          </w:tcPr>
          <w:p>
            <w:pPr>
              <w:pStyle w:val="3"/>
              <w:keepNext/>
              <w:spacing w:line="440" w:lineRule="exact"/>
              <w:ind w:left="63" w:right="63"/>
              <w:rPr>
                <w:rFonts w:hint="eastAsia" w:ascii="楷体" w:hAnsi="楷体" w:eastAsia="楷体" w:cs="楷体"/>
                <w:color w:val="auto"/>
              </w:rPr>
            </w:pPr>
          </w:p>
        </w:tc>
        <w:tc>
          <w:tcPr>
            <w:tcW w:w="1667"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pPr>
              <w:rPr>
                <w:rFonts w:hint="eastAsia" w:ascii="楷体" w:hAnsi="楷体" w:eastAsia="楷体" w:cs="楷体"/>
                <w:color w:val="auto"/>
                <w:sz w:val="24"/>
              </w:rPr>
            </w:pPr>
          </w:p>
        </w:tc>
        <w:tc>
          <w:tcPr>
            <w:tcW w:w="1276"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243" w:type="dxa"/>
            <w:noWrap w:val="0"/>
            <w:vAlign w:val="top"/>
          </w:tcPr>
          <w:p>
            <w:pPr>
              <w:rPr>
                <w:rFonts w:hint="eastAsia" w:ascii="楷体" w:hAnsi="楷体" w:eastAsia="楷体" w:cs="楷体"/>
                <w:color w:val="auto"/>
                <w:sz w:val="24"/>
              </w:rPr>
            </w:pPr>
          </w:p>
        </w:tc>
        <w:tc>
          <w:tcPr>
            <w:tcW w:w="1450" w:type="dxa"/>
            <w:noWrap w:val="0"/>
            <w:vAlign w:val="top"/>
          </w:tcPr>
          <w:p>
            <w:pPr>
              <w:rPr>
                <w:rFonts w:hint="eastAsia" w:ascii="楷体" w:hAnsi="楷体" w:eastAsia="楷体" w:cs="楷体"/>
                <w:color w:val="auto"/>
                <w:sz w:val="24"/>
              </w:rPr>
            </w:pPr>
          </w:p>
        </w:tc>
        <w:tc>
          <w:tcPr>
            <w:tcW w:w="1667" w:type="dxa"/>
            <w:noWrap w:val="0"/>
            <w:vAlign w:val="top"/>
          </w:tcPr>
          <w:p>
            <w:pPr>
              <w:rPr>
                <w:rFonts w:hint="eastAsia" w:ascii="楷体" w:hAnsi="楷体" w:eastAsia="楷体" w:cs="楷体"/>
                <w:color w:val="auto"/>
                <w:sz w:val="24"/>
              </w:rPr>
            </w:pPr>
          </w:p>
        </w:tc>
      </w:tr>
    </w:tbl>
    <w:p>
      <w:pPr>
        <w:spacing w:line="440" w:lineRule="exact"/>
        <w:rPr>
          <w:rFonts w:hint="eastAsia" w:ascii="楷体" w:hAnsi="楷体" w:eastAsia="楷体" w:cs="楷体"/>
          <w:color w:val="auto"/>
          <w:sz w:val="24"/>
        </w:rPr>
      </w:pPr>
    </w:p>
    <w:p>
      <w:pPr>
        <w:spacing w:line="440" w:lineRule="exact"/>
        <w:rPr>
          <w:rFonts w:hint="eastAsia" w:ascii="楷体" w:hAnsi="楷体" w:eastAsia="楷体" w:cs="楷体"/>
          <w:color w:val="auto"/>
          <w:sz w:val="24"/>
        </w:rPr>
      </w:pPr>
      <w:r>
        <w:rPr>
          <w:rFonts w:hint="eastAsia" w:ascii="楷体" w:hAnsi="楷体" w:eastAsia="楷体" w:cs="楷体"/>
          <w:color w:val="auto"/>
          <w:sz w:val="24"/>
        </w:rPr>
        <w:br w:type="page"/>
      </w:r>
      <w:r>
        <w:rPr>
          <w:rFonts w:hint="eastAsia" w:ascii="楷体" w:hAnsi="楷体" w:eastAsia="楷体" w:cs="楷体"/>
          <w:color w:val="auto"/>
          <w:sz w:val="24"/>
        </w:rPr>
        <w:t>附</w:t>
      </w:r>
      <w:bookmarkStart w:id="870" w:name="_Toc296891267"/>
      <w:bookmarkStart w:id="871" w:name="_Toc296503227"/>
      <w:bookmarkStart w:id="872" w:name="_Toc267261698"/>
      <w:bookmarkStart w:id="873" w:name="_Toc296891055"/>
      <w:bookmarkStart w:id="874" w:name="_Toc296944566"/>
      <w:bookmarkStart w:id="875" w:name="_Toc296346728"/>
      <w:bookmarkStart w:id="876" w:name="_Toc296347226"/>
      <w:r>
        <w:rPr>
          <w:rFonts w:hint="eastAsia" w:ascii="楷体" w:hAnsi="楷体" w:eastAsia="楷体" w:cs="楷体"/>
          <w:color w:val="auto"/>
          <w:sz w:val="24"/>
        </w:rPr>
        <w:t>件5：</w:t>
      </w:r>
    </w:p>
    <w:bookmarkEnd w:id="870"/>
    <w:bookmarkEnd w:id="871"/>
    <w:bookmarkEnd w:id="872"/>
    <w:bookmarkEnd w:id="873"/>
    <w:bookmarkEnd w:id="874"/>
    <w:bookmarkEnd w:id="875"/>
    <w:bookmarkEnd w:id="876"/>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承包人用于本工程施工的机械设备表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序号</w:t>
            </w:r>
          </w:p>
        </w:tc>
        <w:tc>
          <w:tcPr>
            <w:tcW w:w="1418"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机械或设备名称</w:t>
            </w:r>
          </w:p>
        </w:tc>
        <w:tc>
          <w:tcPr>
            <w:tcW w:w="85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规格型号</w:t>
            </w:r>
          </w:p>
        </w:tc>
        <w:tc>
          <w:tcPr>
            <w:tcW w:w="1058"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数量</w:t>
            </w:r>
          </w:p>
        </w:tc>
        <w:tc>
          <w:tcPr>
            <w:tcW w:w="88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产地</w:t>
            </w:r>
          </w:p>
        </w:tc>
        <w:tc>
          <w:tcPr>
            <w:tcW w:w="102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制造年份</w:t>
            </w:r>
          </w:p>
        </w:tc>
        <w:tc>
          <w:tcPr>
            <w:tcW w:w="148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额定功率(kW)</w:t>
            </w:r>
          </w:p>
        </w:tc>
        <w:tc>
          <w:tcPr>
            <w:tcW w:w="1020"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生产能力</w:t>
            </w:r>
          </w:p>
        </w:tc>
        <w:tc>
          <w:tcPr>
            <w:tcW w:w="92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058"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88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02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48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1020"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c>
          <w:tcPr>
            <w:tcW w:w="921" w:type="dxa"/>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5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058"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88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02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48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020"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921"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850" w:type="dxa"/>
            <w:noWrap w:val="0"/>
            <w:vAlign w:val="center"/>
          </w:tcPr>
          <w:p>
            <w:pPr>
              <w:pStyle w:val="3"/>
              <w:keepNext/>
              <w:spacing w:line="440" w:lineRule="exact"/>
              <w:ind w:left="63" w:right="63"/>
              <w:rPr>
                <w:rFonts w:hint="eastAsia" w:ascii="楷体" w:hAnsi="楷体" w:eastAsia="楷体" w:cs="楷体"/>
                <w:color w:val="auto"/>
              </w:rPr>
            </w:pPr>
          </w:p>
        </w:tc>
        <w:tc>
          <w:tcPr>
            <w:tcW w:w="1058" w:type="dxa"/>
            <w:noWrap w:val="0"/>
            <w:vAlign w:val="center"/>
          </w:tcPr>
          <w:p>
            <w:pPr>
              <w:pStyle w:val="3"/>
              <w:keepNext/>
              <w:spacing w:line="440" w:lineRule="exact"/>
              <w:ind w:left="63" w:right="63"/>
              <w:rPr>
                <w:rFonts w:hint="eastAsia" w:ascii="楷体" w:hAnsi="楷体" w:eastAsia="楷体" w:cs="楷体"/>
                <w:color w:val="auto"/>
              </w:rPr>
            </w:pPr>
          </w:p>
        </w:tc>
        <w:tc>
          <w:tcPr>
            <w:tcW w:w="8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1480" w:type="dxa"/>
            <w:noWrap w:val="0"/>
            <w:vAlign w:val="center"/>
          </w:tcPr>
          <w:p>
            <w:pPr>
              <w:pStyle w:val="3"/>
              <w:keepNext/>
              <w:spacing w:line="440" w:lineRule="exact"/>
              <w:ind w:left="63" w:right="63"/>
              <w:rPr>
                <w:rFonts w:hint="eastAsia" w:ascii="楷体" w:hAnsi="楷体" w:eastAsia="楷体" w:cs="楷体"/>
                <w:color w:val="auto"/>
              </w:rPr>
            </w:pPr>
          </w:p>
        </w:tc>
        <w:tc>
          <w:tcPr>
            <w:tcW w:w="1020" w:type="dxa"/>
            <w:noWrap w:val="0"/>
            <w:vAlign w:val="center"/>
          </w:tcPr>
          <w:p>
            <w:pPr>
              <w:pStyle w:val="3"/>
              <w:keepNext/>
              <w:spacing w:line="440" w:lineRule="exact"/>
              <w:ind w:left="63" w:right="63"/>
              <w:rPr>
                <w:rFonts w:hint="eastAsia" w:ascii="楷体" w:hAnsi="楷体" w:eastAsia="楷体" w:cs="楷体"/>
                <w:color w:val="auto"/>
              </w:rPr>
            </w:pPr>
          </w:p>
        </w:tc>
        <w:tc>
          <w:tcPr>
            <w:tcW w:w="921"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pPr>
              <w:rPr>
                <w:rFonts w:hint="eastAsia" w:ascii="楷体" w:hAnsi="楷体" w:eastAsia="楷体" w:cs="楷体"/>
                <w:color w:val="auto"/>
                <w:sz w:val="24"/>
              </w:rPr>
            </w:pPr>
          </w:p>
        </w:tc>
        <w:tc>
          <w:tcPr>
            <w:tcW w:w="1418" w:type="dxa"/>
            <w:noWrap w:val="0"/>
            <w:vAlign w:val="top"/>
          </w:tcPr>
          <w:p>
            <w:pPr>
              <w:rPr>
                <w:rFonts w:hint="eastAsia" w:ascii="楷体" w:hAnsi="楷体" w:eastAsia="楷体" w:cs="楷体"/>
                <w:color w:val="auto"/>
                <w:sz w:val="24"/>
              </w:rPr>
            </w:pPr>
          </w:p>
        </w:tc>
        <w:tc>
          <w:tcPr>
            <w:tcW w:w="850" w:type="dxa"/>
            <w:noWrap w:val="0"/>
            <w:vAlign w:val="top"/>
          </w:tcPr>
          <w:p>
            <w:pPr>
              <w:rPr>
                <w:rFonts w:hint="eastAsia" w:ascii="楷体" w:hAnsi="楷体" w:eastAsia="楷体" w:cs="楷体"/>
                <w:color w:val="auto"/>
                <w:sz w:val="24"/>
              </w:rPr>
            </w:pPr>
          </w:p>
        </w:tc>
        <w:tc>
          <w:tcPr>
            <w:tcW w:w="1058" w:type="dxa"/>
            <w:noWrap w:val="0"/>
            <w:vAlign w:val="top"/>
          </w:tcPr>
          <w:p>
            <w:pPr>
              <w:rPr>
                <w:rFonts w:hint="eastAsia" w:ascii="楷体" w:hAnsi="楷体" w:eastAsia="楷体" w:cs="楷体"/>
                <w:color w:val="auto"/>
                <w:sz w:val="24"/>
              </w:rPr>
            </w:pPr>
          </w:p>
        </w:tc>
        <w:tc>
          <w:tcPr>
            <w:tcW w:w="8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1480" w:type="dxa"/>
            <w:noWrap w:val="0"/>
            <w:vAlign w:val="top"/>
          </w:tcPr>
          <w:p>
            <w:pPr>
              <w:rPr>
                <w:rFonts w:hint="eastAsia" w:ascii="楷体" w:hAnsi="楷体" w:eastAsia="楷体" w:cs="楷体"/>
                <w:color w:val="auto"/>
                <w:sz w:val="24"/>
              </w:rPr>
            </w:pPr>
          </w:p>
        </w:tc>
        <w:tc>
          <w:tcPr>
            <w:tcW w:w="1020" w:type="dxa"/>
            <w:noWrap w:val="0"/>
            <w:vAlign w:val="top"/>
          </w:tcPr>
          <w:p>
            <w:pPr>
              <w:rPr>
                <w:rFonts w:hint="eastAsia" w:ascii="楷体" w:hAnsi="楷体" w:eastAsia="楷体" w:cs="楷体"/>
                <w:color w:val="auto"/>
                <w:sz w:val="24"/>
              </w:rPr>
            </w:pPr>
          </w:p>
        </w:tc>
        <w:tc>
          <w:tcPr>
            <w:tcW w:w="921" w:type="dxa"/>
            <w:noWrap w:val="0"/>
            <w:vAlign w:val="top"/>
          </w:tcPr>
          <w:p>
            <w:pPr>
              <w:rPr>
                <w:rFonts w:hint="eastAsia" w:ascii="楷体" w:hAnsi="楷体" w:eastAsia="楷体" w:cs="楷体"/>
                <w:color w:val="auto"/>
                <w:sz w:val="24"/>
              </w:rPr>
            </w:pPr>
          </w:p>
        </w:tc>
      </w:tr>
    </w:tbl>
    <w:p>
      <w:pPr>
        <w:spacing w:line="440" w:lineRule="exact"/>
        <w:rPr>
          <w:rFonts w:hint="eastAsia" w:ascii="楷体" w:hAnsi="楷体" w:eastAsia="楷体" w:cs="楷体"/>
          <w:color w:val="auto"/>
          <w:sz w:val="24"/>
        </w:rPr>
      </w:pPr>
      <w:r>
        <w:rPr>
          <w:rFonts w:hint="eastAsia" w:ascii="楷体" w:hAnsi="楷体" w:eastAsia="楷体" w:cs="楷体"/>
          <w:color w:val="auto"/>
          <w:sz w:val="24"/>
        </w:rPr>
        <w:t>附</w:t>
      </w:r>
      <w:bookmarkStart w:id="877" w:name="_Toc267261699"/>
      <w:bookmarkStart w:id="878" w:name="_Toc296346729"/>
      <w:bookmarkStart w:id="879" w:name="_Toc296891268"/>
      <w:bookmarkStart w:id="880" w:name="_Toc296347227"/>
      <w:bookmarkStart w:id="881" w:name="_Toc296944567"/>
      <w:bookmarkStart w:id="882" w:name="_Toc296891056"/>
      <w:bookmarkStart w:id="883" w:name="_Toc296503228"/>
      <w:r>
        <w:rPr>
          <w:rFonts w:hint="eastAsia" w:ascii="楷体" w:hAnsi="楷体" w:eastAsia="楷体" w:cs="楷体"/>
          <w:color w:val="auto"/>
          <w:sz w:val="24"/>
        </w:rPr>
        <w:t>件6：</w:t>
      </w:r>
    </w:p>
    <w:bookmarkEnd w:id="877"/>
    <w:bookmarkEnd w:id="878"/>
    <w:bookmarkEnd w:id="879"/>
    <w:bookmarkEnd w:id="880"/>
    <w:bookmarkEnd w:id="881"/>
    <w:bookmarkEnd w:id="882"/>
    <w:bookmarkEnd w:id="883"/>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承包人主要施工管理人员表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名    称</w:t>
            </w:r>
          </w:p>
        </w:tc>
        <w:tc>
          <w:tcPr>
            <w:tcW w:w="1418"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姓名</w:t>
            </w:r>
          </w:p>
        </w:tc>
        <w:tc>
          <w:tcPr>
            <w:tcW w:w="1134"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职务</w:t>
            </w:r>
          </w:p>
        </w:tc>
        <w:tc>
          <w:tcPr>
            <w:tcW w:w="1134"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职称</w:t>
            </w:r>
          </w:p>
        </w:tc>
        <w:tc>
          <w:tcPr>
            <w:tcW w:w="4252"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项目主管</w:t>
            </w:r>
          </w:p>
        </w:tc>
        <w:tc>
          <w:tcPr>
            <w:tcW w:w="1418"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其他人员</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项目经理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项目副经理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技术负责人</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造价管理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质量管理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材料管理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计划管理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安全管理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其他人员</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r>
    </w:tbl>
    <w:p>
      <w:pPr>
        <w:spacing w:line="440" w:lineRule="exact"/>
        <w:rPr>
          <w:rFonts w:hint="eastAsia" w:ascii="楷体" w:hAnsi="楷体" w:eastAsia="楷体" w:cs="楷体"/>
          <w:color w:val="auto"/>
          <w:sz w:val="24"/>
        </w:rPr>
      </w:pPr>
      <w:r>
        <w:rPr>
          <w:rFonts w:hint="eastAsia" w:ascii="楷体" w:hAnsi="楷体" w:eastAsia="楷体" w:cs="楷体"/>
          <w:color w:val="auto"/>
          <w:sz w:val="24"/>
        </w:rPr>
        <w:br w:type="page"/>
      </w:r>
      <w:r>
        <w:rPr>
          <w:rFonts w:hint="eastAsia" w:ascii="楷体" w:hAnsi="楷体" w:eastAsia="楷体" w:cs="楷体"/>
          <w:color w:val="auto"/>
          <w:sz w:val="24"/>
        </w:rPr>
        <w:t>附</w:t>
      </w:r>
      <w:bookmarkStart w:id="884" w:name="_Toc296347228"/>
      <w:bookmarkStart w:id="885" w:name="_Toc296891057"/>
      <w:bookmarkStart w:id="886" w:name="_Toc296944568"/>
      <w:bookmarkStart w:id="887" w:name="_Toc296346730"/>
      <w:bookmarkStart w:id="888" w:name="_Toc296503229"/>
      <w:bookmarkStart w:id="889" w:name="_Toc296891269"/>
      <w:r>
        <w:rPr>
          <w:rFonts w:hint="eastAsia" w:ascii="楷体" w:hAnsi="楷体" w:eastAsia="楷体" w:cs="楷体"/>
          <w:color w:val="auto"/>
          <w:sz w:val="24"/>
        </w:rPr>
        <w:t>件7：</w:t>
      </w:r>
    </w:p>
    <w:bookmarkEnd w:id="884"/>
    <w:bookmarkEnd w:id="885"/>
    <w:bookmarkEnd w:id="886"/>
    <w:bookmarkEnd w:id="887"/>
    <w:bookmarkEnd w:id="888"/>
    <w:bookmarkEnd w:id="889"/>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分包人主要施工管理人员表</w:t>
      </w:r>
    </w:p>
    <w:tbl>
      <w:tblPr>
        <w:tblStyle w:val="13"/>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名    称</w:t>
            </w:r>
          </w:p>
        </w:tc>
        <w:tc>
          <w:tcPr>
            <w:tcW w:w="1418"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姓名</w:t>
            </w:r>
          </w:p>
        </w:tc>
        <w:tc>
          <w:tcPr>
            <w:tcW w:w="1134"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职务</w:t>
            </w:r>
          </w:p>
        </w:tc>
        <w:tc>
          <w:tcPr>
            <w:tcW w:w="1134"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职称</w:t>
            </w:r>
          </w:p>
        </w:tc>
        <w:tc>
          <w:tcPr>
            <w:tcW w:w="4252" w:type="dxa"/>
            <w:tcBorders>
              <w:top w:val="single" w:color="auto" w:sz="12" w:space="0"/>
              <w:bottom w:val="doub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项目主管</w:t>
            </w:r>
          </w:p>
        </w:tc>
        <w:tc>
          <w:tcPr>
            <w:tcW w:w="1418"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top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其他人员</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项目经理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项目副经理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技术负责人</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造价管理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质量管理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材料管理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计划管理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安全管理</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其他人员</w:t>
            </w: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bottom w:val="nil"/>
            </w:tcBorders>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pPr>
              <w:pStyle w:val="3"/>
              <w:keepNext/>
              <w:spacing w:line="440" w:lineRule="exact"/>
              <w:ind w:left="63" w:right="63"/>
              <w:rPr>
                <w:rFonts w:hint="eastAsia" w:ascii="楷体" w:hAnsi="楷体" w:eastAsia="楷体" w:cs="楷体"/>
                <w:color w:val="auto"/>
              </w:rPr>
            </w:pPr>
          </w:p>
        </w:tc>
        <w:tc>
          <w:tcPr>
            <w:tcW w:w="1418"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1134" w:type="dxa"/>
            <w:noWrap w:val="0"/>
            <w:vAlign w:val="center"/>
          </w:tcPr>
          <w:p>
            <w:pPr>
              <w:pStyle w:val="3"/>
              <w:keepNext/>
              <w:spacing w:line="440" w:lineRule="exact"/>
              <w:ind w:left="63" w:right="63"/>
              <w:rPr>
                <w:rFonts w:hint="eastAsia" w:ascii="楷体" w:hAnsi="楷体" w:eastAsia="楷体" w:cs="楷体"/>
                <w:color w:val="auto"/>
              </w:rPr>
            </w:pPr>
          </w:p>
        </w:tc>
        <w:tc>
          <w:tcPr>
            <w:tcW w:w="4252" w:type="dxa"/>
            <w:noWrap w:val="0"/>
            <w:vAlign w:val="center"/>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418"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1134"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c>
          <w:tcPr>
            <w:tcW w:w="4252" w:type="dxa"/>
            <w:tcBorders>
              <w:bottom w:val="single" w:color="auto" w:sz="12" w:space="0"/>
            </w:tcBorders>
            <w:noWrap w:val="0"/>
            <w:vAlign w:val="center"/>
          </w:tcPr>
          <w:p>
            <w:pPr>
              <w:pStyle w:val="3"/>
              <w:keepNext/>
              <w:spacing w:line="440" w:lineRule="exact"/>
              <w:ind w:left="63" w:right="63"/>
              <w:rPr>
                <w:rFonts w:hint="eastAsia" w:ascii="楷体" w:hAnsi="楷体" w:eastAsia="楷体" w:cs="楷体"/>
                <w:color w:val="auto"/>
              </w:rPr>
            </w:pPr>
          </w:p>
        </w:tc>
      </w:tr>
    </w:tbl>
    <w:p>
      <w:pPr>
        <w:spacing w:line="440" w:lineRule="exact"/>
        <w:rPr>
          <w:rFonts w:hint="eastAsia" w:ascii="楷体" w:hAnsi="楷体" w:eastAsia="楷体" w:cs="楷体"/>
          <w:color w:val="auto"/>
          <w:sz w:val="24"/>
        </w:rPr>
      </w:pPr>
      <w:r>
        <w:rPr>
          <w:rFonts w:hint="eastAsia" w:ascii="楷体" w:hAnsi="楷体" w:eastAsia="楷体" w:cs="楷体"/>
          <w:color w:val="auto"/>
          <w:sz w:val="24"/>
        </w:rPr>
        <w:br w:type="page"/>
      </w:r>
      <w:bookmarkStart w:id="890" w:name="_Toc267261701"/>
      <w:r>
        <w:rPr>
          <w:rFonts w:hint="eastAsia" w:ascii="楷体" w:hAnsi="楷体" w:eastAsia="楷体" w:cs="楷体"/>
          <w:color w:val="auto"/>
          <w:sz w:val="24"/>
        </w:rPr>
        <w:t>附</w:t>
      </w:r>
      <w:bookmarkStart w:id="891" w:name="_Toc296346732"/>
      <w:bookmarkStart w:id="892" w:name="_Toc296891059"/>
      <w:bookmarkStart w:id="893" w:name="_Toc296891271"/>
      <w:bookmarkStart w:id="894" w:name="_Toc296347230"/>
      <w:bookmarkStart w:id="895" w:name="_Toc296944570"/>
      <w:bookmarkStart w:id="896" w:name="_Toc296503231"/>
      <w:r>
        <w:rPr>
          <w:rFonts w:hint="eastAsia" w:ascii="楷体" w:hAnsi="楷体" w:eastAsia="楷体" w:cs="楷体"/>
          <w:color w:val="auto"/>
          <w:sz w:val="24"/>
        </w:rPr>
        <w:t>件8：</w:t>
      </w:r>
    </w:p>
    <w:bookmarkEnd w:id="890"/>
    <w:bookmarkEnd w:id="891"/>
    <w:bookmarkEnd w:id="892"/>
    <w:bookmarkEnd w:id="893"/>
    <w:bookmarkEnd w:id="894"/>
    <w:bookmarkEnd w:id="895"/>
    <w:bookmarkEnd w:id="896"/>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履约担保</w:t>
      </w:r>
    </w:p>
    <w:p>
      <w:pPr>
        <w:spacing w:line="440" w:lineRule="exac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 xml:space="preserve"> 陕西省总工会</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rPr>
        <w:t>（发包人名称）：</w:t>
      </w:r>
    </w:p>
    <w:p>
      <w:pPr>
        <w:spacing w:line="440" w:lineRule="exact"/>
        <w:rPr>
          <w:rFonts w:hint="eastAsia" w:ascii="楷体" w:hAnsi="楷体" w:eastAsia="楷体" w:cs="楷体"/>
          <w:color w:val="auto"/>
          <w:sz w:val="24"/>
        </w:rPr>
      </w:pP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鉴于</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 xml:space="preserve"> 陕西省总工会</w:t>
      </w:r>
      <w:r>
        <w:rPr>
          <w:rFonts w:hint="eastAsia" w:ascii="楷体" w:hAnsi="楷体" w:eastAsia="楷体" w:cs="楷体"/>
          <w:color w:val="auto"/>
          <w:sz w:val="24"/>
          <w:u w:val="single"/>
        </w:rPr>
        <w:t xml:space="preserve">     </w:t>
      </w:r>
      <w:r>
        <w:rPr>
          <w:rFonts w:hint="eastAsia" w:ascii="楷体" w:hAnsi="楷体" w:eastAsia="楷体" w:cs="楷体"/>
          <w:color w:val="auto"/>
          <w:sz w:val="24"/>
        </w:rPr>
        <w:t>（发包人名称，以下简称“发包人”）与</w:t>
      </w:r>
      <w:r>
        <w:rPr>
          <w:rFonts w:hint="eastAsia" w:ascii="楷体" w:hAnsi="楷体" w:eastAsia="楷体" w:cs="楷体"/>
          <w:color w:val="auto"/>
          <w:sz w:val="24"/>
          <w:u w:val="single"/>
        </w:rPr>
        <w:t xml:space="preserve">                        </w:t>
      </w:r>
      <w:r>
        <w:rPr>
          <w:rFonts w:hint="eastAsia" w:ascii="楷体" w:hAnsi="楷体" w:eastAsia="楷体" w:cs="楷体"/>
          <w:color w:val="auto"/>
          <w:sz w:val="24"/>
        </w:rPr>
        <w:t>（承包人名称）（以下称“承包人”）于</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日就</w:t>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省总机关家属院移交前设施设备修缮项目</w:t>
      </w:r>
      <w:r>
        <w:rPr>
          <w:rFonts w:hint="eastAsia" w:ascii="楷体" w:hAnsi="楷体" w:eastAsia="楷体" w:cs="楷体"/>
          <w:color w:val="auto"/>
          <w:sz w:val="24"/>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 担保金额人民币（大写）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2. 担保有效期自你方与承包人签订的合同生效之日起至你方签发或应签发工程接收证书之日止。</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 在本担保有效期内，因承包人违反合同约定的义务给你方造成经济损失时，我方在收到你方以书面形式提出的在担保金额内的赔偿要求后，在7天内无条件支付。</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4. 你方和承包人按合同约定变更合同时，我方承担本担保规定的义务不变。</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5. 因本保函发生的纠纷，可由双方协商解决，协商不成的，任何一方均可提请</w:t>
      </w:r>
      <w:r>
        <w:rPr>
          <w:rFonts w:hint="eastAsia" w:ascii="楷体" w:hAnsi="楷体" w:eastAsia="楷体" w:cs="楷体"/>
          <w:color w:val="auto"/>
          <w:sz w:val="24"/>
          <w:u w:val="single"/>
        </w:rPr>
        <w:t xml:space="preserve">        </w:t>
      </w:r>
      <w:r>
        <w:rPr>
          <w:rFonts w:hint="eastAsia" w:ascii="楷体" w:hAnsi="楷体" w:eastAsia="楷体" w:cs="楷体"/>
          <w:color w:val="auto"/>
          <w:sz w:val="24"/>
        </w:rPr>
        <w:t>仲裁委员会仲裁。</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6. 本保函自我方法定代表人（或其授权代理人）签字并加盖公章之日起生效。</w:t>
      </w:r>
    </w:p>
    <w:p>
      <w:pPr>
        <w:spacing w:line="360" w:lineRule="auto"/>
        <w:rPr>
          <w:rFonts w:hint="eastAsia" w:ascii="楷体" w:hAnsi="楷体" w:eastAsia="楷体" w:cs="楷体"/>
          <w:color w:val="auto"/>
          <w:sz w:val="24"/>
        </w:rPr>
      </w:pPr>
    </w:p>
    <w:p>
      <w:pPr>
        <w:spacing w:line="360" w:lineRule="auto"/>
        <w:rPr>
          <w:rFonts w:hint="eastAsia" w:ascii="楷体" w:hAnsi="楷体" w:eastAsia="楷体" w:cs="楷体"/>
          <w:color w:val="auto"/>
          <w:sz w:val="24"/>
        </w:rPr>
      </w:pPr>
      <w:r>
        <w:rPr>
          <w:rFonts w:hint="eastAsia" w:ascii="楷体" w:hAnsi="楷体" w:eastAsia="楷体" w:cs="楷体"/>
          <w:color w:val="auto"/>
          <w:sz w:val="24"/>
        </w:rPr>
        <w:t>担 保 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（盖单位章）</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法定代表人或其委托代理人：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（签字）</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邮政编码：</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rPr>
        <w:t>电    话：</w:t>
      </w:r>
      <w:r>
        <w:rPr>
          <w:rFonts w:hint="eastAsia" w:ascii="楷体" w:hAnsi="楷体" w:eastAsia="楷体" w:cs="楷体"/>
          <w:color w:val="auto"/>
          <w:sz w:val="24"/>
          <w:u w:val="single"/>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传    真：</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u w:val="single"/>
        </w:rPr>
      </w:pPr>
    </w:p>
    <w:p>
      <w:pPr>
        <w:spacing w:line="360" w:lineRule="auto"/>
        <w:ind w:left="1519" w:hanging="1519" w:hangingChars="633"/>
        <w:rPr>
          <w:rFonts w:hint="eastAsia" w:ascii="楷体" w:hAnsi="楷体" w:eastAsia="楷体" w:cs="楷体"/>
          <w:color w:val="auto"/>
          <w:sz w:val="24"/>
        </w:rPr>
      </w:pP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360" w:lineRule="auto"/>
        <w:ind w:left="1519" w:hanging="1519" w:hangingChars="633"/>
        <w:rPr>
          <w:rFonts w:hint="eastAsia" w:ascii="楷体" w:hAnsi="楷体" w:eastAsia="楷体" w:cs="楷体"/>
          <w:color w:val="auto"/>
          <w:sz w:val="24"/>
        </w:rPr>
      </w:pPr>
    </w:p>
    <w:p>
      <w:pPr>
        <w:spacing w:line="360" w:lineRule="auto"/>
        <w:ind w:left="1519" w:hanging="1519" w:hangingChars="633"/>
        <w:rPr>
          <w:rFonts w:hint="eastAsia" w:ascii="楷体" w:hAnsi="楷体" w:eastAsia="楷体" w:cs="楷体"/>
          <w:color w:val="auto"/>
          <w:sz w:val="24"/>
        </w:rPr>
      </w:pPr>
    </w:p>
    <w:p>
      <w:pPr>
        <w:spacing w:line="360" w:lineRule="auto"/>
        <w:ind w:left="1519" w:hanging="1519" w:hangingChars="633"/>
        <w:rPr>
          <w:rFonts w:hint="eastAsia" w:ascii="楷体" w:hAnsi="楷体" w:eastAsia="楷体" w:cs="楷体"/>
          <w:color w:val="auto"/>
          <w:sz w:val="24"/>
        </w:rPr>
      </w:pPr>
    </w:p>
    <w:p>
      <w:pPr>
        <w:spacing w:line="360" w:lineRule="auto"/>
        <w:rPr>
          <w:rFonts w:hint="eastAsia" w:ascii="楷体" w:hAnsi="楷体" w:eastAsia="楷体" w:cs="楷体"/>
          <w:color w:val="auto"/>
          <w:sz w:val="24"/>
        </w:rPr>
      </w:pPr>
    </w:p>
    <w:p>
      <w:pPr>
        <w:spacing w:line="360" w:lineRule="auto"/>
        <w:rPr>
          <w:rFonts w:hint="eastAsia" w:ascii="楷体" w:hAnsi="楷体" w:eastAsia="楷体" w:cs="楷体"/>
          <w:color w:val="auto"/>
          <w:sz w:val="24"/>
        </w:rPr>
      </w:pPr>
      <w:r>
        <w:rPr>
          <w:rFonts w:hint="eastAsia" w:ascii="楷体" w:hAnsi="楷体" w:eastAsia="楷体" w:cs="楷体"/>
          <w:color w:val="auto"/>
          <w:sz w:val="24"/>
        </w:rPr>
        <w:t>附</w:t>
      </w:r>
      <w:bookmarkStart w:id="897" w:name="_Toc296944571"/>
      <w:bookmarkStart w:id="898" w:name="_Toc296347231"/>
      <w:bookmarkStart w:id="899" w:name="_Toc296503232"/>
      <w:bookmarkStart w:id="900" w:name="_Toc267261702"/>
      <w:bookmarkStart w:id="901" w:name="_Toc296346733"/>
      <w:bookmarkStart w:id="902" w:name="_Toc296891272"/>
      <w:bookmarkStart w:id="903" w:name="_Toc296891060"/>
      <w:r>
        <w:rPr>
          <w:rFonts w:hint="eastAsia" w:ascii="楷体" w:hAnsi="楷体" w:eastAsia="楷体" w:cs="楷体"/>
          <w:color w:val="auto"/>
          <w:sz w:val="24"/>
        </w:rPr>
        <w:t>件9 ：</w:t>
      </w:r>
    </w:p>
    <w:bookmarkEnd w:id="897"/>
    <w:bookmarkEnd w:id="898"/>
    <w:bookmarkEnd w:id="899"/>
    <w:bookmarkEnd w:id="900"/>
    <w:bookmarkEnd w:id="901"/>
    <w:bookmarkEnd w:id="902"/>
    <w:bookmarkEnd w:id="903"/>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预付款担保</w:t>
      </w:r>
    </w:p>
    <w:p>
      <w:pPr>
        <w:spacing w:line="360" w:lineRule="auto"/>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lang w:eastAsia="zh-CN"/>
        </w:rPr>
        <w:t xml:space="preserve"> 陕西省总工会</w:t>
      </w:r>
      <w:r>
        <w:rPr>
          <w:rFonts w:hint="eastAsia" w:ascii="楷体" w:hAnsi="楷体" w:eastAsia="楷体" w:cs="楷体"/>
          <w:color w:val="auto"/>
          <w:sz w:val="24"/>
        </w:rPr>
        <w:t xml:space="preserve"> （发包人名称）：</w:t>
      </w:r>
    </w:p>
    <w:p>
      <w:pPr>
        <w:spacing w:line="360" w:lineRule="auto"/>
        <w:rPr>
          <w:rFonts w:hint="eastAsia" w:ascii="楷体" w:hAnsi="楷体" w:eastAsia="楷体" w:cs="楷体"/>
          <w:color w:val="auto"/>
          <w:sz w:val="24"/>
        </w:rPr>
      </w:pP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根据</w:t>
      </w:r>
      <w:r>
        <w:rPr>
          <w:rFonts w:hint="eastAsia" w:ascii="楷体" w:hAnsi="楷体" w:eastAsia="楷体" w:cs="楷体"/>
          <w:color w:val="auto"/>
          <w:sz w:val="24"/>
          <w:u w:val="single"/>
        </w:rPr>
        <w:t xml:space="preserve">              </w:t>
      </w:r>
      <w:r>
        <w:rPr>
          <w:rFonts w:hint="eastAsia" w:ascii="楷体" w:hAnsi="楷体" w:eastAsia="楷体" w:cs="楷体"/>
          <w:color w:val="auto"/>
          <w:sz w:val="24"/>
        </w:rPr>
        <w:t>（承包人名称）（以下称“承包人”）与</w:t>
      </w:r>
      <w:r>
        <w:rPr>
          <w:rFonts w:hint="eastAsia" w:ascii="楷体" w:hAnsi="楷体" w:eastAsia="楷体" w:cs="楷体"/>
          <w:color w:val="auto"/>
          <w:sz w:val="24"/>
          <w:u w:val="single"/>
        </w:rPr>
        <w:t xml:space="preserve">                        </w:t>
      </w:r>
      <w:r>
        <w:rPr>
          <w:rFonts w:hint="eastAsia" w:ascii="楷体" w:hAnsi="楷体" w:eastAsia="楷体" w:cs="楷体"/>
          <w:color w:val="auto"/>
          <w:sz w:val="24"/>
        </w:rPr>
        <w:t>（发包人名称）（以下简称“发包人”）于</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日签订的</w:t>
      </w:r>
      <w:r>
        <w:rPr>
          <w:rFonts w:hint="eastAsia" w:ascii="楷体" w:hAnsi="楷体" w:eastAsia="楷体" w:cs="楷体"/>
          <w:color w:val="auto"/>
          <w:sz w:val="24"/>
          <w:u w:val="single"/>
        </w:rPr>
        <w:t xml:space="preserve">                   </w:t>
      </w:r>
      <w:r>
        <w:rPr>
          <w:rFonts w:hint="eastAsia" w:ascii="楷体" w:hAnsi="楷体" w:eastAsia="楷体" w:cs="楷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1. 担保金额人民币（大写）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元（¥</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2. 担保有效期自预付款支付给承包人起生效，至你方签发的进度款支付证书说明已完全扣清止。</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4. 你方和承包人按合同约定变更合同时，我方承担本保函规定的义务不变。</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5. 因本保函发生的纠纷，可由双方协商解决，协商不成的，任何一方均可提请</w:t>
      </w:r>
      <w:r>
        <w:rPr>
          <w:rFonts w:hint="eastAsia" w:ascii="楷体" w:hAnsi="楷体" w:eastAsia="楷体" w:cs="楷体"/>
          <w:color w:val="auto"/>
          <w:sz w:val="24"/>
          <w:u w:val="single"/>
        </w:rPr>
        <w:t xml:space="preserve">        </w:t>
      </w:r>
      <w:r>
        <w:rPr>
          <w:rFonts w:hint="eastAsia" w:ascii="楷体" w:hAnsi="楷体" w:eastAsia="楷体" w:cs="楷体"/>
          <w:color w:val="auto"/>
          <w:sz w:val="24"/>
        </w:rPr>
        <w:t>仲裁委员会仲裁。</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6. 本保函自我方法定代表人（或其授权代理人）签字并加盖公章之日起生效。</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担保人：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（盖单位章）</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法定代表人或其委托代理人：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（签字）</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ab/>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rPr>
        <w:t>邮政编码：</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ab/>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rPr>
        <w:t>电    话：</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ab/>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rPr>
        <w:t>传    真：</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 xml:space="preserve">                   </w:t>
      </w:r>
      <w:r>
        <w:rPr>
          <w:rFonts w:hint="eastAsia" w:ascii="楷体" w:hAnsi="楷体" w:eastAsia="楷体" w:cs="楷体"/>
          <w:color w:val="auto"/>
          <w:sz w:val="24"/>
          <w:u w:val="single"/>
        </w:rPr>
        <w:tab/>
      </w:r>
      <w:r>
        <w:rPr>
          <w:rFonts w:hint="eastAsia" w:ascii="楷体" w:hAnsi="楷体" w:eastAsia="楷体" w:cs="楷体"/>
          <w:color w:val="auto"/>
          <w:sz w:val="24"/>
          <w:u w:val="single"/>
        </w:rPr>
        <w:tab/>
      </w:r>
      <w:r>
        <w:rPr>
          <w:rFonts w:hint="eastAsia" w:ascii="楷体" w:hAnsi="楷体" w:eastAsia="楷体" w:cs="楷体"/>
          <w:color w:val="auto"/>
          <w:sz w:val="24"/>
          <w:u w:val="single"/>
        </w:rPr>
        <w:tab/>
      </w:r>
    </w:p>
    <w:p>
      <w:pPr>
        <w:spacing w:line="360" w:lineRule="auto"/>
        <w:rPr>
          <w:rFonts w:hint="eastAsia" w:ascii="楷体" w:hAnsi="楷体" w:eastAsia="楷体" w:cs="楷体"/>
          <w:color w:val="auto"/>
          <w:sz w:val="24"/>
          <w:u w:val="single"/>
        </w:rPr>
      </w:pPr>
      <w:r>
        <w:rPr>
          <w:rFonts w:hint="eastAsia" w:ascii="楷体" w:hAnsi="楷体" w:eastAsia="楷体" w:cs="楷体"/>
          <w:color w:val="auto"/>
          <w:sz w:val="24"/>
        </w:rPr>
        <w:t xml:space="preserve">  </w:t>
      </w:r>
    </w:p>
    <w:p>
      <w:pPr>
        <w:spacing w:line="360" w:lineRule="auto"/>
        <w:rPr>
          <w:rFonts w:hint="eastAsia" w:ascii="楷体" w:hAnsi="楷体" w:eastAsia="楷体" w:cs="楷体"/>
          <w:color w:val="auto"/>
          <w:sz w:val="24"/>
        </w:rPr>
      </w:pP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440" w:lineRule="exact"/>
        <w:rPr>
          <w:rFonts w:hint="eastAsia" w:ascii="楷体" w:hAnsi="楷体" w:eastAsia="楷体" w:cs="楷体"/>
          <w:color w:val="auto"/>
          <w:sz w:val="24"/>
        </w:rPr>
      </w:pPr>
      <w:r>
        <w:rPr>
          <w:rFonts w:hint="eastAsia" w:ascii="楷体" w:hAnsi="楷体" w:eastAsia="楷体" w:cs="楷体"/>
          <w:b/>
          <w:color w:val="auto"/>
          <w:sz w:val="24"/>
        </w:rPr>
        <w:br w:type="page"/>
      </w:r>
      <w:r>
        <w:rPr>
          <w:rFonts w:hint="eastAsia" w:ascii="楷体" w:hAnsi="楷体" w:eastAsia="楷体" w:cs="楷体"/>
          <w:color w:val="auto"/>
          <w:sz w:val="24"/>
        </w:rPr>
        <w:t>附</w:t>
      </w:r>
      <w:bookmarkStart w:id="904" w:name="_Toc296347232"/>
      <w:bookmarkStart w:id="905" w:name="_Toc296346734"/>
      <w:bookmarkStart w:id="906" w:name="_Toc296891061"/>
      <w:bookmarkStart w:id="907" w:name="_Toc296503233"/>
      <w:bookmarkStart w:id="908" w:name="_Toc296891273"/>
      <w:bookmarkStart w:id="909" w:name="_Toc296944572"/>
      <w:r>
        <w:rPr>
          <w:rFonts w:hint="eastAsia" w:ascii="楷体" w:hAnsi="楷体" w:eastAsia="楷体" w:cs="楷体"/>
          <w:color w:val="auto"/>
          <w:sz w:val="24"/>
        </w:rPr>
        <w:t xml:space="preserve">件10:  </w:t>
      </w:r>
    </w:p>
    <w:bookmarkEnd w:id="904"/>
    <w:bookmarkEnd w:id="905"/>
    <w:bookmarkEnd w:id="906"/>
    <w:bookmarkEnd w:id="907"/>
    <w:bookmarkEnd w:id="908"/>
    <w:bookmarkEnd w:id="909"/>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支付担保</w:t>
      </w:r>
    </w:p>
    <w:p>
      <w:pPr>
        <w:spacing w:line="440" w:lineRule="exact"/>
        <w:jc w:val="left"/>
        <w:rPr>
          <w:rFonts w:hint="eastAsia" w:ascii="楷体" w:hAnsi="楷体" w:eastAsia="楷体" w:cs="楷体"/>
          <w:color w:val="auto"/>
          <w:sz w:val="24"/>
        </w:rPr>
      </w:pPr>
      <w:r>
        <w:rPr>
          <w:rFonts w:hint="eastAsia" w:ascii="楷体" w:hAnsi="楷体" w:eastAsia="楷体" w:cs="楷体"/>
          <w:color w:val="auto"/>
          <w:sz w:val="24"/>
          <w:u w:val="single"/>
        </w:rPr>
        <w:t xml:space="preserve">             </w:t>
      </w:r>
      <w:r>
        <w:rPr>
          <w:rFonts w:hint="eastAsia" w:ascii="楷体" w:hAnsi="楷体" w:eastAsia="楷体" w:cs="楷体"/>
          <w:color w:val="auto"/>
          <w:sz w:val="24"/>
        </w:rPr>
        <w:t>（承包人）：</w:t>
      </w:r>
    </w:p>
    <w:p>
      <w:pPr>
        <w:spacing w:line="440" w:lineRule="exact"/>
        <w:jc w:val="left"/>
        <w:rPr>
          <w:rFonts w:hint="eastAsia" w:ascii="楷体" w:hAnsi="楷体" w:eastAsia="楷体" w:cs="楷体"/>
          <w:color w:val="auto"/>
          <w:sz w:val="24"/>
        </w:rPr>
      </w:pP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鉴于你方作为承包人已经与</w:t>
      </w:r>
      <w:r>
        <w:rPr>
          <w:rFonts w:hint="eastAsia" w:ascii="楷体" w:hAnsi="楷体" w:eastAsia="楷体" w:cs="楷体"/>
          <w:color w:val="auto"/>
          <w:sz w:val="24"/>
          <w:u w:val="single"/>
          <w:lang w:eastAsia="zh-CN"/>
        </w:rPr>
        <w:t xml:space="preserve"> 陕西省总工会</w:t>
      </w:r>
      <w:r>
        <w:rPr>
          <w:rFonts w:hint="eastAsia" w:ascii="楷体" w:hAnsi="楷体" w:eastAsia="楷体" w:cs="楷体"/>
          <w:color w:val="auto"/>
          <w:sz w:val="24"/>
        </w:rPr>
        <w:t>（发包人名称）（以下称“发包人”）于</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日签订了</w:t>
      </w:r>
      <w:r>
        <w:rPr>
          <w:rFonts w:hint="eastAsia" w:ascii="楷体" w:hAnsi="楷体" w:eastAsia="楷体" w:cs="楷体"/>
          <w:color w:val="auto"/>
          <w:sz w:val="24"/>
          <w:u w:val="single"/>
        </w:rPr>
        <w:t xml:space="preserve">             </w:t>
      </w:r>
      <w:r>
        <w:rPr>
          <w:rFonts w:hint="eastAsia" w:ascii="楷体" w:hAnsi="楷体" w:eastAsia="楷体" w:cs="楷体"/>
          <w:color w:val="auto"/>
          <w:sz w:val="24"/>
        </w:rPr>
        <w:t>（工程名称）《建设工程施工合同》（以下称“主合同”），应发包人的申请，我方愿就发包人履行主合同约定的工程款支付义务以保证的方式向你方提供如下担保：</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一、保证的范围及保证金额</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 我方的保证范围是主合同约定的工程款。</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 本保函所称主合同约定的工程款是指主合同约定的除工程质量保证金以外的合同价款。</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 我方保证的金额是主合同约定的工程款的</w:t>
      </w:r>
      <w:r>
        <w:rPr>
          <w:rFonts w:hint="eastAsia" w:ascii="楷体" w:hAnsi="楷体" w:eastAsia="楷体" w:cs="楷体"/>
          <w:color w:val="auto"/>
          <w:sz w:val="24"/>
          <w:u w:val="single"/>
        </w:rPr>
        <w:t xml:space="preserve">      </w:t>
      </w:r>
      <w:r>
        <w:rPr>
          <w:rFonts w:hint="eastAsia" w:ascii="楷体" w:hAnsi="楷体" w:eastAsia="楷体" w:cs="楷体"/>
          <w:color w:val="auto"/>
          <w:sz w:val="24"/>
        </w:rPr>
        <w:t>%，数额最高不超过人民币元（大写：</w:t>
      </w:r>
      <w:r>
        <w:rPr>
          <w:rFonts w:hint="eastAsia" w:ascii="楷体" w:hAnsi="楷体" w:eastAsia="楷体" w:cs="楷体"/>
          <w:color w:val="auto"/>
          <w:sz w:val="24"/>
          <w:u w:val="single"/>
        </w:rPr>
        <w:t xml:space="preserve">        </w:t>
      </w:r>
      <w:r>
        <w:rPr>
          <w:rFonts w:hint="eastAsia" w:ascii="楷体" w:hAnsi="楷体" w:eastAsia="楷体" w:cs="楷体"/>
          <w:color w:val="auto"/>
          <w:sz w:val="24"/>
        </w:rPr>
        <w:t>）。</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二、保证的方式及保证期间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 我方保证的方式为：连带责任保证。</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 我方保证的期间为：自本合同生效之日起至主合同约定的工程款支付完毕之日后</w:t>
      </w:r>
      <w:r>
        <w:rPr>
          <w:rFonts w:hint="eastAsia" w:ascii="楷体" w:hAnsi="楷体" w:eastAsia="楷体" w:cs="楷体"/>
          <w:color w:val="auto"/>
          <w:sz w:val="24"/>
          <w:u w:val="single"/>
        </w:rPr>
        <w:t xml:space="preserve">    </w:t>
      </w:r>
      <w:r>
        <w:rPr>
          <w:rFonts w:hint="eastAsia" w:ascii="楷体" w:hAnsi="楷体" w:eastAsia="楷体" w:cs="楷体"/>
          <w:color w:val="auto"/>
          <w:sz w:val="24"/>
        </w:rPr>
        <w:t>日内。</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 你方与发包人协议变更工程款支付日期的，经我方书面同意后，保证期间按照变更后的支付日期做相应调整。</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三、承担保证责任的形式</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我方承担保证责任的形式是代为支付。发包人未按主合同约定向你方支付工程款的，由我方在保证金额内代为支付。</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四、代偿的安排</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 我方收到你方的书面索赔通知及相应的证明材料后７天内无条件支付。</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五、保证责任的解除</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 在本保函承诺的保证期间内，你方未书面向我方主张保证责任的，自保证期间届满次日起，我方保证责任解除。</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 发包人按主合同约定履行了工程款的全部支付义务的，自本保函承诺的保证期间届满次日起，我方保证责任解除。</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 我方按照本保函向你方履行保证责任所支付金额达到本保函保证金额时，自我方向你方支付（支付款项从我方账户划出）之日起，保证责任即解除。</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4. 按照法律法规的规定或出现应解除我方保证责任的其他情形的，我方在本保函项下的保证责任亦解除。</w:t>
      </w:r>
    </w:p>
    <w:p>
      <w:pPr>
        <w:spacing w:line="360" w:lineRule="auto"/>
        <w:jc w:val="left"/>
        <w:rPr>
          <w:rFonts w:hint="eastAsia" w:ascii="楷体" w:hAnsi="楷体" w:eastAsia="楷体" w:cs="楷体"/>
          <w:color w:val="auto"/>
          <w:sz w:val="24"/>
        </w:rPr>
      </w:pP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5. 我方解除保证责任后，你方应自我方保证责任解除之日起</w:t>
      </w:r>
      <w:r>
        <w:rPr>
          <w:rFonts w:hint="eastAsia" w:ascii="楷体" w:hAnsi="楷体" w:eastAsia="楷体" w:cs="楷体"/>
          <w:color w:val="auto"/>
          <w:sz w:val="24"/>
          <w:u w:val="single"/>
        </w:rPr>
        <w:t xml:space="preserve">  </w:t>
      </w:r>
      <w:r>
        <w:rPr>
          <w:rFonts w:hint="eastAsia" w:ascii="楷体" w:hAnsi="楷体" w:eastAsia="楷体" w:cs="楷体"/>
          <w:color w:val="auto"/>
          <w:sz w:val="24"/>
        </w:rPr>
        <w:t>个工作日内，将本保函原件返还我方。</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六、免责条款</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 因你方违约致使发包人不能履行义务的，我方不承担保证责任。</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 依照法律法规的规定或你方与发包人的另行约定，免除发包人部分或全部义务的，我方亦免除其相应的保证责任。</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4. 因不可抗力造成发包人不能履行义务的，我方不承担保证责任。</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七、争议解决</w:t>
      </w:r>
    </w:p>
    <w:p>
      <w:pPr>
        <w:spacing w:after="120" w:line="360" w:lineRule="auto"/>
        <w:ind w:firstLine="480" w:firstLineChars="200"/>
        <w:rPr>
          <w:rFonts w:hint="eastAsia" w:ascii="楷体" w:hAnsi="楷体" w:eastAsia="楷体" w:cs="楷体"/>
          <w:color w:val="auto"/>
          <w:sz w:val="24"/>
        </w:rPr>
      </w:pPr>
      <w:r>
        <w:rPr>
          <w:rFonts w:hint="eastAsia" w:ascii="楷体" w:hAnsi="楷体" w:eastAsia="楷体" w:cs="楷体"/>
          <w:color w:val="auto"/>
          <w:sz w:val="24"/>
        </w:rPr>
        <w:t>因本保函或本保函相关事项发生的纠纷，可由双方协商解决，协商不成的，按下列第</w:t>
      </w:r>
      <w:r>
        <w:rPr>
          <w:rFonts w:hint="eastAsia" w:ascii="楷体" w:hAnsi="楷体" w:eastAsia="楷体" w:cs="楷体"/>
          <w:color w:val="auto"/>
          <w:sz w:val="24"/>
          <w:u w:val="single"/>
        </w:rPr>
        <w:t xml:space="preserve">     </w:t>
      </w:r>
      <w:r>
        <w:rPr>
          <w:rFonts w:hint="eastAsia" w:ascii="楷体" w:hAnsi="楷体" w:eastAsia="楷体" w:cs="楷体"/>
          <w:color w:val="auto"/>
          <w:sz w:val="24"/>
        </w:rPr>
        <w:t>种方式解决：</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（1）向</w:t>
      </w:r>
      <w:r>
        <w:rPr>
          <w:rFonts w:hint="eastAsia" w:ascii="楷体" w:hAnsi="楷体" w:eastAsia="楷体" w:cs="楷体"/>
          <w:color w:val="auto"/>
          <w:sz w:val="24"/>
          <w:u w:val="single"/>
        </w:rPr>
        <w:t xml:space="preserve">                     </w:t>
      </w:r>
      <w:r>
        <w:rPr>
          <w:rFonts w:hint="eastAsia" w:ascii="楷体" w:hAnsi="楷体" w:eastAsia="楷体" w:cs="楷体"/>
          <w:color w:val="auto"/>
          <w:sz w:val="24"/>
        </w:rPr>
        <w:t>仲裁委员会申请仲裁；</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（2）向</w:t>
      </w:r>
      <w:r>
        <w:rPr>
          <w:rFonts w:hint="eastAsia" w:ascii="楷体" w:hAnsi="楷体" w:eastAsia="楷体" w:cs="楷体"/>
          <w:color w:val="auto"/>
          <w:sz w:val="24"/>
          <w:u w:val="single"/>
        </w:rPr>
        <w:t xml:space="preserve">                     </w:t>
      </w:r>
      <w:r>
        <w:rPr>
          <w:rFonts w:hint="eastAsia" w:ascii="楷体" w:hAnsi="楷体" w:eastAsia="楷体" w:cs="楷体"/>
          <w:color w:val="auto"/>
          <w:sz w:val="24"/>
        </w:rPr>
        <w:t>人民法院起诉。</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八、保函的生效</w:t>
      </w:r>
    </w:p>
    <w:p>
      <w:pPr>
        <w:spacing w:line="360" w:lineRule="auto"/>
        <w:ind w:firstLine="480" w:firstLineChars="200"/>
        <w:jc w:val="left"/>
        <w:rPr>
          <w:rFonts w:hint="eastAsia" w:ascii="楷体" w:hAnsi="楷体" w:eastAsia="楷体" w:cs="楷体"/>
          <w:color w:val="auto"/>
          <w:sz w:val="24"/>
        </w:rPr>
      </w:pPr>
      <w:r>
        <w:rPr>
          <w:rFonts w:hint="eastAsia" w:ascii="楷体" w:hAnsi="楷体" w:eastAsia="楷体" w:cs="楷体"/>
          <w:color w:val="auto"/>
          <w:sz w:val="24"/>
        </w:rPr>
        <w:t>本保函自我方法定代表人（或其授权代理人）签字并加盖公章之日起生效。</w:t>
      </w:r>
    </w:p>
    <w:p>
      <w:pPr>
        <w:spacing w:line="360" w:lineRule="auto"/>
        <w:ind w:firstLine="480" w:firstLineChars="200"/>
        <w:jc w:val="left"/>
        <w:rPr>
          <w:rFonts w:hint="eastAsia" w:ascii="楷体" w:hAnsi="楷体" w:eastAsia="楷体" w:cs="楷体"/>
          <w:color w:val="auto"/>
          <w:sz w:val="24"/>
        </w:rPr>
      </w:pPr>
    </w:p>
    <w:p>
      <w:pPr>
        <w:spacing w:line="360" w:lineRule="auto"/>
        <w:ind w:right="600"/>
        <w:jc w:val="left"/>
        <w:rPr>
          <w:rFonts w:hint="eastAsia" w:ascii="楷体" w:hAnsi="楷体" w:eastAsia="楷体" w:cs="楷体"/>
          <w:color w:val="auto"/>
          <w:sz w:val="24"/>
        </w:rPr>
      </w:pPr>
    </w:p>
    <w:p>
      <w:pPr>
        <w:spacing w:line="360" w:lineRule="auto"/>
        <w:ind w:right="600"/>
        <w:jc w:val="left"/>
        <w:rPr>
          <w:rFonts w:hint="eastAsia" w:ascii="楷体" w:hAnsi="楷体" w:eastAsia="楷体" w:cs="楷体"/>
          <w:color w:val="auto"/>
          <w:sz w:val="24"/>
        </w:rPr>
      </w:pPr>
      <w:r>
        <w:rPr>
          <w:rFonts w:hint="eastAsia" w:ascii="楷体" w:hAnsi="楷体" w:eastAsia="楷体" w:cs="楷体"/>
          <w:color w:val="auto"/>
          <w:sz w:val="24"/>
        </w:rPr>
        <w:t>担保人：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（盖章）</w:t>
      </w:r>
    </w:p>
    <w:p>
      <w:pPr>
        <w:spacing w:line="360" w:lineRule="auto"/>
        <w:ind w:right="1200"/>
        <w:rPr>
          <w:rFonts w:hint="eastAsia" w:ascii="楷体" w:hAnsi="楷体" w:eastAsia="楷体" w:cs="楷体"/>
          <w:color w:val="auto"/>
          <w:sz w:val="24"/>
        </w:rPr>
      </w:pPr>
      <w:r>
        <w:rPr>
          <w:rFonts w:hint="eastAsia" w:ascii="楷体" w:hAnsi="楷体" w:eastAsia="楷体" w:cs="楷体"/>
          <w:color w:val="auto"/>
          <w:sz w:val="24"/>
        </w:rPr>
        <w:t>法定代表人或委托代理人：</w:t>
      </w:r>
      <w:r>
        <w:rPr>
          <w:rFonts w:hint="eastAsia" w:ascii="楷体" w:hAnsi="楷体" w:eastAsia="楷体" w:cs="楷体"/>
          <w:color w:val="auto"/>
          <w:sz w:val="24"/>
          <w:u w:val="single"/>
        </w:rPr>
        <w:t xml:space="preserve">                   </w:t>
      </w:r>
      <w:r>
        <w:rPr>
          <w:rFonts w:hint="eastAsia" w:ascii="楷体" w:hAnsi="楷体" w:eastAsia="楷体" w:cs="楷体"/>
          <w:color w:val="auto"/>
          <w:sz w:val="24"/>
        </w:rPr>
        <w:t>（签字）</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地    址：</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邮政编码：</w:t>
      </w:r>
      <w:r>
        <w:rPr>
          <w:rFonts w:hint="eastAsia" w:ascii="楷体" w:hAnsi="楷体" w:eastAsia="楷体" w:cs="楷体"/>
          <w:color w:val="auto"/>
          <w:sz w:val="24"/>
          <w:u w:val="single"/>
        </w:rPr>
        <w:t xml:space="preserve">                                        </w:t>
      </w:r>
    </w:p>
    <w:p>
      <w:pPr>
        <w:spacing w:line="360" w:lineRule="auto"/>
        <w:jc w:val="left"/>
        <w:rPr>
          <w:rFonts w:hint="eastAsia" w:ascii="楷体" w:hAnsi="楷体" w:eastAsia="楷体" w:cs="楷体"/>
          <w:color w:val="auto"/>
          <w:sz w:val="24"/>
        </w:rPr>
      </w:pPr>
      <w:r>
        <w:rPr>
          <w:rFonts w:hint="eastAsia" w:ascii="楷体" w:hAnsi="楷体" w:eastAsia="楷体" w:cs="楷体"/>
          <w:color w:val="auto"/>
          <w:sz w:val="24"/>
        </w:rPr>
        <w:t>传    真：</w:t>
      </w:r>
      <w:r>
        <w:rPr>
          <w:rFonts w:hint="eastAsia" w:ascii="楷体" w:hAnsi="楷体" w:eastAsia="楷体" w:cs="楷体"/>
          <w:color w:val="auto"/>
          <w:sz w:val="24"/>
          <w:u w:val="single"/>
        </w:rPr>
        <w:t xml:space="preserve">                                        </w:t>
      </w:r>
    </w:p>
    <w:p>
      <w:pPr>
        <w:spacing w:line="360" w:lineRule="auto"/>
        <w:ind w:right="150" w:firstLine="480" w:firstLineChars="200"/>
        <w:jc w:val="left"/>
        <w:rPr>
          <w:rFonts w:hint="eastAsia" w:ascii="楷体" w:hAnsi="楷体" w:eastAsia="楷体" w:cs="楷体"/>
          <w:color w:val="auto"/>
          <w:sz w:val="24"/>
          <w:u w:val="single"/>
        </w:rPr>
      </w:pPr>
    </w:p>
    <w:p>
      <w:pPr>
        <w:spacing w:line="360" w:lineRule="auto"/>
        <w:ind w:right="150" w:firstLine="480" w:firstLineChars="200"/>
        <w:jc w:val="left"/>
        <w:rPr>
          <w:rFonts w:hint="eastAsia" w:ascii="楷体" w:hAnsi="楷体" w:eastAsia="楷体" w:cs="楷体"/>
          <w:color w:val="auto"/>
          <w:sz w:val="24"/>
        </w:rPr>
      </w:pPr>
      <w:r>
        <w:rPr>
          <w:rFonts w:hint="eastAsia" w:ascii="楷体" w:hAnsi="楷体" w:eastAsia="楷体" w:cs="楷体"/>
          <w:color w:val="auto"/>
          <w:sz w:val="24"/>
        </w:rPr>
        <w:t xml:space="preserve">             </w:t>
      </w:r>
      <w:r>
        <w:rPr>
          <w:rFonts w:hint="eastAsia" w:ascii="楷体" w:hAnsi="楷体" w:eastAsia="楷体" w:cs="楷体"/>
          <w:color w:val="auto"/>
          <w:sz w:val="24"/>
          <w:u w:val="single"/>
        </w:rPr>
        <w:t xml:space="preserve">               </w:t>
      </w:r>
      <w:r>
        <w:rPr>
          <w:rFonts w:hint="eastAsia" w:ascii="楷体" w:hAnsi="楷体" w:eastAsia="楷体" w:cs="楷体"/>
          <w:color w:val="auto"/>
          <w:sz w:val="24"/>
        </w:rPr>
        <w:t>年</w:t>
      </w:r>
      <w:r>
        <w:rPr>
          <w:rFonts w:hint="eastAsia" w:ascii="楷体" w:hAnsi="楷体" w:eastAsia="楷体" w:cs="楷体"/>
          <w:color w:val="auto"/>
          <w:sz w:val="24"/>
          <w:u w:val="single"/>
        </w:rPr>
        <w:t xml:space="preserve">      </w:t>
      </w:r>
      <w:r>
        <w:rPr>
          <w:rFonts w:hint="eastAsia" w:ascii="楷体" w:hAnsi="楷体" w:eastAsia="楷体" w:cs="楷体"/>
          <w:color w:val="auto"/>
          <w:sz w:val="24"/>
        </w:rPr>
        <w:t>月</w:t>
      </w:r>
      <w:r>
        <w:rPr>
          <w:rFonts w:hint="eastAsia" w:ascii="楷体" w:hAnsi="楷体" w:eastAsia="楷体" w:cs="楷体"/>
          <w:color w:val="auto"/>
          <w:sz w:val="24"/>
          <w:u w:val="single"/>
        </w:rPr>
        <w:t xml:space="preserve">      </w:t>
      </w:r>
      <w:r>
        <w:rPr>
          <w:rFonts w:hint="eastAsia" w:ascii="楷体" w:hAnsi="楷体" w:eastAsia="楷体" w:cs="楷体"/>
          <w:color w:val="auto"/>
          <w:sz w:val="24"/>
        </w:rPr>
        <w:t>日</w:t>
      </w:r>
    </w:p>
    <w:p>
      <w:pPr>
        <w:spacing w:line="440" w:lineRule="exact"/>
        <w:rPr>
          <w:rFonts w:hint="eastAsia" w:ascii="楷体" w:hAnsi="楷体" w:eastAsia="楷体" w:cs="楷体"/>
          <w:color w:val="auto"/>
          <w:sz w:val="24"/>
        </w:rPr>
      </w:pPr>
      <w:r>
        <w:rPr>
          <w:rFonts w:hint="eastAsia" w:ascii="楷体" w:hAnsi="楷体" w:eastAsia="楷体" w:cs="楷体"/>
          <w:color w:val="auto"/>
          <w:sz w:val="24"/>
        </w:rPr>
        <w:br w:type="page"/>
      </w:r>
      <w:r>
        <w:rPr>
          <w:rFonts w:hint="eastAsia" w:ascii="楷体" w:hAnsi="楷体" w:eastAsia="楷体" w:cs="楷体"/>
          <w:color w:val="auto"/>
          <w:sz w:val="24"/>
        </w:rPr>
        <w:t>附件11：</w:t>
      </w:r>
    </w:p>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11-1：材料暂估价表</w:t>
      </w:r>
    </w:p>
    <w:tbl>
      <w:tblPr>
        <w:tblStyle w:val="13"/>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序号</w:t>
            </w:r>
          </w:p>
        </w:tc>
        <w:tc>
          <w:tcPr>
            <w:tcW w:w="1984"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名称</w:t>
            </w:r>
          </w:p>
        </w:tc>
        <w:tc>
          <w:tcPr>
            <w:tcW w:w="851"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单位</w:t>
            </w:r>
          </w:p>
        </w:tc>
        <w:tc>
          <w:tcPr>
            <w:tcW w:w="774"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数量</w:t>
            </w:r>
          </w:p>
        </w:tc>
        <w:tc>
          <w:tcPr>
            <w:tcW w:w="1352"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单价（元）</w:t>
            </w:r>
          </w:p>
        </w:tc>
        <w:tc>
          <w:tcPr>
            <w:tcW w:w="1418"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合价（元）</w:t>
            </w:r>
          </w:p>
        </w:tc>
        <w:tc>
          <w:tcPr>
            <w:tcW w:w="1701"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851"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774"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352"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418"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701"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774"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352"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418"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701"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bl>
    <w:p>
      <w:pPr>
        <w:spacing w:before="120" w:beforeLines="50" w:after="120" w:afterLines="50" w:line="440" w:lineRule="exact"/>
        <w:rPr>
          <w:rFonts w:hint="eastAsia" w:ascii="楷体" w:hAnsi="楷体" w:eastAsia="楷体" w:cs="楷体"/>
          <w:color w:val="auto"/>
          <w:sz w:val="24"/>
        </w:rPr>
      </w:pPr>
    </w:p>
    <w:p>
      <w:pPr>
        <w:spacing w:before="120" w:beforeLines="50" w:after="120" w:afterLines="50" w:line="440" w:lineRule="exact"/>
        <w:jc w:val="center"/>
        <w:rPr>
          <w:rFonts w:hint="eastAsia" w:ascii="楷体" w:hAnsi="楷体" w:eastAsia="楷体" w:cs="楷体"/>
          <w:color w:val="auto"/>
          <w:sz w:val="24"/>
        </w:rPr>
      </w:pPr>
      <w:r>
        <w:rPr>
          <w:rFonts w:hint="eastAsia" w:ascii="楷体" w:hAnsi="楷体" w:eastAsia="楷体" w:cs="楷体"/>
          <w:color w:val="auto"/>
          <w:sz w:val="24"/>
        </w:rPr>
        <w:t>11-2：工程设备暂估价表</w:t>
      </w:r>
    </w:p>
    <w:tbl>
      <w:tblPr>
        <w:tblStyle w:val="13"/>
        <w:tblW w:w="9073" w:type="dxa"/>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序号</w:t>
            </w:r>
          </w:p>
        </w:tc>
        <w:tc>
          <w:tcPr>
            <w:tcW w:w="1984"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名称</w:t>
            </w:r>
          </w:p>
        </w:tc>
        <w:tc>
          <w:tcPr>
            <w:tcW w:w="851"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单位</w:t>
            </w:r>
          </w:p>
        </w:tc>
        <w:tc>
          <w:tcPr>
            <w:tcW w:w="774"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数量</w:t>
            </w:r>
          </w:p>
        </w:tc>
        <w:tc>
          <w:tcPr>
            <w:tcW w:w="1352"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单价（元）</w:t>
            </w:r>
          </w:p>
        </w:tc>
        <w:tc>
          <w:tcPr>
            <w:tcW w:w="1418"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合价（元）</w:t>
            </w:r>
          </w:p>
        </w:tc>
        <w:tc>
          <w:tcPr>
            <w:tcW w:w="1701"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851"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774"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352"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418"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701"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851"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774"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352"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418"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701"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851" w:type="dxa"/>
            <w:noWrap w:val="0"/>
            <w:vAlign w:val="top"/>
          </w:tcPr>
          <w:p>
            <w:pPr>
              <w:pStyle w:val="3"/>
              <w:keepNext/>
              <w:spacing w:line="440" w:lineRule="exact"/>
              <w:ind w:left="63" w:right="63"/>
              <w:rPr>
                <w:rFonts w:hint="eastAsia" w:ascii="楷体" w:hAnsi="楷体" w:eastAsia="楷体" w:cs="楷体"/>
                <w:color w:val="auto"/>
              </w:rPr>
            </w:pPr>
          </w:p>
        </w:tc>
        <w:tc>
          <w:tcPr>
            <w:tcW w:w="774" w:type="dxa"/>
            <w:noWrap w:val="0"/>
            <w:vAlign w:val="top"/>
          </w:tcPr>
          <w:p>
            <w:pPr>
              <w:pStyle w:val="3"/>
              <w:keepNext/>
              <w:spacing w:line="440" w:lineRule="exact"/>
              <w:ind w:left="63" w:right="63"/>
              <w:rPr>
                <w:rFonts w:hint="eastAsia" w:ascii="楷体" w:hAnsi="楷体" w:eastAsia="楷体" w:cs="楷体"/>
                <w:color w:val="auto"/>
              </w:rPr>
            </w:pPr>
          </w:p>
        </w:tc>
        <w:tc>
          <w:tcPr>
            <w:tcW w:w="1352" w:type="dxa"/>
            <w:noWrap w:val="0"/>
            <w:vAlign w:val="top"/>
          </w:tcPr>
          <w:p>
            <w:pPr>
              <w:pStyle w:val="3"/>
              <w:keepNext/>
              <w:spacing w:line="440" w:lineRule="exact"/>
              <w:ind w:left="63" w:right="63"/>
              <w:rPr>
                <w:rFonts w:hint="eastAsia" w:ascii="楷体" w:hAnsi="楷体" w:eastAsia="楷体" w:cs="楷体"/>
                <w:color w:val="auto"/>
              </w:rPr>
            </w:pPr>
          </w:p>
        </w:tc>
        <w:tc>
          <w:tcPr>
            <w:tcW w:w="1418" w:type="dxa"/>
            <w:noWrap w:val="0"/>
            <w:vAlign w:val="top"/>
          </w:tcPr>
          <w:p>
            <w:pPr>
              <w:pStyle w:val="3"/>
              <w:keepNext/>
              <w:spacing w:line="440" w:lineRule="exact"/>
              <w:ind w:left="63" w:right="63"/>
              <w:rPr>
                <w:rFonts w:hint="eastAsia" w:ascii="楷体" w:hAnsi="楷体" w:eastAsia="楷体" w:cs="楷体"/>
                <w:color w:val="auto"/>
              </w:rPr>
            </w:pPr>
          </w:p>
        </w:tc>
        <w:tc>
          <w:tcPr>
            <w:tcW w:w="1701" w:type="dxa"/>
            <w:noWrap w:val="0"/>
            <w:vAlign w:val="top"/>
          </w:tcPr>
          <w:p>
            <w:pPr>
              <w:pStyle w:val="3"/>
              <w:keepNext/>
              <w:spacing w:line="440" w:lineRule="exact"/>
              <w:ind w:left="63" w:right="63"/>
              <w:rPr>
                <w:rFonts w:hint="eastAsia" w:ascii="楷体" w:hAnsi="楷体" w:eastAsia="楷体" w:cs="楷体"/>
                <w:color w:val="auto"/>
              </w:rPr>
            </w:pPr>
          </w:p>
        </w:tc>
      </w:tr>
    </w:tbl>
    <w:p>
      <w:pPr>
        <w:spacing w:line="440" w:lineRule="exact"/>
        <w:rPr>
          <w:rFonts w:hint="eastAsia" w:ascii="楷体" w:hAnsi="楷体" w:eastAsia="楷体" w:cs="楷体"/>
          <w:color w:val="auto"/>
          <w:sz w:val="24"/>
        </w:rPr>
      </w:pPr>
    </w:p>
    <w:p>
      <w:pPr>
        <w:spacing w:before="120" w:beforeLines="50" w:after="120" w:afterLines="50" w:line="440" w:lineRule="exact"/>
        <w:rPr>
          <w:rFonts w:hint="eastAsia" w:ascii="楷体" w:hAnsi="楷体" w:eastAsia="楷体" w:cs="楷体"/>
          <w:color w:val="auto"/>
          <w:sz w:val="24"/>
        </w:rPr>
      </w:pPr>
    </w:p>
    <w:p>
      <w:pPr>
        <w:spacing w:before="120" w:beforeLines="50" w:after="120" w:afterLines="50" w:line="440" w:lineRule="exact"/>
        <w:rPr>
          <w:rFonts w:hint="eastAsia" w:ascii="楷体" w:hAnsi="楷体" w:eastAsia="楷体" w:cs="楷体"/>
          <w:color w:val="auto"/>
          <w:sz w:val="24"/>
        </w:rPr>
      </w:pPr>
      <w:r>
        <w:rPr>
          <w:rFonts w:hint="eastAsia" w:ascii="楷体" w:hAnsi="楷体" w:eastAsia="楷体" w:cs="楷体"/>
          <w:color w:val="auto"/>
          <w:sz w:val="24"/>
        </w:rPr>
        <w:t>11-3：专业工程暂估价表</w:t>
      </w:r>
    </w:p>
    <w:tbl>
      <w:tblPr>
        <w:tblStyle w:val="13"/>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序号</w:t>
            </w:r>
          </w:p>
        </w:tc>
        <w:tc>
          <w:tcPr>
            <w:tcW w:w="1984"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专业工程名称</w:t>
            </w:r>
          </w:p>
        </w:tc>
        <w:tc>
          <w:tcPr>
            <w:tcW w:w="4678"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工程内容</w:t>
            </w:r>
          </w:p>
        </w:tc>
        <w:tc>
          <w:tcPr>
            <w:tcW w:w="1276" w:type="dxa"/>
            <w:tcBorders>
              <w:top w:val="single" w:color="auto" w:sz="12" w:space="0"/>
              <w:bottom w:val="double" w:color="auto" w:sz="6" w:space="0"/>
            </w:tcBorders>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4678"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c>
          <w:tcPr>
            <w:tcW w:w="1276" w:type="dxa"/>
            <w:tcBorders>
              <w:top w:val="double" w:color="auto" w:sz="6" w:space="0"/>
              <w:bottom w:val="single" w:color="auto" w:sz="6" w:space="0"/>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984"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4678"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c>
          <w:tcPr>
            <w:tcW w:w="1276" w:type="dxa"/>
            <w:tcBorders>
              <w:top w:val="nil"/>
            </w:tcBorders>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pPr>
              <w:pStyle w:val="3"/>
              <w:keepNext/>
              <w:spacing w:line="440" w:lineRule="exact"/>
              <w:ind w:left="63" w:right="63"/>
              <w:rPr>
                <w:rFonts w:hint="eastAsia" w:ascii="楷体" w:hAnsi="楷体" w:eastAsia="楷体" w:cs="楷体"/>
                <w:color w:val="auto"/>
              </w:rPr>
            </w:pPr>
          </w:p>
        </w:tc>
        <w:tc>
          <w:tcPr>
            <w:tcW w:w="1984" w:type="dxa"/>
            <w:noWrap w:val="0"/>
            <w:vAlign w:val="top"/>
          </w:tcPr>
          <w:p>
            <w:pPr>
              <w:pStyle w:val="3"/>
              <w:keepNext/>
              <w:spacing w:line="440" w:lineRule="exact"/>
              <w:ind w:left="63" w:right="63"/>
              <w:rPr>
                <w:rFonts w:hint="eastAsia" w:ascii="楷体" w:hAnsi="楷体" w:eastAsia="楷体" w:cs="楷体"/>
                <w:color w:val="auto"/>
              </w:rPr>
            </w:pPr>
          </w:p>
        </w:tc>
        <w:tc>
          <w:tcPr>
            <w:tcW w:w="4678" w:type="dxa"/>
            <w:noWrap w:val="0"/>
            <w:vAlign w:val="top"/>
          </w:tcPr>
          <w:p>
            <w:pPr>
              <w:pStyle w:val="3"/>
              <w:keepNext/>
              <w:spacing w:line="440" w:lineRule="exact"/>
              <w:ind w:left="63" w:right="63"/>
              <w:rPr>
                <w:rFonts w:hint="eastAsia" w:ascii="楷体" w:hAnsi="楷体" w:eastAsia="楷体" w:cs="楷体"/>
                <w:color w:val="auto"/>
              </w:rPr>
            </w:pPr>
          </w:p>
        </w:tc>
        <w:tc>
          <w:tcPr>
            <w:tcW w:w="1276" w:type="dxa"/>
            <w:noWrap w:val="0"/>
            <w:vAlign w:val="top"/>
          </w:tcPr>
          <w:p>
            <w:pPr>
              <w:pStyle w:val="3"/>
              <w:keepNext/>
              <w:spacing w:line="440" w:lineRule="exact"/>
              <w:ind w:left="63" w:right="63"/>
              <w:rPr>
                <w:rFonts w:hint="eastAsia" w:ascii="楷体" w:hAnsi="楷体" w:eastAsia="楷体" w:cs="楷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pPr>
              <w:pStyle w:val="3"/>
              <w:keepNext/>
              <w:spacing w:line="440" w:lineRule="exact"/>
              <w:ind w:left="63" w:right="63"/>
              <w:rPr>
                <w:rFonts w:hint="eastAsia" w:ascii="楷体" w:hAnsi="楷体" w:eastAsia="楷体" w:cs="楷体"/>
                <w:color w:val="auto"/>
              </w:rPr>
            </w:pPr>
            <w:r>
              <w:rPr>
                <w:rFonts w:hint="eastAsia" w:ascii="楷体" w:hAnsi="楷体" w:eastAsia="楷体" w:cs="楷体"/>
                <w:color w:val="auto"/>
              </w:rPr>
              <w:t>小计：</w:t>
            </w:r>
          </w:p>
        </w:tc>
      </w:tr>
    </w:tbl>
    <w:p>
      <w:pPr>
        <w:rPr>
          <w:rFonts w:hint="eastAsia" w:ascii="楷体" w:hAnsi="楷体" w:eastAsia="楷体" w:cs="楷体"/>
          <w:color w:val="auto"/>
          <w:sz w:val="52"/>
          <w:szCs w:val="5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0E0726"/>
    <w:multiLevelType w:val="singleLevel"/>
    <w:tmpl w:val="FD0E0726"/>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kNzlhNWVhZjQxMGE5NzJhYjc4MDkzYzg1NTI4NDcifQ=="/>
  </w:docVars>
  <w:rsids>
    <w:rsidRoot w:val="42A15DE8"/>
    <w:rsid w:val="00D0336F"/>
    <w:rsid w:val="12AA7B7B"/>
    <w:rsid w:val="2ADE67B6"/>
    <w:rsid w:val="2F8614E5"/>
    <w:rsid w:val="3CBB529E"/>
    <w:rsid w:val="3E1B49D9"/>
    <w:rsid w:val="42A15DE8"/>
    <w:rsid w:val="5C744066"/>
    <w:rsid w:val="7B031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2"/>
    <w:basedOn w:val="1"/>
    <w:next w:val="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8">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9">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360" w:lineRule="auto"/>
      <w:ind w:firstLine="309" w:firstLineChars="100"/>
      <w:outlineLvl w:val="0"/>
    </w:pPr>
    <w:rPr>
      <w:bCs/>
      <w:color w:val="000000"/>
      <w:kern w:val="28"/>
      <w:szCs w:val="21"/>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First Indent 2"/>
    <w:basedOn w:val="5"/>
    <w:next w:val="2"/>
    <w:qFormat/>
    <w:uiPriority w:val="0"/>
    <w:pPr>
      <w:ind w:firstLine="420" w:firstLineChars="200"/>
    </w:pPr>
  </w:style>
  <w:style w:type="paragraph" w:styleId="5">
    <w:name w:val="Body Text Indent"/>
    <w:basedOn w:val="1"/>
    <w:next w:val="6"/>
    <w:uiPriority w:val="0"/>
    <w:pPr>
      <w:ind w:firstLine="480"/>
    </w:pPr>
    <w:rPr>
      <w:rFonts w:ascii="宋体" w:hAnsi="宋体"/>
    </w:rPr>
  </w:style>
  <w:style w:type="paragraph" w:styleId="6">
    <w:name w:val="envelope return"/>
    <w:basedOn w:val="1"/>
    <w:qFormat/>
    <w:uiPriority w:val="0"/>
    <w:pPr>
      <w:snapToGrid w:val="0"/>
    </w:pPr>
    <w:rPr>
      <w:rFonts w:ascii="Arial" w:hAnsi="Arial"/>
    </w:rPr>
  </w:style>
  <w:style w:type="paragraph" w:styleId="10">
    <w:name w:val="Plain Text"/>
    <w:basedOn w:val="1"/>
    <w:qFormat/>
    <w:uiPriority w:val="0"/>
    <w:rPr>
      <w:rFonts w:hAnsi="Courier New"/>
      <w:kern w:val="2"/>
      <w:sz w:val="21"/>
    </w:rPr>
  </w:style>
  <w:style w:type="paragraph" w:styleId="11">
    <w:name w:val="footer"/>
    <w:basedOn w:val="1"/>
    <w:qFormat/>
    <w:uiPriority w:val="99"/>
    <w:pPr>
      <w:tabs>
        <w:tab w:val="center" w:pos="4153"/>
        <w:tab w:val="right" w:pos="8306"/>
      </w:tabs>
      <w:snapToGrid w:val="0"/>
      <w:jc w:val="left"/>
    </w:pPr>
    <w:rPr>
      <w:rFonts w:ascii="Times New Roman"/>
      <w:kern w:val="2"/>
      <w:sz w:val="18"/>
      <w:szCs w:val="18"/>
    </w:rPr>
  </w:style>
  <w:style w:type="paragraph" w:styleId="12">
    <w:name w:val="Normal (Web)"/>
    <w:basedOn w:val="1"/>
    <w:next w:val="11"/>
    <w:qFormat/>
    <w:uiPriority w:val="0"/>
    <w:pPr>
      <w:widowControl/>
      <w:spacing w:before="100" w:beforeLines="0" w:beforeAutospacing="1" w:after="100" w:afterLines="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2023-07-26T07:23:00Z</dcterms:created>
  <dc:creator>Administrator</dc:creator>
  <cp:lastModifiedBy>Administrator</cp:lastModifiedBy>
  <dcterms:modified xsi:type="dcterms:W3CDTF">2023-09-13T08:10:05Z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463C2070A5AC4C34805535412F0A1BE3_11</vt:lpwstr>
  </property>
</Properties>
</file>