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7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
        <w:gridCol w:w="679"/>
        <w:gridCol w:w="4"/>
        <w:gridCol w:w="598"/>
        <w:gridCol w:w="4"/>
        <w:gridCol w:w="8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 w:type="dxa"/>
          <w:wAfter w:w="0" w:type="auto"/>
          <w:trHeight w:val="1891" w:hRule="atLeast"/>
        </w:trPr>
        <w:tc>
          <w:tcPr>
            <w:tcW w:w="683" w:type="dxa"/>
            <w:gridSpan w:val="2"/>
            <w:noWrap w:val="0"/>
            <w:textDirection w:val="tbRlV"/>
            <w:vAlign w:val="top"/>
          </w:tcPr>
          <w:p>
            <w:pPr>
              <w:pStyle w:val="7"/>
              <w:spacing w:before="315" w:line="211" w:lineRule="auto"/>
              <w:ind w:left="126"/>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参  数  性  质</w:t>
            </w:r>
          </w:p>
        </w:tc>
        <w:tc>
          <w:tcPr>
            <w:tcW w:w="602" w:type="dxa"/>
            <w:gridSpan w:val="2"/>
            <w:noWrap w:val="0"/>
            <w:textDirection w:val="tbRlV"/>
            <w:vAlign w:val="top"/>
          </w:tcPr>
          <w:p>
            <w:pPr>
              <w:pStyle w:val="7"/>
              <w:spacing w:before="245" w:line="214" w:lineRule="auto"/>
              <w:ind w:left="596"/>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序  号</w:t>
            </w:r>
          </w:p>
        </w:tc>
        <w:tc>
          <w:tcPr>
            <w:tcW w:w="8453" w:type="dxa"/>
            <w:noWrap w:val="0"/>
            <w:vAlign w:val="top"/>
          </w:tcPr>
          <w:p>
            <w:pPr>
              <w:spacing w:line="250" w:lineRule="auto"/>
              <w:rPr>
                <w:rFonts w:hint="eastAsia" w:ascii="宋体" w:hAnsi="宋体" w:eastAsia="宋体" w:cs="宋体"/>
                <w:sz w:val="24"/>
                <w:szCs w:val="24"/>
                <w:highlight w:val="none"/>
              </w:rPr>
            </w:pPr>
          </w:p>
          <w:p>
            <w:pPr>
              <w:spacing w:line="250" w:lineRule="auto"/>
              <w:rPr>
                <w:rFonts w:hint="eastAsia" w:ascii="宋体" w:hAnsi="宋体" w:eastAsia="宋体" w:cs="宋体"/>
                <w:sz w:val="24"/>
                <w:szCs w:val="24"/>
                <w:highlight w:val="none"/>
              </w:rPr>
            </w:pPr>
          </w:p>
          <w:p>
            <w:pPr>
              <w:spacing w:line="251" w:lineRule="auto"/>
              <w:rPr>
                <w:rFonts w:hint="eastAsia" w:ascii="宋体" w:hAnsi="宋体" w:eastAsia="宋体" w:cs="宋体"/>
                <w:sz w:val="24"/>
                <w:szCs w:val="24"/>
                <w:highlight w:val="none"/>
              </w:rPr>
            </w:pPr>
          </w:p>
          <w:p>
            <w:pPr>
              <w:pStyle w:val="7"/>
              <w:spacing w:before="75" w:line="224" w:lineRule="auto"/>
              <w:ind w:left="126"/>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技术参数与性能指标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3506" w:hRule="atLeast"/>
        </w:trPr>
        <w:tc>
          <w:tcPr>
            <w:tcW w:w="683" w:type="dxa"/>
            <w:gridSpan w:val="2"/>
            <w:noWrap w:val="0"/>
            <w:vAlign w:val="top"/>
          </w:tcPr>
          <w:p>
            <w:pPr>
              <w:rPr>
                <w:rFonts w:hint="eastAsia" w:ascii="宋体" w:hAnsi="宋体" w:eastAsia="宋体" w:cs="宋体"/>
                <w:sz w:val="24"/>
                <w:szCs w:val="24"/>
                <w:highlight w:val="none"/>
              </w:rPr>
            </w:pPr>
          </w:p>
        </w:tc>
        <w:tc>
          <w:tcPr>
            <w:tcW w:w="602" w:type="dxa"/>
            <w:gridSpan w:val="2"/>
            <w:tcBorders>
              <w:right w:val="single" w:color="000000" w:sz="8" w:space="0"/>
            </w:tcBorders>
            <w:noWrap w:val="0"/>
            <w:vAlign w:val="top"/>
          </w:tcPr>
          <w:p>
            <w:pPr>
              <w:pStyle w:val="7"/>
              <w:spacing w:before="163" w:line="186" w:lineRule="auto"/>
              <w:ind w:left="12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8457" w:type="dxa"/>
            <w:gridSpan w:val="2"/>
            <w:tcBorders>
              <w:left w:val="single" w:color="000000" w:sz="8" w:space="0"/>
            </w:tcBorders>
            <w:noWrap w:val="0"/>
            <w:vAlign w:val="top"/>
          </w:tcPr>
          <w:p>
            <w:pPr>
              <w:adjustRightInd w:val="0"/>
              <w:snapToGrid w:val="0"/>
              <w:spacing w:before="0" w:beforeAutospacing="0" w:after="0" w:afterAutospacing="0"/>
              <w:ind w:firstLine="240" w:firstLineChars="100"/>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供应商应完整响应下列技术要求， 并逐条填写《产品技术参数表》，逐条填写响应产品技术参数，并在响应产品技术参数列标明“正偏离”、“负偏离”、“无偏离”，如有漏项或缺项，将被视为未实质性满足招标文件要求按无效投标处理；若产品品牌型号固定的，需以固定值进行响应；</w:t>
            </w:r>
          </w:p>
          <w:p>
            <w:pPr>
              <w:adjustRightInd w:val="0"/>
              <w:snapToGrid w:val="0"/>
              <w:spacing w:before="0" w:beforeAutospacing="0" w:after="0" w:afterAutospacing="0"/>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若采购需求中有标注“▲”的要求，供应商必须单独提供佐证材料证明其满足，佐证材料包括：彩页、产品说明书、检测报告和厂家技术声明等，未提供或者提供的材料达不到要求将在综合评审中予以扣分处理。</w:t>
            </w:r>
          </w:p>
          <w:p>
            <w:pPr>
              <w:adjustRightInd w:val="0"/>
              <w:snapToGrid w:val="0"/>
              <w:spacing w:before="0" w:beforeAutospacing="0" w:after="0" w:afterAutospacing="0"/>
              <w:ind w:firstLine="482" w:firstLineChars="200"/>
              <w:rPr>
                <w:rFonts w:hint="eastAsia" w:ascii="宋体" w:hAnsi="宋体" w:eastAsia="宋体" w:cs="宋体"/>
                <w:b/>
                <w:bCs w:val="0"/>
                <w:sz w:val="24"/>
                <w:szCs w:val="24"/>
                <w:highlight w:val="none"/>
                <w:lang w:val="en-US" w:eastAsia="zh-CN"/>
              </w:rPr>
            </w:pPr>
            <w:r>
              <w:rPr>
                <w:rFonts w:hint="eastAsia" w:ascii="宋体" w:hAnsi="宋体" w:eastAsia="宋体" w:cs="宋体"/>
                <w:b/>
                <w:bCs w:val="0"/>
                <w:kern w:val="0"/>
                <w:sz w:val="24"/>
                <w:szCs w:val="24"/>
                <w:highlight w:val="none"/>
              </w:rPr>
              <w:t>五轴联动加工中心</w:t>
            </w:r>
            <w:r>
              <w:rPr>
                <w:rFonts w:hint="eastAsia" w:ascii="宋体" w:hAnsi="宋体" w:eastAsia="宋体" w:cs="宋体"/>
                <w:b/>
                <w:bCs w:val="0"/>
                <w:kern w:val="0"/>
                <w:sz w:val="24"/>
                <w:szCs w:val="24"/>
                <w:highlight w:val="none"/>
                <w:lang w:eastAsia="zh-CN"/>
              </w:rPr>
              <w:t>（</w:t>
            </w:r>
            <w:r>
              <w:rPr>
                <w:rFonts w:hint="eastAsia" w:ascii="宋体" w:hAnsi="宋体" w:eastAsia="宋体" w:cs="宋体"/>
                <w:b/>
                <w:bCs w:val="0"/>
                <w:kern w:val="0"/>
                <w:sz w:val="24"/>
                <w:szCs w:val="24"/>
                <w:highlight w:val="none"/>
                <w:lang w:val="en-US" w:eastAsia="zh-CN"/>
              </w:rPr>
              <w:t>1套</w:t>
            </w:r>
            <w:r>
              <w:rPr>
                <w:rFonts w:hint="eastAsia" w:ascii="宋体" w:hAnsi="宋体" w:eastAsia="宋体" w:cs="宋体"/>
                <w:b/>
                <w:bCs w:val="0"/>
                <w:kern w:val="0"/>
                <w:sz w:val="24"/>
                <w:szCs w:val="24"/>
                <w:highlight w:val="none"/>
                <w:lang w:eastAsia="zh-CN"/>
              </w:rPr>
              <w:t>）</w:t>
            </w:r>
          </w:p>
          <w:p>
            <w:pPr>
              <w:adjustRightInd w:val="0"/>
              <w:snapToGrid w:val="0"/>
              <w:spacing w:before="0" w:beforeAutospacing="0" w:after="0" w:afterAutospacing="0" w:line="480" w:lineRule="exact"/>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一、设备用途及基本要求</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该类设备用于各种复杂型面，组合角度型面等零件的铣削加工，满足五面体加工的需求，加工材料为铝合金、合金钢等。要求该设备能在一次装夹条件下完成镗孔、钻孔、铰孔、攻丝，粗精铣削加工，保证达到相当的高效率、高精度、高可靠性。</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2.要求机床结构，设计合理，有足够的静态、动态、热态刚度，并能采用先进技术，保证系统具有良好的动态品质，长期稳定地连续高速加工。所选伺服驱动系统执行元件精度高，可靠性好，响应速度快。</w:t>
            </w:r>
          </w:p>
          <w:p>
            <w:pPr>
              <w:adjustRightInd w:val="0"/>
              <w:snapToGrid w:val="0"/>
              <w:spacing w:before="0" w:beforeAutospacing="0" w:after="0" w:afterAutospacing="0" w:line="480" w:lineRule="exact"/>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二、设备技术要求及主要规格参数</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1.机床设计制造应符合ISO国际标准。</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2.机床所有零部件和各种仪表的计量单位应全部采用国际单位（SI）标准。</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3.机床主要规格参数。</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3.1床身应采用抗震性和热稳定性俱佳的高强度铸铁床身。</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3.2机床回转摆动工作台尺寸≥Φ630mm，数量为1个。</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3.3机床转台满足加工需求，采用双端支撑固定和电机直接驱动方式，其他方式如涡轮蜗杆鼠牙盘定位方式不考虑。</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3.4机床线性轴工作行程：线性轴X/Y/Z≥700mm/600mm/500mm。</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3.5回转摆动轴行程:工作台摆动B:-65°至+115°，工作台回转C:360°。</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3.6切削进给速度范围满足1-16000mm/min。</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3.7机床具有五轴五联动功能。</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3.8机床进给推力：线性轴≥5000N。</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3.9机床快速移动速度：线性轴≥30000mm/min。</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3.10高速电机主轴，主轴转速≥20,000rpm。</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3.11主轴锥孔采用HSK-A63。</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3.12主轴功率：≥35kW（投标文件提供主轴功率-扭矩图）</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3.13主轴扭矩：≥120Nm（投标文件提供主轴功率-扭矩图）</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3.14主轴采用电主轴。</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3.15主轴应有独立可靠的冷却系统或装置及冷却介质的温控，保证能在最高转速范围段连续正常工作。</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3.16机床操作空间宽广，控制台移动自如，能保证操作人员方便地接近加工区，进行如测量、调整等必要的操作。</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3.17机床精度标准满足机床检验通则第2部分：数控轴的定位精度和可重复性的测定ISO230-2（2014）。</w:t>
            </w:r>
          </w:p>
          <w:p>
            <w:pPr>
              <w:adjustRightInd w:val="0"/>
              <w:snapToGrid w:val="0"/>
              <w:spacing w:before="0" w:beforeAutospacing="0" w:after="0" w:afterAutospacing="0" w:line="480" w:lineRule="exact"/>
              <w:ind w:firstLine="480" w:firstLineChars="200"/>
              <w:jc w:val="left"/>
              <w:rPr>
                <w:rFonts w:hint="eastAsia" w:ascii="宋体" w:hAnsi="宋体" w:eastAsia="宋体" w:cs="宋体"/>
                <w:color w:val="FF0000"/>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3.18 X/Y/Z轴定位精度≤0.006mm，X/Y/Z轴重复定位精度≤0.004mm；旋转轴B轴：定位≤6″，重复≤4″，旋转轴C轴：定位≤6″，重复≤4″。</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3.19机床的各驱动轴检测为全闭环方式，光栅尺分辨率≤0.02μm。</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3.20刀库容量≥30把，最大刀具重量≥8kg，最大刀具长度≥300mm，最大刀具直径≥Φ150mm，刀柄：HSK-A63。</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3.21导轨的润滑介质应采用环保的长效油脂润滑。</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3.22冷却系统装置与自动排屑装置应与机床结构紧凑、切屑应与冷却液有良好的过滤与分离。</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3.23机床应具有正面,侧门能够开启。</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4.控制系统</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 CNC选配工业主流控制系统，系统分辨率要求如下：直线轴：≤0.01µm，旋转轴：≤0.00001°。</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 驱动系统主轴、进给系统采用数字永磁交流伺服电机。</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4.3同类设备要求控制系统相互兼容，32位处理器、WINDOWS界面、前后台编辑。</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4.4控制系统能够实现5轴5联动。</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4.5支持直角与极坐标、绝对与增量尺寸编程。</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4.6具有可编程坐标平移与旋转功能。</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4.7具有线性、圆弧、螺旋等基本插补方式，圆弧插补，NURBS插补。</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4.8刀具参数可编程修改。</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4.9 控制系统具备刚性攻丝、基本数学函数计算、逻辑运算、镜像、子程序4级以上嵌套、刀具寿命监测、各类软硬件故障自动诊断功能，具备铣削、钻镗孔、攻丝、铰孔等基本加工方式的固定加工循环功能，具有螺距误差、间隙与反向间隙补偿功能，具备从设备控制器上直接与外设服务器进行加工程序的提取与回放功能，支持切削速度控制指令，具有各驱动轴防撞保护装置，具有加工图形与刀具轨迹图形测试模拟系统，具备RS232C接口和以太网接口，硬盘存储≥20GB，彩色液晶显示器≥19吋，具备RS232C接口和以太网接口，此外各项功能、配置及未尽事宜应不少于该控制系统的基本配置功能。</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5.在线工件找正系统模块</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5.1与五轴加工中心，采用红外/无线双模式测头。</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5.2可用于工件找正工件识别，选择正确的NC程序,可检基础特征位置，创建工件坐标系。</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5.3测头精度≤±0.005mm。</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5.4探针偏转在任一方向探针（L=40mm）接触偏转≤5mm。</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5.5探测速度≥5m/min。</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5.6可确定转台的旋转中心位置和夹具参考点的位置。</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5.7可检测坯料和工件尺寸，确定余量状态和粗切顺序，可进行工件方向测定，以创建坐标旋转。</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6刀具在线检测系统模块</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2.1系统与五轴加工中心系统匹配，满足自动机内对刀，可精确测量旋转刀具的直径和长度。</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6.2系统可确定旋转时的直径，以确立刀具尺寸偏置。</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6.3系统支持对动态干扰进行补偿，避免手动设定误差和数据输入。</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6.4系统支持加快设定速度，提高质量并降低废品率。</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6.5系统用于接触式对刀和刀具破损检测。</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6.6系统传输类型为电缆连接传输。</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6.7系统重复精度±1.0μm。</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6.8 测针长度27</w:t>
            </w:r>
            <w:r>
              <w:rPr>
                <w:rFonts w:hint="eastAsia" w:ascii="宋体" w:hAnsi="宋体" w:eastAsia="宋体" w:cs="宋体"/>
                <w:sz w:val="24"/>
                <w:szCs w:val="24"/>
                <w:highlight w:val="none"/>
              </w:rPr>
              <w:t>×</w:t>
            </w:r>
            <w:r>
              <w:rPr>
                <w:rFonts w:hint="eastAsia" w:ascii="宋体" w:hAnsi="宋体" w:eastAsia="宋体" w:cs="宋体"/>
                <w:sz w:val="24"/>
                <w:szCs w:val="24"/>
                <w:highlight w:val="none"/>
              </w:rPr>
              <w:t>33mm。</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6.9 测针触发力1.3N-2.4N，防护等级IPX8。</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7.配置五轴动态精度校准软硬件</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7.1 通过3-D接触探头全自动地测量旋转轴，校准球固定在设备工作台的任意位置上，通过取得测量值，五轴加工中心就可计算静态倾斜的精度。校准软件可以自动计算，并经操作人员确认，实现补涨，使由倾斜移动造成的定位误差最小化。</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7.2 配置五轴系统校准球，球心高100mm。</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8.自动排屑器</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8.1系统由一个水箱和两台泵组成。</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8.2配置提升式刮板排屑机，排屑机配备冷却液箱，可调冷却喷嘴和水枪以及集屑小车。</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8.3冷却液总容量≥300L。过滤级数:3级过滤，最小过滤尺寸≤0.1mm。</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8.4冷却液液箱内并含两个冷却液泵。冷却液泵由数控系统控制。一个冷却液泵用于加工中冷却，将冷却液提供到位于主轴的可调喷嘴处。</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8.5位于主轴外端的冷却液喷嘴≥4个。</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8.6第二个冷却液泵连接喷枪，也包括在该销售项中。可用于冲洗加工区防护罩、机床部件或工件上的切屑。</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8.7自动提升式排屑器直接安装在加工区与冷却液箱之间机床正面下端防护罩处。切屑由运动的刮板运送，刮板由两个横向链条驱动。切屑与冷却液在一体化的过滤系统中分离，并提升到安全排屑口位置。</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rPr>
              <w:t>.8排屑能力≥32升/小时。</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8.9排屑出口高度≥1000mm。</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9.机床附件及零备件</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 适配机床的压缩空气干燥机1台、稳压电源1台。</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9.2 提供机床标准配置和随机标准附件。</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9.3 提供验收试件加工所需刀具系统、夹具等附件；提供必要的技术资料。</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10.技术支持与服务</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10.1提供五轴加工中心使用培训课时≥80学时，人员不少于5人。</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10.2提供5种以上五轴精密零部件的数控加工方案、刀具系统、夹具等附件，具体以采购方使用过程需求为准。</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highlight w:val="none"/>
              </w:rPr>
              <w:t>10.3 提供校企合作研发产品的技术支持≥3年。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3475" w:hRule="atLeast"/>
        </w:trPr>
        <w:tc>
          <w:tcPr>
            <w:tcW w:w="683" w:type="dxa"/>
            <w:gridSpan w:val="2"/>
            <w:noWrap w:val="0"/>
            <w:vAlign w:val="top"/>
          </w:tcPr>
          <w:p>
            <w:pPr>
              <w:rPr>
                <w:rFonts w:hint="eastAsia" w:ascii="宋体" w:hAnsi="宋体" w:eastAsia="宋体" w:cs="宋体"/>
                <w:sz w:val="24"/>
                <w:szCs w:val="24"/>
                <w:highlight w:val="none"/>
              </w:rPr>
            </w:pPr>
          </w:p>
        </w:tc>
        <w:tc>
          <w:tcPr>
            <w:tcW w:w="602" w:type="dxa"/>
            <w:gridSpan w:val="2"/>
            <w:tcBorders>
              <w:right w:val="single" w:color="000000" w:sz="8" w:space="0"/>
            </w:tcBorders>
            <w:noWrap w:val="0"/>
            <w:vAlign w:val="top"/>
          </w:tcPr>
          <w:p>
            <w:pPr>
              <w:pStyle w:val="7"/>
              <w:spacing w:before="163" w:line="186" w:lineRule="auto"/>
              <w:ind w:left="12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8457" w:type="dxa"/>
            <w:gridSpan w:val="2"/>
            <w:tcBorders>
              <w:left w:val="single" w:color="000000" w:sz="8" w:space="0"/>
            </w:tcBorders>
            <w:noWrap w:val="0"/>
            <w:vAlign w:val="top"/>
          </w:tcPr>
          <w:p>
            <w:pPr>
              <w:rPr>
                <w:rFonts w:hint="eastAsia" w:ascii="宋体" w:hAnsi="宋体" w:eastAsia="宋体" w:cs="宋体"/>
                <w:b/>
                <w:bCs w:val="0"/>
                <w:kern w:val="0"/>
                <w:sz w:val="24"/>
                <w:szCs w:val="24"/>
                <w:highlight w:val="none"/>
                <w:lang w:eastAsia="zh-CN"/>
              </w:rPr>
            </w:pPr>
            <w:r>
              <w:rPr>
                <w:rFonts w:hint="eastAsia" w:ascii="宋体" w:hAnsi="宋体" w:eastAsia="宋体" w:cs="宋体"/>
                <w:b/>
                <w:bCs w:val="0"/>
                <w:kern w:val="0"/>
                <w:sz w:val="24"/>
                <w:szCs w:val="24"/>
                <w:highlight w:val="none"/>
              </w:rPr>
              <w:t>五轴加工数字化应用平台</w:t>
            </w:r>
            <w:r>
              <w:rPr>
                <w:rFonts w:hint="eastAsia" w:ascii="宋体" w:hAnsi="宋体" w:eastAsia="宋体" w:cs="宋体"/>
                <w:b/>
                <w:bCs w:val="0"/>
                <w:kern w:val="0"/>
                <w:sz w:val="24"/>
                <w:szCs w:val="24"/>
                <w:highlight w:val="none"/>
                <w:lang w:eastAsia="zh-CN"/>
              </w:rPr>
              <w:t>（</w:t>
            </w:r>
            <w:r>
              <w:rPr>
                <w:rFonts w:hint="eastAsia" w:ascii="宋体" w:hAnsi="宋体" w:eastAsia="宋体" w:cs="宋体"/>
                <w:b/>
                <w:bCs w:val="0"/>
                <w:kern w:val="0"/>
                <w:sz w:val="24"/>
                <w:szCs w:val="24"/>
                <w:highlight w:val="none"/>
                <w:lang w:val="en-US" w:eastAsia="zh-CN"/>
              </w:rPr>
              <w:t>1套</w:t>
            </w:r>
            <w:r>
              <w:rPr>
                <w:rFonts w:hint="eastAsia" w:ascii="宋体" w:hAnsi="宋体" w:eastAsia="宋体" w:cs="宋体"/>
                <w:b/>
                <w:bCs w:val="0"/>
                <w:kern w:val="0"/>
                <w:sz w:val="24"/>
                <w:szCs w:val="24"/>
                <w:highlight w:val="none"/>
                <w:lang w:eastAsia="zh-CN"/>
              </w:rPr>
              <w:t>）</w:t>
            </w:r>
          </w:p>
          <w:p>
            <w:pPr>
              <w:adjustRightInd w:val="0"/>
              <w:snapToGrid w:val="0"/>
              <w:spacing w:before="0" w:beforeAutospacing="0" w:after="0" w:afterAutospacing="0" w:line="480" w:lineRule="exact"/>
              <w:ind w:firstLine="482"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一、机床结构运动虚拟仿真工程组态平台</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1.基于Windows 7 Professional或者Windows10环境的编程软件套件可以对控制器、人机界面和驱动装置进行统一的项目规划和控制操作，实现数据的统一存储，确保整个项目内数据一致性。</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2.符合可编程序控制器国际标准第三部分：可编程语言IEC1131-3（1993）标准，能够集成国际标准的其他高级编程语音，设备创建与参数设置简单便捷；图形化组网直观快速。支持LAD、 FBD、SCL、STL、GRAPH等多种编程语言，软件易用性强且具有较高的编程效率。</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3.系统采用透明通讯的方式，可以进行远程编程及程序的上、下载。</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4.具有内存预测功能，可以掌握内存的用量；采用分层结构，如根据功能分为主程序、快速执行程序、事件程序等，使系统层次分明，程序执行更有效、快捷。</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4.故障安全功能的工程组态和普通工程组态都具有相同界面和操作方式。</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5.支持全中文操作界面，全文变量名、注释，诊断信息，在线帮助等等。并支持多语言切换。确保最佳的程序可读性，正版模块包括以下。</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1）1套分布式故障安全正版模块；</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2）1套PLC软件开发包正版模块；</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3）1套与PLC控制器仿真模块；</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4）1套运动控制工艺正版模块；</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5）1套PLC虚拟仿真软件，点位数不小于1点；</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6）1套云链接软件模块，点位数不小于1点；</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7）1套PID专业版控制模块，点位数不小于1点；</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8）1套网络规划软件模块，点位数不小于1点；</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9）1套工业以太网模块，点位数不小于1点。</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 可与本招标文件中的机机床结构运动虚拟仿真与加工后处理平台进行数据和控制交互。</w:t>
            </w:r>
          </w:p>
          <w:p>
            <w:pPr>
              <w:adjustRightInd w:val="0"/>
              <w:snapToGrid w:val="0"/>
              <w:spacing w:before="0" w:beforeAutospacing="0" w:after="0" w:afterAutospacing="0" w:line="480" w:lineRule="exact"/>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二、机床结构运动虚拟仿真与加工后处理平台（5套）</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1.具有所有CAD/CAM模块、机电一体化概念设计模拟；机电一体化概念设计模块具备建立结合机械、电气和软件组件基础上概念模型功能，符合系统级产品的要求。 </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2.机电一体化概念设计具备机械、电气、自动化设计、工程及其相关的并行跨学科的工作流程功能。 </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3.具备精细的产品开发过程功能。 </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4..机电一体化概念设计具备行为、物理和过程模拟验证功能。</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5.具备机电产品从概念设计到详细设计阶段的机械、电气、自动化等专业跨学科的专业协同与并行设计以及多学科协同仿真功能。</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6.具备在虚拟的环境中不断优化控制程序和设备的结构与功能。</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7.具备机械结构和自动化控制并行进行功能， 缩短产品设计和集成周期。</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8.具备虚拟设备、虚拟控制器、虚拟传感器设置调试功能， 降低生产原型的成本和实验损坏成本。</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9.具备虚拟调试实验性的调试方法多方案验证功能。</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10.具备各种工具进行详细的机电产品开发，集成机械电气自动化(PLC)等各学科的数据并开展虚拟调试功能。</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11.具备机电产品全新设计实现各专业的分类领域内机械、电气、液压、自动化各专业仿真功能。</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12.具备产品设计的概念建模和仿真功能，可实现开发最初阶段概念设计和选型。</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13.具备快速定义运动、刚体、碰撞等运动学和动力学行为和仿真对象功能。</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14.具备添加各种不同类型的传感器、信号类型、驱动等具体电气设计和自动化设计准备模型功能。</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15.具备与其他平台的集成和混合仿真功能，包括不限于Eplan, SIZER, SIMIT, TIA, Plcsim advanced…。</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16.具备机电一体化设计数据功能，包括运动学、动力学等各方面的图形数据或物理数据。</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17.具备与电气信号、驱动、自动化等信号的匹配实现联合的仿真功能。</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18.具备电气设计配置开发传感器和驱动器列表功能，支持 HTML 或 Excel 电子表格格式输出，支持列表选择传感器和驱动器。</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19.具备操作顺序甘特图以标准格式导出功能，用于行为和顺序描述，该格式可用于开发可编程逻辑控制器代码的自动化工程工具。</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20.具备软件在环与硬件在环功能，针对机电产品实现基于模型的虚拟调试。</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21.支持常用五轴加工的后处理开发方法，可利用加工模块产生刀轨。</w:t>
            </w:r>
          </w:p>
          <w:p>
            <w:pPr>
              <w:adjustRightInd w:val="0"/>
              <w:snapToGrid w:val="0"/>
              <w:ind w:firstLine="480" w:firstLineChars="200"/>
              <w:jc w:val="left"/>
              <w:rPr>
                <w:rFonts w:hint="eastAsia" w:ascii="宋体" w:hAnsi="宋体" w:eastAsia="宋体" w:cs="宋体"/>
                <w:bCs/>
                <w:kern w:val="0"/>
                <w:sz w:val="24"/>
                <w:szCs w:val="24"/>
                <w:highlight w:val="none"/>
                <w:lang w:eastAsia="zh-CN"/>
              </w:rPr>
            </w:pPr>
            <w:r>
              <w:rPr>
                <w:rFonts w:hint="eastAsia" w:ascii="宋体" w:hAnsi="宋体" w:eastAsia="宋体" w:cs="宋体"/>
                <w:sz w:val="24"/>
                <w:szCs w:val="24"/>
                <w:highlight w:val="none"/>
              </w:rPr>
              <w:t>22.可利用后处理器能够生成满足本项目机床控制系统要求的NC程序。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732" w:hRule="atLeast"/>
        </w:trPr>
        <w:tc>
          <w:tcPr>
            <w:tcW w:w="683" w:type="dxa"/>
            <w:gridSpan w:val="2"/>
            <w:tcBorders>
              <w:bottom w:val="nil"/>
            </w:tcBorders>
            <w:noWrap w:val="0"/>
            <w:vAlign w:val="top"/>
          </w:tcPr>
          <w:p>
            <w:pPr>
              <w:rPr>
                <w:rFonts w:hint="eastAsia" w:ascii="宋体" w:hAnsi="宋体" w:eastAsia="宋体" w:cs="宋体"/>
                <w:sz w:val="24"/>
                <w:szCs w:val="24"/>
                <w:highlight w:val="none"/>
              </w:rPr>
            </w:pPr>
          </w:p>
        </w:tc>
        <w:tc>
          <w:tcPr>
            <w:tcW w:w="602" w:type="dxa"/>
            <w:gridSpan w:val="2"/>
            <w:tcBorders>
              <w:bottom w:val="nil"/>
              <w:right w:val="single" w:color="000000" w:sz="8" w:space="0"/>
            </w:tcBorders>
            <w:noWrap w:val="0"/>
            <w:vAlign w:val="top"/>
          </w:tcPr>
          <w:p>
            <w:pPr>
              <w:pStyle w:val="7"/>
              <w:spacing w:before="163" w:line="186" w:lineRule="auto"/>
              <w:ind w:left="12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8457" w:type="dxa"/>
            <w:gridSpan w:val="2"/>
            <w:tcBorders>
              <w:left w:val="single" w:color="000000" w:sz="8" w:space="0"/>
              <w:bottom w:val="nil"/>
            </w:tcBorders>
            <w:noWrap w:val="0"/>
            <w:vAlign w:val="top"/>
          </w:tcPr>
          <w:p>
            <w:pPr>
              <w:adjustRightInd w:val="0"/>
              <w:snapToGrid w:val="0"/>
              <w:spacing w:before="0" w:beforeAutospacing="0" w:after="0" w:afterAutospacing="0"/>
              <w:rPr>
                <w:rFonts w:hint="eastAsia" w:ascii="宋体" w:hAnsi="宋体" w:eastAsia="宋体" w:cs="宋体"/>
                <w:b/>
                <w:bCs w:val="0"/>
                <w:kern w:val="0"/>
                <w:sz w:val="24"/>
                <w:szCs w:val="24"/>
                <w:highlight w:val="none"/>
                <w:lang w:eastAsia="zh-CN"/>
              </w:rPr>
            </w:pPr>
            <w:r>
              <w:rPr>
                <w:rFonts w:hint="eastAsia" w:ascii="宋体" w:hAnsi="宋体" w:eastAsia="宋体" w:cs="宋体"/>
                <w:b/>
                <w:bCs w:val="0"/>
                <w:kern w:val="0"/>
                <w:sz w:val="24"/>
                <w:szCs w:val="24"/>
                <w:highlight w:val="none"/>
              </w:rPr>
              <w:t>恒温恒湿车间</w:t>
            </w:r>
            <w:r>
              <w:rPr>
                <w:rFonts w:hint="eastAsia" w:ascii="宋体" w:hAnsi="宋体" w:eastAsia="宋体" w:cs="宋体"/>
                <w:b/>
                <w:bCs w:val="0"/>
                <w:kern w:val="0"/>
                <w:sz w:val="24"/>
                <w:szCs w:val="24"/>
                <w:highlight w:val="none"/>
                <w:lang w:eastAsia="zh-CN"/>
              </w:rPr>
              <w:t>（</w:t>
            </w:r>
            <w:r>
              <w:rPr>
                <w:rFonts w:hint="eastAsia" w:ascii="宋体" w:hAnsi="宋体" w:eastAsia="宋体" w:cs="宋体"/>
                <w:b/>
                <w:bCs w:val="0"/>
                <w:kern w:val="0"/>
                <w:sz w:val="24"/>
                <w:szCs w:val="24"/>
                <w:highlight w:val="none"/>
                <w:lang w:val="en-US" w:eastAsia="zh-CN"/>
              </w:rPr>
              <w:t>1项</w:t>
            </w:r>
            <w:r>
              <w:rPr>
                <w:rFonts w:hint="eastAsia" w:ascii="宋体" w:hAnsi="宋体" w:eastAsia="宋体" w:cs="宋体"/>
                <w:b/>
                <w:bCs w:val="0"/>
                <w:kern w:val="0"/>
                <w:sz w:val="24"/>
                <w:szCs w:val="24"/>
                <w:highlight w:val="none"/>
                <w:lang w:eastAsia="zh-CN"/>
              </w:rPr>
              <w:t>）</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1.车间采用钢框架结构+钢化玻璃结构样式，车间整体尺寸要求：4000≤高度≤6000mm，8000≤长度≤12000mm，8000≤宽度≤10000mm。</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2.恒温车间结构件尺寸≥120mm，厚度3≥mm，表面防锈蚀底漆，外观颜色经采购方确认后实施。</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3.玻璃为静音钢化玻璃，玻璃厚度≥10mm，玻璃与结构件采用密封胶隔音处理。</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4.玻璃隔断底部设置保护装置，高度150mm，防止玻璃隔断受到叉车、零部件撞击。</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5.车间整体封顶，钢筋龙骨吊顶，铝合金天花板，单片尺寸≥600mm×600mm，棚顶设置LED灯≥100w，数量≥14个。</w:t>
            </w:r>
          </w:p>
          <w:p>
            <w:pPr>
              <w:adjustRightInd w:val="0"/>
              <w:snapToGrid w:val="0"/>
              <w:spacing w:before="0" w:beforeAutospacing="0" w:after="0" w:after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7.车间棚顶配置自动除湿系统，数量≥2个，功率≥1.2KW，自动除湿系统根据车间湿度进行自动调节。</w:t>
            </w:r>
          </w:p>
          <w:p>
            <w:pPr>
              <w:adjustRightInd w:val="0"/>
              <w:snapToGrid w:val="0"/>
              <w:spacing w:before="0" w:before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8.车间配置制冷落地式空调2台，一级能效，空调单台功率≥3P，制冷功率≥2500W，</w:t>
            </w:r>
            <w:r>
              <w:rPr>
                <w:rFonts w:hint="eastAsia" w:ascii="宋体" w:hAnsi="宋体" w:eastAsia="宋体" w:cs="宋体"/>
                <w:bCs/>
                <w:sz w:val="24"/>
                <w:szCs w:val="24"/>
                <w:highlight w:val="none"/>
              </w:rPr>
              <w:t>制热功率≥3000W，循环风量≥1230m³/h</w:t>
            </w:r>
            <w:r>
              <w:rPr>
                <w:rFonts w:hint="eastAsia" w:ascii="宋体" w:hAnsi="宋体" w:eastAsia="宋体" w:cs="宋体"/>
                <w:sz w:val="24"/>
                <w:szCs w:val="24"/>
                <w:highlight w:val="none"/>
              </w:rPr>
              <w:t>。</w:t>
            </w:r>
          </w:p>
          <w:p>
            <w:pPr>
              <w:adjustRightInd w:val="0"/>
              <w:snapToGrid w:val="0"/>
              <w:spacing w:before="0" w:before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9.配置1道双开自动感应滑门，单门尺寸≥2000mm×1000mm，玻璃门设置防撞标识。</w:t>
            </w:r>
          </w:p>
          <w:p>
            <w:pPr>
              <w:adjustRightInd w:val="0"/>
              <w:snapToGrid w:val="0"/>
              <w:spacing w:before="0" w:before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10.车间配置安全防护锁，支持指纹、密码、钥匙三种以上锁止功能，支持自动开门功能。</w:t>
            </w:r>
          </w:p>
          <w:p>
            <w:pPr>
              <w:adjustRightInd w:val="0"/>
              <w:snapToGrid w:val="0"/>
              <w:spacing w:before="0" w:before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11.配置工具车,冷轧钢结构，≥3 层空间，可调节层板；多功能重型轨道，均承重≥100Kg；可放置多种不同型号刀具及其他常用工具；底部安装有锁止的脚轮。</w:t>
            </w:r>
          </w:p>
          <w:p>
            <w:pPr>
              <w:adjustRightInd w:val="0"/>
              <w:snapToGrid w:val="0"/>
              <w:spacing w:before="0" w:beforeAutospacing="0"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12.配置刀柄支架,加方形强筋设计，整体车身稳固、承重能力大；静音滑轨，高负载不变形；承重脚轮，带锁止功能；放置HSK-A63刀柄，刀位数≥20；尺寸≥720mm×1200mm×420mm。</w:t>
            </w:r>
          </w:p>
          <w:p>
            <w:pPr>
              <w:adjustRightInd w:val="0"/>
              <w:snapToGrid w:val="0"/>
              <w:ind w:firstLine="480" w:firstLineChars="200"/>
              <w:jc w:val="left"/>
              <w:rPr>
                <w:rFonts w:hint="eastAsia" w:ascii="宋体" w:hAnsi="宋体" w:eastAsia="宋体" w:cs="宋体"/>
                <w:bCs/>
                <w:kern w:val="0"/>
                <w:sz w:val="24"/>
                <w:szCs w:val="24"/>
                <w:highlight w:val="none"/>
                <w:lang w:val="en-US" w:eastAsia="zh-CN"/>
              </w:rPr>
            </w:pPr>
            <w:r>
              <w:rPr>
                <w:rFonts w:hint="eastAsia" w:ascii="宋体" w:hAnsi="宋体" w:eastAsia="宋体" w:cs="宋体"/>
                <w:sz w:val="24"/>
                <w:szCs w:val="24"/>
                <w:highlight w:val="none"/>
              </w:rPr>
              <w:t>13.氛围营造与现场加工相匹配。</w:t>
            </w:r>
          </w:p>
        </w:tc>
      </w:tr>
    </w:tbl>
    <w:p>
      <w:pPr>
        <w:pStyle w:val="3"/>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ZTRhYWYzMzlkNWJjMDZmOWE2MDk2MmQ0M2IyM2EifQ=="/>
  </w:docVars>
  <w:rsids>
    <w:rsidRoot w:val="5E431130"/>
    <w:rsid w:val="5E431130"/>
    <w:rsid w:val="73000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7">
    <w:name w:val="Table Text"/>
    <w:basedOn w:val="1"/>
    <w:semiHidden/>
    <w:qFormat/>
    <w:uiPriority w:val="0"/>
    <w:rPr>
      <w:rFonts w:ascii="宋体" w:hAnsi="宋体" w:eastAsia="宋体" w:cs="宋体"/>
      <w:sz w:val="23"/>
      <w:szCs w:val="23"/>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2023-09-21T07:41:00Z</dcterms:created>
  <dc:creator>米文浩</dc:creator>
  <cp:lastModifiedBy>米文浩</cp:lastModifiedBy>
  <dcterms:modified xsi:type="dcterms:W3CDTF">2023-09-21T07:46:23Z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A1AED3DFBB3F411AB3308835412C2465_11</vt:lpwstr>
  </property>
</Properties>
</file>