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bookmarkStart w:id="0" w:name="_Toc138255518"/>
      <w:r>
        <w:rPr>
          <w:rFonts w:hint="eastAsia"/>
          <w:lang w:eastAsia="zh-CN"/>
        </w:rPr>
        <w:t>（二包）</w:t>
      </w:r>
      <w:r>
        <w:rPr>
          <w:rFonts w:hint="eastAsia"/>
        </w:rPr>
        <w:t>分项报价表</w:t>
      </w:r>
      <w:bookmarkEnd w:id="0"/>
    </w:p>
    <w:p>
      <w:pPr>
        <w:pStyle w:val="17"/>
        <w:rPr>
          <w:rFonts w:hint="eastAsia" w:hAnsi="宋体"/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项目编号：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pStyle w:val="17"/>
        <w:rPr>
          <w:rFonts w:hint="eastAsia" w:hAnsi="宋体"/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项目名称：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rPr>
          <w:rFonts w:hint="eastAsia" w:hAnsi="宋体"/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供 应 商：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pStyle w:val="17"/>
        <w:rPr>
          <w:rFonts w:hint="eastAsia" w:hAnsi="宋体" w:eastAsia="宋体"/>
          <w:sz w:val="24"/>
          <w:szCs w:val="24"/>
          <w:highlight w:val="none"/>
          <w:u w:val="none"/>
          <w:lang w:eastAsia="zh-CN"/>
        </w:rPr>
      </w:pPr>
      <w:r>
        <w:rPr>
          <w:rFonts w:hint="eastAsia" w:hAnsi="宋体"/>
          <w:sz w:val="24"/>
          <w:szCs w:val="24"/>
          <w:highlight w:val="none"/>
          <w:u w:val="none"/>
          <w:lang w:eastAsia="zh-CN"/>
        </w:rPr>
        <w:t>一、分项报价表</w:t>
      </w:r>
    </w:p>
    <w:tbl>
      <w:tblPr>
        <w:tblStyle w:val="21"/>
        <w:tblW w:w="96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628"/>
        <w:gridCol w:w="1369"/>
        <w:gridCol w:w="734"/>
        <w:gridCol w:w="1174"/>
        <w:gridCol w:w="815"/>
        <w:gridCol w:w="885"/>
        <w:gridCol w:w="1155"/>
        <w:gridCol w:w="11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序号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货物名称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规格型号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品牌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生产厂家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单位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数量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单价</w:t>
            </w:r>
          </w:p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（元）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小计</w:t>
            </w:r>
          </w:p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动脉硬化检测仪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（核心产品）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2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自动尿液微量白蛋白肌酐分析仪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3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自动尿液微量白蛋白肌酐分析仪耗材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4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持续葡萄糖监测系统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5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空气压力波治疗仪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...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...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332" w:type="dxa"/>
            <w:gridSpan w:val="2"/>
            <w:noWrap w:val="0"/>
            <w:vAlign w:val="center"/>
          </w:tcPr>
          <w:p>
            <w:pPr>
              <w:spacing w:line="240" w:lineRule="auto"/>
              <w:ind w:left="-50" w:leftChars="0" w:right="-50" w:rightChars="0"/>
              <w:jc w:val="center"/>
              <w:rPr>
                <w:rFonts w:hint="eastAsia" w:ascii="宋体" w:hAnsi="宋体" w:eastAsia="宋体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highlight w:val="none"/>
              </w:rPr>
              <w:t>合 计</w:t>
            </w:r>
          </w:p>
        </w:tc>
        <w:tc>
          <w:tcPr>
            <w:tcW w:w="7324" w:type="dxa"/>
            <w:gridSpan w:val="7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</w:tr>
    </w:tbl>
    <w:p>
      <w:pPr>
        <w:widowControl/>
        <w:numPr>
          <w:ilvl w:val="0"/>
          <w:numId w:val="0"/>
        </w:numPr>
        <w:tabs>
          <w:tab w:val="left" w:pos="420"/>
        </w:tabs>
        <w:spacing w:line="400" w:lineRule="atLeast"/>
        <w:ind w:leftChars="0" w:right="893" w:rightChars="0"/>
        <w:textAlignment w:val="bottom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二、</w:t>
      </w:r>
      <w:r>
        <w:rPr>
          <w:rFonts w:hint="eastAsia" w:ascii="宋体" w:hAnsi="宋体"/>
          <w:sz w:val="24"/>
        </w:rPr>
        <w:t>其它分项报价表：</w:t>
      </w:r>
    </w:p>
    <w:tbl>
      <w:tblPr>
        <w:tblStyle w:val="21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2938"/>
        <w:gridCol w:w="2691"/>
        <w:gridCol w:w="1471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  目</w:t>
            </w:r>
          </w:p>
        </w:tc>
        <w:tc>
          <w:tcPr>
            <w:tcW w:w="269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内容和标准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</w:t>
            </w:r>
          </w:p>
        </w:tc>
        <w:tc>
          <w:tcPr>
            <w:tcW w:w="160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运输费</w:t>
            </w:r>
          </w:p>
        </w:tc>
        <w:tc>
          <w:tcPr>
            <w:tcW w:w="2691" w:type="dxa"/>
            <w:vMerge w:val="restart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已包含在本次</w:t>
            </w:r>
          </w:p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招标货物单价内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restart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如已包含在总价内，请填写“已包含”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安装调试费</w:t>
            </w:r>
          </w:p>
        </w:tc>
        <w:tc>
          <w:tcPr>
            <w:tcW w:w="2691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验收检测费</w:t>
            </w:r>
          </w:p>
        </w:tc>
        <w:tc>
          <w:tcPr>
            <w:tcW w:w="2691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售后服务费</w:t>
            </w:r>
          </w:p>
        </w:tc>
        <w:tc>
          <w:tcPr>
            <w:tcW w:w="2691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widowControl/>
        <w:numPr>
          <w:ilvl w:val="0"/>
          <w:numId w:val="0"/>
        </w:numPr>
        <w:tabs>
          <w:tab w:val="left" w:pos="420"/>
        </w:tabs>
        <w:spacing w:line="400" w:lineRule="atLeast"/>
        <w:ind w:leftChars="0" w:right="893" w:rightChars="0"/>
        <w:textAlignment w:val="bottom"/>
        <w:rPr>
          <w:rFonts w:hint="eastAsia" w:ascii="宋体" w:hAnsi="宋体" w:eastAsia="宋体" w:cs="Times New Roman"/>
          <w:sz w:val="24"/>
          <w:lang w:eastAsia="zh-CN"/>
        </w:rPr>
      </w:pPr>
      <w:r>
        <w:rPr>
          <w:rFonts w:hint="eastAsia" w:ascii="宋体" w:hAnsi="宋体" w:eastAsia="宋体" w:cs="Times New Roman"/>
          <w:sz w:val="24"/>
          <w:lang w:eastAsia="zh-CN"/>
        </w:rPr>
        <w:t>三、总计</w:t>
      </w:r>
    </w:p>
    <w:tbl>
      <w:tblPr>
        <w:tblStyle w:val="21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  <w:noWrap w:val="0"/>
            <w:vAlign w:val="center"/>
          </w:tcPr>
          <w:p>
            <w:pPr>
              <w:ind w:right="-50"/>
              <w:jc w:val="left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b/>
                <w:highlight w:val="none"/>
              </w:rPr>
              <w:t>投标总报价</w:t>
            </w:r>
            <w:r>
              <w:rPr>
                <w:rFonts w:hint="eastAsia" w:ascii="宋体" w:hAnsi="宋体" w:cs="仿宋"/>
                <w:highlight w:val="none"/>
              </w:rPr>
              <w:t>人民币（大写）：</w:t>
            </w:r>
            <w:r>
              <w:rPr>
                <w:rFonts w:hint="eastAsia" w:ascii="宋体" w:hAnsi="宋体" w:cs="仿宋"/>
                <w:highlight w:val="none"/>
                <w:u w:val="single"/>
              </w:rPr>
              <w:t xml:space="preserve">                                   </w:t>
            </w:r>
          </w:p>
          <w:p>
            <w:pPr>
              <w:ind w:right="-50"/>
              <w:jc w:val="center"/>
              <w:rPr>
                <w:rFonts w:hint="eastAsia" w:ascii="宋体" w:hAnsi="宋体" w:cs="仿宋"/>
                <w:highlight w:val="none"/>
                <w:u w:val="single"/>
              </w:rPr>
            </w:pPr>
            <w:r>
              <w:rPr>
                <w:rFonts w:hint="eastAsia" w:ascii="宋体" w:hAnsi="宋体" w:cs="仿宋"/>
                <w:highlight w:val="none"/>
              </w:rPr>
              <w:t>（小写）：￥</w:t>
            </w:r>
            <w:r>
              <w:rPr>
                <w:rFonts w:hint="eastAsia" w:ascii="宋体" w:hAnsi="宋体" w:cs="仿宋"/>
                <w:highlight w:val="none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cs="仿宋"/>
                <w:highlight w:val="none"/>
              </w:rPr>
              <w:t>元</w:t>
            </w:r>
          </w:p>
        </w:tc>
      </w:tr>
    </w:tbl>
    <w:p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b/>
          <w:highlight w:val="none"/>
        </w:rPr>
        <w:t>注：分项报价表中投标总报价应与开标一览表中的投标总报价一致。</w:t>
      </w:r>
    </w:p>
    <w:p>
      <w:pPr>
        <w:wordWrap w:val="0"/>
        <w:jc w:val="right"/>
        <w:rPr>
          <w:rFonts w:ascii="宋体" w:hAnsi="宋体"/>
          <w:szCs w:val="28"/>
          <w:highlight w:val="none"/>
        </w:rPr>
      </w:pPr>
      <w:bookmarkStart w:id="1" w:name="_GoBack"/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 xml:space="preserve">：       </w:t>
      </w:r>
    </w:p>
    <w:p>
      <w:pPr>
        <w:wordWrap w:val="0"/>
        <w:jc w:val="right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 xml:space="preserve">：       </w:t>
      </w:r>
    </w:p>
    <w:p>
      <w:pPr>
        <w:wordWrap w:val="0"/>
        <w:jc w:val="right"/>
        <w:rPr>
          <w:rFonts w:hint="eastAsia"/>
          <w:highlight w:val="none"/>
        </w:rPr>
      </w:pPr>
      <w:r>
        <w:rPr>
          <w:rFonts w:hint="eastAsia" w:ascii="宋体" w:hAnsi="宋体"/>
          <w:szCs w:val="28"/>
          <w:highlight w:val="none"/>
        </w:rPr>
        <w:t xml:space="preserve">日  期：       </w:t>
      </w:r>
    </w:p>
    <w:bookmarkEnd w:id="1"/>
    <w:p/>
    <w:p>
      <w:pPr>
        <w:pStyle w:val="8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4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3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4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5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AAB74A3"/>
    <w:rsid w:val="0CD932CC"/>
    <w:rsid w:val="0D2F4AA3"/>
    <w:rsid w:val="0FB9496E"/>
    <w:rsid w:val="10772722"/>
    <w:rsid w:val="11C120F7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F601FBE"/>
    <w:rsid w:val="206A183A"/>
    <w:rsid w:val="24B03759"/>
    <w:rsid w:val="25BC70EA"/>
    <w:rsid w:val="26A81D32"/>
    <w:rsid w:val="26B3022A"/>
    <w:rsid w:val="270C4509"/>
    <w:rsid w:val="281D66F4"/>
    <w:rsid w:val="28611463"/>
    <w:rsid w:val="2A526E4B"/>
    <w:rsid w:val="2B696B30"/>
    <w:rsid w:val="2D393894"/>
    <w:rsid w:val="2D4927C2"/>
    <w:rsid w:val="2E5363CC"/>
    <w:rsid w:val="30FD598A"/>
    <w:rsid w:val="31CF09B6"/>
    <w:rsid w:val="325D7875"/>
    <w:rsid w:val="332532F7"/>
    <w:rsid w:val="34763666"/>
    <w:rsid w:val="3A282FB0"/>
    <w:rsid w:val="3A3E57B0"/>
    <w:rsid w:val="3B543581"/>
    <w:rsid w:val="3BC64B80"/>
    <w:rsid w:val="3BDD58AD"/>
    <w:rsid w:val="3D31435C"/>
    <w:rsid w:val="3EDB675E"/>
    <w:rsid w:val="40156C88"/>
    <w:rsid w:val="404550CF"/>
    <w:rsid w:val="405C5BEA"/>
    <w:rsid w:val="40AE755B"/>
    <w:rsid w:val="43035753"/>
    <w:rsid w:val="430C542B"/>
    <w:rsid w:val="43F00E3D"/>
    <w:rsid w:val="44D747CE"/>
    <w:rsid w:val="44F53A6B"/>
    <w:rsid w:val="464411A7"/>
    <w:rsid w:val="46505A6B"/>
    <w:rsid w:val="4C9B6E85"/>
    <w:rsid w:val="4CE2515B"/>
    <w:rsid w:val="4D16789A"/>
    <w:rsid w:val="4ECD77C8"/>
    <w:rsid w:val="50F0666F"/>
    <w:rsid w:val="51990283"/>
    <w:rsid w:val="53475632"/>
    <w:rsid w:val="53D654FE"/>
    <w:rsid w:val="5756053D"/>
    <w:rsid w:val="57777269"/>
    <w:rsid w:val="578B5227"/>
    <w:rsid w:val="57A51F6A"/>
    <w:rsid w:val="59501B08"/>
    <w:rsid w:val="59A368EF"/>
    <w:rsid w:val="5ABA67C2"/>
    <w:rsid w:val="5BB53B97"/>
    <w:rsid w:val="5D8549BB"/>
    <w:rsid w:val="5D9739FA"/>
    <w:rsid w:val="5D9F23D4"/>
    <w:rsid w:val="5E771155"/>
    <w:rsid w:val="60182901"/>
    <w:rsid w:val="62290EAB"/>
    <w:rsid w:val="658A49F1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9107F10"/>
    <w:rsid w:val="797D25F3"/>
    <w:rsid w:val="7A1A1907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link w:val="26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5">
    <w:name w:val="heading 2"/>
    <w:basedOn w:val="1"/>
    <w:next w:val="1"/>
    <w:link w:val="23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宋体" w:hAnsi="宋体" w:eastAsia="宋体"/>
      <w:sz w:val="28"/>
      <w:szCs w:val="18"/>
    </w:rPr>
  </w:style>
  <w:style w:type="paragraph" w:styleId="6">
    <w:name w:val="heading 3"/>
    <w:basedOn w:val="1"/>
    <w:next w:val="1"/>
    <w:link w:val="25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7">
    <w:name w:val="heading 4"/>
    <w:basedOn w:val="1"/>
    <w:next w:val="8"/>
    <w:link w:val="24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11">
    <w:name w:val="heading 5"/>
    <w:basedOn w:val="1"/>
    <w:next w:val="1"/>
    <w:link w:val="27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2">
    <w:name w:val="heading 6"/>
    <w:basedOn w:val="1"/>
    <w:next w:val="1"/>
    <w:link w:val="29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3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4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5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next w:val="3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paragraph" w:styleId="3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8">
    <w:name w:val="Normal Indent"/>
    <w:basedOn w:val="1"/>
    <w:next w:val="9"/>
    <w:link w:val="28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9">
    <w:name w:val="Body Text First Indent 2"/>
    <w:basedOn w:val="10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10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 w:val="21"/>
      <w:szCs w:val="20"/>
    </w:rPr>
  </w:style>
  <w:style w:type="paragraph" w:styleId="16">
    <w:name w:val="Body Text"/>
    <w:basedOn w:val="1"/>
    <w:qFormat/>
    <w:uiPriority w:val="0"/>
    <w:pPr>
      <w:spacing w:after="120" w:afterLines="0" w:afterAutospacing="0"/>
    </w:pPr>
  </w:style>
  <w:style w:type="paragraph" w:styleId="17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 w:val="21"/>
      <w:szCs w:val="20"/>
    </w:rPr>
  </w:style>
  <w:style w:type="paragraph" w:styleId="18">
    <w:name w:val="footer"/>
    <w:basedOn w:val="1"/>
    <w:link w:val="3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0">
    <w:name w:val="Body Text First Indent"/>
    <w:basedOn w:val="16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3">
    <w:name w:val="标题 2 Char"/>
    <w:link w:val="5"/>
    <w:qFormat/>
    <w:uiPriority w:val="0"/>
    <w:rPr>
      <w:rFonts w:ascii="宋体" w:hAnsi="宋体" w:eastAsia="宋体"/>
      <w:b/>
      <w:kern w:val="2"/>
      <w:sz w:val="28"/>
      <w:szCs w:val="18"/>
    </w:rPr>
  </w:style>
  <w:style w:type="character" w:customStyle="1" w:styleId="24">
    <w:name w:val="标题 4 Char1"/>
    <w:link w:val="7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5">
    <w:name w:val="标题 3 Char"/>
    <w:link w:val="6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6">
    <w:name w:val="标题 1 Char"/>
    <w:link w:val="4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7">
    <w:name w:val="标题 5 Char"/>
    <w:basedOn w:val="22"/>
    <w:link w:val="11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8">
    <w:name w:val="正文缩进 Char"/>
    <w:link w:val="8"/>
    <w:qFormat/>
    <w:uiPriority w:val="0"/>
    <w:rPr>
      <w:rFonts w:ascii="宋体" w:hAnsi="宋体" w:eastAsia="宋体"/>
      <w:sz w:val="24"/>
    </w:rPr>
  </w:style>
  <w:style w:type="character" w:customStyle="1" w:styleId="29">
    <w:name w:val="标题 6 Char"/>
    <w:link w:val="12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30">
    <w:name w:val="页脚 Char"/>
    <w:basedOn w:val="22"/>
    <w:link w:val="18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2023-09-21T03:10:18Z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