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50"/>
        <w:gridCol w:w="750"/>
        <w:gridCol w:w="6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5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0A82E5"/>
                <w:spacing w:val="0"/>
                <w:sz w:val="21"/>
                <w:szCs w:val="21"/>
              </w:rPr>
            </w:pPr>
            <w:r>
              <w:rPr>
                <w:rFonts w:hint="eastAsia" w:ascii="宋体" w:hAnsi="宋体" w:eastAsia="宋体" w:cs="宋体"/>
                <w:b/>
                <w:bCs/>
                <w:i w:val="0"/>
                <w:iCs w:val="0"/>
                <w:caps w:val="0"/>
                <w:color w:val="0A82E5"/>
                <w:spacing w:val="0"/>
                <w:kern w:val="0"/>
                <w:sz w:val="21"/>
                <w:szCs w:val="21"/>
                <w:bdr w:val="none" w:color="auto" w:sz="0" w:space="0"/>
                <w:lang w:val="en-US" w:eastAsia="zh-CN" w:bidi="ar"/>
              </w:rPr>
              <w:t>参数性质</w:t>
            </w:r>
          </w:p>
        </w:tc>
        <w:tc>
          <w:tcPr>
            <w:tcW w:w="75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0A82E5"/>
                <w:spacing w:val="0"/>
                <w:sz w:val="21"/>
                <w:szCs w:val="21"/>
              </w:rPr>
            </w:pPr>
            <w:r>
              <w:rPr>
                <w:rFonts w:hint="eastAsia" w:ascii="宋体" w:hAnsi="宋体" w:eastAsia="宋体" w:cs="宋体"/>
                <w:b/>
                <w:bCs/>
                <w:i w:val="0"/>
                <w:iCs w:val="0"/>
                <w:caps w:val="0"/>
                <w:color w:val="0A82E5"/>
                <w:spacing w:val="0"/>
                <w:kern w:val="0"/>
                <w:sz w:val="21"/>
                <w:szCs w:val="21"/>
                <w:bdr w:val="none" w:color="auto" w:sz="0" w:space="0"/>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0A82E5"/>
                <w:spacing w:val="0"/>
                <w:sz w:val="21"/>
                <w:szCs w:val="21"/>
              </w:rPr>
            </w:pPr>
            <w:r>
              <w:rPr>
                <w:rFonts w:hint="eastAsia" w:ascii="宋体" w:hAnsi="宋体" w:eastAsia="宋体" w:cs="宋体"/>
                <w:b/>
                <w:bCs/>
                <w:i w:val="0"/>
                <w:iCs w:val="0"/>
                <w:caps w:val="0"/>
                <w:color w:val="0A82E5"/>
                <w:spacing w:val="0"/>
                <w:kern w:val="0"/>
                <w:sz w:val="21"/>
                <w:szCs w:val="21"/>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rPr>
                <w:rFonts w:hint="eastAsia" w:ascii="宋体" w:hAnsi="宋体" w:eastAsia="宋体" w:cs="宋体"/>
                <w:i w:val="0"/>
                <w:iCs w:val="0"/>
                <w:caps w:val="0"/>
                <w:color w:val="0A82E5"/>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0A82E5"/>
                <w:spacing w:val="0"/>
                <w:sz w:val="21"/>
                <w:szCs w:val="21"/>
              </w:rPr>
            </w:pPr>
            <w:r>
              <w:rPr>
                <w:rFonts w:hint="eastAsia" w:ascii="宋体" w:hAnsi="宋体" w:eastAsia="宋体" w:cs="宋体"/>
                <w:i w:val="0"/>
                <w:iCs w:val="0"/>
                <w:caps w:val="0"/>
                <w:color w:val="0A82E5"/>
                <w:spacing w:val="0"/>
                <w:kern w:val="0"/>
                <w:sz w:val="21"/>
                <w:szCs w:val="21"/>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超融合服务器（4台）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5"/>
                <w:rFonts w:hint="eastAsia" w:ascii="宋体" w:hAnsi="宋体" w:eastAsia="宋体" w:cs="宋体"/>
                <w:i w:val="0"/>
                <w:iCs w:val="0"/>
                <w:caps w:val="0"/>
                <w:color w:val="000000"/>
                <w:spacing w:val="0"/>
                <w:sz w:val="24"/>
                <w:szCs w:val="24"/>
                <w:bdr w:val="none" w:color="auto" w:sz="0" w:space="0"/>
              </w:rPr>
              <w:t>通用服务器节点：</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1、品牌：国产品牌，非 OEM 产品，提供证明材料（如强制性CCC证书或其他非OEM 产品证明材料）；</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2、外形：≥2U机架式；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3、处理器：≥2颗Intel Xeon Gold 6336Y(2.4GHz/24核)处理器；</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4、内存：≥384GB DDR4 3200MHz内存，板载内存插槽≥32个；</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5、硬盘：≥2块M.2 240GB SATA 6Gbps 热插拔固态硬盘；≥2块2.5 英寸 3.84TB NVMe SSD盘；≥6块12TB 7.2K  SATA 3.5 英寸热插拔硬盘；</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6、RAID：独立8通道≥1GB缓存高性能RAID卡，支持RAID0/1/5/6/10/50/60等；</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7、网络：≥4个千兆电口，≥4个万兆光口（含光模块）；</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8、管理：板载BMC管理模块，支持IPMI、KVM Over IP、虚拟媒体等管理特性，对外提供1个1Gbps RJ45管理网口，专门用于IPMI的远程管理；</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9、电源及其他：≥2000W铂金双电源，支持1+1冗余，机架安装导轨及电源线；</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10、显卡支持：支持安装英伟达RTX</w:t>
            </w:r>
            <w:r>
              <w:rPr>
                <w:rStyle w:val="5"/>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000000"/>
                <w:spacing w:val="0"/>
                <w:sz w:val="24"/>
                <w:szCs w:val="24"/>
                <w:bdr w:val="none" w:color="auto" w:sz="0" w:space="0"/>
              </w:rPr>
              <w:t>A、T系列显卡的数量≥2块，后期用户在添加显卡时，需免费提供对应显卡安装所需全部配件，如主板转接卡、电源转接线等，保证后续用户显卡扩容安装顺利；</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11、保证原厂售后服务（提供原厂授权书及售后服务承诺函）。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超融合软件（8C）</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5"/>
                <w:rFonts w:hint="eastAsia" w:ascii="宋体" w:hAnsi="宋体" w:eastAsia="宋体" w:cs="宋体"/>
                <w:i w:val="0"/>
                <w:iCs w:val="0"/>
                <w:caps w:val="0"/>
                <w:color w:val="000000"/>
                <w:spacing w:val="0"/>
                <w:sz w:val="24"/>
                <w:szCs w:val="24"/>
                <w:bdr w:val="none" w:color="auto" w:sz="0" w:space="0"/>
              </w:rPr>
              <w:t>超融合管理平台：</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1、云计算管理平台（计算虚拟化、存储虚拟化、网络虚拟化）与超融合服务器均为同一厂商品牌提供，以保障平台的扩展性和兼容性（需提供相关证明材料，并加盖厂商公章）；</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2、支持平台中的集群资源环境一键检测，对硬件健康、平台底层的虚拟化的运行状态和配置，进行多个维度进行检查，提供快速定位问题功能，确保系统最佳状态；</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3、为方便物理机与虚拟机的统一管理，支持虚拟机和裸金属服务器统一管理，支持对裸金属服务器远程电源管理、挂载安装ISO镜像等操作等功能，支持打开裸金属服务器控制台进行运维操作（提供截图证明）；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4、提供手机app管理软件（附截图），支持安卓或者IOS平台，输入超融合管理平台的IP、账户等信息即可进行远程管理和监控；</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5、支持常见的虚拟资源和物理资源报警，包括但不限于CPU、内存、网卡和硬盘等资源；平台支持不同类型的报警级别，不同级别的报警需要发出对应级别的报警消息；支持邮件、短信等工具接收告警消息，提供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6、支持将用户现有的Hyper-V平台中的虚机导入到新的超融合平台中；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7、适应用户现有网络环境（用户配置有天融信企业级防火墙），支持外网访问内网中的由超融合平台创建出的虚拟机和云桌面；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8、超融合软件为永久授权使用，且质保期内免费升级最新版。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5"/>
                <w:rFonts w:hint="eastAsia" w:ascii="宋体" w:hAnsi="宋体" w:eastAsia="宋体" w:cs="宋体"/>
                <w:i w:val="0"/>
                <w:iCs w:val="0"/>
                <w:caps w:val="0"/>
                <w:color w:val="000000"/>
                <w:spacing w:val="0"/>
                <w:sz w:val="24"/>
                <w:szCs w:val="24"/>
                <w:bdr w:val="none" w:color="auto" w:sz="0" w:space="0"/>
              </w:rPr>
              <w:t>计算虚拟化：</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1、虚拟机支持物理机的全部功能，如具有自己的资源（CPU，内存，网卡，存储、软驱、光驱、显卡等），可以指定单独的IP地址、MAC地址等；</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2、支持容器实例的全生命周期管理，如创建、编辑、重启、迁移、HA等，以及事件的查看，控制台操作等；支持容器镜像仓库的管理，支持系统内置镜像库与第三方镜像库管理，提供截图证明；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3、支持虚拟机启动、暂停、恢复、重启、关闭、关闭电源、克隆、迁移、备份、模板导入导出、快照等功能；</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支持动态资源调度、智能电源管理等配置功能；支持虚拟机故障HA功能，可配置HA接入控制策略，HA最大尝试次数，且支持HA故障切换主机设置，达到故障隔离的效果，并支持配置虚拟机自启动策略和启动优先级，提供截图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5、为方便应用编排，超融合平台需支持vAPP功能，可配置若干台虚拟机组成的应用组，提供功能截图；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6、支持大内存页和DPDK加速功能，虚拟化界面可配置内存页大小和页数，支持虚拟机NUMA感知功能，保证虚拟机OS的NUMA与主机的NUMA拓扑保持一致，并显示大内存页的使用量和可用内存，提供截图证明；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7、超融合虚拟化软件提供代码开源率低于10%的检测报告，被测代码包含虚拟化、存储、网络与管理模块，提供检测机构出具的报告复印件并加盖原厂公章。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5"/>
                <w:rFonts w:hint="eastAsia" w:ascii="宋体" w:hAnsi="宋体" w:eastAsia="宋体" w:cs="宋体"/>
                <w:i w:val="0"/>
                <w:iCs w:val="0"/>
                <w:caps w:val="0"/>
                <w:color w:val="000000"/>
                <w:spacing w:val="0"/>
                <w:sz w:val="24"/>
                <w:szCs w:val="24"/>
                <w:bdr w:val="none" w:color="auto" w:sz="0" w:space="0"/>
              </w:rPr>
              <w:t>存储虚拟化：</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1、元数据采用分布式保护机制，分布在不同节点，在节点意外掉电、断网、宕机情况下，系统数据不会丢失，不会影响业务系统正常运行；</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2、支持数据本地化，本地节点上的虚拟机数据访问在本地节点，随着虚拟机的迁移（手动迁移、故障HA迁移等），数据也随VM自动迁移至其他节点；</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3、支持共享盘；</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4、支持存储清理功能，可批量或单个扫描存储池，一键清理垃圾数据，节省物理资源；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5、虚拟化管理平台中支持配置监控中心组件，具备监控分析功能，对资源池中CPU，内存，网卡，硬盘，存储，RAID等硬件健康检测，便于及时发现问题；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6、支持虚拟机磁盘扩容。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5"/>
                <w:rFonts w:hint="eastAsia" w:ascii="宋体" w:hAnsi="宋体" w:eastAsia="宋体" w:cs="宋体"/>
                <w:i w:val="0"/>
                <w:iCs w:val="0"/>
                <w:caps w:val="0"/>
                <w:color w:val="000000"/>
                <w:spacing w:val="0"/>
                <w:sz w:val="24"/>
                <w:szCs w:val="24"/>
                <w:bdr w:val="none" w:color="auto" w:sz="0" w:space="0"/>
              </w:rPr>
              <w:t>网络虚拟化：</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1、提供全局分布式SDN功能，以避免SDN控制节点故障，提供分布式SDN硬件加速能力，可提供更高转发性能，SDN支持VLAN/VXLAN模式，提供截图证明；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2、为方便运维操作，支持网络图形化编排，编辑网络拓扑及拖拽网元即可完成网络拓扑的创建、变更、属性编辑，提供截图证明；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提供1000个分布式防火墙功能授权，防火墙可应用于业务网络或分布式NAT网关，可根据源\目的IP和端口设置防火墙规则，支持TCP/UDP/ICMP或任意协议；支持配置安全组，根据虚拟机出\入口的协议和端口范围设置安全组之间或安全组到网段之间的访问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4、提供1000个分布式路由器功能授权，可关联业务子网进行路由通信，可配置分布式NAT网关和SNAT网络转换地址进行外部通信；支持分布式NAT网关功能，NAT地址可绑定虚拟机的虚拟网卡，外部流量通过该地址访问虚拟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5"/>
                <w:rFonts w:hint="eastAsia" w:ascii="宋体" w:hAnsi="宋体" w:eastAsia="宋体" w:cs="宋体"/>
                <w:i w:val="0"/>
                <w:iCs w:val="0"/>
                <w:caps w:val="0"/>
                <w:color w:val="000000"/>
                <w:spacing w:val="0"/>
                <w:sz w:val="24"/>
                <w:szCs w:val="24"/>
                <w:bdr w:val="none" w:color="auto" w:sz="0" w:space="0"/>
              </w:rPr>
              <w:t>备份容灾</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1、提供无授权限制的备份功能，支持虚拟机CBT模式备份，支持虚拟机全量备份、增量备份，周期性备份，备份策略可细化到分钟级，提供截图证明；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2、支持批量备份，可设置备份时限速值，可设置保留最近N次备份点；可选择任意备份文件恢复为原虚拟机或新虚拟机，支持恢复过程中对虚拟机进行配置，提供截图证明。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rPr>
                <w:rFonts w:hint="eastAsia" w:ascii="宋体" w:hAnsi="宋体" w:eastAsia="宋体" w:cs="宋体"/>
                <w:i w:val="0"/>
                <w:iCs w:val="0"/>
                <w:caps w:val="0"/>
                <w:color w:val="0A82E5"/>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0A82E5"/>
                <w:spacing w:val="0"/>
                <w:sz w:val="21"/>
                <w:szCs w:val="21"/>
              </w:rPr>
            </w:pPr>
            <w:r>
              <w:rPr>
                <w:rFonts w:hint="eastAsia" w:ascii="宋体" w:hAnsi="宋体" w:eastAsia="宋体" w:cs="宋体"/>
                <w:i w:val="0"/>
                <w:iCs w:val="0"/>
                <w:caps w:val="0"/>
                <w:color w:val="0A82E5"/>
                <w:spacing w:val="0"/>
                <w:kern w:val="0"/>
                <w:sz w:val="21"/>
                <w:szCs w:val="21"/>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GPU显卡(2块)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≥2块RTX8000 GPU卡，显存≥48GB。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rPr>
                <w:rFonts w:hint="eastAsia" w:ascii="宋体" w:hAnsi="宋体" w:eastAsia="宋体" w:cs="宋体"/>
                <w:i w:val="0"/>
                <w:iCs w:val="0"/>
                <w:caps w:val="0"/>
                <w:color w:val="0A82E5"/>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0A82E5"/>
                <w:spacing w:val="0"/>
                <w:sz w:val="21"/>
                <w:szCs w:val="21"/>
              </w:rPr>
            </w:pPr>
            <w:r>
              <w:rPr>
                <w:rFonts w:hint="eastAsia" w:ascii="宋体" w:hAnsi="宋体" w:eastAsia="宋体" w:cs="宋体"/>
                <w:i w:val="0"/>
                <w:iCs w:val="0"/>
                <w:caps w:val="0"/>
                <w:color w:val="0A82E5"/>
                <w:spacing w:val="0"/>
                <w:kern w:val="0"/>
                <w:sz w:val="21"/>
                <w:szCs w:val="21"/>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万兆交换机(1台)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1、性能：交换容量≥2.56Tbps；包转发率≥240Mpps；</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配置：1G/10GE SFP+接口≥24，100GE QSFP28接口≥2，扩展插槽≥2，带外网管口≥1，USB口≥1；</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2、支持M-LAG技术，将多台物理机箱组成1台虚拟交换机，实现多台设备间的链路聚合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3、交换功能：MAC地址≥144K，支持基于端口、协议、MAC、子网的VLAN，最大VLAN≥4094，支持STP/RSTP/MSTP，支持LACP，支持端口聚合≥24；</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4、Vxlan：支持VxLAN二层/三层网关，支持VXLAN tunnel，支持VXLAN 路由，支持BGP-EVPN；</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5、电源：可热插拔的冗余电源，实现1:1冗余，支持220V双交流或高压直流240V供电，功耗≤100W，配置模块化双风扇；</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6、资质：提供交换机入网证，提供CCC；</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7、保证原厂售后服务（提供原厂授权书及售后服务承诺函）；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ascii="宋体" w:hAnsi="宋体" w:eastAsia="宋体" w:cs="宋体"/>
                <w:i w:val="0"/>
                <w:iCs w:val="0"/>
                <w:caps w:val="0"/>
                <w:color w:val="000000"/>
                <w:spacing w:val="0"/>
                <w:sz w:val="24"/>
                <w:szCs w:val="24"/>
                <w:bdr w:val="none" w:color="auto" w:sz="0" w:space="0"/>
              </w:rPr>
              <w:t>8、配置18个10GB多模光模块；2个1G多模光模块。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rPr>
                <w:rFonts w:hint="eastAsia" w:ascii="宋体" w:hAnsi="宋体" w:eastAsia="宋体" w:cs="宋体"/>
                <w:i w:val="0"/>
                <w:iCs w:val="0"/>
                <w:caps w:val="0"/>
                <w:color w:val="0A82E5"/>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0A82E5"/>
                <w:spacing w:val="0"/>
                <w:sz w:val="21"/>
                <w:szCs w:val="21"/>
              </w:rPr>
            </w:pPr>
            <w:r>
              <w:rPr>
                <w:rFonts w:hint="eastAsia" w:ascii="宋体" w:hAnsi="宋体" w:eastAsia="宋体" w:cs="宋体"/>
                <w:i w:val="0"/>
                <w:iCs w:val="0"/>
                <w:caps w:val="0"/>
                <w:color w:val="0A82E5"/>
                <w:spacing w:val="0"/>
                <w:kern w:val="0"/>
                <w:sz w:val="21"/>
                <w:szCs w:val="21"/>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云桌面软件(120个云桌面终端授权)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1、投标云桌面产品为国产化品牌，非OEM产品，必须具有国产软件自主知识产权，具有自主研发以及根据用户需求定制化的能力，保障后续产品的连续性，具备国家版权局颁发的《计算机软件著作权登记证书》。（提供复印件） </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2、云桌面软件控制器支持虚拟机快速部署，无需单独的硬件控制器设备，简化运维管理。</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3、投标云桌面产品要求为融合型产品，要求支持但不仅限于VDI、VOI、应用虚拟化三种云桌面架构，以满足不同场景对云桌面产品的需求。（提供功能界面截图证明）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4、投标云桌面产品要求支持国产化操作系统，如麒麟、中科方德、统信等桌面操作系统。（提供认证证书）</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5、要求支持超融合架构与传统架构，要求不限定存储类型，包括SDS/FC SAN/NAS等存储，支持基于KVM虚拟化的IAAS平台的桌面管理与发布，提供专有桌面、还原桌面以及池化桌面发布</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6、要求产品具有良好的兼容性与开放性，要求支持纳管第三方虚拟化平台的桌面管理与发布；支持创建多个桌面池运行在不同的虚拟化平台上，进行统一管理。（提供功能界面截图证明）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7、适应用户现有网络环境（用户配置有天融信企业级防火墙），支持外网访问内网中的云桌面。</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8、支持与云桌面同一平台管理，可以通过web client和网页方式同时可以使用应用程序与桌面。（提供功能界面截图证明）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9、要求桌面云平台所有组件集成化，可镜像模式导入，无需过多的部署步骤，并提供GUI模式的图形化快速配置界面提升效率。</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10、桌面云平台内置DHCP功能，部署时无需额外搭建DHCP服务器，可实现终端和虚拟机IP的动态分配。</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11、支持发布Windows7/10/11、Windows Server、Linux、麒麟、统信等多种类型操作系统的云桌面；支持桌面池功能。</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12、桌面池支持专属模式、还原模式、临时模式、定时模式和池模式，满足用户不同环境的使用。</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13、支持PC、笔记本、云终端（含 ARM 和 X86）、Android、Mac等设备接入访问云桌面。</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14、云桌面产品可提供至少2种公网接入方案，包括不限于代理网关、NAT，不需要依赖其他硬件或授权。（提供功能界面截图证明）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15、支持管理页面自定义UI，包括但不限于自定义开机画面、自定义开机LOGO、自定义登录界面LOGO图标、支持云终端分组管理、支持配置云终端定时关机计划、支持超时关机策略、支持批量开启/关闭/移动/删除/重启云终端、支持配置是否允许自动登录和保存密码。（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16、云桌面要求支持H.264/H.265编码方式，用以满足复杂的业务场景及带宽需求，并可支持编码参数自定义修改。如CRF、VBR、CBR、QP等参数来调整桌面的画质与带宽。（提供功能界面截图证明）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17、桌面支持音频通道设置上行音频与下行音频的每秒数据量，用以满足复杂的业务场景需求，并可支持用户界面模式自定义修改。（提供功能界面截图证明）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18、提供基于B/S架构的管理控制台，无需独立安装管理平台程序或插件，支持HTTPS访问。</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19、支持对虚拟桌面进行完整生命周期管理，桌面生命周期管理，包括新建、删除、关机、开机、重启、挂起，支持批量操作。</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20、支持桌面的定时开机与关机策略，并支持桌面离线超时或闲置超时自动关机或暂停。（提供功能界面截图证明）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21、支持桌面概况展现，包括但不限于统计展示桌面状态、用户状态、终端状态、资源状态等；支持数据概况分区域筛选；支持输出到大屏进行数据展示，桌面概况支持显示风格切换</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22、支持远程协助功能，管理员在云桌面管理中可以直接向需要协助的用户发起远程协助，用户桌面无需安装任何辅助软件。（提供功能界面截图证明）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23、提供内置用户/账号管理功能，无需依赖第三方身份系统，能够实现用户/账号集中管理，包括创建、修改、删除等操作。支持从AD/LDAP导入用户，支持通过xls模板批量导入用户。（提供功能界面截图证明）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24、支持配置用户、桌面、终端三类策略，可以针对全局、用户组及用户三个维度灵活配置及生效，不同的用户组和用户可配置不同的策略。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25、支持密码安全策略，支持密码长度、密码复杂度数字/字母/特殊字符、默认密码、新旧密码重复等设置，支持在瘦终端系统自助修改密码，以及当遇到密码暴力破解时，会禁止用户登录一定时长，且此时长管理员可设置。（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26、支持后台管理可配置操作权限-角色-管理员三维模型，可以支持勾选操作权限并赋权给角色，后台管理员可以按角色进行赋权。（提供功能界面截图证明）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27、支持设置用户超过一段时间无会话后系统自动注销该用户，以释放资源。支持设置用户在一定时间没有对虚拟机操作后自动注销该用户，以释放资源。</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28、支持多种类型设备访问权限控制，包括但不限于PC剪切板、文件拷贝、usb存储、打印机、音频、视频等，同时支持USB外设策略管理，支持对指定USB设备的访问权限控制。</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29、支持 USB 黑白名单技术，能够精准识别每一款不同类型的外设（包括高拍仪、摄像头、USB 光驱、认证 key 等），并设置允许或者禁止策略，提高管控粒度和安全性。</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30、支持高拍仪、摄像头等重定向到云桌面，高拍仪/摄像头在视频传输时，传输带宽稳定，且不超过25mbps。（提供功能界面截图证明）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31、支持瘦终端信息自动上报云桌面控制台，包括但不限于MAC、型号、版本、状态、IP、终端ID、登陆用户及登陆时间记录，同时能对终端进行关机/重启/关机/删除/移动/绑定用户等基本操作，同时，还支持丰富的终端策略配置，支持远程对终端版本升级。（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32、终端可自行修改显示分辨率，管理员支持批量远程设置终端显示分辨率，同时支持设置终端接入默认分辨率，虚拟桌面显示分辨率自适应终端分辨率，最大可支持4K桌面（3840*2160）。（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33、支持配置针对全局与终端组的终端策略，支持配置终端的接入分辨率、终端设置权限密码、支持控制终端协议传输设置功能，支持自定义终端壁纸、开机动画、登录标识等信息。支持不同终端组设置不同的策略。</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34、支持配置针对全局或指定桌面或者桌面池的桌面访问策略，支持配置开关机计划、屏幕水印、软终端权限、USB外设、协议传输等设置，支持灵活的策略控制，相同用户下的不同桌面可存在不同的权限管控及策略配置。</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35、支持开关机计划任务，支持桌面长时间未操作自动退出登录，释放空闲终端，支持桌面长时间未登录自动挂起，释放硬件资源。</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36、支持配置屏幕水印，包括满屏水印，水印内容颜色和边框颜色反色调设置，防止背景颜色与水印颜色一致，覆盖水印，支持水印内容、水印透明度、边框透明度、水印字体大小、倾斜度调整。</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37、支持发布GPU passthrough的GPU桌面，支持主流AMD、NVIDIA显卡；支持nvidia显卡虚拟化，包括A10/RTX 6000/RTX 8000/T4/P40等显卡。针对本次项目采用的GPU卡，每张卡需配置≥8个英伟达GPU虚拟化授权或相应功能许可，支持GPU虚拟化分割功能，可以由用户自己定义将一块物理GPU卡是分成一块48G的vgpu，还是两块24G的vgpu，或是四块12G的vgpu....以此类推。（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38、支持发布基于Linux和Windows操作系统的vGPU桌面，满足用户对AI计算场景的需求；对于Linux vGPU桌面要求支持CUDA版本≥11，Python版本≥3.6，显卡驱动自带的nvidia-smi命令执行结果正常，CUDA自带的deviceQuery和bandwidthTest测试程序执行结果均为PASS通过，以及用户测试程序testgpu.py执行最后能正常显示出“-Result:-”区域内容。（提供命令和程序的执行结果截图，用户测试程序下载地址为http://cs.xupt.edu.cn:81/xiyoucs/testgpu.py）</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39、本次要求配置≥104个普通云桌面授权；≥16个vGPU、GPU直通桌面授权。授权为永久授权，不存在授权到期的问题，且只限制同时云桌面在线人数，不限制生成和启用的云桌面数量。</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40、质保期内软件免费升级最新版</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41、支持使用学号登录，如02012401（注意学号是零开头）；支持用户密码邮箱找回功能。（提供功能界面截图证明）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42、有统计功能：云桌面在线人数、某一用户在线使用时长、某一资源池的使用人数、平台的CPU、内存、存储、网络的负载情况，以上内容均支持当前和某一段时间的统计查询。（提供功能界面截图证明）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43、云桌面用户有自助快照和恢复快照功能，快照数量和功能是否开放，可由管理员设定。（提供功能界面截图证明）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44、可以建不同类型的桌面池，如Win10桌面池、CentOs7桌面池和GPU桌面池等等，桌面池数量不限，池中的云桌面数量也不限。</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45、提供第三方使用的开发接口，为用户自研GPU云桌面排队等功能提供便利和技术指导。</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46、有公告发布功能。（提供功能界面截图证明）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47、可以设定云桌面的登录IP（可以是单个IP，也可以是一IP地址段）与登录时间。（提供功能界面截图证明）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48、日志需记录账号登录时间，云桌面IP（或通过云桌面名称可以查到其IP），退出时间和使用时长。可以指定时间范围进行日志查询。（提供功能界面截图证明）</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49、支持用户自助注册功能，用户注册后管理员审核通过后，即可登录使用云桌面系统。（提供功能界面截图证明）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rPr>
                <w:rFonts w:hint="eastAsia" w:ascii="宋体" w:hAnsi="宋体" w:eastAsia="宋体" w:cs="宋体"/>
                <w:i w:val="0"/>
                <w:iCs w:val="0"/>
                <w:caps w:val="0"/>
                <w:color w:val="0A82E5"/>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0A82E5"/>
                <w:spacing w:val="0"/>
                <w:sz w:val="21"/>
                <w:szCs w:val="21"/>
              </w:rPr>
            </w:pPr>
            <w:r>
              <w:rPr>
                <w:rFonts w:hint="eastAsia" w:ascii="宋体" w:hAnsi="宋体" w:eastAsia="宋体" w:cs="宋体"/>
                <w:i w:val="0"/>
                <w:iCs w:val="0"/>
                <w:caps w:val="0"/>
                <w:color w:val="0A82E5"/>
                <w:spacing w:val="0"/>
                <w:kern w:val="0"/>
                <w:sz w:val="21"/>
                <w:szCs w:val="21"/>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瘦客户端(2台)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1、架构：ARM。</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2、处理器：不低于 ARM四核，主频≥2.0GHz，内存: ≥2G，硬盘: ≥8G SSD，千兆网口≥1；</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3、USB口：usb2.0≥4，usb3.0≥1，二合一四段式音频接口，显示接口及个数: HDMI≥1，最大支持分辨率:≥4096*2160；</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4、支持WiFi网络接入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rPr>
                <w:rFonts w:hint="eastAsia" w:ascii="宋体" w:hAnsi="宋体" w:eastAsia="宋体" w:cs="宋体"/>
                <w:i w:val="0"/>
                <w:iCs w:val="0"/>
                <w:caps w:val="0"/>
                <w:color w:val="0A82E5"/>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0A82E5"/>
                <w:spacing w:val="0"/>
                <w:sz w:val="21"/>
                <w:szCs w:val="21"/>
              </w:rPr>
            </w:pPr>
            <w:r>
              <w:rPr>
                <w:rFonts w:hint="eastAsia" w:ascii="宋体" w:hAnsi="宋体" w:eastAsia="宋体" w:cs="宋体"/>
                <w:i w:val="0"/>
                <w:iCs w:val="0"/>
                <w:caps w:val="0"/>
                <w:color w:val="0A82E5"/>
                <w:spacing w:val="0"/>
                <w:kern w:val="0"/>
                <w:sz w:val="21"/>
                <w:szCs w:val="21"/>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项目实施与机房改造（1套）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i w:val="0"/>
                <w:iCs w:val="0"/>
                <w:caps w:val="0"/>
                <w:color w:val="000000"/>
                <w:spacing w:val="0"/>
                <w:sz w:val="24"/>
                <w:szCs w:val="24"/>
                <w:bdr w:val="none" w:color="auto" w:sz="0" w:space="0"/>
              </w:rPr>
              <w:t>完成项目的安装调试与部署，并配合项目实施，对机房服务器的布局、线缆走线进行规范化整理，且项目实施中所需配件符合安全标准，具体内容如下：</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1、为安装新设备，旧服务器需要机位调整：下架，拆导轨，在指定位置重新安装导轨、再上架；</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2、对机房原有的和新增的电源线、网线、KVM数据线进行统一调整，规范化标识（打标签），并用轧带整理整齐；</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3、项目实施中所需的PDU必须是正规品牌，适配机房现有机柜，符合电气安全要求，不超功率使用，数量以实际需求为准；</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4、项目实施中所需的网线、光纤为正规品牌成品线，数量以实际需求为准。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TRhYWYzMzlkNWJjMDZmOWE2MDk2MmQ0M2IyM2EifQ=="/>
  </w:docVars>
  <w:rsids>
    <w:rsidRoot w:val="00000000"/>
    <w:rsid w:val="7508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2023-09-27T03:25:16Z</dcterms:created>
  <dc:creator>Administrator</dc:creator>
  <cp:lastModifiedBy>米文浩</cp:lastModifiedBy>
  <dcterms:modified xsi:type="dcterms:W3CDTF">2023-09-27T03:25:26Z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2BDF7E49DC224D70A4E5F0245DEB595A_12</vt:lpwstr>
  </property>
</Properties>
</file>