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600" w:firstLineChars="200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/>
          <w:bCs/>
          <w:sz w:val="30"/>
          <w:szCs w:val="30"/>
        </w:rPr>
        <w:t>陕西省乔木林优势</w:t>
      </w:r>
      <w:r>
        <w:rPr>
          <w:bCs/>
          <w:sz w:val="30"/>
          <w:szCs w:val="30"/>
        </w:rPr>
        <w:t>树种</w:t>
      </w:r>
      <w:r>
        <w:rPr>
          <w:rFonts w:hint="eastAsia"/>
          <w:bCs/>
          <w:sz w:val="30"/>
          <w:szCs w:val="30"/>
        </w:rPr>
        <w:t>（组</w:t>
      </w:r>
      <w:r>
        <w:rPr>
          <w:bCs/>
          <w:sz w:val="30"/>
          <w:szCs w:val="30"/>
        </w:rPr>
        <w:t>）</w:t>
      </w:r>
      <w:r>
        <w:rPr>
          <w:rFonts w:hint="eastAsia"/>
          <w:bCs/>
          <w:sz w:val="30"/>
          <w:szCs w:val="30"/>
        </w:rPr>
        <w:t>材积生长率模型研建</w:t>
      </w:r>
    </w:p>
    <w:tbl>
      <w:tblPr>
        <w:tblStyle w:val="4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1210"/>
        <w:gridCol w:w="1233"/>
        <w:gridCol w:w="5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9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448" w:type="pct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评分因素及分值权重</w:t>
            </w:r>
          </w:p>
        </w:tc>
        <w:tc>
          <w:tcPr>
            <w:tcW w:w="3221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</w:trPr>
        <w:tc>
          <w:tcPr>
            <w:tcW w:w="329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448" w:type="pct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价格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（10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3221" w:type="pct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满足磋商文件要求且磋商价格最低的磋商报价为评标基准价，其价格分为满分，其他供应商的价格分统一按照下列公式计算：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磋商报价得分＝（评标基准价/磋商报价）×10分。</w:t>
            </w:r>
          </w:p>
          <w:p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3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注：符合国家相关规定的小微企业、监狱企业、残疾人福利性单位优惠条件的供应商，价格给予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%的扣除，用扣除后的价格参与评审。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329" w:type="pct"/>
            <w:vMerge w:val="restart"/>
            <w:vAlign w:val="center"/>
          </w:tcPr>
          <w:p>
            <w:pPr>
              <w:snapToGri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17" w:type="pct"/>
            <w:vMerge w:val="restart"/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详细评审  （90分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731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总体方案（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3221" w:type="pct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针对本项目提供总体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案，需求分析到位，目标清晰合理，建立全省各优势树种（组）的胸径和材积生长率模型思路明确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提供的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方案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进行评审：</w:t>
            </w:r>
          </w:p>
          <w:p>
            <w:pPr>
              <w:numPr>
                <w:ilvl w:val="0"/>
                <w:numId w:val="2"/>
              </w:num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完整详细，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合理可行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，需求分析到位，目标清晰合理得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（10-15】分；</w:t>
            </w:r>
          </w:p>
          <w:p>
            <w:pPr>
              <w:numPr>
                <w:ilvl w:val="0"/>
                <w:numId w:val="2"/>
              </w:num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完整，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基本合理可行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(5-10】分；</w:t>
            </w:r>
          </w:p>
          <w:p>
            <w:pPr>
              <w:numPr>
                <w:ilvl w:val="0"/>
                <w:numId w:val="2"/>
              </w:num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空泛，可行性不强得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【0-5】分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7" w:hRule="atLeast"/>
        </w:trPr>
        <w:tc>
          <w:tcPr>
            <w:tcW w:w="329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17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31" w:type="pct"/>
            <w:vMerge w:val="restart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技术方案（55分）</w:t>
            </w:r>
          </w:p>
        </w:tc>
        <w:tc>
          <w:tcPr>
            <w:tcW w:w="3221" w:type="pct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根据全省乔木林分布规律，将全省科学划分为若干建模区域，根据供应商提供的区域总体划分方案进行评审：</w:t>
            </w:r>
          </w:p>
          <w:p>
            <w:pPr>
              <w:snapToGrid w:val="0"/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方案描述清晰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、合理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，完全满足要求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得（10-15】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分；</w:t>
            </w:r>
          </w:p>
          <w:p>
            <w:pPr>
              <w:snapToGrid w:val="0"/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方案描述一般，基本满足要求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得（5-10】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分；</w:t>
            </w:r>
          </w:p>
          <w:p>
            <w:pPr>
              <w:snapToGrid w:val="0"/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3.方案简略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，不能满足要求得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【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-5】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1" w:hRule="atLeast"/>
        </w:trPr>
        <w:tc>
          <w:tcPr>
            <w:tcW w:w="329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17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31" w:type="pct"/>
            <w:vMerge w:val="continue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21" w:type="pct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供应商提供数据预处理方案，其中包括单木数据处理、林分数据处理，根据供应商提供的数据预处理方案进行评审：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1.方案科学合理、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针对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性强，完全满足需求得（14-20】分；</w:t>
            </w:r>
          </w:p>
          <w:p>
            <w:pPr>
              <w:snapToGrid w:val="0"/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方案编写内容完整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，基本满足需求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（7-14】分；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3.方案简略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，不能满足要求得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【0-7】分。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329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17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31" w:type="pct"/>
            <w:vMerge w:val="continue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21" w:type="pct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供应商提供生长模型研建方案，其中包括：样本确定、林分蓄积生长率计算、林分平均胸径生长率计算、模型选取和修正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，根据供应商提供的生长模型研建方案进行评审：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1.方案编写内容完整详细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符合规范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理解透彻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分析到位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完全满足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需求得（14-20】分； </w:t>
            </w:r>
          </w:p>
          <w:p>
            <w:pPr>
              <w:snapToGrid w:val="0"/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2.方案编写内容完整，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基本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符合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需求得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(7-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】分；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3.方案简略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，不能满足要求得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【0-7】分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329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17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31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保证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措施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3221" w:type="pct"/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根据供应商提供的质量保证措施进行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综合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评审赋【0-5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】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329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17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31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进度计划（5分）</w:t>
            </w:r>
          </w:p>
        </w:tc>
        <w:tc>
          <w:tcPr>
            <w:tcW w:w="3221" w:type="pct"/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根据供应商提供的进度计划进行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综合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评审赋【0-5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】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329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17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31" w:type="pct"/>
            <w:vAlign w:val="center"/>
          </w:tcPr>
          <w:p>
            <w:pPr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服务承诺</w:t>
            </w:r>
          </w:p>
          <w:p>
            <w:pPr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分）</w:t>
            </w:r>
          </w:p>
        </w:tc>
        <w:tc>
          <w:tcPr>
            <w:tcW w:w="3221" w:type="pct"/>
            <w:vAlign w:val="center"/>
          </w:tcPr>
          <w:p>
            <w:pPr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配备稳定的技术服务人员、响应时间、服务质量保证及服务便利性等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做出承诺，根据供应商提供的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服务承诺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综合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评审赋【0-5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】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329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17" w:type="pct"/>
            <w:vMerge w:val="continue"/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731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221" w:type="pct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供应商提供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年起至递交磋商文件截止时间内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类似服务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业绩合同，每提供一个得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分，不提供不得分，满分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分。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注：提供有效合同复印件并加盖供应商公章，否则不得分。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F800B"/>
    <w:multiLevelType w:val="singleLevel"/>
    <w:tmpl w:val="EB4F80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A14628B"/>
    <w:multiLevelType w:val="multilevel"/>
    <w:tmpl w:val="0A14628B"/>
    <w:lvl w:ilvl="0" w:tentative="0">
      <w:start w:val="1"/>
      <w:numFmt w:val="chineseCountingThousand"/>
      <w:pStyle w:val="3"/>
      <w:suff w:val="nothing"/>
      <w:lvlText w:val="第%1章"/>
      <w:lvlJc w:val="left"/>
      <w:pPr>
        <w:ind w:left="2520" w:firstLine="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NDFjMjNmNzczYTJlNmQ3OGQ3YTY0Mjc2ZTFkYTIifQ=="/>
  </w:docVars>
  <w:rsids>
    <w:rsidRoot w:val="00000000"/>
    <w:rsid w:val="025F5FB3"/>
    <w:rsid w:val="035537ED"/>
    <w:rsid w:val="095742E5"/>
    <w:rsid w:val="0BD10009"/>
    <w:rsid w:val="0C0A151E"/>
    <w:rsid w:val="0E7E40C2"/>
    <w:rsid w:val="15E72016"/>
    <w:rsid w:val="28266571"/>
    <w:rsid w:val="299C42C8"/>
    <w:rsid w:val="2B3972AA"/>
    <w:rsid w:val="2C712101"/>
    <w:rsid w:val="2CCC3F46"/>
    <w:rsid w:val="330371B0"/>
    <w:rsid w:val="369A5E3B"/>
    <w:rsid w:val="3821593A"/>
    <w:rsid w:val="41D659E7"/>
    <w:rsid w:val="45C9178A"/>
    <w:rsid w:val="4981092F"/>
    <w:rsid w:val="4AE11BEF"/>
    <w:rsid w:val="4F9C7519"/>
    <w:rsid w:val="577045EA"/>
    <w:rsid w:val="5AC27058"/>
    <w:rsid w:val="667D6070"/>
    <w:rsid w:val="67F639B0"/>
    <w:rsid w:val="6A4E7F61"/>
    <w:rsid w:val="6AAE6EDA"/>
    <w:rsid w:val="6BCE3108"/>
    <w:rsid w:val="725E4DF5"/>
    <w:rsid w:val="77D04EEE"/>
    <w:rsid w:val="78884D1B"/>
    <w:rsid w:val="791E2FA2"/>
    <w:rsid w:val="7948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line="360" w:lineRule="auto"/>
      <w:outlineLvl w:val="0"/>
    </w:pPr>
    <w:rPr>
      <w:b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ind w:firstLine="420" w:firstLineChars="200"/>
      <w:jc w:val="left"/>
    </w:pPr>
  </w:style>
  <w:style w:type="paragraph" w:customStyle="1" w:styleId="6">
    <w:name w:val="TOC 标题1"/>
    <w:basedOn w:val="3"/>
    <w:next w:val="1"/>
    <w:qFormat/>
    <w:uiPriority w:val="39"/>
    <w:pPr>
      <w:spacing w:before="480" w:after="0" w:line="276" w:lineRule="auto"/>
      <w:outlineLvl w:val="9"/>
    </w:pPr>
    <w:rPr>
      <w:rFonts w:ascii="仿宋" w:hAnsi="仿宋" w:eastAsia="仿宋"/>
      <w:color w:val="00000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2023-08-22T05:32:00Z</dcterms:created>
  <dc:creator>Admin</dc:creator>
  <cp:lastModifiedBy>载载</cp:lastModifiedBy>
  <dcterms:modified xsi:type="dcterms:W3CDTF">2023-09-26T04:31:24Z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1A063EBB7BC741BE80F3AC4758FC3301_13</vt:lpwstr>
  </property>
</Properties>
</file>