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黑体" w:eastAsia="黑体"/>
          <w:b/>
          <w:sz w:val="32"/>
          <w:szCs w:val="32"/>
          <w:lang w:val="en-US" w:eastAsia="zh-CN"/>
        </w:rPr>
      </w:pPr>
      <w:bookmarkStart w:id="0" w:name="_Toc69306266"/>
      <w:r>
        <w:rPr>
          <w:rFonts w:hint="eastAsia" w:hAnsi="黑体" w:eastAsia="黑体"/>
          <w:b/>
          <w:sz w:val="32"/>
          <w:szCs w:val="32"/>
          <w:lang w:val="zh-CN"/>
        </w:rPr>
        <w:t>合同</w:t>
      </w:r>
      <w:bookmarkEnd w:id="0"/>
      <w:r>
        <w:rPr>
          <w:rFonts w:hint="eastAsia" w:hAnsi="黑体" w:eastAsia="黑体"/>
          <w:b/>
          <w:sz w:val="32"/>
          <w:szCs w:val="32"/>
          <w:lang w:val="en-US" w:eastAsia="zh-CN"/>
        </w:rPr>
        <w:t>格式</w:t>
      </w:r>
    </w:p>
    <w:p>
      <w:pPr>
        <w:pStyle w:val="4"/>
        <w:rPr>
          <w:rFonts w:hint="eastAsia" w:hAnsi="黑体" w:eastAsia="黑体"/>
          <w:b/>
          <w:sz w:val="32"/>
          <w:szCs w:val="32"/>
          <w:lang w:val="en-US" w:eastAsia="zh-CN"/>
        </w:rPr>
      </w:pPr>
    </w:p>
    <w:p>
      <w:pPr>
        <w:pStyle w:val="4"/>
        <w:rPr>
          <w:rFonts w:hint="eastAsia" w:hAnsi="黑体" w:eastAsia="黑体"/>
          <w:b/>
          <w:sz w:val="32"/>
          <w:szCs w:val="32"/>
          <w:lang w:val="en-US" w:eastAsia="zh-CN"/>
        </w:rPr>
      </w:pPr>
    </w:p>
    <w:p>
      <w:pPr>
        <w:pStyle w:val="4"/>
        <w:ind w:left="0" w:leftChars="0" w:firstLine="0" w:firstLineChars="0"/>
        <w:rPr>
          <w:rFonts w:hint="eastAsia" w:hAnsi="黑体" w:eastAsia="黑体"/>
          <w:b/>
          <w:sz w:val="32"/>
          <w:szCs w:val="32"/>
          <w:lang w:val="en-US" w:eastAsia="zh-CN"/>
        </w:rPr>
      </w:pPr>
    </w:p>
    <w:p>
      <w:pPr>
        <w:spacing w:line="640" w:lineRule="exact"/>
        <w:ind w:right="-29" w:rightChars="-14"/>
        <w:jc w:val="center"/>
        <w:rPr>
          <w:rFonts w:hint="default" w:ascii="宋体" w:hAnsi="宋体" w:eastAsia="宋体" w:cs="黑体"/>
          <w:b/>
          <w:color w:val="000000"/>
          <w:kern w:val="0"/>
          <w:sz w:val="44"/>
          <w:szCs w:val="44"/>
          <w:lang w:val="en-US" w:eastAsia="zh-CN"/>
        </w:rPr>
      </w:pPr>
      <w:bookmarkStart w:id="9" w:name="_GoBack"/>
      <w:r>
        <w:rPr>
          <w:rFonts w:hint="eastAsia" w:ascii="宋体" w:hAnsi="宋体" w:eastAsia="宋体" w:cs="黑体"/>
          <w:b/>
          <w:color w:val="000000"/>
          <w:kern w:val="0"/>
          <w:sz w:val="44"/>
          <w:szCs w:val="44"/>
          <w:lang w:val="en-US" w:eastAsia="zh-CN"/>
        </w:rPr>
        <w:t>《陕西省规划环境影响篇章或说明编制技术指南》制定1</w:t>
      </w:r>
      <w:bookmarkEnd w:id="9"/>
    </w:p>
    <w:p>
      <w:pPr>
        <w:spacing w:before="120" w:beforeLines="50"/>
        <w:rPr>
          <w:rFonts w:ascii="黑体" w:hAnsi="黑体" w:eastAsia="黑体" w:cs="黑体"/>
          <w:color w:val="000000"/>
          <w:kern w:val="0"/>
          <w:sz w:val="48"/>
          <w:szCs w:val="48"/>
        </w:rPr>
      </w:pPr>
    </w:p>
    <w:p>
      <w:pPr>
        <w:spacing w:before="120" w:beforeLines="50"/>
        <w:jc w:val="center"/>
        <w:rPr>
          <w:rFonts w:ascii="黑体" w:hAnsi="黑体" w:eastAsia="黑体" w:cs="黑体"/>
          <w:color w:val="000000"/>
          <w:kern w:val="0"/>
          <w:sz w:val="48"/>
          <w:szCs w:val="48"/>
        </w:rPr>
      </w:pPr>
    </w:p>
    <w:p>
      <w:pPr>
        <w:spacing w:before="120" w:beforeLines="50"/>
        <w:jc w:val="center"/>
        <w:rPr>
          <w:rFonts w:ascii="黑体" w:hAnsi="黑体" w:eastAsia="黑体" w:cs="黑体"/>
          <w:color w:val="000000"/>
          <w:kern w:val="0"/>
          <w:sz w:val="48"/>
          <w:szCs w:val="48"/>
        </w:rPr>
      </w:pPr>
    </w:p>
    <w:p>
      <w:pPr>
        <w:spacing w:before="120" w:beforeLines="50"/>
        <w:jc w:val="center"/>
        <w:rPr>
          <w:rFonts w:ascii="宋体" w:hAnsi="宋体"/>
          <w:color w:val="000000"/>
          <w:kern w:val="0"/>
          <w:sz w:val="48"/>
          <w:szCs w:val="48"/>
        </w:rPr>
      </w:pPr>
      <w:r>
        <w:rPr>
          <w:rFonts w:hint="eastAsia" w:ascii="宋体" w:hAnsi="宋体" w:cs="黑体"/>
          <w:color w:val="000000"/>
          <w:kern w:val="0"/>
          <w:sz w:val="48"/>
          <w:szCs w:val="48"/>
        </w:rPr>
        <w:t>采 购 合 同</w:t>
      </w:r>
    </w:p>
    <w:p>
      <w:pPr>
        <w:pStyle w:val="5"/>
        <w:ind w:right="63"/>
        <w:rPr>
          <w:rFonts w:ascii="宋体" w:hAnsi="宋体"/>
        </w:rPr>
      </w:pPr>
    </w:p>
    <w:p>
      <w:pPr>
        <w:pStyle w:val="5"/>
        <w:ind w:left="63" w:right="63"/>
        <w:rPr>
          <w:rFonts w:ascii="宋体" w:hAnsi="宋体"/>
        </w:rPr>
      </w:pPr>
    </w:p>
    <w:p>
      <w:pPr>
        <w:pStyle w:val="5"/>
        <w:ind w:left="63" w:right="63"/>
        <w:rPr>
          <w:rFonts w:ascii="宋体" w:hAnsi="宋体"/>
        </w:rPr>
      </w:pPr>
    </w:p>
    <w:p>
      <w:pPr>
        <w:pStyle w:val="5"/>
        <w:ind w:left="63" w:right="63"/>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ind w:firstLine="1269" w:firstLineChars="395"/>
        <w:rPr>
          <w:rFonts w:hint="eastAsia" w:ascii="宋体" w:hAnsi="宋体" w:eastAsia="宋体" w:cs="Times New Roman"/>
          <w:b/>
          <w:color w:val="000000"/>
          <w:kern w:val="0"/>
          <w:sz w:val="32"/>
          <w:szCs w:val="32"/>
          <w:lang w:eastAsia="zh-CN"/>
        </w:rPr>
      </w:pPr>
      <w:r>
        <w:rPr>
          <w:rFonts w:hint="eastAsia" w:ascii="宋体" w:hAnsi="宋体"/>
          <w:b/>
          <w:color w:val="000000"/>
          <w:kern w:val="0"/>
          <w:sz w:val="32"/>
          <w:szCs w:val="32"/>
        </w:rPr>
        <w:t>甲    方：</w:t>
      </w:r>
      <w:r>
        <w:rPr>
          <w:rFonts w:hint="eastAsia" w:ascii="宋体" w:hAnsi="宋体" w:eastAsia="宋体" w:cs="Times New Roman"/>
          <w:b/>
          <w:color w:val="000000"/>
          <w:kern w:val="0"/>
          <w:sz w:val="32"/>
          <w:szCs w:val="32"/>
        </w:rPr>
        <w:t>陕西省环境调查评估中心</w:t>
      </w:r>
    </w:p>
    <w:p>
      <w:pPr>
        <w:spacing w:line="360" w:lineRule="auto"/>
        <w:ind w:firstLine="1269" w:firstLineChars="395"/>
        <w:rPr>
          <w:rFonts w:ascii="宋体" w:hAnsi="宋体"/>
          <w:bCs/>
          <w:color w:val="000000"/>
          <w:kern w:val="0"/>
          <w:sz w:val="32"/>
          <w:szCs w:val="32"/>
        </w:rPr>
      </w:pPr>
      <w:r>
        <w:rPr>
          <w:rFonts w:hint="eastAsia" w:ascii="宋体" w:hAnsi="宋体"/>
          <w:b/>
          <w:color w:val="000000"/>
          <w:kern w:val="0"/>
          <w:sz w:val="32"/>
          <w:szCs w:val="32"/>
        </w:rPr>
        <w:t>乙    方：</w:t>
      </w:r>
      <w:r>
        <w:rPr>
          <w:rFonts w:hint="eastAsia" w:ascii="宋体" w:hAnsi="宋体"/>
          <w:b/>
          <w:color w:val="000000"/>
          <w:kern w:val="0"/>
          <w:sz w:val="32"/>
          <w:szCs w:val="32"/>
          <w:u w:val="single"/>
        </w:rPr>
        <w:t xml:space="preserve">                  </w:t>
      </w:r>
    </w:p>
    <w:p>
      <w:pPr>
        <w:spacing w:line="360" w:lineRule="auto"/>
        <w:ind w:firstLine="3040" w:firstLineChars="950"/>
        <w:rPr>
          <w:rFonts w:ascii="宋体" w:hAnsi="宋体" w:cs="楷体_GB2312"/>
          <w:kern w:val="0"/>
          <w:sz w:val="32"/>
          <w:szCs w:val="32"/>
        </w:rPr>
      </w:pPr>
      <w:r>
        <w:rPr>
          <w:rFonts w:hint="eastAsia" w:ascii="宋体" w:hAnsi="宋体"/>
          <w:kern w:val="0"/>
          <w:sz w:val="32"/>
          <w:szCs w:val="32"/>
        </w:rPr>
        <w:t>二Ｏ二</w:t>
      </w:r>
      <w:r>
        <w:rPr>
          <w:rFonts w:hint="eastAsia" w:ascii="宋体" w:hAnsi="宋体"/>
          <w:kern w:val="0"/>
          <w:sz w:val="32"/>
          <w:szCs w:val="32"/>
          <w:lang w:val="en-US" w:eastAsia="zh-CN"/>
        </w:rPr>
        <w:t>三</w:t>
      </w:r>
      <w:r>
        <w:rPr>
          <w:rFonts w:hint="eastAsia" w:ascii="宋体" w:hAnsi="宋体" w:cs="楷体_GB2312"/>
          <w:kern w:val="0"/>
          <w:sz w:val="32"/>
          <w:szCs w:val="32"/>
        </w:rPr>
        <w:t>年    月</w:t>
      </w:r>
    </w:p>
    <w:p>
      <w:pPr>
        <w:spacing w:line="440" w:lineRule="exact"/>
        <w:jc w:val="center"/>
        <w:rPr>
          <w:rFonts w:hint="eastAsia" w:ascii="宋体" w:hAnsi="宋体"/>
          <w:b/>
          <w:sz w:val="44"/>
          <w:highlight w:val="yellow"/>
        </w:rPr>
      </w:pPr>
    </w:p>
    <w:p>
      <w:pPr>
        <w:tabs>
          <w:tab w:val="left" w:pos="735"/>
        </w:tabs>
        <w:autoSpaceDE w:val="0"/>
        <w:autoSpaceDN w:val="0"/>
        <w:adjustRightInd w:val="0"/>
        <w:snapToGrid w:val="0"/>
        <w:spacing w:before="240" w:beforeLines="100" w:line="360" w:lineRule="auto"/>
        <w:jc w:val="center"/>
        <w:rPr>
          <w:rFonts w:hint="eastAsia" w:ascii="仿宋_GB2312" w:hAnsi="仿宋" w:eastAsia="仿宋_GB2312"/>
          <w:b/>
          <w:bCs/>
          <w:sz w:val="28"/>
          <w:szCs w:val="28"/>
          <w:lang w:val="zh-CN"/>
        </w:rPr>
      </w:pPr>
      <w:r>
        <w:rPr>
          <w:rFonts w:hint="eastAsia" w:ascii="宋体" w:hAnsi="宋体" w:eastAsia="宋体" w:cs="宋体"/>
          <w:sz w:val="24"/>
          <w:szCs w:val="24"/>
        </w:rPr>
        <w:t>（此合同仅供参考，具体事情甲乙双方协商确定）</w:t>
      </w:r>
    </w:p>
    <w:p>
      <w:pPr>
        <w:pStyle w:val="9"/>
        <w:snapToGrid w:val="0"/>
        <w:spacing w:line="360" w:lineRule="auto"/>
        <w:rPr>
          <w:rFonts w:hint="eastAsia" w:ascii="宋体" w:hAnsi="宋体" w:eastAsia="宋体" w:cs="宋体"/>
          <w:sz w:val="24"/>
          <w:szCs w:val="24"/>
        </w:rPr>
      </w:pPr>
      <w:r>
        <w:rPr>
          <w:rFonts w:hint="eastAsia" w:ascii="宋体" w:hAnsi="宋体" w:eastAsia="宋体" w:cs="宋体"/>
          <w:sz w:val="24"/>
          <w:szCs w:val="24"/>
        </w:rPr>
        <w:t>发包人(全称，以下简称甲方)：</w:t>
      </w:r>
      <w:r>
        <w:rPr>
          <w:rFonts w:hint="eastAsia" w:ascii="宋体" w:hAnsi="宋体" w:eastAsia="宋体" w:cs="宋体"/>
          <w:sz w:val="24"/>
          <w:szCs w:val="24"/>
          <w:u w:val="single"/>
        </w:rPr>
        <w:t xml:space="preserve">                           </w:t>
      </w:r>
    </w:p>
    <w:p>
      <w:pPr>
        <w:pStyle w:val="9"/>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承包人(全称，以下简称乙方)：</w:t>
      </w:r>
      <w:r>
        <w:rPr>
          <w:rFonts w:hint="eastAsia" w:ascii="宋体" w:hAnsi="宋体" w:eastAsia="宋体" w:cs="宋体"/>
          <w:sz w:val="24"/>
          <w:szCs w:val="24"/>
          <w:u w:val="single"/>
        </w:rPr>
        <w:t xml:space="preserve">                           </w:t>
      </w:r>
    </w:p>
    <w:p>
      <w:pPr>
        <w:tabs>
          <w:tab w:val="left" w:pos="735"/>
        </w:tabs>
        <w:autoSpaceDE w:val="0"/>
        <w:autoSpaceDN w:val="0"/>
        <w:adjustRightInd w:val="0"/>
        <w:snapToGrid w:val="0"/>
        <w:spacing w:line="360" w:lineRule="auto"/>
        <w:ind w:firstLine="480" w:firstLineChars="200"/>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en-US" w:eastAsia="zh-CN" w:bidi="ar-SA"/>
        </w:rPr>
        <w:t>依据《中华人民共和国民典法》，经甲、乙双方共同协商，按下述条款和条件签署本合同。</w:t>
      </w:r>
    </w:p>
    <w:p>
      <w:pPr>
        <w:adjustRightInd w:val="0"/>
        <w:snapToGrid w:val="0"/>
        <w:spacing w:line="360" w:lineRule="auto"/>
        <w:ind w:firstLine="480" w:firstLineChars="200"/>
        <w:rPr>
          <w:rFonts w:hint="eastAsia" w:ascii="宋体" w:hAnsi="宋体" w:eastAsia="宋体" w:cs="宋体"/>
          <w:sz w:val="24"/>
          <w:szCs w:val="24"/>
        </w:rPr>
      </w:pPr>
      <w:bookmarkStart w:id="1" w:name="_Toc19515384"/>
      <w:r>
        <w:rPr>
          <w:rFonts w:hint="eastAsia" w:ascii="宋体" w:hAnsi="宋体" w:eastAsia="宋体" w:cs="宋体"/>
          <w:sz w:val="24"/>
          <w:szCs w:val="24"/>
        </w:rPr>
        <w:t>一、合同内容（标的、数量、质量等）:</w:t>
      </w:r>
      <w:bookmarkEnd w:id="1"/>
    </w:p>
    <w:p>
      <w:pPr>
        <w:adjustRightInd w:val="0"/>
        <w:snapToGrid w:val="0"/>
        <w:spacing w:line="360" w:lineRule="auto"/>
        <w:ind w:firstLine="480" w:firstLineChars="200"/>
        <w:rPr>
          <w:rFonts w:hint="eastAsia" w:ascii="宋体" w:hAnsi="宋体" w:eastAsia="宋体" w:cs="宋体"/>
          <w:sz w:val="24"/>
          <w:szCs w:val="24"/>
        </w:rPr>
      </w:pPr>
      <w:bookmarkStart w:id="2" w:name="_Toc19515385"/>
      <w:r>
        <w:rPr>
          <w:rFonts w:hint="eastAsia" w:ascii="宋体" w:hAnsi="宋体" w:eastAsia="宋体" w:cs="宋体"/>
          <w:sz w:val="24"/>
          <w:szCs w:val="24"/>
        </w:rPr>
        <w:t>二、合同价款</w:t>
      </w:r>
      <w:bookmarkEnd w:id="2"/>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1、合同总价：</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2、合同总价包括：完成项目所需的直接费、间接费、税金及其它相关的费用。</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3、合同总价一次包死，不受市场价变化的影响。</w:t>
      </w:r>
    </w:p>
    <w:p>
      <w:pPr>
        <w:adjustRightInd w:val="0"/>
        <w:snapToGrid w:val="0"/>
        <w:spacing w:line="360" w:lineRule="auto"/>
        <w:ind w:firstLine="480" w:firstLineChars="200"/>
        <w:rPr>
          <w:rFonts w:hint="eastAsia" w:ascii="宋体" w:hAnsi="宋体" w:eastAsia="宋体" w:cs="宋体"/>
          <w:sz w:val="24"/>
          <w:szCs w:val="24"/>
        </w:rPr>
      </w:pPr>
      <w:bookmarkStart w:id="3" w:name="_Toc19515386"/>
      <w:r>
        <w:rPr>
          <w:rFonts w:hint="eastAsia" w:ascii="宋体" w:hAnsi="宋体" w:eastAsia="宋体" w:cs="宋体"/>
          <w:sz w:val="24"/>
          <w:szCs w:val="24"/>
        </w:rPr>
        <w:t>三、合同结算</w:t>
      </w:r>
      <w:bookmarkEnd w:id="3"/>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1、资金支付条件及时间：</w:t>
      </w:r>
    </w:p>
    <w:p>
      <w:pPr>
        <w:pStyle w:val="9"/>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合同签订后十</w:t>
      </w:r>
      <w:r>
        <w:rPr>
          <w:rFonts w:hint="eastAsia" w:ascii="宋体" w:hAnsi="宋体" w:eastAsia="宋体" w:cs="宋体"/>
          <w:color w:val="auto"/>
          <w:sz w:val="24"/>
          <w:szCs w:val="24"/>
          <w:highlight w:val="none"/>
          <w:lang w:val="en-US" w:eastAsia="zh-CN"/>
        </w:rPr>
        <w:t>个工作日内</w:t>
      </w:r>
      <w:r>
        <w:rPr>
          <w:rFonts w:hint="eastAsia" w:ascii="宋体" w:hAnsi="宋体" w:eastAsia="宋体" w:cs="宋体"/>
          <w:color w:val="auto"/>
          <w:sz w:val="24"/>
          <w:szCs w:val="24"/>
          <w:highlight w:val="none"/>
        </w:rPr>
        <w:t>，支付合同金额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作为</w:t>
      </w:r>
      <w:r>
        <w:rPr>
          <w:rFonts w:hint="eastAsia" w:ascii="宋体" w:hAnsi="宋体" w:eastAsia="宋体" w:cs="宋体"/>
          <w:color w:val="auto"/>
          <w:sz w:val="24"/>
          <w:szCs w:val="24"/>
          <w:highlight w:val="none"/>
        </w:rPr>
        <w:t>预付款；</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1-2、成果报告验收合格</w:t>
      </w:r>
      <w:r>
        <w:rPr>
          <w:rFonts w:hint="eastAsia" w:ascii="宋体" w:hAnsi="宋体" w:eastAsia="宋体" w:cs="宋体"/>
          <w:color w:val="auto"/>
          <w:sz w:val="24"/>
          <w:szCs w:val="24"/>
          <w:highlight w:val="none"/>
        </w:rPr>
        <w:t>后，十</w:t>
      </w:r>
      <w:r>
        <w:rPr>
          <w:rFonts w:hint="eastAsia" w:ascii="宋体" w:hAnsi="宋体" w:eastAsia="宋体" w:cs="宋体"/>
          <w:color w:val="auto"/>
          <w:sz w:val="24"/>
          <w:szCs w:val="24"/>
          <w:highlight w:val="none"/>
          <w:lang w:val="en-US" w:eastAsia="zh-CN"/>
        </w:rPr>
        <w:t>个工作日内</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尾款</w:t>
      </w:r>
      <w:r>
        <w:rPr>
          <w:rFonts w:hint="eastAsia" w:ascii="宋体" w:hAnsi="宋体" w:eastAsia="宋体" w:cs="宋体"/>
          <w:color w:val="auto"/>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2、结算方式：银行转账。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3、结算单位：由</w:t>
      </w:r>
      <w:r>
        <w:rPr>
          <w:rFonts w:hint="eastAsia" w:ascii="宋体" w:hAnsi="宋体" w:eastAsia="宋体" w:cs="宋体"/>
          <w:sz w:val="24"/>
          <w:szCs w:val="24"/>
          <w:u w:val="single"/>
        </w:rPr>
        <w:t xml:space="preserve">  甲方 </w:t>
      </w:r>
      <w:r>
        <w:rPr>
          <w:rFonts w:hint="eastAsia" w:ascii="宋体" w:hAnsi="宋体" w:eastAsia="宋体" w:cs="宋体"/>
          <w:sz w:val="24"/>
          <w:szCs w:val="24"/>
        </w:rPr>
        <w:t>负责结算，乙方开具合同总价数的全额发票交采购人。</w:t>
      </w:r>
    </w:p>
    <w:p>
      <w:pPr>
        <w:adjustRightInd w:val="0"/>
        <w:snapToGrid w:val="0"/>
        <w:spacing w:line="360" w:lineRule="auto"/>
        <w:ind w:firstLine="480" w:firstLineChars="200"/>
        <w:rPr>
          <w:rFonts w:hint="eastAsia" w:ascii="宋体" w:hAnsi="宋体" w:eastAsia="宋体" w:cs="宋体"/>
          <w:sz w:val="24"/>
          <w:szCs w:val="24"/>
        </w:rPr>
      </w:pPr>
      <w:bookmarkStart w:id="4" w:name="_Toc19515387"/>
      <w:r>
        <w:rPr>
          <w:rFonts w:hint="eastAsia" w:ascii="宋体" w:hAnsi="宋体" w:eastAsia="宋体" w:cs="宋体"/>
          <w:sz w:val="24"/>
          <w:szCs w:val="24"/>
        </w:rPr>
        <w:t>四、履行期限、地点及方式:</w:t>
      </w:r>
      <w:bookmarkEnd w:id="4"/>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1、服务期限：</w:t>
      </w:r>
      <w:r>
        <w:rPr>
          <w:rFonts w:hint="eastAsia" w:ascii="宋体" w:hAnsi="宋体" w:eastAsia="宋体" w:cs="宋体"/>
          <w:sz w:val="24"/>
          <w:szCs w:val="24"/>
          <w:lang w:val="en-US" w:eastAsia="zh-CN"/>
        </w:rPr>
        <w:t>本项目自协议签订之日起至2023年12月31日止。</w:t>
      </w:r>
    </w:p>
    <w:p>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2、地点：按照采购人要求</w:t>
      </w:r>
    </w:p>
    <w:p>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3、方式：按照采购人要求</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五、甲方的权利和义务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1、甲方有权督促乙方完成合同中协议的所有工作内容及其工作进度；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2、甲方应主动提供有利于调研活动顺利执行实施的相关资源及便利；</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3、甲方有权向乙方调研报告提出整改建议和意见。</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4、甲方负责监督、检查乙方提供服务的工作进度、质量情况。</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六、乙方的权利和义务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1、对本合同规定的委托范围内的项目享有管理权及服务义务。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3、及时向甲方通告本项目执行范围内有关的重大事项，及时配合处理投诉。</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pPr>
        <w:adjustRightInd w:val="0"/>
        <w:snapToGrid w:val="0"/>
        <w:spacing w:line="360" w:lineRule="auto"/>
        <w:ind w:firstLine="480" w:firstLineChars="200"/>
        <w:rPr>
          <w:rFonts w:hint="eastAsia" w:ascii="宋体" w:hAnsi="宋体" w:eastAsia="宋体" w:cs="宋体"/>
          <w:sz w:val="24"/>
          <w:szCs w:val="24"/>
        </w:rPr>
      </w:pPr>
      <w:bookmarkStart w:id="5" w:name="_Toc19515392"/>
      <w:r>
        <w:rPr>
          <w:rFonts w:hint="eastAsia" w:ascii="宋体" w:hAnsi="宋体" w:eastAsia="宋体" w:cs="宋体"/>
          <w:sz w:val="24"/>
          <w:szCs w:val="24"/>
        </w:rPr>
        <w:t>七、违约责任</w:t>
      </w:r>
      <w:bookmarkEnd w:id="5"/>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1、甲乙双方必须遵守本合同并执行合同中的各项规定，保证本合同的正常履行。</w:t>
      </w:r>
    </w:p>
    <w:p>
      <w:pPr>
        <w:adjustRightInd w:val="0"/>
        <w:snapToGrid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2、如因乙方工作人员在服务过程中未按相关标准要求执行，给甲方造成损失（不限于甲方本身的财产损失），乙方对此均应承担全部的赔偿责任。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八、不可抗力事件处理</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pPr>
        <w:adjustRightInd w:val="0"/>
        <w:snapToGrid w:val="0"/>
        <w:spacing w:line="360" w:lineRule="auto"/>
        <w:ind w:firstLine="480" w:firstLineChars="200"/>
        <w:rPr>
          <w:rFonts w:hint="eastAsia" w:ascii="宋体" w:hAnsi="宋体" w:eastAsia="宋体" w:cs="宋体"/>
          <w:sz w:val="24"/>
          <w:szCs w:val="24"/>
        </w:rPr>
      </w:pPr>
      <w:bookmarkStart w:id="6" w:name="_Toc19515393"/>
      <w:r>
        <w:rPr>
          <w:rFonts w:hint="eastAsia" w:ascii="宋体" w:hAnsi="宋体" w:eastAsia="宋体" w:cs="宋体"/>
          <w:sz w:val="24"/>
          <w:szCs w:val="24"/>
        </w:rPr>
        <w:t>九、合同组成</w:t>
      </w:r>
      <w:bookmarkEnd w:id="6"/>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1、成交通知书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2、合同文件</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3、国家相关规范及标准</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4、竞争性磋商文件</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5、磋商响应文件</w:t>
      </w:r>
    </w:p>
    <w:p>
      <w:pPr>
        <w:adjustRightInd w:val="0"/>
        <w:snapToGrid w:val="0"/>
        <w:spacing w:line="360" w:lineRule="auto"/>
        <w:ind w:firstLine="480" w:firstLineChars="200"/>
        <w:rPr>
          <w:rFonts w:hint="eastAsia" w:ascii="宋体" w:hAnsi="宋体" w:eastAsia="宋体" w:cs="宋体"/>
          <w:sz w:val="24"/>
          <w:szCs w:val="24"/>
        </w:rPr>
      </w:pPr>
      <w:bookmarkStart w:id="7" w:name="_Toc19515394"/>
      <w:r>
        <w:rPr>
          <w:rFonts w:hint="eastAsia" w:ascii="宋体" w:hAnsi="宋体" w:eastAsia="宋体" w:cs="宋体"/>
          <w:sz w:val="24"/>
          <w:szCs w:val="24"/>
        </w:rPr>
        <w:t>十、解决争议的方法</w:t>
      </w:r>
      <w:bookmarkEnd w:id="7"/>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凡因本合同引起的或与本合同有关的争议，双方应友好协商解决。协商不成时，双方均同意采用以下第（  ）种争议解决方式：</w:t>
      </w:r>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（1）甲、乙双方均同意向（甲方所在地人民法院）提起诉讼。</w:t>
      </w:r>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（2）甲、乙双方均同意向（</w:t>
      </w: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HYPERLINK "http://www.baidu.com/s?wd=%E4%BB%B2%E8%A3%81%E5%A7%94%E5%91%98%E4%BC%9A&amp;tn=SE_PcZhidaonwhc_ngpagmjz&amp;rsv_dl=gh_pc_zhidao" \t "_blank"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仲裁委员会</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）提起仲裁。</w:t>
      </w:r>
    </w:p>
    <w:p>
      <w:pPr>
        <w:adjustRightInd w:val="0"/>
        <w:snapToGrid w:val="0"/>
        <w:spacing w:line="360" w:lineRule="auto"/>
        <w:ind w:firstLine="480" w:firstLineChars="200"/>
        <w:rPr>
          <w:rFonts w:hint="eastAsia" w:ascii="宋体" w:hAnsi="宋体" w:eastAsia="宋体" w:cs="宋体"/>
          <w:sz w:val="24"/>
          <w:szCs w:val="24"/>
        </w:rPr>
      </w:pPr>
      <w:bookmarkStart w:id="8" w:name="_Toc19515395"/>
      <w:r>
        <w:rPr>
          <w:rFonts w:hint="eastAsia" w:ascii="宋体" w:hAnsi="宋体" w:eastAsia="宋体" w:cs="宋体"/>
          <w:sz w:val="24"/>
          <w:szCs w:val="24"/>
        </w:rPr>
        <w:t>十一、合同生效及其它</w:t>
      </w:r>
      <w:bookmarkEnd w:id="8"/>
    </w:p>
    <w:p>
      <w:pPr>
        <w:widowControl/>
        <w:autoSpaceDE w:val="0"/>
        <w:autoSpaceDN w:val="0"/>
        <w:snapToGrid w:val="0"/>
        <w:spacing w:line="360" w:lineRule="auto"/>
        <w:ind w:right="-110"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2、 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份，甲方、乙方双方分别执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备案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3、合同经甲乙双方盖章、签字后生效，合同签订地点为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4、生效时间：   年  月  日</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(以下无正文)</w:t>
      </w:r>
    </w:p>
    <w:p>
      <w:pPr>
        <w:widowControl/>
        <w:tabs>
          <w:tab w:val="left" w:pos="8391"/>
        </w:tabs>
        <w:autoSpaceDE w:val="0"/>
        <w:autoSpaceDN w:val="0"/>
        <w:snapToGrid w:val="0"/>
        <w:spacing w:line="360" w:lineRule="auto"/>
        <w:ind w:right="-69"/>
        <w:textAlignment w:val="bottom"/>
        <w:rPr>
          <w:rFonts w:hint="eastAsia" w:ascii="宋体" w:hAnsi="宋体" w:eastAsia="宋体" w:cs="宋体"/>
          <w:kern w:val="0"/>
          <w:sz w:val="24"/>
          <w:szCs w:val="24"/>
        </w:rPr>
      </w:pPr>
    </w:p>
    <w:tbl>
      <w:tblPr>
        <w:tblStyle w:val="12"/>
        <w:tblW w:w="0" w:type="auto"/>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noWrap w:val="0"/>
            <w:vAlign w:val="top"/>
          </w:tcPr>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color w:val="000000"/>
                <w:kern w:val="2"/>
                <w:sz w:val="24"/>
                <w:szCs w:val="24"/>
              </w:rPr>
              <w:t>签约日期：    年   月   日</w:t>
            </w:r>
          </w:p>
        </w:tc>
        <w:tc>
          <w:tcPr>
            <w:tcW w:w="4643" w:type="dxa"/>
            <w:noWrap w:val="0"/>
            <w:vAlign w:val="top"/>
          </w:tcPr>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pPr>
              <w:widowControl/>
              <w:autoSpaceDE w:val="0"/>
              <w:autoSpaceDN w:val="0"/>
              <w:snapToGrid w:val="0"/>
              <w:spacing w:line="360" w:lineRule="auto"/>
              <w:ind w:right="-154"/>
              <w:textAlignment w:val="bottom"/>
              <w:rPr>
                <w:rFonts w:hint="eastAsia" w:ascii="宋体" w:hAnsi="宋体" w:eastAsia="宋体" w:cs="宋体"/>
                <w:kern w:val="0"/>
                <w:sz w:val="24"/>
                <w:szCs w:val="24"/>
              </w:rPr>
            </w:pPr>
            <w:r>
              <w:rPr>
                <w:rFonts w:hint="eastAsia" w:ascii="宋体" w:hAnsi="宋体"/>
                <w:color w:val="000000"/>
                <w:kern w:val="2"/>
                <w:sz w:val="24"/>
                <w:szCs w:val="24"/>
              </w:rPr>
              <w:t>签约日期：    年   月   日</w:t>
            </w:r>
          </w:p>
        </w:tc>
      </w:tr>
    </w:tbl>
    <w:p>
      <w:pPr>
        <w:autoSpaceDE w:val="0"/>
        <w:autoSpaceDN w:val="0"/>
        <w:adjustRightInd w:val="0"/>
        <w:spacing w:line="360" w:lineRule="auto"/>
        <w:jc w:val="left"/>
        <w:rPr>
          <w:rFonts w:hint="eastAsia" w:ascii="宋体" w:hAnsi="宋体" w:eastAsia="宋体" w:cs="宋体"/>
          <w:b/>
          <w:bCs/>
          <w:sz w:val="24"/>
          <w:szCs w:val="24"/>
        </w:rPr>
      </w:pPr>
    </w:p>
    <w:p>
      <w:pPr>
        <w:pStyle w:val="11"/>
        <w:snapToGrid w:val="0"/>
        <w:spacing w:line="360" w:lineRule="auto"/>
        <w:jc w:val="both"/>
        <w:rPr>
          <w:rFonts w:ascii="仿宋" w:hAnsi="仿宋" w:eastAsia="仿宋"/>
          <w:sz w:val="28"/>
          <w:szCs w:val="28"/>
        </w:rPr>
      </w:pPr>
    </w:p>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4"/>
      </w:rPr>
    </w:pPr>
    <w:r>
      <w:fldChar w:fldCharType="begin"/>
    </w:r>
    <w:r>
      <w:rPr>
        <w:rStyle w:val="14"/>
      </w:rPr>
      <w:instrText xml:space="preserve">PAGE  </w:instrText>
    </w:r>
    <w:r>
      <w:fldChar w:fldCharType="separate"/>
    </w:r>
    <w:r>
      <w:rPr>
        <w:rStyle w:val="14"/>
      </w:rPr>
      <w:t>15</w:t>
    </w:r>
    <w:r>
      <w:fldChar w:fldCharType="end"/>
    </w:r>
  </w:p>
  <w:p>
    <w:pPr>
      <w:pStyle w:val="10"/>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MDU2ZmQ4MmE0NjAwZjFhOGIwNWJlZGFjZTZiODQifQ=="/>
  </w:docVars>
  <w:rsids>
    <w:rsidRoot w:val="72F00802"/>
    <w:rsid w:val="72F00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qFormat/>
    <w:uiPriority w:val="0"/>
    <w:pPr>
      <w:keepNext/>
      <w:spacing w:line="720" w:lineRule="exact"/>
      <w:outlineLvl w:val="1"/>
    </w:pPr>
    <w:rPr>
      <w:rFonts w:ascii="黑体" w:hAnsi="Copperplate Gothic Bold" w:eastAsia="楷体_GB2312"/>
      <w:sz w:val="28"/>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4">
    <w:name w:val="Normal Indent"/>
    <w:basedOn w:val="1"/>
    <w:qFormat/>
    <w:uiPriority w:val="0"/>
    <w:pPr>
      <w:ind w:firstLine="420"/>
    </w:pPr>
  </w:style>
  <w:style w:type="paragraph" w:styleId="5">
    <w:name w:val="Body Text"/>
    <w:basedOn w:val="1"/>
    <w:next w:val="6"/>
    <w:uiPriority w:val="0"/>
    <w:pPr>
      <w:jc w:val="left"/>
    </w:pPr>
    <w:rPr>
      <w:rFonts w:ascii="Copperplate Gothic Bold" w:hAnsi="Copperplate Gothic Bold"/>
      <w:sz w:val="28"/>
    </w:rPr>
  </w:style>
  <w:style w:type="paragraph" w:styleId="6">
    <w:name w:val="Body Text First Indent"/>
    <w:basedOn w:val="5"/>
    <w:next w:val="7"/>
    <w:unhideWhenUsed/>
    <w:uiPriority w:val="99"/>
    <w:pPr>
      <w:ind w:firstLine="420" w:firstLineChars="100"/>
    </w:pPr>
    <w:rPr>
      <w:kern w:val="2"/>
      <w:sz w:val="24"/>
    </w:rPr>
  </w:style>
  <w:style w:type="paragraph" w:styleId="7">
    <w:name w:val="Body Text First Indent 2"/>
    <w:basedOn w:val="8"/>
    <w:qFormat/>
    <w:uiPriority w:val="0"/>
    <w:pPr>
      <w:autoSpaceDE/>
      <w:autoSpaceDN/>
      <w:spacing w:line="360" w:lineRule="auto"/>
      <w:ind w:left="0" w:leftChars="0" w:firstLine="420"/>
      <w:jc w:val="both"/>
    </w:pPr>
    <w:rPr>
      <w:rFonts w:ascii="Times New Roman" w:hAnsi="Times New Roman" w:eastAsia="仿宋"/>
      <w:kern w:val="2"/>
      <w:sz w:val="24"/>
      <w:szCs w:val="24"/>
    </w:rPr>
  </w:style>
  <w:style w:type="paragraph" w:styleId="8">
    <w:name w:val="Body Text Indent"/>
    <w:basedOn w:val="1"/>
    <w:uiPriority w:val="0"/>
    <w:pPr>
      <w:spacing w:line="640" w:lineRule="exact"/>
      <w:ind w:firstLine="585"/>
    </w:pPr>
    <w:rPr>
      <w:rFonts w:ascii="楷体_GB2312" w:eastAsia="楷体_GB2312"/>
      <w:sz w:val="32"/>
    </w:rPr>
  </w:style>
  <w:style w:type="paragraph" w:styleId="9">
    <w:name w:val="Plain Text"/>
    <w:basedOn w:val="1"/>
    <w:uiPriority w:val="0"/>
    <w:rPr>
      <w:rFonts w:ascii="宋体" w:hAnsi="Courier New"/>
    </w:rPr>
  </w:style>
  <w:style w:type="paragraph" w:styleId="10">
    <w:name w:val="footer"/>
    <w:basedOn w:val="1"/>
    <w:uiPriority w:val="0"/>
    <w:pPr>
      <w:tabs>
        <w:tab w:val="center" w:pos="4153"/>
        <w:tab w:val="right" w:pos="8306"/>
      </w:tabs>
      <w:snapToGrid w:val="0"/>
      <w:jc w:val="left"/>
    </w:pPr>
    <w:rPr>
      <w:sz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4">
    <w:name w:val="page number"/>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2023-09-05T12:45:00Z</dcterms:created>
  <dc:creator>(＾ν＾)</dc:creator>
  <cp:lastModifiedBy>(＾ν＾)</cp:lastModifiedBy>
  <dcterms:modified xsi:type="dcterms:W3CDTF">2023-09-05T12:45:54Z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A9EC5D3563F149F197CA4F6044AB5A81_11</vt:lpwstr>
  </property>
</Properties>
</file>