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33435985"/>
      <w:bookmarkStart w:id="1" w:name="_Toc128557265"/>
      <w:bookmarkStart w:id="2" w:name="_Toc14124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Start w:id="3" w:name="_Toc233435986"/>
      <w:bookmarkStart w:id="4" w:name="_Toc497546923"/>
      <w:bookmarkStart w:id="5" w:name="_Toc497551825"/>
      <w:bookmarkStart w:id="6" w:name="_Toc497712138"/>
      <w:bookmarkStart w:id="7" w:name="_Toc492955464"/>
      <w:bookmarkStart w:id="8" w:name="_Toc497711590"/>
      <w:bookmarkStart w:id="9" w:name="_Hlt491766443"/>
      <w:bookmarkStart w:id="10" w:name="_Toc385992405"/>
      <w:bookmarkStart w:id="11" w:name="_Toc389620245"/>
      <w:r>
        <w:rPr>
          <w:rFonts w:hint="eastAsia" w:ascii="仿宋" w:hAnsi="仿宋" w:eastAsia="仿宋" w:cs="仿宋"/>
          <w:highlight w:val="none"/>
        </w:rPr>
        <w:t>商务偏离表</w:t>
      </w:r>
      <w:bookmarkEnd w:id="2"/>
      <w:bookmarkEnd w:id="3"/>
    </w:p>
    <w:p>
      <w:pPr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             第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页共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交货安装期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仿宋" w:hAnsi="仿宋" w:eastAsia="仿宋" w:cs="仿宋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rPr>
          <w:rFonts w:hint="eastAsia" w:ascii="仿宋" w:hAnsi="仿宋" w:eastAsia="仿宋" w:cs="仿宋"/>
          <w:highlight w:val="none"/>
        </w:rPr>
      </w:pPr>
      <w:bookmarkStart w:id="12" w:name="_Toc233435988"/>
      <w:bookmarkStart w:id="13" w:name="_Toc385992406"/>
      <w:bookmarkStart w:id="14" w:name="_Toc389620246"/>
      <w:bookmarkStart w:id="15" w:name="_Toc7686"/>
      <w:bookmarkStart w:id="16" w:name="_Toc497712139"/>
      <w:bookmarkStart w:id="17" w:name="_Toc492955465"/>
      <w:bookmarkStart w:id="18" w:name="_Toc497546924"/>
      <w:bookmarkStart w:id="19" w:name="_Toc497551826"/>
      <w:bookmarkStart w:id="20" w:name="_Toc497711591"/>
      <w:r>
        <w:rPr>
          <w:rFonts w:hint="eastAsia" w:ascii="仿宋" w:hAnsi="仿宋" w:eastAsia="仿宋" w:cs="仿宋"/>
          <w:highlight w:val="none"/>
        </w:rPr>
        <w:t>附件</w:t>
      </w:r>
      <w:bookmarkStart w:id="21" w:name="_Hlt491765535"/>
      <w:bookmarkEnd w:id="21"/>
      <w:r>
        <w:rPr>
          <w:rFonts w:hint="eastAsia" w:ascii="仿宋" w:hAnsi="仿宋" w:eastAsia="仿宋" w:cs="仿宋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highlight w:val="none"/>
        </w:rPr>
        <w:t>规格、技术参数偏离表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招 标 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</w:t>
      </w:r>
    </w:p>
    <w:p>
      <w:pPr>
        <w:spacing w:line="400" w:lineRule="atLeast"/>
        <w:ind w:firstLine="240" w:firstLineChars="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4511"/>
        <w:gridCol w:w="1218"/>
        <w:gridCol w:w="1038"/>
        <w:gridCol w:w="11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86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4511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03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69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标▲</w:t>
      </w:r>
      <w:bookmarkStart w:id="22" w:name="_GoBack"/>
      <w:bookmarkEnd w:id="22"/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参数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提供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的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佐证材料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  <w:lang w:val="en-US" w:eastAsia="zh-CN"/>
        </w:rPr>
        <w:t>应</w:t>
      </w:r>
      <w:r>
        <w:rPr>
          <w:rFonts w:hint="eastAsia" w:ascii="仿宋" w:hAnsi="仿宋" w:eastAsia="仿宋" w:cs="仿宋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" w:hAnsi="仿宋" w:eastAsia="仿宋" w:cs="仿宋"/>
          <w:sz w:val="24"/>
          <w:highlight w:val="none"/>
        </w:rPr>
        <w:t>（彩页或官网截图等）。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如上表内容与佐证材料不符，以上表内容为准</w:t>
      </w:r>
      <w:r>
        <w:rPr>
          <w:rFonts w:hint="eastAsia" w:ascii="仿宋" w:hAnsi="仿宋" w:eastAsia="仿宋" w:cs="仿宋"/>
          <w:sz w:val="24"/>
          <w:highlight w:val="none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" w:hAnsi="仿宋" w:eastAsia="仿宋" w:cs="仿宋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BEB2F4D"/>
    <w:rsid w:val="518353CC"/>
    <w:rsid w:val="585B45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493</Words>
  <Characters>501</Characters>
  <Lines>0</Lines>
  <Paragraphs>0</Paragraphs>
  <TotalTime>0</TotalTime>
  <ScaleCrop>false</ScaleCrop>
  <LinksUpToDate>false</LinksUpToDate>
  <CharactersWithSpaces>804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Administrator</cp:lastModifiedBy>
  <dcterms:modified xsi:type="dcterms:W3CDTF">2023-09-06T01:38:54Z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02ECC3E741164E1799F47317771C1A72_13</vt:lpwstr>
  </property>
</Properties>
</file>