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投标人资质证明资料</w:t>
      </w:r>
    </w:p>
    <w:p>
      <w:pPr>
        <w:pStyle w:val="5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投标人需在此页附招标公告或招标文件中要求的资质证明文件，投标文件附资质复印件或扫描件加盖投标人公章。格式参考见下页。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pStyle w:val="5"/>
        <w:rPr>
          <w:rFonts w:hint="eastAsia"/>
          <w:sz w:val="24"/>
          <w:szCs w:val="24"/>
          <w:lang w:val="en-US" w:eastAsia="zh-CN"/>
        </w:rPr>
      </w:pPr>
    </w:p>
    <w:p>
      <w:pPr>
        <w:pStyle w:val="5"/>
        <w:ind w:left="0" w:leftChars="0" w:firstLine="0" w:firstLineChars="0"/>
        <w:rPr>
          <w:rFonts w:hint="eastAsia"/>
          <w:b/>
          <w:bCs/>
          <w:sz w:val="28"/>
          <w:szCs w:val="28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5"/>
        <w:ind w:left="0" w:leftChars="0" w:firstLine="0" w:firstLineChars="0"/>
        <w:rPr>
          <w:rFonts w:hint="eastAsia" w:eastAsia="宋体"/>
          <w:b/>
          <w:bCs/>
          <w:sz w:val="32"/>
          <w:szCs w:val="28"/>
          <w:lang w:eastAsia="zh-CN"/>
        </w:rPr>
      </w:pPr>
      <w:r>
        <w:rPr>
          <w:rFonts w:hint="eastAsia"/>
          <w:b/>
          <w:bCs/>
          <w:sz w:val="32"/>
          <w:szCs w:val="28"/>
          <w:lang w:eastAsia="zh-CN"/>
        </w:rPr>
        <w:t>附：资质证明文件格式：</w:t>
      </w:r>
    </w:p>
    <w:p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>
      <w:pPr>
        <w:pStyle w:val="6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cs="宋体"/>
          <w:sz w:val="24"/>
          <w:szCs w:val="24"/>
        </w:rPr>
        <w:t>活动，现承诺：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我公司满足政府采购法第二十二条关于供应商的资格要求：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>
      <w:pPr>
        <w:pStyle w:val="6"/>
        <w:spacing w:line="360" w:lineRule="auto"/>
        <w:ind w:left="0" w:leftChars="0"/>
        <w:rPr>
          <w:rFonts w:ascii="宋体"/>
          <w:sz w:val="24"/>
          <w:szCs w:val="24"/>
        </w:rPr>
      </w:pPr>
    </w:p>
    <w:p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名称及</w:t>
      </w:r>
      <w:r>
        <w:rPr>
          <w:rFonts w:hint="eastAsia" w:ascii="宋体" w:hAnsi="宋体" w:cs="宋体"/>
          <w:sz w:val="24"/>
          <w:szCs w:val="24"/>
          <w:u w:val="single"/>
        </w:rPr>
        <w:t>盖章）</w:t>
      </w:r>
    </w:p>
    <w:p>
      <w:pPr>
        <w:spacing w:line="360" w:lineRule="auto"/>
        <w:rPr>
          <w:rFonts w:ascii="宋体"/>
          <w:sz w:val="24"/>
          <w:szCs w:val="24"/>
        </w:rPr>
      </w:pP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</w:t>
      </w:r>
      <w:r>
        <w:rPr>
          <w:rFonts w:hint="eastAsia" w:ascii="宋体" w:hAnsi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>
      <w:pPr>
        <w:spacing w:line="360" w:lineRule="auto"/>
        <w:rPr>
          <w:rFonts w:ascii="宋体"/>
          <w:sz w:val="24"/>
          <w:szCs w:val="24"/>
        </w:rPr>
      </w:pP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>
      <w:pPr>
        <w:pStyle w:val="5"/>
        <w:numPr>
          <w:ilvl w:val="0"/>
          <w:numId w:val="0"/>
        </w:numPr>
        <w:ind w:leftChars="0"/>
      </w:pPr>
    </w:p>
    <w:p/>
    <w:p/>
    <w:p/>
    <w:p/>
    <w:p/>
    <w:p/>
    <w:p/>
    <w:p/>
    <w:p/>
    <w:p/>
    <w:p>
      <w:pPr>
        <w:rPr>
          <w:rFonts w:hint="eastAsia"/>
          <w:lang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numPr>
          <w:ilvl w:val="0"/>
          <w:numId w:val="0"/>
        </w:numPr>
        <w:ind w:leftChars="0" w:firstLine="2240" w:firstLineChars="700"/>
        <w:jc w:val="both"/>
        <w:rPr>
          <w:rFonts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  <w:lang w:val="en-US" w:eastAsia="zh-CN"/>
        </w:rPr>
        <w:t>2、</w:t>
      </w:r>
      <w:r>
        <w:rPr>
          <w:rFonts w:hint="eastAsia"/>
          <w:sz w:val="32"/>
          <w:szCs w:val="36"/>
          <w:lang w:eastAsia="zh-CN"/>
        </w:rPr>
        <w:t>供应商基本情况一览表</w:t>
      </w:r>
    </w:p>
    <w:p>
      <w:pPr>
        <w:rPr>
          <w:rFonts w:hint="eastAsia"/>
          <w:sz w:val="28"/>
          <w:szCs w:val="32"/>
          <w:lang w:eastAsia="zh-CN"/>
        </w:rPr>
      </w:pPr>
      <w:r>
        <w:rPr>
          <w:rFonts w:hint="eastAsia"/>
          <w:sz w:val="24"/>
          <w:szCs w:val="28"/>
          <w:lang w:val="en-US" w:eastAsia="zh-CN"/>
        </w:rPr>
        <w:t>2-1</w:t>
      </w:r>
      <w:r>
        <w:rPr>
          <w:rFonts w:hint="eastAsia"/>
          <w:sz w:val="24"/>
          <w:szCs w:val="28"/>
          <w:lang w:eastAsia="zh-CN"/>
        </w:rPr>
        <w:t>供应商基本情况一览表</w:t>
      </w:r>
    </w:p>
    <w:tbl>
      <w:tblPr>
        <w:tblStyle w:val="8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016"/>
        <w:gridCol w:w="1315"/>
        <w:gridCol w:w="1323"/>
        <w:gridCol w:w="1"/>
        <w:gridCol w:w="1401"/>
        <w:gridCol w:w="167"/>
        <w:gridCol w:w="735"/>
        <w:gridCol w:w="114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noWrap w:val="0"/>
            <w:vAlign w:val="center"/>
          </w:tcPr>
          <w:p>
            <w:bookmarkStart w:id="0" w:name="_Toc18556"/>
            <w:bookmarkStart w:id="1" w:name="_Toc5452"/>
            <w:bookmarkStart w:id="2" w:name="_Toc29518"/>
            <w:bookmarkStart w:id="3" w:name="_Toc15823"/>
            <w:r>
              <w:rPr>
                <w:rFonts w:hint="eastAsia"/>
              </w:rPr>
              <w:t>投标人名称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8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noWrap w:val="0"/>
            <w:vAlign w:val="center"/>
          </w:tcPr>
          <w:p>
            <w:bookmarkStart w:id="4" w:name="_Toc32438"/>
            <w:bookmarkStart w:id="5" w:name="_Toc15986"/>
            <w:bookmarkStart w:id="6" w:name="_Toc32432"/>
            <w:bookmarkStart w:id="7" w:name="_Toc26127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4"/>
            <w:noWrap w:val="0"/>
            <w:vAlign w:val="center"/>
          </w:tcPr>
          <w:p/>
        </w:tc>
        <w:tc>
          <w:tcPr>
            <w:tcW w:w="1401" w:type="dxa"/>
            <w:noWrap w:val="0"/>
            <w:vAlign w:val="center"/>
          </w:tcPr>
          <w:p>
            <w:bookmarkStart w:id="8" w:name="_Toc2965"/>
            <w:bookmarkStart w:id="9" w:name="_Toc5829"/>
            <w:bookmarkStart w:id="10" w:name="_Toc13370"/>
            <w:bookmarkStart w:id="11" w:name="_Toc20217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noWrap w:val="0"/>
            <w:vAlign w:val="center"/>
          </w:tcPr>
          <w:p>
            <w:bookmarkStart w:id="12" w:name="_Toc29861"/>
            <w:bookmarkStart w:id="13" w:name="_Toc24152"/>
            <w:bookmarkStart w:id="14" w:name="_Toc14242"/>
            <w:bookmarkStart w:id="15" w:name="_Toc5933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noWrap w:val="0"/>
            <w:vAlign w:val="center"/>
          </w:tcPr>
          <w:p>
            <w:bookmarkStart w:id="16" w:name="_Toc22630"/>
            <w:bookmarkStart w:id="17" w:name="_Toc11708"/>
            <w:bookmarkStart w:id="18" w:name="_Toc32228"/>
            <w:bookmarkStart w:id="19" w:name="_Toc23469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3"/>
            <w:noWrap w:val="0"/>
            <w:vAlign w:val="center"/>
          </w:tcPr>
          <w:p/>
        </w:tc>
        <w:tc>
          <w:tcPr>
            <w:tcW w:w="1401" w:type="dxa"/>
            <w:noWrap w:val="0"/>
            <w:vAlign w:val="center"/>
          </w:tcPr>
          <w:p>
            <w:bookmarkStart w:id="20" w:name="_Toc22121"/>
            <w:bookmarkStart w:id="21" w:name="_Toc28825"/>
            <w:bookmarkStart w:id="22" w:name="_Toc29495"/>
            <w:bookmarkStart w:id="23" w:name="_Toc31524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noWrap w:val="0"/>
            <w:vAlign w:val="center"/>
          </w:tcPr>
          <w:p>
            <w:bookmarkStart w:id="24" w:name="_Toc8331"/>
            <w:bookmarkStart w:id="25" w:name="_Toc12754"/>
            <w:bookmarkStart w:id="26" w:name="_Toc27355"/>
            <w:bookmarkStart w:id="27" w:name="_Toc21326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8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noWrap w:val="0"/>
            <w:vAlign w:val="center"/>
          </w:tcPr>
          <w:p>
            <w:bookmarkStart w:id="28" w:name="_Toc29110"/>
            <w:bookmarkStart w:id="29" w:name="_Toc28736"/>
            <w:bookmarkStart w:id="30" w:name="_Toc5018"/>
            <w:bookmarkStart w:id="31" w:name="_Toc22082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noWrap w:val="0"/>
            <w:vAlign w:val="center"/>
          </w:tcPr>
          <w:p>
            <w:bookmarkStart w:id="32" w:name="_Toc8313"/>
            <w:bookmarkStart w:id="33" w:name="_Toc429"/>
            <w:bookmarkStart w:id="34" w:name="_Toc24566"/>
            <w:bookmarkStart w:id="35" w:name="_Toc3509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noWrap w:val="0"/>
            <w:vAlign w:val="center"/>
          </w:tcPr>
          <w:p/>
        </w:tc>
        <w:tc>
          <w:tcPr>
            <w:tcW w:w="1324" w:type="dxa"/>
            <w:gridSpan w:val="2"/>
            <w:noWrap w:val="0"/>
            <w:vAlign w:val="center"/>
          </w:tcPr>
          <w:p>
            <w:bookmarkStart w:id="36" w:name="_Toc2791"/>
            <w:bookmarkStart w:id="37" w:name="_Toc5089"/>
            <w:bookmarkStart w:id="38" w:name="_Toc552"/>
            <w:bookmarkStart w:id="39" w:name="_Toc11392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noWrap w:val="0"/>
            <w:vAlign w:val="center"/>
          </w:tcPr>
          <w:p/>
        </w:tc>
        <w:tc>
          <w:tcPr>
            <w:tcW w:w="902" w:type="dxa"/>
            <w:gridSpan w:val="2"/>
            <w:noWrap w:val="0"/>
            <w:vAlign w:val="center"/>
          </w:tcPr>
          <w:p>
            <w:bookmarkStart w:id="40" w:name="_Toc21732"/>
            <w:bookmarkStart w:id="41" w:name="_Toc15179"/>
            <w:bookmarkStart w:id="42" w:name="_Toc18413"/>
            <w:bookmarkStart w:id="43" w:name="_Toc24036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noWrap w:val="0"/>
            <w:vAlign w:val="center"/>
          </w:tcPr>
          <w:p>
            <w:bookmarkStart w:id="44" w:name="_Toc832"/>
            <w:bookmarkStart w:id="45" w:name="_Toc18654"/>
            <w:bookmarkStart w:id="46" w:name="_Toc6397"/>
            <w:bookmarkStart w:id="47" w:name="_Toc30758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noWrap w:val="0"/>
            <w:vAlign w:val="center"/>
          </w:tcPr>
          <w:p>
            <w:bookmarkStart w:id="48" w:name="_Toc32237"/>
            <w:bookmarkStart w:id="49" w:name="_Toc5794"/>
            <w:bookmarkStart w:id="50" w:name="_Toc17841"/>
            <w:bookmarkStart w:id="51" w:name="_Toc6829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noWrap w:val="0"/>
            <w:vAlign w:val="center"/>
          </w:tcPr>
          <w:p/>
        </w:tc>
        <w:tc>
          <w:tcPr>
            <w:tcW w:w="1324" w:type="dxa"/>
            <w:gridSpan w:val="2"/>
            <w:noWrap w:val="0"/>
            <w:vAlign w:val="center"/>
          </w:tcPr>
          <w:p>
            <w:bookmarkStart w:id="52" w:name="_Toc17957"/>
            <w:bookmarkStart w:id="53" w:name="_Toc25059"/>
            <w:bookmarkStart w:id="54" w:name="_Toc25207"/>
            <w:bookmarkStart w:id="55" w:name="_Toc27222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noWrap w:val="0"/>
            <w:vAlign w:val="center"/>
          </w:tcPr>
          <w:p/>
        </w:tc>
        <w:tc>
          <w:tcPr>
            <w:tcW w:w="902" w:type="dxa"/>
            <w:gridSpan w:val="2"/>
            <w:noWrap w:val="0"/>
            <w:vAlign w:val="center"/>
          </w:tcPr>
          <w:p>
            <w:bookmarkStart w:id="56" w:name="_Toc321"/>
            <w:bookmarkStart w:id="57" w:name="_Toc26943"/>
            <w:bookmarkStart w:id="58" w:name="_Toc14501"/>
            <w:bookmarkStart w:id="59" w:name="_Toc12165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noWrap w:val="0"/>
            <w:vAlign w:val="center"/>
          </w:tcPr>
          <w:p>
            <w:bookmarkStart w:id="60" w:name="_Toc5056"/>
            <w:bookmarkStart w:id="61" w:name="_Toc15849"/>
            <w:bookmarkStart w:id="62" w:name="_Toc1183"/>
            <w:bookmarkStart w:id="63" w:name="_Toc13190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noWrap w:val="0"/>
            <w:vAlign w:val="center"/>
          </w:tcPr>
          <w:p/>
        </w:tc>
        <w:tc>
          <w:tcPr>
            <w:tcW w:w="4773" w:type="dxa"/>
            <w:gridSpan w:val="6"/>
            <w:noWrap w:val="0"/>
            <w:vAlign w:val="center"/>
          </w:tcPr>
          <w:p>
            <w:bookmarkStart w:id="64" w:name="_Toc23476"/>
            <w:bookmarkStart w:id="65" w:name="_Toc5918"/>
            <w:bookmarkStart w:id="66" w:name="_Toc9920"/>
            <w:bookmarkStart w:id="67" w:name="_Toc7458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noWrap w:val="0"/>
            <w:vAlign w:val="center"/>
          </w:tcPr>
          <w:p>
            <w:bookmarkStart w:id="68" w:name="_Toc2495"/>
            <w:bookmarkStart w:id="69" w:name="_Toc13811"/>
            <w:bookmarkStart w:id="70" w:name="_Toc19832"/>
            <w:bookmarkStart w:id="71" w:name="_Toc24347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noWrap w:val="0"/>
            <w:vAlign w:val="center"/>
          </w:tcPr>
          <w:p/>
        </w:tc>
        <w:tc>
          <w:tcPr>
            <w:tcW w:w="1323" w:type="dxa"/>
            <w:vMerge w:val="restart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其中</w:t>
            </w:r>
          </w:p>
        </w:tc>
        <w:tc>
          <w:tcPr>
            <w:tcW w:w="1569" w:type="dxa"/>
            <w:gridSpan w:val="3"/>
            <w:noWrap w:val="0"/>
            <w:vAlign w:val="center"/>
          </w:tcPr>
          <w:p>
            <w:bookmarkStart w:id="72" w:name="_Toc16273"/>
            <w:bookmarkStart w:id="73" w:name="_Toc15246"/>
            <w:bookmarkStart w:id="74" w:name="_Toc19894"/>
            <w:bookmarkStart w:id="75" w:name="_Toc13361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noWrap w:val="0"/>
            <w:vAlign w:val="center"/>
          </w:tcPr>
          <w:p>
            <w:bookmarkStart w:id="76" w:name="_Toc3476"/>
            <w:bookmarkStart w:id="77" w:name="_Toc30242"/>
            <w:bookmarkStart w:id="78" w:name="_Toc12522"/>
            <w:bookmarkStart w:id="79" w:name="_Toc20237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noWrap w:val="0"/>
            <w:vAlign w:val="center"/>
          </w:tcPr>
          <w:p/>
        </w:tc>
        <w:tc>
          <w:tcPr>
            <w:tcW w:w="1323" w:type="dxa"/>
            <w:vMerge w:val="continue"/>
            <w:noWrap w:val="0"/>
            <w:vAlign w:val="center"/>
          </w:tcPr>
          <w:p/>
        </w:tc>
        <w:tc>
          <w:tcPr>
            <w:tcW w:w="1569" w:type="dxa"/>
            <w:gridSpan w:val="3"/>
            <w:noWrap w:val="0"/>
            <w:vAlign w:val="center"/>
          </w:tcPr>
          <w:p>
            <w:bookmarkStart w:id="80" w:name="_Toc30244"/>
            <w:bookmarkStart w:id="81" w:name="_Toc16642"/>
            <w:bookmarkStart w:id="82" w:name="_Toc7916"/>
            <w:bookmarkStart w:id="83" w:name="_Toc1834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noWrap w:val="0"/>
            <w:vAlign w:val="center"/>
          </w:tcPr>
          <w:p>
            <w:bookmarkStart w:id="84" w:name="_Toc21663"/>
            <w:bookmarkStart w:id="85" w:name="_Toc18512"/>
            <w:bookmarkStart w:id="86" w:name="_Toc17149"/>
            <w:bookmarkStart w:id="87" w:name="_Toc24406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noWrap w:val="0"/>
            <w:vAlign w:val="center"/>
          </w:tcPr>
          <w:p/>
        </w:tc>
        <w:tc>
          <w:tcPr>
            <w:tcW w:w="1323" w:type="dxa"/>
            <w:vMerge w:val="continue"/>
            <w:noWrap w:val="0"/>
            <w:vAlign w:val="center"/>
          </w:tcPr>
          <w:p/>
        </w:tc>
        <w:tc>
          <w:tcPr>
            <w:tcW w:w="1569" w:type="dxa"/>
            <w:gridSpan w:val="3"/>
            <w:noWrap w:val="0"/>
            <w:vAlign w:val="center"/>
          </w:tcPr>
          <w:p>
            <w:bookmarkStart w:id="88" w:name="_Toc12330"/>
            <w:bookmarkStart w:id="89" w:name="_Toc24761"/>
            <w:bookmarkStart w:id="90" w:name="_Toc15110"/>
            <w:bookmarkStart w:id="91" w:name="_Toc23409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noWrap w:val="0"/>
            <w:vAlign w:val="center"/>
          </w:tcPr>
          <w:p>
            <w:bookmarkStart w:id="92" w:name="_Toc7855"/>
            <w:bookmarkStart w:id="93" w:name="_Toc19211"/>
            <w:bookmarkStart w:id="94" w:name="_Toc11996"/>
            <w:bookmarkStart w:id="95" w:name="_Toc7482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noWrap w:val="0"/>
            <w:vAlign w:val="center"/>
          </w:tcPr>
          <w:p/>
        </w:tc>
        <w:tc>
          <w:tcPr>
            <w:tcW w:w="1323" w:type="dxa"/>
            <w:vMerge w:val="continue"/>
            <w:noWrap w:val="0"/>
            <w:vAlign w:val="center"/>
          </w:tcPr>
          <w:p/>
        </w:tc>
        <w:tc>
          <w:tcPr>
            <w:tcW w:w="1569" w:type="dxa"/>
            <w:gridSpan w:val="3"/>
            <w:noWrap w:val="0"/>
            <w:vAlign w:val="center"/>
          </w:tcPr>
          <w:p>
            <w:bookmarkStart w:id="96" w:name="_Toc7296"/>
            <w:bookmarkStart w:id="97" w:name="_Toc23890"/>
            <w:bookmarkStart w:id="98" w:name="_Toc16123"/>
            <w:bookmarkStart w:id="99" w:name="_Toc10662"/>
            <w:r>
              <w:rPr>
                <w:rFonts w:hint="eastAsia"/>
              </w:rPr>
              <w:t>技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noWrap w:val="0"/>
            <w:vAlign w:val="center"/>
          </w:tcPr>
          <w:p>
            <w:bookmarkStart w:id="100" w:name="_Toc19840"/>
            <w:bookmarkStart w:id="101" w:name="_Toc30075"/>
            <w:bookmarkStart w:id="102" w:name="_Toc2745"/>
            <w:bookmarkStart w:id="103" w:name="_Toc516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8"/>
            <w:noWrap w:val="0"/>
            <w:vAlign w:val="center"/>
          </w:tcPr>
          <w:p/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  <w:noWrap w:val="0"/>
            <w:vAlign w:val="top"/>
          </w:tcPr>
          <w:p>
            <w:bookmarkStart w:id="104" w:name="_Toc12320"/>
            <w:bookmarkStart w:id="105" w:name="_Toc22690"/>
            <w:bookmarkStart w:id="106" w:name="_Toc26754"/>
            <w:bookmarkStart w:id="107" w:name="_Toc1929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8"/>
            <w:noWrap w:val="0"/>
            <w:vAlign w:val="top"/>
          </w:tcPr>
          <w:p/>
        </w:tc>
      </w:tr>
    </w:tbl>
    <w:p>
      <w:pPr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Ans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>
      <w:pPr>
        <w:spacing w:line="360" w:lineRule="auto"/>
        <w:rPr>
          <w:rFonts w:hint="eastAsia"/>
          <w:b/>
          <w:bCs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2-2供应商营业执照等资质证明材料</w:t>
      </w:r>
      <w:r>
        <w:rPr>
          <w:rFonts w:hint="eastAsia"/>
          <w:b/>
          <w:bCs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3、法定代表人证明书及法定代表人授权书</w:t>
      </w:r>
    </w:p>
    <w:p>
      <w:pPr>
        <w:numPr>
          <w:ilvl w:val="0"/>
          <w:numId w:val="0"/>
        </w:numPr>
        <w:ind w:leftChars="0"/>
        <w:jc w:val="both"/>
        <w:rPr>
          <w:rFonts w:hint="eastAsia" w:eastAsia="宋体"/>
          <w:sz w:val="28"/>
          <w:szCs w:val="32"/>
          <w:lang w:eastAsia="zh-CN"/>
        </w:rPr>
      </w:pPr>
      <w:r>
        <w:rPr>
          <w:rFonts w:hint="eastAsia"/>
          <w:sz w:val="28"/>
          <w:szCs w:val="32"/>
          <w:lang w:val="en-US" w:eastAsia="zh-CN"/>
        </w:rPr>
        <w:t>3-1</w:t>
      </w:r>
      <w:r>
        <w:rPr>
          <w:rFonts w:hint="eastAsia"/>
          <w:sz w:val="28"/>
          <w:szCs w:val="32"/>
        </w:rPr>
        <w:t>法定代表人证明书</w:t>
      </w:r>
    </w:p>
    <w:tbl>
      <w:tblPr>
        <w:tblStyle w:val="8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注册资金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统一社会信用代码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投标人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>
      <w:pPr>
        <w:pStyle w:val="4"/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pageBreakBefore/>
        <w:tabs>
          <w:tab w:val="left" w:pos="210"/>
        </w:tabs>
        <w:spacing w:line="320" w:lineRule="exact"/>
        <w:jc w:val="both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3-2</w:t>
      </w:r>
      <w:r>
        <w:rPr>
          <w:rFonts w:hint="eastAsia" w:ascii="宋体" w:hAnsi="宋体" w:cs="宋体"/>
          <w:b/>
          <w:kern w:val="0"/>
          <w:sz w:val="24"/>
          <w:szCs w:val="24"/>
        </w:rPr>
        <w:t>法定代表人授权书</w:t>
      </w:r>
    </w:p>
    <w:p>
      <w:pPr>
        <w:pStyle w:val="7"/>
        <w:spacing w:line="500" w:lineRule="exact"/>
        <w:jc w:val="center"/>
        <w:rPr>
          <w:rFonts w:hint="eastAsia" w:hAnsi="宋体" w:cs="宋体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法定代表人授权书</w:t>
      </w:r>
    </w:p>
    <w:p>
      <w:pPr>
        <w:pStyle w:val="7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 xml:space="preserve">（供应商名称）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>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>的</w:t>
      </w:r>
      <w:r>
        <w:rPr>
          <w:rFonts w:hint="eastAsia" w:ascii="宋体" w:hAnsi="宋体" w:cs="宋体"/>
          <w:sz w:val="24"/>
        </w:rPr>
        <w:t>采购活动。以我方名义全权处理该项目有关</w:t>
      </w:r>
      <w:r>
        <w:rPr>
          <w:rFonts w:hint="eastAsia" w:ascii="宋体" w:hAnsi="宋体" w:cs="宋体"/>
          <w:sz w:val="24"/>
          <w:lang w:eastAsia="zh-CN"/>
        </w:rPr>
        <w:t>投标</w:t>
      </w:r>
      <w:r>
        <w:rPr>
          <w:rFonts w:hint="eastAsia" w:ascii="宋体" w:hAnsi="宋体" w:cs="宋体"/>
          <w:sz w:val="24"/>
        </w:rPr>
        <w:t>、签订合同以及执行合同等一切事宜。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</w:t>
      </w:r>
      <w:r>
        <w:rPr>
          <w:rFonts w:hint="eastAsia" w:ascii="宋体" w:hAnsi="宋体" w:cs="宋体"/>
          <w:sz w:val="24"/>
          <w:lang w:eastAsia="zh-CN"/>
        </w:rPr>
        <w:t>有效期</w:t>
      </w:r>
      <w:r>
        <w:rPr>
          <w:rFonts w:hint="eastAsia" w:ascii="宋体" w:hAnsi="宋体" w:cs="宋体"/>
          <w:sz w:val="24"/>
        </w:rPr>
        <w:t>自</w:t>
      </w:r>
      <w:r>
        <w:rPr>
          <w:rFonts w:hint="eastAsia" w:ascii="宋体" w:hAnsi="宋体" w:cs="宋体"/>
          <w:sz w:val="24"/>
          <w:lang w:eastAsia="zh-CN"/>
        </w:rPr>
        <w:t>投标文件</w:t>
      </w:r>
      <w:r>
        <w:rPr>
          <w:rFonts w:hint="eastAsia" w:ascii="宋体" w:hAnsi="宋体" w:cs="宋体"/>
          <w:sz w:val="24"/>
        </w:rPr>
        <w:t>递交截止之日</w:t>
      </w:r>
      <w:r>
        <w:rPr>
          <w:rFonts w:hint="eastAsia" w:ascii="宋体" w:hAnsi="宋体" w:cs="宋体"/>
          <w:sz w:val="24"/>
          <w:u w:val="single"/>
        </w:rPr>
        <w:t xml:space="preserve">起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90</w:t>
      </w:r>
      <w:r>
        <w:rPr>
          <w:rFonts w:hint="eastAsia" w:ascii="宋体" w:hAnsi="宋体" w:cs="宋体"/>
          <w:sz w:val="24"/>
          <w:u w:val="single"/>
        </w:rPr>
        <w:t xml:space="preserve"> 日历天</w:t>
      </w:r>
      <w:r>
        <w:rPr>
          <w:rFonts w:hint="eastAsia" w:ascii="宋体" w:hAnsi="宋体" w:cs="宋体"/>
          <w:sz w:val="24"/>
        </w:rPr>
        <w:t>，特此声明。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投标人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>：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  <w:u w:val="non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>：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</w:t>
      </w:r>
      <w:r>
        <w:rPr>
          <w:rFonts w:hint="eastAsia" w:hAnsi="宋体" w:cs="宋体"/>
          <w:sz w:val="24"/>
          <w:szCs w:val="24"/>
          <w:lang w:val="en-US" w:eastAsia="zh-CN"/>
        </w:rPr>
        <w:t>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>：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  <w:u w:val="single"/>
        </w:rPr>
        <w:t xml:space="preserve">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8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noWrap w:val="0"/>
            <w:vAlign w:val="center"/>
          </w:tcPr>
          <w:p>
            <w:pPr>
              <w:pStyle w:val="7"/>
              <w:spacing w:line="500" w:lineRule="exact"/>
              <w:jc w:val="left"/>
              <w:rPr>
                <w:rFonts w:hint="eastAsia" w:hAnsi="宋体" w:eastAsia="宋体" w:cs="宋体"/>
                <w:sz w:val="24"/>
                <w:szCs w:val="24"/>
                <w:shd w:val="pct10" w:color="auto" w:fill="FFFFFF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</w:t>
            </w:r>
            <w:r>
              <w:rPr>
                <w:rFonts w:hint="eastAsia" w:hAnsi="宋体" w:cs="宋体"/>
                <w:sz w:val="24"/>
                <w:szCs w:val="24"/>
                <w:shd w:val="pct10" w:color="auto" w:fill="FFFFFF"/>
                <w:lang w:val="en-US" w:eastAsia="zh-CN"/>
              </w:rPr>
              <w:t>/反</w:t>
            </w: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面）</w:t>
            </w:r>
          </w:p>
        </w:tc>
        <w:tc>
          <w:tcPr>
            <w:tcW w:w="3937" w:type="dxa"/>
            <w:shd w:val="clear" w:color="auto" w:fill="D9D9D9"/>
            <w:noWrap w:val="0"/>
            <w:vAlign w:val="center"/>
          </w:tcPr>
          <w:p>
            <w:pPr>
              <w:pStyle w:val="7"/>
              <w:spacing w:line="500" w:lineRule="exact"/>
              <w:jc w:val="left"/>
              <w:rPr>
                <w:rFonts w:hint="eastAsia" w:hAnsi="宋体" w:eastAsia="宋体" w:cs="宋体"/>
                <w:sz w:val="24"/>
                <w:szCs w:val="24"/>
                <w:shd w:val="pct10" w:color="auto" w:fill="FFFFFF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</w:t>
            </w:r>
            <w:r>
              <w:rPr>
                <w:rFonts w:hint="eastAsia" w:hAnsi="宋体" w:cs="宋体"/>
                <w:sz w:val="24"/>
                <w:szCs w:val="24"/>
                <w:shd w:val="pct10" w:color="auto" w:fill="FFFFFF"/>
                <w:lang w:val="en-US" w:eastAsia="zh-CN"/>
              </w:rPr>
              <w:t>/反</w:t>
            </w: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面）</w:t>
            </w:r>
          </w:p>
        </w:tc>
      </w:tr>
    </w:tbl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</w:t>
      </w:r>
      <w:r>
        <w:rPr>
          <w:rFonts w:hint="eastAsia" w:hAnsi="宋体" w:cs="宋体"/>
          <w:sz w:val="24"/>
          <w:szCs w:val="24"/>
          <w:lang w:eastAsia="zh-CN"/>
        </w:rPr>
        <w:t>开标</w:t>
      </w:r>
      <w:r>
        <w:rPr>
          <w:rFonts w:hint="eastAsia" w:hAnsi="宋体" w:cs="宋体"/>
          <w:sz w:val="24"/>
          <w:szCs w:val="24"/>
        </w:rPr>
        <w:t>会议之日计算不得少于</w:t>
      </w:r>
      <w:r>
        <w:rPr>
          <w:rFonts w:hint="eastAsia" w:hAnsi="宋体" w:cs="宋体"/>
          <w:sz w:val="24"/>
          <w:szCs w:val="24"/>
          <w:lang w:val="en-US" w:eastAsia="zh-CN"/>
        </w:rPr>
        <w:t>90</w:t>
      </w:r>
      <w:r>
        <w:rPr>
          <w:rFonts w:hint="eastAsia" w:hAnsi="宋体" w:cs="宋体"/>
          <w:sz w:val="24"/>
          <w:szCs w:val="24"/>
        </w:rPr>
        <w:t>日历日。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>
      <w:p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4、</w:t>
      </w:r>
      <w:r>
        <w:rPr>
          <w:rFonts w:hint="eastAsia"/>
          <w:sz w:val="24"/>
          <w:szCs w:val="28"/>
        </w:rPr>
        <w:t>无重大违法记录声明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（项目名称）           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lang w:eastAsia="zh-CN"/>
        </w:rPr>
        <w:t>公开招标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公开招标</w:t>
      </w:r>
      <w:r>
        <w:rPr>
          <w:rFonts w:hint="eastAsia" w:ascii="宋体" w:hAnsi="宋体" w:cs="宋体"/>
          <w:kern w:val="0"/>
          <w:sz w:val="24"/>
        </w:rPr>
        <w:t>工作前三年内</w:t>
      </w:r>
      <w:r>
        <w:rPr>
          <w:rFonts w:hint="eastAsia" w:ascii="宋体" w:hAnsi="宋体" w:cs="宋体"/>
          <w:kern w:val="0"/>
          <w:sz w:val="24"/>
          <w:lang w:eastAsia="zh-CN"/>
        </w:rPr>
        <w:t>在经营活动中</w:t>
      </w:r>
      <w:r>
        <w:rPr>
          <w:rFonts w:hint="eastAsia" w:ascii="宋体" w:hAnsi="宋体" w:cs="宋体"/>
          <w:kern w:val="0"/>
          <w:sz w:val="24"/>
        </w:rPr>
        <w:t>无重大违法活动记录，</w:t>
      </w:r>
      <w:r>
        <w:rPr>
          <w:rFonts w:hint="eastAsia" w:ascii="宋体" w:hAnsi="宋体" w:cs="宋体"/>
          <w:kern w:val="0"/>
          <w:sz w:val="24"/>
          <w:lang w:eastAsia="zh-CN"/>
        </w:rPr>
        <w:t>未被信用中国网（www.creditchina.gov.cn）列入失信被执行人、重大税收违法案件当事人名单，未被中国政府采购（www.ccgp.gov.cn）列入政府采购严重违法失信行为记录名单，</w:t>
      </w:r>
      <w:r>
        <w:rPr>
          <w:rFonts w:hint="eastAsia" w:ascii="宋体" w:hAnsi="宋体" w:cs="宋体"/>
          <w:kern w:val="0"/>
          <w:sz w:val="24"/>
        </w:rPr>
        <w:t>符合《中华人民共和国政府采购法》规定的供应商资格条件，我方对此声明负全部法律责任。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>
      <w:pPr>
        <w:pStyle w:val="7"/>
        <w:spacing w:line="480" w:lineRule="auto"/>
        <w:jc w:val="left"/>
        <w:rPr>
          <w:rFonts w:hint="eastAsia" w:hAnsi="宋体" w:eastAsia="宋体" w:cs="宋体"/>
          <w:kern w:val="0"/>
          <w:sz w:val="24"/>
          <w:lang w:eastAsia="zh-CN"/>
        </w:rPr>
      </w:pPr>
    </w:p>
    <w:p>
      <w:pPr>
        <w:pStyle w:val="7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投标人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>
      <w:pPr>
        <w:pStyle w:val="7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</w:t>
      </w:r>
      <w:r>
        <w:rPr>
          <w:rFonts w:hint="eastAsia" w:hAnsi="宋体" w:cs="宋体"/>
          <w:kern w:val="0"/>
          <w:sz w:val="24"/>
          <w:lang w:eastAsia="zh-CN"/>
        </w:rPr>
        <w:t>或盖章</w:t>
      </w:r>
      <w:r>
        <w:rPr>
          <w:rFonts w:hint="eastAsia" w:hAnsi="宋体" w:cs="宋体"/>
          <w:kern w:val="0"/>
          <w:sz w:val="24"/>
        </w:rPr>
        <w:t>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>
      <w:pPr>
        <w:spacing w:line="480" w:lineRule="auto"/>
        <w:rPr>
          <w:rFonts w:hint="eastAsia" w:hAnsi="宋体" w:eastAsia="宋体" w:cs="宋体"/>
          <w:kern w:val="0"/>
          <w:sz w:val="24"/>
          <w:u w:val="single"/>
          <w:lang w:eastAsia="zh-CN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>
      <w:pPr>
        <w:spacing w:line="480" w:lineRule="auto"/>
        <w:rPr>
          <w:rFonts w:hint="eastAsia"/>
          <w:lang w:val="en-US" w:eastAsia="zh-CN"/>
        </w:rPr>
      </w:pPr>
      <w:r>
        <w:rPr>
          <w:rFonts w:hint="eastAsia" w:hAnsi="宋体" w:cs="宋体"/>
          <w:kern w:val="0"/>
          <w:sz w:val="24"/>
          <w:lang w:val="en-US" w:eastAsia="zh-CN"/>
        </w:rPr>
        <w:t xml:space="preserve"> </w:t>
      </w:r>
    </w:p>
    <w:p>
      <w:pPr>
        <w:spacing w:line="480" w:lineRule="auto"/>
        <w:rPr>
          <w:rFonts w:hint="eastAsia" w:eastAsia="宋体"/>
          <w:sz w:val="24"/>
          <w:szCs w:val="28"/>
          <w:lang w:eastAsia="zh-CN"/>
        </w:rPr>
      </w:pPr>
      <w:r>
        <w:rPr>
          <w:rFonts w:hint="eastAsia"/>
          <w:sz w:val="24"/>
          <w:szCs w:val="28"/>
        </w:rPr>
        <w:t>5、社保资金缴纳证明材料</w:t>
      </w:r>
      <w:r>
        <w:rPr>
          <w:rFonts w:hint="eastAsia"/>
          <w:sz w:val="24"/>
          <w:szCs w:val="28"/>
          <w:lang w:eastAsia="zh-CN"/>
        </w:rPr>
        <w:t>；</w:t>
      </w:r>
    </w:p>
    <w:p>
      <w:pPr>
        <w:spacing w:line="48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6、税收缴纳证明材料</w:t>
      </w:r>
      <w:r>
        <w:rPr>
          <w:rFonts w:hint="eastAsia"/>
          <w:sz w:val="24"/>
          <w:szCs w:val="28"/>
          <w:lang w:eastAsia="zh-CN"/>
        </w:rPr>
        <w:t>；</w:t>
      </w:r>
      <w:r>
        <w:rPr>
          <w:rFonts w:hint="eastAsia"/>
          <w:sz w:val="24"/>
          <w:szCs w:val="28"/>
        </w:rPr>
        <w:t xml:space="preserve"> </w:t>
      </w:r>
    </w:p>
    <w:p>
      <w:pPr>
        <w:spacing w:line="48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7、财务状况证明材料</w:t>
      </w:r>
      <w:r>
        <w:rPr>
          <w:rFonts w:hint="eastAsia"/>
          <w:sz w:val="24"/>
          <w:szCs w:val="28"/>
          <w:lang w:eastAsia="zh-CN"/>
        </w:rPr>
        <w:t>；</w:t>
      </w:r>
      <w:r>
        <w:rPr>
          <w:rFonts w:hint="eastAsia"/>
          <w:sz w:val="24"/>
          <w:szCs w:val="28"/>
        </w:rPr>
        <w:t xml:space="preserve"> </w:t>
      </w:r>
    </w:p>
    <w:p>
      <w:pPr>
        <w:pStyle w:val="5"/>
        <w:numPr>
          <w:ilvl w:val="0"/>
          <w:numId w:val="0"/>
        </w:numPr>
        <w:spacing w:line="480" w:lineRule="auto"/>
        <w:ind w:leftChars="0"/>
        <w:jc w:val="left"/>
        <w:rPr>
          <w:rFonts w:hint="eastAsia" w:ascii="宋体" w:hAnsi="宋体" w:cs="宋体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-SA"/>
        </w:rPr>
        <w:t>8、投标人非联合体投标的承诺书（格式自拟）；</w:t>
      </w:r>
    </w:p>
    <w:p>
      <w:pPr>
        <w:pStyle w:val="5"/>
        <w:numPr>
          <w:ilvl w:val="0"/>
          <w:numId w:val="0"/>
        </w:numPr>
        <w:spacing w:line="480" w:lineRule="auto"/>
        <w:ind w:leftChars="0"/>
        <w:jc w:val="left"/>
        <w:rPr>
          <w:rFonts w:hint="default" w:ascii="宋体" w:hAnsi="宋体" w:cs="宋体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-SA"/>
        </w:rPr>
        <w:t>9、声明函（格式自拟）；</w:t>
      </w:r>
    </w:p>
    <w:p>
      <w:pPr>
        <w:pStyle w:val="5"/>
        <w:numPr>
          <w:ilvl w:val="0"/>
          <w:numId w:val="0"/>
        </w:numPr>
        <w:spacing w:line="480" w:lineRule="auto"/>
        <w:ind w:leftChars="0"/>
        <w:jc w:val="left"/>
        <w:rPr>
          <w:rFonts w:hint="eastAsia" w:ascii="宋体" w:hAnsi="宋体" w:cs="宋体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 w:bidi="ar-SA"/>
        </w:rPr>
        <w:t>10、投标人认为应该提交的其他证明材料；</w:t>
      </w:r>
      <w:bookmarkStart w:id="108" w:name="_GoBack"/>
      <w:bookmarkEnd w:id="108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57E577F9"/>
    <w:rsid w:val="06F42C8D"/>
    <w:rsid w:val="57E5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 Indent"/>
    <w:basedOn w:val="1"/>
    <w:qFormat/>
    <w:uiPriority w:val="0"/>
    <w:pPr>
      <w:ind w:left="420" w:leftChars="200"/>
    </w:pPr>
  </w:style>
  <w:style w:type="paragraph" w:styleId="7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1340</Words>
  <Characters>1385</Characters>
  <Lines>0</Lines>
  <Paragraphs>0</Paragraphs>
  <TotalTime>0</TotalTime>
  <ScaleCrop>false</ScaleCrop>
  <LinksUpToDate>false</LinksUpToDate>
  <CharactersWithSpaces>1724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2023-09-07T02:37:00Z</dcterms:created>
  <dc:creator>C</dc:creator>
  <cp:lastModifiedBy>C</cp:lastModifiedBy>
  <dcterms:modified xsi:type="dcterms:W3CDTF">2023-09-07T06:01:38Z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CB47E2C7F2BE4F638DCD011D55F19AE4_11</vt:lpwstr>
  </property>
</Properties>
</file>