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2"/>
        <w:rPr>
          <w:rFonts w:hint="eastAsia" w:ascii="宋体" w:hAnsi="宋体" w:eastAsia="宋体" w:cs="宋体"/>
          <w:b/>
          <w:color w:val="auto"/>
          <w:kern w:val="2"/>
          <w:sz w:val="24"/>
          <w:szCs w:val="24"/>
          <w:lang w:val="en-US" w:eastAsia="zh-CN" w:bidi="ar-SA"/>
        </w:rPr>
      </w:pPr>
      <w:bookmarkStart w:id="0" w:name="_Toc1301"/>
      <w:r>
        <w:rPr>
          <w:rFonts w:hint="eastAsia" w:ascii="宋体" w:hAnsi="宋体" w:eastAsia="宋体" w:cs="宋体"/>
          <w:b/>
          <w:color w:val="auto"/>
          <w:kern w:val="2"/>
          <w:sz w:val="24"/>
          <w:szCs w:val="24"/>
          <w:lang w:val="en-US" w:eastAsia="zh-CN" w:bidi="ar-SA"/>
        </w:rPr>
        <w:t>附件6-2  具有良好的商业信誉和健全的财务会计制度</w:t>
      </w:r>
      <w:bookmarkEnd w:id="0"/>
    </w:p>
    <w:p>
      <w:pPr>
        <w:outlineLvl w:val="9"/>
        <w:rPr>
          <w:rFonts w:hint="eastAsia" w:ascii="宋体" w:hAnsi="宋体" w:eastAsia="宋体" w:cs="宋体"/>
          <w:b/>
          <w:color w:val="auto"/>
          <w:kern w:val="2"/>
          <w:sz w:val="24"/>
          <w:szCs w:val="24"/>
          <w:lang w:val="en-US" w:eastAsia="zh-CN" w:bidi="ar-SA"/>
        </w:rPr>
      </w:pPr>
    </w:p>
    <w:p>
      <w:pPr>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提供：</w:t>
      </w:r>
    </w:p>
    <w:p>
      <w:pPr>
        <w:outlineLvl w:val="9"/>
        <w:rPr>
          <w:rFonts w:hint="eastAsia" w:ascii="宋体" w:hAnsi="宋体" w:eastAsia="宋体" w:cs="宋体"/>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2022年度经审计的财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jI5ODkxMzM2ZjhjM2U1NTI4Y2Q0NTMyNzYxNzcifQ=="/>
  </w:docVars>
  <w:rsids>
    <w:rsidRoot w:val="00000000"/>
    <w:rsid w:val="488D3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2023-10-19T09:35:21Z</dcterms:created>
  <dc:creator>Administrator</dc:creator>
  <cp:lastModifiedBy>张彦</cp:lastModifiedBy>
  <dcterms:modified xsi:type="dcterms:W3CDTF">2023-10-19T09:35:30Z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D9BAD5E27645464DB0FE604986574952_12</vt:lpwstr>
  </property>
</Properties>
</file>