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西安市儿童福利院（西安市未成年人救助保护中心），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2020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年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月正式开工进行改扩建。规划总建筑面积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59118.1m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²，包含儿童养育中心南区、儿童养育中心北区、 医疗康复中心、特殊教育中心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个单体建筑，目前均已建成。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围绕“服务儿童、服务社会”宗旨，通过利用互联网、移动网、大数据及云计算等信息技术，以社会儿童收养服务为切入点，建设西安市儿童福利院综合信息管理平台，全面覆盖市福利院收养儿童的出入院管理和院内养、教、康、治、社全方位精准养育，切实提升福利院的服务能力与工作效率，全面推动“数字福利院”建设，提升福利院“互联网+服务”，为收养儿童服务保障工作提供信息支持，开创探索院内共建、共治、共享的服务治理管理格局，建设数字化、智慧化福利院。</w:t>
      </w:r>
    </w:p>
    <w:p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具体内容详见招标文件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GMzZGYyMTM4NjViNzgzOTc0NmU0MzZhYzQ1Y2MifQ=="/>
  </w:docVars>
  <w:rsids>
    <w:rsidRoot w:val="00000000"/>
    <w:rsid w:val="6A3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2023-09-15T07:32:51Z</dcterms:created>
  <dc:creator>Admin</dc:creator>
  <cp:lastModifiedBy>向风而行</cp:lastModifiedBy>
  <dcterms:modified xsi:type="dcterms:W3CDTF">2023-09-15T07:33:39Z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4B539ABA13844E74BE27F231CB9472A8_12</vt:lpwstr>
  </property>
</Properties>
</file>