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wordWrap/>
        <w:overflowPunct/>
        <w:topLinePunct w:val="0"/>
        <w:bidi w:val="0"/>
        <w:spacing w:line="360" w:lineRule="auto"/>
        <w:jc w:val="center"/>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拟签订合同文本</w:t>
      </w:r>
    </w:p>
    <w:p>
      <w:pPr>
        <w:kinsoku/>
        <w:wordWrap/>
        <w:overflowPunct/>
        <w:topLinePunct w:val="0"/>
        <w:bidi w:val="0"/>
        <w:spacing w:line="360" w:lineRule="auto"/>
        <w:jc w:val="center"/>
        <w:rPr>
          <w:rFonts w:hint="eastAsia" w:ascii="仿宋" w:hAnsi="仿宋" w:eastAsia="仿宋" w:cs="仿宋"/>
          <w:b/>
          <w:bCs/>
          <w:sz w:val="44"/>
          <w:szCs w:val="44"/>
          <w:lang w:eastAsia="zh-CN"/>
        </w:rPr>
      </w:pPr>
    </w:p>
    <w:p>
      <w:pPr>
        <w:kinsoku/>
        <w:wordWrap/>
        <w:overflowPunct/>
        <w:topLinePunct w:val="0"/>
        <w:bidi w:val="0"/>
        <w:spacing w:line="360" w:lineRule="auto"/>
        <w:jc w:val="center"/>
        <w:rPr>
          <w:rFonts w:hint="eastAsia" w:ascii="仿宋" w:hAnsi="仿宋" w:eastAsia="仿宋" w:cs="仿宋"/>
          <w:b/>
          <w:sz w:val="44"/>
          <w:szCs w:val="44"/>
        </w:rPr>
      </w:pPr>
    </w:p>
    <w:p>
      <w:pPr>
        <w:spacing w:line="360" w:lineRule="auto"/>
        <w:jc w:val="center"/>
        <w:rPr>
          <w:rFonts w:hint="eastAsia" w:ascii="仿宋" w:hAnsi="仿宋" w:eastAsia="仿宋" w:cs="仿宋"/>
          <w:b/>
          <w:bCs/>
          <w:color w:val="000000"/>
          <w:sz w:val="56"/>
          <w:szCs w:val="56"/>
          <w:highlight w:val="none"/>
          <w:lang w:val="en-US" w:eastAsia="zh-CN"/>
        </w:rPr>
      </w:pPr>
      <w:r>
        <w:rPr>
          <w:rFonts w:hint="eastAsia" w:ascii="仿宋" w:hAnsi="仿宋" w:eastAsia="仿宋" w:cs="仿宋"/>
          <w:b/>
          <w:bCs/>
          <w:color w:val="000000"/>
          <w:sz w:val="56"/>
          <w:szCs w:val="56"/>
          <w:highlight w:val="none"/>
          <w:lang w:val="en-US" w:eastAsia="zh-CN"/>
        </w:rPr>
        <w:t>西安文理学院MIDI制作室改扩建项目</w:t>
      </w:r>
    </w:p>
    <w:p>
      <w:pPr>
        <w:spacing w:line="360" w:lineRule="auto"/>
        <w:jc w:val="center"/>
        <w:rPr>
          <w:rFonts w:hint="eastAsia" w:ascii="仿宋" w:hAnsi="仿宋" w:eastAsia="仿宋" w:cs="仿宋"/>
          <w:b/>
          <w:bCs/>
          <w:color w:val="000000"/>
          <w:sz w:val="40"/>
          <w:szCs w:val="40"/>
          <w:highlight w:val="none"/>
          <w:lang w:val="en-US" w:eastAsia="zh-CN"/>
        </w:rPr>
      </w:pPr>
    </w:p>
    <w:p>
      <w:pPr>
        <w:spacing w:line="360" w:lineRule="auto"/>
        <w:jc w:val="center"/>
        <w:rPr>
          <w:rFonts w:hint="eastAsia" w:ascii="仿宋" w:hAnsi="仿宋" w:eastAsia="仿宋" w:cs="仿宋"/>
          <w:b/>
          <w:bCs/>
          <w:color w:val="000000"/>
          <w:sz w:val="40"/>
          <w:szCs w:val="40"/>
          <w:highlight w:val="none"/>
          <w:lang w:val="en-US" w:eastAsia="zh-CN"/>
        </w:rPr>
      </w:pPr>
    </w:p>
    <w:p>
      <w:pPr>
        <w:pStyle w:val="3"/>
        <w:rPr>
          <w:rFonts w:hint="eastAsia" w:ascii="仿宋" w:hAnsi="仿宋" w:eastAsia="仿宋" w:cs="仿宋"/>
          <w:color w:val="000000"/>
          <w:lang w:val="en-US" w:eastAsia="zh-CN"/>
        </w:rPr>
      </w:pPr>
    </w:p>
    <w:p>
      <w:pPr>
        <w:spacing w:line="360" w:lineRule="auto"/>
        <w:jc w:val="center"/>
        <w:rPr>
          <w:rFonts w:hint="eastAsia" w:ascii="仿宋" w:hAnsi="仿宋" w:eastAsia="仿宋" w:cs="仿宋"/>
          <w:b/>
          <w:bCs/>
          <w:color w:val="000000"/>
          <w:sz w:val="56"/>
          <w:szCs w:val="56"/>
          <w:highlight w:val="none"/>
          <w:lang w:val="en-US" w:eastAsia="zh-CN"/>
        </w:rPr>
      </w:pPr>
      <w:r>
        <w:rPr>
          <w:rFonts w:hint="eastAsia" w:ascii="仿宋" w:hAnsi="仿宋" w:eastAsia="仿宋" w:cs="仿宋"/>
          <w:b/>
          <w:bCs/>
          <w:color w:val="000000"/>
          <w:sz w:val="56"/>
          <w:szCs w:val="56"/>
          <w:highlight w:val="none"/>
          <w:lang w:val="en-US" w:eastAsia="zh-CN"/>
        </w:rPr>
        <w:t>政府采购合同</w:t>
      </w:r>
    </w:p>
    <w:p>
      <w:pPr>
        <w:pStyle w:val="4"/>
        <w:rPr>
          <w:rFonts w:hint="eastAsia" w:ascii="仿宋" w:hAnsi="仿宋" w:eastAsia="仿宋" w:cs="仿宋"/>
          <w:b/>
          <w:bCs/>
          <w:color w:val="000000"/>
          <w:sz w:val="56"/>
          <w:szCs w:val="56"/>
          <w:highlight w:val="none"/>
          <w:lang w:val="en-US" w:eastAsia="zh-CN"/>
        </w:rPr>
      </w:pPr>
    </w:p>
    <w:p>
      <w:pPr>
        <w:rPr>
          <w:rFonts w:hint="eastAsia" w:ascii="仿宋" w:hAnsi="仿宋" w:eastAsia="仿宋" w:cs="仿宋"/>
          <w:lang w:eastAsia="zh-CN"/>
        </w:rPr>
      </w:pPr>
    </w:p>
    <w:p>
      <w:pPr>
        <w:spacing w:line="360" w:lineRule="auto"/>
        <w:jc w:val="center"/>
        <w:rPr>
          <w:rFonts w:hint="eastAsia" w:ascii="仿宋" w:hAnsi="仿宋" w:eastAsia="仿宋" w:cs="仿宋"/>
          <w:b/>
          <w:color w:val="000000"/>
          <w:sz w:val="72"/>
          <w:szCs w:val="72"/>
          <w:highlight w:val="none"/>
          <w:lang w:eastAsia="zh-CN"/>
        </w:rPr>
      </w:pPr>
    </w:p>
    <w:p>
      <w:pPr>
        <w:shd w:val="clear" w:color="auto" w:fill="auto"/>
        <w:spacing w:line="600" w:lineRule="auto"/>
        <w:ind w:firstLine="1928" w:firstLineChars="800"/>
        <w:rPr>
          <w:rFonts w:hint="eastAsia" w:ascii="仿宋" w:hAnsi="仿宋" w:eastAsia="仿宋" w:cs="仿宋"/>
          <w:b/>
          <w:bCs/>
          <w:color w:val="000000"/>
          <w:sz w:val="24"/>
          <w:highlight w:val="none"/>
          <w:u w:val="none"/>
          <w:lang w:val="en-US" w:eastAsia="zh-CN"/>
        </w:rPr>
      </w:pPr>
      <w:r>
        <w:rPr>
          <w:rFonts w:hint="eastAsia" w:ascii="仿宋" w:hAnsi="仿宋" w:eastAsia="仿宋" w:cs="仿宋"/>
          <w:b/>
          <w:bCs/>
          <w:color w:val="000000"/>
          <w:sz w:val="24"/>
          <w:highlight w:val="none"/>
          <w:lang w:val="en-US" w:eastAsia="zh-CN"/>
        </w:rPr>
        <w:t>采购人</w:t>
      </w:r>
      <w:r>
        <w:rPr>
          <w:rFonts w:hint="eastAsia" w:ascii="仿宋" w:hAnsi="仿宋" w:eastAsia="仿宋" w:cs="仿宋"/>
          <w:b/>
          <w:bCs/>
          <w:color w:val="000000"/>
          <w:sz w:val="24"/>
          <w:highlight w:val="none"/>
        </w:rPr>
        <w:t>（甲方）：</w:t>
      </w:r>
      <w:r>
        <w:rPr>
          <w:rFonts w:hint="eastAsia" w:ascii="仿宋" w:hAnsi="仿宋" w:eastAsia="仿宋" w:cs="仿宋"/>
          <w:b/>
          <w:bCs/>
          <w:color w:val="000000"/>
          <w:sz w:val="24"/>
          <w:highlight w:val="none"/>
          <w:u w:val="single"/>
          <w:lang w:val="en-US" w:eastAsia="zh-CN"/>
        </w:rPr>
        <w:t xml:space="preserve"> 西安文理学院 </w:t>
      </w:r>
    </w:p>
    <w:p>
      <w:pPr>
        <w:shd w:val="clear" w:color="auto" w:fill="auto"/>
        <w:spacing w:line="600" w:lineRule="auto"/>
        <w:ind w:firstLine="1913" w:firstLineChars="794"/>
        <w:rPr>
          <w:rFonts w:hint="eastAsia" w:ascii="仿宋" w:hAnsi="仿宋" w:eastAsia="仿宋" w:cs="仿宋"/>
          <w:b/>
          <w:bCs/>
          <w:color w:val="000000"/>
          <w:sz w:val="24"/>
          <w:highlight w:val="none"/>
          <w:u w:val="single"/>
        </w:rPr>
      </w:pPr>
      <w:r>
        <w:rPr>
          <w:rFonts w:hint="eastAsia" w:ascii="仿宋" w:hAnsi="仿宋" w:eastAsia="仿宋" w:cs="仿宋"/>
          <w:b/>
          <w:bCs/>
          <w:color w:val="000000"/>
          <w:sz w:val="24"/>
          <w:highlight w:val="none"/>
          <w:lang w:val="en-US" w:eastAsia="zh-CN"/>
        </w:rPr>
        <w:t>供应商</w:t>
      </w:r>
      <w:r>
        <w:rPr>
          <w:rFonts w:hint="eastAsia" w:ascii="仿宋" w:hAnsi="仿宋" w:eastAsia="仿宋" w:cs="仿宋"/>
          <w:b/>
          <w:bCs/>
          <w:color w:val="000000"/>
          <w:sz w:val="24"/>
          <w:highlight w:val="none"/>
        </w:rPr>
        <w:t>（乙方）：</w:t>
      </w:r>
      <w:r>
        <w:rPr>
          <w:rFonts w:hint="eastAsia" w:ascii="仿宋" w:hAnsi="仿宋" w:eastAsia="仿宋" w:cs="仿宋"/>
          <w:b/>
          <w:bCs/>
          <w:color w:val="000000"/>
          <w:sz w:val="24"/>
          <w:highlight w:val="none"/>
          <w:u w:val="single"/>
          <w:lang w:val="en-US" w:eastAsia="zh-CN"/>
        </w:rPr>
        <w:t xml:space="preserve">                            </w:t>
      </w:r>
    </w:p>
    <w:p>
      <w:pPr>
        <w:shd w:val="clear" w:color="auto" w:fill="auto"/>
        <w:spacing w:line="600" w:lineRule="auto"/>
        <w:jc w:val="center"/>
        <w:rPr>
          <w:rFonts w:hint="eastAsia" w:ascii="仿宋" w:hAnsi="仿宋" w:eastAsia="仿宋" w:cs="仿宋"/>
          <w:b/>
          <w:bCs/>
          <w:color w:val="000000"/>
          <w:sz w:val="24"/>
          <w:highlight w:val="none"/>
          <w:lang w:val="en-US" w:eastAsia="zh-CN"/>
        </w:rPr>
      </w:pPr>
      <w:r>
        <w:rPr>
          <w:rFonts w:hint="eastAsia" w:ascii="仿宋" w:hAnsi="仿宋" w:eastAsia="仿宋" w:cs="仿宋"/>
          <w:b/>
          <w:bCs/>
          <w:color w:val="000000"/>
          <w:sz w:val="24"/>
          <w:highlight w:val="none"/>
        </w:rPr>
        <w:t>签订日期：</w:t>
      </w:r>
      <w:r>
        <w:rPr>
          <w:rFonts w:hint="eastAsia" w:ascii="仿宋" w:hAnsi="仿宋" w:eastAsia="仿宋" w:cs="仿宋"/>
          <w:b/>
          <w:bCs/>
          <w:color w:val="000000"/>
          <w:sz w:val="24"/>
          <w:highlight w:val="none"/>
          <w:lang w:val="en-US" w:eastAsia="zh-CN"/>
        </w:rPr>
        <w:t xml:space="preserve">    年    月    日</w:t>
      </w:r>
    </w:p>
    <w:p>
      <w:pPr>
        <w:kinsoku/>
        <w:wordWrap/>
        <w:overflowPunct/>
        <w:topLinePunct w:val="0"/>
        <w:bidi w:val="0"/>
        <w:spacing w:line="360" w:lineRule="auto"/>
        <w:rPr>
          <w:rFonts w:hint="eastAsia" w:ascii="仿宋" w:hAnsi="仿宋" w:eastAsia="仿宋" w:cs="仿宋"/>
          <w:sz w:val="32"/>
          <w:szCs w:val="32"/>
        </w:rPr>
      </w:pPr>
    </w:p>
    <w:p>
      <w:pPr>
        <w:spacing w:before="166" w:beforeLines="50" w:line="360" w:lineRule="auto"/>
        <w:rPr>
          <w:rFonts w:hint="eastAsia" w:ascii="仿宋" w:hAnsi="仿宋" w:eastAsia="仿宋" w:cs="仿宋"/>
          <w:b/>
          <w:sz w:val="24"/>
          <w:szCs w:val="24"/>
          <w:u w:val="single"/>
        </w:rPr>
      </w:pPr>
      <w:r>
        <w:rPr>
          <w:rFonts w:hint="eastAsia" w:ascii="仿宋" w:hAnsi="仿宋" w:eastAsia="仿宋" w:cs="仿宋"/>
          <w:b/>
          <w:sz w:val="24"/>
          <w:szCs w:val="24"/>
        </w:rPr>
        <w:t>甲方（全称）：</w:t>
      </w:r>
      <w:r>
        <w:rPr>
          <w:rFonts w:hint="eastAsia" w:ascii="仿宋" w:hAnsi="仿宋" w:eastAsia="仿宋" w:cs="仿宋"/>
          <w:b/>
          <w:sz w:val="24"/>
          <w:szCs w:val="24"/>
          <w:u w:val="single"/>
        </w:rPr>
        <w:t xml:space="preserve"> </w:t>
      </w:r>
      <w:r>
        <w:rPr>
          <w:rFonts w:hint="eastAsia" w:ascii="仿宋" w:hAnsi="仿宋" w:eastAsia="仿宋" w:cs="仿宋"/>
          <w:b/>
          <w:sz w:val="24"/>
          <w:szCs w:val="24"/>
          <w:u w:val="single"/>
          <w:lang w:eastAsia="zh-CN"/>
        </w:rPr>
        <w:t>西安文理学院</w:t>
      </w:r>
      <w:r>
        <w:rPr>
          <w:rFonts w:hint="eastAsia" w:ascii="仿宋" w:hAnsi="仿宋" w:eastAsia="仿宋" w:cs="仿宋"/>
          <w:b/>
          <w:sz w:val="24"/>
          <w:szCs w:val="24"/>
          <w:u w:val="single"/>
        </w:rPr>
        <w:t xml:space="preserve"> </w:t>
      </w:r>
    </w:p>
    <w:p>
      <w:pPr>
        <w:adjustRightInd w:val="0"/>
        <w:snapToGrid w:val="0"/>
        <w:spacing w:line="360" w:lineRule="auto"/>
        <w:rPr>
          <w:rFonts w:hint="eastAsia" w:ascii="仿宋" w:hAnsi="仿宋" w:eastAsia="仿宋" w:cs="仿宋"/>
          <w:sz w:val="24"/>
          <w:szCs w:val="24"/>
        </w:rPr>
      </w:pPr>
      <w:r>
        <w:rPr>
          <w:rFonts w:hint="eastAsia" w:ascii="仿宋" w:hAnsi="仿宋" w:eastAsia="仿宋" w:cs="仿宋"/>
          <w:b/>
          <w:sz w:val="24"/>
          <w:szCs w:val="24"/>
        </w:rPr>
        <w:t>乙方（全称）：</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p>
    <w:p>
      <w:pPr>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br w:type="page"/>
      </w:r>
    </w:p>
    <w:p>
      <w:pPr>
        <w:adjustRightInd w:val="0"/>
        <w:snapToGrid w:val="0"/>
        <w:spacing w:line="360" w:lineRule="auto"/>
        <w:ind w:firstLine="48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根据《中华人民共和国民法典》的规定，合同双方就乙方向甲方提供本合同项下产品具体事宜，经协商达成一致，确立本合同，以明确双方的权利、义务，确保合同双方共同执行。</w:t>
      </w:r>
    </w:p>
    <w:p>
      <w:pPr>
        <w:adjustRightInd w:val="0"/>
        <w:snapToGrid w:val="0"/>
        <w:spacing w:line="360" w:lineRule="auto"/>
        <w:rPr>
          <w:rFonts w:hint="eastAsia" w:ascii="仿宋" w:hAnsi="仿宋" w:eastAsia="仿宋" w:cs="仿宋"/>
          <w:b/>
          <w:bCs/>
          <w:snapToGrid w:val="0"/>
          <w:spacing w:val="12"/>
          <w:sz w:val="24"/>
          <w:szCs w:val="24"/>
        </w:rPr>
      </w:pPr>
      <w:r>
        <w:rPr>
          <w:rFonts w:hint="eastAsia" w:ascii="仿宋" w:hAnsi="仿宋" w:eastAsia="仿宋" w:cs="仿宋"/>
          <w:b/>
          <w:bCs/>
          <w:snapToGrid w:val="0"/>
          <w:spacing w:val="12"/>
          <w:sz w:val="24"/>
          <w:szCs w:val="24"/>
        </w:rPr>
        <w:t>1.合同标的</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1.1</w:t>
      </w:r>
      <w:r>
        <w:rPr>
          <w:rFonts w:hint="eastAsia" w:ascii="仿宋" w:hAnsi="仿宋" w:eastAsia="仿宋" w:cs="仿宋"/>
          <w:snapToGrid w:val="0"/>
          <w:spacing w:val="12"/>
          <w:sz w:val="24"/>
          <w:szCs w:val="24"/>
          <w:lang w:eastAsia="zh-CN"/>
        </w:rPr>
        <w:t>合同价款</w:t>
      </w:r>
      <w:bookmarkStart w:id="1" w:name="_GoBack"/>
      <w:bookmarkEnd w:id="1"/>
      <w:r>
        <w:rPr>
          <w:rFonts w:hint="eastAsia" w:ascii="仿宋" w:hAnsi="仿宋" w:eastAsia="仿宋" w:cs="仿宋"/>
          <w:snapToGrid w:val="0"/>
          <w:spacing w:val="12"/>
          <w:sz w:val="24"/>
          <w:szCs w:val="24"/>
        </w:rPr>
        <w:t>：</w:t>
      </w:r>
      <w:r>
        <w:rPr>
          <w:rFonts w:hint="eastAsia" w:ascii="仿宋" w:hAnsi="仿宋" w:eastAsia="仿宋" w:cs="仿宋"/>
          <w:snapToGrid w:val="0"/>
          <w:spacing w:val="12"/>
          <w:sz w:val="24"/>
          <w:szCs w:val="24"/>
          <w:u w:val="single"/>
          <w:lang w:val="en-US" w:eastAsia="zh-CN"/>
        </w:rPr>
        <w:t xml:space="preserve">        </w:t>
      </w:r>
      <w:r>
        <w:rPr>
          <w:rFonts w:hint="eastAsia" w:ascii="仿宋" w:hAnsi="仿宋" w:eastAsia="仿宋" w:cs="仿宋"/>
          <w:snapToGrid w:val="0"/>
          <w:spacing w:val="12"/>
          <w:sz w:val="24"/>
          <w:szCs w:val="24"/>
          <w:u w:val="single"/>
        </w:rPr>
        <w:t>元</w:t>
      </w:r>
      <w:r>
        <w:rPr>
          <w:rFonts w:hint="eastAsia" w:ascii="仿宋" w:hAnsi="仿宋" w:eastAsia="仿宋" w:cs="仿宋"/>
          <w:snapToGrid w:val="0"/>
          <w:spacing w:val="12"/>
          <w:sz w:val="24"/>
          <w:szCs w:val="24"/>
        </w:rPr>
        <w:t>。</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1.2货物（产品）单价：见下表</w:t>
      </w:r>
    </w:p>
    <w:tbl>
      <w:tblPr>
        <w:tblStyle w:val="5"/>
        <w:tblW w:w="8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689"/>
        <w:gridCol w:w="1417"/>
        <w:gridCol w:w="1701"/>
        <w:gridCol w:w="137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6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168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产品名称</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品牌</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规格型号</w:t>
            </w:r>
          </w:p>
        </w:tc>
        <w:tc>
          <w:tcPr>
            <w:tcW w:w="13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单位</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6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68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p>
        </w:tc>
        <w:tc>
          <w:tcPr>
            <w:tcW w:w="137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sz w:val="24"/>
                <w:szCs w:val="24"/>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68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68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p>
        </w:tc>
        <w:tc>
          <w:tcPr>
            <w:tcW w:w="137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sz w:val="24"/>
                <w:szCs w:val="24"/>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8"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4"/>
                <w:szCs w:val="24"/>
              </w:rPr>
            </w:pPr>
            <w:bookmarkStart w:id="0" w:name="_Hlk25834437"/>
            <w:r>
              <w:rPr>
                <w:rFonts w:hint="eastAsia" w:ascii="仿宋" w:hAnsi="仿宋" w:eastAsia="仿宋" w:cs="仿宋"/>
                <w:b/>
                <w:sz w:val="24"/>
                <w:szCs w:val="24"/>
              </w:rPr>
              <w:t>单项合计金额大写</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4"/>
                <w:szCs w:val="24"/>
              </w:rPr>
            </w:pPr>
          </w:p>
        </w:tc>
        <w:tc>
          <w:tcPr>
            <w:tcW w:w="278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ind w:left="-141" w:leftChars="-67" w:right="-69" w:rightChars="-33" w:firstLine="241" w:firstLineChars="100"/>
              <w:rPr>
                <w:rFonts w:hint="eastAsia" w:ascii="仿宋" w:hAnsi="仿宋" w:eastAsia="仿宋" w:cs="仿宋"/>
                <w:b/>
                <w:sz w:val="24"/>
                <w:szCs w:val="24"/>
              </w:rPr>
            </w:pPr>
            <w:r>
              <w:rPr>
                <w:rFonts w:hint="eastAsia" w:ascii="仿宋" w:hAnsi="仿宋" w:eastAsia="仿宋" w:cs="仿宋"/>
                <w:b/>
                <w:sz w:val="24"/>
                <w:szCs w:val="24"/>
              </w:rPr>
              <w:t>小写：</w:t>
            </w:r>
          </w:p>
        </w:tc>
      </w:tr>
      <w:bookmarkEnd w:id="0"/>
    </w:tbl>
    <w:p>
      <w:pPr>
        <w:adjustRightInd w:val="0"/>
        <w:snapToGrid w:val="0"/>
        <w:spacing w:line="360" w:lineRule="auto"/>
        <w:rPr>
          <w:rFonts w:hint="eastAsia" w:ascii="仿宋" w:hAnsi="仿宋" w:eastAsia="仿宋" w:cs="仿宋"/>
          <w:b/>
          <w:bCs/>
          <w:snapToGrid w:val="0"/>
          <w:spacing w:val="12"/>
          <w:sz w:val="24"/>
          <w:szCs w:val="24"/>
        </w:rPr>
      </w:pPr>
      <w:r>
        <w:rPr>
          <w:rFonts w:hint="eastAsia" w:ascii="仿宋" w:hAnsi="仿宋" w:eastAsia="仿宋" w:cs="仿宋"/>
          <w:b/>
          <w:bCs/>
          <w:snapToGrid w:val="0"/>
          <w:spacing w:val="12"/>
          <w:sz w:val="24"/>
          <w:szCs w:val="24"/>
        </w:rPr>
        <w:t>2.合同价款</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lang w:val="en-US" w:eastAsia="zh-CN"/>
        </w:rPr>
        <w:t>2.1</w:t>
      </w:r>
      <w:r>
        <w:rPr>
          <w:rFonts w:hint="eastAsia" w:ascii="仿宋" w:hAnsi="仿宋" w:eastAsia="仿宋" w:cs="仿宋"/>
          <w:snapToGrid w:val="0"/>
          <w:spacing w:val="12"/>
          <w:sz w:val="24"/>
          <w:szCs w:val="24"/>
          <w:lang w:eastAsia="zh-CN"/>
        </w:rPr>
        <w:t>谈判</w:t>
      </w:r>
      <w:r>
        <w:rPr>
          <w:rFonts w:hint="eastAsia" w:ascii="仿宋" w:hAnsi="仿宋" w:eastAsia="仿宋" w:cs="仿宋"/>
          <w:snapToGrid w:val="0"/>
          <w:spacing w:val="12"/>
          <w:sz w:val="24"/>
          <w:szCs w:val="24"/>
        </w:rPr>
        <w:t>报价是供应商为完成本次</w:t>
      </w:r>
      <w:r>
        <w:rPr>
          <w:rFonts w:hint="eastAsia" w:ascii="仿宋" w:hAnsi="仿宋" w:eastAsia="仿宋" w:cs="仿宋"/>
          <w:snapToGrid w:val="0"/>
          <w:spacing w:val="12"/>
          <w:sz w:val="24"/>
          <w:szCs w:val="24"/>
          <w:lang w:eastAsia="zh-CN"/>
        </w:rPr>
        <w:t>谈判</w:t>
      </w:r>
      <w:r>
        <w:rPr>
          <w:rFonts w:hint="eastAsia" w:ascii="仿宋" w:hAnsi="仿宋" w:eastAsia="仿宋" w:cs="仿宋"/>
          <w:snapToGrid w:val="0"/>
          <w:spacing w:val="12"/>
          <w:sz w:val="24"/>
          <w:szCs w:val="24"/>
        </w:rPr>
        <w:t>所要求的货物、服务且验收合格的所有费用，包括</w:t>
      </w:r>
      <w:r>
        <w:rPr>
          <w:rFonts w:hint="eastAsia" w:ascii="仿宋" w:hAnsi="仿宋" w:eastAsia="仿宋" w:cs="仿宋"/>
          <w:snapToGrid w:val="0"/>
          <w:spacing w:val="12"/>
          <w:sz w:val="24"/>
          <w:szCs w:val="24"/>
          <w:lang w:val="en-US" w:eastAsia="zh-CN"/>
        </w:rPr>
        <w:t>但不限于</w:t>
      </w:r>
      <w:r>
        <w:rPr>
          <w:rFonts w:hint="eastAsia" w:ascii="仿宋" w:hAnsi="仿宋" w:eastAsia="仿宋" w:cs="仿宋"/>
          <w:snapToGrid w:val="0"/>
          <w:spacing w:val="12"/>
          <w:sz w:val="24"/>
          <w:szCs w:val="24"/>
        </w:rPr>
        <w:t>产品(设备)费、材料、安装调试费、运杂费（含保险）、仓储保管费、技术培训费、劳务、风险、利润、规费、税金、</w:t>
      </w:r>
      <w:r>
        <w:rPr>
          <w:rFonts w:hint="eastAsia" w:ascii="仿宋" w:hAnsi="仿宋" w:eastAsia="仿宋" w:cs="仿宋"/>
          <w:snapToGrid w:val="0"/>
          <w:spacing w:val="12"/>
          <w:sz w:val="24"/>
          <w:szCs w:val="24"/>
          <w:lang w:val="en-US" w:eastAsia="zh-CN"/>
        </w:rPr>
        <w:t>验收、</w:t>
      </w:r>
      <w:r>
        <w:rPr>
          <w:rFonts w:hint="eastAsia" w:ascii="仿宋" w:hAnsi="仿宋" w:eastAsia="仿宋" w:cs="仿宋"/>
          <w:snapToGrid w:val="0"/>
          <w:spacing w:val="12"/>
          <w:sz w:val="24"/>
          <w:szCs w:val="24"/>
          <w:lang w:eastAsia="zh-CN"/>
        </w:rPr>
        <w:t>招标代理服务费、</w:t>
      </w:r>
      <w:r>
        <w:rPr>
          <w:rFonts w:hint="eastAsia" w:ascii="仿宋" w:hAnsi="仿宋" w:eastAsia="仿宋" w:cs="仿宋"/>
          <w:snapToGrid w:val="0"/>
          <w:spacing w:val="12"/>
          <w:sz w:val="24"/>
          <w:szCs w:val="24"/>
        </w:rPr>
        <w:t>政策性文件规定的各项应有费用等其他一切相关费用</w:t>
      </w:r>
      <w:r>
        <w:rPr>
          <w:rFonts w:hint="eastAsia" w:ascii="仿宋" w:hAnsi="仿宋" w:eastAsia="仿宋" w:cs="仿宋"/>
          <w:snapToGrid w:val="0"/>
          <w:spacing w:val="12"/>
          <w:sz w:val="24"/>
          <w:szCs w:val="24"/>
          <w:lang w:eastAsia="zh-CN"/>
        </w:rPr>
        <w:t>。</w:t>
      </w:r>
      <w:r>
        <w:rPr>
          <w:rFonts w:hint="eastAsia" w:ascii="仿宋" w:hAnsi="仿宋" w:eastAsia="仿宋" w:cs="仿宋"/>
          <w:snapToGrid w:val="0"/>
          <w:spacing w:val="12"/>
          <w:sz w:val="24"/>
          <w:szCs w:val="24"/>
        </w:rPr>
        <w:t>供应商所报的价格应考虑到可能发生的所有与完成本</w:t>
      </w:r>
      <w:r>
        <w:rPr>
          <w:rFonts w:hint="eastAsia" w:ascii="仿宋" w:hAnsi="仿宋" w:eastAsia="仿宋" w:cs="仿宋"/>
          <w:snapToGrid w:val="0"/>
          <w:spacing w:val="12"/>
          <w:sz w:val="24"/>
          <w:szCs w:val="24"/>
          <w:lang w:val="en-US" w:eastAsia="zh-CN"/>
        </w:rPr>
        <w:t>次谈判</w:t>
      </w:r>
      <w:r>
        <w:rPr>
          <w:rFonts w:hint="eastAsia" w:ascii="仿宋" w:hAnsi="仿宋" w:eastAsia="仿宋" w:cs="仿宋"/>
          <w:snapToGrid w:val="0"/>
          <w:spacing w:val="12"/>
          <w:sz w:val="24"/>
          <w:szCs w:val="24"/>
        </w:rPr>
        <w:t>相关</w:t>
      </w:r>
      <w:r>
        <w:rPr>
          <w:rFonts w:hint="eastAsia" w:ascii="仿宋" w:hAnsi="仿宋" w:eastAsia="仿宋" w:cs="仿宋"/>
          <w:snapToGrid w:val="0"/>
          <w:spacing w:val="12"/>
          <w:sz w:val="24"/>
          <w:szCs w:val="24"/>
          <w:lang w:val="en-US" w:eastAsia="zh-CN"/>
        </w:rPr>
        <w:t>货物、</w:t>
      </w:r>
      <w:r>
        <w:rPr>
          <w:rFonts w:hint="eastAsia" w:ascii="仿宋" w:hAnsi="仿宋" w:eastAsia="仿宋" w:cs="仿宋"/>
          <w:snapToGrid w:val="0"/>
          <w:spacing w:val="12"/>
          <w:sz w:val="24"/>
          <w:szCs w:val="24"/>
        </w:rPr>
        <w:t>服务及履行合同义务有关的一切费用</w:t>
      </w:r>
      <w:r>
        <w:rPr>
          <w:rFonts w:hint="eastAsia" w:ascii="仿宋" w:hAnsi="仿宋" w:eastAsia="仿宋" w:cs="仿宋"/>
          <w:snapToGrid w:val="0"/>
          <w:spacing w:val="12"/>
          <w:sz w:val="24"/>
          <w:szCs w:val="24"/>
          <w:lang w:eastAsia="zh-CN"/>
        </w:rPr>
        <w:t>，</w:t>
      </w:r>
      <w:r>
        <w:rPr>
          <w:rFonts w:hint="eastAsia" w:ascii="仿宋" w:hAnsi="仿宋" w:eastAsia="仿宋" w:cs="仿宋"/>
          <w:snapToGrid w:val="0"/>
          <w:spacing w:val="12"/>
          <w:sz w:val="24"/>
          <w:szCs w:val="24"/>
        </w:rPr>
        <w:t>任何有选择的报价将不予接受，按无效</w:t>
      </w:r>
      <w:r>
        <w:rPr>
          <w:rFonts w:hint="eastAsia" w:ascii="仿宋" w:hAnsi="仿宋" w:eastAsia="仿宋" w:cs="仿宋"/>
          <w:snapToGrid w:val="0"/>
          <w:spacing w:val="12"/>
          <w:sz w:val="24"/>
          <w:szCs w:val="24"/>
          <w:lang w:eastAsia="zh-CN"/>
        </w:rPr>
        <w:t>谈判</w:t>
      </w:r>
      <w:r>
        <w:rPr>
          <w:rFonts w:hint="eastAsia" w:ascii="仿宋" w:hAnsi="仿宋" w:eastAsia="仿宋" w:cs="仿宋"/>
          <w:snapToGrid w:val="0"/>
          <w:spacing w:val="12"/>
          <w:sz w:val="24"/>
          <w:szCs w:val="24"/>
        </w:rPr>
        <w:t>处理。</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lang w:eastAsia="zh-CN"/>
        </w:rPr>
        <w:t>供应商</w:t>
      </w:r>
      <w:r>
        <w:rPr>
          <w:rFonts w:hint="eastAsia" w:ascii="仿宋" w:hAnsi="仿宋" w:eastAsia="仿宋" w:cs="仿宋"/>
          <w:snapToGrid w:val="0"/>
          <w:spacing w:val="12"/>
          <w:sz w:val="24"/>
          <w:szCs w:val="24"/>
        </w:rPr>
        <w:t>所报的</w:t>
      </w:r>
      <w:r>
        <w:rPr>
          <w:rFonts w:hint="eastAsia" w:ascii="仿宋" w:hAnsi="仿宋" w:eastAsia="仿宋" w:cs="仿宋"/>
          <w:snapToGrid w:val="0"/>
          <w:spacing w:val="12"/>
          <w:sz w:val="24"/>
          <w:szCs w:val="24"/>
          <w:lang w:eastAsia="zh-CN"/>
        </w:rPr>
        <w:t>谈判</w:t>
      </w:r>
      <w:r>
        <w:rPr>
          <w:rFonts w:hint="eastAsia" w:ascii="仿宋" w:hAnsi="仿宋" w:eastAsia="仿宋" w:cs="仿宋"/>
          <w:snapToGrid w:val="0"/>
          <w:spacing w:val="12"/>
          <w:sz w:val="24"/>
          <w:szCs w:val="24"/>
        </w:rPr>
        <w:t>价在合同执行过程中是固定不变的，不得以任何理由予以变更。任何包含价格调整要求的</w:t>
      </w:r>
      <w:r>
        <w:rPr>
          <w:rFonts w:hint="eastAsia" w:ascii="仿宋" w:hAnsi="仿宋" w:eastAsia="仿宋" w:cs="仿宋"/>
          <w:snapToGrid w:val="0"/>
          <w:spacing w:val="12"/>
          <w:sz w:val="24"/>
          <w:szCs w:val="24"/>
          <w:lang w:eastAsia="zh-CN"/>
        </w:rPr>
        <w:t>谈判</w:t>
      </w:r>
      <w:r>
        <w:rPr>
          <w:rFonts w:hint="eastAsia" w:ascii="仿宋" w:hAnsi="仿宋" w:eastAsia="仿宋" w:cs="仿宋"/>
          <w:snapToGrid w:val="0"/>
          <w:spacing w:val="12"/>
          <w:sz w:val="24"/>
          <w:szCs w:val="24"/>
        </w:rPr>
        <w:t>，将被认为是非响应性</w:t>
      </w:r>
      <w:r>
        <w:rPr>
          <w:rFonts w:hint="eastAsia" w:ascii="仿宋" w:hAnsi="仿宋" w:eastAsia="仿宋" w:cs="仿宋"/>
          <w:snapToGrid w:val="0"/>
          <w:spacing w:val="12"/>
          <w:sz w:val="24"/>
          <w:szCs w:val="24"/>
          <w:lang w:eastAsia="zh-CN"/>
        </w:rPr>
        <w:t>谈判</w:t>
      </w:r>
      <w:r>
        <w:rPr>
          <w:rFonts w:hint="eastAsia" w:ascii="仿宋" w:hAnsi="仿宋" w:eastAsia="仿宋" w:cs="仿宋"/>
          <w:snapToGrid w:val="0"/>
          <w:spacing w:val="12"/>
          <w:sz w:val="24"/>
          <w:szCs w:val="24"/>
        </w:rPr>
        <w:t>而予以拒绝。</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在</w:t>
      </w:r>
      <w:r>
        <w:rPr>
          <w:rFonts w:hint="eastAsia" w:ascii="仿宋" w:hAnsi="仿宋" w:eastAsia="仿宋" w:cs="仿宋"/>
          <w:snapToGrid w:val="0"/>
          <w:spacing w:val="12"/>
          <w:sz w:val="24"/>
          <w:szCs w:val="24"/>
          <w:lang w:eastAsia="zh-CN"/>
        </w:rPr>
        <w:t>谈判</w:t>
      </w:r>
      <w:r>
        <w:rPr>
          <w:rFonts w:hint="eastAsia" w:ascii="仿宋" w:hAnsi="仿宋" w:eastAsia="仿宋" w:cs="仿宋"/>
          <w:snapToGrid w:val="0"/>
          <w:spacing w:val="12"/>
          <w:sz w:val="24"/>
          <w:szCs w:val="24"/>
        </w:rPr>
        <w:t>过程中采取二次报价的形式，即各</w:t>
      </w:r>
      <w:r>
        <w:rPr>
          <w:rFonts w:hint="eastAsia" w:ascii="仿宋" w:hAnsi="仿宋" w:eastAsia="仿宋" w:cs="仿宋"/>
          <w:snapToGrid w:val="0"/>
          <w:spacing w:val="12"/>
          <w:sz w:val="24"/>
          <w:szCs w:val="24"/>
          <w:lang w:eastAsia="zh-CN"/>
        </w:rPr>
        <w:t>供应商</w:t>
      </w:r>
      <w:r>
        <w:rPr>
          <w:rFonts w:hint="eastAsia" w:ascii="仿宋" w:hAnsi="仿宋" w:eastAsia="仿宋" w:cs="仿宋"/>
          <w:snapToGrid w:val="0"/>
          <w:spacing w:val="12"/>
          <w:sz w:val="24"/>
          <w:szCs w:val="24"/>
        </w:rPr>
        <w:t>竞争性</w:t>
      </w:r>
      <w:r>
        <w:rPr>
          <w:rFonts w:hint="eastAsia" w:ascii="仿宋" w:hAnsi="仿宋" w:eastAsia="仿宋" w:cs="仿宋"/>
          <w:snapToGrid w:val="0"/>
          <w:spacing w:val="12"/>
          <w:sz w:val="24"/>
          <w:szCs w:val="24"/>
          <w:lang w:eastAsia="zh-CN"/>
        </w:rPr>
        <w:t>谈判</w:t>
      </w:r>
      <w:r>
        <w:rPr>
          <w:rFonts w:hint="eastAsia" w:ascii="仿宋" w:hAnsi="仿宋" w:eastAsia="仿宋" w:cs="仿宋"/>
          <w:snapToGrid w:val="0"/>
          <w:spacing w:val="12"/>
          <w:sz w:val="24"/>
          <w:szCs w:val="24"/>
        </w:rPr>
        <w:t>响应文件中的报价即为第一次报价，能满足竞争性</w:t>
      </w:r>
      <w:r>
        <w:rPr>
          <w:rFonts w:hint="eastAsia" w:ascii="仿宋" w:hAnsi="仿宋" w:eastAsia="仿宋" w:cs="仿宋"/>
          <w:snapToGrid w:val="0"/>
          <w:spacing w:val="12"/>
          <w:sz w:val="24"/>
          <w:szCs w:val="24"/>
          <w:lang w:eastAsia="zh-CN"/>
        </w:rPr>
        <w:t>谈判</w:t>
      </w:r>
      <w:r>
        <w:rPr>
          <w:rFonts w:hint="eastAsia" w:ascii="仿宋" w:hAnsi="仿宋" w:eastAsia="仿宋" w:cs="仿宋"/>
          <w:snapToGrid w:val="0"/>
          <w:spacing w:val="12"/>
          <w:sz w:val="24"/>
          <w:szCs w:val="24"/>
        </w:rPr>
        <w:t>文件实质性响应要求且最后报价最低的原则进行评审。如采购需求没有实质性变化，各</w:t>
      </w:r>
      <w:r>
        <w:rPr>
          <w:rFonts w:hint="eastAsia" w:ascii="仿宋" w:hAnsi="仿宋" w:eastAsia="仿宋" w:cs="仿宋"/>
          <w:snapToGrid w:val="0"/>
          <w:spacing w:val="12"/>
          <w:sz w:val="24"/>
          <w:szCs w:val="24"/>
          <w:lang w:eastAsia="zh-CN"/>
        </w:rPr>
        <w:t>供应商</w:t>
      </w:r>
      <w:r>
        <w:rPr>
          <w:rFonts w:hint="eastAsia" w:ascii="仿宋" w:hAnsi="仿宋" w:eastAsia="仿宋" w:cs="仿宋"/>
          <w:snapToGrid w:val="0"/>
          <w:spacing w:val="12"/>
          <w:sz w:val="24"/>
          <w:szCs w:val="24"/>
        </w:rPr>
        <w:t>报价应逐次降低，本次报价超过上次报价为无效报价。</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2.2固定</w:t>
      </w:r>
      <w:r>
        <w:rPr>
          <w:rFonts w:hint="eastAsia" w:ascii="仿宋" w:hAnsi="仿宋" w:eastAsia="仿宋" w:cs="仿宋"/>
          <w:snapToGrid w:val="0"/>
          <w:spacing w:val="12"/>
          <w:sz w:val="24"/>
          <w:szCs w:val="24"/>
          <w:lang w:eastAsia="zh-CN"/>
        </w:rPr>
        <w:t>总价</w:t>
      </w:r>
      <w:r>
        <w:rPr>
          <w:rFonts w:hint="eastAsia" w:ascii="仿宋" w:hAnsi="仿宋" w:eastAsia="仿宋" w:cs="仿宋"/>
          <w:snapToGrid w:val="0"/>
          <w:spacing w:val="12"/>
          <w:sz w:val="24"/>
          <w:szCs w:val="24"/>
        </w:rPr>
        <w:t>合同，合同</w:t>
      </w:r>
      <w:r>
        <w:rPr>
          <w:rFonts w:hint="eastAsia" w:ascii="仿宋" w:hAnsi="仿宋" w:eastAsia="仿宋" w:cs="仿宋"/>
          <w:snapToGrid w:val="0"/>
          <w:spacing w:val="12"/>
          <w:sz w:val="24"/>
          <w:szCs w:val="24"/>
          <w:lang w:eastAsia="zh-CN"/>
        </w:rPr>
        <w:t>总</w:t>
      </w:r>
      <w:r>
        <w:rPr>
          <w:rFonts w:hint="eastAsia" w:ascii="仿宋" w:hAnsi="仿宋" w:eastAsia="仿宋" w:cs="仿宋"/>
          <w:snapToGrid w:val="0"/>
          <w:spacing w:val="12"/>
          <w:sz w:val="24"/>
          <w:szCs w:val="24"/>
        </w:rPr>
        <w:t>价固定不变，不受市场价格变化等因素的影响。</w:t>
      </w:r>
    </w:p>
    <w:p>
      <w:pPr>
        <w:spacing w:line="360" w:lineRule="auto"/>
        <w:rPr>
          <w:rFonts w:hint="eastAsia" w:ascii="仿宋" w:hAnsi="仿宋" w:eastAsia="仿宋" w:cs="仿宋"/>
          <w:b/>
          <w:snapToGrid w:val="0"/>
          <w:spacing w:val="12"/>
          <w:sz w:val="24"/>
          <w:szCs w:val="24"/>
        </w:rPr>
      </w:pPr>
      <w:r>
        <w:rPr>
          <w:rFonts w:hint="eastAsia" w:ascii="仿宋" w:hAnsi="仿宋" w:eastAsia="仿宋" w:cs="仿宋"/>
          <w:b/>
          <w:snapToGrid w:val="0"/>
          <w:spacing w:val="12"/>
          <w:sz w:val="24"/>
          <w:szCs w:val="24"/>
        </w:rPr>
        <w:t>3.款项结算</w:t>
      </w:r>
    </w:p>
    <w:p>
      <w:pPr>
        <w:spacing w:line="360" w:lineRule="auto"/>
        <w:ind w:firstLine="528" w:firstLineChars="200"/>
        <w:rPr>
          <w:rFonts w:hint="eastAsia" w:ascii="仿宋" w:hAnsi="仿宋" w:eastAsia="仿宋" w:cs="仿宋"/>
          <w:bCs/>
          <w:snapToGrid w:val="0"/>
          <w:spacing w:val="12"/>
          <w:sz w:val="24"/>
          <w:szCs w:val="24"/>
          <w:highlight w:val="none"/>
        </w:rPr>
      </w:pPr>
      <w:r>
        <w:rPr>
          <w:rFonts w:hint="eastAsia" w:ascii="仿宋" w:hAnsi="仿宋" w:eastAsia="仿宋" w:cs="仿宋"/>
          <w:bCs/>
          <w:snapToGrid w:val="0"/>
          <w:spacing w:val="12"/>
          <w:sz w:val="24"/>
          <w:szCs w:val="24"/>
        </w:rPr>
        <w:t>3.1付</w:t>
      </w:r>
      <w:r>
        <w:rPr>
          <w:rFonts w:hint="eastAsia" w:ascii="仿宋" w:hAnsi="仿宋" w:eastAsia="仿宋" w:cs="仿宋"/>
          <w:bCs/>
          <w:snapToGrid w:val="0"/>
          <w:spacing w:val="12"/>
          <w:sz w:val="24"/>
          <w:szCs w:val="24"/>
          <w:highlight w:val="none"/>
        </w:rPr>
        <w:t>款方式：验收合格后支付，达到付款条件 15 日内，支付合同总金额的100.00%。</w:t>
      </w:r>
    </w:p>
    <w:p>
      <w:pPr>
        <w:spacing w:line="360" w:lineRule="auto"/>
        <w:ind w:firstLine="528" w:firstLineChars="200"/>
        <w:rPr>
          <w:rFonts w:hint="eastAsia" w:ascii="仿宋" w:hAnsi="仿宋" w:eastAsia="仿宋" w:cs="仿宋"/>
          <w:bCs/>
          <w:snapToGrid w:val="0"/>
          <w:spacing w:val="12"/>
          <w:sz w:val="24"/>
          <w:szCs w:val="24"/>
          <w:highlight w:val="none"/>
        </w:rPr>
      </w:pPr>
      <w:r>
        <w:rPr>
          <w:rFonts w:hint="eastAsia" w:ascii="仿宋" w:hAnsi="仿宋" w:eastAsia="仿宋" w:cs="仿宋"/>
          <w:bCs/>
          <w:snapToGrid w:val="0"/>
          <w:spacing w:val="12"/>
          <w:sz w:val="24"/>
          <w:szCs w:val="24"/>
          <w:highlight w:val="none"/>
        </w:rPr>
        <w:t>3.2结算方式：乙方持验收合格单，全额合规发票（按合同总价值开甲方），中标通知书、合同，与甲方结算。</w:t>
      </w:r>
    </w:p>
    <w:p>
      <w:pPr>
        <w:spacing w:line="360" w:lineRule="auto"/>
        <w:ind w:firstLine="528" w:firstLineChars="200"/>
        <w:rPr>
          <w:rFonts w:hint="eastAsia" w:ascii="仿宋" w:hAnsi="仿宋" w:eastAsia="仿宋" w:cs="仿宋"/>
          <w:bCs/>
          <w:snapToGrid w:val="0"/>
          <w:spacing w:val="12"/>
          <w:sz w:val="24"/>
          <w:szCs w:val="24"/>
          <w:highlight w:val="none"/>
        </w:rPr>
      </w:pPr>
      <w:r>
        <w:rPr>
          <w:rFonts w:hint="eastAsia" w:ascii="仿宋" w:hAnsi="仿宋" w:eastAsia="仿宋" w:cs="仿宋"/>
          <w:bCs/>
          <w:snapToGrid w:val="0"/>
          <w:spacing w:val="12"/>
          <w:sz w:val="24"/>
          <w:szCs w:val="24"/>
          <w:highlight w:val="none"/>
        </w:rPr>
        <w:t>3.3支付方式：银行转帐。</w:t>
      </w:r>
    </w:p>
    <w:p>
      <w:pPr>
        <w:adjustRightInd w:val="0"/>
        <w:snapToGrid w:val="0"/>
        <w:spacing w:line="360" w:lineRule="auto"/>
        <w:rPr>
          <w:rFonts w:hint="eastAsia" w:ascii="仿宋" w:hAnsi="仿宋" w:eastAsia="仿宋" w:cs="仿宋"/>
          <w:b/>
          <w:spacing w:val="12"/>
          <w:sz w:val="24"/>
          <w:szCs w:val="24"/>
          <w:highlight w:val="none"/>
        </w:rPr>
      </w:pPr>
      <w:r>
        <w:rPr>
          <w:rFonts w:hint="eastAsia" w:ascii="仿宋" w:hAnsi="仿宋" w:eastAsia="仿宋" w:cs="仿宋"/>
          <w:b/>
          <w:snapToGrid w:val="0"/>
          <w:spacing w:val="12"/>
          <w:sz w:val="24"/>
          <w:szCs w:val="24"/>
          <w:highlight w:val="none"/>
        </w:rPr>
        <w:t>4.</w:t>
      </w:r>
      <w:r>
        <w:rPr>
          <w:rFonts w:hint="eastAsia" w:ascii="仿宋" w:hAnsi="仿宋" w:eastAsia="仿宋" w:cs="仿宋"/>
          <w:b/>
          <w:spacing w:val="12"/>
          <w:sz w:val="24"/>
          <w:szCs w:val="24"/>
          <w:highlight w:val="none"/>
        </w:rPr>
        <w:t>供货期和交货地点</w:t>
      </w:r>
    </w:p>
    <w:p>
      <w:pPr>
        <w:adjustRightInd w:val="0"/>
        <w:snapToGrid w:val="0"/>
        <w:spacing w:line="360" w:lineRule="auto"/>
        <w:ind w:firstLine="528" w:firstLineChars="200"/>
        <w:rPr>
          <w:rFonts w:hint="eastAsia" w:ascii="仿宋" w:hAnsi="仿宋" w:eastAsia="仿宋" w:cs="仿宋"/>
          <w:spacing w:val="12"/>
          <w:sz w:val="24"/>
          <w:szCs w:val="24"/>
          <w:highlight w:val="none"/>
        </w:rPr>
      </w:pPr>
      <w:r>
        <w:rPr>
          <w:rFonts w:hint="eastAsia" w:ascii="仿宋" w:hAnsi="仿宋" w:eastAsia="仿宋" w:cs="仿宋"/>
          <w:spacing w:val="12"/>
          <w:sz w:val="24"/>
          <w:szCs w:val="24"/>
          <w:highlight w:val="none"/>
        </w:rPr>
        <w:t>4.</w:t>
      </w:r>
      <w:r>
        <w:rPr>
          <w:rFonts w:hint="eastAsia" w:ascii="仿宋" w:hAnsi="仿宋" w:eastAsia="仿宋" w:cs="仿宋"/>
          <w:spacing w:val="12"/>
          <w:sz w:val="24"/>
          <w:szCs w:val="24"/>
          <w:highlight w:val="none"/>
          <w:lang w:val="en-US" w:eastAsia="zh-CN"/>
        </w:rPr>
        <w:t>1</w:t>
      </w:r>
      <w:r>
        <w:rPr>
          <w:rFonts w:hint="eastAsia" w:ascii="仿宋" w:hAnsi="仿宋" w:eastAsia="仿宋" w:cs="仿宋"/>
          <w:spacing w:val="12"/>
          <w:sz w:val="24"/>
          <w:szCs w:val="24"/>
          <w:highlight w:val="none"/>
        </w:rPr>
        <w:t>供货期：合同签订之日起30日历日</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highlight w:val="none"/>
        </w:rPr>
        <w:t>4.</w:t>
      </w:r>
      <w:r>
        <w:rPr>
          <w:rFonts w:hint="eastAsia" w:ascii="仿宋" w:hAnsi="仿宋" w:eastAsia="仿宋" w:cs="仿宋"/>
          <w:spacing w:val="12"/>
          <w:sz w:val="24"/>
          <w:szCs w:val="24"/>
          <w:highlight w:val="none"/>
          <w:lang w:val="en-US" w:eastAsia="zh-CN"/>
        </w:rPr>
        <w:t>2</w:t>
      </w:r>
      <w:r>
        <w:rPr>
          <w:rFonts w:hint="eastAsia" w:ascii="仿宋" w:hAnsi="仿宋" w:eastAsia="仿宋" w:cs="仿宋"/>
          <w:spacing w:val="12"/>
          <w:sz w:val="24"/>
          <w:szCs w:val="24"/>
          <w:highlight w:val="none"/>
        </w:rPr>
        <w:t>交货地点：西安文理学院</w:t>
      </w:r>
      <w:r>
        <w:rPr>
          <w:rFonts w:hint="eastAsia" w:ascii="仿宋" w:hAnsi="仿宋" w:eastAsia="仿宋" w:cs="仿宋"/>
          <w:spacing w:val="12"/>
          <w:sz w:val="24"/>
          <w:szCs w:val="24"/>
        </w:rPr>
        <w:t>。</w:t>
      </w:r>
    </w:p>
    <w:p>
      <w:pPr>
        <w:numPr>
          <w:ilvl w:val="0"/>
          <w:numId w:val="1"/>
        </w:numPr>
        <w:adjustRightInd w:val="0"/>
        <w:snapToGrid w:val="0"/>
        <w:spacing w:line="360" w:lineRule="auto"/>
        <w:rPr>
          <w:rFonts w:hint="eastAsia" w:ascii="仿宋" w:hAnsi="仿宋" w:eastAsia="仿宋" w:cs="仿宋"/>
          <w:b/>
          <w:bCs/>
          <w:spacing w:val="12"/>
          <w:sz w:val="24"/>
          <w:szCs w:val="24"/>
        </w:rPr>
      </w:pPr>
      <w:r>
        <w:rPr>
          <w:rFonts w:hint="eastAsia" w:ascii="仿宋" w:hAnsi="仿宋" w:eastAsia="仿宋" w:cs="仿宋"/>
          <w:b/>
          <w:bCs/>
          <w:spacing w:val="12"/>
          <w:sz w:val="24"/>
          <w:szCs w:val="24"/>
        </w:rPr>
        <w:t>质量保证</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5.1乙方产品质量需达到国家标准或行业标准，这些标准和技术规范应为协议签订日为止最新公布发行的标准和技术规范。</w:t>
      </w:r>
    </w:p>
    <w:p>
      <w:pPr>
        <w:adjustRightInd w:val="0"/>
        <w:snapToGrid w:val="0"/>
        <w:spacing w:line="360" w:lineRule="auto"/>
        <w:ind w:firstLine="528" w:firstLineChars="200"/>
        <w:rPr>
          <w:rFonts w:hint="eastAsia" w:ascii="仿宋" w:hAnsi="仿宋" w:eastAsia="仿宋" w:cs="仿宋"/>
          <w:sz w:val="24"/>
          <w:szCs w:val="24"/>
        </w:rPr>
      </w:pPr>
      <w:r>
        <w:rPr>
          <w:rFonts w:hint="eastAsia" w:ascii="仿宋" w:hAnsi="仿宋" w:eastAsia="仿宋" w:cs="仿宋"/>
          <w:spacing w:val="12"/>
          <w:sz w:val="24"/>
          <w:szCs w:val="24"/>
        </w:rPr>
        <w:t>5.2如乙方产品达不到本合同标准，出现三次以上问题，则视为乙方违约,甲方有权拒绝接收乙方货物,按照合同约定追究乙方违约责任。</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5.3关于产品质量，乙方所供货物必须执行下列条款：</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5.3.1保证技术指标先进、质量性能可靠、进货渠道正规，配置合理，全面满足要求。</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5.3.2符合国家有关规范要求，确保达到最佳运行状态。</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5.3.3具有良好的外观，适合安装场所的使用。</w:t>
      </w:r>
    </w:p>
    <w:p>
      <w:pPr>
        <w:adjustRightInd w:val="0"/>
        <w:snapToGrid w:val="0"/>
        <w:spacing w:line="360" w:lineRule="auto"/>
        <w:ind w:firstLine="528" w:firstLineChars="200"/>
        <w:rPr>
          <w:rFonts w:hint="eastAsia" w:ascii="仿宋" w:hAnsi="仿宋" w:eastAsia="仿宋" w:cs="仿宋"/>
          <w:spacing w:val="12"/>
          <w:sz w:val="24"/>
          <w:szCs w:val="24"/>
          <w:highlight w:val="none"/>
        </w:rPr>
      </w:pPr>
      <w:r>
        <w:rPr>
          <w:rFonts w:hint="eastAsia" w:ascii="仿宋" w:hAnsi="仿宋" w:eastAsia="仿宋" w:cs="仿宋"/>
          <w:spacing w:val="12"/>
          <w:sz w:val="24"/>
          <w:szCs w:val="24"/>
        </w:rPr>
        <w:t>5.4乙方所供产品因侵权（包括但不限于侵犯知识产权以及因产品质量问</w:t>
      </w:r>
      <w:r>
        <w:rPr>
          <w:rFonts w:hint="eastAsia" w:ascii="仿宋" w:hAnsi="仿宋" w:eastAsia="仿宋" w:cs="仿宋"/>
          <w:spacing w:val="12"/>
          <w:sz w:val="24"/>
          <w:szCs w:val="24"/>
          <w:highlight w:val="none"/>
        </w:rPr>
        <w:t>题导致甲乙双方或第三方人身、财产遭受损失）而产生的一切后果由乙方自行负责，由此给甲方造成任何损失的，乙方承担赔偿责任。</w:t>
      </w:r>
    </w:p>
    <w:p>
      <w:pPr>
        <w:adjustRightInd w:val="0"/>
        <w:snapToGrid w:val="0"/>
        <w:spacing w:line="360" w:lineRule="auto"/>
        <w:ind w:firstLine="528" w:firstLineChars="200"/>
        <w:rPr>
          <w:rFonts w:hint="eastAsia" w:ascii="仿宋" w:hAnsi="仿宋" w:eastAsia="仿宋" w:cs="仿宋"/>
          <w:spacing w:val="12"/>
          <w:sz w:val="24"/>
          <w:szCs w:val="24"/>
          <w:highlight w:val="none"/>
        </w:rPr>
      </w:pPr>
      <w:r>
        <w:rPr>
          <w:rFonts w:hint="eastAsia" w:ascii="仿宋" w:hAnsi="仿宋" w:eastAsia="仿宋" w:cs="仿宋"/>
          <w:spacing w:val="12"/>
          <w:sz w:val="24"/>
          <w:szCs w:val="24"/>
          <w:highlight w:val="none"/>
        </w:rPr>
        <w:t>5.5提供</w:t>
      </w:r>
      <w:r>
        <w:rPr>
          <w:rFonts w:hint="eastAsia" w:ascii="仿宋" w:hAnsi="仿宋" w:eastAsia="仿宋" w:cs="仿宋"/>
          <w:spacing w:val="12"/>
          <w:sz w:val="24"/>
          <w:szCs w:val="24"/>
          <w:highlight w:val="none"/>
          <w:lang w:val="en-US" w:eastAsia="zh-CN"/>
        </w:rPr>
        <w:t>6</w:t>
      </w:r>
      <w:r>
        <w:rPr>
          <w:rFonts w:hint="eastAsia" w:ascii="仿宋" w:hAnsi="仿宋" w:eastAsia="仿宋" w:cs="仿宋"/>
          <w:spacing w:val="12"/>
          <w:sz w:val="24"/>
          <w:szCs w:val="24"/>
          <w:highlight w:val="none"/>
        </w:rPr>
        <w:t>年质保服务。</w:t>
      </w:r>
    </w:p>
    <w:p>
      <w:pPr>
        <w:adjustRightInd w:val="0"/>
        <w:snapToGrid w:val="0"/>
        <w:spacing w:line="360" w:lineRule="auto"/>
        <w:rPr>
          <w:rFonts w:hint="eastAsia" w:ascii="仿宋" w:hAnsi="仿宋" w:eastAsia="仿宋" w:cs="仿宋"/>
          <w:b/>
          <w:bCs/>
          <w:snapToGrid w:val="0"/>
          <w:spacing w:val="12"/>
          <w:sz w:val="24"/>
          <w:szCs w:val="24"/>
          <w:highlight w:val="none"/>
        </w:rPr>
      </w:pPr>
      <w:r>
        <w:rPr>
          <w:rFonts w:hint="eastAsia" w:ascii="仿宋" w:hAnsi="仿宋" w:eastAsia="仿宋" w:cs="仿宋"/>
          <w:b/>
          <w:bCs/>
          <w:snapToGrid w:val="0"/>
          <w:spacing w:val="12"/>
          <w:sz w:val="24"/>
          <w:szCs w:val="24"/>
          <w:highlight w:val="none"/>
        </w:rPr>
        <w:t>6.包装和储运</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highlight w:val="none"/>
        </w:rPr>
        <w:t>6.1乙方应为</w:t>
      </w:r>
      <w:r>
        <w:rPr>
          <w:rFonts w:hint="eastAsia" w:ascii="仿宋" w:hAnsi="仿宋" w:eastAsia="仿宋" w:cs="仿宋"/>
          <w:spacing w:val="12"/>
          <w:sz w:val="24"/>
          <w:szCs w:val="24"/>
          <w:highlight w:val="none"/>
          <w:lang w:eastAsia="zh-CN"/>
        </w:rPr>
        <w:t>产品</w:t>
      </w:r>
      <w:r>
        <w:rPr>
          <w:rFonts w:hint="eastAsia" w:ascii="仿宋" w:hAnsi="仿宋" w:eastAsia="仿宋" w:cs="仿宋"/>
          <w:spacing w:val="12"/>
          <w:sz w:val="24"/>
          <w:szCs w:val="24"/>
          <w:highlight w:val="none"/>
        </w:rPr>
        <w:t>提供适宜的包装方式，</w:t>
      </w:r>
      <w:r>
        <w:rPr>
          <w:rFonts w:hint="eastAsia" w:ascii="仿宋" w:hAnsi="仿宋" w:eastAsia="仿宋" w:cs="仿宋"/>
          <w:spacing w:val="12"/>
          <w:sz w:val="24"/>
          <w:szCs w:val="24"/>
          <w:highlight w:val="none"/>
          <w:lang w:eastAsia="zh-CN"/>
        </w:rPr>
        <w:t>产品</w:t>
      </w:r>
      <w:r>
        <w:rPr>
          <w:rFonts w:hint="eastAsia" w:ascii="仿宋" w:hAnsi="仿宋" w:eastAsia="仿宋" w:cs="仿宋"/>
          <w:spacing w:val="12"/>
          <w:sz w:val="24"/>
          <w:szCs w:val="24"/>
          <w:highlight w:val="none"/>
        </w:rPr>
        <w:t>采用密封形式，包装上应注明防潮、防湿、</w:t>
      </w:r>
      <w:r>
        <w:rPr>
          <w:rFonts w:hint="eastAsia" w:ascii="仿宋" w:hAnsi="仿宋" w:eastAsia="仿宋" w:cs="仿宋"/>
          <w:spacing w:val="12"/>
          <w:sz w:val="24"/>
          <w:szCs w:val="24"/>
        </w:rPr>
        <w:t>防震、防锈、忌粗暴搬运。对于由于包装不良所发生的损失及由于采用不充分或不妥善的防护措施而造成的任何破损，乙方应承担由此而产生的一切费用和损失。</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6.2乙方负责无偿将</w:t>
      </w:r>
      <w:r>
        <w:rPr>
          <w:rFonts w:hint="eastAsia" w:ascii="仿宋" w:hAnsi="仿宋" w:eastAsia="仿宋" w:cs="仿宋"/>
          <w:spacing w:val="12"/>
          <w:sz w:val="24"/>
          <w:szCs w:val="24"/>
          <w:lang w:eastAsia="zh-CN"/>
        </w:rPr>
        <w:t>产品</w:t>
      </w:r>
      <w:r>
        <w:rPr>
          <w:rFonts w:hint="eastAsia" w:ascii="仿宋" w:hAnsi="仿宋" w:eastAsia="仿宋" w:cs="仿宋"/>
          <w:spacing w:val="12"/>
          <w:sz w:val="24"/>
          <w:szCs w:val="24"/>
        </w:rPr>
        <w:t>运送至甲方指定交货地点。运输过程中，</w:t>
      </w:r>
      <w:r>
        <w:rPr>
          <w:rFonts w:hint="eastAsia" w:ascii="仿宋" w:hAnsi="仿宋" w:eastAsia="仿宋" w:cs="仿宋"/>
          <w:spacing w:val="12"/>
          <w:sz w:val="24"/>
          <w:szCs w:val="24"/>
          <w:lang w:eastAsia="zh-CN"/>
        </w:rPr>
        <w:t>产品</w:t>
      </w:r>
      <w:r>
        <w:rPr>
          <w:rFonts w:hint="eastAsia" w:ascii="仿宋" w:hAnsi="仿宋" w:eastAsia="仿宋" w:cs="仿宋"/>
          <w:spacing w:val="12"/>
          <w:sz w:val="24"/>
          <w:szCs w:val="24"/>
        </w:rPr>
        <w:t>毁损、丢失及发生事故等风险、费用均由乙方承担。</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6.3</w:t>
      </w:r>
      <w:r>
        <w:rPr>
          <w:rFonts w:hint="eastAsia" w:ascii="仿宋" w:hAnsi="仿宋" w:eastAsia="仿宋" w:cs="仿宋"/>
          <w:spacing w:val="12"/>
          <w:sz w:val="24"/>
          <w:szCs w:val="24"/>
          <w:lang w:eastAsia="zh-CN"/>
        </w:rPr>
        <w:t>产品</w:t>
      </w:r>
      <w:r>
        <w:rPr>
          <w:rFonts w:hint="eastAsia" w:ascii="仿宋" w:hAnsi="仿宋" w:eastAsia="仿宋" w:cs="仿宋"/>
          <w:spacing w:val="12"/>
          <w:sz w:val="24"/>
          <w:szCs w:val="24"/>
        </w:rPr>
        <w:t>运送至甲方提定地点后，由甲乙双方共同对</w:t>
      </w:r>
      <w:r>
        <w:rPr>
          <w:rFonts w:hint="eastAsia" w:ascii="仿宋" w:hAnsi="仿宋" w:eastAsia="仿宋" w:cs="仿宋"/>
          <w:spacing w:val="12"/>
          <w:sz w:val="24"/>
          <w:szCs w:val="24"/>
          <w:lang w:eastAsia="zh-CN"/>
        </w:rPr>
        <w:t>产品</w:t>
      </w:r>
      <w:r>
        <w:rPr>
          <w:rFonts w:hint="eastAsia" w:ascii="仿宋" w:hAnsi="仿宋" w:eastAsia="仿宋" w:cs="仿宋"/>
          <w:spacing w:val="12"/>
          <w:sz w:val="24"/>
          <w:szCs w:val="24"/>
        </w:rPr>
        <w:t>进行检验并办理相关</w:t>
      </w:r>
      <w:r>
        <w:rPr>
          <w:rFonts w:hint="eastAsia" w:ascii="仿宋" w:hAnsi="仿宋" w:eastAsia="仿宋" w:cs="仿宋"/>
          <w:spacing w:val="12"/>
          <w:sz w:val="24"/>
          <w:szCs w:val="24"/>
          <w:lang w:eastAsia="zh-CN"/>
        </w:rPr>
        <w:t>产品</w:t>
      </w:r>
      <w:r>
        <w:rPr>
          <w:rFonts w:hint="eastAsia" w:ascii="仿宋" w:hAnsi="仿宋" w:eastAsia="仿宋" w:cs="仿宋"/>
          <w:spacing w:val="12"/>
          <w:sz w:val="24"/>
          <w:szCs w:val="24"/>
        </w:rPr>
        <w:t>移交手续。</w:t>
      </w:r>
    </w:p>
    <w:p>
      <w:pPr>
        <w:adjustRightInd w:val="0"/>
        <w:snapToGrid w:val="0"/>
        <w:spacing w:line="360" w:lineRule="auto"/>
        <w:rPr>
          <w:rFonts w:hint="eastAsia" w:ascii="仿宋" w:hAnsi="仿宋" w:eastAsia="仿宋" w:cs="仿宋"/>
          <w:b/>
          <w:bCs/>
          <w:spacing w:val="12"/>
          <w:sz w:val="24"/>
          <w:szCs w:val="24"/>
        </w:rPr>
      </w:pPr>
      <w:r>
        <w:rPr>
          <w:rFonts w:hint="eastAsia" w:ascii="仿宋" w:hAnsi="仿宋" w:eastAsia="仿宋" w:cs="仿宋"/>
          <w:b/>
          <w:bCs/>
          <w:spacing w:val="12"/>
          <w:sz w:val="24"/>
          <w:szCs w:val="24"/>
        </w:rPr>
        <w:t>7.售后服务</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7.1乙方保证无条件退换有质量问题的产品（如包装破损、配件不全、质量不合格无法使用的及与甲方要求的品牌、型号、颜色有差异等），并可无条件退换多余的物品。</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7.2产品出现质量问题的，乙方应在收到通知后48小时内响应并到达现场，如因未能及时到达而给甲方造成损失的，乙方应负责赔偿。</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7.3非质量问题的</w:t>
      </w:r>
      <w:r>
        <w:rPr>
          <w:rFonts w:hint="eastAsia" w:ascii="仿宋" w:hAnsi="仿宋" w:eastAsia="仿宋" w:cs="仿宋"/>
          <w:spacing w:val="12"/>
          <w:sz w:val="24"/>
          <w:szCs w:val="24"/>
          <w:lang w:eastAsia="zh-CN"/>
        </w:rPr>
        <w:t>产品</w:t>
      </w:r>
      <w:r>
        <w:rPr>
          <w:rFonts w:hint="eastAsia" w:ascii="仿宋" w:hAnsi="仿宋" w:eastAsia="仿宋" w:cs="仿宋"/>
          <w:spacing w:val="12"/>
          <w:sz w:val="24"/>
          <w:szCs w:val="24"/>
        </w:rPr>
        <w:t>退换：在不损坏商品的使用功能、原包装及不影响乙方再次销售的情况下，可以无条件退换货。</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7.4乙方应提供有效的联系人和联系电话，如有变更，乙方应及时、主动通知甲方。每批订单指定专人负责跟单送货，送货人应佩戴公司标志，遵守相关的规章制度。如有特殊情况需另行安排人员跟单送货,将作好送货情况交接表，以避免因更换送货人员而耽误退换或补货等的及时性。</w:t>
      </w:r>
    </w:p>
    <w:p>
      <w:pPr>
        <w:adjustRightInd w:val="0"/>
        <w:snapToGrid w:val="0"/>
        <w:spacing w:line="360" w:lineRule="auto"/>
        <w:rPr>
          <w:rFonts w:hint="eastAsia" w:ascii="仿宋" w:hAnsi="仿宋" w:eastAsia="仿宋" w:cs="仿宋"/>
          <w:b/>
          <w:bCs/>
          <w:snapToGrid w:val="0"/>
          <w:spacing w:val="12"/>
          <w:sz w:val="24"/>
          <w:szCs w:val="24"/>
        </w:rPr>
      </w:pPr>
      <w:r>
        <w:rPr>
          <w:rFonts w:hint="eastAsia" w:ascii="仿宋" w:hAnsi="仿宋" w:eastAsia="仿宋" w:cs="仿宋"/>
          <w:b/>
          <w:bCs/>
          <w:spacing w:val="12"/>
          <w:sz w:val="24"/>
          <w:szCs w:val="24"/>
        </w:rPr>
        <w:t>8.</w:t>
      </w:r>
      <w:r>
        <w:rPr>
          <w:rFonts w:hint="eastAsia" w:ascii="仿宋" w:hAnsi="仿宋" w:eastAsia="仿宋" w:cs="仿宋"/>
          <w:b/>
          <w:bCs/>
          <w:snapToGrid w:val="0"/>
          <w:spacing w:val="12"/>
          <w:sz w:val="24"/>
          <w:szCs w:val="24"/>
        </w:rPr>
        <w:t>验收</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8.1乙方送货时，需附上送货清单，经甲方负责人清点验收合格后，在送货清单上签字确认作为双方结算的依据，双方留底。</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8.2在验收过程中，如发现产品的品名、规格/型号与甲方需要的产品不符或是无法使用时，甲方有权要求乙方无条件进行退换。</w:t>
      </w:r>
    </w:p>
    <w:p>
      <w:pPr>
        <w:adjustRightInd w:val="0"/>
        <w:snapToGrid w:val="0"/>
        <w:spacing w:line="360" w:lineRule="auto"/>
        <w:ind w:firstLine="528" w:firstLineChars="200"/>
        <w:rPr>
          <w:rFonts w:hint="eastAsia" w:ascii="仿宋" w:hAnsi="仿宋" w:eastAsia="仿宋" w:cs="仿宋"/>
          <w:spacing w:val="12"/>
          <w:sz w:val="24"/>
          <w:szCs w:val="24"/>
        </w:rPr>
      </w:pPr>
      <w:r>
        <w:rPr>
          <w:rFonts w:hint="eastAsia" w:ascii="仿宋" w:hAnsi="仿宋" w:eastAsia="仿宋" w:cs="仿宋"/>
          <w:spacing w:val="12"/>
          <w:sz w:val="24"/>
          <w:szCs w:val="24"/>
        </w:rPr>
        <w:t>8.3产品在开始使用后出现质量问题的，甲方及时向乙方反馈意见并停止使用，乙方在接到甲方的问题反馈后，应立即作出产品更换处理意见，最终得到甲方的认可为止。</w:t>
      </w:r>
    </w:p>
    <w:p>
      <w:pPr>
        <w:adjustRightInd w:val="0"/>
        <w:snapToGrid w:val="0"/>
        <w:spacing w:line="360" w:lineRule="auto"/>
        <w:rPr>
          <w:rFonts w:hint="eastAsia" w:ascii="仿宋" w:hAnsi="仿宋" w:eastAsia="仿宋" w:cs="仿宋"/>
          <w:b/>
          <w:bCs/>
          <w:snapToGrid w:val="0"/>
          <w:spacing w:val="12"/>
          <w:sz w:val="24"/>
          <w:szCs w:val="24"/>
        </w:rPr>
      </w:pPr>
      <w:r>
        <w:rPr>
          <w:rFonts w:hint="eastAsia" w:ascii="仿宋" w:hAnsi="仿宋" w:eastAsia="仿宋" w:cs="仿宋"/>
          <w:b/>
          <w:bCs/>
          <w:snapToGrid w:val="0"/>
          <w:spacing w:val="12"/>
          <w:sz w:val="24"/>
          <w:szCs w:val="24"/>
        </w:rPr>
        <w:t>9.违约责任</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9.1按《中华人民共和国民法典》中的相关条款执行。</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9.2未按合同及招标文件要求提供产品、服务或产品质量不能满足合同要求，甲方有权依据《民法典》有关条款及合同约定解除合同，合同自书面解除通知到达乙方之日起解除，并按以下两种方式追究乙方违约责任：</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9.2.1乙方赔偿甲方解除合同的全部损失（包括但不限于重新采购产生的费用）；</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9.2.2乙方支付甲方违约金，违约金计算方法：乙方支付甲方5万元违约金。</w:t>
      </w:r>
    </w:p>
    <w:p>
      <w:pPr>
        <w:adjustRightInd w:val="0"/>
        <w:snapToGrid w:val="0"/>
        <w:spacing w:line="360" w:lineRule="auto"/>
        <w:rPr>
          <w:rFonts w:hint="eastAsia" w:ascii="仿宋" w:hAnsi="仿宋" w:eastAsia="仿宋" w:cs="仿宋"/>
          <w:b/>
          <w:bCs/>
          <w:snapToGrid w:val="0"/>
          <w:spacing w:val="12"/>
          <w:sz w:val="24"/>
          <w:szCs w:val="24"/>
        </w:rPr>
      </w:pPr>
      <w:r>
        <w:rPr>
          <w:rFonts w:hint="eastAsia" w:ascii="仿宋" w:hAnsi="仿宋" w:eastAsia="仿宋" w:cs="仿宋"/>
          <w:b/>
          <w:bCs/>
          <w:snapToGrid w:val="0"/>
          <w:spacing w:val="12"/>
          <w:sz w:val="24"/>
          <w:szCs w:val="24"/>
        </w:rPr>
        <w:t>10.合同争议解决的方式</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本合同在履行过程中发生的争议，由甲、乙双方当事人协商解决，协商不成的依法向甲方所在地人民法院起诉。</w:t>
      </w:r>
    </w:p>
    <w:p>
      <w:pPr>
        <w:adjustRightInd w:val="0"/>
        <w:snapToGrid w:val="0"/>
        <w:spacing w:line="360" w:lineRule="auto"/>
        <w:rPr>
          <w:rFonts w:hint="eastAsia" w:ascii="仿宋" w:hAnsi="仿宋" w:eastAsia="仿宋" w:cs="仿宋"/>
          <w:b/>
          <w:bCs/>
          <w:snapToGrid w:val="0"/>
          <w:spacing w:val="12"/>
          <w:sz w:val="24"/>
          <w:szCs w:val="24"/>
        </w:rPr>
      </w:pPr>
      <w:r>
        <w:rPr>
          <w:rFonts w:hint="eastAsia" w:ascii="仿宋" w:hAnsi="仿宋" w:eastAsia="仿宋" w:cs="仿宋"/>
          <w:b/>
          <w:bCs/>
          <w:snapToGrid w:val="0"/>
          <w:spacing w:val="12"/>
          <w:sz w:val="24"/>
          <w:szCs w:val="24"/>
        </w:rPr>
        <w:t>11.其他事项</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 xml:space="preserve">11.1合同未尽事宜，由甲、乙双方协商，经见证方确认后，签订补充协议，与本合同具有同等法律效力。补充协议与本协议不一致的，以补充协议为准。 </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11.2合同一经签订，不得擅自变更、中止或终止合同。对确需变更、调整或中止、终止合同的，有法律规定的按照法律规定，除合同约定外，由甲乙双方再行协商，协商一致前，原合同或条款继续履行。</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11.3本合同按照中华人民共和国的现行法律进行解释。</w:t>
      </w:r>
    </w:p>
    <w:p>
      <w:pPr>
        <w:adjustRightInd w:val="0"/>
        <w:snapToGrid w:val="0"/>
        <w:spacing w:line="360" w:lineRule="auto"/>
        <w:rPr>
          <w:rFonts w:hint="eastAsia" w:ascii="仿宋" w:hAnsi="仿宋" w:eastAsia="仿宋" w:cs="仿宋"/>
          <w:b/>
          <w:bCs/>
          <w:snapToGrid w:val="0"/>
          <w:spacing w:val="12"/>
          <w:sz w:val="24"/>
          <w:szCs w:val="24"/>
        </w:rPr>
      </w:pPr>
      <w:r>
        <w:rPr>
          <w:rFonts w:hint="eastAsia" w:ascii="仿宋" w:hAnsi="仿宋" w:eastAsia="仿宋" w:cs="仿宋"/>
          <w:b/>
          <w:bCs/>
          <w:snapToGrid w:val="0"/>
          <w:spacing w:val="12"/>
          <w:sz w:val="24"/>
          <w:szCs w:val="24"/>
        </w:rPr>
        <w:t>12.</w:t>
      </w:r>
      <w:r>
        <w:rPr>
          <w:rFonts w:hint="eastAsia" w:ascii="仿宋" w:hAnsi="仿宋" w:eastAsia="仿宋" w:cs="仿宋"/>
          <w:b/>
          <w:sz w:val="24"/>
          <w:szCs w:val="24"/>
        </w:rPr>
        <w:t>合同的生效、变更及合同份数</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12.1.本合同自双方法定代表人或者授权签字人签字并加盖公章之日起生效。</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12.2.本合同履行期内，甲乙双方均不得随意变更或解除合同。未尽事宜，由双方共同协商达成补充协议解决。补充协议与本合同不一致的，以补充协议为准。</w:t>
      </w:r>
    </w:p>
    <w:p>
      <w:pPr>
        <w:adjustRightInd w:val="0"/>
        <w:snapToGrid w:val="0"/>
        <w:spacing w:line="360" w:lineRule="auto"/>
        <w:ind w:firstLine="528" w:firstLineChars="200"/>
        <w:rPr>
          <w:rFonts w:hint="eastAsia" w:ascii="仿宋" w:hAnsi="仿宋" w:eastAsia="仿宋" w:cs="仿宋"/>
          <w:snapToGrid w:val="0"/>
          <w:spacing w:val="12"/>
          <w:sz w:val="24"/>
          <w:szCs w:val="24"/>
        </w:rPr>
      </w:pPr>
      <w:r>
        <w:rPr>
          <w:rFonts w:hint="eastAsia" w:ascii="仿宋" w:hAnsi="仿宋" w:eastAsia="仿宋" w:cs="仿宋"/>
          <w:snapToGrid w:val="0"/>
          <w:spacing w:val="12"/>
          <w:sz w:val="24"/>
          <w:szCs w:val="24"/>
        </w:rPr>
        <w:t>12.3.因本合同引起的任何争议由双方协商解决，协商不成的，向甲方所在地人民法院提起诉讼解决。</w:t>
      </w:r>
    </w:p>
    <w:p>
      <w:pPr>
        <w:adjustRightInd w:val="0"/>
        <w:snapToGrid w:val="0"/>
        <w:spacing w:line="360" w:lineRule="auto"/>
        <w:ind w:firstLine="528" w:firstLineChars="200"/>
        <w:rPr>
          <w:rFonts w:hint="eastAsia" w:ascii="仿宋" w:hAnsi="仿宋" w:eastAsia="仿宋" w:cs="仿宋"/>
          <w:sz w:val="24"/>
          <w:szCs w:val="24"/>
        </w:rPr>
      </w:pPr>
      <w:r>
        <w:rPr>
          <w:rFonts w:hint="eastAsia" w:ascii="仿宋" w:hAnsi="仿宋" w:eastAsia="仿宋" w:cs="仿宋"/>
          <w:snapToGrid w:val="0"/>
          <w:spacing w:val="12"/>
          <w:sz w:val="24"/>
          <w:szCs w:val="24"/>
        </w:rPr>
        <w:t>12.4.本合同共</w:t>
      </w:r>
      <w:r>
        <w:rPr>
          <w:rFonts w:hint="eastAsia" w:ascii="仿宋" w:hAnsi="仿宋" w:eastAsia="仿宋" w:cs="仿宋"/>
          <w:snapToGrid w:val="0"/>
          <w:spacing w:val="12"/>
          <w:sz w:val="24"/>
          <w:szCs w:val="24"/>
          <w:u w:val="single"/>
        </w:rPr>
        <w:t xml:space="preserve">      </w:t>
      </w:r>
      <w:r>
        <w:rPr>
          <w:rFonts w:hint="eastAsia" w:ascii="仿宋" w:hAnsi="仿宋" w:eastAsia="仿宋" w:cs="仿宋"/>
          <w:snapToGrid w:val="0"/>
          <w:spacing w:val="12"/>
          <w:sz w:val="24"/>
          <w:szCs w:val="24"/>
        </w:rPr>
        <w:t>页，一式</w:t>
      </w:r>
      <w:r>
        <w:rPr>
          <w:rFonts w:hint="eastAsia" w:ascii="仿宋" w:hAnsi="仿宋" w:eastAsia="仿宋" w:cs="仿宋"/>
          <w:snapToGrid w:val="0"/>
          <w:spacing w:val="12"/>
          <w:sz w:val="24"/>
          <w:szCs w:val="24"/>
          <w:u w:val="single"/>
        </w:rPr>
        <w:t xml:space="preserve">     </w:t>
      </w:r>
      <w:r>
        <w:rPr>
          <w:rFonts w:hint="eastAsia" w:ascii="仿宋" w:hAnsi="仿宋" w:eastAsia="仿宋" w:cs="仿宋"/>
          <w:snapToGrid w:val="0"/>
          <w:spacing w:val="12"/>
          <w:sz w:val="24"/>
          <w:szCs w:val="24"/>
        </w:rPr>
        <w:t>份。甲方执</w:t>
      </w:r>
      <w:r>
        <w:rPr>
          <w:rFonts w:hint="eastAsia" w:ascii="仿宋" w:hAnsi="仿宋" w:eastAsia="仿宋" w:cs="仿宋"/>
          <w:snapToGrid w:val="0"/>
          <w:spacing w:val="12"/>
          <w:sz w:val="24"/>
          <w:szCs w:val="24"/>
          <w:u w:val="single"/>
        </w:rPr>
        <w:t xml:space="preserve">    </w:t>
      </w:r>
      <w:r>
        <w:rPr>
          <w:rFonts w:hint="eastAsia" w:ascii="仿宋" w:hAnsi="仿宋" w:eastAsia="仿宋" w:cs="仿宋"/>
          <w:snapToGrid w:val="0"/>
          <w:spacing w:val="12"/>
          <w:sz w:val="24"/>
          <w:szCs w:val="24"/>
        </w:rPr>
        <w:t>份，乙方执</w:t>
      </w:r>
      <w:r>
        <w:rPr>
          <w:rFonts w:hint="eastAsia" w:ascii="仿宋" w:hAnsi="仿宋" w:eastAsia="仿宋" w:cs="仿宋"/>
          <w:snapToGrid w:val="0"/>
          <w:spacing w:val="12"/>
          <w:sz w:val="24"/>
          <w:szCs w:val="24"/>
          <w:u w:val="single"/>
        </w:rPr>
        <w:t xml:space="preserve">     </w:t>
      </w:r>
      <w:r>
        <w:rPr>
          <w:rFonts w:hint="eastAsia" w:ascii="仿宋" w:hAnsi="仿宋" w:eastAsia="仿宋" w:cs="仿宋"/>
          <w:snapToGrid w:val="0"/>
          <w:spacing w:val="12"/>
          <w:sz w:val="24"/>
          <w:szCs w:val="24"/>
        </w:rPr>
        <w:t>份。附件为主合同的一部分，具有同等法律效力。</w:t>
      </w:r>
    </w:p>
    <w:p>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甲  方（法人公章）                    乙  方（法人公章）</w:t>
      </w:r>
    </w:p>
    <w:p>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单位名称：                            单位名称:</w:t>
      </w:r>
    </w:p>
    <w:p>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地  址：                              地  址：</w:t>
      </w:r>
    </w:p>
    <w:p>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 xml:space="preserve">法定代表人：（签章）                  法定代表人：（签字） </w:t>
      </w:r>
    </w:p>
    <w:p>
      <w:pPr>
        <w:tabs>
          <w:tab w:val="left" w:pos="480"/>
        </w:tabs>
        <w:spacing w:line="360" w:lineRule="auto"/>
        <w:jc w:val="both"/>
        <w:rPr>
          <w:rFonts w:hint="eastAsia" w:ascii="仿宋" w:hAnsi="仿宋" w:eastAsia="仿宋" w:cs="仿宋"/>
          <w:sz w:val="24"/>
          <w:szCs w:val="24"/>
        </w:rPr>
      </w:pPr>
      <w:r>
        <w:rPr>
          <w:rFonts w:hint="eastAsia" w:ascii="仿宋" w:hAnsi="仿宋" w:eastAsia="仿宋" w:cs="仿宋"/>
          <w:sz w:val="24"/>
          <w:szCs w:val="24"/>
        </w:rPr>
        <w:t>签订日期：     年    月    日         签订日期：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F2249B"/>
    <w:multiLevelType w:val="singleLevel"/>
    <w:tmpl w:val="3AF2249B"/>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xOTUwMjUwYTcwNWVhYWZjNGEwNGE0ZjQ5YzI4NDEifQ=="/>
  </w:docVars>
  <w:rsids>
    <w:rsidRoot w:val="76E52D53"/>
    <w:rsid w:val="12186162"/>
    <w:rsid w:val="27EA72C8"/>
    <w:rsid w:val="76E52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spacing w:line="320" w:lineRule="exact"/>
      <w:outlineLvl w:val="2"/>
    </w:pPr>
    <w:rPr>
      <w:rFonts w:ascii="楷体_GB2312" w:eastAsia="楷体_GB2312"/>
      <w:sz w:val="32"/>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2023-10-10T04:19:00Z</dcterms:created>
  <dc:creator>Administrator</dc:creator>
  <cp:lastModifiedBy>Administrator</cp:lastModifiedBy>
  <dcterms:modified xsi:type="dcterms:W3CDTF">2023-10-10T04:20:55Z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A833C70556294BD18B35251CB1D666E6_11</vt:lpwstr>
  </property>
</Properties>
</file>